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E3" w:rsidRDefault="006D0DFB" w:rsidP="00290C63">
      <w:pPr>
        <w:rPr>
          <w:rFonts w:eastAsiaTheme="majorEastAsia" w:cstheme="majorBidi"/>
          <w:noProof/>
          <w:sz w:val="36"/>
          <w:szCs w:val="36"/>
          <w:lang w:eastAsia="en-AU"/>
        </w:rPr>
      </w:pPr>
      <w:r w:rsidRPr="00DB723B">
        <w:rPr>
          <w:noProof/>
          <w:lang w:eastAsia="en-AU"/>
        </w:rPr>
        <w:drawing>
          <wp:anchor distT="0" distB="0" distL="114300" distR="114300" simplePos="0" relativeHeight="251661312" behindDoc="1" locked="0" layoutInCell="1" allowOverlap="1" wp14:anchorId="0F5FEA39" wp14:editId="6DA94B6B">
            <wp:simplePos x="0" y="0"/>
            <wp:positionH relativeFrom="column">
              <wp:posOffset>-1116965</wp:posOffset>
            </wp:positionH>
            <wp:positionV relativeFrom="paragraph">
              <wp:posOffset>-933450</wp:posOffset>
            </wp:positionV>
            <wp:extent cx="7734300" cy="11494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1494135"/>
                    </a:xfrm>
                    <a:prstGeom prst="rect">
                      <a:avLst/>
                    </a:prstGeom>
                    <a:noFill/>
                  </pic:spPr>
                </pic:pic>
              </a:graphicData>
            </a:graphic>
            <wp14:sizeRelH relativeFrom="page">
              <wp14:pctWidth>0</wp14:pctWidth>
            </wp14:sizeRelH>
            <wp14:sizeRelV relativeFrom="page">
              <wp14:pctHeight>0</wp14:pctHeight>
            </wp14:sizeRelV>
          </wp:anchor>
        </w:drawing>
      </w:r>
      <w:proofErr w:type="spellStart"/>
      <w:proofErr w:type="gramStart"/>
      <w:r w:rsidR="005138E3">
        <w:t>dlkgf</w:t>
      </w:r>
      <w:proofErr w:type="spellEnd"/>
      <w:proofErr w:type="gramEnd"/>
    </w:p>
    <w:sdt>
      <w:sdtPr>
        <w:rPr>
          <w:rFonts w:eastAsiaTheme="majorEastAsia" w:cstheme="majorBidi"/>
          <w:noProof/>
          <w:sz w:val="36"/>
          <w:szCs w:val="36"/>
          <w:lang w:eastAsia="en-AU"/>
        </w:rPr>
        <w:id w:val="1021519724"/>
        <w:docPartObj>
          <w:docPartGallery w:val="Cover Pages"/>
          <w:docPartUnique/>
        </w:docPartObj>
      </w:sdtPr>
      <w:sdtEndPr/>
      <w:sdtContent>
        <w:p w:rsidR="00714746" w:rsidRDefault="00714746" w:rsidP="00290C63"/>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14EA58B" wp14:editId="2131AB07">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0B33D2" w:rsidRDefault="000B33D2" w:rsidP="00D5015C">
          <w:pPr>
            <w:pStyle w:val="ReportSubtitle"/>
          </w:pPr>
          <w:r w:rsidRPr="000B33D2">
            <w:t>DRAFT DECISION</w:t>
          </w:r>
        </w:p>
        <w:p w:rsidR="00DC4A05" w:rsidRDefault="00DC4A05" w:rsidP="00D5015C">
          <w:pPr>
            <w:pStyle w:val="ReportSubtitle"/>
          </w:pPr>
          <w:r>
            <w:t>Multinet G</w:t>
          </w:r>
          <w:r w:rsidR="00D5015C">
            <w:t xml:space="preserve">as </w:t>
          </w:r>
        </w:p>
        <w:p w:rsidR="00D5015C" w:rsidRDefault="00DC4A05"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0C6409">
            <w:t>3</w:t>
          </w:r>
          <w:r w:rsidR="000474DF">
            <w:t xml:space="preserve"> </w:t>
          </w:r>
          <w:r w:rsidR="00185BA5">
            <w:t>–</w:t>
          </w:r>
          <w:r w:rsidR="000474DF">
            <w:t xml:space="preserve"> </w:t>
          </w:r>
          <w:r w:rsidR="000C6409">
            <w:t>Demand</w:t>
          </w:r>
        </w:p>
        <w:p w:rsidR="00D5015C" w:rsidRDefault="00D5015C" w:rsidP="00327A1E">
          <w:pPr>
            <w:pStyle w:val="ReportDate"/>
          </w:pPr>
        </w:p>
        <w:p w:rsidR="00D5015C" w:rsidRDefault="00D5015C" w:rsidP="00327A1E">
          <w:pPr>
            <w:pStyle w:val="ReportDate"/>
          </w:pPr>
        </w:p>
        <w:p w:rsidR="000A6C7B" w:rsidRPr="00327A1E" w:rsidRDefault="00AB6DD1" w:rsidP="00327A1E">
          <w:pPr>
            <w:pStyle w:val="ReportDate"/>
          </w:pPr>
          <w:r>
            <w:t xml:space="preserve">July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C6409">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AB6DD1" w:rsidRPr="00AB6DD1">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5815558"/>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DC4A05">
        <w:t>Multinet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5815559"/>
      <w:r>
        <w:t>Contents</w:t>
      </w:r>
      <w:bookmarkEnd w:id="8"/>
      <w:bookmarkEnd w:id="9"/>
    </w:p>
    <w:p w:rsidR="00CE2A23" w:rsidRDefault="00CE2A23" w:rsidP="00CE2A23"/>
    <w:sdt>
      <w:sdtPr>
        <w:id w:val="1269200322"/>
        <w:docPartObj>
          <w:docPartGallery w:val="Table of Contents"/>
          <w:docPartUnique/>
        </w:docPartObj>
      </w:sdtPr>
      <w:sdtEndPr/>
      <w:sdtContent>
        <w:p w:rsidR="00E82EB4" w:rsidRDefault="000C6409">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5815558" w:history="1">
            <w:r w:rsidR="00E82EB4" w:rsidRPr="00A636ED">
              <w:rPr>
                <w:rStyle w:val="Hyperlink"/>
              </w:rPr>
              <w:t>Note</w:t>
            </w:r>
            <w:r w:rsidR="00E82EB4">
              <w:rPr>
                <w:webHidden/>
              </w:rPr>
              <w:tab/>
            </w:r>
            <w:r w:rsidR="00E82EB4">
              <w:rPr>
                <w:webHidden/>
              </w:rPr>
              <w:fldChar w:fldCharType="begin"/>
            </w:r>
            <w:r w:rsidR="00E82EB4">
              <w:rPr>
                <w:webHidden/>
              </w:rPr>
              <w:instrText xml:space="preserve"> PAGEREF _Toc485815558 \h </w:instrText>
            </w:r>
            <w:r w:rsidR="00E82EB4">
              <w:rPr>
                <w:webHidden/>
              </w:rPr>
            </w:r>
            <w:r w:rsidR="00E82EB4">
              <w:rPr>
                <w:webHidden/>
              </w:rPr>
              <w:fldChar w:fldCharType="separate"/>
            </w:r>
            <w:r w:rsidR="00BB31D1">
              <w:rPr>
                <w:webHidden/>
              </w:rPr>
              <w:t>13-2</w:t>
            </w:r>
            <w:r w:rsidR="00E82EB4">
              <w:rPr>
                <w:webHidden/>
              </w:rPr>
              <w:fldChar w:fldCharType="end"/>
            </w:r>
          </w:hyperlink>
        </w:p>
        <w:p w:rsidR="00E82EB4" w:rsidRDefault="00BB31D1">
          <w:pPr>
            <w:pStyle w:val="TOC1"/>
            <w:rPr>
              <w:rFonts w:asciiTheme="minorHAnsi" w:eastAsiaTheme="minorEastAsia" w:hAnsiTheme="minorHAnsi"/>
              <w:b w:val="0"/>
              <w:color w:val="auto"/>
              <w:sz w:val="22"/>
              <w:lang w:val="en-AU" w:eastAsia="en-AU"/>
            </w:rPr>
          </w:pPr>
          <w:hyperlink w:anchor="_Toc485815559" w:history="1">
            <w:r w:rsidR="00E82EB4" w:rsidRPr="00A636ED">
              <w:rPr>
                <w:rStyle w:val="Hyperlink"/>
              </w:rPr>
              <w:t>Contents</w:t>
            </w:r>
            <w:r w:rsidR="00E82EB4">
              <w:rPr>
                <w:webHidden/>
              </w:rPr>
              <w:tab/>
            </w:r>
            <w:r w:rsidR="00E82EB4">
              <w:rPr>
                <w:webHidden/>
              </w:rPr>
              <w:fldChar w:fldCharType="begin"/>
            </w:r>
            <w:r w:rsidR="00E82EB4">
              <w:rPr>
                <w:webHidden/>
              </w:rPr>
              <w:instrText xml:space="preserve"> PAGEREF _Toc485815559 \h </w:instrText>
            </w:r>
            <w:r w:rsidR="00E82EB4">
              <w:rPr>
                <w:webHidden/>
              </w:rPr>
            </w:r>
            <w:r w:rsidR="00E82EB4">
              <w:rPr>
                <w:webHidden/>
              </w:rPr>
              <w:fldChar w:fldCharType="separate"/>
            </w:r>
            <w:r>
              <w:rPr>
                <w:webHidden/>
              </w:rPr>
              <w:t>13-3</w:t>
            </w:r>
            <w:r w:rsidR="00E82EB4">
              <w:rPr>
                <w:webHidden/>
              </w:rPr>
              <w:fldChar w:fldCharType="end"/>
            </w:r>
          </w:hyperlink>
        </w:p>
        <w:p w:rsidR="00E82EB4" w:rsidRDefault="00BB31D1">
          <w:pPr>
            <w:pStyle w:val="TOC1"/>
            <w:rPr>
              <w:rFonts w:asciiTheme="minorHAnsi" w:eastAsiaTheme="minorEastAsia" w:hAnsiTheme="minorHAnsi"/>
              <w:b w:val="0"/>
              <w:color w:val="auto"/>
              <w:sz w:val="22"/>
              <w:lang w:val="en-AU" w:eastAsia="en-AU"/>
            </w:rPr>
          </w:pPr>
          <w:hyperlink w:anchor="_Toc485815560" w:history="1">
            <w:r w:rsidR="00E82EB4" w:rsidRPr="00A636ED">
              <w:rPr>
                <w:rStyle w:val="Hyperlink"/>
              </w:rPr>
              <w:t>Shortened forms</w:t>
            </w:r>
            <w:r w:rsidR="00E82EB4">
              <w:rPr>
                <w:webHidden/>
              </w:rPr>
              <w:tab/>
            </w:r>
            <w:r w:rsidR="00E82EB4">
              <w:rPr>
                <w:webHidden/>
              </w:rPr>
              <w:fldChar w:fldCharType="begin"/>
            </w:r>
            <w:r w:rsidR="00E82EB4">
              <w:rPr>
                <w:webHidden/>
              </w:rPr>
              <w:instrText xml:space="preserve"> PAGEREF _Toc485815560 \h </w:instrText>
            </w:r>
            <w:r w:rsidR="00E82EB4">
              <w:rPr>
                <w:webHidden/>
              </w:rPr>
            </w:r>
            <w:r w:rsidR="00E82EB4">
              <w:rPr>
                <w:webHidden/>
              </w:rPr>
              <w:fldChar w:fldCharType="separate"/>
            </w:r>
            <w:r>
              <w:rPr>
                <w:webHidden/>
              </w:rPr>
              <w:t>13-4</w:t>
            </w:r>
            <w:r w:rsidR="00E82EB4">
              <w:rPr>
                <w:webHidden/>
              </w:rPr>
              <w:fldChar w:fldCharType="end"/>
            </w:r>
          </w:hyperlink>
        </w:p>
        <w:p w:rsidR="00E82EB4" w:rsidRDefault="00BB31D1">
          <w:pPr>
            <w:pStyle w:val="TOC1"/>
            <w:rPr>
              <w:rFonts w:asciiTheme="minorHAnsi" w:eastAsiaTheme="minorEastAsia" w:hAnsiTheme="minorHAnsi"/>
              <w:b w:val="0"/>
              <w:color w:val="auto"/>
              <w:sz w:val="22"/>
              <w:lang w:val="en-AU" w:eastAsia="en-AU"/>
            </w:rPr>
          </w:pPr>
          <w:hyperlink w:anchor="_Toc485815561" w:history="1">
            <w:r w:rsidR="00E82EB4" w:rsidRPr="00A636ED">
              <w:rPr>
                <w:rStyle w:val="Hyperlink"/>
              </w:rPr>
              <w:t>13</w:t>
            </w:r>
            <w:r w:rsidR="00E82EB4">
              <w:rPr>
                <w:rFonts w:asciiTheme="minorHAnsi" w:eastAsiaTheme="minorEastAsia" w:hAnsiTheme="minorHAnsi"/>
                <w:b w:val="0"/>
                <w:color w:val="auto"/>
                <w:sz w:val="22"/>
                <w:lang w:val="en-AU" w:eastAsia="en-AU"/>
              </w:rPr>
              <w:tab/>
            </w:r>
            <w:r w:rsidR="00E82EB4" w:rsidRPr="00A636ED">
              <w:rPr>
                <w:rStyle w:val="Hyperlink"/>
              </w:rPr>
              <w:t>Demand</w:t>
            </w:r>
            <w:r w:rsidR="00E82EB4">
              <w:rPr>
                <w:webHidden/>
              </w:rPr>
              <w:tab/>
            </w:r>
            <w:r w:rsidR="00E82EB4">
              <w:rPr>
                <w:webHidden/>
              </w:rPr>
              <w:fldChar w:fldCharType="begin"/>
            </w:r>
            <w:r w:rsidR="00E82EB4">
              <w:rPr>
                <w:webHidden/>
              </w:rPr>
              <w:instrText xml:space="preserve"> PAGEREF _Toc485815561 \h </w:instrText>
            </w:r>
            <w:r w:rsidR="00E82EB4">
              <w:rPr>
                <w:webHidden/>
              </w:rPr>
            </w:r>
            <w:r w:rsidR="00E82EB4">
              <w:rPr>
                <w:webHidden/>
              </w:rPr>
              <w:fldChar w:fldCharType="separate"/>
            </w:r>
            <w:r>
              <w:rPr>
                <w:webHidden/>
              </w:rPr>
              <w:t>13-5</w:t>
            </w:r>
            <w:r w:rsidR="00E82EB4">
              <w:rPr>
                <w:webHidden/>
              </w:rPr>
              <w:fldChar w:fldCharType="end"/>
            </w:r>
          </w:hyperlink>
        </w:p>
        <w:p w:rsidR="00E82EB4" w:rsidRDefault="00BB31D1">
          <w:pPr>
            <w:pStyle w:val="TOC2"/>
            <w:tabs>
              <w:tab w:val="left" w:pos="1276"/>
            </w:tabs>
            <w:rPr>
              <w:rFonts w:asciiTheme="minorHAnsi" w:eastAsiaTheme="minorEastAsia" w:hAnsiTheme="minorHAnsi"/>
              <w:b w:val="0"/>
              <w:color w:val="auto"/>
              <w:sz w:val="22"/>
              <w:lang w:eastAsia="en-AU"/>
            </w:rPr>
          </w:pPr>
          <w:hyperlink w:anchor="_Toc485815562" w:history="1">
            <w:r w:rsidR="00E82EB4" w:rsidRPr="00A636ED">
              <w:rPr>
                <w:rStyle w:val="Hyperlink"/>
              </w:rPr>
              <w:t>13.1</w:t>
            </w:r>
            <w:r w:rsidR="00E82EB4">
              <w:rPr>
                <w:rFonts w:asciiTheme="minorHAnsi" w:eastAsiaTheme="minorEastAsia" w:hAnsiTheme="minorHAnsi"/>
                <w:b w:val="0"/>
                <w:color w:val="auto"/>
                <w:sz w:val="22"/>
                <w:lang w:eastAsia="en-AU"/>
              </w:rPr>
              <w:tab/>
            </w:r>
            <w:r w:rsidR="00E82EB4" w:rsidRPr="00A636ED">
              <w:rPr>
                <w:rStyle w:val="Hyperlink"/>
              </w:rPr>
              <w:t>Draft decision</w:t>
            </w:r>
            <w:r w:rsidR="00E82EB4">
              <w:rPr>
                <w:webHidden/>
              </w:rPr>
              <w:tab/>
            </w:r>
            <w:r w:rsidR="00E82EB4">
              <w:rPr>
                <w:webHidden/>
              </w:rPr>
              <w:fldChar w:fldCharType="begin"/>
            </w:r>
            <w:r w:rsidR="00E82EB4">
              <w:rPr>
                <w:webHidden/>
              </w:rPr>
              <w:instrText xml:space="preserve"> PAGEREF _Toc485815562 \h </w:instrText>
            </w:r>
            <w:r w:rsidR="00E82EB4">
              <w:rPr>
                <w:webHidden/>
              </w:rPr>
            </w:r>
            <w:r w:rsidR="00E82EB4">
              <w:rPr>
                <w:webHidden/>
              </w:rPr>
              <w:fldChar w:fldCharType="separate"/>
            </w:r>
            <w:r>
              <w:rPr>
                <w:webHidden/>
              </w:rPr>
              <w:t>13-5</w:t>
            </w:r>
            <w:r w:rsidR="00E82EB4">
              <w:rPr>
                <w:webHidden/>
              </w:rPr>
              <w:fldChar w:fldCharType="end"/>
            </w:r>
          </w:hyperlink>
        </w:p>
        <w:p w:rsidR="00E82EB4" w:rsidRDefault="00BB31D1">
          <w:pPr>
            <w:pStyle w:val="TOC2"/>
            <w:tabs>
              <w:tab w:val="left" w:pos="1276"/>
            </w:tabs>
            <w:rPr>
              <w:rFonts w:asciiTheme="minorHAnsi" w:eastAsiaTheme="minorEastAsia" w:hAnsiTheme="minorHAnsi"/>
              <w:b w:val="0"/>
              <w:color w:val="auto"/>
              <w:sz w:val="22"/>
              <w:lang w:eastAsia="en-AU"/>
            </w:rPr>
          </w:pPr>
          <w:hyperlink w:anchor="_Toc485815563" w:history="1">
            <w:r w:rsidR="00E82EB4" w:rsidRPr="00A636ED">
              <w:rPr>
                <w:rStyle w:val="Hyperlink"/>
              </w:rPr>
              <w:t>13.2</w:t>
            </w:r>
            <w:r w:rsidR="00E82EB4">
              <w:rPr>
                <w:rFonts w:asciiTheme="minorHAnsi" w:eastAsiaTheme="minorEastAsia" w:hAnsiTheme="minorHAnsi"/>
                <w:b w:val="0"/>
                <w:color w:val="auto"/>
                <w:sz w:val="22"/>
                <w:lang w:eastAsia="en-AU"/>
              </w:rPr>
              <w:tab/>
            </w:r>
            <w:r w:rsidR="00E82EB4" w:rsidRPr="00A636ED">
              <w:rPr>
                <w:rStyle w:val="Hyperlink"/>
              </w:rPr>
              <w:t>Multinet's proposal</w:t>
            </w:r>
            <w:r w:rsidR="00E82EB4">
              <w:rPr>
                <w:webHidden/>
              </w:rPr>
              <w:tab/>
            </w:r>
            <w:r w:rsidR="00E82EB4">
              <w:rPr>
                <w:webHidden/>
              </w:rPr>
              <w:fldChar w:fldCharType="begin"/>
            </w:r>
            <w:r w:rsidR="00E82EB4">
              <w:rPr>
                <w:webHidden/>
              </w:rPr>
              <w:instrText xml:space="preserve"> PAGEREF _Toc485815563 \h </w:instrText>
            </w:r>
            <w:r w:rsidR="00E82EB4">
              <w:rPr>
                <w:webHidden/>
              </w:rPr>
            </w:r>
            <w:r w:rsidR="00E82EB4">
              <w:rPr>
                <w:webHidden/>
              </w:rPr>
              <w:fldChar w:fldCharType="separate"/>
            </w:r>
            <w:r>
              <w:rPr>
                <w:webHidden/>
              </w:rPr>
              <w:t>13-6</w:t>
            </w:r>
            <w:r w:rsidR="00E82EB4">
              <w:rPr>
                <w:webHidden/>
              </w:rPr>
              <w:fldChar w:fldCharType="end"/>
            </w:r>
          </w:hyperlink>
        </w:p>
        <w:p w:rsidR="00E82EB4" w:rsidRDefault="00BB31D1">
          <w:pPr>
            <w:pStyle w:val="TOC3"/>
            <w:rPr>
              <w:rFonts w:asciiTheme="minorHAnsi" w:eastAsiaTheme="minorEastAsia" w:hAnsiTheme="minorHAnsi"/>
              <w:lang w:eastAsia="en-AU"/>
            </w:rPr>
          </w:pPr>
          <w:hyperlink w:anchor="_Toc485815564" w:history="1">
            <w:r w:rsidR="00E82EB4" w:rsidRPr="00A636ED">
              <w:rPr>
                <w:rStyle w:val="Hyperlink"/>
              </w:rPr>
              <w:t>13.2.1</w:t>
            </w:r>
            <w:r w:rsidR="00E82EB4">
              <w:rPr>
                <w:rFonts w:asciiTheme="minorHAnsi" w:eastAsiaTheme="minorEastAsia" w:hAnsiTheme="minorHAnsi"/>
                <w:lang w:eastAsia="en-AU"/>
              </w:rPr>
              <w:tab/>
            </w:r>
            <w:r w:rsidR="00E82EB4" w:rsidRPr="00A636ED">
              <w:rPr>
                <w:rStyle w:val="Hyperlink"/>
              </w:rPr>
              <w:t>Forecasting methodology</w:t>
            </w:r>
            <w:r w:rsidR="00E82EB4">
              <w:rPr>
                <w:webHidden/>
              </w:rPr>
              <w:tab/>
            </w:r>
            <w:r w:rsidR="00E82EB4">
              <w:rPr>
                <w:webHidden/>
              </w:rPr>
              <w:fldChar w:fldCharType="begin"/>
            </w:r>
            <w:r w:rsidR="00E82EB4">
              <w:rPr>
                <w:webHidden/>
              </w:rPr>
              <w:instrText xml:space="preserve"> PAGEREF _Toc485815564 \h </w:instrText>
            </w:r>
            <w:r w:rsidR="00E82EB4">
              <w:rPr>
                <w:webHidden/>
              </w:rPr>
            </w:r>
            <w:r w:rsidR="00E82EB4">
              <w:rPr>
                <w:webHidden/>
              </w:rPr>
              <w:fldChar w:fldCharType="separate"/>
            </w:r>
            <w:r>
              <w:rPr>
                <w:webHidden/>
              </w:rPr>
              <w:t>13-7</w:t>
            </w:r>
            <w:r w:rsidR="00E82EB4">
              <w:rPr>
                <w:webHidden/>
              </w:rPr>
              <w:fldChar w:fldCharType="end"/>
            </w:r>
          </w:hyperlink>
        </w:p>
        <w:p w:rsidR="00E82EB4" w:rsidRDefault="00BB31D1">
          <w:pPr>
            <w:pStyle w:val="TOC2"/>
            <w:tabs>
              <w:tab w:val="left" w:pos="1276"/>
            </w:tabs>
            <w:rPr>
              <w:rFonts w:asciiTheme="minorHAnsi" w:eastAsiaTheme="minorEastAsia" w:hAnsiTheme="minorHAnsi"/>
              <w:b w:val="0"/>
              <w:color w:val="auto"/>
              <w:sz w:val="22"/>
              <w:lang w:eastAsia="en-AU"/>
            </w:rPr>
          </w:pPr>
          <w:hyperlink w:anchor="_Toc485815565" w:history="1">
            <w:r w:rsidR="00E82EB4" w:rsidRPr="00A636ED">
              <w:rPr>
                <w:rStyle w:val="Hyperlink"/>
              </w:rPr>
              <w:t>13.3</w:t>
            </w:r>
            <w:r w:rsidR="00E82EB4">
              <w:rPr>
                <w:rFonts w:asciiTheme="minorHAnsi" w:eastAsiaTheme="minorEastAsia" w:hAnsiTheme="minorHAnsi"/>
                <w:b w:val="0"/>
                <w:color w:val="auto"/>
                <w:sz w:val="22"/>
                <w:lang w:eastAsia="en-AU"/>
              </w:rPr>
              <w:tab/>
            </w:r>
            <w:r w:rsidR="00E82EB4" w:rsidRPr="00A636ED">
              <w:rPr>
                <w:rStyle w:val="Hyperlink"/>
              </w:rPr>
              <w:t>AER Assessment approach</w:t>
            </w:r>
            <w:r w:rsidR="00E82EB4">
              <w:rPr>
                <w:webHidden/>
              </w:rPr>
              <w:tab/>
            </w:r>
            <w:r w:rsidR="00E82EB4">
              <w:rPr>
                <w:webHidden/>
              </w:rPr>
              <w:fldChar w:fldCharType="begin"/>
            </w:r>
            <w:r w:rsidR="00E82EB4">
              <w:rPr>
                <w:webHidden/>
              </w:rPr>
              <w:instrText xml:space="preserve"> PAGEREF _Toc485815565 \h </w:instrText>
            </w:r>
            <w:r w:rsidR="00E82EB4">
              <w:rPr>
                <w:webHidden/>
              </w:rPr>
            </w:r>
            <w:r w:rsidR="00E82EB4">
              <w:rPr>
                <w:webHidden/>
              </w:rPr>
              <w:fldChar w:fldCharType="separate"/>
            </w:r>
            <w:r>
              <w:rPr>
                <w:webHidden/>
              </w:rPr>
              <w:t>13-9</w:t>
            </w:r>
            <w:r w:rsidR="00E82EB4">
              <w:rPr>
                <w:webHidden/>
              </w:rPr>
              <w:fldChar w:fldCharType="end"/>
            </w:r>
          </w:hyperlink>
        </w:p>
        <w:p w:rsidR="00E82EB4" w:rsidRDefault="00BB31D1">
          <w:pPr>
            <w:pStyle w:val="TOC3"/>
            <w:rPr>
              <w:rFonts w:asciiTheme="minorHAnsi" w:eastAsiaTheme="minorEastAsia" w:hAnsiTheme="minorHAnsi"/>
              <w:lang w:eastAsia="en-AU"/>
            </w:rPr>
          </w:pPr>
          <w:hyperlink w:anchor="_Toc485815566" w:history="1">
            <w:r w:rsidR="00E82EB4" w:rsidRPr="00A636ED">
              <w:rPr>
                <w:rStyle w:val="Hyperlink"/>
              </w:rPr>
              <w:t>13.3.1</w:t>
            </w:r>
            <w:r w:rsidR="00E82EB4">
              <w:rPr>
                <w:rFonts w:asciiTheme="minorHAnsi" w:eastAsiaTheme="minorEastAsia" w:hAnsiTheme="minorHAnsi"/>
                <w:lang w:eastAsia="en-AU"/>
              </w:rPr>
              <w:tab/>
            </w:r>
            <w:r w:rsidR="00E82EB4" w:rsidRPr="00A636ED">
              <w:rPr>
                <w:rStyle w:val="Hyperlink"/>
              </w:rPr>
              <w:t>Interrelationships</w:t>
            </w:r>
            <w:r w:rsidR="00E82EB4">
              <w:rPr>
                <w:webHidden/>
              </w:rPr>
              <w:tab/>
            </w:r>
            <w:r w:rsidR="00E82EB4">
              <w:rPr>
                <w:webHidden/>
              </w:rPr>
              <w:fldChar w:fldCharType="begin"/>
            </w:r>
            <w:r w:rsidR="00E82EB4">
              <w:rPr>
                <w:webHidden/>
              </w:rPr>
              <w:instrText xml:space="preserve"> PAGEREF _Toc485815566 \h </w:instrText>
            </w:r>
            <w:r w:rsidR="00E82EB4">
              <w:rPr>
                <w:webHidden/>
              </w:rPr>
            </w:r>
            <w:r w:rsidR="00E82EB4">
              <w:rPr>
                <w:webHidden/>
              </w:rPr>
              <w:fldChar w:fldCharType="separate"/>
            </w:r>
            <w:r>
              <w:rPr>
                <w:webHidden/>
              </w:rPr>
              <w:t>13-10</w:t>
            </w:r>
            <w:r w:rsidR="00E82EB4">
              <w:rPr>
                <w:webHidden/>
              </w:rPr>
              <w:fldChar w:fldCharType="end"/>
            </w:r>
          </w:hyperlink>
        </w:p>
        <w:p w:rsidR="00E82EB4" w:rsidRDefault="00BB31D1">
          <w:pPr>
            <w:pStyle w:val="TOC2"/>
            <w:tabs>
              <w:tab w:val="left" w:pos="1276"/>
            </w:tabs>
            <w:rPr>
              <w:rFonts w:asciiTheme="minorHAnsi" w:eastAsiaTheme="minorEastAsia" w:hAnsiTheme="minorHAnsi"/>
              <w:b w:val="0"/>
              <w:color w:val="auto"/>
              <w:sz w:val="22"/>
              <w:lang w:eastAsia="en-AU"/>
            </w:rPr>
          </w:pPr>
          <w:hyperlink w:anchor="_Toc485815567" w:history="1">
            <w:r w:rsidR="00E82EB4" w:rsidRPr="00A636ED">
              <w:rPr>
                <w:rStyle w:val="Hyperlink"/>
              </w:rPr>
              <w:t>13.4</w:t>
            </w:r>
            <w:r w:rsidR="00E82EB4">
              <w:rPr>
                <w:rFonts w:asciiTheme="minorHAnsi" w:eastAsiaTheme="minorEastAsia" w:hAnsiTheme="minorHAnsi"/>
                <w:b w:val="0"/>
                <w:color w:val="auto"/>
                <w:sz w:val="22"/>
                <w:lang w:eastAsia="en-AU"/>
              </w:rPr>
              <w:tab/>
            </w:r>
            <w:r w:rsidR="00E82EB4" w:rsidRPr="00A636ED">
              <w:rPr>
                <w:rStyle w:val="Hyperlink"/>
              </w:rPr>
              <w:t>Reasons for draft decision</w:t>
            </w:r>
            <w:r w:rsidR="00E82EB4">
              <w:rPr>
                <w:webHidden/>
              </w:rPr>
              <w:tab/>
            </w:r>
            <w:r w:rsidR="00E82EB4">
              <w:rPr>
                <w:webHidden/>
              </w:rPr>
              <w:fldChar w:fldCharType="begin"/>
            </w:r>
            <w:r w:rsidR="00E82EB4">
              <w:rPr>
                <w:webHidden/>
              </w:rPr>
              <w:instrText xml:space="preserve"> PAGEREF _Toc485815567 \h </w:instrText>
            </w:r>
            <w:r w:rsidR="00E82EB4">
              <w:rPr>
                <w:webHidden/>
              </w:rPr>
            </w:r>
            <w:r w:rsidR="00E82EB4">
              <w:rPr>
                <w:webHidden/>
              </w:rPr>
              <w:fldChar w:fldCharType="separate"/>
            </w:r>
            <w:r>
              <w:rPr>
                <w:webHidden/>
              </w:rPr>
              <w:t>13-11</w:t>
            </w:r>
            <w:r w:rsidR="00E82EB4">
              <w:rPr>
                <w:webHidden/>
              </w:rPr>
              <w:fldChar w:fldCharType="end"/>
            </w:r>
          </w:hyperlink>
        </w:p>
        <w:p w:rsidR="00E82EB4" w:rsidRDefault="00BB31D1">
          <w:pPr>
            <w:pStyle w:val="TOC3"/>
            <w:rPr>
              <w:rFonts w:asciiTheme="minorHAnsi" w:eastAsiaTheme="minorEastAsia" w:hAnsiTheme="minorHAnsi"/>
              <w:lang w:eastAsia="en-AU"/>
            </w:rPr>
          </w:pPr>
          <w:hyperlink w:anchor="_Toc485815568" w:history="1">
            <w:r w:rsidR="00E82EB4" w:rsidRPr="00A636ED">
              <w:rPr>
                <w:rStyle w:val="Hyperlink"/>
              </w:rPr>
              <w:t>13.4.1</w:t>
            </w:r>
            <w:r w:rsidR="00E82EB4">
              <w:rPr>
                <w:rFonts w:asciiTheme="minorHAnsi" w:eastAsiaTheme="minorEastAsia" w:hAnsiTheme="minorHAnsi"/>
                <w:lang w:eastAsia="en-AU"/>
              </w:rPr>
              <w:tab/>
            </w:r>
            <w:r w:rsidR="00E82EB4" w:rsidRPr="00A636ED">
              <w:rPr>
                <w:rStyle w:val="Hyperlink"/>
              </w:rPr>
              <w:t>Minimum, maximum and average demand</w:t>
            </w:r>
            <w:r w:rsidR="00E82EB4">
              <w:rPr>
                <w:webHidden/>
              </w:rPr>
              <w:tab/>
            </w:r>
            <w:r w:rsidR="00E82EB4">
              <w:rPr>
                <w:webHidden/>
              </w:rPr>
              <w:fldChar w:fldCharType="begin"/>
            </w:r>
            <w:r w:rsidR="00E82EB4">
              <w:rPr>
                <w:webHidden/>
              </w:rPr>
              <w:instrText xml:space="preserve"> PAGEREF _Toc485815568 \h </w:instrText>
            </w:r>
            <w:r w:rsidR="00E82EB4">
              <w:rPr>
                <w:webHidden/>
              </w:rPr>
            </w:r>
            <w:r w:rsidR="00E82EB4">
              <w:rPr>
                <w:webHidden/>
              </w:rPr>
              <w:fldChar w:fldCharType="separate"/>
            </w:r>
            <w:r>
              <w:rPr>
                <w:webHidden/>
              </w:rPr>
              <w:t>13-11</w:t>
            </w:r>
            <w:r w:rsidR="00E82EB4">
              <w:rPr>
                <w:webHidden/>
              </w:rPr>
              <w:fldChar w:fldCharType="end"/>
            </w:r>
          </w:hyperlink>
        </w:p>
        <w:p w:rsidR="00E82EB4" w:rsidRDefault="00BB31D1">
          <w:pPr>
            <w:pStyle w:val="TOC3"/>
            <w:rPr>
              <w:rFonts w:asciiTheme="minorHAnsi" w:eastAsiaTheme="minorEastAsia" w:hAnsiTheme="minorHAnsi"/>
              <w:lang w:eastAsia="en-AU"/>
            </w:rPr>
          </w:pPr>
          <w:hyperlink w:anchor="_Toc485815569" w:history="1">
            <w:r w:rsidR="00E82EB4" w:rsidRPr="00A636ED">
              <w:rPr>
                <w:rStyle w:val="Hyperlink"/>
              </w:rPr>
              <w:t>13.4.2</w:t>
            </w:r>
            <w:r w:rsidR="00E82EB4">
              <w:rPr>
                <w:rFonts w:asciiTheme="minorHAnsi" w:eastAsiaTheme="minorEastAsia" w:hAnsiTheme="minorHAnsi"/>
                <w:lang w:eastAsia="en-AU"/>
              </w:rPr>
              <w:tab/>
            </w:r>
            <w:r w:rsidR="00E82EB4" w:rsidRPr="00A636ED">
              <w:rPr>
                <w:rStyle w:val="Hyperlink"/>
              </w:rPr>
              <w:t>Forecast pipeline capacity and utilisation</w:t>
            </w:r>
            <w:r w:rsidR="00E82EB4">
              <w:rPr>
                <w:webHidden/>
              </w:rPr>
              <w:tab/>
            </w:r>
            <w:r w:rsidR="00E82EB4">
              <w:rPr>
                <w:webHidden/>
              </w:rPr>
              <w:fldChar w:fldCharType="begin"/>
            </w:r>
            <w:r w:rsidR="00E82EB4">
              <w:rPr>
                <w:webHidden/>
              </w:rPr>
              <w:instrText xml:space="preserve"> PAGEREF _Toc485815569 \h </w:instrText>
            </w:r>
            <w:r w:rsidR="00E82EB4">
              <w:rPr>
                <w:webHidden/>
              </w:rPr>
            </w:r>
            <w:r w:rsidR="00E82EB4">
              <w:rPr>
                <w:webHidden/>
              </w:rPr>
              <w:fldChar w:fldCharType="separate"/>
            </w:r>
            <w:r>
              <w:rPr>
                <w:webHidden/>
              </w:rPr>
              <w:t>13-12</w:t>
            </w:r>
            <w:r w:rsidR="00E82EB4">
              <w:rPr>
                <w:webHidden/>
              </w:rPr>
              <w:fldChar w:fldCharType="end"/>
            </w:r>
          </w:hyperlink>
        </w:p>
        <w:p w:rsidR="00E82EB4" w:rsidRDefault="00BB31D1">
          <w:pPr>
            <w:pStyle w:val="TOC3"/>
            <w:rPr>
              <w:rFonts w:asciiTheme="minorHAnsi" w:eastAsiaTheme="minorEastAsia" w:hAnsiTheme="minorHAnsi"/>
              <w:lang w:eastAsia="en-AU"/>
            </w:rPr>
          </w:pPr>
          <w:hyperlink w:anchor="_Toc485815570" w:history="1">
            <w:r w:rsidR="00E82EB4" w:rsidRPr="00A636ED">
              <w:rPr>
                <w:rStyle w:val="Hyperlink"/>
              </w:rPr>
              <w:t>13.4.3</w:t>
            </w:r>
            <w:r w:rsidR="00E82EB4">
              <w:rPr>
                <w:rFonts w:asciiTheme="minorHAnsi" w:eastAsiaTheme="minorEastAsia" w:hAnsiTheme="minorHAnsi"/>
                <w:lang w:eastAsia="en-AU"/>
              </w:rPr>
              <w:tab/>
            </w:r>
            <w:r w:rsidR="00E82EB4" w:rsidRPr="00A636ED">
              <w:rPr>
                <w:rStyle w:val="Hyperlink"/>
              </w:rPr>
              <w:t>Demand Forecast of Tariff V</w:t>
            </w:r>
            <w:r w:rsidR="00E82EB4">
              <w:rPr>
                <w:webHidden/>
              </w:rPr>
              <w:tab/>
            </w:r>
            <w:r w:rsidR="00E82EB4">
              <w:rPr>
                <w:webHidden/>
              </w:rPr>
              <w:fldChar w:fldCharType="begin"/>
            </w:r>
            <w:r w:rsidR="00E82EB4">
              <w:rPr>
                <w:webHidden/>
              </w:rPr>
              <w:instrText xml:space="preserve"> PAGEREF _Toc485815570 \h </w:instrText>
            </w:r>
            <w:r w:rsidR="00E82EB4">
              <w:rPr>
                <w:webHidden/>
              </w:rPr>
            </w:r>
            <w:r w:rsidR="00E82EB4">
              <w:rPr>
                <w:webHidden/>
              </w:rPr>
              <w:fldChar w:fldCharType="separate"/>
            </w:r>
            <w:r>
              <w:rPr>
                <w:webHidden/>
              </w:rPr>
              <w:t>13-12</w:t>
            </w:r>
            <w:r w:rsidR="00E82EB4">
              <w:rPr>
                <w:webHidden/>
              </w:rPr>
              <w:fldChar w:fldCharType="end"/>
            </w:r>
          </w:hyperlink>
        </w:p>
        <w:p w:rsidR="00E82EB4" w:rsidRDefault="00BB31D1">
          <w:pPr>
            <w:pStyle w:val="TOC3"/>
            <w:rPr>
              <w:rFonts w:asciiTheme="minorHAnsi" w:eastAsiaTheme="minorEastAsia" w:hAnsiTheme="minorHAnsi"/>
              <w:lang w:eastAsia="en-AU"/>
            </w:rPr>
          </w:pPr>
          <w:hyperlink w:anchor="_Toc485815571" w:history="1">
            <w:r w:rsidR="00E82EB4" w:rsidRPr="00A636ED">
              <w:rPr>
                <w:rStyle w:val="Hyperlink"/>
              </w:rPr>
              <w:t>13.4.4</w:t>
            </w:r>
            <w:r w:rsidR="00E82EB4">
              <w:rPr>
                <w:rFonts w:asciiTheme="minorHAnsi" w:eastAsiaTheme="minorEastAsia" w:hAnsiTheme="minorHAnsi"/>
                <w:lang w:eastAsia="en-AU"/>
              </w:rPr>
              <w:tab/>
            </w:r>
            <w:r w:rsidR="00E82EB4" w:rsidRPr="00A636ED">
              <w:rPr>
                <w:rStyle w:val="Hyperlink"/>
              </w:rPr>
              <w:t>Demand forecasts for Tariff D and Tariff L</w:t>
            </w:r>
            <w:r w:rsidR="00E82EB4">
              <w:rPr>
                <w:webHidden/>
              </w:rPr>
              <w:tab/>
            </w:r>
            <w:r w:rsidR="00E82EB4">
              <w:rPr>
                <w:webHidden/>
              </w:rPr>
              <w:fldChar w:fldCharType="begin"/>
            </w:r>
            <w:r w:rsidR="00E82EB4">
              <w:rPr>
                <w:webHidden/>
              </w:rPr>
              <w:instrText xml:space="preserve"> PAGEREF _Toc485815571 \h </w:instrText>
            </w:r>
            <w:r w:rsidR="00E82EB4">
              <w:rPr>
                <w:webHidden/>
              </w:rPr>
            </w:r>
            <w:r w:rsidR="00E82EB4">
              <w:rPr>
                <w:webHidden/>
              </w:rPr>
              <w:fldChar w:fldCharType="separate"/>
            </w:r>
            <w:r>
              <w:rPr>
                <w:webHidden/>
              </w:rPr>
              <w:t>13-16</w:t>
            </w:r>
            <w:r w:rsidR="00E82EB4">
              <w:rPr>
                <w:webHidden/>
              </w:rPr>
              <w:fldChar w:fldCharType="end"/>
            </w:r>
          </w:hyperlink>
        </w:p>
        <w:p w:rsidR="00E82EB4" w:rsidRDefault="00BB31D1">
          <w:pPr>
            <w:pStyle w:val="TOC2"/>
            <w:tabs>
              <w:tab w:val="left" w:pos="1276"/>
            </w:tabs>
            <w:rPr>
              <w:rFonts w:asciiTheme="minorHAnsi" w:eastAsiaTheme="minorEastAsia" w:hAnsiTheme="minorHAnsi"/>
              <w:b w:val="0"/>
              <w:color w:val="auto"/>
              <w:sz w:val="22"/>
              <w:lang w:eastAsia="en-AU"/>
            </w:rPr>
          </w:pPr>
          <w:hyperlink w:anchor="_Toc485815572" w:history="1">
            <w:r w:rsidR="00E82EB4" w:rsidRPr="00A636ED">
              <w:rPr>
                <w:rStyle w:val="Hyperlink"/>
              </w:rPr>
              <w:t>13.5</w:t>
            </w:r>
            <w:r w:rsidR="00E82EB4">
              <w:rPr>
                <w:rFonts w:asciiTheme="minorHAnsi" w:eastAsiaTheme="minorEastAsia" w:hAnsiTheme="minorHAnsi"/>
                <w:b w:val="0"/>
                <w:color w:val="auto"/>
                <w:sz w:val="22"/>
                <w:lang w:eastAsia="en-AU"/>
              </w:rPr>
              <w:tab/>
            </w:r>
            <w:r w:rsidR="00E82EB4" w:rsidRPr="00A636ED">
              <w:rPr>
                <w:rStyle w:val="Hyperlink"/>
              </w:rPr>
              <w:t>Revisions</w:t>
            </w:r>
            <w:r w:rsidR="00E82EB4">
              <w:rPr>
                <w:webHidden/>
              </w:rPr>
              <w:tab/>
            </w:r>
            <w:r w:rsidR="00E82EB4">
              <w:rPr>
                <w:webHidden/>
              </w:rPr>
              <w:fldChar w:fldCharType="begin"/>
            </w:r>
            <w:r w:rsidR="00E82EB4">
              <w:rPr>
                <w:webHidden/>
              </w:rPr>
              <w:instrText xml:space="preserve"> PAGEREF _Toc485815572 \h </w:instrText>
            </w:r>
            <w:r w:rsidR="00E82EB4">
              <w:rPr>
                <w:webHidden/>
              </w:rPr>
            </w:r>
            <w:r w:rsidR="00E82EB4">
              <w:rPr>
                <w:webHidden/>
              </w:rPr>
              <w:fldChar w:fldCharType="separate"/>
            </w:r>
            <w:r>
              <w:rPr>
                <w:webHidden/>
              </w:rPr>
              <w:t>13-17</w:t>
            </w:r>
            <w:r w:rsidR="00E82EB4">
              <w:rPr>
                <w:webHidden/>
              </w:rPr>
              <w:fldChar w:fldCharType="end"/>
            </w:r>
          </w:hyperlink>
        </w:p>
        <w:p w:rsidR="00CE2A23" w:rsidRDefault="000C6409" w:rsidP="000C6409">
          <w:pPr>
            <w:pStyle w:val="TOC1"/>
          </w:pPr>
          <w:r>
            <w:fldChar w:fldCharType="end"/>
          </w:r>
        </w:p>
      </w:sdtContent>
    </w:sdt>
    <w:p w:rsidR="00CE2A23" w:rsidRPr="00CE2A23" w:rsidRDefault="00CE2A23" w:rsidP="00CE2A23">
      <w:r>
        <w:t xml:space="preserve"> </w:t>
      </w:r>
    </w:p>
    <w:p w:rsidR="000679D2" w:rsidRPr="00271F7C" w:rsidRDefault="000679D2" w:rsidP="000679D2">
      <w:pPr>
        <w:pStyle w:val="UnnumberedHeading"/>
        <w:numPr>
          <w:ilvl w:val="0"/>
          <w:numId w:val="23"/>
        </w:numPr>
      </w:pPr>
      <w:bookmarkStart w:id="10" w:name="_Toc404700925"/>
      <w:bookmarkStart w:id="11" w:name="_Toc482365306"/>
      <w:bookmarkStart w:id="12" w:name="_Toc483292632"/>
      <w:bookmarkStart w:id="13" w:name="_Toc483822702"/>
      <w:bookmarkStart w:id="14" w:name="_Toc485815560"/>
      <w:bookmarkEnd w:id="0"/>
      <w:r>
        <w:t>Shortened forms</w:t>
      </w:r>
      <w:bookmarkEnd w:id="10"/>
      <w:bookmarkEnd w:id="11"/>
      <w:bookmarkEnd w:id="12"/>
      <w:bookmarkEnd w:id="13"/>
      <w:bookmarkEnd w:id="14"/>
    </w:p>
    <w:tbl>
      <w:tblPr>
        <w:tblStyle w:val="AERtable-text0"/>
        <w:tblW w:w="0" w:type="auto"/>
        <w:tblLook w:val="04A0" w:firstRow="1" w:lastRow="0" w:firstColumn="1" w:lastColumn="0" w:noHBand="0" w:noVBand="1"/>
      </w:tblPr>
      <w:tblGrid>
        <w:gridCol w:w="4340"/>
        <w:gridCol w:w="4353"/>
      </w:tblGrid>
      <w:tr w:rsidR="000679D2" w:rsidRPr="0087648F" w:rsidTr="00310221">
        <w:trPr>
          <w:cnfStyle w:val="100000000000" w:firstRow="1" w:lastRow="0" w:firstColumn="0" w:lastColumn="0" w:oddVBand="0" w:evenVBand="0" w:oddHBand="0" w:evenHBand="0" w:firstRowFirstColumn="0" w:firstRowLastColumn="0" w:lastRowFirstColumn="0" w:lastRowLastColumn="0"/>
          <w:tblHeader/>
        </w:trPr>
        <w:tc>
          <w:tcPr>
            <w:tcW w:w="4340" w:type="dxa"/>
          </w:tcPr>
          <w:p w:rsidR="000679D2" w:rsidRPr="000679D2" w:rsidRDefault="000679D2" w:rsidP="000679D2">
            <w:r>
              <w:t>Shortened form</w:t>
            </w:r>
          </w:p>
        </w:tc>
        <w:tc>
          <w:tcPr>
            <w:tcW w:w="4353" w:type="dxa"/>
          </w:tcPr>
          <w:p w:rsidR="000679D2" w:rsidRPr="000679D2" w:rsidRDefault="000679D2" w:rsidP="000679D2">
            <w:r>
              <w:t>Extended form</w:t>
            </w:r>
          </w:p>
        </w:tc>
      </w:tr>
      <w:tr w:rsidR="000679D2" w:rsidTr="00310221">
        <w:tc>
          <w:tcPr>
            <w:tcW w:w="4340" w:type="dxa"/>
          </w:tcPr>
          <w:p w:rsidR="000679D2" w:rsidRDefault="000679D2" w:rsidP="000679D2">
            <w:pPr>
              <w:numPr>
                <w:ilvl w:val="0"/>
                <w:numId w:val="24"/>
              </w:numPr>
            </w:pPr>
            <w:r>
              <w:t>AER</w:t>
            </w:r>
          </w:p>
        </w:tc>
        <w:tc>
          <w:tcPr>
            <w:tcW w:w="4353" w:type="dxa"/>
          </w:tcPr>
          <w:p w:rsidR="000679D2" w:rsidRDefault="000679D2" w:rsidP="000679D2">
            <w:pPr>
              <w:numPr>
                <w:ilvl w:val="0"/>
                <w:numId w:val="24"/>
              </w:numPr>
            </w:pPr>
            <w:r>
              <w:t>Australian Energy Regulator</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ATO</w:t>
            </w:r>
          </w:p>
        </w:tc>
        <w:tc>
          <w:tcPr>
            <w:tcW w:w="4353" w:type="dxa"/>
          </w:tcPr>
          <w:p w:rsidR="000679D2" w:rsidRPr="000679D2" w:rsidRDefault="000679D2" w:rsidP="000679D2">
            <w:r>
              <w:t xml:space="preserve">Australian </w:t>
            </w:r>
            <w:r w:rsidRPr="000679D2">
              <w:t>Tax Office</w:t>
            </w:r>
          </w:p>
        </w:tc>
      </w:tr>
      <w:tr w:rsidR="000679D2" w:rsidTr="00310221">
        <w:tc>
          <w:tcPr>
            <w:tcW w:w="4340" w:type="dxa"/>
          </w:tcPr>
          <w:p w:rsidR="000679D2" w:rsidRDefault="000679D2" w:rsidP="000679D2">
            <w:pPr>
              <w:numPr>
                <w:ilvl w:val="0"/>
                <w:numId w:val="24"/>
              </w:numPr>
            </w:pPr>
            <w:r>
              <w:t>capex</w:t>
            </w:r>
          </w:p>
        </w:tc>
        <w:tc>
          <w:tcPr>
            <w:tcW w:w="4353" w:type="dxa"/>
          </w:tcPr>
          <w:p w:rsidR="000679D2" w:rsidRDefault="000679D2" w:rsidP="000679D2">
            <w:pPr>
              <w:numPr>
                <w:ilvl w:val="0"/>
                <w:numId w:val="24"/>
              </w:numPr>
            </w:pPr>
            <w:r>
              <w:t>capital expenditure</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CAPM</w:t>
            </w:r>
          </w:p>
        </w:tc>
        <w:tc>
          <w:tcPr>
            <w:tcW w:w="4353" w:type="dxa"/>
          </w:tcPr>
          <w:p w:rsidR="000679D2" w:rsidRDefault="000679D2" w:rsidP="000679D2">
            <w:pPr>
              <w:numPr>
                <w:ilvl w:val="0"/>
                <w:numId w:val="24"/>
              </w:numPr>
            </w:pPr>
            <w:r>
              <w:t>capital asset pricing model</w:t>
            </w:r>
          </w:p>
        </w:tc>
      </w:tr>
      <w:tr w:rsidR="000679D2" w:rsidTr="00310221">
        <w:tc>
          <w:tcPr>
            <w:tcW w:w="4340" w:type="dxa"/>
          </w:tcPr>
          <w:p w:rsidR="000679D2" w:rsidRDefault="000679D2" w:rsidP="000679D2">
            <w:pPr>
              <w:numPr>
                <w:ilvl w:val="0"/>
                <w:numId w:val="24"/>
              </w:numPr>
            </w:pPr>
            <w:r>
              <w:t>CESS</w:t>
            </w:r>
          </w:p>
        </w:tc>
        <w:tc>
          <w:tcPr>
            <w:tcW w:w="4353" w:type="dxa"/>
          </w:tcPr>
          <w:p w:rsidR="000679D2" w:rsidRDefault="000679D2" w:rsidP="000679D2">
            <w:pPr>
              <w:numPr>
                <w:ilvl w:val="0"/>
                <w:numId w:val="24"/>
              </w:numPr>
            </w:pPr>
            <w:r>
              <w:t>Capital Expenditure Sharing Scheme</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CPI</w:t>
            </w:r>
          </w:p>
        </w:tc>
        <w:tc>
          <w:tcPr>
            <w:tcW w:w="4353" w:type="dxa"/>
          </w:tcPr>
          <w:p w:rsidR="000679D2" w:rsidRDefault="000679D2" w:rsidP="000679D2">
            <w:pPr>
              <w:numPr>
                <w:ilvl w:val="0"/>
                <w:numId w:val="24"/>
              </w:numPr>
            </w:pPr>
            <w:r>
              <w:t>consumer price index</w:t>
            </w:r>
          </w:p>
        </w:tc>
      </w:tr>
      <w:tr w:rsidR="000679D2" w:rsidTr="00310221">
        <w:tc>
          <w:tcPr>
            <w:tcW w:w="4340" w:type="dxa"/>
          </w:tcPr>
          <w:p w:rsidR="000679D2" w:rsidRDefault="000679D2" w:rsidP="000679D2">
            <w:pPr>
              <w:numPr>
                <w:ilvl w:val="0"/>
                <w:numId w:val="24"/>
              </w:numPr>
            </w:pPr>
            <w:r>
              <w:t>CCP</w:t>
            </w:r>
          </w:p>
        </w:tc>
        <w:tc>
          <w:tcPr>
            <w:tcW w:w="4353" w:type="dxa"/>
          </w:tcPr>
          <w:p w:rsidR="000679D2" w:rsidRDefault="000679D2" w:rsidP="000679D2">
            <w:pPr>
              <w:numPr>
                <w:ilvl w:val="0"/>
                <w:numId w:val="24"/>
              </w:numPr>
            </w:pPr>
            <w:r>
              <w:t>Consumer Challenge Panel</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DRP</w:t>
            </w:r>
          </w:p>
        </w:tc>
        <w:tc>
          <w:tcPr>
            <w:tcW w:w="4353" w:type="dxa"/>
          </w:tcPr>
          <w:p w:rsidR="000679D2" w:rsidRDefault="000679D2" w:rsidP="000679D2">
            <w:pPr>
              <w:numPr>
                <w:ilvl w:val="0"/>
                <w:numId w:val="24"/>
              </w:numPr>
            </w:pPr>
            <w:r>
              <w:t>debt risk premium</w:t>
            </w:r>
          </w:p>
        </w:tc>
      </w:tr>
      <w:tr w:rsidR="000679D2" w:rsidTr="00310221">
        <w:tc>
          <w:tcPr>
            <w:tcW w:w="4340" w:type="dxa"/>
          </w:tcPr>
          <w:p w:rsidR="000679D2" w:rsidRDefault="000679D2" w:rsidP="000679D2">
            <w:pPr>
              <w:numPr>
                <w:ilvl w:val="0"/>
                <w:numId w:val="24"/>
              </w:numPr>
            </w:pPr>
            <w:r>
              <w:t>EBSS</w:t>
            </w:r>
          </w:p>
        </w:tc>
        <w:tc>
          <w:tcPr>
            <w:tcW w:w="4353" w:type="dxa"/>
          </w:tcPr>
          <w:p w:rsidR="000679D2" w:rsidRPr="000679D2" w:rsidRDefault="000679D2" w:rsidP="000679D2">
            <w:r>
              <w:t xml:space="preserve">Efficiency Benefit Sharing </w:t>
            </w:r>
            <w:r w:rsidRPr="000679D2">
              <w:t>Scheme</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ERP</w:t>
            </w:r>
          </w:p>
        </w:tc>
        <w:tc>
          <w:tcPr>
            <w:tcW w:w="4353" w:type="dxa"/>
          </w:tcPr>
          <w:p w:rsidR="000679D2" w:rsidRDefault="000679D2" w:rsidP="000679D2">
            <w:pPr>
              <w:numPr>
                <w:ilvl w:val="0"/>
                <w:numId w:val="24"/>
              </w:numPr>
            </w:pPr>
            <w:r>
              <w:t>equity risk premium</w:t>
            </w:r>
          </w:p>
        </w:tc>
      </w:tr>
      <w:tr w:rsidR="000679D2" w:rsidTr="00310221">
        <w:tc>
          <w:tcPr>
            <w:tcW w:w="4340" w:type="dxa"/>
          </w:tcPr>
          <w:p w:rsidR="000679D2" w:rsidRDefault="000679D2" w:rsidP="000679D2">
            <w:pPr>
              <w:numPr>
                <w:ilvl w:val="0"/>
                <w:numId w:val="24"/>
              </w:numPr>
            </w:pPr>
            <w:r>
              <w:t>Expenditure Guideline</w:t>
            </w:r>
          </w:p>
        </w:tc>
        <w:tc>
          <w:tcPr>
            <w:tcW w:w="4353" w:type="dxa"/>
          </w:tcPr>
          <w:p w:rsidR="000679D2" w:rsidRPr="000679D2" w:rsidRDefault="000679D2" w:rsidP="000679D2">
            <w:r>
              <w:t>Expenditure Forecast Assessment Guideline</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gamma</w:t>
            </w:r>
          </w:p>
        </w:tc>
        <w:tc>
          <w:tcPr>
            <w:tcW w:w="4353" w:type="dxa"/>
          </w:tcPr>
          <w:p w:rsidR="000679D2" w:rsidRPr="000679D2" w:rsidRDefault="000679D2" w:rsidP="000679D2">
            <w:r>
              <w:t>Value of Imputation Credits</w:t>
            </w:r>
          </w:p>
        </w:tc>
      </w:tr>
      <w:tr w:rsidR="000679D2" w:rsidTr="00310221">
        <w:tc>
          <w:tcPr>
            <w:tcW w:w="4340" w:type="dxa"/>
          </w:tcPr>
          <w:p w:rsidR="000679D2" w:rsidRDefault="000679D2" w:rsidP="000679D2">
            <w:pPr>
              <w:numPr>
                <w:ilvl w:val="0"/>
                <w:numId w:val="24"/>
              </w:numPr>
            </w:pPr>
            <w:r>
              <w:t>GSL</w:t>
            </w:r>
          </w:p>
        </w:tc>
        <w:tc>
          <w:tcPr>
            <w:tcW w:w="4353" w:type="dxa"/>
          </w:tcPr>
          <w:p w:rsidR="000679D2" w:rsidRPr="000679D2" w:rsidRDefault="000679D2" w:rsidP="000679D2">
            <w:r>
              <w:t xml:space="preserve">Guaranteed </w:t>
            </w:r>
            <w:r w:rsidRPr="000679D2">
              <w:t>Service Level</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MHQ</w:t>
            </w:r>
          </w:p>
        </w:tc>
        <w:tc>
          <w:tcPr>
            <w:tcW w:w="4353" w:type="dxa"/>
          </w:tcPr>
          <w:p w:rsidR="000679D2" w:rsidRDefault="000679D2" w:rsidP="000679D2">
            <w:pPr>
              <w:numPr>
                <w:ilvl w:val="0"/>
                <w:numId w:val="24"/>
              </w:numPr>
            </w:pPr>
            <w:r>
              <w:t>maximum hourly quantity</w:t>
            </w:r>
          </w:p>
        </w:tc>
      </w:tr>
      <w:tr w:rsidR="000679D2" w:rsidTr="00310221">
        <w:tc>
          <w:tcPr>
            <w:tcW w:w="4340" w:type="dxa"/>
          </w:tcPr>
          <w:p w:rsidR="000679D2" w:rsidRDefault="000679D2" w:rsidP="000679D2">
            <w:pPr>
              <w:numPr>
                <w:ilvl w:val="0"/>
                <w:numId w:val="24"/>
              </w:numPr>
            </w:pPr>
            <w:r>
              <w:t>MRP</w:t>
            </w:r>
          </w:p>
        </w:tc>
        <w:tc>
          <w:tcPr>
            <w:tcW w:w="4353" w:type="dxa"/>
          </w:tcPr>
          <w:p w:rsidR="000679D2" w:rsidRDefault="000679D2" w:rsidP="000679D2">
            <w:pPr>
              <w:numPr>
                <w:ilvl w:val="0"/>
                <w:numId w:val="24"/>
              </w:numPr>
            </w:pPr>
            <w:r>
              <w:t>market risk premium</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NGL</w:t>
            </w:r>
          </w:p>
        </w:tc>
        <w:tc>
          <w:tcPr>
            <w:tcW w:w="4353" w:type="dxa"/>
          </w:tcPr>
          <w:p w:rsidR="000679D2" w:rsidRDefault="000679D2" w:rsidP="000679D2">
            <w:pPr>
              <w:numPr>
                <w:ilvl w:val="0"/>
                <w:numId w:val="24"/>
              </w:numPr>
            </w:pPr>
            <w:r>
              <w:t>national gas law</w:t>
            </w:r>
          </w:p>
        </w:tc>
      </w:tr>
      <w:tr w:rsidR="000679D2" w:rsidTr="00310221">
        <w:tc>
          <w:tcPr>
            <w:tcW w:w="4340" w:type="dxa"/>
          </w:tcPr>
          <w:p w:rsidR="000679D2" w:rsidRDefault="000679D2" w:rsidP="000679D2">
            <w:pPr>
              <w:numPr>
                <w:ilvl w:val="0"/>
                <w:numId w:val="24"/>
              </w:numPr>
            </w:pPr>
            <w:r>
              <w:t>NGO</w:t>
            </w:r>
          </w:p>
        </w:tc>
        <w:tc>
          <w:tcPr>
            <w:tcW w:w="4353" w:type="dxa"/>
          </w:tcPr>
          <w:p w:rsidR="000679D2" w:rsidRDefault="000679D2" w:rsidP="000679D2">
            <w:pPr>
              <w:numPr>
                <w:ilvl w:val="0"/>
                <w:numId w:val="24"/>
              </w:numPr>
            </w:pPr>
            <w:r>
              <w:t>national gas objective</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NIEIR</w:t>
            </w:r>
          </w:p>
        </w:tc>
        <w:tc>
          <w:tcPr>
            <w:tcW w:w="4353" w:type="dxa"/>
          </w:tcPr>
          <w:p w:rsidR="000679D2" w:rsidRDefault="000679D2" w:rsidP="000679D2">
            <w:pPr>
              <w:numPr>
                <w:ilvl w:val="0"/>
                <w:numId w:val="24"/>
              </w:numPr>
            </w:pPr>
            <w:r>
              <w:t>National Institute of Economic and Industry Research</w:t>
            </w:r>
          </w:p>
        </w:tc>
      </w:tr>
      <w:tr w:rsidR="000679D2" w:rsidTr="00310221">
        <w:tc>
          <w:tcPr>
            <w:tcW w:w="4340" w:type="dxa"/>
          </w:tcPr>
          <w:p w:rsidR="000679D2" w:rsidRDefault="000679D2" w:rsidP="000679D2">
            <w:pPr>
              <w:numPr>
                <w:ilvl w:val="0"/>
                <w:numId w:val="24"/>
              </w:numPr>
            </w:pPr>
            <w:r>
              <w:t>NGR</w:t>
            </w:r>
          </w:p>
        </w:tc>
        <w:tc>
          <w:tcPr>
            <w:tcW w:w="4353" w:type="dxa"/>
          </w:tcPr>
          <w:p w:rsidR="000679D2" w:rsidRDefault="000679D2" w:rsidP="000679D2">
            <w:pPr>
              <w:numPr>
                <w:ilvl w:val="0"/>
                <w:numId w:val="24"/>
              </w:numPr>
            </w:pPr>
            <w:r>
              <w:t>national gas rules</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NPV</w:t>
            </w:r>
          </w:p>
        </w:tc>
        <w:tc>
          <w:tcPr>
            <w:tcW w:w="4353" w:type="dxa"/>
          </w:tcPr>
          <w:p w:rsidR="000679D2" w:rsidRPr="000679D2" w:rsidRDefault="000679D2" w:rsidP="000679D2">
            <w:r>
              <w:t xml:space="preserve">net </w:t>
            </w:r>
            <w:r w:rsidRPr="000679D2">
              <w:t>present value</w:t>
            </w:r>
          </w:p>
        </w:tc>
      </w:tr>
      <w:tr w:rsidR="000679D2" w:rsidTr="00310221">
        <w:tc>
          <w:tcPr>
            <w:tcW w:w="4340" w:type="dxa"/>
          </w:tcPr>
          <w:p w:rsidR="000679D2" w:rsidRDefault="000679D2" w:rsidP="000679D2">
            <w:pPr>
              <w:numPr>
                <w:ilvl w:val="0"/>
                <w:numId w:val="24"/>
              </w:numPr>
            </w:pPr>
            <w:r>
              <w:t>opex</w:t>
            </w:r>
          </w:p>
        </w:tc>
        <w:tc>
          <w:tcPr>
            <w:tcW w:w="4353" w:type="dxa"/>
          </w:tcPr>
          <w:p w:rsidR="000679D2" w:rsidRDefault="000679D2" w:rsidP="000679D2">
            <w:pPr>
              <w:numPr>
                <w:ilvl w:val="0"/>
                <w:numId w:val="24"/>
              </w:numPr>
            </w:pPr>
            <w:r>
              <w:t>operating expenditure</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PTRM</w:t>
            </w:r>
          </w:p>
        </w:tc>
        <w:tc>
          <w:tcPr>
            <w:tcW w:w="4353" w:type="dxa"/>
          </w:tcPr>
          <w:p w:rsidR="000679D2" w:rsidRDefault="000679D2" w:rsidP="000679D2">
            <w:pPr>
              <w:numPr>
                <w:ilvl w:val="0"/>
                <w:numId w:val="24"/>
              </w:numPr>
            </w:pPr>
            <w:r>
              <w:t>post-tax revenue model</w:t>
            </w:r>
          </w:p>
        </w:tc>
      </w:tr>
      <w:tr w:rsidR="000679D2" w:rsidTr="00310221">
        <w:tc>
          <w:tcPr>
            <w:tcW w:w="4340" w:type="dxa"/>
          </w:tcPr>
          <w:p w:rsidR="000679D2" w:rsidRDefault="000679D2" w:rsidP="000679D2">
            <w:pPr>
              <w:numPr>
                <w:ilvl w:val="0"/>
                <w:numId w:val="24"/>
              </w:numPr>
            </w:pPr>
            <w:r>
              <w:t>RAB</w:t>
            </w:r>
          </w:p>
        </w:tc>
        <w:tc>
          <w:tcPr>
            <w:tcW w:w="4353" w:type="dxa"/>
          </w:tcPr>
          <w:p w:rsidR="000679D2" w:rsidRDefault="000679D2" w:rsidP="000679D2">
            <w:pPr>
              <w:numPr>
                <w:ilvl w:val="0"/>
                <w:numId w:val="24"/>
              </w:numPr>
            </w:pPr>
            <w:r>
              <w:t>regulatory asset base</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RBA</w:t>
            </w:r>
          </w:p>
        </w:tc>
        <w:tc>
          <w:tcPr>
            <w:tcW w:w="4353" w:type="dxa"/>
          </w:tcPr>
          <w:p w:rsidR="000679D2" w:rsidRDefault="000679D2" w:rsidP="000679D2">
            <w:pPr>
              <w:numPr>
                <w:ilvl w:val="0"/>
                <w:numId w:val="24"/>
              </w:numPr>
            </w:pPr>
            <w:r>
              <w:t>Reserve Bank of Australia</w:t>
            </w:r>
          </w:p>
        </w:tc>
      </w:tr>
      <w:tr w:rsidR="000679D2" w:rsidTr="00310221">
        <w:tc>
          <w:tcPr>
            <w:tcW w:w="4340" w:type="dxa"/>
          </w:tcPr>
          <w:p w:rsidR="000679D2" w:rsidRDefault="000679D2" w:rsidP="000679D2">
            <w:pPr>
              <w:numPr>
                <w:ilvl w:val="0"/>
                <w:numId w:val="24"/>
              </w:numPr>
            </w:pPr>
            <w:r>
              <w:t>RIN</w:t>
            </w:r>
          </w:p>
        </w:tc>
        <w:tc>
          <w:tcPr>
            <w:tcW w:w="4353" w:type="dxa"/>
          </w:tcPr>
          <w:p w:rsidR="000679D2" w:rsidRDefault="000679D2" w:rsidP="000679D2">
            <w:pPr>
              <w:numPr>
                <w:ilvl w:val="0"/>
                <w:numId w:val="24"/>
              </w:numPr>
            </w:pPr>
            <w:r>
              <w:t>regulatory information notice</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TAB</w:t>
            </w:r>
          </w:p>
        </w:tc>
        <w:tc>
          <w:tcPr>
            <w:tcW w:w="4353" w:type="dxa"/>
          </w:tcPr>
          <w:p w:rsidR="000679D2" w:rsidRPr="000679D2" w:rsidRDefault="000679D2" w:rsidP="000679D2">
            <w:r>
              <w:t>Tax asset base</w:t>
            </w:r>
          </w:p>
        </w:tc>
      </w:tr>
      <w:tr w:rsidR="000679D2" w:rsidTr="00310221">
        <w:tc>
          <w:tcPr>
            <w:tcW w:w="4340" w:type="dxa"/>
          </w:tcPr>
          <w:p w:rsidR="000679D2" w:rsidRDefault="000679D2" w:rsidP="000679D2">
            <w:pPr>
              <w:numPr>
                <w:ilvl w:val="0"/>
                <w:numId w:val="24"/>
              </w:numPr>
            </w:pPr>
            <w:r>
              <w:t>UAFG</w:t>
            </w:r>
          </w:p>
        </w:tc>
        <w:tc>
          <w:tcPr>
            <w:tcW w:w="4353" w:type="dxa"/>
          </w:tcPr>
          <w:p w:rsidR="000679D2" w:rsidRPr="000679D2" w:rsidRDefault="000679D2" w:rsidP="000679D2">
            <w:r>
              <w:t>Unaccounted for gas</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tcW w:w="4340" w:type="dxa"/>
          </w:tcPr>
          <w:p w:rsidR="000679D2" w:rsidRDefault="000679D2" w:rsidP="000679D2">
            <w:pPr>
              <w:numPr>
                <w:ilvl w:val="0"/>
                <w:numId w:val="24"/>
              </w:numPr>
            </w:pPr>
            <w:r>
              <w:t>WACC</w:t>
            </w:r>
          </w:p>
        </w:tc>
        <w:tc>
          <w:tcPr>
            <w:tcW w:w="4353" w:type="dxa"/>
          </w:tcPr>
          <w:p w:rsidR="000679D2" w:rsidRDefault="000679D2" w:rsidP="000679D2">
            <w:pPr>
              <w:numPr>
                <w:ilvl w:val="0"/>
                <w:numId w:val="24"/>
              </w:numPr>
            </w:pPr>
            <w:r>
              <w:t>weighted average cost of capital</w:t>
            </w:r>
          </w:p>
        </w:tc>
      </w:tr>
      <w:tr w:rsidR="000679D2" w:rsidTr="00310221">
        <w:tc>
          <w:tcPr>
            <w:tcW w:w="4340" w:type="dxa"/>
          </w:tcPr>
          <w:p w:rsidR="000679D2" w:rsidRDefault="000679D2" w:rsidP="000679D2">
            <w:pPr>
              <w:numPr>
                <w:ilvl w:val="0"/>
                <w:numId w:val="24"/>
              </w:numPr>
            </w:pPr>
            <w:r>
              <w:t>WPI</w:t>
            </w:r>
          </w:p>
        </w:tc>
        <w:tc>
          <w:tcPr>
            <w:tcW w:w="4353" w:type="dxa"/>
          </w:tcPr>
          <w:p w:rsidR="000679D2" w:rsidRPr="000679D2" w:rsidRDefault="000679D2" w:rsidP="000679D2">
            <w:r>
              <w:t>Wage Price Index</w:t>
            </w:r>
          </w:p>
        </w:tc>
      </w:tr>
    </w:tbl>
    <w:p w:rsidR="000679D2" w:rsidRDefault="000679D2" w:rsidP="000679D2">
      <w:pPr>
        <w:pStyle w:val="Heading1"/>
      </w:pPr>
      <w:bookmarkStart w:id="15" w:name="_Toc416278154"/>
      <w:bookmarkStart w:id="16" w:name="_Toc416346517"/>
      <w:bookmarkStart w:id="17" w:name="_Toc416278157"/>
      <w:bookmarkStart w:id="18" w:name="_Toc416346520"/>
      <w:bookmarkStart w:id="19" w:name="_Toc416278160"/>
      <w:bookmarkStart w:id="20" w:name="_Toc416346523"/>
      <w:bookmarkStart w:id="21" w:name="_Toc416278163"/>
      <w:bookmarkStart w:id="22" w:name="_Toc416346526"/>
      <w:bookmarkStart w:id="23" w:name="_Toc416278166"/>
      <w:bookmarkStart w:id="24" w:name="_Toc416346529"/>
      <w:bookmarkStart w:id="25" w:name="_Toc416278169"/>
      <w:bookmarkStart w:id="26" w:name="_Toc416346532"/>
      <w:bookmarkStart w:id="27" w:name="_Toc416278172"/>
      <w:bookmarkStart w:id="28" w:name="_Toc416346535"/>
      <w:bookmarkStart w:id="29" w:name="_Toc416278175"/>
      <w:bookmarkStart w:id="30" w:name="_Toc416346538"/>
      <w:bookmarkStart w:id="31" w:name="_Toc416278178"/>
      <w:bookmarkStart w:id="32" w:name="_Toc416346541"/>
      <w:bookmarkStart w:id="33" w:name="_Toc416278181"/>
      <w:bookmarkStart w:id="34" w:name="_Toc416346544"/>
      <w:bookmarkStart w:id="35" w:name="_Toc416278184"/>
      <w:bookmarkStart w:id="36" w:name="_Toc416346547"/>
      <w:bookmarkStart w:id="37" w:name="_Toc416278187"/>
      <w:bookmarkStart w:id="38" w:name="_Toc416346550"/>
      <w:bookmarkStart w:id="39" w:name="_Toc416278190"/>
      <w:bookmarkStart w:id="40" w:name="_Toc416346553"/>
      <w:bookmarkStart w:id="41" w:name="_Toc416278193"/>
      <w:bookmarkStart w:id="42" w:name="_Toc416346556"/>
      <w:bookmarkStart w:id="43" w:name="_Toc416278196"/>
      <w:bookmarkStart w:id="44" w:name="_Toc416346559"/>
      <w:bookmarkStart w:id="45" w:name="_Toc416278199"/>
      <w:bookmarkStart w:id="46" w:name="_Toc416346562"/>
      <w:bookmarkStart w:id="47" w:name="_Toc416278202"/>
      <w:bookmarkStart w:id="48" w:name="_Toc416346565"/>
      <w:bookmarkStart w:id="49" w:name="_Toc416278205"/>
      <w:bookmarkStart w:id="50" w:name="_Toc416346568"/>
      <w:bookmarkStart w:id="51" w:name="_Toc416278208"/>
      <w:bookmarkStart w:id="52" w:name="_Toc416346571"/>
      <w:bookmarkStart w:id="53" w:name="_Toc416278211"/>
      <w:bookmarkStart w:id="54" w:name="_Toc416346574"/>
      <w:bookmarkStart w:id="55" w:name="_Toc416278214"/>
      <w:bookmarkStart w:id="56" w:name="_Toc416346577"/>
      <w:bookmarkStart w:id="57" w:name="_Toc416278217"/>
      <w:bookmarkStart w:id="58" w:name="_Toc416346580"/>
      <w:bookmarkStart w:id="59" w:name="_Toc416278220"/>
      <w:bookmarkStart w:id="60" w:name="_Toc416346583"/>
      <w:bookmarkStart w:id="61" w:name="_Toc416278223"/>
      <w:bookmarkStart w:id="62" w:name="_Toc416346586"/>
      <w:bookmarkStart w:id="63" w:name="_Toc416278226"/>
      <w:bookmarkStart w:id="64" w:name="_Toc416346589"/>
      <w:bookmarkStart w:id="65" w:name="_Toc416278229"/>
      <w:bookmarkStart w:id="66" w:name="_Toc416346592"/>
      <w:bookmarkStart w:id="67" w:name="_Toc416278232"/>
      <w:bookmarkStart w:id="68" w:name="_Toc416346595"/>
      <w:bookmarkStart w:id="69" w:name="_Toc416278235"/>
      <w:bookmarkStart w:id="70" w:name="_Toc416346598"/>
      <w:bookmarkStart w:id="71" w:name="_Toc416278238"/>
      <w:bookmarkStart w:id="72" w:name="_Toc416346601"/>
      <w:bookmarkStart w:id="73" w:name="_Toc482365307"/>
      <w:bookmarkStart w:id="74" w:name="_Toc483292633"/>
      <w:bookmarkStart w:id="75" w:name="_Toc483822703"/>
      <w:bookmarkStart w:id="76" w:name="_Toc48581556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Demand</w:t>
      </w:r>
      <w:bookmarkEnd w:id="73"/>
      <w:bookmarkEnd w:id="74"/>
      <w:bookmarkEnd w:id="75"/>
      <w:bookmarkEnd w:id="76"/>
    </w:p>
    <w:p w:rsidR="000679D2" w:rsidRDefault="000679D2" w:rsidP="000679D2">
      <w:r>
        <w:t xml:space="preserve">This attachment sets out our assessment of the demand forecasts for Multinet for the 2018–22 access arrangement </w:t>
      </w:r>
      <w:proofErr w:type="gramStart"/>
      <w:r>
        <w:t>period</w:t>
      </w:r>
      <w:proofErr w:type="gramEnd"/>
      <w:r>
        <w:t xml:space="preserve">. Demand is an important input into the derivation of Multinet's reference tariffs. It also affects operating expenditure (opex) and capital expenditure (capex), which </w:t>
      </w:r>
      <w:r w:rsidR="00AB6DD1">
        <w:t>are</w:t>
      </w:r>
      <w:r>
        <w:t xml:space="preserve"> linked to network growth (new connections).</w:t>
      </w:r>
      <w:r w:rsidRPr="009A4689">
        <w:rPr>
          <w:rStyle w:val="FootnoteReference"/>
        </w:rPr>
        <w:t xml:space="preserve"> </w:t>
      </w:r>
      <w:r>
        <w:rPr>
          <w:rStyle w:val="FootnoteReference"/>
        </w:rPr>
        <w:footnoteReference w:id="1"/>
      </w:r>
    </w:p>
    <w:p w:rsidR="000679D2" w:rsidRDefault="000679D2" w:rsidP="000679D2">
      <w:pPr>
        <w:pStyle w:val="Heading2"/>
      </w:pPr>
      <w:bookmarkStart w:id="77" w:name="_Toc482365308"/>
      <w:bookmarkStart w:id="78" w:name="_Toc483292634"/>
      <w:bookmarkStart w:id="79" w:name="_Toc483822704"/>
      <w:bookmarkStart w:id="80" w:name="_Toc485815562"/>
      <w:r>
        <w:t>Draft decision</w:t>
      </w:r>
      <w:bookmarkEnd w:id="77"/>
      <w:bookmarkEnd w:id="78"/>
      <w:bookmarkEnd w:id="79"/>
      <w:bookmarkEnd w:id="80"/>
    </w:p>
    <w:p w:rsidR="000679D2" w:rsidRDefault="000679D2" w:rsidP="000679D2">
      <w:r>
        <w:t xml:space="preserve">Based on all the information before us, we do not accept Multinet's Tariff V demand forecasts for the 2018–22 access arrangement </w:t>
      </w:r>
      <w:proofErr w:type="gramStart"/>
      <w:r>
        <w:t>period</w:t>
      </w:r>
      <w:proofErr w:type="gramEnd"/>
      <w:r>
        <w:t xml:space="preserve">. </w:t>
      </w:r>
      <w:r w:rsidR="00310221">
        <w:t xml:space="preserve">Multinet has not established that its forecast is arrived at on a reasonable basis </w:t>
      </w:r>
      <w:r w:rsidR="009D641D">
        <w:t>because</w:t>
      </w:r>
      <w:r>
        <w:t>:</w:t>
      </w:r>
    </w:p>
    <w:p w:rsidR="000679D2" w:rsidRDefault="009356A5" w:rsidP="000679D2">
      <w:pPr>
        <w:pStyle w:val="AERbulletlistfirststyle"/>
      </w:pPr>
      <w:proofErr w:type="gramStart"/>
      <w:r>
        <w:t>our</w:t>
      </w:r>
      <w:proofErr w:type="gramEnd"/>
      <w:r>
        <w:t xml:space="preserve"> analysis has revealed that </w:t>
      </w:r>
      <w:r w:rsidR="000679D2">
        <w:t>Multinet’s forecast for gross new residential connections is understated, and inconsistent with the</w:t>
      </w:r>
      <w:r w:rsidR="00DA05A9">
        <w:t xml:space="preserve"> gross</w:t>
      </w:r>
      <w:r w:rsidR="000679D2">
        <w:t xml:space="preserve"> connection volumes used to derive Multinet's proposed connection capex</w:t>
      </w:r>
      <w:r w:rsidR="00E86805">
        <w:t>.</w:t>
      </w:r>
      <w:r w:rsidR="000679D2">
        <w:rPr>
          <w:rStyle w:val="FootnoteReference"/>
        </w:rPr>
        <w:footnoteReference w:id="2"/>
      </w:r>
    </w:p>
    <w:p w:rsidR="000679D2" w:rsidRDefault="00310221" w:rsidP="000679D2">
      <w:pPr>
        <w:pStyle w:val="AERbulletlistfirststyle"/>
      </w:pPr>
      <w:proofErr w:type="gramStart"/>
      <w:r>
        <w:t>we</w:t>
      </w:r>
      <w:proofErr w:type="gramEnd"/>
      <w:r>
        <w:t xml:space="preserve"> have determined that</w:t>
      </w:r>
      <w:r w:rsidR="000679D2">
        <w:t xml:space="preserve"> Multinet's opex step change for a marketing program </w:t>
      </w:r>
      <w:r>
        <w:t xml:space="preserve">does not meet the opex criteria </w:t>
      </w:r>
      <w:r w:rsidR="000679D2">
        <w:t xml:space="preserve">which </w:t>
      </w:r>
      <w:r>
        <w:t xml:space="preserve">in turn </w:t>
      </w:r>
      <w:r w:rsidR="000679D2">
        <w:t xml:space="preserve">impacts </w:t>
      </w:r>
      <w:r>
        <w:t xml:space="preserve">its </w:t>
      </w:r>
      <w:r w:rsidR="000679D2">
        <w:t>demand forecasts, in particular, forecast residential connection numbers.</w:t>
      </w:r>
      <w:r w:rsidR="000679D2">
        <w:rPr>
          <w:rStyle w:val="FootnoteReference"/>
        </w:rPr>
        <w:footnoteReference w:id="3"/>
      </w:r>
      <w:r w:rsidR="000679D2">
        <w:t xml:space="preserve"> </w:t>
      </w:r>
    </w:p>
    <w:p w:rsidR="000679D2" w:rsidRPr="000679D2" w:rsidRDefault="00310221" w:rsidP="00E86805">
      <w:pPr>
        <w:pStyle w:val="AERbulletlistfirststyle"/>
        <w:numPr>
          <w:ilvl w:val="0"/>
          <w:numId w:val="0"/>
        </w:numPr>
      </w:pPr>
      <w:r>
        <w:t xml:space="preserve">We have determined an </w:t>
      </w:r>
      <w:r w:rsidR="000679D2">
        <w:t xml:space="preserve">alternative forecast of </w:t>
      </w:r>
      <w:r w:rsidR="00962925">
        <w:t>40,604</w:t>
      </w:r>
      <w:r w:rsidR="00541E20">
        <w:t xml:space="preserve"> </w:t>
      </w:r>
      <w:r w:rsidR="000679D2" w:rsidRPr="000679D2">
        <w:t xml:space="preserve">gross </w:t>
      </w:r>
      <w:r w:rsidR="009356A5">
        <w:t xml:space="preserve">new </w:t>
      </w:r>
      <w:r w:rsidR="000679D2" w:rsidRPr="000679D2">
        <w:t xml:space="preserve">residential connections over the 2018–22 access arrangement </w:t>
      </w:r>
      <w:proofErr w:type="gramStart"/>
      <w:r w:rsidR="000679D2" w:rsidRPr="000679D2">
        <w:t>period</w:t>
      </w:r>
      <w:proofErr w:type="gramEnd"/>
      <w:r w:rsidR="000679D2" w:rsidRPr="000679D2">
        <w:t xml:space="preserve"> that we are satisfied is </w:t>
      </w:r>
      <w:r>
        <w:t xml:space="preserve">arrived at on a </w:t>
      </w:r>
      <w:r w:rsidR="000679D2" w:rsidRPr="000679D2">
        <w:t xml:space="preserve">reasonable </w:t>
      </w:r>
      <w:r>
        <w:t xml:space="preserve">basis </w:t>
      </w:r>
      <w:r w:rsidR="000679D2" w:rsidRPr="000679D2">
        <w:t>and represents the best possible forecast in the circumstances</w:t>
      </w:r>
      <w:r>
        <w:t>. This</w:t>
      </w:r>
      <w:r w:rsidRPr="000679D2">
        <w:t xml:space="preserve"> </w:t>
      </w:r>
      <w:r w:rsidR="000679D2" w:rsidRPr="000679D2">
        <w:t xml:space="preserve">is </w:t>
      </w:r>
      <w:r>
        <w:t>approximately</w:t>
      </w:r>
      <w:r w:rsidRPr="000679D2">
        <w:t xml:space="preserve"> </w:t>
      </w:r>
      <w:r w:rsidR="00962925">
        <w:t>23</w:t>
      </w:r>
      <w:r w:rsidR="00962925" w:rsidRPr="000679D2">
        <w:t xml:space="preserve"> </w:t>
      </w:r>
      <w:r w:rsidR="000679D2" w:rsidRPr="000679D2">
        <w:t xml:space="preserve">per cent higher than Multinet’s proposed forecast of </w:t>
      </w:r>
      <w:r w:rsidR="00962925">
        <w:t>33,138</w:t>
      </w:r>
      <w:r w:rsidR="00541E20">
        <w:t xml:space="preserve"> </w:t>
      </w:r>
      <w:r w:rsidR="000679D2" w:rsidRPr="000679D2">
        <w:t>gross residential connections.</w:t>
      </w:r>
      <w:r w:rsidR="000679D2" w:rsidRPr="000679D2">
        <w:rPr>
          <w:rStyle w:val="FootnoteReference"/>
        </w:rPr>
        <w:footnoteReference w:id="4"/>
      </w:r>
    </w:p>
    <w:p w:rsidR="000679D2" w:rsidRDefault="000679D2" w:rsidP="000679D2">
      <w:r>
        <w:t>With respect to Tariff D and Tariff L,</w:t>
      </w:r>
      <w:r>
        <w:rPr>
          <w:rStyle w:val="FootnoteReference"/>
        </w:rPr>
        <w:footnoteReference w:id="5"/>
      </w:r>
      <w:r>
        <w:t xml:space="preserve"> we </w:t>
      </w:r>
      <w:r w:rsidR="00310221">
        <w:t>accept Multinet's</w:t>
      </w:r>
      <w:r>
        <w:t xml:space="preserve"> forecast demand (MHQ) for these tariff classes.</w:t>
      </w:r>
      <w:r>
        <w:rPr>
          <w:rStyle w:val="FootnoteReference"/>
        </w:rPr>
        <w:footnoteReference w:id="6"/>
      </w:r>
      <w:r>
        <w:t xml:space="preserve"> </w:t>
      </w:r>
    </w:p>
    <w:p w:rsidR="000679D2" w:rsidRDefault="000679D2" w:rsidP="000679D2">
      <w:r>
        <w:t xml:space="preserve">The reasons for our draft decision are discussed in Section </w:t>
      </w:r>
      <w:r>
        <w:fldChar w:fldCharType="begin"/>
      </w:r>
      <w:r>
        <w:instrText xml:space="preserve"> REF _Ref481501253 \r \h </w:instrText>
      </w:r>
      <w:r>
        <w:fldChar w:fldCharType="separate"/>
      </w:r>
      <w:r w:rsidR="00BB31D1">
        <w:t>13.4</w:t>
      </w:r>
      <w:r>
        <w:fldChar w:fldCharType="end"/>
      </w:r>
      <w:r>
        <w:t xml:space="preserve"> below.</w:t>
      </w:r>
    </w:p>
    <w:p w:rsidR="000679D2" w:rsidRDefault="009356A5" w:rsidP="00E20195">
      <w:r>
        <w:t>Multinet's forecasts are based on work undertaken by its consultant, the National Institute of Economic and Industry Research (NIEIR). W</w:t>
      </w:r>
      <w:r w:rsidR="00E20195">
        <w:t>e have necessarily taken a high level approach to the assessment of</w:t>
      </w:r>
      <w:r w:rsidR="000679D2">
        <w:t xml:space="preserve">, NIEIR's methodology because </w:t>
      </w:r>
      <w:r w:rsidR="00E20195">
        <w:t xml:space="preserve">Multinet </w:t>
      </w:r>
      <w:r w:rsidR="000679D2">
        <w:t xml:space="preserve">did not explain to </w:t>
      </w:r>
      <w:r w:rsidR="00E20195">
        <w:t xml:space="preserve">our satisfaction </w:t>
      </w:r>
      <w:r w:rsidR="000679D2">
        <w:t xml:space="preserve">the particulars of the methodology </w:t>
      </w:r>
      <w:r w:rsidR="00E20195">
        <w:t xml:space="preserve">NIEIR </w:t>
      </w:r>
      <w:r w:rsidR="000679D2">
        <w:t xml:space="preserve">employed or the details of how </w:t>
      </w:r>
      <w:r w:rsidR="00E20195">
        <w:t xml:space="preserve">its </w:t>
      </w:r>
      <w:r w:rsidR="000679D2">
        <w:t xml:space="preserve">forecasts were arrived at. </w:t>
      </w:r>
      <w:r w:rsidR="001A5FD0">
        <w:t xml:space="preserve">This </w:t>
      </w:r>
      <w:r w:rsidR="005D671B">
        <w:t>affected</w:t>
      </w:r>
      <w:r w:rsidR="001A5FD0">
        <w:t xml:space="preserve"> the analysis that </w:t>
      </w:r>
      <w:r w:rsidR="009D641D">
        <w:t>we and our consultants, ACIL Allen, could undertake</w:t>
      </w:r>
      <w:r w:rsidR="001A5FD0">
        <w:t>.</w:t>
      </w:r>
      <w:r w:rsidR="001A5FD0">
        <w:rPr>
          <w:rStyle w:val="FootnoteReference"/>
        </w:rPr>
        <w:footnoteReference w:id="7"/>
      </w:r>
      <w:r w:rsidR="001A5FD0">
        <w:t xml:space="preserve"> </w:t>
      </w:r>
      <w:r w:rsidR="000679D2">
        <w:t xml:space="preserve">This </w:t>
      </w:r>
      <w:r>
        <w:t xml:space="preserve">lack of transparency </w:t>
      </w:r>
      <w:r w:rsidR="000679D2">
        <w:t xml:space="preserve">falls short of the quality of information that we would generally expect to accompany an access arrangement proposal. We would encourage Multinet and NIEIR to reconsider their approach for the purposes of the revised access arrangement proposal and other future review processes. </w:t>
      </w:r>
    </w:p>
    <w:p w:rsidR="000679D2" w:rsidRDefault="000679D2" w:rsidP="000679D2">
      <w:pPr>
        <w:pStyle w:val="Heading2"/>
      </w:pPr>
      <w:bookmarkStart w:id="81" w:name="_Toc482365309"/>
      <w:bookmarkStart w:id="82" w:name="_Toc483292635"/>
      <w:bookmarkStart w:id="83" w:name="_Toc483822705"/>
      <w:bookmarkStart w:id="84" w:name="_Toc485815563"/>
      <w:r>
        <w:t>Multinet's proposal</w:t>
      </w:r>
      <w:bookmarkEnd w:id="81"/>
      <w:bookmarkEnd w:id="82"/>
      <w:bookmarkEnd w:id="83"/>
      <w:bookmarkEnd w:id="84"/>
    </w:p>
    <w:p w:rsidR="000679D2" w:rsidRDefault="000679D2" w:rsidP="00EB4977">
      <w:r>
        <w:t xml:space="preserve">Multinet engaged NIEIR to prepare its demand forecasts for its Victorian network for the 2018–22 access arrangement </w:t>
      </w:r>
      <w:proofErr w:type="gramStart"/>
      <w:r>
        <w:t>period</w:t>
      </w:r>
      <w:proofErr w:type="gramEnd"/>
      <w:r>
        <w:t>. A summary of the key aspects of Multinet</w:t>
      </w:r>
      <w:r w:rsidR="00AB6DD1">
        <w:t>'s</w:t>
      </w:r>
      <w:r>
        <w:t xml:space="preserve"> demand forecasts are set out in </w:t>
      </w:r>
      <w:r w:rsidR="00D112F5">
        <w:fldChar w:fldCharType="begin"/>
      </w:r>
      <w:r w:rsidR="00D112F5">
        <w:instrText xml:space="preserve"> REF _Ref485131014 \h </w:instrText>
      </w:r>
      <w:r w:rsidR="00D112F5">
        <w:fldChar w:fldCharType="separate"/>
      </w:r>
      <w:r w:rsidR="00BB31D1">
        <w:t xml:space="preserve">Table </w:t>
      </w:r>
      <w:r w:rsidR="00BB31D1">
        <w:rPr>
          <w:noProof/>
        </w:rPr>
        <w:t>13</w:t>
      </w:r>
      <w:r w:rsidR="00BB31D1">
        <w:noBreakHyphen/>
      </w:r>
      <w:r w:rsidR="00BB31D1">
        <w:rPr>
          <w:noProof/>
        </w:rPr>
        <w:t>1</w:t>
      </w:r>
      <w:r w:rsidR="00D112F5">
        <w:fldChar w:fldCharType="end"/>
      </w:r>
      <w:r w:rsidR="00D112F5">
        <w:t xml:space="preserve"> </w:t>
      </w:r>
      <w:r>
        <w:t xml:space="preserve">(Tariff V - residential and commercial) and </w:t>
      </w:r>
      <w:r w:rsidR="00D112F5">
        <w:fldChar w:fldCharType="begin"/>
      </w:r>
      <w:r w:rsidR="00D112F5">
        <w:instrText xml:space="preserve"> REF _Ref485131040 \h </w:instrText>
      </w:r>
      <w:r w:rsidR="00D112F5">
        <w:fldChar w:fldCharType="separate"/>
      </w:r>
      <w:r w:rsidR="00BB31D1">
        <w:t xml:space="preserve">Table </w:t>
      </w:r>
      <w:r w:rsidR="00BB31D1">
        <w:rPr>
          <w:noProof/>
        </w:rPr>
        <w:t>13</w:t>
      </w:r>
      <w:r w:rsidR="00BB31D1">
        <w:noBreakHyphen/>
      </w:r>
      <w:r w:rsidR="00BB31D1">
        <w:rPr>
          <w:noProof/>
        </w:rPr>
        <w:t>2</w:t>
      </w:r>
      <w:r w:rsidR="00D112F5">
        <w:fldChar w:fldCharType="end"/>
      </w:r>
      <w:r w:rsidR="00D112F5">
        <w:t xml:space="preserve"> </w:t>
      </w:r>
      <w:r>
        <w:t>(Tariff D and Tariff L)</w:t>
      </w:r>
      <w:r>
        <w:rPr>
          <w:rStyle w:val="CommentReference"/>
        </w:rPr>
        <w:t>.</w:t>
      </w:r>
      <w:r w:rsidRPr="003D574D">
        <w:rPr>
          <w:rStyle w:val="FootnoteReference"/>
        </w:rPr>
        <w:t xml:space="preserve"> </w:t>
      </w:r>
    </w:p>
    <w:p w:rsidR="00D112F5" w:rsidRDefault="00D112F5" w:rsidP="00D112F5">
      <w:pPr>
        <w:pStyle w:val="Caption"/>
      </w:pPr>
      <w:bookmarkStart w:id="85" w:name="_Ref485131014"/>
      <w:r>
        <w:t xml:space="preserve">Table </w:t>
      </w:r>
      <w:fldSimple w:instr=" STYLEREF 1 \s ">
        <w:r w:rsidR="00BB31D1">
          <w:rPr>
            <w:noProof/>
          </w:rPr>
          <w:t>13</w:t>
        </w:r>
      </w:fldSimple>
      <w:r>
        <w:noBreakHyphen/>
      </w:r>
      <w:fldSimple w:instr=" SEQ Table \* ARABIC \s 1 ">
        <w:r w:rsidR="00BB31D1">
          <w:rPr>
            <w:noProof/>
          </w:rPr>
          <w:t>1</w:t>
        </w:r>
      </w:fldSimple>
      <w:bookmarkEnd w:id="85"/>
      <w:r>
        <w:t xml:space="preserve">: </w:t>
      </w:r>
      <w:r w:rsidRPr="002E7AAE">
        <w:t xml:space="preserve">Multinet demand forecasts for Tariff V for the 2018–22 access arrangement </w:t>
      </w:r>
      <w:proofErr w:type="gramStart"/>
      <w:r w:rsidRPr="002E7AAE">
        <w:t>period</w:t>
      </w:r>
      <w:proofErr w:type="gramEnd"/>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0679D2" w:rsidTr="00310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679D2" w:rsidRDefault="000679D2" w:rsidP="000679D2"/>
        </w:tc>
        <w:tc>
          <w:tcPr>
            <w:tcW w:w="1449" w:type="dxa"/>
          </w:tcPr>
          <w:p w:rsidR="000679D2" w:rsidRPr="000679D2" w:rsidRDefault="000679D2" w:rsidP="000679D2">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0679D2" w:rsidRPr="000679D2" w:rsidRDefault="000679D2" w:rsidP="000679D2">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0679D2" w:rsidRPr="000679D2" w:rsidRDefault="000679D2" w:rsidP="000679D2">
            <w:pPr>
              <w:cnfStyle w:val="100000000000" w:firstRow="1" w:lastRow="0" w:firstColumn="0" w:lastColumn="0" w:oddVBand="0" w:evenVBand="0" w:oddHBand="0" w:evenHBand="0" w:firstRowFirstColumn="0" w:firstRowLastColumn="0" w:lastRowFirstColumn="0" w:lastRowLastColumn="0"/>
            </w:pPr>
            <w:r>
              <w:t>2020</w:t>
            </w:r>
          </w:p>
        </w:tc>
        <w:tc>
          <w:tcPr>
            <w:tcW w:w="1449" w:type="dxa"/>
          </w:tcPr>
          <w:p w:rsidR="000679D2" w:rsidRPr="000679D2" w:rsidRDefault="000679D2" w:rsidP="000679D2">
            <w:pPr>
              <w:cnfStyle w:val="100000000000" w:firstRow="1" w:lastRow="0" w:firstColumn="0" w:lastColumn="0" w:oddVBand="0" w:evenVBand="0" w:oddHBand="0" w:evenHBand="0" w:firstRowFirstColumn="0" w:firstRowLastColumn="0" w:lastRowFirstColumn="0" w:lastRowLastColumn="0"/>
            </w:pPr>
            <w:r>
              <w:t>2021</w:t>
            </w:r>
          </w:p>
        </w:tc>
        <w:tc>
          <w:tcPr>
            <w:tcW w:w="1449" w:type="dxa"/>
          </w:tcPr>
          <w:p w:rsidR="000679D2" w:rsidRPr="000679D2" w:rsidRDefault="000679D2" w:rsidP="000679D2">
            <w:pPr>
              <w:cnfStyle w:val="100000000000" w:firstRow="1" w:lastRow="0" w:firstColumn="0" w:lastColumn="0" w:oddVBand="0" w:evenVBand="0" w:oddHBand="0" w:evenHBand="0" w:firstRowFirstColumn="0" w:firstRowLastColumn="0" w:lastRowFirstColumn="0" w:lastRowLastColumn="0"/>
            </w:pPr>
            <w:r>
              <w:t>2022</w:t>
            </w:r>
          </w:p>
        </w:tc>
      </w:tr>
      <w:tr w:rsidR="000679D2" w:rsidTr="00310221">
        <w:tc>
          <w:tcPr>
            <w:cnfStyle w:val="001000000000" w:firstRow="0" w:lastRow="0" w:firstColumn="1" w:lastColumn="0" w:oddVBand="0" w:evenVBand="0" w:oddHBand="0" w:evenHBand="0" w:firstRowFirstColumn="0" w:firstRowLastColumn="0" w:lastRowFirstColumn="0" w:lastRowLastColumn="0"/>
            <w:tcW w:w="1448" w:type="dxa"/>
          </w:tcPr>
          <w:p w:rsidR="000679D2" w:rsidRPr="000679D2" w:rsidRDefault="00BE77F0" w:rsidP="000679D2">
            <w:r>
              <w:t>R</w:t>
            </w:r>
            <w:r w:rsidR="000679D2" w:rsidRPr="000679D2">
              <w:t xml:space="preserve">esidential connections </w:t>
            </w:r>
            <w:r w:rsidR="000679D2" w:rsidRPr="000679D2">
              <w:rPr>
                <w:rStyle w:val="AERsuperscript"/>
              </w:rPr>
              <w:t>a</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685,064</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688,840</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692,594</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696,332</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699,910</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679D2" w:rsidRPr="000679D2" w:rsidRDefault="000679D2" w:rsidP="000679D2">
            <w:r>
              <w:t>Residential c</w:t>
            </w:r>
            <w:r w:rsidRPr="000679D2">
              <w:t>onsumption per connection (GJ)</w:t>
            </w:r>
            <w:r w:rsidRPr="000679D2">
              <w:rPr>
                <w:rStyle w:val="AERsuperscript"/>
              </w:rPr>
              <w:t xml:space="preserve"> a</w:t>
            </w:r>
          </w:p>
        </w:tc>
        <w:tc>
          <w:tcPr>
            <w:tcW w:w="1449" w:type="dxa"/>
          </w:tcPr>
          <w:p w:rsidR="000679D2" w:rsidRPr="000679D2" w:rsidRDefault="000679D2" w:rsidP="000679D2">
            <w:pPr>
              <w:cnfStyle w:val="000000010000" w:firstRow="0" w:lastRow="0" w:firstColumn="0" w:lastColumn="0" w:oddVBand="0" w:evenVBand="0" w:oddHBand="0" w:evenHBand="1" w:firstRowFirstColumn="0" w:firstRowLastColumn="0" w:lastRowFirstColumn="0" w:lastRowLastColumn="0"/>
            </w:pPr>
            <w:r>
              <w:t>55.2</w:t>
            </w:r>
          </w:p>
        </w:tc>
        <w:tc>
          <w:tcPr>
            <w:tcW w:w="1449" w:type="dxa"/>
          </w:tcPr>
          <w:p w:rsidR="000679D2" w:rsidRPr="000679D2" w:rsidRDefault="000679D2" w:rsidP="000679D2">
            <w:pPr>
              <w:cnfStyle w:val="000000010000" w:firstRow="0" w:lastRow="0" w:firstColumn="0" w:lastColumn="0" w:oddVBand="0" w:evenVBand="0" w:oddHBand="0" w:evenHBand="1" w:firstRowFirstColumn="0" w:firstRowLastColumn="0" w:lastRowFirstColumn="0" w:lastRowLastColumn="0"/>
            </w:pPr>
            <w:r>
              <w:t>54.3</w:t>
            </w:r>
          </w:p>
        </w:tc>
        <w:tc>
          <w:tcPr>
            <w:tcW w:w="1449" w:type="dxa"/>
          </w:tcPr>
          <w:p w:rsidR="000679D2" w:rsidRPr="000679D2" w:rsidRDefault="000679D2" w:rsidP="000679D2">
            <w:pPr>
              <w:cnfStyle w:val="000000010000" w:firstRow="0" w:lastRow="0" w:firstColumn="0" w:lastColumn="0" w:oddVBand="0" w:evenVBand="0" w:oddHBand="0" w:evenHBand="1" w:firstRowFirstColumn="0" w:firstRowLastColumn="0" w:lastRowFirstColumn="0" w:lastRowLastColumn="0"/>
            </w:pPr>
            <w:r>
              <w:t>53.5</w:t>
            </w:r>
          </w:p>
        </w:tc>
        <w:tc>
          <w:tcPr>
            <w:tcW w:w="1449" w:type="dxa"/>
          </w:tcPr>
          <w:p w:rsidR="000679D2" w:rsidRPr="000679D2" w:rsidRDefault="000679D2" w:rsidP="000679D2">
            <w:pPr>
              <w:cnfStyle w:val="000000010000" w:firstRow="0" w:lastRow="0" w:firstColumn="0" w:lastColumn="0" w:oddVBand="0" w:evenVBand="0" w:oddHBand="0" w:evenHBand="1" w:firstRowFirstColumn="0" w:firstRowLastColumn="0" w:lastRowFirstColumn="0" w:lastRowLastColumn="0"/>
            </w:pPr>
            <w:r>
              <w:t>52.6</w:t>
            </w:r>
          </w:p>
        </w:tc>
        <w:tc>
          <w:tcPr>
            <w:tcW w:w="1449" w:type="dxa"/>
          </w:tcPr>
          <w:p w:rsidR="000679D2" w:rsidRPr="000679D2" w:rsidRDefault="000679D2" w:rsidP="000679D2">
            <w:pPr>
              <w:cnfStyle w:val="000000010000" w:firstRow="0" w:lastRow="0" w:firstColumn="0" w:lastColumn="0" w:oddVBand="0" w:evenVBand="0" w:oddHBand="0" w:evenHBand="1" w:firstRowFirstColumn="0" w:firstRowLastColumn="0" w:lastRowFirstColumn="0" w:lastRowLastColumn="0"/>
            </w:pPr>
            <w:r>
              <w:t>51.8</w:t>
            </w:r>
          </w:p>
        </w:tc>
      </w:tr>
      <w:tr w:rsidR="000679D2" w:rsidTr="00310221">
        <w:tc>
          <w:tcPr>
            <w:cnfStyle w:val="001000000000" w:firstRow="0" w:lastRow="0" w:firstColumn="1" w:lastColumn="0" w:oddVBand="0" w:evenVBand="0" w:oddHBand="0" w:evenHBand="0" w:firstRowFirstColumn="0" w:firstRowLastColumn="0" w:lastRowFirstColumn="0" w:lastRowLastColumn="0"/>
            <w:tcW w:w="1448" w:type="dxa"/>
          </w:tcPr>
          <w:p w:rsidR="000679D2" w:rsidRPr="000679D2" w:rsidRDefault="000679D2" w:rsidP="000679D2">
            <w:r>
              <w:t xml:space="preserve">Residential </w:t>
            </w:r>
            <w:r w:rsidRPr="000679D2">
              <w:t>Demand (TJ)</w:t>
            </w:r>
            <w:r w:rsidRPr="000679D2">
              <w:rPr>
                <w:rStyle w:val="AERsuperscript"/>
              </w:rPr>
              <w:t xml:space="preserve"> a</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37,810</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37,421</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37,061</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36,620</w:t>
            </w:r>
          </w:p>
        </w:tc>
        <w:tc>
          <w:tcPr>
            <w:tcW w:w="1449" w:type="dxa"/>
          </w:tcPr>
          <w:p w:rsidR="000679D2" w:rsidRPr="000679D2" w:rsidRDefault="000679D2" w:rsidP="000679D2">
            <w:pPr>
              <w:cnfStyle w:val="000000000000" w:firstRow="0" w:lastRow="0" w:firstColumn="0" w:lastColumn="0" w:oddVBand="0" w:evenVBand="0" w:oddHBand="0" w:evenHBand="0" w:firstRowFirstColumn="0" w:firstRowLastColumn="0" w:lastRowFirstColumn="0" w:lastRowLastColumn="0"/>
            </w:pPr>
            <w:r>
              <w:t>36,222</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679D2" w:rsidRDefault="00BE77F0" w:rsidP="000679D2">
            <w:r>
              <w:t>C</w:t>
            </w:r>
            <w:r w:rsidR="000679D2">
              <w:t>ommercial connections</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15,524</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15,388</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15,290</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14,974</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14,898</w:t>
            </w:r>
          </w:p>
        </w:tc>
      </w:tr>
      <w:tr w:rsidR="000679D2" w:rsidTr="00310221">
        <w:tc>
          <w:tcPr>
            <w:cnfStyle w:val="001000000000" w:firstRow="0" w:lastRow="0" w:firstColumn="1" w:lastColumn="0" w:oddVBand="0" w:evenVBand="0" w:oddHBand="0" w:evenHBand="0" w:firstRowFirstColumn="0" w:firstRowLastColumn="0" w:lastRowFirstColumn="0" w:lastRowLastColumn="0"/>
            <w:tcW w:w="1448" w:type="dxa"/>
          </w:tcPr>
          <w:p w:rsidR="000679D2" w:rsidRDefault="000679D2" w:rsidP="000679D2">
            <w:r>
              <w:t>Commercial consumption per connection (GJ)</w:t>
            </w:r>
          </w:p>
        </w:tc>
        <w:tc>
          <w:tcPr>
            <w:tcW w:w="1449" w:type="dxa"/>
          </w:tcPr>
          <w:p w:rsidR="000679D2" w:rsidRDefault="000679D2" w:rsidP="000679D2">
            <w:pPr>
              <w:cnfStyle w:val="000000000000" w:firstRow="0" w:lastRow="0" w:firstColumn="0" w:lastColumn="0" w:oddVBand="0" w:evenVBand="0" w:oddHBand="0" w:evenHBand="0" w:firstRowFirstColumn="0" w:firstRowLastColumn="0" w:lastRowFirstColumn="0" w:lastRowLastColumn="0"/>
            </w:pPr>
            <w:r>
              <w:t>311</w:t>
            </w:r>
          </w:p>
        </w:tc>
        <w:tc>
          <w:tcPr>
            <w:tcW w:w="1449" w:type="dxa"/>
          </w:tcPr>
          <w:p w:rsidR="000679D2" w:rsidRDefault="000679D2" w:rsidP="000679D2">
            <w:pPr>
              <w:cnfStyle w:val="000000000000" w:firstRow="0" w:lastRow="0" w:firstColumn="0" w:lastColumn="0" w:oddVBand="0" w:evenVBand="0" w:oddHBand="0" w:evenHBand="0" w:firstRowFirstColumn="0" w:firstRowLastColumn="0" w:lastRowFirstColumn="0" w:lastRowLastColumn="0"/>
            </w:pPr>
            <w:r>
              <w:t>306</w:t>
            </w:r>
          </w:p>
        </w:tc>
        <w:tc>
          <w:tcPr>
            <w:tcW w:w="1449" w:type="dxa"/>
          </w:tcPr>
          <w:p w:rsidR="000679D2" w:rsidRDefault="000679D2" w:rsidP="000679D2">
            <w:pPr>
              <w:cnfStyle w:val="000000000000" w:firstRow="0" w:lastRow="0" w:firstColumn="0" w:lastColumn="0" w:oddVBand="0" w:evenVBand="0" w:oddHBand="0" w:evenHBand="0" w:firstRowFirstColumn="0" w:firstRowLastColumn="0" w:lastRowFirstColumn="0" w:lastRowLastColumn="0"/>
            </w:pPr>
            <w:r>
              <w:t>300</w:t>
            </w:r>
          </w:p>
        </w:tc>
        <w:tc>
          <w:tcPr>
            <w:tcW w:w="1449" w:type="dxa"/>
          </w:tcPr>
          <w:p w:rsidR="000679D2" w:rsidRDefault="000679D2" w:rsidP="000679D2">
            <w:pPr>
              <w:cnfStyle w:val="000000000000" w:firstRow="0" w:lastRow="0" w:firstColumn="0" w:lastColumn="0" w:oddVBand="0" w:evenVBand="0" w:oddHBand="0" w:evenHBand="0" w:firstRowFirstColumn="0" w:firstRowLastColumn="0" w:lastRowFirstColumn="0" w:lastRowLastColumn="0"/>
            </w:pPr>
            <w:r>
              <w:t>297</w:t>
            </w:r>
          </w:p>
        </w:tc>
        <w:tc>
          <w:tcPr>
            <w:tcW w:w="1449" w:type="dxa"/>
          </w:tcPr>
          <w:p w:rsidR="000679D2" w:rsidRDefault="000679D2" w:rsidP="000679D2">
            <w:pPr>
              <w:cnfStyle w:val="000000000000" w:firstRow="0" w:lastRow="0" w:firstColumn="0" w:lastColumn="0" w:oddVBand="0" w:evenVBand="0" w:oddHBand="0" w:evenHBand="0" w:firstRowFirstColumn="0" w:firstRowLastColumn="0" w:lastRowFirstColumn="0" w:lastRowLastColumn="0"/>
            </w:pPr>
            <w:r>
              <w:t>291</w:t>
            </w:r>
          </w:p>
        </w:tc>
      </w:tr>
      <w:tr w:rsidR="000679D2" w:rsidTr="003102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679D2" w:rsidRDefault="000679D2" w:rsidP="000679D2">
            <w:r>
              <w:t>Commercial Demand (TJ)</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4,832</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4,712</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4,588</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4,448</w:t>
            </w:r>
          </w:p>
        </w:tc>
        <w:tc>
          <w:tcPr>
            <w:tcW w:w="1449" w:type="dxa"/>
          </w:tcPr>
          <w:p w:rsidR="000679D2" w:rsidRDefault="000679D2" w:rsidP="000679D2">
            <w:pPr>
              <w:cnfStyle w:val="000000010000" w:firstRow="0" w:lastRow="0" w:firstColumn="0" w:lastColumn="0" w:oddVBand="0" w:evenVBand="0" w:oddHBand="0" w:evenHBand="1" w:firstRowFirstColumn="0" w:firstRowLastColumn="0" w:lastRowFirstColumn="0" w:lastRowLastColumn="0"/>
            </w:pPr>
            <w:r>
              <w:t>4,334</w:t>
            </w:r>
          </w:p>
        </w:tc>
      </w:tr>
    </w:tbl>
    <w:p w:rsidR="000679D2" w:rsidRDefault="000679D2" w:rsidP="000679D2">
      <w:pPr>
        <w:pStyle w:val="AERtablesource"/>
      </w:pPr>
      <w:bookmarkStart w:id="86" w:name="_Ref483222681"/>
      <w:r>
        <w:t>Source: Multinet Access Arrangement Information - Demand forecasts as proposed.</w:t>
      </w:r>
      <w:r>
        <w:rPr>
          <w:rStyle w:val="FootnoteReference"/>
        </w:rPr>
        <w:footnoteReference w:id="8"/>
      </w:r>
    </w:p>
    <w:p w:rsidR="000679D2" w:rsidRDefault="000679D2" w:rsidP="000679D2">
      <w:pPr>
        <w:pStyle w:val="AERtablesource"/>
      </w:pPr>
      <w:r>
        <w:t>Notes: a. these values include the impact of Multinet marketing step change</w:t>
      </w:r>
    </w:p>
    <w:p w:rsidR="000679D2" w:rsidRDefault="000679D2" w:rsidP="00AB6DD1">
      <w:pPr>
        <w:pStyle w:val="Caption"/>
      </w:pPr>
      <w:bookmarkStart w:id="87" w:name="_Ref485131040"/>
      <w:r>
        <w:t xml:space="preserve">Table </w:t>
      </w:r>
      <w:fldSimple w:instr=" STYLEREF 1 \s ">
        <w:r w:rsidR="00BB31D1">
          <w:rPr>
            <w:noProof/>
          </w:rPr>
          <w:t>13</w:t>
        </w:r>
      </w:fldSimple>
      <w:r w:rsidR="00D112F5">
        <w:noBreakHyphen/>
      </w:r>
      <w:fldSimple w:instr=" SEQ Table \* ARABIC \s 1 ">
        <w:r w:rsidR="00BB31D1">
          <w:rPr>
            <w:noProof/>
          </w:rPr>
          <w:t>2</w:t>
        </w:r>
      </w:fldSimple>
      <w:bookmarkEnd w:id="86"/>
      <w:bookmarkEnd w:id="87"/>
      <w:r>
        <w:t>: Multinet</w:t>
      </w:r>
      <w:r w:rsidRPr="005E289B">
        <w:t xml:space="preserve"> demand forecasts for Tariff </w:t>
      </w:r>
      <w:r>
        <w:t>D and Tariff L</w:t>
      </w:r>
      <w:r w:rsidRPr="005E289B">
        <w:t xml:space="preserve"> </w:t>
      </w:r>
      <w:r>
        <w:t xml:space="preserve">MHQ </w:t>
      </w:r>
      <w:r w:rsidRPr="005E289B">
        <w:t xml:space="preserve">for the 2018–22 access arrangement </w:t>
      </w:r>
      <w:proofErr w:type="gramStart"/>
      <w:r w:rsidRPr="005E289B">
        <w:t>period</w:t>
      </w:r>
      <w:proofErr w:type="gramEnd"/>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0679D2" w:rsidTr="00310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679D2" w:rsidRDefault="000679D2" w:rsidP="004C24AF">
            <w:pPr>
              <w:keepNext/>
              <w:rPr>
                <w:rFonts w:eastAsiaTheme="minorHAnsi" w:cstheme="minorBidi"/>
                <w:b w:val="0"/>
                <w:color w:val="auto"/>
                <w:sz w:val="22"/>
                <w:szCs w:val="22"/>
                <w:lang w:eastAsia="en-US"/>
              </w:rPr>
            </w:pPr>
          </w:p>
        </w:tc>
        <w:tc>
          <w:tcPr>
            <w:tcW w:w="1449" w:type="dxa"/>
          </w:tcPr>
          <w:p w:rsidR="000679D2" w:rsidRPr="000679D2" w:rsidRDefault="000679D2" w:rsidP="004C24AF">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2018</w:t>
            </w:r>
          </w:p>
        </w:tc>
        <w:tc>
          <w:tcPr>
            <w:tcW w:w="1449" w:type="dxa"/>
          </w:tcPr>
          <w:p w:rsidR="000679D2" w:rsidRPr="000679D2" w:rsidRDefault="000679D2" w:rsidP="004C24AF">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2019</w:t>
            </w:r>
          </w:p>
        </w:tc>
        <w:tc>
          <w:tcPr>
            <w:tcW w:w="1449" w:type="dxa"/>
          </w:tcPr>
          <w:p w:rsidR="000679D2" w:rsidRPr="000679D2" w:rsidRDefault="000679D2" w:rsidP="004C24AF">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2020</w:t>
            </w:r>
          </w:p>
        </w:tc>
        <w:tc>
          <w:tcPr>
            <w:tcW w:w="1449" w:type="dxa"/>
          </w:tcPr>
          <w:p w:rsidR="000679D2" w:rsidRPr="000679D2" w:rsidRDefault="000679D2" w:rsidP="004C24AF">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2021</w:t>
            </w:r>
          </w:p>
        </w:tc>
        <w:tc>
          <w:tcPr>
            <w:tcW w:w="1449" w:type="dxa"/>
          </w:tcPr>
          <w:p w:rsidR="000679D2" w:rsidRPr="000679D2" w:rsidRDefault="000679D2" w:rsidP="004C24AF">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2022</w:t>
            </w:r>
          </w:p>
        </w:tc>
      </w:tr>
      <w:tr w:rsidR="000679D2" w:rsidTr="00310221">
        <w:tc>
          <w:tcPr>
            <w:cnfStyle w:val="001000000000" w:firstRow="0" w:lastRow="0" w:firstColumn="1" w:lastColumn="0" w:oddVBand="0" w:evenVBand="0" w:oddHBand="0" w:evenHBand="0" w:firstRowFirstColumn="0" w:firstRowLastColumn="0" w:lastRowFirstColumn="0" w:lastRowLastColumn="0"/>
            <w:tcW w:w="1448" w:type="dxa"/>
          </w:tcPr>
          <w:p w:rsidR="000679D2" w:rsidRPr="000679D2" w:rsidRDefault="000679D2" w:rsidP="004C24AF">
            <w:pPr>
              <w:keepNext/>
              <w:rPr>
                <w:rFonts w:eastAsiaTheme="minorHAnsi" w:cstheme="minorBidi"/>
                <w:sz w:val="22"/>
                <w:szCs w:val="22"/>
                <w:lang w:eastAsia="en-US"/>
              </w:rPr>
            </w:pPr>
            <w:r>
              <w:t>Demand</w:t>
            </w:r>
            <w:r w:rsidRPr="000679D2">
              <w:t xml:space="preserve"> (MHQs - GJ/</w:t>
            </w:r>
            <w:proofErr w:type="spellStart"/>
            <w:r w:rsidRPr="000679D2">
              <w:t>hr</w:t>
            </w:r>
            <w:proofErr w:type="spellEnd"/>
            <w:r w:rsidRPr="000679D2">
              <w:t>)</w:t>
            </w:r>
          </w:p>
        </w:tc>
        <w:tc>
          <w:tcPr>
            <w:tcW w:w="1449" w:type="dxa"/>
          </w:tcPr>
          <w:p w:rsidR="000679D2" w:rsidRPr="000679D2" w:rsidRDefault="000679D2" w:rsidP="004C24AF">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3,672</w:t>
            </w:r>
          </w:p>
        </w:tc>
        <w:tc>
          <w:tcPr>
            <w:tcW w:w="1449" w:type="dxa"/>
          </w:tcPr>
          <w:p w:rsidR="000679D2" w:rsidRPr="000679D2" w:rsidRDefault="000679D2" w:rsidP="004C24AF">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3,638</w:t>
            </w:r>
          </w:p>
        </w:tc>
        <w:tc>
          <w:tcPr>
            <w:tcW w:w="1449" w:type="dxa"/>
          </w:tcPr>
          <w:p w:rsidR="000679D2" w:rsidRPr="000679D2" w:rsidRDefault="000679D2" w:rsidP="004C24AF">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3,599</w:t>
            </w:r>
          </w:p>
        </w:tc>
        <w:tc>
          <w:tcPr>
            <w:tcW w:w="1449" w:type="dxa"/>
          </w:tcPr>
          <w:p w:rsidR="000679D2" w:rsidRPr="000679D2" w:rsidRDefault="000679D2" w:rsidP="004C24AF">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3,578</w:t>
            </w:r>
          </w:p>
        </w:tc>
        <w:tc>
          <w:tcPr>
            <w:tcW w:w="1449" w:type="dxa"/>
          </w:tcPr>
          <w:p w:rsidR="000679D2" w:rsidRPr="000679D2" w:rsidRDefault="000679D2" w:rsidP="004C24AF">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3,545</w:t>
            </w:r>
          </w:p>
        </w:tc>
      </w:tr>
    </w:tbl>
    <w:p w:rsidR="000679D2" w:rsidRDefault="000679D2" w:rsidP="004C24AF">
      <w:pPr>
        <w:pStyle w:val="AERtablesource"/>
        <w:keepNext/>
      </w:pPr>
      <w:r>
        <w:t>Source Multinet Access Arrangement Information - Demand forecasts as proposed.</w:t>
      </w:r>
      <w:r>
        <w:rPr>
          <w:rStyle w:val="FootnoteReference"/>
        </w:rPr>
        <w:footnoteReference w:id="9"/>
      </w:r>
    </w:p>
    <w:p w:rsidR="000679D2" w:rsidRPr="00CC0166" w:rsidRDefault="000679D2" w:rsidP="004C24AF">
      <w:pPr>
        <w:pStyle w:val="AERtablesource"/>
        <w:keepNext/>
      </w:pPr>
      <w:r>
        <w:t>Note: these values include the aggregate of Tariff D and Tariff L in MHQs GJ/hr.</w:t>
      </w:r>
    </w:p>
    <w:p w:rsidR="000679D2" w:rsidRDefault="000679D2" w:rsidP="000679D2">
      <w:r>
        <w:t xml:space="preserve">Multinet made a post-model adjustment to account for the impact on the demand forecasts of its proposed marketing program. The values in </w:t>
      </w:r>
      <w:r w:rsidR="00962925">
        <w:fldChar w:fldCharType="begin"/>
      </w:r>
      <w:r w:rsidR="00962925">
        <w:instrText xml:space="preserve"> REF _Ref485131014 \h </w:instrText>
      </w:r>
      <w:r w:rsidR="00962925">
        <w:fldChar w:fldCharType="separate"/>
      </w:r>
      <w:r w:rsidR="00BB31D1">
        <w:t xml:space="preserve">Table </w:t>
      </w:r>
      <w:r w:rsidR="00BB31D1">
        <w:rPr>
          <w:noProof/>
        </w:rPr>
        <w:t>13</w:t>
      </w:r>
      <w:r w:rsidR="00BB31D1">
        <w:noBreakHyphen/>
      </w:r>
      <w:r w:rsidR="00BB31D1">
        <w:rPr>
          <w:noProof/>
        </w:rPr>
        <w:t>1</w:t>
      </w:r>
      <w:r w:rsidR="00962925">
        <w:fldChar w:fldCharType="end"/>
      </w:r>
      <w:r>
        <w:t xml:space="preserve"> include this impact which represents an estimate that 5 per cent of appliance rebates will result in new connections.</w:t>
      </w:r>
      <w:r>
        <w:rPr>
          <w:rStyle w:val="FootnoteReference"/>
        </w:rPr>
        <w:footnoteReference w:id="10"/>
      </w:r>
      <w:r>
        <w:t xml:space="preserve"> This leads to an incremental increase of 0.78 per cent of residential demand and approximately 1,400 net new connections.</w:t>
      </w:r>
      <w:r>
        <w:rPr>
          <w:rStyle w:val="FootnoteReference"/>
        </w:rPr>
        <w:footnoteReference w:id="11"/>
      </w:r>
      <w:r>
        <w:t xml:space="preserve"> </w:t>
      </w:r>
    </w:p>
    <w:p w:rsidR="000679D2" w:rsidRDefault="000679D2" w:rsidP="000679D2">
      <w:r>
        <w:t>In summary, Multinet’s proposed forecast for:</w:t>
      </w:r>
    </w:p>
    <w:p w:rsidR="000679D2" w:rsidRDefault="000679D2" w:rsidP="000679D2">
      <w:pPr>
        <w:pStyle w:val="AERbulletlistfirststyle"/>
      </w:pPr>
      <w:proofErr w:type="gramStart"/>
      <w:r>
        <w:t>total</w:t>
      </w:r>
      <w:proofErr w:type="gramEnd"/>
      <w:r>
        <w:t xml:space="preserve"> residential Tariff V demand decreases by around 1 per cent per year over the 2018–22 access arrangement period.</w:t>
      </w:r>
      <w:r>
        <w:rPr>
          <w:rStyle w:val="FootnoteReference"/>
        </w:rPr>
        <w:footnoteReference w:id="12"/>
      </w:r>
      <w:r>
        <w:t xml:space="preserve"> This compares to a 1 per cent per year decline in the </w:t>
      </w:r>
      <w:r w:rsidR="00AB6DD1">
        <w:t xml:space="preserve">current </w:t>
      </w:r>
      <w:r>
        <w:t xml:space="preserve">access arrangement period. </w:t>
      </w:r>
      <w:r w:rsidR="00E86805">
        <w:t>The residential demand forecast is</w:t>
      </w:r>
      <w:r>
        <w:t xml:space="preserve"> </w:t>
      </w:r>
      <w:r w:rsidR="00E86805">
        <w:t>a result of a</w:t>
      </w:r>
      <w:r>
        <w:t xml:space="preserve"> </w:t>
      </w:r>
      <w:r w:rsidR="00E86805">
        <w:t>forecast reduction</w:t>
      </w:r>
      <w:r>
        <w:t xml:space="preserve"> in consumption per connection of 1.6 per cent per year being offset by net customer growth of 0.5 per cent per year.</w:t>
      </w:r>
      <w:r>
        <w:rPr>
          <w:rStyle w:val="FootnoteReference"/>
        </w:rPr>
        <w:footnoteReference w:id="13"/>
      </w:r>
    </w:p>
    <w:p w:rsidR="000679D2" w:rsidRDefault="000679D2" w:rsidP="000679D2">
      <w:pPr>
        <w:pStyle w:val="AERbulletlistfirststyle"/>
      </w:pPr>
      <w:proofErr w:type="gramStart"/>
      <w:r>
        <w:t>total</w:t>
      </w:r>
      <w:proofErr w:type="gramEnd"/>
      <w:r>
        <w:t xml:space="preserve"> commercial demand decreases by 2.7 per cent over the 2018–22 access arrangement period. This compares to a decline of 2.5 per cent per year in the </w:t>
      </w:r>
      <w:r w:rsidR="00AB6DD1">
        <w:t xml:space="preserve">current </w:t>
      </w:r>
      <w:r>
        <w:t>access arrangement period.</w:t>
      </w:r>
    </w:p>
    <w:p w:rsidR="000679D2" w:rsidRDefault="000679D2" w:rsidP="000679D2">
      <w:pPr>
        <w:pStyle w:val="AERbulletlistfirststyle"/>
      </w:pPr>
      <w:proofErr w:type="gramStart"/>
      <w:r>
        <w:t>industrial</w:t>
      </w:r>
      <w:proofErr w:type="gramEnd"/>
      <w:r>
        <w:t xml:space="preserve"> demand (Tariff D and L) decreases by 0.9 per cent over the 2018–22 access arrangement period.</w:t>
      </w:r>
      <w:r w:rsidRPr="00C20904">
        <w:t xml:space="preserve"> </w:t>
      </w:r>
      <w:r>
        <w:t xml:space="preserve">This compares to an increase of 0.5 per cent per year in the </w:t>
      </w:r>
      <w:r w:rsidR="00AB6DD1">
        <w:t xml:space="preserve">current </w:t>
      </w:r>
      <w:r>
        <w:t xml:space="preserve">access arrangement period. </w:t>
      </w:r>
    </w:p>
    <w:p w:rsidR="000679D2" w:rsidRPr="00A33E04" w:rsidRDefault="000679D2" w:rsidP="004C24AF">
      <w:pPr>
        <w:pStyle w:val="Heading3"/>
        <w:ind w:left="720"/>
      </w:pPr>
      <w:bookmarkStart w:id="88" w:name="_Toc483485205"/>
      <w:bookmarkStart w:id="89" w:name="_Toc483292636"/>
      <w:bookmarkStart w:id="90" w:name="_Toc483822706"/>
      <w:bookmarkStart w:id="91" w:name="_Toc485815564"/>
      <w:bookmarkEnd w:id="88"/>
      <w:r>
        <w:t>Forecasting methodology</w:t>
      </w:r>
      <w:bookmarkEnd w:id="89"/>
      <w:bookmarkEnd w:id="90"/>
      <w:bookmarkEnd w:id="91"/>
    </w:p>
    <w:p w:rsidR="000679D2" w:rsidRDefault="000679D2" w:rsidP="000679D2">
      <w:r>
        <w:t>The forecasts for Tariff V residential gas demand were derived by multiplying the forecast of net residential customer numbers by the forecast residential consumption per connection.</w:t>
      </w:r>
      <w:r>
        <w:rPr>
          <w:rStyle w:val="FootnoteReference"/>
        </w:rPr>
        <w:footnoteReference w:id="14"/>
      </w:r>
      <w:r>
        <w:t xml:space="preserve"> </w:t>
      </w:r>
    </w:p>
    <w:p w:rsidR="000679D2" w:rsidRDefault="000679D2" w:rsidP="000679D2">
      <w:r>
        <w:t>The methodology for Tariff V commercial demand was based on an econometric commercial equation which uses commercial output and real gas prices to forecast demand. NIEIR's modelling methodology relies heavily on its own economic and energy model which produces forecasts of population, dwelling stock growth and estimates of gross regional product at the Local Government Area (LGA) level. As noted above, NIEIR’s methodology</w:t>
      </w:r>
      <w:r w:rsidR="00D509AF">
        <w:t xml:space="preserve"> does not have the degree of transparency that we consider necessary to evaluate the particulars of that methodology, and accordingly, our assessment has had to proceed at a high level. </w:t>
      </w:r>
    </w:p>
    <w:p w:rsidR="000679D2" w:rsidRDefault="000679D2" w:rsidP="000679D2">
      <w:pPr>
        <w:pStyle w:val="Heading4"/>
      </w:pPr>
      <w:r>
        <w:t>Forecasting of Tariff V residential connections numbers</w:t>
      </w:r>
    </w:p>
    <w:p w:rsidR="000679D2" w:rsidRDefault="000679D2" w:rsidP="000679D2">
      <w:r>
        <w:t xml:space="preserve">On the available information, Multinet's residential connection numbers were forecast by estimating that 34 to 47 per cent of new dwellings </w:t>
      </w:r>
      <w:r w:rsidR="000932F3">
        <w:t xml:space="preserve">are </w:t>
      </w:r>
      <w:r w:rsidR="00E86805">
        <w:t>expected</w:t>
      </w:r>
      <w:r>
        <w:t xml:space="preserve"> to connect to gas</w:t>
      </w:r>
      <w:r w:rsidRPr="00831C72">
        <w:t xml:space="preserve"> </w:t>
      </w:r>
      <w:r>
        <w:t>over 2018-22 access arrangement period.</w:t>
      </w:r>
      <w:r>
        <w:rPr>
          <w:rStyle w:val="FootnoteReference"/>
        </w:rPr>
        <w:footnoteReference w:id="15"/>
      </w:r>
      <w:r>
        <w:t xml:space="preserve"> The new dwelling forecast is based on NIEIR's own model projections.</w:t>
      </w:r>
      <w:r>
        <w:rPr>
          <w:rStyle w:val="FootnoteReference"/>
        </w:rPr>
        <w:footnoteReference w:id="16"/>
      </w:r>
    </w:p>
    <w:p w:rsidR="000679D2" w:rsidRDefault="000679D2" w:rsidP="000679D2">
      <w:pPr>
        <w:pStyle w:val="Heading4"/>
      </w:pPr>
      <w:r>
        <w:t>F</w:t>
      </w:r>
      <w:r w:rsidRPr="00A33E04">
        <w:t xml:space="preserve">orecasting of Tariff V </w:t>
      </w:r>
      <w:r>
        <w:t xml:space="preserve">residential </w:t>
      </w:r>
      <w:r w:rsidRPr="00A33E04">
        <w:t>consumption per connection</w:t>
      </w:r>
    </w:p>
    <w:p w:rsidR="000679D2" w:rsidRPr="001426B1" w:rsidRDefault="000679D2" w:rsidP="000679D2">
      <w:r>
        <w:t>NIEIR used its own model to project residential consumption per connection which is undertaken separately for existing and new connections.</w:t>
      </w:r>
      <w:r w:rsidRPr="00F37EBD">
        <w:rPr>
          <w:rStyle w:val="FootnoteReference"/>
        </w:rPr>
        <w:t xml:space="preserve"> </w:t>
      </w:r>
      <w:r>
        <w:rPr>
          <w:rStyle w:val="FootnoteReference"/>
        </w:rPr>
        <w:footnoteReference w:id="17"/>
      </w:r>
      <w:r>
        <w:t xml:space="preserve"> In its model, annual consumption per connection is a function of real household income per capita, real energy gas prices, </w:t>
      </w:r>
      <w:proofErr w:type="gramStart"/>
      <w:r>
        <w:t>climate change</w:t>
      </w:r>
      <w:r>
        <w:rPr>
          <w:rStyle w:val="FootnoteReference"/>
        </w:rPr>
        <w:footnoteReference w:id="18"/>
      </w:r>
      <w:r>
        <w:t xml:space="preserve"> and government policy</w:t>
      </w:r>
      <w:r>
        <w:rPr>
          <w:rStyle w:val="FootnoteReference"/>
        </w:rPr>
        <w:footnoteReference w:id="19"/>
      </w:r>
      <w:proofErr w:type="gramEnd"/>
      <w:r>
        <w:t xml:space="preserve"> responses.</w:t>
      </w:r>
      <w:r>
        <w:rPr>
          <w:rStyle w:val="FootnoteReference"/>
        </w:rPr>
        <w:footnoteReference w:id="20"/>
      </w:r>
      <w:r>
        <w:t xml:space="preserve"> Weather was also assumed to affect consumption per connection. </w:t>
      </w:r>
    </w:p>
    <w:p w:rsidR="000679D2" w:rsidRPr="00380F90" w:rsidRDefault="000679D2" w:rsidP="000679D2">
      <w:pPr>
        <w:pStyle w:val="Heading4"/>
      </w:pPr>
      <w:r>
        <w:t>Forecasting of Tariff V commercial demand</w:t>
      </w:r>
    </w:p>
    <w:p w:rsidR="000679D2" w:rsidRDefault="001B653F" w:rsidP="000679D2">
      <w:r w:rsidRPr="001B653F">
        <w:t>Aside from Multinet's response to our information request,</w:t>
      </w:r>
      <w:r>
        <w:rPr>
          <w:rStyle w:val="FootnoteReference"/>
        </w:rPr>
        <w:footnoteReference w:id="21"/>
      </w:r>
      <w:r>
        <w:t xml:space="preserve"> </w:t>
      </w:r>
      <w:r w:rsidRPr="001B653F">
        <w:t>we have no visibility of the exact methodology used to derive net commercial customer numbers and commercial consumption per connection.</w:t>
      </w:r>
      <w:r>
        <w:t xml:space="preserve"> Multinet noted in </w:t>
      </w:r>
      <w:r w:rsidR="000932F3">
        <w:t xml:space="preserve">its response to </w:t>
      </w:r>
      <w:r>
        <w:t xml:space="preserve">the information request that it </w:t>
      </w:r>
      <w:r w:rsidRPr="001B653F">
        <w:t xml:space="preserve">relied on an in-house developed commercial equation as the </w:t>
      </w:r>
      <w:r>
        <w:t>methodology used to predict Tariff V commercial demand</w:t>
      </w:r>
      <w:r w:rsidRPr="001B653F">
        <w:t>.</w:t>
      </w:r>
      <w:r w:rsidRPr="001B653F">
        <w:rPr>
          <w:rStyle w:val="FootnoteReference"/>
        </w:rPr>
        <w:t xml:space="preserve"> </w:t>
      </w:r>
      <w:r>
        <w:rPr>
          <w:rStyle w:val="FootnoteReference"/>
        </w:rPr>
        <w:footnoteReference w:id="22"/>
      </w:r>
      <w:r w:rsidRPr="001B653F">
        <w:t xml:space="preserve"> The commercial equation took into account the impact of weather in the form of Effective Degree Day Index (EDD), gas and electricity prices, and commercial output drivers for various sectors and economic activity.</w:t>
      </w:r>
    </w:p>
    <w:p w:rsidR="000679D2" w:rsidRDefault="000679D2" w:rsidP="000679D2">
      <w:pPr>
        <w:pStyle w:val="Heading4"/>
      </w:pPr>
      <w:r>
        <w:t>F</w:t>
      </w:r>
      <w:r w:rsidRPr="00A33E04">
        <w:t xml:space="preserve">orecasting of Tariff </w:t>
      </w:r>
      <w:r>
        <w:t>D and Tariff L</w:t>
      </w:r>
    </w:p>
    <w:p w:rsidR="000679D2" w:rsidRDefault="000679D2" w:rsidP="000679D2">
      <w:r>
        <w:t>NIEIR forecast Tariff D demand using econometric modelling at the industry level. NIEIR mainly relied on the Australian and New Zealand Standard Industrial Classification (ANZSIC) to divide Multinet's existing Tariff D customers into distinct categories with varying economic outlooks. NIEIR considered that the sectoral outlook at the industry level has an effect on Tariff D volume and consumption movements.</w:t>
      </w:r>
      <w:r>
        <w:rPr>
          <w:rStyle w:val="FootnoteReference"/>
        </w:rPr>
        <w:footnoteReference w:id="23"/>
      </w:r>
      <w:r>
        <w:t xml:space="preserve">  NIEIR supplemented the results from industry-level modelling with those from direct surveys. The survey results were incorporated as a post-modelling adjustment.</w:t>
      </w:r>
      <w:r>
        <w:rPr>
          <w:rStyle w:val="FootnoteReference"/>
        </w:rPr>
        <w:footnoteReference w:id="24"/>
      </w:r>
      <w:r>
        <w:t xml:space="preserve">  </w:t>
      </w:r>
    </w:p>
    <w:p w:rsidR="000679D2" w:rsidRPr="00C922DF" w:rsidRDefault="000679D2" w:rsidP="000679D2">
      <w:r>
        <w:t>To forecast Tariff L, NIEIR exclusively used the economic modelling approach.</w:t>
      </w:r>
      <w:r>
        <w:rPr>
          <w:rStyle w:val="FootnoteReference"/>
        </w:rPr>
        <w:footnoteReference w:id="25"/>
      </w:r>
    </w:p>
    <w:p w:rsidR="000679D2" w:rsidRDefault="000679D2" w:rsidP="000679D2">
      <w:pPr>
        <w:pStyle w:val="Heading2"/>
      </w:pPr>
      <w:bookmarkStart w:id="92" w:name="_Toc482365310"/>
      <w:bookmarkStart w:id="93" w:name="_Toc483292637"/>
      <w:bookmarkStart w:id="94" w:name="_Toc483822707"/>
      <w:bookmarkStart w:id="95" w:name="_Toc485815565"/>
      <w:r>
        <w:t>AER Assessment approach</w:t>
      </w:r>
      <w:bookmarkEnd w:id="92"/>
      <w:bookmarkEnd w:id="93"/>
      <w:bookmarkEnd w:id="94"/>
      <w:bookmarkEnd w:id="95"/>
    </w:p>
    <w:p w:rsidR="000679D2" w:rsidRDefault="000679D2" w:rsidP="000679D2">
      <w:r w:rsidRPr="00C62F73">
        <w:t xml:space="preserve">The NGR require </w:t>
      </w:r>
      <w:r>
        <w:t xml:space="preserve">that </w:t>
      </w:r>
      <w:r w:rsidR="00B125BE">
        <w:t>the</w:t>
      </w:r>
      <w:r>
        <w:t xml:space="preserve"> </w:t>
      </w:r>
      <w:r w:rsidRPr="00C62F73">
        <w:t>access arrangement info</w:t>
      </w:r>
      <w:r>
        <w:t xml:space="preserve">rmation </w:t>
      </w:r>
      <w:r w:rsidRPr="00C62F73">
        <w:t>for a</w:t>
      </w:r>
      <w:r w:rsidR="00B125BE">
        <w:t xml:space="preserve"> full access arrangement proposal for a</w:t>
      </w:r>
      <w:r w:rsidRPr="00C62F73">
        <w:t xml:space="preserve"> </w:t>
      </w:r>
      <w:r>
        <w:t xml:space="preserve">distribution pipeline </w:t>
      </w:r>
      <w:r w:rsidR="00B125BE">
        <w:t>must</w:t>
      </w:r>
      <w:r>
        <w:t xml:space="preserve"> include </w:t>
      </w:r>
      <w:r w:rsidRPr="00C62F73">
        <w:t xml:space="preserve">usage of the pipeline over the earlier </w:t>
      </w:r>
      <w:r>
        <w:t>access arrangement</w:t>
      </w:r>
      <w:r w:rsidRPr="00C62F73">
        <w:t xml:space="preserve"> period showing</w:t>
      </w:r>
      <w:r>
        <w:t>:</w:t>
      </w:r>
      <w:r w:rsidRPr="00C62F73">
        <w:t xml:space="preserve"> </w:t>
      </w:r>
    </w:p>
    <w:p w:rsidR="000679D2" w:rsidRPr="005B5EB4" w:rsidRDefault="000679D2" w:rsidP="000679D2">
      <w:pPr>
        <w:pStyle w:val="AERbulletlistfirststyle"/>
      </w:pPr>
      <w:proofErr w:type="gramStart"/>
      <w:r w:rsidRPr="00C62F73">
        <w:t>minimum</w:t>
      </w:r>
      <w:proofErr w:type="gramEnd"/>
      <w:r w:rsidRPr="00C62F73">
        <w:t xml:space="preserve">, maximum and average demand for each receipt and delivery point; and </w:t>
      </w:r>
      <w:r w:rsidR="00B125BE">
        <w:t xml:space="preserve">customer numbers in total and by tariff class </w:t>
      </w:r>
      <w:r w:rsidRPr="00C62F73">
        <w:t>for each receipt or delivery point</w:t>
      </w:r>
      <w:r>
        <w:t>.</w:t>
      </w:r>
      <w:r w:rsidRPr="005B5EB4">
        <w:rPr>
          <w:rStyle w:val="FootnoteReference"/>
        </w:rPr>
        <w:footnoteReference w:id="26"/>
      </w:r>
    </w:p>
    <w:p w:rsidR="000679D2" w:rsidRPr="005B5EB4" w:rsidRDefault="000679D2" w:rsidP="000679D2">
      <w:pPr>
        <w:pStyle w:val="AERbulletlistfirststyle"/>
      </w:pPr>
      <w:proofErr w:type="gramStart"/>
      <w:r w:rsidRPr="00C62F73">
        <w:t>to</w:t>
      </w:r>
      <w:proofErr w:type="gramEnd"/>
      <w:r w:rsidRPr="00C62F73">
        <w:t xml:space="preserve"> the extent it is practicable to forecast pipeline capacity and utilisation of pipeline capacity over the </w:t>
      </w:r>
      <w:r>
        <w:t>access arrangement</w:t>
      </w:r>
      <w:r w:rsidRPr="00C62F73">
        <w:t xml:space="preserve"> period, a forecast of pipeline capacity and utilisation of pipeline capacity over that period and the basis on which the forecast has been derived.</w:t>
      </w:r>
      <w:r w:rsidRPr="005B5EB4">
        <w:rPr>
          <w:rStyle w:val="FootnoteReference"/>
        </w:rPr>
        <w:footnoteReference w:id="27"/>
      </w:r>
    </w:p>
    <w:p w:rsidR="000679D2" w:rsidRPr="00C62F73" w:rsidRDefault="000679D2" w:rsidP="000679D2">
      <w:r w:rsidRPr="00C62F73">
        <w:t>The NGR also require that forecasts and estimates:</w:t>
      </w:r>
      <w:r>
        <w:rPr>
          <w:rStyle w:val="FootnoteReference"/>
        </w:rPr>
        <w:footnoteReference w:id="28"/>
      </w:r>
    </w:p>
    <w:p w:rsidR="000679D2" w:rsidRPr="005B5EB4" w:rsidRDefault="000679D2" w:rsidP="000679D2">
      <w:pPr>
        <w:pStyle w:val="AERbulletlistfirststyle"/>
      </w:pPr>
      <w:r w:rsidRPr="00C62F73">
        <w:t>are arrived at on a reasonable basis; and</w:t>
      </w:r>
    </w:p>
    <w:p w:rsidR="000679D2" w:rsidRPr="005B5EB4" w:rsidRDefault="000679D2" w:rsidP="000679D2">
      <w:pPr>
        <w:pStyle w:val="AERbulletlistfirststyle"/>
      </w:pPr>
      <w:proofErr w:type="gramStart"/>
      <w:r w:rsidRPr="00C62F73">
        <w:t>represent</w:t>
      </w:r>
      <w:proofErr w:type="gramEnd"/>
      <w:r w:rsidRPr="00C62F73">
        <w:t xml:space="preserve"> the best forecast or estimate possible in the circumstances.</w:t>
      </w:r>
    </w:p>
    <w:p w:rsidR="000679D2" w:rsidRPr="00C62F73" w:rsidRDefault="000679D2" w:rsidP="000679D2">
      <w:r w:rsidRPr="00C62F73">
        <w:t>We consider that there are two important considerations in assessing whether demand forecasts are arrived at on a reasonable basis and whether they represent the best forecasts possible in the circumstances.</w:t>
      </w:r>
      <w:r>
        <w:rPr>
          <w:rStyle w:val="FootnoteReference"/>
        </w:rPr>
        <w:footnoteReference w:id="29"/>
      </w:r>
      <w:r w:rsidRPr="00C62F73">
        <w:t xml:space="preserve"> These are:</w:t>
      </w:r>
    </w:p>
    <w:p w:rsidR="000679D2" w:rsidRPr="005B5EB4" w:rsidRDefault="000679D2" w:rsidP="000679D2">
      <w:pPr>
        <w:pStyle w:val="AERbulletlistfirststyle"/>
      </w:pPr>
      <w:r w:rsidRPr="00C62F73">
        <w:t xml:space="preserve">the appropriateness of the forecast methodology – this involves consideration of how the demand forecast has been developed; and </w:t>
      </w:r>
    </w:p>
    <w:p w:rsidR="000679D2" w:rsidRPr="005B5EB4" w:rsidRDefault="000679D2" w:rsidP="000679D2">
      <w:pPr>
        <w:pStyle w:val="AERbulletlistfirststyle"/>
      </w:pPr>
      <w:proofErr w:type="gramStart"/>
      <w:r w:rsidRPr="00C62F73">
        <w:t>whether</w:t>
      </w:r>
      <w:proofErr w:type="gramEnd"/>
      <w:r w:rsidRPr="00C62F73">
        <w:t xml:space="preserve"> or not relevant factors have been taken into account in developing demand forecasts. </w:t>
      </w:r>
    </w:p>
    <w:p w:rsidR="000679D2" w:rsidRPr="00C62F73" w:rsidRDefault="000679D2" w:rsidP="000679D2">
      <w:r>
        <w:t xml:space="preserve">To determine whether Multinet </w:t>
      </w:r>
      <w:r w:rsidRPr="00C62F73">
        <w:t xml:space="preserve">proposed demand forecasts are arrived at on a reasonable basis and are the best possible forecasts in the circumstances, we </w:t>
      </w:r>
      <w:r>
        <w:t xml:space="preserve">have </w:t>
      </w:r>
      <w:r w:rsidRPr="00C62F73">
        <w:t>reviewed:</w:t>
      </w:r>
    </w:p>
    <w:p w:rsidR="000679D2" w:rsidRPr="005B5EB4" w:rsidRDefault="000679D2" w:rsidP="000679D2">
      <w:pPr>
        <w:pStyle w:val="AERbulletlistfirststyle"/>
      </w:pPr>
      <w:r w:rsidRPr="00C62F73">
        <w:t xml:space="preserve">information provided by </w:t>
      </w:r>
      <w:r>
        <w:t>Multinet as part of its proposed access arrangement;</w:t>
      </w:r>
    </w:p>
    <w:p w:rsidR="000679D2" w:rsidRDefault="000679D2" w:rsidP="000679D2">
      <w:pPr>
        <w:pStyle w:val="AERbulletlistfirststyle"/>
      </w:pPr>
      <w:r w:rsidRPr="00C62F73">
        <w:t>the data inputs used to implem</w:t>
      </w:r>
      <w:r>
        <w:t>ent the forecasting methodology;</w:t>
      </w:r>
    </w:p>
    <w:p w:rsidR="000679D2" w:rsidRDefault="000679D2" w:rsidP="000679D2">
      <w:pPr>
        <w:pStyle w:val="AERbulletlistfirststyle"/>
      </w:pPr>
      <w:r>
        <w:t>NIEIR demand model and its report on Multinet's demand forecasts;</w:t>
      </w:r>
    </w:p>
    <w:p w:rsidR="000679D2" w:rsidRDefault="002E6DB9" w:rsidP="000679D2">
      <w:pPr>
        <w:pStyle w:val="AERbulletlistfirststyle"/>
      </w:pPr>
      <w:r>
        <w:t xml:space="preserve">Multinet’s </w:t>
      </w:r>
      <w:r w:rsidR="000679D2">
        <w:t>Access Arrangement information; and</w:t>
      </w:r>
      <w:bookmarkStart w:id="96" w:name="_GoBack"/>
      <w:bookmarkEnd w:id="96"/>
    </w:p>
    <w:p w:rsidR="000679D2" w:rsidRPr="005B5EB4" w:rsidRDefault="000679D2" w:rsidP="000679D2">
      <w:pPr>
        <w:pStyle w:val="AERbulletlistfirststyle"/>
      </w:pPr>
      <w:r>
        <w:t>Multinet's responses to the regulatory information notice (RIN).</w:t>
      </w:r>
    </w:p>
    <w:p w:rsidR="000679D2" w:rsidRPr="00C62F73" w:rsidRDefault="000679D2" w:rsidP="000679D2">
      <w:r w:rsidRPr="00C62F73">
        <w:t xml:space="preserve">In making our draft decision, we </w:t>
      </w:r>
      <w:r>
        <w:t xml:space="preserve">have </w:t>
      </w:r>
      <w:r w:rsidRPr="00C62F73">
        <w:t>had regard to:</w:t>
      </w:r>
    </w:p>
    <w:p w:rsidR="000679D2" w:rsidRDefault="000679D2" w:rsidP="000679D2">
      <w:pPr>
        <w:pStyle w:val="AERbulletlistfirststyle"/>
      </w:pPr>
      <w:r w:rsidRPr="00C62F73">
        <w:t xml:space="preserve">information provided by </w:t>
      </w:r>
      <w:r>
        <w:t>Multinet</w:t>
      </w:r>
      <w:r w:rsidRPr="00C62F73">
        <w:t xml:space="preserve"> as part of its proposed </w:t>
      </w:r>
      <w:r>
        <w:t>access arrangement information</w:t>
      </w:r>
      <w:r w:rsidRPr="00C62F73">
        <w:t xml:space="preserve">;  </w:t>
      </w:r>
    </w:p>
    <w:p w:rsidR="000679D2" w:rsidRPr="0048226B" w:rsidRDefault="000679D2" w:rsidP="000679D2">
      <w:pPr>
        <w:pStyle w:val="AERbulletlistfirststyle"/>
        <w:rPr>
          <w:rStyle w:val="AERbody"/>
        </w:rPr>
      </w:pPr>
      <w:r w:rsidRPr="00350777">
        <w:rPr>
          <w:rStyle w:val="AERbody"/>
        </w:rPr>
        <w:t>alternative methodologies for forecasting demand, while being cognisant of the idiosyncratic features of a given methodology compared to other possible alternatives</w:t>
      </w:r>
      <w:r w:rsidRPr="0048226B">
        <w:rPr>
          <w:rStyle w:val="AERbody"/>
        </w:rPr>
        <w:t>;</w:t>
      </w:r>
      <w:r>
        <w:rPr>
          <w:rStyle w:val="FootnoteReference"/>
        </w:rPr>
        <w:footnoteReference w:id="30"/>
      </w:r>
    </w:p>
    <w:p w:rsidR="000679D2" w:rsidRPr="005B5EB4" w:rsidRDefault="000679D2" w:rsidP="000679D2">
      <w:pPr>
        <w:pStyle w:val="AERbulletlistfirststyle"/>
      </w:pPr>
      <w:proofErr w:type="gramStart"/>
      <w:r w:rsidRPr="00C62F73">
        <w:t>advice</w:t>
      </w:r>
      <w:proofErr w:type="gramEnd"/>
      <w:r w:rsidRPr="005B5EB4">
        <w:t xml:space="preserve"> from</w:t>
      </w:r>
      <w:r>
        <w:t xml:space="preserve"> ACIL Allen </w:t>
      </w:r>
      <w:r w:rsidRPr="005B5EB4">
        <w:t xml:space="preserve">in its review of </w:t>
      </w:r>
      <w:r>
        <w:t>Multinet</w:t>
      </w:r>
      <w:r w:rsidRPr="005B5EB4">
        <w:t xml:space="preserve"> demand forecasts. </w:t>
      </w:r>
      <w:r>
        <w:t xml:space="preserve">ACIL Allen </w:t>
      </w:r>
      <w:r w:rsidRPr="005B5EB4">
        <w:t xml:space="preserve">reviewed </w:t>
      </w:r>
      <w:r>
        <w:t>Multinet's</w:t>
      </w:r>
      <w:r w:rsidRPr="005B5EB4">
        <w:t xml:space="preserve"> demand forecasts</w:t>
      </w:r>
      <w:r>
        <w:t xml:space="preserve"> and provided independent advice on NIEIR's methodology and assumptions</w:t>
      </w:r>
      <w:r w:rsidRPr="005B5EB4">
        <w:t xml:space="preserve">; </w:t>
      </w:r>
    </w:p>
    <w:p w:rsidR="000679D2" w:rsidRDefault="000679D2" w:rsidP="000679D2">
      <w:pPr>
        <w:pStyle w:val="AERbulletlistfirststyle"/>
      </w:pPr>
      <w:r w:rsidRPr="00C62F73">
        <w:t xml:space="preserve">additional information provided by </w:t>
      </w:r>
      <w:r>
        <w:t>Multinet</w:t>
      </w:r>
      <w:r w:rsidRPr="00C62F73">
        <w:t xml:space="preserve"> in response to our information requests</w:t>
      </w:r>
      <w:r>
        <w:t>;</w:t>
      </w:r>
      <w:r w:rsidRPr="0050764D">
        <w:t xml:space="preserve"> </w:t>
      </w:r>
      <w:r w:rsidRPr="005B5EB4">
        <w:t>and</w:t>
      </w:r>
    </w:p>
    <w:p w:rsidR="000679D2" w:rsidRDefault="000679D2" w:rsidP="000679D2">
      <w:pPr>
        <w:pStyle w:val="AERbulletlistfirststyle"/>
      </w:pPr>
      <w:proofErr w:type="gramStart"/>
      <w:r>
        <w:t>public</w:t>
      </w:r>
      <w:proofErr w:type="gramEnd"/>
      <w:r>
        <w:t xml:space="preserve"> submissions during the consultation process.</w:t>
      </w:r>
    </w:p>
    <w:p w:rsidR="000679D2" w:rsidRDefault="000679D2" w:rsidP="004C24AF">
      <w:pPr>
        <w:pStyle w:val="Heading3"/>
        <w:ind w:left="720"/>
      </w:pPr>
      <w:bookmarkStart w:id="97" w:name="_Toc482365311"/>
      <w:bookmarkStart w:id="98" w:name="_Toc483292638"/>
      <w:bookmarkStart w:id="99" w:name="_Toc483822708"/>
      <w:bookmarkStart w:id="100" w:name="_Toc485815566"/>
      <w:r>
        <w:t>Interrelationships</w:t>
      </w:r>
      <w:bookmarkEnd w:id="97"/>
      <w:bookmarkEnd w:id="98"/>
      <w:bookmarkEnd w:id="99"/>
      <w:bookmarkEnd w:id="100"/>
    </w:p>
    <w:p w:rsidR="000679D2" w:rsidRPr="00A15B61" w:rsidRDefault="000679D2" w:rsidP="000679D2">
      <w:r w:rsidRPr="00A15B61">
        <w:t xml:space="preserve">We have considered the relevant interrelationships between different components of </w:t>
      </w:r>
      <w:r>
        <w:t>Multinet's</w:t>
      </w:r>
      <w:r w:rsidRPr="00A15B61">
        <w:t xml:space="preserve"> access arrangement as part of our analysis. </w:t>
      </w:r>
    </w:p>
    <w:p w:rsidR="000679D2" w:rsidRPr="00A15B61" w:rsidRDefault="000679D2" w:rsidP="000679D2">
      <w:r w:rsidRPr="00A15B61">
        <w:t>This includes the effect of forecast demand on the efficient amount of capex and opex and tariffs in the 201</w:t>
      </w:r>
      <w:r>
        <w:t>8–22</w:t>
      </w:r>
      <w:r w:rsidRPr="00A15B61">
        <w:t xml:space="preserve"> access arrangement </w:t>
      </w:r>
      <w:proofErr w:type="gramStart"/>
      <w:r w:rsidRPr="00A15B61">
        <w:t>period</w:t>
      </w:r>
      <w:proofErr w:type="gramEnd"/>
      <w:r w:rsidRPr="00A15B61">
        <w:t>. In pa</w:t>
      </w:r>
      <w:r>
        <w:t>rticular, the demand forecasts</w:t>
      </w:r>
      <w:r w:rsidRPr="00A15B61">
        <w:t xml:space="preserve">: </w:t>
      </w:r>
    </w:p>
    <w:p w:rsidR="000679D2" w:rsidRPr="00A15B61" w:rsidRDefault="000679D2" w:rsidP="000679D2">
      <w:pPr>
        <w:pStyle w:val="AERbulletlistfirststyle"/>
      </w:pPr>
      <w:r>
        <w:t xml:space="preserve">impact </w:t>
      </w:r>
      <w:r w:rsidRPr="00A15B61">
        <w:t>approved tariff V connections capex, given the number of new connections affects the amount of approved connections capex</w:t>
      </w:r>
    </w:p>
    <w:p w:rsidR="000679D2" w:rsidRPr="00A15B61" w:rsidRDefault="000679D2" w:rsidP="000679D2">
      <w:pPr>
        <w:pStyle w:val="AERbulletlistfirststyle"/>
      </w:pPr>
      <w:r>
        <w:t xml:space="preserve">impact </w:t>
      </w:r>
      <w:r w:rsidRPr="00A15B61">
        <w:t>approved opex, given the forecast total connections numbers and total consumption (output growth) is used in deriving the additional opex required to service the larger network</w:t>
      </w:r>
    </w:p>
    <w:p w:rsidR="000679D2" w:rsidRDefault="000679D2" w:rsidP="000679D2">
      <w:pPr>
        <w:pStyle w:val="AERbulletlistfirststyle"/>
      </w:pPr>
      <w:proofErr w:type="gramStart"/>
      <w:r>
        <w:t>impact</w:t>
      </w:r>
      <w:proofErr w:type="gramEnd"/>
      <w:r>
        <w:t xml:space="preserve"> </w:t>
      </w:r>
      <w:r w:rsidRPr="00A15B61">
        <w:t>tariffs, given they depend on forecast consumption (demand) per connection. Changes in these forecasts will change tariff prices. In simple terms, tariffs are determined by cost divided by quantity (where quantity is measured by demand</w:t>
      </w:r>
      <w:r>
        <w:t xml:space="preserve"> </w:t>
      </w:r>
      <w:r w:rsidRPr="00A15B61">
        <w:t xml:space="preserve">per connection). This means that an increase in forecast quantity has the effect of reducing the tariff. </w:t>
      </w:r>
    </w:p>
    <w:p w:rsidR="000679D2" w:rsidRDefault="000679D2" w:rsidP="000679D2">
      <w:pPr>
        <w:pStyle w:val="AERbulletlistfirststyle"/>
      </w:pPr>
      <w:proofErr w:type="gramStart"/>
      <w:r>
        <w:t>are</w:t>
      </w:r>
      <w:proofErr w:type="gramEnd"/>
      <w:r>
        <w:t xml:space="preserve"> impacted by Multinet's proposed marketing program.</w:t>
      </w:r>
    </w:p>
    <w:p w:rsidR="000679D2" w:rsidRDefault="000679D2" w:rsidP="000679D2">
      <w:pPr>
        <w:pStyle w:val="Heading2"/>
      </w:pPr>
      <w:bookmarkStart w:id="101" w:name="_Ref481501253"/>
      <w:bookmarkStart w:id="102" w:name="_Toc482365312"/>
      <w:bookmarkStart w:id="103" w:name="_Toc483292639"/>
      <w:bookmarkStart w:id="104" w:name="_Toc483822709"/>
      <w:bookmarkStart w:id="105" w:name="_Toc485815567"/>
      <w:r>
        <w:t>Reasons for draft decision</w:t>
      </w:r>
      <w:bookmarkEnd w:id="101"/>
      <w:bookmarkEnd w:id="102"/>
      <w:bookmarkEnd w:id="103"/>
      <w:bookmarkEnd w:id="104"/>
      <w:bookmarkEnd w:id="105"/>
    </w:p>
    <w:p w:rsidR="000679D2" w:rsidRDefault="000679D2" w:rsidP="000679D2">
      <w:r>
        <w:t xml:space="preserve">Based on the information before us, we are not satisfied that Multinet's forecasts for Tariff V demand are </w:t>
      </w:r>
      <w:r w:rsidR="009D641D">
        <w:t xml:space="preserve">arrived at on a </w:t>
      </w:r>
      <w:r>
        <w:t xml:space="preserve">reasonable </w:t>
      </w:r>
      <w:r w:rsidR="009D641D">
        <w:t xml:space="preserve">basis and therefore </w:t>
      </w:r>
      <w:r w:rsidR="002E6DB9">
        <w:t xml:space="preserve">does not </w:t>
      </w:r>
      <w:r>
        <w:t>represent the best forecasts possible in the circumstances.</w:t>
      </w:r>
      <w:r>
        <w:rPr>
          <w:rStyle w:val="FootnoteReference"/>
        </w:rPr>
        <w:footnoteReference w:id="31"/>
      </w:r>
      <w:r>
        <w:t xml:space="preserve"> This is for two reasons. </w:t>
      </w:r>
    </w:p>
    <w:p w:rsidR="002E6DB9" w:rsidRDefault="000679D2" w:rsidP="000679D2">
      <w:r>
        <w:t xml:space="preserve">First, NIEIR's forecast for gross new residential connections is understated, and inconsistent with the connection volumes used to derive Multinet's proposed forecast connection capex. </w:t>
      </w:r>
    </w:p>
    <w:p w:rsidR="000679D2" w:rsidRDefault="000679D2" w:rsidP="000679D2">
      <w:r>
        <w:t xml:space="preserve">Second, </w:t>
      </w:r>
      <w:r w:rsidR="009D641D">
        <w:t>we have determined that</w:t>
      </w:r>
      <w:r>
        <w:t xml:space="preserve"> Multinet's proposed step change for a marketing program </w:t>
      </w:r>
      <w:r w:rsidR="009D641D">
        <w:t>does not meet the opex criteria</w:t>
      </w:r>
      <w:r w:rsidR="002E6DB9">
        <w:t>. T</w:t>
      </w:r>
      <w:r w:rsidR="009D641D">
        <w:t xml:space="preserve">his, in turn, </w:t>
      </w:r>
      <w:r w:rsidR="009356A5">
        <w:t>impacts</w:t>
      </w:r>
      <w:r w:rsidR="009D641D">
        <w:t xml:space="preserve"> its </w:t>
      </w:r>
      <w:r>
        <w:t xml:space="preserve">forecast </w:t>
      </w:r>
      <w:r w:rsidR="009D641D">
        <w:t xml:space="preserve">of </w:t>
      </w:r>
      <w:r>
        <w:t xml:space="preserve">new residential connection numbers and therefore Tariff V demand. Attachment 7 sets out our draft decision on </w:t>
      </w:r>
      <w:r w:rsidR="00D54C97">
        <w:t xml:space="preserve">opex which includes our analysis of the </w:t>
      </w:r>
      <w:r>
        <w:t xml:space="preserve">proposed </w:t>
      </w:r>
      <w:r w:rsidR="002E6DB9">
        <w:t xml:space="preserve">forecast </w:t>
      </w:r>
      <w:r>
        <w:t xml:space="preserve">marketing </w:t>
      </w:r>
      <w:r w:rsidR="00D54C97">
        <w:t>expenditure</w:t>
      </w:r>
      <w:r>
        <w:t>.</w:t>
      </w:r>
    </w:p>
    <w:p w:rsidR="000679D2" w:rsidRDefault="000679D2" w:rsidP="000679D2">
      <w:r>
        <w:t xml:space="preserve">With respect to Tariff D and L, we are satisfied that the demand forecasts for these tariff classes are </w:t>
      </w:r>
      <w:r w:rsidR="00D54C97">
        <w:t xml:space="preserve">arrived at on a </w:t>
      </w:r>
      <w:r>
        <w:t xml:space="preserve">reasonable </w:t>
      </w:r>
      <w:r w:rsidR="00D54C97">
        <w:t xml:space="preserve">basis </w:t>
      </w:r>
      <w:r>
        <w:t>and the best forecasts possible in the circumstances.</w:t>
      </w:r>
      <w:r>
        <w:rPr>
          <w:rStyle w:val="FootnoteReference"/>
        </w:rPr>
        <w:footnoteReference w:id="32"/>
      </w:r>
    </w:p>
    <w:p w:rsidR="000679D2" w:rsidRDefault="000679D2" w:rsidP="000679D2">
      <w:r>
        <w:t>The reasons for our decision are discussed further below.</w:t>
      </w:r>
    </w:p>
    <w:p w:rsidR="000679D2" w:rsidRDefault="000679D2" w:rsidP="004C24AF">
      <w:pPr>
        <w:pStyle w:val="Heading3"/>
        <w:ind w:left="720"/>
      </w:pPr>
      <w:bookmarkStart w:id="106" w:name="_Toc482365313"/>
      <w:bookmarkStart w:id="107" w:name="_Toc483292640"/>
      <w:bookmarkStart w:id="108" w:name="_Toc483822710"/>
      <w:bookmarkStart w:id="109" w:name="_Toc485815568"/>
      <w:r>
        <w:t>Minimum, maximum and average demand</w:t>
      </w:r>
      <w:bookmarkEnd w:id="106"/>
      <w:bookmarkEnd w:id="107"/>
      <w:bookmarkEnd w:id="108"/>
      <w:bookmarkEnd w:id="109"/>
    </w:p>
    <w:p w:rsidR="000679D2" w:rsidRPr="00E0556A" w:rsidRDefault="000679D2" w:rsidP="000679D2">
      <w:r>
        <w:t>Under the NGR, Multinet's access arrangement must include minimum, maximum and average demand for the earlier access arrangement period.</w:t>
      </w:r>
      <w:r>
        <w:rPr>
          <w:rStyle w:val="FootnoteReference"/>
        </w:rPr>
        <w:footnoteReference w:id="33"/>
      </w:r>
      <w:r>
        <w:t xml:space="preserve"> Multinet's access arrangement information and</w:t>
      </w:r>
      <w:r w:rsidR="00B125BE">
        <w:t xml:space="preserve"> its response to our</w:t>
      </w:r>
      <w:r>
        <w:t xml:space="preserve"> RIN satisf</w:t>
      </w:r>
      <w:r w:rsidR="002E6DB9">
        <w:t>y</w:t>
      </w:r>
      <w:r>
        <w:t xml:space="preserve"> these requirements.</w:t>
      </w:r>
      <w:r>
        <w:rPr>
          <w:rStyle w:val="FootnoteReference"/>
        </w:rPr>
        <w:footnoteReference w:id="34"/>
      </w:r>
    </w:p>
    <w:p w:rsidR="000679D2" w:rsidRPr="00E0556A" w:rsidRDefault="000679D2" w:rsidP="004C24AF">
      <w:pPr>
        <w:pStyle w:val="Heading3"/>
        <w:keepNext/>
        <w:ind w:left="720"/>
      </w:pPr>
      <w:bookmarkStart w:id="110" w:name="_Toc482365314"/>
      <w:bookmarkStart w:id="111" w:name="_Toc483292641"/>
      <w:bookmarkStart w:id="112" w:name="_Toc483822711"/>
      <w:bookmarkStart w:id="113" w:name="_Toc485815569"/>
      <w:r w:rsidRPr="00E0556A">
        <w:t>Forecast pipeline capacity and utilisation</w:t>
      </w:r>
      <w:bookmarkEnd w:id="110"/>
      <w:bookmarkEnd w:id="111"/>
      <w:bookmarkEnd w:id="112"/>
      <w:bookmarkEnd w:id="113"/>
    </w:p>
    <w:p w:rsidR="00B125BE" w:rsidRDefault="000679D2" w:rsidP="004C24AF">
      <w:pPr>
        <w:keepNext/>
        <w:rPr>
          <w:rStyle w:val="AERbody"/>
        </w:rPr>
      </w:pPr>
      <w:r w:rsidRPr="00285396">
        <w:rPr>
          <w:rStyle w:val="AERbody"/>
        </w:rPr>
        <w:t>The NGR require that to the extent practicable, the access arrangement information should include forecast pi</w:t>
      </w:r>
      <w:r>
        <w:rPr>
          <w:rStyle w:val="AERbody"/>
        </w:rPr>
        <w:t xml:space="preserve">peline capacity and utilisation </w:t>
      </w:r>
      <w:r w:rsidRPr="00285396">
        <w:rPr>
          <w:rStyle w:val="AERbody"/>
        </w:rPr>
        <w:t>of pipeline capacity over</w:t>
      </w:r>
      <w:r w:rsidRPr="00FF7F27">
        <w:rPr>
          <w:rStyle w:val="AERbody"/>
        </w:rPr>
        <w:t xml:space="preserve"> the access arrangement period.</w:t>
      </w:r>
      <w:r w:rsidR="00B125BE">
        <w:rPr>
          <w:rStyle w:val="FootnoteReference"/>
        </w:rPr>
        <w:footnoteReference w:id="35"/>
      </w:r>
      <w:r w:rsidRPr="00FF7F27">
        <w:rPr>
          <w:rStyle w:val="AERbody"/>
        </w:rPr>
        <w:t xml:space="preserve"> </w:t>
      </w:r>
    </w:p>
    <w:p w:rsidR="000679D2" w:rsidRPr="00342AB1" w:rsidRDefault="000679D2" w:rsidP="000679D2">
      <w:r>
        <w:rPr>
          <w:rStyle w:val="AERbody"/>
        </w:rPr>
        <w:t xml:space="preserve">Multinet </w:t>
      </w:r>
      <w:r w:rsidRPr="00FF7F27">
        <w:rPr>
          <w:rStyle w:val="AERbody"/>
        </w:rPr>
        <w:t>did not provide</w:t>
      </w:r>
      <w:r w:rsidR="00B125BE">
        <w:rPr>
          <w:rStyle w:val="AERbody"/>
        </w:rPr>
        <w:t xml:space="preserve"> this</w:t>
      </w:r>
      <w:r w:rsidRPr="00FF7F27">
        <w:rPr>
          <w:rStyle w:val="AERbody"/>
        </w:rPr>
        <w:t xml:space="preserve"> information in the access arrangement information. </w:t>
      </w:r>
      <w:r>
        <w:rPr>
          <w:rStyle w:val="AERbody"/>
        </w:rPr>
        <w:t>However, Multinet's</w:t>
      </w:r>
      <w:r w:rsidRPr="00285396">
        <w:t xml:space="preserve"> distribution network</w:t>
      </w:r>
      <w:r w:rsidRPr="00E234E6">
        <w:t xml:space="preserve"> </w:t>
      </w:r>
      <w:r w:rsidRPr="00285396">
        <w:t xml:space="preserve">is a meshed network made up of interconnected pipes, and there are a number of considerations </w:t>
      </w:r>
      <w:r>
        <w:t xml:space="preserve">that mean that calculating forecast capacity and </w:t>
      </w:r>
      <w:r w:rsidRPr="00285396">
        <w:t xml:space="preserve">utilisation is not </w:t>
      </w:r>
      <w:r>
        <w:t>practicable</w:t>
      </w:r>
      <w:r w:rsidRPr="00285396">
        <w:t>.</w:t>
      </w:r>
    </w:p>
    <w:p w:rsidR="000679D2" w:rsidRDefault="000679D2" w:rsidP="004C24AF">
      <w:pPr>
        <w:pStyle w:val="Heading3"/>
        <w:ind w:left="720"/>
      </w:pPr>
      <w:bookmarkStart w:id="114" w:name="_Toc482365316"/>
      <w:bookmarkStart w:id="115" w:name="_Toc483292642"/>
      <w:bookmarkStart w:id="116" w:name="_Toc483822712"/>
      <w:bookmarkStart w:id="117" w:name="_Toc485815570"/>
      <w:r w:rsidRPr="001D41A3">
        <w:t xml:space="preserve">Demand Forecast of </w:t>
      </w:r>
      <w:bookmarkEnd w:id="114"/>
      <w:r w:rsidRPr="001D41A3">
        <w:t>Tariff V</w:t>
      </w:r>
      <w:bookmarkEnd w:id="115"/>
      <w:bookmarkEnd w:id="116"/>
      <w:bookmarkEnd w:id="117"/>
      <w:r w:rsidRPr="001D41A3">
        <w:t xml:space="preserve"> </w:t>
      </w:r>
    </w:p>
    <w:p w:rsidR="000679D2" w:rsidRDefault="000679D2" w:rsidP="000679D2">
      <w:r>
        <w:t xml:space="preserve">Our draft decision is to not accept Multinet's forecast of Tariff V </w:t>
      </w:r>
      <w:r w:rsidR="002E6DB9">
        <w:t xml:space="preserve">demand </w:t>
      </w:r>
      <w:r>
        <w:t xml:space="preserve">for the 2018–22 access arrangement period. This is because the input used to forecast Tariff V demand </w:t>
      </w:r>
      <w:r>
        <w:noBreakHyphen/>
        <w:t xml:space="preserve"> forecast net new residential connection numbers </w:t>
      </w:r>
      <w:r>
        <w:noBreakHyphen/>
        <w:t xml:space="preserve"> was not arrived at on a reasonable basis and therefore does not result in the best possible forecast in the circumstances. </w:t>
      </w:r>
    </w:p>
    <w:p w:rsidR="000679D2" w:rsidRPr="008C7D0D" w:rsidRDefault="000679D2" w:rsidP="000679D2">
      <w:pPr>
        <w:rPr>
          <w:rStyle w:val="AERbody"/>
        </w:rPr>
      </w:pPr>
      <w:r>
        <w:t>We are satisfied that all the other forecasts used to derive the demand forecast for Tariff V</w:t>
      </w:r>
      <w:r w:rsidR="00D54C97">
        <w:t xml:space="preserve">, </w:t>
      </w:r>
      <w:r>
        <w:t>being forecast commercial demand and forecast consumption per connection for residential customers</w:t>
      </w:r>
      <w:r w:rsidR="00D54C97">
        <w:t>,</w:t>
      </w:r>
      <w:r>
        <w:t xml:space="preserve"> are </w:t>
      </w:r>
      <w:r w:rsidR="00D54C97">
        <w:t xml:space="preserve">arrived at on a </w:t>
      </w:r>
      <w:r>
        <w:t xml:space="preserve">reasonable </w:t>
      </w:r>
      <w:r w:rsidR="00D54C97">
        <w:t xml:space="preserve">basis </w:t>
      </w:r>
      <w:r>
        <w:t>and the best possible forecasts in the circumstances.</w:t>
      </w:r>
    </w:p>
    <w:p w:rsidR="000679D2" w:rsidRPr="000679D2" w:rsidRDefault="000679D2" w:rsidP="000679D2">
      <w:pPr>
        <w:pStyle w:val="Heading4"/>
      </w:pPr>
      <w:bookmarkStart w:id="118" w:name="_Ref485384121"/>
      <w:r>
        <w:t xml:space="preserve">Forecast of </w:t>
      </w:r>
      <w:r w:rsidRPr="000679D2">
        <w:t>residential connections numbers</w:t>
      </w:r>
      <w:bookmarkEnd w:id="118"/>
    </w:p>
    <w:p w:rsidR="000679D2" w:rsidRDefault="00D54C97" w:rsidP="000679D2">
      <w:r>
        <w:t xml:space="preserve">We consider </w:t>
      </w:r>
      <w:r w:rsidR="000679D2">
        <w:t>Multinet's forecast of gross new residential connection numbers is understated.</w:t>
      </w:r>
    </w:p>
    <w:p w:rsidR="000679D2" w:rsidRPr="000679D2" w:rsidRDefault="000679D2" w:rsidP="000679D2">
      <w:pPr>
        <w:pStyle w:val="AERbulletlistfirststyle"/>
      </w:pPr>
      <w:r>
        <w:t xml:space="preserve">First, </w:t>
      </w:r>
      <w:r w:rsidRPr="000679D2">
        <w:t xml:space="preserve">Multinet provided a different forecast of new </w:t>
      </w:r>
      <w:r w:rsidR="00947FC9">
        <w:t xml:space="preserve">gross </w:t>
      </w:r>
      <w:r w:rsidRPr="000679D2">
        <w:t xml:space="preserve">residential connection numbers to </w:t>
      </w:r>
      <w:r w:rsidR="00947FC9">
        <w:t>forecast gross</w:t>
      </w:r>
      <w:r w:rsidR="00947FC9" w:rsidRPr="000679D2">
        <w:t xml:space="preserve"> </w:t>
      </w:r>
      <w:r w:rsidRPr="000679D2">
        <w:t>connections capex</w:t>
      </w:r>
      <w:r w:rsidR="00D54C97">
        <w:t xml:space="preserve">.  </w:t>
      </w:r>
      <w:r w:rsidR="007B0BEC">
        <w:t xml:space="preserve">We observed that </w:t>
      </w:r>
      <w:r w:rsidR="00D54C97">
        <w:t xml:space="preserve">Multinet's </w:t>
      </w:r>
      <w:r w:rsidR="00947FC9">
        <w:t>forecast gross</w:t>
      </w:r>
      <w:r w:rsidR="00D54C97">
        <w:t xml:space="preserve"> connections capex</w:t>
      </w:r>
      <w:r w:rsidRPr="000679D2">
        <w:t xml:space="preserve"> more closely aligns with the historical average connections</w:t>
      </w:r>
      <w:r w:rsidR="007B0BEC">
        <w:t xml:space="preserve"> than</w:t>
      </w:r>
      <w:r w:rsidRPr="000679D2">
        <w:t xml:space="preserve"> NIEIR's forecasts.</w:t>
      </w:r>
      <w:r w:rsidRPr="000679D2">
        <w:rPr>
          <w:rStyle w:val="FootnoteReference"/>
        </w:rPr>
        <w:footnoteReference w:id="36"/>
      </w:r>
      <w:r w:rsidRPr="000679D2">
        <w:t xml:space="preserve"> </w:t>
      </w:r>
      <w:r w:rsidR="00D112F5">
        <w:fldChar w:fldCharType="begin"/>
      </w:r>
      <w:r w:rsidR="00D112F5">
        <w:instrText xml:space="preserve"> REF _Ref485131372 \h </w:instrText>
      </w:r>
      <w:r w:rsidR="00D112F5">
        <w:fldChar w:fldCharType="separate"/>
      </w:r>
      <w:r w:rsidR="00BB31D1">
        <w:t xml:space="preserve">Figure </w:t>
      </w:r>
      <w:r w:rsidR="00BB31D1">
        <w:rPr>
          <w:noProof/>
        </w:rPr>
        <w:t>13</w:t>
      </w:r>
      <w:r w:rsidR="00BB31D1">
        <w:noBreakHyphen/>
      </w:r>
      <w:r w:rsidR="00BB31D1">
        <w:rPr>
          <w:noProof/>
        </w:rPr>
        <w:t>1</w:t>
      </w:r>
      <w:r w:rsidR="00D112F5">
        <w:fldChar w:fldCharType="end"/>
      </w:r>
      <w:r w:rsidR="00D112F5">
        <w:t xml:space="preserve"> </w:t>
      </w:r>
      <w:r w:rsidRPr="000679D2">
        <w:t xml:space="preserve">illustrates </w:t>
      </w:r>
      <w:r w:rsidR="007B0BEC">
        <w:t>this</w:t>
      </w:r>
      <w:r w:rsidRPr="000679D2">
        <w:t>.</w:t>
      </w:r>
      <w:r w:rsidR="00947FC9">
        <w:rPr>
          <w:rStyle w:val="FootnoteReference"/>
        </w:rPr>
        <w:footnoteReference w:id="37"/>
      </w:r>
      <w:r w:rsidRPr="000679D2">
        <w:t xml:space="preserve"> The forecast used to derive Multinet's proposed connections capex was based on the Australian Construction Industry Forum (ACIF) indices, which is on average </w:t>
      </w:r>
      <w:r w:rsidR="00541E20" w:rsidRPr="000679D2">
        <w:t>2</w:t>
      </w:r>
      <w:r w:rsidR="00541E20">
        <w:t>3</w:t>
      </w:r>
      <w:r w:rsidR="00541E20" w:rsidRPr="000679D2">
        <w:t xml:space="preserve"> </w:t>
      </w:r>
      <w:r w:rsidRPr="000679D2">
        <w:t>per cent higher than NIEIR's</w:t>
      </w:r>
      <w:r w:rsidR="00474CD9">
        <w:t xml:space="preserve"> gross residential connection</w:t>
      </w:r>
      <w:r w:rsidRPr="000679D2">
        <w:t xml:space="preserve"> forecasts. </w:t>
      </w:r>
    </w:p>
    <w:p w:rsidR="00D112F5" w:rsidRDefault="00D112F5" w:rsidP="00D112F5">
      <w:pPr>
        <w:pStyle w:val="Caption"/>
      </w:pPr>
      <w:bookmarkStart w:id="119" w:name="_Ref485131372"/>
      <w:bookmarkStart w:id="120" w:name="_Ref485131356"/>
      <w:r>
        <w:t xml:space="preserve">Figure </w:t>
      </w:r>
      <w:fldSimple w:instr=" STYLEREF 1 \s ">
        <w:r w:rsidR="00BB31D1">
          <w:rPr>
            <w:noProof/>
          </w:rPr>
          <w:t>13</w:t>
        </w:r>
      </w:fldSimple>
      <w:r>
        <w:noBreakHyphen/>
      </w:r>
      <w:fldSimple w:instr=" SEQ Figure \* ARABIC \s 1 ">
        <w:r w:rsidR="00BB31D1">
          <w:rPr>
            <w:noProof/>
          </w:rPr>
          <w:t>1</w:t>
        </w:r>
      </w:fldSimple>
      <w:bookmarkEnd w:id="119"/>
      <w:r>
        <w:t xml:space="preserve">: </w:t>
      </w:r>
      <w:r w:rsidRPr="00EB1A9F">
        <w:t>Comparison between historical, NIEIR and ACIF gross connection numbers</w:t>
      </w:r>
      <w:bookmarkEnd w:id="120"/>
    </w:p>
    <w:p w:rsidR="000679D2" w:rsidRPr="007348DD" w:rsidRDefault="000679D2" w:rsidP="000679D2">
      <w:r w:rsidRPr="000679D2">
        <w:rPr>
          <w:noProof/>
          <w:lang w:eastAsia="en-AU"/>
        </w:rPr>
        <w:drawing>
          <wp:inline distT="0" distB="0" distL="0" distR="0" wp14:anchorId="666E6B80" wp14:editId="351F004B">
            <wp:extent cx="5382895" cy="3367760"/>
            <wp:effectExtent l="0" t="0" r="825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79D2" w:rsidRDefault="000679D2" w:rsidP="004C24AF">
      <w:pPr>
        <w:pStyle w:val="AERtablesource"/>
      </w:pPr>
      <w:r>
        <w:t xml:space="preserve">Source: AER analysis. </w:t>
      </w:r>
      <w:r>
        <w:rPr>
          <w:rStyle w:val="FootnoteReference"/>
        </w:rPr>
        <w:footnoteReference w:id="38"/>
      </w:r>
    </w:p>
    <w:p w:rsidR="000679D2" w:rsidRDefault="000679D2" w:rsidP="007F20AA">
      <w:pPr>
        <w:pStyle w:val="AERbulletlistfirststyle"/>
      </w:pPr>
      <w:r>
        <w:t xml:space="preserve">Second, in response to an information request, Multinet </w:t>
      </w:r>
      <w:r w:rsidR="00D13FF3">
        <w:t xml:space="preserve">itself admitted that NIEIR's gross new connections forecasts are not accurate. It </w:t>
      </w:r>
      <w:r>
        <w:t>submitted:</w:t>
      </w:r>
      <w:r w:rsidRPr="00543D9B">
        <w:rPr>
          <w:rStyle w:val="FootnoteReference"/>
        </w:rPr>
        <w:t xml:space="preserve"> </w:t>
      </w:r>
      <w:r w:rsidRPr="00543D9B">
        <w:rPr>
          <w:rStyle w:val="FootnoteReference"/>
        </w:rPr>
        <w:footnoteReference w:id="39"/>
      </w:r>
    </w:p>
    <w:p w:rsidR="000679D2" w:rsidRPr="002E6DB9" w:rsidRDefault="000679D2" w:rsidP="004C24AF">
      <w:pPr>
        <w:pStyle w:val="AERquote"/>
      </w:pPr>
      <w:r w:rsidRPr="004C24AF">
        <w:t xml:space="preserve">NIEIR’s forecast is not consistent with historic actual connections.  With all of the economic assumptions provided as part of our submission there is nothing that points to a lower number of actual gross connections than our historic actual data. Therefore NIEIR data was not considered to be an accurate forecast by </w:t>
      </w:r>
      <w:r w:rsidR="002E6DB9">
        <w:t>[Multinet]</w:t>
      </w:r>
      <w:r w:rsidRPr="004C24AF">
        <w:t>. ACIF forecast however was consistent with all the macro assumptions and it is consistent with historic actual connections.</w:t>
      </w:r>
    </w:p>
    <w:p w:rsidR="000679D2" w:rsidRPr="000679D2" w:rsidRDefault="000679D2" w:rsidP="000679D2">
      <w:pPr>
        <w:pStyle w:val="AERbulletlistfirststyle"/>
      </w:pPr>
      <w:r>
        <w:t xml:space="preserve">Finally, </w:t>
      </w:r>
      <w:r w:rsidRPr="000679D2">
        <w:t xml:space="preserve">under a price cap, </w:t>
      </w:r>
      <w:r w:rsidR="007B0BEC">
        <w:t xml:space="preserve">we consider </w:t>
      </w:r>
      <w:r w:rsidRPr="000679D2">
        <w:t xml:space="preserve">there is no reason </w:t>
      </w:r>
      <w:r w:rsidR="007B0BEC">
        <w:t xml:space="preserve">why, for the purpose of demand forecasting and tariff setting, </w:t>
      </w:r>
      <w:r w:rsidRPr="000679D2">
        <w:t xml:space="preserve">new connection </w:t>
      </w:r>
      <w:r w:rsidR="00947FC9">
        <w:t xml:space="preserve">numbers </w:t>
      </w:r>
      <w:r w:rsidR="007B0BEC">
        <w:t>should</w:t>
      </w:r>
      <w:r w:rsidRPr="000679D2">
        <w:t xml:space="preserve"> differ from that used to forecast connections capex.</w:t>
      </w:r>
    </w:p>
    <w:p w:rsidR="000679D2" w:rsidRDefault="000679D2" w:rsidP="000679D2">
      <w:r>
        <w:t>For these reasons, and on the basis of ACIL Allen’s advice</w:t>
      </w:r>
      <w:r w:rsidR="00474CD9">
        <w:rPr>
          <w:rStyle w:val="FootnoteReference"/>
        </w:rPr>
        <w:footnoteReference w:id="40"/>
      </w:r>
      <w:r>
        <w:t xml:space="preserve">, we are not satisfied that Multinet's forecast of new residential connection numbers is </w:t>
      </w:r>
      <w:r w:rsidR="00B8037D">
        <w:t xml:space="preserve">arrived at on a reasonable basis or </w:t>
      </w:r>
      <w:r>
        <w:t xml:space="preserve">the best estimate </w:t>
      </w:r>
      <w:r w:rsidR="00B8037D">
        <w:t xml:space="preserve">possible </w:t>
      </w:r>
      <w:r>
        <w:t xml:space="preserve">in the circumstances. Our alternative forecast is </w:t>
      </w:r>
      <w:r w:rsidR="00541E20">
        <w:t xml:space="preserve">40,604 </w:t>
      </w:r>
      <w:r w:rsidRPr="00DF18B1">
        <w:t>gross residential c</w:t>
      </w:r>
      <w:r>
        <w:t>onnections over the 2018–22 access arrangement</w:t>
      </w:r>
      <w:r w:rsidRPr="00DF18B1">
        <w:t xml:space="preserve"> </w:t>
      </w:r>
      <w:proofErr w:type="gramStart"/>
      <w:r w:rsidRPr="00DF18B1">
        <w:t>period</w:t>
      </w:r>
      <w:proofErr w:type="gramEnd"/>
      <w:r>
        <w:t>,</w:t>
      </w:r>
      <w:r w:rsidRPr="00DF18B1">
        <w:t xml:space="preserve"> approximately </w:t>
      </w:r>
      <w:r w:rsidR="00541E20">
        <w:t>23</w:t>
      </w:r>
      <w:r w:rsidR="00541E20" w:rsidRPr="00DF18B1">
        <w:t xml:space="preserve"> </w:t>
      </w:r>
      <w:r w:rsidRPr="00DF18B1">
        <w:t>per cent higher than Multinet</w:t>
      </w:r>
      <w:r w:rsidR="00B8037D">
        <w:t>'s</w:t>
      </w:r>
      <w:r w:rsidRPr="00DF18B1">
        <w:t xml:space="preserve"> forecast of </w:t>
      </w:r>
      <w:r w:rsidR="00541E20">
        <w:t>33,138</w:t>
      </w:r>
      <w:r w:rsidR="00E36AAC">
        <w:t xml:space="preserve"> </w:t>
      </w:r>
      <w:r w:rsidRPr="00DF18B1">
        <w:t>gross residential c</w:t>
      </w:r>
      <w:r>
        <w:t>onnections</w:t>
      </w:r>
      <w:r w:rsidRPr="00DF18B1">
        <w:t xml:space="preserve">. </w:t>
      </w:r>
      <w:r>
        <w:t>This is based on the ACIF indices, which are consistent with the historical actual trend and with comparative forecasts based on underlying data from a third independent source</w:t>
      </w:r>
      <w:r w:rsidR="00474CD9">
        <w:t>, HIA</w:t>
      </w:r>
      <w:r>
        <w:t xml:space="preserve">. It is also based on removing the forecast new residential connection numbers that were included by Multinet through the post-model adjustment it applied to account for its proposed marketing program. As noted above, our draft decision </w:t>
      </w:r>
      <w:r w:rsidR="00B8037D">
        <w:t>on opex does not</w:t>
      </w:r>
      <w:r>
        <w:t xml:space="preserve"> accept Multinet’s proposed </w:t>
      </w:r>
      <w:r w:rsidR="00B8037D">
        <w:t xml:space="preserve">forecast expenditure for </w:t>
      </w:r>
      <w:r>
        <w:t xml:space="preserve">marketing. </w:t>
      </w:r>
    </w:p>
    <w:p w:rsidR="000679D2" w:rsidRPr="00E82B4F" w:rsidRDefault="000679D2" w:rsidP="00E82B4F">
      <w:pPr>
        <w:pStyle w:val="Heading4"/>
        <w:rPr>
          <w:rStyle w:val="Strong"/>
          <w:b/>
          <w:bCs/>
        </w:rPr>
      </w:pPr>
      <w:r w:rsidRPr="00E82B4F">
        <w:rPr>
          <w:rStyle w:val="Strong"/>
          <w:b/>
          <w:bCs/>
        </w:rPr>
        <w:t>Commercial connections</w:t>
      </w:r>
    </w:p>
    <w:p w:rsidR="000679D2" w:rsidRPr="000679D2" w:rsidRDefault="000679D2" w:rsidP="000679D2">
      <w:pPr>
        <w:rPr>
          <w:rStyle w:val="AERbody"/>
        </w:rPr>
      </w:pPr>
      <w:r>
        <w:rPr>
          <w:rStyle w:val="AERbody"/>
        </w:rPr>
        <w:t xml:space="preserve">ACIL Allen advised that the equation used by NIEIR to forecast commercial demand </w:t>
      </w:r>
      <w:r w:rsidR="00474CD9">
        <w:rPr>
          <w:rStyle w:val="AERbody"/>
        </w:rPr>
        <w:t xml:space="preserve">incorporate </w:t>
      </w:r>
      <w:r>
        <w:rPr>
          <w:rStyle w:val="AERbody"/>
        </w:rPr>
        <w:t>a range of factors that might reasonably be expected to influence commercial demand.</w:t>
      </w:r>
      <w:r>
        <w:rPr>
          <w:rStyle w:val="FootnoteReference"/>
        </w:rPr>
        <w:footnoteReference w:id="41"/>
      </w:r>
      <w:r>
        <w:rPr>
          <w:rStyle w:val="AERbody"/>
        </w:rPr>
        <w:t xml:space="preserve"> However, </w:t>
      </w:r>
      <w:r>
        <w:t xml:space="preserve">neither Multinet nor NIEIR provided us with any diagnostic </w:t>
      </w:r>
      <w:r>
        <w:rPr>
          <w:rStyle w:val="AERbody"/>
        </w:rPr>
        <w:t xml:space="preserve">information or </w:t>
      </w:r>
      <w:r>
        <w:t>explained how the factors in its commercial equation were incorporated, used or applied</w:t>
      </w:r>
      <w:r>
        <w:rPr>
          <w:rStyle w:val="AERbody"/>
        </w:rPr>
        <w:t xml:space="preserve">. As </w:t>
      </w:r>
      <w:r w:rsidR="00B8037D">
        <w:rPr>
          <w:rStyle w:val="AERbody"/>
        </w:rPr>
        <w:t>a result, we and our consultant,</w:t>
      </w:r>
      <w:r>
        <w:rPr>
          <w:rStyle w:val="AERbody"/>
        </w:rPr>
        <w:t xml:space="preserve"> ACIL Allen</w:t>
      </w:r>
      <w:r w:rsidR="00B8037D">
        <w:rPr>
          <w:rStyle w:val="AERbody"/>
        </w:rPr>
        <w:t>,</w:t>
      </w:r>
      <w:r>
        <w:rPr>
          <w:rStyle w:val="AERbody"/>
        </w:rPr>
        <w:t xml:space="preserve"> </w:t>
      </w:r>
      <w:r w:rsidR="00B8037D">
        <w:rPr>
          <w:rStyle w:val="AERbody"/>
        </w:rPr>
        <w:t>applied</w:t>
      </w:r>
      <w:r>
        <w:rPr>
          <w:rStyle w:val="AERbody"/>
        </w:rPr>
        <w:t xml:space="preserve"> </w:t>
      </w:r>
      <w:r>
        <w:t xml:space="preserve">other high-level techniques to assess NIEIR’s forecasts. </w:t>
      </w:r>
    </w:p>
    <w:p w:rsidR="00D25B09" w:rsidRDefault="006117A5" w:rsidP="000679D2">
      <w:pPr>
        <w:rPr>
          <w:rStyle w:val="AERbody"/>
        </w:rPr>
      </w:pPr>
      <w:r>
        <w:rPr>
          <w:rStyle w:val="AERbody"/>
        </w:rPr>
        <w:t xml:space="preserve">ACIL Allen </w:t>
      </w:r>
      <w:r w:rsidR="00B8037D">
        <w:rPr>
          <w:rStyle w:val="AERbody"/>
        </w:rPr>
        <w:t>used</w:t>
      </w:r>
      <w:r w:rsidR="000679D2">
        <w:rPr>
          <w:rStyle w:val="AERbody"/>
        </w:rPr>
        <w:t xml:space="preserve"> historical trend analysis as a cross check on NIEIR's forecasts. </w:t>
      </w:r>
      <w:r w:rsidR="00206978">
        <w:rPr>
          <w:rStyle w:val="AERbody"/>
        </w:rPr>
        <w:t xml:space="preserve">ACIL Allen observed that </w:t>
      </w:r>
      <w:r w:rsidR="00FE2356">
        <w:rPr>
          <w:rStyle w:val="AERbody"/>
        </w:rPr>
        <w:t>NIEIR</w:t>
      </w:r>
      <w:r w:rsidR="008263D5">
        <w:rPr>
          <w:rStyle w:val="AERbody"/>
        </w:rPr>
        <w:t xml:space="preserve"> </w:t>
      </w:r>
      <w:r w:rsidR="00FE2356">
        <w:rPr>
          <w:rStyle w:val="AERbody"/>
        </w:rPr>
        <w:t>anticipate</w:t>
      </w:r>
      <w:r w:rsidR="008263D5">
        <w:rPr>
          <w:rStyle w:val="AERbody"/>
        </w:rPr>
        <w:t>s</w:t>
      </w:r>
      <w:r w:rsidR="00FE2356">
        <w:rPr>
          <w:rStyle w:val="AERbody"/>
        </w:rPr>
        <w:t xml:space="preserve"> </w:t>
      </w:r>
      <w:r w:rsidR="000679D2">
        <w:rPr>
          <w:rStyle w:val="AERbody"/>
        </w:rPr>
        <w:t xml:space="preserve">an accelerated fall </w:t>
      </w:r>
      <w:r w:rsidR="00206978">
        <w:rPr>
          <w:rStyle w:val="AERbody"/>
        </w:rPr>
        <w:t>in commercial conne</w:t>
      </w:r>
      <w:r>
        <w:rPr>
          <w:rStyle w:val="AERbody"/>
        </w:rPr>
        <w:t xml:space="preserve">ction </w:t>
      </w:r>
      <w:r w:rsidR="000679D2">
        <w:rPr>
          <w:rStyle w:val="AERbody"/>
        </w:rPr>
        <w:t xml:space="preserve">during the </w:t>
      </w:r>
      <w:r w:rsidR="000679D2">
        <w:t>2018–22 access arrangement</w:t>
      </w:r>
      <w:r w:rsidR="000679D2" w:rsidRPr="00DF18B1">
        <w:t xml:space="preserve"> </w:t>
      </w:r>
      <w:proofErr w:type="gramStart"/>
      <w:r w:rsidR="000679D2">
        <w:rPr>
          <w:rStyle w:val="AERbody"/>
        </w:rPr>
        <w:t>period</w:t>
      </w:r>
      <w:proofErr w:type="gramEnd"/>
      <w:r>
        <w:rPr>
          <w:rStyle w:val="AERbody"/>
        </w:rPr>
        <w:t>, when compared to the historical trend</w:t>
      </w:r>
      <w:r w:rsidR="000679D2">
        <w:rPr>
          <w:rStyle w:val="AERbody"/>
        </w:rPr>
        <w:t>.</w:t>
      </w:r>
      <w:r>
        <w:rPr>
          <w:rStyle w:val="FootnoteReference"/>
        </w:rPr>
        <w:footnoteReference w:id="42"/>
      </w:r>
      <w:r w:rsidR="000679D2">
        <w:rPr>
          <w:rStyle w:val="AERbody"/>
        </w:rPr>
        <w:t xml:space="preserve"> This outlook appears reasonable given the challenges</w:t>
      </w:r>
      <w:r>
        <w:rPr>
          <w:rStyle w:val="AERbody"/>
        </w:rPr>
        <w:t xml:space="preserve"> facing the retail gas industry in terms of supply, price and appliance switching from gas to </w:t>
      </w:r>
      <w:r w:rsidR="008263D5">
        <w:rPr>
          <w:rStyle w:val="AERbody"/>
        </w:rPr>
        <w:t>electricity</w:t>
      </w:r>
      <w:r w:rsidR="000679D2">
        <w:rPr>
          <w:rStyle w:val="AERbody"/>
        </w:rPr>
        <w:t>.</w:t>
      </w:r>
      <w:r w:rsidR="000679D2">
        <w:rPr>
          <w:rStyle w:val="FootnoteReference"/>
        </w:rPr>
        <w:footnoteReference w:id="43"/>
      </w:r>
      <w:r w:rsidR="000679D2">
        <w:rPr>
          <w:rStyle w:val="AERbody"/>
        </w:rPr>
        <w:t xml:space="preserve"> </w:t>
      </w:r>
    </w:p>
    <w:p w:rsidR="000679D2" w:rsidRDefault="00BF1870" w:rsidP="000679D2">
      <w:r>
        <w:rPr>
          <w:rStyle w:val="AERbody"/>
        </w:rPr>
        <w:t>Taking into account our analysis</w:t>
      </w:r>
      <w:r w:rsidR="00D25B09">
        <w:rPr>
          <w:rStyle w:val="AERbody"/>
        </w:rPr>
        <w:t xml:space="preserve"> that Multinet's forecast is generally reflective of the historical trend, we </w:t>
      </w:r>
      <w:r w:rsidR="005D671B">
        <w:rPr>
          <w:rStyle w:val="AERbody"/>
        </w:rPr>
        <w:t>accept it on this basis</w:t>
      </w:r>
      <w:r w:rsidR="00D25B09">
        <w:rPr>
          <w:rStyle w:val="AERbody"/>
        </w:rPr>
        <w:t xml:space="preserve">.  </w:t>
      </w:r>
      <w:r w:rsidR="00FE2356">
        <w:rPr>
          <w:rStyle w:val="AERbody"/>
        </w:rPr>
        <w:t xml:space="preserve">We did not arrive at this conclusion </w:t>
      </w:r>
      <w:r w:rsidR="00D25B09">
        <w:rPr>
          <w:rStyle w:val="AERbody"/>
        </w:rPr>
        <w:t>on the basis of NIEIR's methodology because of the lack of transparency of that methodology.  We note that</w:t>
      </w:r>
      <w:r w:rsidR="00FE2356">
        <w:rPr>
          <w:rStyle w:val="AERbody"/>
        </w:rPr>
        <w:t xml:space="preserve"> if</w:t>
      </w:r>
      <w:r w:rsidR="007D6C27">
        <w:rPr>
          <w:rStyle w:val="AERbody"/>
        </w:rPr>
        <w:t>,</w:t>
      </w:r>
      <w:r w:rsidR="00FE2356">
        <w:rPr>
          <w:rStyle w:val="AERbody"/>
        </w:rPr>
        <w:t xml:space="preserve"> following our high level analysis,</w:t>
      </w:r>
      <w:r w:rsidR="00D25B09">
        <w:rPr>
          <w:rStyle w:val="AERbody"/>
        </w:rPr>
        <w:t xml:space="preserve"> the forecast had not corresponded with the historical trend</w:t>
      </w:r>
      <w:r w:rsidR="00FE2356">
        <w:rPr>
          <w:rStyle w:val="AERbody"/>
        </w:rPr>
        <w:t xml:space="preserve"> or</w:t>
      </w:r>
      <w:r w:rsidR="00D25B09">
        <w:rPr>
          <w:rStyle w:val="AERbody"/>
        </w:rPr>
        <w:t xml:space="preserve"> there had been no explanation for </w:t>
      </w:r>
      <w:r w:rsidR="00FE2356">
        <w:rPr>
          <w:rStyle w:val="AERbody"/>
        </w:rPr>
        <w:t>any</w:t>
      </w:r>
      <w:r w:rsidR="00D25B09">
        <w:rPr>
          <w:rStyle w:val="AERbody"/>
        </w:rPr>
        <w:t xml:space="preserve"> divergence</w:t>
      </w:r>
      <w:r w:rsidR="00FE2356">
        <w:rPr>
          <w:rStyle w:val="AERbody"/>
        </w:rPr>
        <w:t xml:space="preserve"> from that trend</w:t>
      </w:r>
      <w:r w:rsidR="00D25B09">
        <w:rPr>
          <w:rStyle w:val="AERbody"/>
        </w:rPr>
        <w:t xml:space="preserve">, </w:t>
      </w:r>
      <w:r>
        <w:rPr>
          <w:rStyle w:val="AERbody"/>
        </w:rPr>
        <w:t>there would have been no basis upon which we could have reached our conclusion.</w:t>
      </w:r>
      <w:r w:rsidR="00FE2356">
        <w:rPr>
          <w:rStyle w:val="AERbody"/>
        </w:rPr>
        <w:t xml:space="preserve"> </w:t>
      </w:r>
      <w:r w:rsidR="00D25B09">
        <w:rPr>
          <w:rStyle w:val="AERbody"/>
        </w:rPr>
        <w:t xml:space="preserve">  </w:t>
      </w:r>
    </w:p>
    <w:p w:rsidR="000679D2" w:rsidRPr="00A33E04" w:rsidRDefault="000679D2" w:rsidP="004C24AF">
      <w:pPr>
        <w:pStyle w:val="Heading4"/>
        <w:keepNext/>
      </w:pPr>
      <w:r>
        <w:t>Forecast of Tariff V residential and commercial consumption per connection</w:t>
      </w:r>
    </w:p>
    <w:p w:rsidR="000679D2" w:rsidRDefault="000679D2" w:rsidP="004C24AF">
      <w:pPr>
        <w:keepNext/>
      </w:pPr>
      <w:r>
        <w:t xml:space="preserve">We are satisfied that NIEIR's forecast of residential and commercial consumption per connection for the 2018–22 access arrangement period is </w:t>
      </w:r>
      <w:r w:rsidR="00FE2356">
        <w:t xml:space="preserve">arrived at on a </w:t>
      </w:r>
      <w:r>
        <w:t xml:space="preserve">reasonable </w:t>
      </w:r>
      <w:r w:rsidR="00FE2356">
        <w:t xml:space="preserve">basis </w:t>
      </w:r>
      <w:r>
        <w:t>and represents the best forecast possible in the circumstances.</w:t>
      </w:r>
      <w:r>
        <w:rPr>
          <w:rStyle w:val="FootnoteReference"/>
        </w:rPr>
        <w:footnoteReference w:id="44"/>
      </w:r>
    </w:p>
    <w:p w:rsidR="000679D2" w:rsidRPr="00A6185B" w:rsidRDefault="000679D2" w:rsidP="004C24AF">
      <w:pPr>
        <w:pStyle w:val="HeadingBoldItalic"/>
        <w:rPr>
          <w:rStyle w:val="Strong"/>
        </w:rPr>
      </w:pPr>
      <w:r>
        <w:rPr>
          <w:rStyle w:val="Strong"/>
        </w:rPr>
        <w:t>Weather normalisation</w:t>
      </w:r>
    </w:p>
    <w:p w:rsidR="000679D2" w:rsidRPr="00B7143E" w:rsidRDefault="000679D2" w:rsidP="000679D2">
      <w:r>
        <w:t>NIEIR</w:t>
      </w:r>
      <w:r w:rsidRPr="00B7143E">
        <w:t xml:space="preserve"> </w:t>
      </w:r>
      <w:r>
        <w:t>applied</w:t>
      </w:r>
      <w:r w:rsidRPr="00B7143E">
        <w:t xml:space="preserve"> </w:t>
      </w:r>
      <w:r>
        <w:t>the EDD</w:t>
      </w:r>
      <w:r w:rsidRPr="00BA085D">
        <w:t xml:space="preserve"> index which estimates a 'normal' weather trend. </w:t>
      </w:r>
      <w:r>
        <w:t>This was based on a regression analysis, which derived the average linear decline trend from 1970 to 2015.</w:t>
      </w:r>
      <w:r>
        <w:rPr>
          <w:rStyle w:val="FootnoteReference"/>
        </w:rPr>
        <w:footnoteReference w:id="45"/>
      </w:r>
      <w:r>
        <w:t xml:space="preserve"> The </w:t>
      </w:r>
      <w:r w:rsidRPr="00B7143E">
        <w:t xml:space="preserve">results </w:t>
      </w:r>
      <w:r>
        <w:t>are</w:t>
      </w:r>
      <w:r w:rsidRPr="00B7143E">
        <w:t xml:space="preserve"> an estimated declining rate of </w:t>
      </w:r>
      <w:r>
        <w:t xml:space="preserve">-7.6 </w:t>
      </w:r>
      <w:r w:rsidRPr="00B7143E">
        <w:t>EDD per year</w:t>
      </w:r>
      <w:r>
        <w:t>.</w:t>
      </w:r>
      <w:r>
        <w:rPr>
          <w:rStyle w:val="FootnoteReference"/>
        </w:rPr>
        <w:footnoteReference w:id="46"/>
      </w:r>
      <w:r w:rsidRPr="00B7143E">
        <w:t xml:space="preserve"> </w:t>
      </w:r>
      <w:r>
        <w:t xml:space="preserve"> </w:t>
      </w:r>
    </w:p>
    <w:p w:rsidR="000679D2" w:rsidRPr="00B7143E" w:rsidRDefault="000679D2" w:rsidP="000679D2">
      <w:r>
        <w:t xml:space="preserve">In </w:t>
      </w:r>
      <w:r w:rsidRPr="00B7143E">
        <w:t>assess</w:t>
      </w:r>
      <w:r>
        <w:t>ing</w:t>
      </w:r>
      <w:r w:rsidRPr="00B7143E">
        <w:t xml:space="preserve"> </w:t>
      </w:r>
      <w:r>
        <w:t>NIEIR</w:t>
      </w:r>
      <w:r w:rsidRPr="00B7143E">
        <w:t xml:space="preserve">'s </w:t>
      </w:r>
      <w:r>
        <w:t>EDD index</w:t>
      </w:r>
      <w:r w:rsidRPr="00B7143E">
        <w:t xml:space="preserve">, </w:t>
      </w:r>
      <w:r w:rsidRPr="00BA085D">
        <w:t>ACIL Allen compared it against other recent studies of weather trends in Victoria, including AEMO's weather analysis in the 2016 National Gas Forecasting Report.</w:t>
      </w:r>
      <w:r>
        <w:rPr>
          <w:rStyle w:val="FootnoteReference"/>
        </w:rPr>
        <w:footnoteReference w:id="47"/>
      </w:r>
      <w:r w:rsidRPr="00B7143E">
        <w:t xml:space="preserve"> </w:t>
      </w:r>
      <w:r>
        <w:t>NIEIR</w:t>
      </w:r>
      <w:r w:rsidRPr="00B7143E">
        <w:t xml:space="preserve">'s finding is broadly consistent with AEMO's forecast of -6.8 </w:t>
      </w:r>
      <w:proofErr w:type="gramStart"/>
      <w:r w:rsidRPr="00B7143E">
        <w:t>decline</w:t>
      </w:r>
      <w:proofErr w:type="gramEnd"/>
      <w:r w:rsidRPr="00B7143E">
        <w:t xml:space="preserve"> in EDD per year for Victoria over the next 20 years.</w:t>
      </w:r>
      <w:r>
        <w:rPr>
          <w:rStyle w:val="FootnoteReference"/>
        </w:rPr>
        <w:footnoteReference w:id="48"/>
      </w:r>
      <w:r>
        <w:t xml:space="preserve"> </w:t>
      </w:r>
    </w:p>
    <w:p w:rsidR="000679D2" w:rsidRDefault="000679D2" w:rsidP="000679D2">
      <w:r>
        <w:t>We agree with ACIL Allen's assessment that NIEIR's weather normalisation methodology is sound and that its application leads to a reasonable estimate of future 'normal' weather.</w:t>
      </w:r>
    </w:p>
    <w:p w:rsidR="000679D2" w:rsidRDefault="000679D2" w:rsidP="004C24AF">
      <w:pPr>
        <w:pStyle w:val="HeadingBoldItalic"/>
        <w:rPr>
          <w:rStyle w:val="Strong"/>
        </w:rPr>
      </w:pPr>
      <w:r w:rsidRPr="00ED6DDC">
        <w:rPr>
          <w:rStyle w:val="Strong"/>
        </w:rPr>
        <w:t>Assessment of</w:t>
      </w:r>
      <w:r>
        <w:rPr>
          <w:rStyle w:val="Strong"/>
        </w:rPr>
        <w:t xml:space="preserve"> the forecast of consumption per connection</w:t>
      </w:r>
    </w:p>
    <w:p w:rsidR="000679D2" w:rsidRDefault="000679D2" w:rsidP="000679D2">
      <w:r>
        <w:t xml:space="preserve">NIEIR provided a high level description and results from its forecasting of residential and commercial consumption per connection. Again, </w:t>
      </w:r>
      <w:r>
        <w:rPr>
          <w:rStyle w:val="AERbody"/>
        </w:rPr>
        <w:t>i</w:t>
      </w:r>
      <w:r w:rsidRPr="008C7D0D">
        <w:rPr>
          <w:rStyle w:val="AERbody"/>
        </w:rPr>
        <w:t xml:space="preserve">n </w:t>
      </w:r>
      <w:r>
        <w:rPr>
          <w:rStyle w:val="AERbody"/>
        </w:rPr>
        <w:t xml:space="preserve">the </w:t>
      </w:r>
      <w:r w:rsidRPr="008C7D0D">
        <w:rPr>
          <w:rStyle w:val="AERbody"/>
        </w:rPr>
        <w:t xml:space="preserve">absence of </w:t>
      </w:r>
      <w:r>
        <w:rPr>
          <w:rStyle w:val="AERbody"/>
        </w:rPr>
        <w:t xml:space="preserve">an explanation of </w:t>
      </w:r>
      <w:r w:rsidRPr="008C7D0D">
        <w:rPr>
          <w:rStyle w:val="AERbody"/>
        </w:rPr>
        <w:t xml:space="preserve">the </w:t>
      </w:r>
      <w:r>
        <w:rPr>
          <w:rStyle w:val="AERbody"/>
        </w:rPr>
        <w:t>details underpinning the consumption per connection forecasts</w:t>
      </w:r>
      <w:r w:rsidRPr="008C7D0D">
        <w:rPr>
          <w:rStyle w:val="AERbody"/>
        </w:rPr>
        <w:t xml:space="preserve">, ACIL Allen compared the </w:t>
      </w:r>
      <w:r>
        <w:rPr>
          <w:rStyle w:val="AERbody"/>
        </w:rPr>
        <w:t xml:space="preserve">forecasts to the </w:t>
      </w:r>
      <w:r w:rsidRPr="008C7D0D">
        <w:rPr>
          <w:rStyle w:val="AERbody"/>
        </w:rPr>
        <w:t>historical 8 year period (2008–15)</w:t>
      </w:r>
      <w:r>
        <w:rPr>
          <w:rStyle w:val="AERbody"/>
        </w:rPr>
        <w:t xml:space="preserve"> and reviewed some of the modelling assumptions about </w:t>
      </w:r>
      <w:r>
        <w:t xml:space="preserve">the retail, residential and commercial gas prices as well as own and cross-price </w:t>
      </w:r>
      <w:proofErr w:type="spellStart"/>
      <w:r>
        <w:t>elasticities</w:t>
      </w:r>
      <w:proofErr w:type="spellEnd"/>
      <w:r>
        <w:t xml:space="preserve"> of demand.</w:t>
      </w:r>
    </w:p>
    <w:p w:rsidR="000679D2" w:rsidRDefault="000679D2" w:rsidP="000679D2">
      <w:r>
        <w:t>NIEIR forecasts the r</w:t>
      </w:r>
      <w:r w:rsidRPr="001426B1">
        <w:t>esidential gas price to increase from $21.40 per GJ in 2015/</w:t>
      </w:r>
      <w:r>
        <w:t>16 to $25.50 per GJ in 2021/22, and the commercial prices to increase from $8.50/GJ in 2015-16 to $13.90 GJ in 2025-26.</w:t>
      </w:r>
      <w:r>
        <w:rPr>
          <w:rStyle w:val="FootnoteReference"/>
        </w:rPr>
        <w:footnoteReference w:id="49"/>
      </w:r>
      <w:r>
        <w:t xml:space="preserve"> In coming to these forecasts, NIEIR considered a number of factors, such as the ramp up of LNG exports on the eastern seaboard, which are prone to uncertainty and variation in the current market environment.  As such, we agree with ACIL Allen that NIEIR's forecasts of retail prices are reasonable given significant uncertainty about the future gas market.</w:t>
      </w:r>
      <w:r>
        <w:rPr>
          <w:rStyle w:val="FootnoteReference"/>
        </w:rPr>
        <w:footnoteReference w:id="50"/>
      </w:r>
    </w:p>
    <w:p w:rsidR="00343BB3" w:rsidRDefault="000679D2" w:rsidP="000679D2">
      <w:r>
        <w:t xml:space="preserve">NIEIR proposed long run own-price elasticity values of -0.28 for residential consumers, and </w:t>
      </w:r>
      <w:r w:rsidRPr="001426B1">
        <w:t>-0.21</w:t>
      </w:r>
      <w:r>
        <w:t xml:space="preserve"> for commercial consumers. </w:t>
      </w:r>
      <w:r w:rsidRPr="001426B1">
        <w:t xml:space="preserve">The long-run price of elasticity estimate was based on </w:t>
      </w:r>
      <w:r>
        <w:t xml:space="preserve">a </w:t>
      </w:r>
      <w:r w:rsidRPr="001426B1">
        <w:t xml:space="preserve">literature review of Australian and overseas </w:t>
      </w:r>
      <w:r>
        <w:t>studies</w:t>
      </w:r>
      <w:r w:rsidRPr="001426B1">
        <w:t xml:space="preserve">. </w:t>
      </w:r>
      <w:r>
        <w:t xml:space="preserve">We agree with ACIL Allen that these </w:t>
      </w:r>
      <w:proofErr w:type="spellStart"/>
      <w:r>
        <w:t>elasticities</w:t>
      </w:r>
      <w:proofErr w:type="spellEnd"/>
      <w:r>
        <w:t xml:space="preserve"> are consistent with previous decisions</w:t>
      </w:r>
      <w:r w:rsidR="00343BB3">
        <w:t>.</w:t>
      </w:r>
      <w:r>
        <w:t xml:space="preserve"> </w:t>
      </w:r>
    </w:p>
    <w:p w:rsidR="000679D2" w:rsidRDefault="00343BB3" w:rsidP="000679D2">
      <w:r>
        <w:t>In addition, NIEIR estimated a cross price elasticity value of 0.08.</w:t>
      </w:r>
      <w:r w:rsidRPr="00343BB3">
        <w:rPr>
          <w:rStyle w:val="FootnoteReference"/>
        </w:rPr>
        <w:t xml:space="preserve"> </w:t>
      </w:r>
      <w:r>
        <w:rPr>
          <w:rStyle w:val="FootnoteReference"/>
        </w:rPr>
        <w:footnoteReference w:id="51"/>
      </w:r>
      <w:r>
        <w:t xml:space="preserve"> However</w:t>
      </w:r>
      <w:r w:rsidR="000679D2">
        <w:t>, in response to an information request, Multinet confirmed that NIEIR had excluded the cross price effects from its modelling.</w:t>
      </w:r>
      <w:r w:rsidR="000679D2">
        <w:rPr>
          <w:rStyle w:val="FootnoteReference"/>
        </w:rPr>
        <w:footnoteReference w:id="52"/>
      </w:r>
      <w:r w:rsidR="000679D2">
        <w:t xml:space="preserve"> </w:t>
      </w:r>
    </w:p>
    <w:p w:rsidR="000679D2" w:rsidRDefault="000679D2" w:rsidP="000679D2">
      <w:pPr>
        <w:rPr>
          <w:rStyle w:val="AERbody"/>
        </w:rPr>
      </w:pPr>
      <w:r>
        <w:rPr>
          <w:rStyle w:val="AERbody"/>
        </w:rPr>
        <w:t xml:space="preserve">Comparing forecast and historical trends </w:t>
      </w:r>
      <w:r w:rsidRPr="008C7D0D">
        <w:rPr>
          <w:rStyle w:val="AERbody"/>
        </w:rPr>
        <w:t xml:space="preserve">for residential </w:t>
      </w:r>
      <w:r>
        <w:rPr>
          <w:rStyle w:val="AERbody"/>
        </w:rPr>
        <w:t>consumption per connection in the 2018-22 access arrangement forecast period reveals that there is a continuing</w:t>
      </w:r>
      <w:r w:rsidRPr="008C7D0D">
        <w:rPr>
          <w:rStyle w:val="AERbody"/>
        </w:rPr>
        <w:t xml:space="preserve"> decline similar to the long-run historical downward trend</w:t>
      </w:r>
      <w:r>
        <w:rPr>
          <w:rStyle w:val="AERbody"/>
        </w:rPr>
        <w:t>.</w:t>
      </w:r>
      <w:r>
        <w:rPr>
          <w:rStyle w:val="FootnoteReference"/>
        </w:rPr>
        <w:footnoteReference w:id="53"/>
      </w:r>
      <w:r>
        <w:rPr>
          <w:rStyle w:val="AERbody"/>
        </w:rPr>
        <w:t xml:space="preserve"> NIEIR submitted that this decline is </w:t>
      </w:r>
      <w:r w:rsidR="00BF1870">
        <w:rPr>
          <w:rStyle w:val="AERbody"/>
        </w:rPr>
        <w:t xml:space="preserve">attributable </w:t>
      </w:r>
      <w:r>
        <w:rPr>
          <w:rStyle w:val="AERbody"/>
        </w:rPr>
        <w:t xml:space="preserve">to a number of factors including improvements in energy efficiency of new housing stock and improvements in appliance efficiencies. Our position is that NIEIR’s reasons for this continued decline are reasonable. Similarly, the commercial consumption forecasts decline at a rate similar to that of the historical trend. </w:t>
      </w:r>
    </w:p>
    <w:p w:rsidR="000679D2" w:rsidRDefault="000679D2" w:rsidP="004C24AF">
      <w:pPr>
        <w:pStyle w:val="Heading3"/>
        <w:ind w:left="720"/>
      </w:pPr>
      <w:bookmarkStart w:id="121" w:name="_Toc483292643"/>
      <w:bookmarkStart w:id="122" w:name="_Toc483822713"/>
      <w:bookmarkStart w:id="123" w:name="_Toc485815571"/>
      <w:r>
        <w:t>Demand forecasts for Tariff D</w:t>
      </w:r>
      <w:bookmarkEnd w:id="121"/>
      <w:bookmarkEnd w:id="122"/>
      <w:r>
        <w:t xml:space="preserve"> and Tariff L</w:t>
      </w:r>
      <w:bookmarkEnd w:id="123"/>
    </w:p>
    <w:p w:rsidR="000679D2" w:rsidRDefault="000679D2" w:rsidP="000679D2">
      <w:r>
        <w:t xml:space="preserve">We are satisfied that Multinet's forecast for industrial customers, Tariff D and Tariff L, is </w:t>
      </w:r>
      <w:r w:rsidR="00D54C97">
        <w:t xml:space="preserve">arrived at on a </w:t>
      </w:r>
      <w:r>
        <w:t xml:space="preserve">reasonable </w:t>
      </w:r>
      <w:r w:rsidR="00D54C97">
        <w:t xml:space="preserve">basis </w:t>
      </w:r>
      <w:r>
        <w:t>and represents the best forecast in the circumstances.</w:t>
      </w:r>
      <w:r>
        <w:rPr>
          <w:rStyle w:val="FootnoteReference"/>
        </w:rPr>
        <w:footnoteReference w:id="54"/>
      </w:r>
    </w:p>
    <w:p w:rsidR="000679D2" w:rsidRDefault="000679D2" w:rsidP="000679D2">
      <w:r>
        <w:t xml:space="preserve">ACIL Allen compared the Tariff D MHQ forecast to the historical trend over 2008–15 </w:t>
      </w:r>
      <w:proofErr w:type="gramStart"/>
      <w:r>
        <w:t>period</w:t>
      </w:r>
      <w:proofErr w:type="gramEnd"/>
      <w:r>
        <w:t xml:space="preserve">. </w:t>
      </w:r>
      <w:r w:rsidR="00D54C97">
        <w:t xml:space="preserve">It </w:t>
      </w:r>
      <w:r>
        <w:t>noted that the forecasts seem to exhibit a downward trend, whereas the historical data exhibits a slight upward trend.</w:t>
      </w:r>
      <w:r>
        <w:rPr>
          <w:rStyle w:val="FootnoteReference"/>
        </w:rPr>
        <w:footnoteReference w:id="55"/>
      </w:r>
      <w:r>
        <w:t xml:space="preserve"> However, </w:t>
      </w:r>
      <w:r w:rsidRPr="00607597">
        <w:t xml:space="preserve">given the small number of </w:t>
      </w:r>
      <w:r>
        <w:t xml:space="preserve">customers subject to </w:t>
      </w:r>
      <w:r w:rsidRPr="00607597">
        <w:t>Tariff D and the significant uncertaint</w:t>
      </w:r>
      <w:r>
        <w:t xml:space="preserve">ies in forecasting their </w:t>
      </w:r>
      <w:r w:rsidRPr="00607597">
        <w:t xml:space="preserve">usage, ACIL </w:t>
      </w:r>
      <w:r w:rsidR="00D54C97" w:rsidRPr="00607597">
        <w:t>Allen</w:t>
      </w:r>
      <w:r w:rsidR="00D54C97">
        <w:t xml:space="preserve"> concluded </w:t>
      </w:r>
      <w:r w:rsidRPr="00607597">
        <w:t xml:space="preserve">that </w:t>
      </w:r>
      <w:r>
        <w:t>Multinet's</w:t>
      </w:r>
      <w:r w:rsidRPr="00607597">
        <w:t xml:space="preserve"> forecast </w:t>
      </w:r>
      <w:r>
        <w:t>is reasonable</w:t>
      </w:r>
      <w:r w:rsidRPr="00F54E3C">
        <w:t xml:space="preserve"> </w:t>
      </w:r>
      <w:r w:rsidRPr="00607597">
        <w:t>overall</w:t>
      </w:r>
      <w:r>
        <w:t>.</w:t>
      </w:r>
      <w:r>
        <w:rPr>
          <w:rStyle w:val="FootnoteReference"/>
        </w:rPr>
        <w:footnoteReference w:id="56"/>
      </w:r>
      <w:r w:rsidR="00D54C97" w:rsidRPr="00D54C97">
        <w:t xml:space="preserve"> </w:t>
      </w:r>
      <w:r w:rsidR="00D54C97">
        <w:t>We reviewed NIEIR's Tariff D MHQ forecast and the work of our consultant and accept the forecast.</w:t>
      </w:r>
    </w:p>
    <w:p w:rsidR="000679D2" w:rsidRDefault="000679D2" w:rsidP="000679D2">
      <w:r>
        <w:t>As for Tariff L, NIEIR's</w:t>
      </w:r>
      <w:r w:rsidR="00E82B4F">
        <w:t xml:space="preserve"> forecast exhibits</w:t>
      </w:r>
      <w:r>
        <w:t xml:space="preserve"> a similar trend to </w:t>
      </w:r>
      <w:r w:rsidR="00E82B4F">
        <w:t xml:space="preserve">that </w:t>
      </w:r>
      <w:r>
        <w:t xml:space="preserve">over the 2008–15 </w:t>
      </w:r>
      <w:proofErr w:type="gramStart"/>
      <w:r>
        <w:t>period</w:t>
      </w:r>
      <w:proofErr w:type="gramEnd"/>
      <w:r>
        <w:t>. Given the small number of customers</w:t>
      </w:r>
      <w:r>
        <w:rPr>
          <w:rStyle w:val="FootnoteReference"/>
        </w:rPr>
        <w:footnoteReference w:id="57"/>
      </w:r>
      <w:r>
        <w:t xml:space="preserve"> and the </w:t>
      </w:r>
      <w:r w:rsidRPr="00DD5570">
        <w:t>significant uncertainties in forecasting their usage</w:t>
      </w:r>
      <w:r>
        <w:t xml:space="preserve">, we </w:t>
      </w:r>
      <w:r w:rsidR="00D54C97">
        <w:t xml:space="preserve">accept </w:t>
      </w:r>
      <w:r>
        <w:t>the forecasts of Tariff L MHQ.</w:t>
      </w:r>
    </w:p>
    <w:p w:rsidR="00016BE2" w:rsidRDefault="00016BE2" w:rsidP="004C24AF">
      <w:pPr>
        <w:pStyle w:val="Heading2"/>
        <w:keepNext/>
      </w:pPr>
      <w:bookmarkStart w:id="124" w:name="_Toc485815572"/>
      <w:r>
        <w:t>Revisions</w:t>
      </w:r>
      <w:bookmarkEnd w:id="124"/>
    </w:p>
    <w:p w:rsidR="00016BE2" w:rsidRDefault="00016BE2" w:rsidP="004C24AF">
      <w:pPr>
        <w:keepNext/>
      </w:pPr>
      <w:r>
        <w:t>We require the following revisions to make the access arrangement proposal acceptable:</w:t>
      </w:r>
    </w:p>
    <w:tbl>
      <w:tblPr>
        <w:tblStyle w:val="AERtable-text0"/>
        <w:tblW w:w="0" w:type="auto"/>
        <w:tblLook w:val="04A0" w:firstRow="1" w:lastRow="0" w:firstColumn="1" w:lastColumn="0" w:noHBand="0" w:noVBand="1"/>
      </w:tblPr>
      <w:tblGrid>
        <w:gridCol w:w="2235"/>
        <w:gridCol w:w="6458"/>
      </w:tblGrid>
      <w:tr w:rsidR="005B205C" w:rsidTr="004C24AF">
        <w:trPr>
          <w:cnfStyle w:val="100000000000" w:firstRow="1" w:lastRow="0" w:firstColumn="0" w:lastColumn="0" w:oddVBand="0" w:evenVBand="0" w:oddHBand="0" w:evenHBand="0" w:firstRowFirstColumn="0" w:firstRowLastColumn="0" w:lastRowFirstColumn="0" w:lastRowLastColumn="0"/>
        </w:trPr>
        <w:tc>
          <w:tcPr>
            <w:tcW w:w="2235" w:type="dxa"/>
          </w:tcPr>
          <w:p w:rsidR="005B205C" w:rsidRDefault="005B205C" w:rsidP="004C24AF">
            <w:pPr>
              <w:keepNext/>
              <w:rPr>
                <w:rFonts w:eastAsiaTheme="minorHAnsi" w:cstheme="minorBidi"/>
                <w:b w:val="0"/>
                <w:color w:val="auto"/>
                <w:sz w:val="22"/>
                <w:szCs w:val="22"/>
                <w:lang w:eastAsia="en-US"/>
              </w:rPr>
            </w:pPr>
          </w:p>
        </w:tc>
        <w:tc>
          <w:tcPr>
            <w:tcW w:w="6458" w:type="dxa"/>
          </w:tcPr>
          <w:p w:rsidR="005B205C" w:rsidRDefault="005B205C" w:rsidP="004C24AF">
            <w:pPr>
              <w:keepNext/>
              <w:rPr>
                <w:rFonts w:eastAsiaTheme="minorHAnsi" w:cstheme="minorBidi"/>
                <w:b w:val="0"/>
                <w:color w:val="auto"/>
                <w:sz w:val="22"/>
                <w:szCs w:val="22"/>
                <w:lang w:eastAsia="en-US"/>
              </w:rPr>
            </w:pPr>
          </w:p>
        </w:tc>
      </w:tr>
      <w:tr w:rsidR="005B205C" w:rsidTr="004C24AF">
        <w:tc>
          <w:tcPr>
            <w:tcW w:w="2235" w:type="dxa"/>
          </w:tcPr>
          <w:p w:rsidR="005B205C" w:rsidRDefault="005B205C" w:rsidP="004C24AF">
            <w:pPr>
              <w:keepNext/>
              <w:rPr>
                <w:rFonts w:eastAsiaTheme="minorHAnsi" w:cstheme="minorBidi"/>
                <w:sz w:val="22"/>
                <w:szCs w:val="22"/>
                <w:lang w:eastAsia="en-US"/>
              </w:rPr>
            </w:pPr>
            <w:r w:rsidRPr="004F345B">
              <w:t>Revision 13.1</w:t>
            </w:r>
          </w:p>
        </w:tc>
        <w:tc>
          <w:tcPr>
            <w:tcW w:w="6458" w:type="dxa"/>
          </w:tcPr>
          <w:p w:rsidR="005B205C" w:rsidRDefault="005B205C" w:rsidP="004C24AF">
            <w:pPr>
              <w:keepNext/>
              <w:rPr>
                <w:rFonts w:eastAsiaTheme="minorHAnsi" w:cstheme="minorBidi"/>
                <w:sz w:val="22"/>
                <w:szCs w:val="22"/>
                <w:lang w:eastAsia="en-US"/>
              </w:rPr>
            </w:pPr>
            <w:r>
              <w:t xml:space="preserve">Make all necessary revisions to reflect this draft decision, as set out in Section </w:t>
            </w:r>
            <w:r>
              <w:fldChar w:fldCharType="begin"/>
            </w:r>
            <w:r>
              <w:instrText xml:space="preserve"> REF _Ref485384121 \r \h </w:instrText>
            </w:r>
            <w:r>
              <w:fldChar w:fldCharType="separate"/>
            </w:r>
            <w:r w:rsidR="00BB31D1">
              <w:t>13.4.3.1</w:t>
            </w:r>
            <w:r>
              <w:fldChar w:fldCharType="end"/>
            </w:r>
            <w:r>
              <w:t>.</w:t>
            </w:r>
          </w:p>
        </w:tc>
      </w:tr>
    </w:tbl>
    <w:p w:rsidR="004C2179" w:rsidRDefault="004C2179" w:rsidP="005B205C"/>
    <w:sectPr w:rsidR="004C2179" w:rsidSect="00CF42AA">
      <w:headerReference w:type="default" r:id="rId17"/>
      <w:footerReference w:type="even" r:id="rId18"/>
      <w:footerReference w:type="default"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E3" w:rsidRPr="00290C63" w:rsidRDefault="005138E3" w:rsidP="00290C63">
      <w:r>
        <w:separator/>
      </w:r>
    </w:p>
    <w:p w:rsidR="005138E3" w:rsidRDefault="005138E3"/>
  </w:endnote>
  <w:endnote w:type="continuationSeparator" w:id="0">
    <w:p w:rsidR="005138E3" w:rsidRPr="00290C63" w:rsidRDefault="005138E3" w:rsidP="00290C63">
      <w:r>
        <w:continuationSeparator/>
      </w:r>
    </w:p>
    <w:p w:rsidR="005138E3" w:rsidRDefault="00513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E3" w:rsidRPr="00290C63" w:rsidRDefault="005138E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138E3" w:rsidRDefault="005138E3"/>
  <w:p w:rsidR="005138E3" w:rsidRDefault="005138E3"/>
  <w:p w:rsidR="005138E3" w:rsidRDefault="005138E3"/>
  <w:p w:rsidR="005138E3" w:rsidRDefault="005138E3"/>
  <w:p w:rsidR="005138E3" w:rsidRDefault="005138E3"/>
  <w:p w:rsidR="005138E3" w:rsidRDefault="005138E3"/>
  <w:p w:rsidR="005138E3" w:rsidRDefault="005138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5138E3" w:rsidRPr="009B6F84" w:rsidRDefault="005138E3">
        <w:pPr>
          <w:pStyle w:val="Footer"/>
          <w:rPr>
            <w:sz w:val="20"/>
          </w:rPr>
        </w:pPr>
        <w:r>
          <w:fldChar w:fldCharType="begin"/>
        </w:r>
        <w:r>
          <w:instrText xml:space="preserve"> PAGE   \* MERGEFORMAT </w:instrText>
        </w:r>
        <w:r>
          <w:fldChar w:fldCharType="separate"/>
        </w:r>
        <w:r w:rsidR="00BB31D1">
          <w:rPr>
            <w:noProof/>
          </w:rPr>
          <w:t>13-0</w:t>
        </w:r>
        <w:r>
          <w:rPr>
            <w:noProof/>
          </w:rPr>
          <w:fldChar w:fldCharType="end"/>
        </w:r>
        <w:r>
          <w:rPr>
            <w:noProof/>
          </w:rPr>
          <w:t xml:space="preserve">          </w:t>
        </w:r>
        <w:r>
          <w:t xml:space="preserve">Attachment 13 </w:t>
        </w:r>
        <w:r w:rsidRPr="000474DF">
          <w:t>−</w:t>
        </w:r>
        <w:r>
          <w:t xml:space="preserve"> Demand</w:t>
        </w:r>
        <w:r w:rsidRPr="009B6F84">
          <w:rPr>
            <w:rFonts w:cs="Gautami"/>
            <w:noProof/>
            <w:szCs w:val="16"/>
          </w:rPr>
          <w:t xml:space="preserve"> | </w:t>
        </w:r>
        <w:r>
          <w:t>Draft decision - Multinet Gas access arrangement</w:t>
        </w:r>
        <w:r w:rsidRPr="00D5015C">
          <w:t xml:space="preserve"> 201</w:t>
        </w:r>
        <w:r>
          <w:t>8</w:t>
        </w:r>
        <w:r w:rsidRPr="00D5015C">
          <w:t>–</w:t>
        </w:r>
        <w:r>
          <w:t>22</w:t>
        </w:r>
      </w:p>
    </w:sdtContent>
  </w:sdt>
  <w:p w:rsidR="005138E3" w:rsidRDefault="00513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E3" w:rsidRPr="00290C63" w:rsidRDefault="005138E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138E3" w:rsidRDefault="005138E3">
    <w:pPr>
      <w:pStyle w:val="Footer"/>
    </w:pPr>
  </w:p>
  <w:p w:rsidR="005138E3" w:rsidRDefault="005138E3"/>
  <w:p w:rsidR="005138E3" w:rsidRDefault="005138E3"/>
  <w:p w:rsidR="005138E3" w:rsidRDefault="005138E3"/>
  <w:p w:rsidR="005138E3" w:rsidRDefault="005138E3"/>
  <w:p w:rsidR="005138E3" w:rsidRDefault="005138E3"/>
  <w:p w:rsidR="005138E3" w:rsidRDefault="005138E3"/>
  <w:p w:rsidR="005138E3" w:rsidRDefault="005138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E3" w:rsidRPr="00290C63" w:rsidRDefault="005138E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138E3" w:rsidRDefault="005138E3"/>
  <w:p w:rsidR="005138E3" w:rsidRDefault="005138E3"/>
  <w:p w:rsidR="005138E3" w:rsidRDefault="005138E3"/>
  <w:p w:rsidR="005138E3" w:rsidRDefault="005138E3"/>
  <w:p w:rsidR="005138E3" w:rsidRDefault="005138E3"/>
  <w:p w:rsidR="005138E3" w:rsidRDefault="005138E3"/>
  <w:p w:rsidR="005138E3" w:rsidRDefault="005138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5138E3" w:rsidRPr="009B6F84" w:rsidRDefault="005138E3">
        <w:pPr>
          <w:pStyle w:val="Footer"/>
          <w:rPr>
            <w:sz w:val="20"/>
          </w:rPr>
        </w:pPr>
        <w:r>
          <w:fldChar w:fldCharType="begin"/>
        </w:r>
        <w:r>
          <w:instrText xml:space="preserve"> PAGE   \* MERGEFORMAT </w:instrText>
        </w:r>
        <w:r>
          <w:fldChar w:fldCharType="separate"/>
        </w:r>
        <w:r w:rsidR="00BB31D1">
          <w:rPr>
            <w:noProof/>
          </w:rPr>
          <w:t>13-12</w:t>
        </w:r>
        <w:r>
          <w:rPr>
            <w:noProof/>
          </w:rPr>
          <w:fldChar w:fldCharType="end"/>
        </w:r>
        <w:r>
          <w:rPr>
            <w:noProof/>
          </w:rPr>
          <w:t xml:space="preserve">          </w:t>
        </w:r>
        <w:r>
          <w:t xml:space="preserve">Attachment 13 </w:t>
        </w:r>
        <w:r w:rsidRPr="000474DF">
          <w:t>−</w:t>
        </w:r>
        <w:r>
          <w:t xml:space="preserve"> Demand</w:t>
        </w:r>
        <w:r w:rsidRPr="00D5015C">
          <w:t xml:space="preserve"> | </w:t>
        </w:r>
        <w:r>
          <w:t>Draft decision - Multinet Gas access arrangement</w:t>
        </w:r>
        <w:r w:rsidRPr="00D5015C">
          <w:t xml:space="preserve"> 201</w:t>
        </w:r>
        <w:r>
          <w:t>8</w:t>
        </w:r>
        <w:r w:rsidRPr="00D5015C">
          <w:t>–</w:t>
        </w:r>
        <w:r>
          <w:t>22</w:t>
        </w:r>
      </w:p>
    </w:sdtContent>
  </w:sdt>
  <w:p w:rsidR="005138E3" w:rsidRDefault="005138E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E3" w:rsidRPr="00290C63" w:rsidRDefault="005138E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138E3" w:rsidRDefault="005138E3">
    <w:pPr>
      <w:pStyle w:val="Footer"/>
    </w:pPr>
  </w:p>
  <w:p w:rsidR="005138E3" w:rsidRDefault="005138E3"/>
  <w:p w:rsidR="005138E3" w:rsidRDefault="005138E3"/>
  <w:p w:rsidR="005138E3" w:rsidRDefault="005138E3"/>
  <w:p w:rsidR="005138E3" w:rsidRDefault="005138E3"/>
  <w:p w:rsidR="005138E3" w:rsidRDefault="005138E3"/>
  <w:p w:rsidR="005138E3" w:rsidRDefault="005138E3"/>
  <w:p w:rsidR="005138E3" w:rsidRDefault="005138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E3" w:rsidRPr="00290C63" w:rsidRDefault="005138E3" w:rsidP="00290C63">
      <w:r>
        <w:separator/>
      </w:r>
    </w:p>
    <w:p w:rsidR="005138E3" w:rsidRDefault="005138E3"/>
  </w:footnote>
  <w:footnote w:type="continuationSeparator" w:id="0">
    <w:p w:rsidR="005138E3" w:rsidRPr="00290C63" w:rsidRDefault="005138E3" w:rsidP="00290C63">
      <w:r>
        <w:continuationSeparator/>
      </w:r>
    </w:p>
    <w:p w:rsidR="005138E3" w:rsidRDefault="005138E3"/>
  </w:footnote>
  <w:footnote w:id="1">
    <w:p w:rsidR="005138E3" w:rsidRDefault="005138E3" w:rsidP="000679D2">
      <w:pPr>
        <w:pStyle w:val="FootnoteText"/>
      </w:pPr>
      <w:r>
        <w:rPr>
          <w:rStyle w:val="FootnoteReference"/>
        </w:rPr>
        <w:footnoteRef/>
      </w:r>
      <w:r>
        <w:tab/>
      </w:r>
      <w:r w:rsidRPr="006A39A9">
        <w:t xml:space="preserve">Our draft decisions on  </w:t>
      </w:r>
      <w:r>
        <w:t>Multinet's</w:t>
      </w:r>
      <w:r w:rsidRPr="006A39A9">
        <w:t xml:space="preserve"> capex and opex are respectively set out in Attachments 6 and 7 of this draft decision</w:t>
      </w:r>
      <w:r w:rsidRPr="006A39A9">
        <w:tab/>
      </w:r>
    </w:p>
  </w:footnote>
  <w:footnote w:id="2">
    <w:p w:rsidR="005138E3" w:rsidRDefault="005138E3" w:rsidP="000679D2">
      <w:pPr>
        <w:pStyle w:val="FootnoteText"/>
      </w:pPr>
      <w:r>
        <w:rPr>
          <w:rStyle w:val="FootnoteReference"/>
        </w:rPr>
        <w:footnoteRef/>
      </w:r>
      <w:r>
        <w:t xml:space="preserve"> </w:t>
      </w:r>
      <w:r>
        <w:tab/>
        <w:t xml:space="preserve">Multinet, </w:t>
      </w:r>
      <w:r w:rsidRPr="005F735D">
        <w:rPr>
          <w:rStyle w:val="Emphasis"/>
        </w:rPr>
        <w:t>Attachment 13.10.1 - Capital Expenditure Overview - Residential, Commercial and Industrial connections capital expenditure</w:t>
      </w:r>
      <w:r>
        <w:t>, 15 December 2016, p.22-23</w:t>
      </w:r>
    </w:p>
  </w:footnote>
  <w:footnote w:id="3">
    <w:p w:rsidR="005138E3" w:rsidRDefault="005138E3" w:rsidP="000679D2">
      <w:pPr>
        <w:pStyle w:val="FootnoteText"/>
      </w:pPr>
      <w:r>
        <w:rPr>
          <w:rStyle w:val="FootnoteReference"/>
        </w:rPr>
        <w:footnoteRef/>
      </w:r>
      <w:r>
        <w:t xml:space="preserve"> </w:t>
      </w:r>
      <w:r>
        <w:tab/>
        <w:t>Attachment 7 sets out the reasons for our draft decision on the marketing step change.</w:t>
      </w:r>
    </w:p>
  </w:footnote>
  <w:footnote w:id="4">
    <w:p w:rsidR="005138E3" w:rsidRDefault="005138E3" w:rsidP="000679D2">
      <w:pPr>
        <w:pStyle w:val="FootnoteText"/>
      </w:pPr>
      <w:r>
        <w:rPr>
          <w:rStyle w:val="FootnoteReference"/>
        </w:rPr>
        <w:footnoteRef/>
      </w:r>
      <w:r>
        <w:t xml:space="preserve"> </w:t>
      </w:r>
      <w:r>
        <w:tab/>
      </w:r>
      <w:proofErr w:type="gramStart"/>
      <w:r>
        <w:t>NGR, r. 74(2).</w:t>
      </w:r>
      <w:proofErr w:type="gramEnd"/>
      <w:r>
        <w:t xml:space="preserve"> Further, we are satisfied with NIEIR's residential disconnections forecast for this draft decision. </w:t>
      </w:r>
    </w:p>
  </w:footnote>
  <w:footnote w:id="5">
    <w:p w:rsidR="005138E3" w:rsidRDefault="005138E3" w:rsidP="000679D2">
      <w:pPr>
        <w:pStyle w:val="FootnoteText"/>
      </w:pPr>
      <w:r>
        <w:rPr>
          <w:rStyle w:val="FootnoteReference"/>
        </w:rPr>
        <w:footnoteRef/>
      </w:r>
      <w:r>
        <w:t xml:space="preserve"> </w:t>
      </w:r>
      <w:r>
        <w:tab/>
      </w:r>
      <w:r w:rsidRPr="00B77344">
        <w:t>Tariff D applies to customers using more than 10,000 GJ a year or more than 10 GJ MHQ. Customers are charged based on their MHQ measured in GJ per hour.  Tariff L is open to customers who consume more than 1TJ per annum or less than 10TJ per annum and have an MHQ demand of less than 10 GJ per hour.  See</w:t>
      </w:r>
      <w:r>
        <w:t xml:space="preserve"> </w:t>
      </w:r>
      <w:r w:rsidRPr="00B77344">
        <w:t xml:space="preserve">Multinet, </w:t>
      </w:r>
      <w:r w:rsidRPr="004C24AF">
        <w:rPr>
          <w:rStyle w:val="AERtextitalic"/>
        </w:rPr>
        <w:t>2018 to 2022 Access Arrangement Information</w:t>
      </w:r>
      <w:r w:rsidRPr="00B77344">
        <w:t>, 21 December 2016, p</w:t>
      </w:r>
      <w:r>
        <w:t>p</w:t>
      </w:r>
      <w:r w:rsidRPr="00B77344">
        <w:t>.</w:t>
      </w:r>
      <w:r>
        <w:t xml:space="preserve"> </w:t>
      </w:r>
      <w:r w:rsidRPr="00B77344">
        <w:t>154-155</w:t>
      </w:r>
    </w:p>
  </w:footnote>
  <w:footnote w:id="6">
    <w:p w:rsidR="005138E3" w:rsidRDefault="005138E3" w:rsidP="000679D2">
      <w:pPr>
        <w:pStyle w:val="FootnoteText"/>
      </w:pPr>
      <w:r>
        <w:rPr>
          <w:rStyle w:val="FootnoteReference"/>
        </w:rPr>
        <w:footnoteRef/>
      </w:r>
      <w:r>
        <w:t xml:space="preserve"> </w:t>
      </w:r>
      <w:r>
        <w:tab/>
      </w:r>
      <w:proofErr w:type="gramStart"/>
      <w:r>
        <w:t>NGR, r. 74(2).</w:t>
      </w:r>
      <w:proofErr w:type="gramEnd"/>
    </w:p>
  </w:footnote>
  <w:footnote w:id="7">
    <w:p w:rsidR="005138E3" w:rsidRDefault="005138E3"/>
  </w:footnote>
  <w:footnote w:id="8">
    <w:p w:rsidR="005138E3" w:rsidRDefault="005138E3" w:rsidP="000679D2">
      <w:pPr>
        <w:pStyle w:val="FootnoteText"/>
      </w:pPr>
      <w:r>
        <w:rPr>
          <w:rStyle w:val="FootnoteReference"/>
        </w:rPr>
        <w:footnoteRef/>
      </w:r>
      <w:r>
        <w:t xml:space="preserve"> </w:t>
      </w:r>
      <w:r>
        <w:tab/>
      </w:r>
      <w:proofErr w:type="gramStart"/>
      <w:r>
        <w:t xml:space="preserve">Multinet, </w:t>
      </w:r>
      <w:r w:rsidRPr="00D42278">
        <w:rPr>
          <w:rStyle w:val="Emphasis"/>
        </w:rPr>
        <w:t>2018 to 2022 Access Arrangement Information</w:t>
      </w:r>
      <w:r>
        <w:t>, 21 December 2016, p.36-9.</w:t>
      </w:r>
      <w:proofErr w:type="gramEnd"/>
    </w:p>
  </w:footnote>
  <w:footnote w:id="9">
    <w:p w:rsidR="005138E3" w:rsidRDefault="005138E3" w:rsidP="000679D2">
      <w:pPr>
        <w:pStyle w:val="FootnoteText"/>
      </w:pPr>
      <w:r>
        <w:rPr>
          <w:rStyle w:val="FootnoteReference"/>
        </w:rPr>
        <w:footnoteRef/>
      </w:r>
      <w:r>
        <w:t xml:space="preserve"> </w:t>
      </w:r>
      <w:r>
        <w:tab/>
      </w:r>
      <w:proofErr w:type="gramStart"/>
      <w:r>
        <w:t xml:space="preserve">Multinet, </w:t>
      </w:r>
      <w:r w:rsidRPr="00D42278">
        <w:rPr>
          <w:rStyle w:val="Emphasis"/>
        </w:rPr>
        <w:t>2018 to 2022 Access Arrangement Information</w:t>
      </w:r>
      <w:r>
        <w:t>, 21 December 2016, p.40.</w:t>
      </w:r>
      <w:proofErr w:type="gramEnd"/>
    </w:p>
  </w:footnote>
  <w:footnote w:id="10">
    <w:p w:rsidR="005138E3" w:rsidRDefault="005138E3" w:rsidP="000679D2">
      <w:pPr>
        <w:pStyle w:val="FootnoteText"/>
      </w:pPr>
      <w:r>
        <w:rPr>
          <w:rStyle w:val="FootnoteReference"/>
        </w:rPr>
        <w:footnoteRef/>
      </w:r>
      <w:r>
        <w:t xml:space="preserve"> </w:t>
      </w:r>
      <w:r>
        <w:tab/>
      </w:r>
      <w:proofErr w:type="gramStart"/>
      <w:r w:rsidRPr="000932F3">
        <w:t>Multinet Gas</w:t>
      </w:r>
      <w:r>
        <w:t>,</w:t>
      </w:r>
      <w:r w:rsidRPr="00E82EB4">
        <w:rPr>
          <w:rStyle w:val="AERtextitalic"/>
        </w:rPr>
        <w:t xml:space="preserve"> 14.3</w:t>
      </w:r>
      <w:r w:rsidRPr="004C24AF">
        <w:rPr>
          <w:rStyle w:val="AERtextitalic"/>
        </w:rPr>
        <w:t xml:space="preserve"> - Axiom Economics - Consistency of Victorian gas distribution businesses joint marketing campaign with rule 91 of the NGR</w:t>
      </w:r>
      <w:r>
        <w:t>,</w:t>
      </w:r>
      <w:r w:rsidRPr="00B77344">
        <w:t xml:space="preserve"> 20 December 2016, p.57.</w:t>
      </w:r>
      <w:proofErr w:type="gramEnd"/>
    </w:p>
  </w:footnote>
  <w:footnote w:id="11">
    <w:p w:rsidR="005138E3" w:rsidRDefault="005138E3" w:rsidP="000679D2">
      <w:pPr>
        <w:pStyle w:val="FootnoteText"/>
      </w:pPr>
      <w:r>
        <w:rPr>
          <w:rStyle w:val="FootnoteReference"/>
        </w:rPr>
        <w:footnoteRef/>
      </w:r>
      <w:r>
        <w:t xml:space="preserve"> </w:t>
      </w:r>
      <w:r>
        <w:tab/>
        <w:t xml:space="preserve">AER Analysis of the proposed figures. See </w:t>
      </w:r>
      <w:r w:rsidRPr="008C1DD3">
        <w:t xml:space="preserve">Multinet, </w:t>
      </w:r>
      <w:r w:rsidRPr="004C24AF">
        <w:rPr>
          <w:rStyle w:val="AERtextitalic"/>
        </w:rPr>
        <w:t>2018 to 2022 Access Arrangement Information</w:t>
      </w:r>
      <w:r w:rsidRPr="008C1DD3">
        <w:t>, 21 December 2016, p.37.</w:t>
      </w:r>
    </w:p>
  </w:footnote>
  <w:footnote w:id="12">
    <w:p w:rsidR="005138E3" w:rsidRDefault="005138E3" w:rsidP="000679D2">
      <w:pPr>
        <w:pStyle w:val="FootnoteText"/>
      </w:pPr>
      <w:r>
        <w:rPr>
          <w:rStyle w:val="FootnoteReference"/>
        </w:rPr>
        <w:footnoteRef/>
      </w:r>
      <w:r>
        <w:t xml:space="preserve"> </w:t>
      </w:r>
      <w:r>
        <w:tab/>
      </w:r>
      <w:proofErr w:type="gramStart"/>
      <w:r w:rsidRPr="0053469C">
        <w:t xml:space="preserve">Multinet, </w:t>
      </w:r>
      <w:r w:rsidRPr="004C24AF">
        <w:rPr>
          <w:rStyle w:val="AERtextitalic"/>
        </w:rPr>
        <w:t>2018 to 2022 Access Arrangement Information</w:t>
      </w:r>
      <w:r>
        <w:t>, 21 December 2016, p.37</w:t>
      </w:r>
      <w:r w:rsidRPr="0053469C">
        <w:t>.</w:t>
      </w:r>
      <w:proofErr w:type="gramEnd"/>
    </w:p>
  </w:footnote>
  <w:footnote w:id="13">
    <w:p w:rsidR="005138E3" w:rsidRDefault="005138E3" w:rsidP="000679D2">
      <w:pPr>
        <w:pStyle w:val="FootnoteText"/>
      </w:pPr>
      <w:r>
        <w:rPr>
          <w:rStyle w:val="FootnoteReference"/>
        </w:rPr>
        <w:footnoteRef/>
      </w:r>
      <w:r>
        <w:t xml:space="preserve"> </w:t>
      </w:r>
      <w:r>
        <w:tab/>
        <w:t xml:space="preserve">This analysis reflect Multinet's proposal and incorporates the impact of the marketing step change on the demand numbers.  </w:t>
      </w:r>
    </w:p>
  </w:footnote>
  <w:footnote w:id="14">
    <w:p w:rsidR="005138E3" w:rsidRDefault="005138E3" w:rsidP="000679D2">
      <w:pPr>
        <w:pStyle w:val="FootnoteText"/>
      </w:pPr>
      <w:r>
        <w:rPr>
          <w:rStyle w:val="FootnoteReference"/>
        </w:rPr>
        <w:footnoteRef/>
      </w:r>
      <w:r>
        <w:t xml:space="preserve"> </w:t>
      </w:r>
      <w:r>
        <w:tab/>
      </w:r>
      <w:proofErr w:type="gramStart"/>
      <w:r>
        <w:t xml:space="preserve">Multinet, </w:t>
      </w:r>
      <w:r w:rsidRPr="00D42278">
        <w:rPr>
          <w:rStyle w:val="Emphasis"/>
        </w:rPr>
        <w:t>2018 to 2022 Access Arrangement Information</w:t>
      </w:r>
      <w:r>
        <w:t>, 21 December 2016, p.30.</w:t>
      </w:r>
      <w:proofErr w:type="gramEnd"/>
    </w:p>
  </w:footnote>
  <w:footnote w:id="15">
    <w:p w:rsidR="005138E3" w:rsidRDefault="005138E3" w:rsidP="000679D2">
      <w:pPr>
        <w:pStyle w:val="FootnoteText"/>
      </w:pPr>
      <w:r>
        <w:rPr>
          <w:rStyle w:val="FootnoteReference"/>
        </w:rPr>
        <w:footnoteRef/>
      </w:r>
      <w:r>
        <w:t xml:space="preserve"> </w:t>
      </w:r>
      <w:r>
        <w:tab/>
      </w:r>
      <w:r w:rsidRPr="000F7C01">
        <w:t xml:space="preserve">ACIL Allen, </w:t>
      </w:r>
      <w:r w:rsidRPr="000F7C01">
        <w:rPr>
          <w:rStyle w:val="Emphasis"/>
        </w:rPr>
        <w:t>Review of demand forecasts for Multinet</w:t>
      </w:r>
      <w:r w:rsidRPr="000F7C01">
        <w:t>, June 2017, p.</w:t>
      </w:r>
      <w:r>
        <w:t xml:space="preserve"> 15.</w:t>
      </w:r>
    </w:p>
  </w:footnote>
  <w:footnote w:id="16">
    <w:p w:rsidR="005138E3" w:rsidRDefault="005138E3" w:rsidP="000679D2">
      <w:pPr>
        <w:pStyle w:val="FootnoteText"/>
      </w:pPr>
      <w:r>
        <w:rPr>
          <w:rStyle w:val="FootnoteReference"/>
        </w:rPr>
        <w:footnoteRef/>
      </w:r>
      <w:r>
        <w:t xml:space="preserve"> </w:t>
      </w:r>
      <w:r>
        <w:tab/>
        <w:t xml:space="preserve">NIEIR notes that </w:t>
      </w:r>
      <w:r w:rsidRPr="00F43514">
        <w:t>Multinet</w:t>
      </w:r>
      <w:r>
        <w:t>'s dwelling growth completions was below state projection as Multinet's</w:t>
      </w:r>
      <w:r w:rsidRPr="00F43514">
        <w:t xml:space="preserve"> network </w:t>
      </w:r>
      <w:r>
        <w:t xml:space="preserve">covers </w:t>
      </w:r>
      <w:r w:rsidRPr="00F43514">
        <w:t xml:space="preserve">an established area </w:t>
      </w:r>
      <w:r>
        <w:t xml:space="preserve">of Melbourne. See </w:t>
      </w:r>
      <w:r w:rsidRPr="00B751BE">
        <w:t xml:space="preserve">Multinet, </w:t>
      </w:r>
      <w:r w:rsidRPr="004C24AF">
        <w:rPr>
          <w:rStyle w:val="AERtextitalic"/>
        </w:rPr>
        <w:t>Response to Information Request #13 - Demand Forecast</w:t>
      </w:r>
      <w:r>
        <w:t>, 27 March 2017, p. 5</w:t>
      </w:r>
      <w:r w:rsidRPr="00B751BE">
        <w:t>.</w:t>
      </w:r>
    </w:p>
  </w:footnote>
  <w:footnote w:id="17">
    <w:p w:rsidR="005138E3" w:rsidRDefault="005138E3" w:rsidP="000679D2">
      <w:pPr>
        <w:pStyle w:val="FootnoteText"/>
      </w:pPr>
      <w:r>
        <w:rPr>
          <w:rStyle w:val="FootnoteReference"/>
        </w:rPr>
        <w:footnoteRef/>
      </w:r>
      <w:r>
        <w:t xml:space="preserve"> </w:t>
      </w:r>
      <w:r>
        <w:tab/>
        <w:t xml:space="preserve">In the access arrangement information, Multinet notes that new customers typically have more efficient appliances and thermally efficient dwelling. See </w:t>
      </w:r>
      <w:r w:rsidRPr="00234E19">
        <w:t xml:space="preserve">Multinet, </w:t>
      </w:r>
      <w:r w:rsidRPr="004C24AF">
        <w:rPr>
          <w:rStyle w:val="AERtextitalic"/>
        </w:rPr>
        <w:t>2018 to 2022 Access Arrangement Information</w:t>
      </w:r>
      <w:r>
        <w:t>, 21 December 2016, p.35</w:t>
      </w:r>
      <w:r w:rsidRPr="00234E19">
        <w:t>.</w:t>
      </w:r>
    </w:p>
  </w:footnote>
  <w:footnote w:id="18">
    <w:p w:rsidR="005138E3" w:rsidRDefault="005138E3" w:rsidP="000679D2">
      <w:pPr>
        <w:pStyle w:val="FootnoteText"/>
      </w:pPr>
      <w:r>
        <w:rPr>
          <w:rStyle w:val="FootnoteReference"/>
        </w:rPr>
        <w:footnoteRef/>
      </w:r>
      <w:r>
        <w:t xml:space="preserve"> </w:t>
      </w:r>
      <w:r>
        <w:tab/>
        <w:t xml:space="preserve">This relates to demand for space heating. See ACIL Allen </w:t>
      </w:r>
      <w:r w:rsidRPr="000F7C01">
        <w:rPr>
          <w:rStyle w:val="Emphasis"/>
        </w:rPr>
        <w:t>Review of demand forecasts for Multinet</w:t>
      </w:r>
      <w:r w:rsidRPr="000F7C01">
        <w:t>, June 2017, p.</w:t>
      </w:r>
      <w:r>
        <w:t xml:space="preserve"> 17.</w:t>
      </w:r>
    </w:p>
  </w:footnote>
  <w:footnote w:id="19">
    <w:p w:rsidR="005138E3" w:rsidRDefault="005138E3" w:rsidP="000679D2">
      <w:pPr>
        <w:pStyle w:val="FootnoteText"/>
      </w:pPr>
      <w:r>
        <w:rPr>
          <w:rStyle w:val="FootnoteReference"/>
        </w:rPr>
        <w:footnoteRef/>
      </w:r>
      <w:r>
        <w:t xml:space="preserve"> </w:t>
      </w:r>
      <w:r>
        <w:tab/>
        <w:t xml:space="preserve">Policy responses appear to relate to Minimum Energy Performance Standard (MEPS) for water and space heating targets. See ACIL Allen </w:t>
      </w:r>
      <w:r w:rsidRPr="000F7C01">
        <w:rPr>
          <w:rStyle w:val="Emphasis"/>
        </w:rPr>
        <w:t>Review of demand forecasts for Multinet</w:t>
      </w:r>
      <w:r w:rsidRPr="000F7C01">
        <w:t>, June 2017, p.</w:t>
      </w:r>
      <w:r>
        <w:t xml:space="preserve"> 17.</w:t>
      </w:r>
    </w:p>
  </w:footnote>
  <w:footnote w:id="20">
    <w:p w:rsidR="005138E3" w:rsidRDefault="005138E3" w:rsidP="000679D2">
      <w:pPr>
        <w:pStyle w:val="FootnoteText"/>
      </w:pPr>
      <w:r>
        <w:rPr>
          <w:rStyle w:val="FootnoteReference"/>
        </w:rPr>
        <w:footnoteRef/>
      </w:r>
      <w:r>
        <w:t xml:space="preserve"> </w:t>
      </w:r>
      <w:r>
        <w:tab/>
      </w:r>
      <w:r w:rsidRPr="0092796B">
        <w:t xml:space="preserve">Multinet, </w:t>
      </w:r>
      <w:r w:rsidRPr="0092796B">
        <w:rPr>
          <w:rStyle w:val="Emphasis"/>
        </w:rPr>
        <w:t>Response to Information Request #13 - Demand Forecast</w:t>
      </w:r>
      <w:r>
        <w:t>, 27 March 2017, p. 9</w:t>
      </w:r>
      <w:r w:rsidRPr="0092796B">
        <w:t>.</w:t>
      </w:r>
    </w:p>
  </w:footnote>
  <w:footnote w:id="21">
    <w:p w:rsidR="005138E3" w:rsidRDefault="005138E3">
      <w:pPr>
        <w:pStyle w:val="FootnoteText"/>
      </w:pPr>
      <w:r>
        <w:rPr>
          <w:rStyle w:val="FootnoteReference"/>
        </w:rPr>
        <w:footnoteRef/>
      </w:r>
      <w:r>
        <w:t xml:space="preserve"> </w:t>
      </w:r>
      <w:r>
        <w:tab/>
        <w:t xml:space="preserve">Multinet provided us the high level equation that was used to inform the parameterisation of commercial gas demand. See </w:t>
      </w:r>
      <w:r w:rsidRPr="001B653F">
        <w:t xml:space="preserve">Multinet, </w:t>
      </w:r>
      <w:r w:rsidRPr="001B653F">
        <w:rPr>
          <w:rStyle w:val="Emphasis"/>
        </w:rPr>
        <w:t>Response to Information Request #13 - Demand Forecast</w:t>
      </w:r>
      <w:r>
        <w:t>, 27 March 2017, p. 3</w:t>
      </w:r>
      <w:r w:rsidRPr="001B653F">
        <w:t>.</w:t>
      </w:r>
    </w:p>
  </w:footnote>
  <w:footnote w:id="22">
    <w:p w:rsidR="005138E3" w:rsidRDefault="005138E3" w:rsidP="001B653F">
      <w:pPr>
        <w:pStyle w:val="FootnoteText"/>
      </w:pPr>
      <w:r>
        <w:rPr>
          <w:rStyle w:val="FootnoteReference"/>
        </w:rPr>
        <w:footnoteRef/>
      </w:r>
      <w:r>
        <w:t xml:space="preserve"> </w:t>
      </w:r>
      <w:r>
        <w:tab/>
        <w:t xml:space="preserve">NIEIR considered that Multinet's eight years historical billing data, to be an insufficient length of time to rely on it as an estimate for forecasting Tariff V commercial demand. See Multinet Gas, </w:t>
      </w:r>
      <w:r w:rsidRPr="004C24AF">
        <w:rPr>
          <w:rStyle w:val="AERtextitalic"/>
        </w:rPr>
        <w:t xml:space="preserve">9.1 - National Institute of Economic and Industry Research, </w:t>
      </w:r>
      <w:r w:rsidRPr="00460D93">
        <w:rPr>
          <w:rStyle w:val="Emphasis"/>
        </w:rPr>
        <w:t>Natural gas, customer number and MHQ forecasts for Multinet Gas to 2026 - Volume 1</w:t>
      </w:r>
      <w:r>
        <w:t xml:space="preserve">, August 2016, p.39. </w:t>
      </w:r>
    </w:p>
  </w:footnote>
  <w:footnote w:id="23">
    <w:p w:rsidR="005138E3" w:rsidRDefault="005138E3" w:rsidP="000679D2">
      <w:pPr>
        <w:pStyle w:val="FootnoteText"/>
      </w:pPr>
      <w:r>
        <w:rPr>
          <w:rStyle w:val="FootnoteReference"/>
        </w:rPr>
        <w:footnoteRef/>
      </w:r>
      <w:r>
        <w:t xml:space="preserve"> </w:t>
      </w:r>
      <w:r>
        <w:tab/>
      </w:r>
      <w:proofErr w:type="gramStart"/>
      <w:r>
        <w:t xml:space="preserve">Multinet Gas, </w:t>
      </w:r>
      <w:r w:rsidRPr="004C24AF">
        <w:rPr>
          <w:rStyle w:val="AERtextitalic"/>
        </w:rPr>
        <w:t>9.2 - National Institute of Economic and Industry Research,</w:t>
      </w:r>
      <w:r>
        <w:t xml:space="preserve"> </w:t>
      </w:r>
      <w:r w:rsidRPr="00460D93">
        <w:rPr>
          <w:rStyle w:val="Emphasis"/>
        </w:rPr>
        <w:t>Peak day, peak hour and postcode projections for Multinet Gas to 2026 - Volume 2</w:t>
      </w:r>
      <w:r>
        <w:t>, August 2016, p.26.</w:t>
      </w:r>
      <w:proofErr w:type="gramEnd"/>
    </w:p>
  </w:footnote>
  <w:footnote w:id="24">
    <w:p w:rsidR="005138E3" w:rsidRDefault="005138E3" w:rsidP="000679D2">
      <w:pPr>
        <w:pStyle w:val="FootnoteText"/>
      </w:pPr>
      <w:r>
        <w:rPr>
          <w:rStyle w:val="FootnoteReference"/>
        </w:rPr>
        <w:footnoteRef/>
      </w:r>
      <w:r>
        <w:t xml:space="preserve"> </w:t>
      </w:r>
      <w:r>
        <w:tab/>
        <w:t xml:space="preserve">The surveys were addressed to Multinet's top 30 Tariff D customers. 12 out of the 30 customers responded to the survey, which represent about 29 per cent of total Tariff D consumption. See Multinet, </w:t>
      </w:r>
      <w:r w:rsidRPr="0098578D">
        <w:rPr>
          <w:rStyle w:val="Emphasis"/>
        </w:rPr>
        <w:t>Response to Information Request #13 - Demand Forecast</w:t>
      </w:r>
      <w:r>
        <w:t xml:space="preserve">, 27 March 2017, p.2. </w:t>
      </w:r>
    </w:p>
  </w:footnote>
  <w:footnote w:id="25">
    <w:p w:rsidR="005138E3" w:rsidRDefault="005138E3" w:rsidP="000679D2">
      <w:pPr>
        <w:pStyle w:val="FootnoteText"/>
      </w:pPr>
      <w:r>
        <w:rPr>
          <w:rStyle w:val="FootnoteReference"/>
        </w:rPr>
        <w:footnoteRef/>
      </w:r>
      <w:r>
        <w:t xml:space="preserve"> </w:t>
      </w:r>
      <w:r>
        <w:tab/>
      </w:r>
      <w:r w:rsidRPr="000F7C01">
        <w:t xml:space="preserve">ACIL Allen, </w:t>
      </w:r>
      <w:r w:rsidRPr="000F7C01">
        <w:rPr>
          <w:rStyle w:val="Emphasis"/>
        </w:rPr>
        <w:t>Review of demand forecasts for Multinet</w:t>
      </w:r>
      <w:r w:rsidRPr="000F7C01">
        <w:t>, June 2017, p.</w:t>
      </w:r>
    </w:p>
  </w:footnote>
  <w:footnote w:id="26">
    <w:p w:rsidR="005138E3" w:rsidRDefault="005138E3" w:rsidP="000679D2">
      <w:pPr>
        <w:pStyle w:val="FootnoteText"/>
      </w:pPr>
      <w:r>
        <w:rPr>
          <w:rStyle w:val="FootnoteReference"/>
        </w:rPr>
        <w:footnoteRef/>
      </w:r>
      <w:r>
        <w:t xml:space="preserve"> </w:t>
      </w:r>
      <w:r>
        <w:tab/>
      </w:r>
      <w:r w:rsidRPr="00CF64CC">
        <w:t>NGR, r. 72(1</w:t>
      </w:r>
      <w:proofErr w:type="gramStart"/>
      <w:r w:rsidRPr="00CF64CC">
        <w:t>)(</w:t>
      </w:r>
      <w:proofErr w:type="gramEnd"/>
      <w:r w:rsidRPr="00CF64CC">
        <w:t>a)(iii).</w:t>
      </w:r>
    </w:p>
  </w:footnote>
  <w:footnote w:id="27">
    <w:p w:rsidR="005138E3" w:rsidRDefault="005138E3" w:rsidP="000679D2">
      <w:pPr>
        <w:pStyle w:val="FootnoteText"/>
      </w:pPr>
      <w:r>
        <w:rPr>
          <w:rStyle w:val="FootnoteReference"/>
        </w:rPr>
        <w:footnoteRef/>
      </w:r>
      <w:r>
        <w:t xml:space="preserve"> </w:t>
      </w:r>
      <w:r>
        <w:tab/>
      </w:r>
      <w:r w:rsidRPr="00CF64CC">
        <w:t>NGR, r. 72(1</w:t>
      </w:r>
      <w:proofErr w:type="gramStart"/>
      <w:r w:rsidRPr="00CF64CC">
        <w:t>)(</w:t>
      </w:r>
      <w:proofErr w:type="gramEnd"/>
      <w:r w:rsidRPr="00CF64CC">
        <w:t>d).</w:t>
      </w:r>
    </w:p>
  </w:footnote>
  <w:footnote w:id="28">
    <w:p w:rsidR="005138E3" w:rsidRDefault="005138E3" w:rsidP="000679D2">
      <w:pPr>
        <w:pStyle w:val="FootnoteText"/>
      </w:pPr>
      <w:r>
        <w:rPr>
          <w:rStyle w:val="FootnoteReference"/>
        </w:rPr>
        <w:footnoteRef/>
      </w:r>
      <w:r>
        <w:t xml:space="preserve"> </w:t>
      </w:r>
      <w:r>
        <w:tab/>
      </w:r>
      <w:proofErr w:type="gramStart"/>
      <w:r w:rsidRPr="00CF64CC">
        <w:t>NGR, r. 74(2).</w:t>
      </w:r>
      <w:proofErr w:type="gramEnd"/>
    </w:p>
  </w:footnote>
  <w:footnote w:id="29">
    <w:p w:rsidR="005138E3" w:rsidRDefault="005138E3" w:rsidP="000679D2">
      <w:pPr>
        <w:pStyle w:val="FootnoteText"/>
      </w:pPr>
      <w:r>
        <w:rPr>
          <w:rStyle w:val="FootnoteReference"/>
        </w:rPr>
        <w:footnoteRef/>
      </w:r>
      <w:r>
        <w:t xml:space="preserve"> </w:t>
      </w:r>
      <w:r>
        <w:tab/>
      </w:r>
      <w:proofErr w:type="gramStart"/>
      <w:r w:rsidRPr="00CF64CC">
        <w:t>NGR, r. 74(2).</w:t>
      </w:r>
      <w:proofErr w:type="gramEnd"/>
    </w:p>
  </w:footnote>
  <w:footnote w:id="30">
    <w:p w:rsidR="005138E3" w:rsidRDefault="005138E3" w:rsidP="000679D2">
      <w:pPr>
        <w:pStyle w:val="FootnoteText"/>
      </w:pPr>
      <w:r>
        <w:rPr>
          <w:rStyle w:val="FootnoteReference"/>
        </w:rPr>
        <w:footnoteRef/>
      </w:r>
      <w:r>
        <w:t xml:space="preserve"> </w:t>
      </w:r>
      <w:r>
        <w:tab/>
      </w:r>
      <w:r w:rsidRPr="00FD39E2">
        <w:t xml:space="preserve">ACIL Allen, </w:t>
      </w:r>
      <w:r w:rsidRPr="00350777">
        <w:rPr>
          <w:rStyle w:val="Emphasis"/>
        </w:rPr>
        <w:t>Review of demand forecasts for Multinet</w:t>
      </w:r>
      <w:r w:rsidRPr="00FD39E2">
        <w:t xml:space="preserve">, June 2017, p. </w:t>
      </w:r>
      <w:r>
        <w:t>A1</w:t>
      </w:r>
      <w:r w:rsidRPr="00FD39E2">
        <w:t>.</w:t>
      </w:r>
    </w:p>
  </w:footnote>
  <w:footnote w:id="31">
    <w:p w:rsidR="005138E3" w:rsidRDefault="005138E3" w:rsidP="000679D2">
      <w:pPr>
        <w:pStyle w:val="FootnoteText"/>
      </w:pPr>
      <w:r>
        <w:rPr>
          <w:rStyle w:val="FootnoteReference"/>
        </w:rPr>
        <w:footnoteRef/>
      </w:r>
      <w:r>
        <w:t xml:space="preserve"> </w:t>
      </w:r>
      <w:r>
        <w:tab/>
      </w:r>
      <w:proofErr w:type="gramStart"/>
      <w:r>
        <w:t>NGR, r. 74(2).</w:t>
      </w:r>
      <w:proofErr w:type="gramEnd"/>
    </w:p>
  </w:footnote>
  <w:footnote w:id="32">
    <w:p w:rsidR="005138E3" w:rsidRDefault="005138E3" w:rsidP="000679D2">
      <w:pPr>
        <w:pStyle w:val="FootnoteText"/>
      </w:pPr>
      <w:r>
        <w:rPr>
          <w:rStyle w:val="FootnoteReference"/>
        </w:rPr>
        <w:footnoteRef/>
      </w:r>
      <w:r>
        <w:t xml:space="preserve"> </w:t>
      </w:r>
      <w:r>
        <w:tab/>
      </w:r>
      <w:proofErr w:type="gramStart"/>
      <w:r>
        <w:t>NGR, r. 74(2).</w:t>
      </w:r>
      <w:proofErr w:type="gramEnd"/>
    </w:p>
  </w:footnote>
  <w:footnote w:id="33">
    <w:p w:rsidR="005138E3" w:rsidRDefault="005138E3" w:rsidP="000679D2">
      <w:pPr>
        <w:pStyle w:val="FootnoteText"/>
      </w:pPr>
      <w:r>
        <w:rPr>
          <w:rStyle w:val="FootnoteReference"/>
        </w:rPr>
        <w:footnoteRef/>
      </w:r>
      <w:r>
        <w:t xml:space="preserve"> </w:t>
      </w:r>
      <w:r>
        <w:tab/>
      </w:r>
      <w:r w:rsidRPr="00DA0FA0">
        <w:t>NGR, r. 72(1</w:t>
      </w:r>
      <w:proofErr w:type="gramStart"/>
      <w:r w:rsidRPr="00DA0FA0">
        <w:t>)(</w:t>
      </w:r>
      <w:proofErr w:type="gramEnd"/>
      <w:r w:rsidRPr="00DA0FA0">
        <w:t>a)(iii)(A).</w:t>
      </w:r>
    </w:p>
  </w:footnote>
  <w:footnote w:id="34">
    <w:p w:rsidR="005138E3" w:rsidRPr="000A0735" w:rsidRDefault="005138E3" w:rsidP="000679D2">
      <w:pPr>
        <w:pStyle w:val="FootnoteText"/>
        <w:rPr>
          <w:rStyle w:val="Emphasis"/>
        </w:rPr>
      </w:pPr>
      <w:r>
        <w:rPr>
          <w:rStyle w:val="FootnoteReference"/>
        </w:rPr>
        <w:footnoteRef/>
      </w:r>
      <w:r>
        <w:t xml:space="preserve"> </w:t>
      </w:r>
      <w:r>
        <w:tab/>
      </w:r>
      <w:proofErr w:type="spellStart"/>
      <w:proofErr w:type="gramStart"/>
      <w:r>
        <w:t>Mutlinet</w:t>
      </w:r>
      <w:proofErr w:type="spellEnd"/>
      <w:r>
        <w:t xml:space="preserve">, </w:t>
      </w:r>
      <w:r w:rsidRPr="000A0735">
        <w:rPr>
          <w:rStyle w:val="Emphasis"/>
        </w:rPr>
        <w:t>Access Arrangement Information 2018–22</w:t>
      </w:r>
      <w:r>
        <w:t xml:space="preserve">, 21 December 2016, pp.28 and Multinet, </w:t>
      </w:r>
      <w:r w:rsidRPr="004C24AF">
        <w:rPr>
          <w:rStyle w:val="AERtextitalic"/>
        </w:rPr>
        <w:t>11A -</w:t>
      </w:r>
      <w:r>
        <w:t xml:space="preserve"> </w:t>
      </w:r>
      <w:r w:rsidRPr="00B125BE">
        <w:rPr>
          <w:rStyle w:val="Emphasis"/>
        </w:rPr>
        <w:t>Final 2018-22 Reset RIN Templates - Multinet Gas Response</w:t>
      </w:r>
      <w:r>
        <w:t>, 9 January 2017.</w:t>
      </w:r>
      <w:proofErr w:type="gramEnd"/>
    </w:p>
  </w:footnote>
  <w:footnote w:id="35">
    <w:p w:rsidR="005138E3" w:rsidRDefault="005138E3">
      <w:pPr>
        <w:pStyle w:val="FootnoteText"/>
      </w:pPr>
      <w:r>
        <w:rPr>
          <w:rStyle w:val="FootnoteReference"/>
        </w:rPr>
        <w:footnoteRef/>
      </w:r>
      <w:r>
        <w:t xml:space="preserve"> </w:t>
      </w:r>
      <w:r>
        <w:tab/>
        <w:t>NGR, r. 72(1</w:t>
      </w:r>
      <w:proofErr w:type="gramStart"/>
      <w:r>
        <w:t>)(</w:t>
      </w:r>
      <w:proofErr w:type="gramEnd"/>
      <w:r>
        <w:t>d</w:t>
      </w:r>
      <w:r w:rsidRPr="00B125BE">
        <w:t>).</w:t>
      </w:r>
    </w:p>
  </w:footnote>
  <w:footnote w:id="36">
    <w:p w:rsidR="005138E3" w:rsidRDefault="005138E3" w:rsidP="000679D2">
      <w:pPr>
        <w:pStyle w:val="FootnoteText"/>
      </w:pPr>
      <w:r>
        <w:rPr>
          <w:rStyle w:val="FootnoteReference"/>
        </w:rPr>
        <w:footnoteRef/>
      </w:r>
      <w:r>
        <w:t xml:space="preserve">   </w:t>
      </w:r>
      <w:r>
        <w:tab/>
        <w:t>We acknowledge that the</w:t>
      </w:r>
      <w:r w:rsidRPr="00947FC9">
        <w:t xml:space="preserve"> fact that a forecast diverges from the historical trend cannot in itself be taken as proof that the forecast is unreasonable. Rather, such divergence may prompt us to ask whether there are good reasons for the break in trend.</w:t>
      </w:r>
      <w:r>
        <w:t xml:space="preserve"> See </w:t>
      </w:r>
      <w:r w:rsidRPr="00B11F05">
        <w:t xml:space="preserve">ACIL Allen, </w:t>
      </w:r>
      <w:r w:rsidRPr="007C75BB">
        <w:rPr>
          <w:rStyle w:val="Emphasis"/>
        </w:rPr>
        <w:t>Review of demand forecasts for Multinet</w:t>
      </w:r>
      <w:r w:rsidRPr="00B11F05">
        <w:t xml:space="preserve">, </w:t>
      </w:r>
      <w:r w:rsidRPr="00504929">
        <w:t>June 2017, p.</w:t>
      </w:r>
      <w:r>
        <w:t>30.</w:t>
      </w:r>
    </w:p>
  </w:footnote>
  <w:footnote w:id="37">
    <w:p w:rsidR="005138E3" w:rsidRDefault="005138E3">
      <w:pPr>
        <w:pStyle w:val="FootnoteText"/>
      </w:pPr>
      <w:r>
        <w:rPr>
          <w:rStyle w:val="FootnoteReference"/>
        </w:rPr>
        <w:footnoteRef/>
      </w:r>
      <w:r>
        <w:t xml:space="preserve"> </w:t>
      </w:r>
      <w:r>
        <w:tab/>
      </w:r>
      <w:r w:rsidRPr="00947FC9">
        <w:t xml:space="preserve">The difference between the historical connections numbers and ACIF average connections forecast is approximately 5 per </w:t>
      </w:r>
      <w:proofErr w:type="gramStart"/>
      <w:r w:rsidRPr="00947FC9">
        <w:t>cent,</w:t>
      </w:r>
      <w:proofErr w:type="gramEnd"/>
      <w:r w:rsidRPr="00947FC9">
        <w:t xml:space="preserve"> on the other hand, the difference between average historical connections and NIEIR average connections forecast is 16 per cent.</w:t>
      </w:r>
    </w:p>
  </w:footnote>
  <w:footnote w:id="38">
    <w:p w:rsidR="005138E3" w:rsidRDefault="005138E3" w:rsidP="000679D2">
      <w:pPr>
        <w:pStyle w:val="FootnoteText"/>
      </w:pPr>
      <w:r>
        <w:rPr>
          <w:rStyle w:val="FootnoteReference"/>
        </w:rPr>
        <w:footnoteRef/>
      </w:r>
      <w:r>
        <w:t xml:space="preserve"> </w:t>
      </w:r>
      <w:r>
        <w:tab/>
        <w:t xml:space="preserve">The historical data and the ACIF forecast are as reported in the Reset RIN. The NIEIR forecast is as per </w:t>
      </w:r>
      <w:r w:rsidRPr="005B205C">
        <w:t xml:space="preserve">Multinet Gas - </w:t>
      </w:r>
      <w:r w:rsidRPr="004C24AF">
        <w:rPr>
          <w:rStyle w:val="AERtextitalic"/>
        </w:rPr>
        <w:t>0.8 - NIEIR detailed volumes</w:t>
      </w:r>
      <w:r w:rsidRPr="005B205C">
        <w:t xml:space="preserve"> - 20161221</w:t>
      </w:r>
      <w:r>
        <w:t xml:space="preserve">. </w:t>
      </w:r>
    </w:p>
  </w:footnote>
  <w:footnote w:id="39">
    <w:p w:rsidR="005138E3" w:rsidRDefault="005138E3" w:rsidP="000679D2">
      <w:pPr>
        <w:pStyle w:val="FootnoteText"/>
      </w:pPr>
      <w:r>
        <w:rPr>
          <w:rStyle w:val="FootnoteReference"/>
        </w:rPr>
        <w:footnoteRef/>
      </w:r>
      <w:r>
        <w:t xml:space="preserve"> </w:t>
      </w:r>
      <w:r>
        <w:tab/>
        <w:t xml:space="preserve">Multinet, </w:t>
      </w:r>
      <w:r w:rsidRPr="004C24AF">
        <w:rPr>
          <w:rStyle w:val="AERtextitalic"/>
        </w:rPr>
        <w:t>Response to information request #24</w:t>
      </w:r>
      <w:r>
        <w:t>, 10 May 2017</w:t>
      </w:r>
    </w:p>
  </w:footnote>
  <w:footnote w:id="40">
    <w:p w:rsidR="005138E3" w:rsidRDefault="005138E3">
      <w:pPr>
        <w:pStyle w:val="FootnoteText"/>
      </w:pPr>
      <w:r>
        <w:rPr>
          <w:rStyle w:val="FootnoteReference"/>
        </w:rPr>
        <w:footnoteRef/>
      </w:r>
      <w:r>
        <w:t xml:space="preserve"> </w:t>
      </w:r>
      <w:r>
        <w:tab/>
        <w:t xml:space="preserve">ACIL Allen considers that the accurate forecasts of gross and net connections numbers are fundamental to the reliability of the demand forecasts. ACIL Allen added that if Multinet considers NIEIR's gross connection forecast to be unacceptably low for the purposes of estimating future capital expenditure, then similarly it follows that their forecasts of Tariff V demand are likely to be too low. </w:t>
      </w:r>
      <w:proofErr w:type="gramStart"/>
      <w:r>
        <w:t xml:space="preserve">See  </w:t>
      </w:r>
      <w:r w:rsidRPr="00B11F05">
        <w:t>ACIL</w:t>
      </w:r>
      <w:proofErr w:type="gramEnd"/>
      <w:r w:rsidRPr="00B11F05">
        <w:t xml:space="preserve"> Allen, </w:t>
      </w:r>
      <w:r w:rsidRPr="007C75BB">
        <w:rPr>
          <w:rStyle w:val="Emphasis"/>
        </w:rPr>
        <w:t>Review of demand forecasts for Multine</w:t>
      </w:r>
      <w:r w:rsidRPr="00B11F05">
        <w:t>t, June 2017, p.</w:t>
      </w:r>
      <w:r>
        <w:t xml:space="preserve"> 16.</w:t>
      </w:r>
    </w:p>
  </w:footnote>
  <w:footnote w:id="41">
    <w:p w:rsidR="005138E3" w:rsidRDefault="005138E3" w:rsidP="000679D2">
      <w:pPr>
        <w:pStyle w:val="FootnoteText"/>
      </w:pPr>
      <w:r>
        <w:rPr>
          <w:rStyle w:val="FootnoteReference"/>
        </w:rPr>
        <w:footnoteRef/>
      </w:r>
      <w:r>
        <w:t xml:space="preserve"> </w:t>
      </w:r>
      <w:r>
        <w:tab/>
      </w:r>
      <w:r w:rsidRPr="00B11F05">
        <w:t xml:space="preserve">ACIL Allen, </w:t>
      </w:r>
      <w:r w:rsidRPr="007C75BB">
        <w:rPr>
          <w:rStyle w:val="Emphasis"/>
        </w:rPr>
        <w:t>Review of demand forecasts for Multine</w:t>
      </w:r>
      <w:r w:rsidRPr="00B11F05">
        <w:t>t, June 2017, p.</w:t>
      </w:r>
      <w:r>
        <w:t xml:space="preserve"> 22.</w:t>
      </w:r>
    </w:p>
  </w:footnote>
  <w:footnote w:id="42">
    <w:p w:rsidR="005138E3" w:rsidRDefault="005138E3">
      <w:pPr>
        <w:pStyle w:val="FootnoteText"/>
      </w:pPr>
      <w:r>
        <w:rPr>
          <w:rStyle w:val="FootnoteReference"/>
        </w:rPr>
        <w:footnoteRef/>
      </w:r>
      <w:r>
        <w:t xml:space="preserve"> </w:t>
      </w:r>
      <w:r>
        <w:tab/>
        <w:t>ACIL Allen, Review of demand forecasts for Multinet, June 2017, p. 30.</w:t>
      </w:r>
    </w:p>
  </w:footnote>
  <w:footnote w:id="43">
    <w:p w:rsidR="005138E3" w:rsidRDefault="005138E3" w:rsidP="000679D2">
      <w:pPr>
        <w:pStyle w:val="FootnoteText"/>
      </w:pPr>
      <w:r>
        <w:rPr>
          <w:rStyle w:val="FootnoteReference"/>
        </w:rPr>
        <w:footnoteRef/>
      </w:r>
      <w:r>
        <w:t xml:space="preserve"> </w:t>
      </w:r>
      <w:r>
        <w:tab/>
      </w:r>
      <w:r w:rsidRPr="00B11F05">
        <w:t xml:space="preserve">ACIL Allen, </w:t>
      </w:r>
      <w:r w:rsidRPr="007C75BB">
        <w:rPr>
          <w:rStyle w:val="Emphasis"/>
        </w:rPr>
        <w:t>Review of demand forecasts for Multinet</w:t>
      </w:r>
      <w:r w:rsidRPr="00B11F05">
        <w:t xml:space="preserve">, </w:t>
      </w:r>
      <w:r w:rsidRPr="00504929">
        <w:t>June 2017, p.</w:t>
      </w:r>
      <w:r>
        <w:t>30.</w:t>
      </w:r>
    </w:p>
  </w:footnote>
  <w:footnote w:id="44">
    <w:p w:rsidR="005138E3" w:rsidRDefault="005138E3" w:rsidP="000679D2">
      <w:pPr>
        <w:pStyle w:val="FootnoteText"/>
      </w:pPr>
      <w:r>
        <w:rPr>
          <w:rStyle w:val="FootnoteReference"/>
        </w:rPr>
        <w:footnoteRef/>
      </w:r>
      <w:r>
        <w:t xml:space="preserve"> </w:t>
      </w:r>
      <w:r>
        <w:tab/>
      </w:r>
      <w:proofErr w:type="gramStart"/>
      <w:r>
        <w:t>NGR, r. 74(2).</w:t>
      </w:r>
      <w:proofErr w:type="gramEnd"/>
    </w:p>
  </w:footnote>
  <w:footnote w:id="45">
    <w:p w:rsidR="005138E3" w:rsidRDefault="005138E3" w:rsidP="000679D2">
      <w:pPr>
        <w:pStyle w:val="FootnoteText"/>
      </w:pPr>
      <w:r>
        <w:rPr>
          <w:rStyle w:val="FootnoteReference"/>
        </w:rPr>
        <w:footnoteRef/>
      </w:r>
      <w:r>
        <w:t xml:space="preserve"> </w:t>
      </w:r>
      <w:r>
        <w:tab/>
        <w:t xml:space="preserve">Multinet Gas, </w:t>
      </w:r>
      <w:r w:rsidRPr="004C24AF">
        <w:rPr>
          <w:rStyle w:val="AERtextitalic"/>
        </w:rPr>
        <w:t xml:space="preserve">9.1 - National Institute of Economic and Industry Research, </w:t>
      </w:r>
      <w:r w:rsidRPr="0054046D">
        <w:rPr>
          <w:rStyle w:val="Emphasis"/>
        </w:rPr>
        <w:t>Natural gas, customer number and MHQ forecasts for Multinet Gas to 2026 (Volume One)</w:t>
      </w:r>
      <w:r>
        <w:t>, August 2016, pp. 40-49.</w:t>
      </w:r>
    </w:p>
  </w:footnote>
  <w:footnote w:id="46">
    <w:p w:rsidR="005138E3" w:rsidRDefault="005138E3" w:rsidP="000679D2">
      <w:pPr>
        <w:pStyle w:val="FootnoteText"/>
      </w:pPr>
      <w:r>
        <w:rPr>
          <w:rStyle w:val="FootnoteReference"/>
        </w:rPr>
        <w:footnoteRef/>
      </w:r>
      <w:r>
        <w:t xml:space="preserve"> </w:t>
      </w:r>
      <w:r>
        <w:tab/>
        <w:t xml:space="preserve">NIEIR obtained data from the Bureau of Meteorology to construct the Effective Degree Index. See </w:t>
      </w:r>
      <w:r w:rsidRPr="00D42278">
        <w:t xml:space="preserve">Multinet, </w:t>
      </w:r>
      <w:r w:rsidRPr="004C24AF">
        <w:rPr>
          <w:rStyle w:val="AERtextitalic"/>
        </w:rPr>
        <w:t>2018 to 2022 Access Arrangement Information</w:t>
      </w:r>
      <w:r w:rsidRPr="00D42278">
        <w:t>, 21 December 2016, p.30.</w:t>
      </w:r>
    </w:p>
  </w:footnote>
  <w:footnote w:id="47">
    <w:p w:rsidR="005138E3" w:rsidRDefault="005138E3" w:rsidP="000679D2">
      <w:pPr>
        <w:pStyle w:val="FootnoteText"/>
      </w:pPr>
      <w:r>
        <w:rPr>
          <w:rStyle w:val="FootnoteReference"/>
        </w:rPr>
        <w:footnoteRef/>
      </w:r>
      <w:r>
        <w:t xml:space="preserve"> </w:t>
      </w:r>
      <w:r>
        <w:tab/>
        <w:t xml:space="preserve">Australian Energy Market Operator, </w:t>
      </w:r>
      <w:r w:rsidRPr="0070707F">
        <w:rPr>
          <w:rStyle w:val="Emphasis"/>
        </w:rPr>
        <w:t>Forecasting Methodology Information Paper</w:t>
      </w:r>
      <w:r>
        <w:t xml:space="preserve"> - </w:t>
      </w:r>
      <w:r w:rsidRPr="0070707F">
        <w:rPr>
          <w:rStyle w:val="Emphasis"/>
        </w:rPr>
        <w:t>National Gas Forecasting Report</w:t>
      </w:r>
      <w:r>
        <w:t>, February 2017, p.53</w:t>
      </w:r>
    </w:p>
  </w:footnote>
  <w:footnote w:id="48">
    <w:p w:rsidR="005138E3" w:rsidRDefault="005138E3" w:rsidP="000679D2">
      <w:pPr>
        <w:pStyle w:val="FootnoteText"/>
      </w:pPr>
      <w:r>
        <w:rPr>
          <w:rStyle w:val="FootnoteReference"/>
        </w:rPr>
        <w:footnoteRef/>
      </w:r>
      <w:r>
        <w:t xml:space="preserve"> </w:t>
      </w:r>
      <w:r>
        <w:tab/>
        <w:t xml:space="preserve">Australian Energy Market Operator, </w:t>
      </w:r>
      <w:r w:rsidRPr="004504C7">
        <w:rPr>
          <w:rStyle w:val="Emphasis"/>
        </w:rPr>
        <w:t>Forecasting Methodology Information Paper - National Gas Forecasting Report</w:t>
      </w:r>
      <w:r>
        <w:t>, February 2017, p.53</w:t>
      </w:r>
    </w:p>
  </w:footnote>
  <w:footnote w:id="49">
    <w:p w:rsidR="005138E3" w:rsidRDefault="005138E3" w:rsidP="000679D2">
      <w:pPr>
        <w:pStyle w:val="FootnoteText"/>
      </w:pPr>
      <w:r>
        <w:rPr>
          <w:rStyle w:val="FootnoteReference"/>
        </w:rPr>
        <w:footnoteRef/>
      </w:r>
      <w:r>
        <w:t xml:space="preserve"> </w:t>
      </w:r>
      <w:r>
        <w:tab/>
        <w:t xml:space="preserve">Multinet Gas, </w:t>
      </w:r>
      <w:r w:rsidRPr="00A8363E">
        <w:rPr>
          <w:rStyle w:val="AERtextitalic"/>
        </w:rPr>
        <w:t xml:space="preserve">9.1 - </w:t>
      </w:r>
      <w:r w:rsidRPr="004C24AF">
        <w:rPr>
          <w:rStyle w:val="AERtextitalic"/>
        </w:rPr>
        <w:t>National Institute of Economic and Industry Research,</w:t>
      </w:r>
      <w:r w:rsidRPr="00BC5DCE">
        <w:t xml:space="preserve"> </w:t>
      </w:r>
      <w:r w:rsidRPr="00BC5DCE">
        <w:rPr>
          <w:rStyle w:val="Emphasis"/>
        </w:rPr>
        <w:t>Natural gas, customer number and MHQ forecasts for Multinet Gas to 2026 (Volume One)</w:t>
      </w:r>
      <w:r w:rsidRPr="00BC5DCE">
        <w:t>, August 2016, p.</w:t>
      </w:r>
      <w:r>
        <w:t>65</w:t>
      </w:r>
      <w:r w:rsidRPr="00BC5DCE">
        <w:t>.</w:t>
      </w:r>
    </w:p>
  </w:footnote>
  <w:footnote w:id="50">
    <w:p w:rsidR="005138E3" w:rsidRDefault="005138E3" w:rsidP="000679D2">
      <w:pPr>
        <w:pStyle w:val="FootnoteText"/>
      </w:pPr>
      <w:r>
        <w:rPr>
          <w:rStyle w:val="FootnoteReference"/>
        </w:rPr>
        <w:footnoteRef/>
      </w:r>
      <w:r>
        <w:t xml:space="preserve"> </w:t>
      </w:r>
      <w:r>
        <w:tab/>
      </w:r>
      <w:r w:rsidRPr="00657AB0">
        <w:t xml:space="preserve">ACIL Allen, </w:t>
      </w:r>
      <w:r w:rsidRPr="004C24AF">
        <w:rPr>
          <w:rStyle w:val="AERtextitalic"/>
        </w:rPr>
        <w:t>Review of demand forecasts for Multinet</w:t>
      </w:r>
      <w:r w:rsidRPr="00657AB0">
        <w:t>, June 2017, p.</w:t>
      </w:r>
      <w:r>
        <w:t xml:space="preserve"> 11.</w:t>
      </w:r>
    </w:p>
  </w:footnote>
  <w:footnote w:id="51">
    <w:p w:rsidR="005138E3" w:rsidRDefault="005138E3" w:rsidP="00343BB3">
      <w:pPr>
        <w:pStyle w:val="FootnoteText"/>
      </w:pPr>
      <w:r>
        <w:rPr>
          <w:rStyle w:val="FootnoteReference"/>
        </w:rPr>
        <w:footnoteRef/>
      </w:r>
      <w:r>
        <w:t xml:space="preserve"> </w:t>
      </w:r>
      <w:r>
        <w:tab/>
        <w:t xml:space="preserve">Multinet Gas, </w:t>
      </w:r>
      <w:r w:rsidRPr="00A8363E">
        <w:rPr>
          <w:rStyle w:val="AERtextitalic"/>
        </w:rPr>
        <w:t xml:space="preserve">9.1 - </w:t>
      </w:r>
      <w:r w:rsidRPr="004C24AF">
        <w:rPr>
          <w:rStyle w:val="AERtextitalic"/>
        </w:rPr>
        <w:t>National Institute of Economic and Industry Research,</w:t>
      </w:r>
      <w:r w:rsidRPr="003A74E8">
        <w:t xml:space="preserve"> </w:t>
      </w:r>
      <w:r w:rsidRPr="004C24AF">
        <w:rPr>
          <w:rStyle w:val="AERtextitalic"/>
        </w:rPr>
        <w:t>Natural gas, customer number and MHQ forecasts for Multinet Gas to 2026 (Volume One)</w:t>
      </w:r>
      <w:r w:rsidRPr="003A74E8">
        <w:t xml:space="preserve">, August 2016, pp. </w:t>
      </w:r>
      <w:r>
        <w:t xml:space="preserve">118 and </w:t>
      </w:r>
      <w:r w:rsidRPr="003A74E8">
        <w:t xml:space="preserve">Multinet, </w:t>
      </w:r>
      <w:r w:rsidRPr="004C24AF">
        <w:rPr>
          <w:rStyle w:val="AERtextitalic"/>
        </w:rPr>
        <w:t>2018 to 2022 Access Arrangement Information</w:t>
      </w:r>
      <w:r>
        <w:t>, 21 December 2016, p.32</w:t>
      </w:r>
    </w:p>
  </w:footnote>
  <w:footnote w:id="52">
    <w:p w:rsidR="005138E3" w:rsidRDefault="005138E3" w:rsidP="000679D2">
      <w:pPr>
        <w:pStyle w:val="FootnoteText"/>
      </w:pPr>
      <w:r>
        <w:rPr>
          <w:rStyle w:val="FootnoteReference"/>
        </w:rPr>
        <w:footnoteRef/>
      </w:r>
      <w:r>
        <w:t xml:space="preserve"> </w:t>
      </w:r>
      <w:r>
        <w:tab/>
      </w:r>
      <w:r w:rsidRPr="00214A9C">
        <w:t xml:space="preserve">Multinet, </w:t>
      </w:r>
      <w:r w:rsidRPr="004C24AF">
        <w:rPr>
          <w:rStyle w:val="AERtextitalic"/>
        </w:rPr>
        <w:t>Response to Information Request #13 - Demand Forecast</w:t>
      </w:r>
      <w:r>
        <w:t>, 27 March 2017, p. 12</w:t>
      </w:r>
      <w:r w:rsidRPr="00214A9C">
        <w:t>.</w:t>
      </w:r>
    </w:p>
  </w:footnote>
  <w:footnote w:id="53">
    <w:p w:rsidR="005138E3" w:rsidRDefault="005138E3" w:rsidP="000679D2">
      <w:pPr>
        <w:pStyle w:val="FootnoteText"/>
      </w:pPr>
      <w:r>
        <w:rPr>
          <w:rStyle w:val="FootnoteReference"/>
        </w:rPr>
        <w:footnoteRef/>
      </w:r>
      <w:r>
        <w:t xml:space="preserve"> </w:t>
      </w:r>
      <w:r>
        <w:tab/>
      </w:r>
      <w:r w:rsidRPr="00657AB0">
        <w:t xml:space="preserve">ACIL Allen, </w:t>
      </w:r>
      <w:r w:rsidRPr="004C24AF">
        <w:rPr>
          <w:rStyle w:val="AERtextitalic"/>
        </w:rPr>
        <w:t>Review of demand forecasts for Multinet</w:t>
      </w:r>
      <w:r w:rsidRPr="00657AB0">
        <w:t xml:space="preserve">, June 2017, </w:t>
      </w:r>
      <w:r>
        <w:t>p.30-1.</w:t>
      </w:r>
    </w:p>
  </w:footnote>
  <w:footnote w:id="54">
    <w:p w:rsidR="005138E3" w:rsidRDefault="005138E3" w:rsidP="000679D2">
      <w:pPr>
        <w:pStyle w:val="FootnoteText"/>
      </w:pPr>
      <w:r>
        <w:rPr>
          <w:rStyle w:val="FootnoteReference"/>
        </w:rPr>
        <w:footnoteRef/>
      </w:r>
      <w:r>
        <w:t xml:space="preserve"> </w:t>
      </w:r>
      <w:r>
        <w:tab/>
      </w:r>
      <w:proofErr w:type="gramStart"/>
      <w:r>
        <w:t>NGR, r. 74(2).</w:t>
      </w:r>
      <w:proofErr w:type="gramEnd"/>
    </w:p>
  </w:footnote>
  <w:footnote w:id="55">
    <w:p w:rsidR="005138E3" w:rsidRDefault="005138E3" w:rsidP="000679D2">
      <w:pPr>
        <w:pStyle w:val="FootnoteText"/>
      </w:pPr>
      <w:r>
        <w:rPr>
          <w:rStyle w:val="FootnoteReference"/>
        </w:rPr>
        <w:footnoteRef/>
      </w:r>
      <w:r>
        <w:t xml:space="preserve"> </w:t>
      </w:r>
      <w:r>
        <w:tab/>
      </w:r>
      <w:r w:rsidRPr="000F7C01">
        <w:t xml:space="preserve">ACIL Allen, </w:t>
      </w:r>
      <w:r w:rsidRPr="000F7C01">
        <w:rPr>
          <w:rStyle w:val="Emphasis"/>
        </w:rPr>
        <w:t>Review of demand forecasts for Multinet</w:t>
      </w:r>
      <w:r w:rsidRPr="000F7C01">
        <w:t xml:space="preserve">, June 2017, </w:t>
      </w:r>
      <w:r>
        <w:t>p.33.</w:t>
      </w:r>
    </w:p>
  </w:footnote>
  <w:footnote w:id="56">
    <w:p w:rsidR="005138E3" w:rsidRDefault="005138E3" w:rsidP="000679D2">
      <w:pPr>
        <w:pStyle w:val="FootnoteText"/>
      </w:pPr>
      <w:r>
        <w:rPr>
          <w:rStyle w:val="FootnoteReference"/>
        </w:rPr>
        <w:footnoteRef/>
      </w:r>
      <w:r>
        <w:t xml:space="preserve"> </w:t>
      </w:r>
      <w:r>
        <w:tab/>
      </w:r>
      <w:r w:rsidRPr="000F7C01">
        <w:t xml:space="preserve">ACIL Allen, </w:t>
      </w:r>
      <w:r w:rsidRPr="000F7C01">
        <w:rPr>
          <w:rStyle w:val="Emphasis"/>
        </w:rPr>
        <w:t>Review of demand forecasts for Multinet</w:t>
      </w:r>
      <w:r w:rsidRPr="000F7C01">
        <w:t xml:space="preserve">, June 2017, </w:t>
      </w:r>
      <w:r>
        <w:t>p.33.</w:t>
      </w:r>
    </w:p>
  </w:footnote>
  <w:footnote w:id="57">
    <w:p w:rsidR="005138E3" w:rsidRDefault="005138E3" w:rsidP="000679D2">
      <w:pPr>
        <w:pStyle w:val="FootnoteText"/>
      </w:pPr>
      <w:r>
        <w:rPr>
          <w:rStyle w:val="FootnoteReference"/>
        </w:rPr>
        <w:footnoteRef/>
      </w:r>
      <w:r>
        <w:t xml:space="preserve"> </w:t>
      </w:r>
      <w:r>
        <w:tab/>
        <w:t xml:space="preserve">Tariff L represent less than 0.2 per cent of consumption on the Multinet system. See </w:t>
      </w:r>
      <w:r w:rsidRPr="00DD5570">
        <w:t xml:space="preserve">ACIL Allen, </w:t>
      </w:r>
      <w:r w:rsidRPr="004C24AF">
        <w:rPr>
          <w:rStyle w:val="AERtextitalic"/>
        </w:rPr>
        <w:t>Review of demand forecasts for Multinet</w:t>
      </w:r>
      <w:r>
        <w:t>, June 2017, p.10</w:t>
      </w:r>
      <w:r w:rsidRPr="00DD557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E3" w:rsidRDefault="00513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D46F0E0"/>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ZEO4Yp2BLKdReCIsEwV9C/TGEaJLg/TmAliukW5zA=" w:saltValue="w3day27LEfcuBVvqOGp7tA==" w:algorithmName="SHA-256"/>
  <w:defaultTabStop w:val="34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soli\aer - draft decision - multinet gas access arrangement - attachment 13 - demand (D2016-00130285).docx"/>
  </w:docVars>
  <w:rsids>
    <w:rsidRoot w:val="00961A4A"/>
    <w:rsid w:val="000051DC"/>
    <w:rsid w:val="0000658F"/>
    <w:rsid w:val="0001507B"/>
    <w:rsid w:val="00015DA8"/>
    <w:rsid w:val="00016BE2"/>
    <w:rsid w:val="00020016"/>
    <w:rsid w:val="00021202"/>
    <w:rsid w:val="00021C2B"/>
    <w:rsid w:val="0002498B"/>
    <w:rsid w:val="0002517F"/>
    <w:rsid w:val="00026187"/>
    <w:rsid w:val="000261BC"/>
    <w:rsid w:val="000266FC"/>
    <w:rsid w:val="000273B3"/>
    <w:rsid w:val="00027E2D"/>
    <w:rsid w:val="000330FE"/>
    <w:rsid w:val="0003578C"/>
    <w:rsid w:val="00044DA3"/>
    <w:rsid w:val="000459D6"/>
    <w:rsid w:val="000474DF"/>
    <w:rsid w:val="00055A67"/>
    <w:rsid w:val="000562AE"/>
    <w:rsid w:val="000570D6"/>
    <w:rsid w:val="00063247"/>
    <w:rsid w:val="0006624E"/>
    <w:rsid w:val="000679D2"/>
    <w:rsid w:val="00067BDA"/>
    <w:rsid w:val="00070F9F"/>
    <w:rsid w:val="0007137B"/>
    <w:rsid w:val="00073B74"/>
    <w:rsid w:val="00076416"/>
    <w:rsid w:val="000805A8"/>
    <w:rsid w:val="0008190B"/>
    <w:rsid w:val="000836D9"/>
    <w:rsid w:val="00085663"/>
    <w:rsid w:val="00085EBF"/>
    <w:rsid w:val="000910E1"/>
    <w:rsid w:val="00091B15"/>
    <w:rsid w:val="000932F3"/>
    <w:rsid w:val="00095186"/>
    <w:rsid w:val="000A0E71"/>
    <w:rsid w:val="000A1C0C"/>
    <w:rsid w:val="000A3020"/>
    <w:rsid w:val="000A3B39"/>
    <w:rsid w:val="000A4840"/>
    <w:rsid w:val="000A62C1"/>
    <w:rsid w:val="000A6A79"/>
    <w:rsid w:val="000A6C7B"/>
    <w:rsid w:val="000B0A7B"/>
    <w:rsid w:val="000B1173"/>
    <w:rsid w:val="000B33D2"/>
    <w:rsid w:val="000B5827"/>
    <w:rsid w:val="000B6F01"/>
    <w:rsid w:val="000B7037"/>
    <w:rsid w:val="000C02D1"/>
    <w:rsid w:val="000C0C63"/>
    <w:rsid w:val="000C1FB0"/>
    <w:rsid w:val="000C2B40"/>
    <w:rsid w:val="000C5255"/>
    <w:rsid w:val="000C5738"/>
    <w:rsid w:val="000C6409"/>
    <w:rsid w:val="000D07A7"/>
    <w:rsid w:val="000D122C"/>
    <w:rsid w:val="000D6AC4"/>
    <w:rsid w:val="000D75B0"/>
    <w:rsid w:val="000E1819"/>
    <w:rsid w:val="000E4821"/>
    <w:rsid w:val="000E4AA9"/>
    <w:rsid w:val="000E6C72"/>
    <w:rsid w:val="000E7F39"/>
    <w:rsid w:val="000F26B4"/>
    <w:rsid w:val="000F7AB8"/>
    <w:rsid w:val="000F7C01"/>
    <w:rsid w:val="00100EA2"/>
    <w:rsid w:val="00101AA1"/>
    <w:rsid w:val="00102338"/>
    <w:rsid w:val="00104566"/>
    <w:rsid w:val="00104FF6"/>
    <w:rsid w:val="001114AA"/>
    <w:rsid w:val="00112684"/>
    <w:rsid w:val="0011404D"/>
    <w:rsid w:val="00115743"/>
    <w:rsid w:val="00116EB2"/>
    <w:rsid w:val="0012132C"/>
    <w:rsid w:val="00124609"/>
    <w:rsid w:val="00126A4C"/>
    <w:rsid w:val="001270E3"/>
    <w:rsid w:val="00127298"/>
    <w:rsid w:val="00132D43"/>
    <w:rsid w:val="00133366"/>
    <w:rsid w:val="00133F47"/>
    <w:rsid w:val="00134029"/>
    <w:rsid w:val="0013522C"/>
    <w:rsid w:val="001368F7"/>
    <w:rsid w:val="00137044"/>
    <w:rsid w:val="001426B1"/>
    <w:rsid w:val="00142C2D"/>
    <w:rsid w:val="0014470B"/>
    <w:rsid w:val="00144C96"/>
    <w:rsid w:val="0014573B"/>
    <w:rsid w:val="00146337"/>
    <w:rsid w:val="001463A3"/>
    <w:rsid w:val="0015073A"/>
    <w:rsid w:val="001573E4"/>
    <w:rsid w:val="00160756"/>
    <w:rsid w:val="00161DC8"/>
    <w:rsid w:val="00166760"/>
    <w:rsid w:val="00170B1A"/>
    <w:rsid w:val="0017232E"/>
    <w:rsid w:val="00174102"/>
    <w:rsid w:val="001754EE"/>
    <w:rsid w:val="00180157"/>
    <w:rsid w:val="001809BC"/>
    <w:rsid w:val="00180E97"/>
    <w:rsid w:val="001820B4"/>
    <w:rsid w:val="00182ADE"/>
    <w:rsid w:val="00183C3B"/>
    <w:rsid w:val="00184351"/>
    <w:rsid w:val="00184AC8"/>
    <w:rsid w:val="00185BA5"/>
    <w:rsid w:val="00185CB9"/>
    <w:rsid w:val="00185DBE"/>
    <w:rsid w:val="0018662D"/>
    <w:rsid w:val="00186ADC"/>
    <w:rsid w:val="00186F77"/>
    <w:rsid w:val="001877A4"/>
    <w:rsid w:val="0019136B"/>
    <w:rsid w:val="001926A4"/>
    <w:rsid w:val="00192AD5"/>
    <w:rsid w:val="00194597"/>
    <w:rsid w:val="00194E00"/>
    <w:rsid w:val="0019745E"/>
    <w:rsid w:val="00197B16"/>
    <w:rsid w:val="001A0523"/>
    <w:rsid w:val="001A1D3F"/>
    <w:rsid w:val="001A375F"/>
    <w:rsid w:val="001A530D"/>
    <w:rsid w:val="001A5FB3"/>
    <w:rsid w:val="001A5FD0"/>
    <w:rsid w:val="001A7155"/>
    <w:rsid w:val="001B45A0"/>
    <w:rsid w:val="001B653F"/>
    <w:rsid w:val="001B680E"/>
    <w:rsid w:val="001D055E"/>
    <w:rsid w:val="001D2492"/>
    <w:rsid w:val="001D624F"/>
    <w:rsid w:val="001E1B3F"/>
    <w:rsid w:val="001E298F"/>
    <w:rsid w:val="001E7161"/>
    <w:rsid w:val="001F05A4"/>
    <w:rsid w:val="001F3D4A"/>
    <w:rsid w:val="001F492E"/>
    <w:rsid w:val="001F64EF"/>
    <w:rsid w:val="001F6DA3"/>
    <w:rsid w:val="00200F5E"/>
    <w:rsid w:val="002010BC"/>
    <w:rsid w:val="002016E7"/>
    <w:rsid w:val="00202E03"/>
    <w:rsid w:val="002033B9"/>
    <w:rsid w:val="002043D0"/>
    <w:rsid w:val="0020492C"/>
    <w:rsid w:val="00204EC9"/>
    <w:rsid w:val="00206505"/>
    <w:rsid w:val="00206978"/>
    <w:rsid w:val="0020743F"/>
    <w:rsid w:val="002124D3"/>
    <w:rsid w:val="00214A9C"/>
    <w:rsid w:val="00216C93"/>
    <w:rsid w:val="00217DA0"/>
    <w:rsid w:val="00223051"/>
    <w:rsid w:val="00224DB9"/>
    <w:rsid w:val="0022569A"/>
    <w:rsid w:val="0023005C"/>
    <w:rsid w:val="00230936"/>
    <w:rsid w:val="00231012"/>
    <w:rsid w:val="00233775"/>
    <w:rsid w:val="0023414B"/>
    <w:rsid w:val="00234E19"/>
    <w:rsid w:val="002377FC"/>
    <w:rsid w:val="00243635"/>
    <w:rsid w:val="00247079"/>
    <w:rsid w:val="00251745"/>
    <w:rsid w:val="002552BA"/>
    <w:rsid w:val="00260016"/>
    <w:rsid w:val="00263AC0"/>
    <w:rsid w:val="00264264"/>
    <w:rsid w:val="0026689B"/>
    <w:rsid w:val="0026772D"/>
    <w:rsid w:val="00271DE5"/>
    <w:rsid w:val="002730B2"/>
    <w:rsid w:val="00274C7E"/>
    <w:rsid w:val="00275FE6"/>
    <w:rsid w:val="00276158"/>
    <w:rsid w:val="002777CF"/>
    <w:rsid w:val="002810F2"/>
    <w:rsid w:val="00285120"/>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C649F"/>
    <w:rsid w:val="002D3509"/>
    <w:rsid w:val="002D4AE9"/>
    <w:rsid w:val="002D5457"/>
    <w:rsid w:val="002D72E8"/>
    <w:rsid w:val="002D79AD"/>
    <w:rsid w:val="002E1E0C"/>
    <w:rsid w:val="002E268F"/>
    <w:rsid w:val="002E6DB9"/>
    <w:rsid w:val="002E78DD"/>
    <w:rsid w:val="002E7B22"/>
    <w:rsid w:val="002F083B"/>
    <w:rsid w:val="002F12EC"/>
    <w:rsid w:val="002F2F8C"/>
    <w:rsid w:val="002F4ED0"/>
    <w:rsid w:val="002F7986"/>
    <w:rsid w:val="00301B40"/>
    <w:rsid w:val="00301C82"/>
    <w:rsid w:val="003029EE"/>
    <w:rsid w:val="00304D38"/>
    <w:rsid w:val="00305CC8"/>
    <w:rsid w:val="00307F6D"/>
    <w:rsid w:val="00310221"/>
    <w:rsid w:val="00314CF7"/>
    <w:rsid w:val="00314D83"/>
    <w:rsid w:val="0031571F"/>
    <w:rsid w:val="0031694E"/>
    <w:rsid w:val="003177A2"/>
    <w:rsid w:val="00317DAD"/>
    <w:rsid w:val="00317E02"/>
    <w:rsid w:val="00325B54"/>
    <w:rsid w:val="003271B5"/>
    <w:rsid w:val="00327A1E"/>
    <w:rsid w:val="00327E28"/>
    <w:rsid w:val="00331264"/>
    <w:rsid w:val="00333BF7"/>
    <w:rsid w:val="00334C8D"/>
    <w:rsid w:val="003378BD"/>
    <w:rsid w:val="003424EA"/>
    <w:rsid w:val="00342C2F"/>
    <w:rsid w:val="003436EB"/>
    <w:rsid w:val="00343A18"/>
    <w:rsid w:val="00343BB3"/>
    <w:rsid w:val="00345744"/>
    <w:rsid w:val="00350777"/>
    <w:rsid w:val="003518B3"/>
    <w:rsid w:val="00353E79"/>
    <w:rsid w:val="003572FA"/>
    <w:rsid w:val="00357737"/>
    <w:rsid w:val="00364EA0"/>
    <w:rsid w:val="00366981"/>
    <w:rsid w:val="00370678"/>
    <w:rsid w:val="0037214E"/>
    <w:rsid w:val="00372C85"/>
    <w:rsid w:val="00373845"/>
    <w:rsid w:val="003744E3"/>
    <w:rsid w:val="00375F71"/>
    <w:rsid w:val="00376219"/>
    <w:rsid w:val="0037663E"/>
    <w:rsid w:val="0037699E"/>
    <w:rsid w:val="00377A29"/>
    <w:rsid w:val="00377C69"/>
    <w:rsid w:val="00380F90"/>
    <w:rsid w:val="0038415D"/>
    <w:rsid w:val="003843D5"/>
    <w:rsid w:val="0038461C"/>
    <w:rsid w:val="003846F1"/>
    <w:rsid w:val="00385960"/>
    <w:rsid w:val="00390E6A"/>
    <w:rsid w:val="00393ABE"/>
    <w:rsid w:val="00395DB6"/>
    <w:rsid w:val="00397398"/>
    <w:rsid w:val="003A0F6C"/>
    <w:rsid w:val="003A371A"/>
    <w:rsid w:val="003A59CD"/>
    <w:rsid w:val="003A6B00"/>
    <w:rsid w:val="003A74E8"/>
    <w:rsid w:val="003A7DE4"/>
    <w:rsid w:val="003B30B2"/>
    <w:rsid w:val="003B484F"/>
    <w:rsid w:val="003B504B"/>
    <w:rsid w:val="003B5179"/>
    <w:rsid w:val="003B685C"/>
    <w:rsid w:val="003B7FBA"/>
    <w:rsid w:val="003C0DE1"/>
    <w:rsid w:val="003C172C"/>
    <w:rsid w:val="003C20B6"/>
    <w:rsid w:val="003C2E81"/>
    <w:rsid w:val="003C6537"/>
    <w:rsid w:val="003C6A13"/>
    <w:rsid w:val="003C764A"/>
    <w:rsid w:val="003C78BA"/>
    <w:rsid w:val="003D2851"/>
    <w:rsid w:val="003D41F1"/>
    <w:rsid w:val="003D42AB"/>
    <w:rsid w:val="003D4EE3"/>
    <w:rsid w:val="003D574D"/>
    <w:rsid w:val="003D5B94"/>
    <w:rsid w:val="003E0D3A"/>
    <w:rsid w:val="003E3AAB"/>
    <w:rsid w:val="003E7FE9"/>
    <w:rsid w:val="003F07D4"/>
    <w:rsid w:val="003F174D"/>
    <w:rsid w:val="003F2329"/>
    <w:rsid w:val="00400FD2"/>
    <w:rsid w:val="00403711"/>
    <w:rsid w:val="00404C52"/>
    <w:rsid w:val="00405CBC"/>
    <w:rsid w:val="00411420"/>
    <w:rsid w:val="00411F78"/>
    <w:rsid w:val="004156D5"/>
    <w:rsid w:val="00415BA9"/>
    <w:rsid w:val="00415F31"/>
    <w:rsid w:val="0041691D"/>
    <w:rsid w:val="0042000C"/>
    <w:rsid w:val="0042090E"/>
    <w:rsid w:val="00421F27"/>
    <w:rsid w:val="004238D8"/>
    <w:rsid w:val="00423A77"/>
    <w:rsid w:val="004324F4"/>
    <w:rsid w:val="00434544"/>
    <w:rsid w:val="00440B2B"/>
    <w:rsid w:val="0044376A"/>
    <w:rsid w:val="00445D43"/>
    <w:rsid w:val="00446CD2"/>
    <w:rsid w:val="0045777E"/>
    <w:rsid w:val="00457EDF"/>
    <w:rsid w:val="00460D93"/>
    <w:rsid w:val="00465258"/>
    <w:rsid w:val="0046732D"/>
    <w:rsid w:val="00471BC6"/>
    <w:rsid w:val="00474CD9"/>
    <w:rsid w:val="00476221"/>
    <w:rsid w:val="004766F5"/>
    <w:rsid w:val="00480B4B"/>
    <w:rsid w:val="004820B3"/>
    <w:rsid w:val="0048226B"/>
    <w:rsid w:val="004838D8"/>
    <w:rsid w:val="00485DC4"/>
    <w:rsid w:val="00490565"/>
    <w:rsid w:val="00494D04"/>
    <w:rsid w:val="00497E9C"/>
    <w:rsid w:val="004A08A4"/>
    <w:rsid w:val="004A40BA"/>
    <w:rsid w:val="004A43D1"/>
    <w:rsid w:val="004A492B"/>
    <w:rsid w:val="004A7A40"/>
    <w:rsid w:val="004B4412"/>
    <w:rsid w:val="004C1031"/>
    <w:rsid w:val="004C2179"/>
    <w:rsid w:val="004C24AF"/>
    <w:rsid w:val="004C348C"/>
    <w:rsid w:val="004C462E"/>
    <w:rsid w:val="004C6CA3"/>
    <w:rsid w:val="004C7F5E"/>
    <w:rsid w:val="004D343C"/>
    <w:rsid w:val="004D372A"/>
    <w:rsid w:val="004D55BA"/>
    <w:rsid w:val="004D720C"/>
    <w:rsid w:val="004E0FA7"/>
    <w:rsid w:val="004E1617"/>
    <w:rsid w:val="004E2019"/>
    <w:rsid w:val="004E22EC"/>
    <w:rsid w:val="004F0930"/>
    <w:rsid w:val="004F0BFA"/>
    <w:rsid w:val="004F13DA"/>
    <w:rsid w:val="004F4D69"/>
    <w:rsid w:val="004F55D4"/>
    <w:rsid w:val="004F6883"/>
    <w:rsid w:val="004F6A0E"/>
    <w:rsid w:val="004F6BB3"/>
    <w:rsid w:val="004F777C"/>
    <w:rsid w:val="005009CD"/>
    <w:rsid w:val="00500BAB"/>
    <w:rsid w:val="00504E5F"/>
    <w:rsid w:val="00507D42"/>
    <w:rsid w:val="0051337E"/>
    <w:rsid w:val="005138E3"/>
    <w:rsid w:val="00513FA7"/>
    <w:rsid w:val="00516454"/>
    <w:rsid w:val="0051768F"/>
    <w:rsid w:val="005218D9"/>
    <w:rsid w:val="00522DC2"/>
    <w:rsid w:val="00530128"/>
    <w:rsid w:val="00532467"/>
    <w:rsid w:val="005326D9"/>
    <w:rsid w:val="00532755"/>
    <w:rsid w:val="005332A9"/>
    <w:rsid w:val="0053469C"/>
    <w:rsid w:val="00534DAE"/>
    <w:rsid w:val="0053603C"/>
    <w:rsid w:val="00537871"/>
    <w:rsid w:val="0054046D"/>
    <w:rsid w:val="00541E20"/>
    <w:rsid w:val="00542FE9"/>
    <w:rsid w:val="00543D9B"/>
    <w:rsid w:val="00544598"/>
    <w:rsid w:val="00544C8D"/>
    <w:rsid w:val="00544DFD"/>
    <w:rsid w:val="00545877"/>
    <w:rsid w:val="005527FB"/>
    <w:rsid w:val="00556B1E"/>
    <w:rsid w:val="00556BEA"/>
    <w:rsid w:val="00560647"/>
    <w:rsid w:val="00561C44"/>
    <w:rsid w:val="00562286"/>
    <w:rsid w:val="00562CFE"/>
    <w:rsid w:val="00564A4D"/>
    <w:rsid w:val="00564C6B"/>
    <w:rsid w:val="0056598C"/>
    <w:rsid w:val="00566E0B"/>
    <w:rsid w:val="00567BA5"/>
    <w:rsid w:val="00567DF5"/>
    <w:rsid w:val="00571B35"/>
    <w:rsid w:val="00571B43"/>
    <w:rsid w:val="00571D57"/>
    <w:rsid w:val="00573A3B"/>
    <w:rsid w:val="00577716"/>
    <w:rsid w:val="00577A09"/>
    <w:rsid w:val="005829C2"/>
    <w:rsid w:val="00584D8F"/>
    <w:rsid w:val="00587751"/>
    <w:rsid w:val="00587A18"/>
    <w:rsid w:val="00587ADE"/>
    <w:rsid w:val="00593E08"/>
    <w:rsid w:val="00594D2D"/>
    <w:rsid w:val="005A0BEC"/>
    <w:rsid w:val="005A404D"/>
    <w:rsid w:val="005B1E3C"/>
    <w:rsid w:val="005B205C"/>
    <w:rsid w:val="005B6518"/>
    <w:rsid w:val="005B704A"/>
    <w:rsid w:val="005B72D7"/>
    <w:rsid w:val="005C045F"/>
    <w:rsid w:val="005C16FE"/>
    <w:rsid w:val="005C1FAB"/>
    <w:rsid w:val="005C21A4"/>
    <w:rsid w:val="005C26CC"/>
    <w:rsid w:val="005C2D23"/>
    <w:rsid w:val="005C4463"/>
    <w:rsid w:val="005D3D88"/>
    <w:rsid w:val="005D48C4"/>
    <w:rsid w:val="005D6208"/>
    <w:rsid w:val="005D6366"/>
    <w:rsid w:val="005D671B"/>
    <w:rsid w:val="005D7BA2"/>
    <w:rsid w:val="005E36C2"/>
    <w:rsid w:val="005E4AF4"/>
    <w:rsid w:val="005F387E"/>
    <w:rsid w:val="005F735D"/>
    <w:rsid w:val="00600651"/>
    <w:rsid w:val="00601E0B"/>
    <w:rsid w:val="0060258B"/>
    <w:rsid w:val="00607597"/>
    <w:rsid w:val="00610EF9"/>
    <w:rsid w:val="006117A5"/>
    <w:rsid w:val="00612F4F"/>
    <w:rsid w:val="00613F3B"/>
    <w:rsid w:val="00614EA0"/>
    <w:rsid w:val="00615C6B"/>
    <w:rsid w:val="00617D4C"/>
    <w:rsid w:val="00621DCE"/>
    <w:rsid w:val="00621FC5"/>
    <w:rsid w:val="00622D80"/>
    <w:rsid w:val="0062376F"/>
    <w:rsid w:val="00624F2C"/>
    <w:rsid w:val="00632D6D"/>
    <w:rsid w:val="00634590"/>
    <w:rsid w:val="006349C7"/>
    <w:rsid w:val="00636569"/>
    <w:rsid w:val="00636EF9"/>
    <w:rsid w:val="0064164F"/>
    <w:rsid w:val="00641C6C"/>
    <w:rsid w:val="00642C3E"/>
    <w:rsid w:val="00643FF9"/>
    <w:rsid w:val="00644A01"/>
    <w:rsid w:val="00651E2D"/>
    <w:rsid w:val="00652324"/>
    <w:rsid w:val="006528E6"/>
    <w:rsid w:val="006577FB"/>
    <w:rsid w:val="00657AB0"/>
    <w:rsid w:val="0066104A"/>
    <w:rsid w:val="00663066"/>
    <w:rsid w:val="00663DAD"/>
    <w:rsid w:val="00664206"/>
    <w:rsid w:val="006649E7"/>
    <w:rsid w:val="00666634"/>
    <w:rsid w:val="00670BA5"/>
    <w:rsid w:val="00671692"/>
    <w:rsid w:val="00672430"/>
    <w:rsid w:val="00675E20"/>
    <w:rsid w:val="00676679"/>
    <w:rsid w:val="00682180"/>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C776B"/>
    <w:rsid w:val="006D0DFB"/>
    <w:rsid w:val="006D140C"/>
    <w:rsid w:val="006D550F"/>
    <w:rsid w:val="006D6146"/>
    <w:rsid w:val="006D7F7E"/>
    <w:rsid w:val="006E0CFF"/>
    <w:rsid w:val="006E227B"/>
    <w:rsid w:val="006E57C4"/>
    <w:rsid w:val="006F0D92"/>
    <w:rsid w:val="006F267D"/>
    <w:rsid w:val="0070011E"/>
    <w:rsid w:val="00701CAB"/>
    <w:rsid w:val="007023BB"/>
    <w:rsid w:val="007025D8"/>
    <w:rsid w:val="00704DD7"/>
    <w:rsid w:val="007063D0"/>
    <w:rsid w:val="00707563"/>
    <w:rsid w:val="00714746"/>
    <w:rsid w:val="00715F61"/>
    <w:rsid w:val="00716510"/>
    <w:rsid w:val="00722132"/>
    <w:rsid w:val="007228F7"/>
    <w:rsid w:val="0072348C"/>
    <w:rsid w:val="00724A37"/>
    <w:rsid w:val="00726450"/>
    <w:rsid w:val="007303C3"/>
    <w:rsid w:val="00731188"/>
    <w:rsid w:val="0073364D"/>
    <w:rsid w:val="007340C2"/>
    <w:rsid w:val="007348DD"/>
    <w:rsid w:val="007356CC"/>
    <w:rsid w:val="007361AD"/>
    <w:rsid w:val="00736600"/>
    <w:rsid w:val="007368E6"/>
    <w:rsid w:val="007375DF"/>
    <w:rsid w:val="007429BE"/>
    <w:rsid w:val="00743223"/>
    <w:rsid w:val="00743349"/>
    <w:rsid w:val="0074403A"/>
    <w:rsid w:val="007465D4"/>
    <w:rsid w:val="00746E01"/>
    <w:rsid w:val="00751DCD"/>
    <w:rsid w:val="00755084"/>
    <w:rsid w:val="00757364"/>
    <w:rsid w:val="00757BDF"/>
    <w:rsid w:val="007609D0"/>
    <w:rsid w:val="00761454"/>
    <w:rsid w:val="0076193D"/>
    <w:rsid w:val="00761E57"/>
    <w:rsid w:val="00762EB8"/>
    <w:rsid w:val="00763E5D"/>
    <w:rsid w:val="007667CF"/>
    <w:rsid w:val="00767740"/>
    <w:rsid w:val="00767B5E"/>
    <w:rsid w:val="00767F72"/>
    <w:rsid w:val="007701C9"/>
    <w:rsid w:val="00775460"/>
    <w:rsid w:val="00777EE6"/>
    <w:rsid w:val="00782EEA"/>
    <w:rsid w:val="007909B4"/>
    <w:rsid w:val="00790E86"/>
    <w:rsid w:val="00791B61"/>
    <w:rsid w:val="00792A8D"/>
    <w:rsid w:val="007949D7"/>
    <w:rsid w:val="007A0143"/>
    <w:rsid w:val="007A34C2"/>
    <w:rsid w:val="007A396C"/>
    <w:rsid w:val="007A4B02"/>
    <w:rsid w:val="007A7895"/>
    <w:rsid w:val="007B0BE3"/>
    <w:rsid w:val="007B0BEC"/>
    <w:rsid w:val="007B1816"/>
    <w:rsid w:val="007B186E"/>
    <w:rsid w:val="007B25DC"/>
    <w:rsid w:val="007B2C72"/>
    <w:rsid w:val="007B3789"/>
    <w:rsid w:val="007B651F"/>
    <w:rsid w:val="007B7BB5"/>
    <w:rsid w:val="007C1C53"/>
    <w:rsid w:val="007C284C"/>
    <w:rsid w:val="007C2FCD"/>
    <w:rsid w:val="007C4B82"/>
    <w:rsid w:val="007C74BB"/>
    <w:rsid w:val="007C7F64"/>
    <w:rsid w:val="007D0A95"/>
    <w:rsid w:val="007D0EB5"/>
    <w:rsid w:val="007D456E"/>
    <w:rsid w:val="007D5837"/>
    <w:rsid w:val="007D6C27"/>
    <w:rsid w:val="007E3648"/>
    <w:rsid w:val="007E4904"/>
    <w:rsid w:val="007E4CB5"/>
    <w:rsid w:val="007E4DAE"/>
    <w:rsid w:val="007F066B"/>
    <w:rsid w:val="007F20AA"/>
    <w:rsid w:val="007F4EAB"/>
    <w:rsid w:val="007F5B16"/>
    <w:rsid w:val="007F7C9D"/>
    <w:rsid w:val="008033C4"/>
    <w:rsid w:val="00805D77"/>
    <w:rsid w:val="00806731"/>
    <w:rsid w:val="00806B39"/>
    <w:rsid w:val="00806C88"/>
    <w:rsid w:val="0081034E"/>
    <w:rsid w:val="00810806"/>
    <w:rsid w:val="008149D5"/>
    <w:rsid w:val="00815882"/>
    <w:rsid w:val="008164C6"/>
    <w:rsid w:val="00820454"/>
    <w:rsid w:val="00822AC7"/>
    <w:rsid w:val="00822E86"/>
    <w:rsid w:val="008263D5"/>
    <w:rsid w:val="008344F6"/>
    <w:rsid w:val="0083510F"/>
    <w:rsid w:val="00837BF3"/>
    <w:rsid w:val="008415DE"/>
    <w:rsid w:val="008420DE"/>
    <w:rsid w:val="00842351"/>
    <w:rsid w:val="00845865"/>
    <w:rsid w:val="0084709E"/>
    <w:rsid w:val="0084799B"/>
    <w:rsid w:val="00850C90"/>
    <w:rsid w:val="00851209"/>
    <w:rsid w:val="0085171F"/>
    <w:rsid w:val="00860031"/>
    <w:rsid w:val="0086464E"/>
    <w:rsid w:val="008658A1"/>
    <w:rsid w:val="0086716A"/>
    <w:rsid w:val="00870613"/>
    <w:rsid w:val="0087380F"/>
    <w:rsid w:val="0087648F"/>
    <w:rsid w:val="00876612"/>
    <w:rsid w:val="00882BB1"/>
    <w:rsid w:val="008837AC"/>
    <w:rsid w:val="008909DC"/>
    <w:rsid w:val="00894255"/>
    <w:rsid w:val="008945AD"/>
    <w:rsid w:val="00895C19"/>
    <w:rsid w:val="008A0645"/>
    <w:rsid w:val="008A1C02"/>
    <w:rsid w:val="008A370D"/>
    <w:rsid w:val="008A587D"/>
    <w:rsid w:val="008B16B0"/>
    <w:rsid w:val="008B1BD5"/>
    <w:rsid w:val="008B2D26"/>
    <w:rsid w:val="008B31EE"/>
    <w:rsid w:val="008B35CD"/>
    <w:rsid w:val="008B4093"/>
    <w:rsid w:val="008B5FCC"/>
    <w:rsid w:val="008B7F36"/>
    <w:rsid w:val="008C1DD3"/>
    <w:rsid w:val="008C2ED3"/>
    <w:rsid w:val="008C357F"/>
    <w:rsid w:val="008C5486"/>
    <w:rsid w:val="008C6E0C"/>
    <w:rsid w:val="008C72D0"/>
    <w:rsid w:val="008C7D0D"/>
    <w:rsid w:val="008D1661"/>
    <w:rsid w:val="008D27E0"/>
    <w:rsid w:val="008D5F90"/>
    <w:rsid w:val="008D628F"/>
    <w:rsid w:val="008D6800"/>
    <w:rsid w:val="008D72F1"/>
    <w:rsid w:val="008E4089"/>
    <w:rsid w:val="008E5AFF"/>
    <w:rsid w:val="008E6283"/>
    <w:rsid w:val="008E670B"/>
    <w:rsid w:val="008E7031"/>
    <w:rsid w:val="008E77DE"/>
    <w:rsid w:val="008F040C"/>
    <w:rsid w:val="008F07A3"/>
    <w:rsid w:val="008F3322"/>
    <w:rsid w:val="008F3519"/>
    <w:rsid w:val="008F3A0D"/>
    <w:rsid w:val="008F674F"/>
    <w:rsid w:val="009001B6"/>
    <w:rsid w:val="00900E1B"/>
    <w:rsid w:val="0090131F"/>
    <w:rsid w:val="00901824"/>
    <w:rsid w:val="00907683"/>
    <w:rsid w:val="009132B7"/>
    <w:rsid w:val="00916A2C"/>
    <w:rsid w:val="0092079B"/>
    <w:rsid w:val="009207E8"/>
    <w:rsid w:val="009210C1"/>
    <w:rsid w:val="009233EE"/>
    <w:rsid w:val="009262D2"/>
    <w:rsid w:val="0092796B"/>
    <w:rsid w:val="00930B1A"/>
    <w:rsid w:val="00930E0C"/>
    <w:rsid w:val="00932612"/>
    <w:rsid w:val="009327DC"/>
    <w:rsid w:val="009338D9"/>
    <w:rsid w:val="009339BD"/>
    <w:rsid w:val="009356A5"/>
    <w:rsid w:val="009356CF"/>
    <w:rsid w:val="00945E53"/>
    <w:rsid w:val="009460AA"/>
    <w:rsid w:val="00947FC9"/>
    <w:rsid w:val="00950345"/>
    <w:rsid w:val="00951978"/>
    <w:rsid w:val="00952C8B"/>
    <w:rsid w:val="00956274"/>
    <w:rsid w:val="00961A4A"/>
    <w:rsid w:val="00962925"/>
    <w:rsid w:val="00962F2F"/>
    <w:rsid w:val="009661DE"/>
    <w:rsid w:val="00972C7C"/>
    <w:rsid w:val="009747FE"/>
    <w:rsid w:val="009776F4"/>
    <w:rsid w:val="00982DA2"/>
    <w:rsid w:val="00983C25"/>
    <w:rsid w:val="0098466D"/>
    <w:rsid w:val="009856B7"/>
    <w:rsid w:val="0098578D"/>
    <w:rsid w:val="009859D6"/>
    <w:rsid w:val="00985C86"/>
    <w:rsid w:val="00994397"/>
    <w:rsid w:val="009A1128"/>
    <w:rsid w:val="009A12E5"/>
    <w:rsid w:val="009A5FC3"/>
    <w:rsid w:val="009B144E"/>
    <w:rsid w:val="009B6F69"/>
    <w:rsid w:val="009B6F84"/>
    <w:rsid w:val="009B74B0"/>
    <w:rsid w:val="009C0152"/>
    <w:rsid w:val="009C0BE0"/>
    <w:rsid w:val="009C1A74"/>
    <w:rsid w:val="009C3D42"/>
    <w:rsid w:val="009C491E"/>
    <w:rsid w:val="009C4A5E"/>
    <w:rsid w:val="009D0DF1"/>
    <w:rsid w:val="009D22D6"/>
    <w:rsid w:val="009D2C84"/>
    <w:rsid w:val="009D3906"/>
    <w:rsid w:val="009D57A0"/>
    <w:rsid w:val="009D641D"/>
    <w:rsid w:val="009D6B46"/>
    <w:rsid w:val="009E131B"/>
    <w:rsid w:val="009E35B6"/>
    <w:rsid w:val="009E5ABC"/>
    <w:rsid w:val="009F3BBA"/>
    <w:rsid w:val="009F43B4"/>
    <w:rsid w:val="009F4940"/>
    <w:rsid w:val="009F5BA1"/>
    <w:rsid w:val="00A02A88"/>
    <w:rsid w:val="00A035CC"/>
    <w:rsid w:val="00A04012"/>
    <w:rsid w:val="00A046FA"/>
    <w:rsid w:val="00A0562E"/>
    <w:rsid w:val="00A063C6"/>
    <w:rsid w:val="00A0726D"/>
    <w:rsid w:val="00A073AE"/>
    <w:rsid w:val="00A12204"/>
    <w:rsid w:val="00A12336"/>
    <w:rsid w:val="00A12750"/>
    <w:rsid w:val="00A13CB0"/>
    <w:rsid w:val="00A1561F"/>
    <w:rsid w:val="00A15FD5"/>
    <w:rsid w:val="00A16544"/>
    <w:rsid w:val="00A24A8F"/>
    <w:rsid w:val="00A25003"/>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1F09"/>
    <w:rsid w:val="00A63646"/>
    <w:rsid w:val="00A63914"/>
    <w:rsid w:val="00A64BF2"/>
    <w:rsid w:val="00A67513"/>
    <w:rsid w:val="00A84A99"/>
    <w:rsid w:val="00A84F46"/>
    <w:rsid w:val="00A85E87"/>
    <w:rsid w:val="00A86AEA"/>
    <w:rsid w:val="00A871F4"/>
    <w:rsid w:val="00A9431A"/>
    <w:rsid w:val="00A95988"/>
    <w:rsid w:val="00A959DF"/>
    <w:rsid w:val="00A96A07"/>
    <w:rsid w:val="00A97A1B"/>
    <w:rsid w:val="00AA0959"/>
    <w:rsid w:val="00AA2927"/>
    <w:rsid w:val="00AA4A66"/>
    <w:rsid w:val="00AB0834"/>
    <w:rsid w:val="00AB0F85"/>
    <w:rsid w:val="00AB2CB8"/>
    <w:rsid w:val="00AB4617"/>
    <w:rsid w:val="00AB6DD1"/>
    <w:rsid w:val="00AC1B2C"/>
    <w:rsid w:val="00AC3264"/>
    <w:rsid w:val="00AC4522"/>
    <w:rsid w:val="00AC46AD"/>
    <w:rsid w:val="00AC4D2D"/>
    <w:rsid w:val="00AC58EC"/>
    <w:rsid w:val="00AC5958"/>
    <w:rsid w:val="00AC69AB"/>
    <w:rsid w:val="00AC7282"/>
    <w:rsid w:val="00AC7961"/>
    <w:rsid w:val="00AD0AC3"/>
    <w:rsid w:val="00AD314E"/>
    <w:rsid w:val="00AD5FCD"/>
    <w:rsid w:val="00AD6B48"/>
    <w:rsid w:val="00AD7A2A"/>
    <w:rsid w:val="00AD7A3A"/>
    <w:rsid w:val="00AE1BF1"/>
    <w:rsid w:val="00AE23AB"/>
    <w:rsid w:val="00AE58FB"/>
    <w:rsid w:val="00AE5AF0"/>
    <w:rsid w:val="00AE663D"/>
    <w:rsid w:val="00AE73B3"/>
    <w:rsid w:val="00AE79F3"/>
    <w:rsid w:val="00AF07E7"/>
    <w:rsid w:val="00AF0DD2"/>
    <w:rsid w:val="00AF2CE7"/>
    <w:rsid w:val="00AF31E1"/>
    <w:rsid w:val="00AF367C"/>
    <w:rsid w:val="00AF3BBA"/>
    <w:rsid w:val="00AF4231"/>
    <w:rsid w:val="00B00B0E"/>
    <w:rsid w:val="00B00B26"/>
    <w:rsid w:val="00B02385"/>
    <w:rsid w:val="00B02F9D"/>
    <w:rsid w:val="00B05766"/>
    <w:rsid w:val="00B07DA0"/>
    <w:rsid w:val="00B11F05"/>
    <w:rsid w:val="00B125BE"/>
    <w:rsid w:val="00B13048"/>
    <w:rsid w:val="00B13883"/>
    <w:rsid w:val="00B1716D"/>
    <w:rsid w:val="00B17A1D"/>
    <w:rsid w:val="00B207A0"/>
    <w:rsid w:val="00B21C21"/>
    <w:rsid w:val="00B22F54"/>
    <w:rsid w:val="00B24A7E"/>
    <w:rsid w:val="00B25C0C"/>
    <w:rsid w:val="00B274A9"/>
    <w:rsid w:val="00B304B5"/>
    <w:rsid w:val="00B308A9"/>
    <w:rsid w:val="00B31047"/>
    <w:rsid w:val="00B33148"/>
    <w:rsid w:val="00B35CDF"/>
    <w:rsid w:val="00B36D9D"/>
    <w:rsid w:val="00B403C2"/>
    <w:rsid w:val="00B405A1"/>
    <w:rsid w:val="00B4438A"/>
    <w:rsid w:val="00B44BBA"/>
    <w:rsid w:val="00B45AA2"/>
    <w:rsid w:val="00B479CA"/>
    <w:rsid w:val="00B5084F"/>
    <w:rsid w:val="00B514DD"/>
    <w:rsid w:val="00B52AF0"/>
    <w:rsid w:val="00B53D5F"/>
    <w:rsid w:val="00B54051"/>
    <w:rsid w:val="00B561BD"/>
    <w:rsid w:val="00B56E03"/>
    <w:rsid w:val="00B62765"/>
    <w:rsid w:val="00B65DF5"/>
    <w:rsid w:val="00B751BE"/>
    <w:rsid w:val="00B7679F"/>
    <w:rsid w:val="00B767D0"/>
    <w:rsid w:val="00B77159"/>
    <w:rsid w:val="00B77344"/>
    <w:rsid w:val="00B77A50"/>
    <w:rsid w:val="00B8037D"/>
    <w:rsid w:val="00B8080B"/>
    <w:rsid w:val="00B82223"/>
    <w:rsid w:val="00B87BA5"/>
    <w:rsid w:val="00B87C39"/>
    <w:rsid w:val="00B93891"/>
    <w:rsid w:val="00B9562D"/>
    <w:rsid w:val="00BA085D"/>
    <w:rsid w:val="00BA21DA"/>
    <w:rsid w:val="00BA2B60"/>
    <w:rsid w:val="00BA3C93"/>
    <w:rsid w:val="00BA4665"/>
    <w:rsid w:val="00BA7FD7"/>
    <w:rsid w:val="00BB1681"/>
    <w:rsid w:val="00BB2FB2"/>
    <w:rsid w:val="00BB31D1"/>
    <w:rsid w:val="00BB3304"/>
    <w:rsid w:val="00BB6551"/>
    <w:rsid w:val="00BC4A10"/>
    <w:rsid w:val="00BC5DCE"/>
    <w:rsid w:val="00BC60FE"/>
    <w:rsid w:val="00BD30F4"/>
    <w:rsid w:val="00BD3446"/>
    <w:rsid w:val="00BD59CF"/>
    <w:rsid w:val="00BE1312"/>
    <w:rsid w:val="00BE1F1B"/>
    <w:rsid w:val="00BE3F89"/>
    <w:rsid w:val="00BE47B5"/>
    <w:rsid w:val="00BE5FCE"/>
    <w:rsid w:val="00BE77F0"/>
    <w:rsid w:val="00BF1870"/>
    <w:rsid w:val="00C0079E"/>
    <w:rsid w:val="00C0572A"/>
    <w:rsid w:val="00C12BE7"/>
    <w:rsid w:val="00C1353B"/>
    <w:rsid w:val="00C13EBD"/>
    <w:rsid w:val="00C1631B"/>
    <w:rsid w:val="00C163AB"/>
    <w:rsid w:val="00C170F0"/>
    <w:rsid w:val="00C25962"/>
    <w:rsid w:val="00C25FA6"/>
    <w:rsid w:val="00C2627E"/>
    <w:rsid w:val="00C26C4A"/>
    <w:rsid w:val="00C3099D"/>
    <w:rsid w:val="00C33011"/>
    <w:rsid w:val="00C3595B"/>
    <w:rsid w:val="00C362C1"/>
    <w:rsid w:val="00C41950"/>
    <w:rsid w:val="00C42C3B"/>
    <w:rsid w:val="00C446B3"/>
    <w:rsid w:val="00C51672"/>
    <w:rsid w:val="00C538A9"/>
    <w:rsid w:val="00C53B5A"/>
    <w:rsid w:val="00C53E41"/>
    <w:rsid w:val="00C54909"/>
    <w:rsid w:val="00C54AF3"/>
    <w:rsid w:val="00C54F5A"/>
    <w:rsid w:val="00C569B4"/>
    <w:rsid w:val="00C57DDE"/>
    <w:rsid w:val="00C60999"/>
    <w:rsid w:val="00C61468"/>
    <w:rsid w:val="00C61A97"/>
    <w:rsid w:val="00C61E44"/>
    <w:rsid w:val="00C64FF3"/>
    <w:rsid w:val="00C662AD"/>
    <w:rsid w:val="00C67A92"/>
    <w:rsid w:val="00C71280"/>
    <w:rsid w:val="00C717BF"/>
    <w:rsid w:val="00C71E51"/>
    <w:rsid w:val="00C76178"/>
    <w:rsid w:val="00C771D7"/>
    <w:rsid w:val="00C84560"/>
    <w:rsid w:val="00C8584B"/>
    <w:rsid w:val="00C86679"/>
    <w:rsid w:val="00C8792F"/>
    <w:rsid w:val="00C90472"/>
    <w:rsid w:val="00C91D6E"/>
    <w:rsid w:val="00C922DF"/>
    <w:rsid w:val="00C96DF2"/>
    <w:rsid w:val="00CA0E64"/>
    <w:rsid w:val="00CA3459"/>
    <w:rsid w:val="00CA489E"/>
    <w:rsid w:val="00CB0279"/>
    <w:rsid w:val="00CB666B"/>
    <w:rsid w:val="00CB734B"/>
    <w:rsid w:val="00CC0166"/>
    <w:rsid w:val="00CC41B6"/>
    <w:rsid w:val="00CC7ADA"/>
    <w:rsid w:val="00CC7F1D"/>
    <w:rsid w:val="00CD0A88"/>
    <w:rsid w:val="00CD125D"/>
    <w:rsid w:val="00CD283C"/>
    <w:rsid w:val="00CD3641"/>
    <w:rsid w:val="00CD66EA"/>
    <w:rsid w:val="00CD7432"/>
    <w:rsid w:val="00CE0FA5"/>
    <w:rsid w:val="00CE10AA"/>
    <w:rsid w:val="00CE2A23"/>
    <w:rsid w:val="00CE31C8"/>
    <w:rsid w:val="00CE484B"/>
    <w:rsid w:val="00CE7CBA"/>
    <w:rsid w:val="00CF0DEE"/>
    <w:rsid w:val="00CF42AA"/>
    <w:rsid w:val="00CF5EAA"/>
    <w:rsid w:val="00CF6AE3"/>
    <w:rsid w:val="00CF77BB"/>
    <w:rsid w:val="00D006AE"/>
    <w:rsid w:val="00D00905"/>
    <w:rsid w:val="00D010C1"/>
    <w:rsid w:val="00D01CF0"/>
    <w:rsid w:val="00D0311B"/>
    <w:rsid w:val="00D03C56"/>
    <w:rsid w:val="00D0442A"/>
    <w:rsid w:val="00D112F5"/>
    <w:rsid w:val="00D12A7B"/>
    <w:rsid w:val="00D12ADB"/>
    <w:rsid w:val="00D13FF3"/>
    <w:rsid w:val="00D15E63"/>
    <w:rsid w:val="00D1778E"/>
    <w:rsid w:val="00D21FFA"/>
    <w:rsid w:val="00D25A39"/>
    <w:rsid w:val="00D25B09"/>
    <w:rsid w:val="00D27CFA"/>
    <w:rsid w:val="00D310FA"/>
    <w:rsid w:val="00D325C6"/>
    <w:rsid w:val="00D37179"/>
    <w:rsid w:val="00D37213"/>
    <w:rsid w:val="00D42278"/>
    <w:rsid w:val="00D4360D"/>
    <w:rsid w:val="00D44628"/>
    <w:rsid w:val="00D45882"/>
    <w:rsid w:val="00D5015C"/>
    <w:rsid w:val="00D509AF"/>
    <w:rsid w:val="00D51B8D"/>
    <w:rsid w:val="00D52966"/>
    <w:rsid w:val="00D54C97"/>
    <w:rsid w:val="00D5607F"/>
    <w:rsid w:val="00D61388"/>
    <w:rsid w:val="00D61A54"/>
    <w:rsid w:val="00D62108"/>
    <w:rsid w:val="00D63A3D"/>
    <w:rsid w:val="00D64AA4"/>
    <w:rsid w:val="00D64DEA"/>
    <w:rsid w:val="00D64ED4"/>
    <w:rsid w:val="00D64F84"/>
    <w:rsid w:val="00D663CD"/>
    <w:rsid w:val="00D6726A"/>
    <w:rsid w:val="00D7001B"/>
    <w:rsid w:val="00D7160D"/>
    <w:rsid w:val="00D7168E"/>
    <w:rsid w:val="00D71E57"/>
    <w:rsid w:val="00D72D27"/>
    <w:rsid w:val="00D777F6"/>
    <w:rsid w:val="00D7786B"/>
    <w:rsid w:val="00D80893"/>
    <w:rsid w:val="00D82519"/>
    <w:rsid w:val="00D84854"/>
    <w:rsid w:val="00D924AE"/>
    <w:rsid w:val="00D92CF1"/>
    <w:rsid w:val="00D92D38"/>
    <w:rsid w:val="00D950F5"/>
    <w:rsid w:val="00D97379"/>
    <w:rsid w:val="00DA05A9"/>
    <w:rsid w:val="00DA4752"/>
    <w:rsid w:val="00DA4C09"/>
    <w:rsid w:val="00DA61F3"/>
    <w:rsid w:val="00DA7CB3"/>
    <w:rsid w:val="00DB0D00"/>
    <w:rsid w:val="00DB0F93"/>
    <w:rsid w:val="00DB1A67"/>
    <w:rsid w:val="00DB24BE"/>
    <w:rsid w:val="00DB3721"/>
    <w:rsid w:val="00DB5074"/>
    <w:rsid w:val="00DC0281"/>
    <w:rsid w:val="00DC1930"/>
    <w:rsid w:val="00DC1C76"/>
    <w:rsid w:val="00DC4A05"/>
    <w:rsid w:val="00DC4DBF"/>
    <w:rsid w:val="00DC4E19"/>
    <w:rsid w:val="00DC65FE"/>
    <w:rsid w:val="00DC769D"/>
    <w:rsid w:val="00DC7981"/>
    <w:rsid w:val="00DD4029"/>
    <w:rsid w:val="00DD4C07"/>
    <w:rsid w:val="00DD577D"/>
    <w:rsid w:val="00DD5ADC"/>
    <w:rsid w:val="00DE1093"/>
    <w:rsid w:val="00DE2690"/>
    <w:rsid w:val="00DE4EFA"/>
    <w:rsid w:val="00DE5520"/>
    <w:rsid w:val="00DE563D"/>
    <w:rsid w:val="00DE7677"/>
    <w:rsid w:val="00DE7AB5"/>
    <w:rsid w:val="00DF0152"/>
    <w:rsid w:val="00DF1817"/>
    <w:rsid w:val="00DF18B1"/>
    <w:rsid w:val="00DF1958"/>
    <w:rsid w:val="00DF3E35"/>
    <w:rsid w:val="00DF661F"/>
    <w:rsid w:val="00E02324"/>
    <w:rsid w:val="00E04818"/>
    <w:rsid w:val="00E06442"/>
    <w:rsid w:val="00E06952"/>
    <w:rsid w:val="00E11E61"/>
    <w:rsid w:val="00E13C7D"/>
    <w:rsid w:val="00E157B2"/>
    <w:rsid w:val="00E16055"/>
    <w:rsid w:val="00E20195"/>
    <w:rsid w:val="00E2332D"/>
    <w:rsid w:val="00E234E6"/>
    <w:rsid w:val="00E23993"/>
    <w:rsid w:val="00E2574F"/>
    <w:rsid w:val="00E25951"/>
    <w:rsid w:val="00E25B8C"/>
    <w:rsid w:val="00E31CF6"/>
    <w:rsid w:val="00E334E8"/>
    <w:rsid w:val="00E34A4A"/>
    <w:rsid w:val="00E35AFC"/>
    <w:rsid w:val="00E36AAC"/>
    <w:rsid w:val="00E41D39"/>
    <w:rsid w:val="00E50A02"/>
    <w:rsid w:val="00E52051"/>
    <w:rsid w:val="00E54106"/>
    <w:rsid w:val="00E54663"/>
    <w:rsid w:val="00E54697"/>
    <w:rsid w:val="00E56EBA"/>
    <w:rsid w:val="00E57A08"/>
    <w:rsid w:val="00E63631"/>
    <w:rsid w:val="00E64C2A"/>
    <w:rsid w:val="00E65C85"/>
    <w:rsid w:val="00E66199"/>
    <w:rsid w:val="00E70526"/>
    <w:rsid w:val="00E754B4"/>
    <w:rsid w:val="00E755EC"/>
    <w:rsid w:val="00E7624D"/>
    <w:rsid w:val="00E80A90"/>
    <w:rsid w:val="00E81724"/>
    <w:rsid w:val="00E819A4"/>
    <w:rsid w:val="00E82B4F"/>
    <w:rsid w:val="00E82EB4"/>
    <w:rsid w:val="00E833FA"/>
    <w:rsid w:val="00E83A2C"/>
    <w:rsid w:val="00E84B74"/>
    <w:rsid w:val="00E86805"/>
    <w:rsid w:val="00E87066"/>
    <w:rsid w:val="00E87FFE"/>
    <w:rsid w:val="00E90F5C"/>
    <w:rsid w:val="00E966BF"/>
    <w:rsid w:val="00EA0C04"/>
    <w:rsid w:val="00EA0E82"/>
    <w:rsid w:val="00EA1011"/>
    <w:rsid w:val="00EA1E4D"/>
    <w:rsid w:val="00EA3D42"/>
    <w:rsid w:val="00EA6B1B"/>
    <w:rsid w:val="00EB1CBD"/>
    <w:rsid w:val="00EB3A34"/>
    <w:rsid w:val="00EB3C3F"/>
    <w:rsid w:val="00EB4977"/>
    <w:rsid w:val="00EC04F1"/>
    <w:rsid w:val="00EC237F"/>
    <w:rsid w:val="00EC2752"/>
    <w:rsid w:val="00EC573A"/>
    <w:rsid w:val="00ED1639"/>
    <w:rsid w:val="00ED35C8"/>
    <w:rsid w:val="00ED3968"/>
    <w:rsid w:val="00ED7323"/>
    <w:rsid w:val="00EE28F3"/>
    <w:rsid w:val="00EE2C70"/>
    <w:rsid w:val="00EE50D1"/>
    <w:rsid w:val="00EE5E0C"/>
    <w:rsid w:val="00EE7614"/>
    <w:rsid w:val="00EF5110"/>
    <w:rsid w:val="00EF5890"/>
    <w:rsid w:val="00EF6542"/>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0E9C"/>
    <w:rsid w:val="00F22A8C"/>
    <w:rsid w:val="00F23368"/>
    <w:rsid w:val="00F322E9"/>
    <w:rsid w:val="00F3231B"/>
    <w:rsid w:val="00F333E6"/>
    <w:rsid w:val="00F33808"/>
    <w:rsid w:val="00F34D03"/>
    <w:rsid w:val="00F35C54"/>
    <w:rsid w:val="00F373A5"/>
    <w:rsid w:val="00F37525"/>
    <w:rsid w:val="00F37864"/>
    <w:rsid w:val="00F37EBD"/>
    <w:rsid w:val="00F404F9"/>
    <w:rsid w:val="00F427DE"/>
    <w:rsid w:val="00F43514"/>
    <w:rsid w:val="00F44B0A"/>
    <w:rsid w:val="00F47559"/>
    <w:rsid w:val="00F50B30"/>
    <w:rsid w:val="00F51F5F"/>
    <w:rsid w:val="00F528B9"/>
    <w:rsid w:val="00F52D75"/>
    <w:rsid w:val="00F55582"/>
    <w:rsid w:val="00F57647"/>
    <w:rsid w:val="00F6189E"/>
    <w:rsid w:val="00F62A14"/>
    <w:rsid w:val="00F644AB"/>
    <w:rsid w:val="00F64C7B"/>
    <w:rsid w:val="00F656AF"/>
    <w:rsid w:val="00F676DD"/>
    <w:rsid w:val="00F67AB6"/>
    <w:rsid w:val="00F70028"/>
    <w:rsid w:val="00F70434"/>
    <w:rsid w:val="00F71608"/>
    <w:rsid w:val="00F75650"/>
    <w:rsid w:val="00F75A26"/>
    <w:rsid w:val="00F76706"/>
    <w:rsid w:val="00F77D6D"/>
    <w:rsid w:val="00F80206"/>
    <w:rsid w:val="00F82F03"/>
    <w:rsid w:val="00F83034"/>
    <w:rsid w:val="00F830CE"/>
    <w:rsid w:val="00F83FAD"/>
    <w:rsid w:val="00F844C6"/>
    <w:rsid w:val="00F92FA6"/>
    <w:rsid w:val="00F9353B"/>
    <w:rsid w:val="00F937F1"/>
    <w:rsid w:val="00F952A0"/>
    <w:rsid w:val="00F95425"/>
    <w:rsid w:val="00FA0058"/>
    <w:rsid w:val="00FA31B1"/>
    <w:rsid w:val="00FA3320"/>
    <w:rsid w:val="00FA3A65"/>
    <w:rsid w:val="00FA3C7F"/>
    <w:rsid w:val="00FA6246"/>
    <w:rsid w:val="00FB24ED"/>
    <w:rsid w:val="00FB3304"/>
    <w:rsid w:val="00FB5005"/>
    <w:rsid w:val="00FB60FE"/>
    <w:rsid w:val="00FB74E2"/>
    <w:rsid w:val="00FB778B"/>
    <w:rsid w:val="00FC3D1E"/>
    <w:rsid w:val="00FD39E2"/>
    <w:rsid w:val="00FD5614"/>
    <w:rsid w:val="00FD5E78"/>
    <w:rsid w:val="00FE0BE1"/>
    <w:rsid w:val="00FE11BB"/>
    <w:rsid w:val="00FE1DE9"/>
    <w:rsid w:val="00FE2356"/>
    <w:rsid w:val="00FE36AF"/>
    <w:rsid w:val="00FE39C2"/>
    <w:rsid w:val="00FE3C32"/>
    <w:rsid w:val="00FE64AE"/>
    <w:rsid w:val="00FF7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chnas-evs02\home$\ssoli\VICGAAR\demand\Multinet\Comparison%20of%20dwelling%20starts_Multin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'AER analysis'!$A$3</c:f>
              <c:strCache>
                <c:ptCount val="1"/>
                <c:pt idx="0">
                  <c:v>ACIF Forecast</c:v>
                </c:pt>
              </c:strCache>
            </c:strRef>
          </c:tx>
          <c:spPr>
            <a:ln>
              <a:solidFill>
                <a:sysClr val="windowText" lastClr="000000"/>
              </a:solidFill>
              <a:prstDash val="dash"/>
            </a:ln>
          </c:spPr>
          <c:marker>
            <c:symbol val="none"/>
          </c:marker>
          <c:xVal>
            <c:numRef>
              <c:f>'AER analysis'!$B$2:$P$2</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xVal>
          <c:yVal>
            <c:numRef>
              <c:f>'AER analysis'!$B$3:$P$3</c:f>
              <c:numCache>
                <c:formatCode>General</c:formatCode>
                <c:ptCount val="15"/>
                <c:pt idx="7">
                  <c:v>9115</c:v>
                </c:pt>
                <c:pt idx="8">
                  <c:v>8535</c:v>
                </c:pt>
                <c:pt idx="9">
                  <c:v>8669</c:v>
                </c:pt>
                <c:pt idx="10">
                  <c:v>8633</c:v>
                </c:pt>
                <c:pt idx="11">
                  <c:v>8173</c:v>
                </c:pt>
                <c:pt idx="12">
                  <c:v>7741</c:v>
                </c:pt>
                <c:pt idx="13">
                  <c:v>7888</c:v>
                </c:pt>
                <c:pt idx="14">
                  <c:v>8169</c:v>
                </c:pt>
              </c:numCache>
            </c:numRef>
          </c:yVal>
          <c:smooth val="1"/>
        </c:ser>
        <c:ser>
          <c:idx val="1"/>
          <c:order val="1"/>
          <c:tx>
            <c:strRef>
              <c:f>'AER analysis'!$A$10</c:f>
              <c:strCache>
                <c:ptCount val="1"/>
                <c:pt idx="0">
                  <c:v>NIEIR forecast</c:v>
                </c:pt>
              </c:strCache>
            </c:strRef>
          </c:tx>
          <c:spPr>
            <a:ln>
              <a:prstDash val="dash"/>
            </a:ln>
          </c:spPr>
          <c:marker>
            <c:symbol val="none"/>
          </c:marker>
          <c:xVal>
            <c:numRef>
              <c:f>'AER analysis'!$B$2:$P$2</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xVal>
          <c:yVal>
            <c:numRef>
              <c:f>'AER analysis'!$B$10:$P$10</c:f>
              <c:numCache>
                <c:formatCode>General</c:formatCode>
                <c:ptCount val="15"/>
                <c:pt idx="7">
                  <c:v>9115</c:v>
                </c:pt>
                <c:pt idx="8">
                  <c:v>6196.8446981553116</c:v>
                </c:pt>
                <c:pt idx="9">
                  <c:v>6613.1894768987713</c:v>
                </c:pt>
                <c:pt idx="10">
                  <c:v>6544.6923560764699</c:v>
                </c:pt>
                <c:pt idx="11">
                  <c:v>6691.8130470452161</c:v>
                </c:pt>
                <c:pt idx="12">
                  <c:v>6683.8858046148489</c:v>
                </c:pt>
                <c:pt idx="13">
                  <c:v>6682.1014162228494</c:v>
                </c:pt>
                <c:pt idx="14">
                  <c:v>6535.9355046157725</c:v>
                </c:pt>
              </c:numCache>
            </c:numRef>
          </c:yVal>
          <c:smooth val="1"/>
        </c:ser>
        <c:ser>
          <c:idx val="2"/>
          <c:order val="2"/>
          <c:tx>
            <c:strRef>
              <c:f>'AER analysis'!$A$11</c:f>
              <c:strCache>
                <c:ptCount val="1"/>
                <c:pt idx="0">
                  <c:v>Historical </c:v>
                </c:pt>
              </c:strCache>
            </c:strRef>
          </c:tx>
          <c:marker>
            <c:symbol val="none"/>
          </c:marker>
          <c:xVal>
            <c:numRef>
              <c:f>'AER analysis'!$B$2:$P$2</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xVal>
          <c:yVal>
            <c:numRef>
              <c:f>'AER analysis'!$B$11:$P$11</c:f>
              <c:numCache>
                <c:formatCode>General</c:formatCode>
                <c:ptCount val="15"/>
                <c:pt idx="0">
                  <c:v>7537</c:v>
                </c:pt>
                <c:pt idx="1">
                  <c:v>7743</c:v>
                </c:pt>
                <c:pt idx="2">
                  <c:v>6890</c:v>
                </c:pt>
                <c:pt idx="3">
                  <c:v>7670</c:v>
                </c:pt>
                <c:pt idx="4">
                  <c:v>7922.3435616085499</c:v>
                </c:pt>
                <c:pt idx="5">
                  <c:v>7592</c:v>
                </c:pt>
                <c:pt idx="6">
                  <c:v>8230</c:v>
                </c:pt>
                <c:pt idx="7">
                  <c:v>9115</c:v>
                </c:pt>
              </c:numCache>
            </c:numRef>
          </c:yVal>
          <c:smooth val="1"/>
        </c:ser>
        <c:dLbls>
          <c:showLegendKey val="0"/>
          <c:showVal val="0"/>
          <c:showCatName val="0"/>
          <c:showSerName val="0"/>
          <c:showPercent val="0"/>
          <c:showBubbleSize val="0"/>
        </c:dLbls>
        <c:axId val="42854656"/>
        <c:axId val="42926464"/>
      </c:scatterChart>
      <c:valAx>
        <c:axId val="42854656"/>
        <c:scaling>
          <c:orientation val="minMax"/>
          <c:max val="2022"/>
          <c:min val="2008"/>
        </c:scaling>
        <c:delete val="0"/>
        <c:axPos val="b"/>
        <c:title>
          <c:tx>
            <c:rich>
              <a:bodyPr/>
              <a:lstStyle/>
              <a:p>
                <a:pPr>
                  <a:defRPr/>
                </a:pPr>
                <a:r>
                  <a:rPr lang="en-US"/>
                  <a:t>Calender Years</a:t>
                </a:r>
              </a:p>
            </c:rich>
          </c:tx>
          <c:layout/>
          <c:overlay val="0"/>
        </c:title>
        <c:numFmt formatCode="General" sourceLinked="1"/>
        <c:majorTickMark val="out"/>
        <c:minorTickMark val="none"/>
        <c:tickLblPos val="nextTo"/>
        <c:crossAx val="42926464"/>
        <c:crosses val="autoZero"/>
        <c:crossBetween val="midCat"/>
      </c:valAx>
      <c:valAx>
        <c:axId val="42926464"/>
        <c:scaling>
          <c:orientation val="minMax"/>
          <c:max val="9500"/>
          <c:min val="5500"/>
        </c:scaling>
        <c:delete val="0"/>
        <c:axPos val="l"/>
        <c:majorGridlines/>
        <c:title>
          <c:tx>
            <c:rich>
              <a:bodyPr rot="-5400000" vert="horz"/>
              <a:lstStyle/>
              <a:p>
                <a:pPr>
                  <a:defRPr/>
                </a:pPr>
                <a:r>
                  <a:rPr lang="en-US"/>
                  <a:t>Gross residential new connections</a:t>
                </a:r>
              </a:p>
            </c:rich>
          </c:tx>
          <c:layout/>
          <c:overlay val="0"/>
        </c:title>
        <c:numFmt formatCode="General" sourceLinked="1"/>
        <c:majorTickMark val="out"/>
        <c:minorTickMark val="none"/>
        <c:tickLblPos val="nextTo"/>
        <c:crossAx val="42854656"/>
        <c:crosses val="autoZero"/>
        <c:crossBetween val="midCat"/>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62900E-7220-4336-912E-9361D6C6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6F0313FF</Template>
  <TotalTime>0</TotalTime>
  <Pages>18</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2017-07-02T23:45:00Z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