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21205F64" wp14:editId="71F84C0D">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5D8A8EEC" wp14:editId="2799EBD9">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8D6D21" w:rsidRDefault="008D6D21" w:rsidP="00D5015C">
          <w:pPr>
            <w:pStyle w:val="ReportSubtitle"/>
          </w:pPr>
          <w:r>
            <w:t>DRAFT DECISION</w:t>
          </w:r>
        </w:p>
        <w:p w:rsidR="00190361" w:rsidRDefault="00190361" w:rsidP="00D5015C">
          <w:pPr>
            <w:pStyle w:val="ReportSubtitle"/>
          </w:pPr>
          <w:r>
            <w:t>Multinet G</w:t>
          </w:r>
          <w:r w:rsidR="00D5015C">
            <w:t xml:space="preserve">as </w:t>
          </w:r>
        </w:p>
        <w:p w:rsidR="00D5015C" w:rsidRDefault="00190361" w:rsidP="00D5015C">
          <w:pPr>
            <w:pStyle w:val="ReportSubtitle"/>
          </w:pPr>
          <w:r>
            <w:t>A</w:t>
          </w:r>
          <w:r w:rsidR="00D5015C">
            <w:t>ccess arrangement</w:t>
          </w:r>
        </w:p>
        <w:p w:rsidR="00D5015C" w:rsidRDefault="00D5015C" w:rsidP="00D5015C">
          <w:pPr>
            <w:pStyle w:val="ReportSubtitle"/>
          </w:pPr>
          <w:r>
            <w:t xml:space="preserve"> 2018 to 2022</w:t>
          </w:r>
        </w:p>
        <w:p w:rsidR="008F07A3" w:rsidRPr="000A6C7B" w:rsidRDefault="008F07A3" w:rsidP="00D5015C">
          <w:pPr>
            <w:pStyle w:val="ReportSubtitle"/>
            <w:tabs>
              <w:tab w:val="left" w:pos="1122"/>
              <w:tab w:val="center" w:pos="4238"/>
            </w:tabs>
            <w:jc w:val="left"/>
          </w:pPr>
        </w:p>
        <w:p w:rsidR="000A6C7B" w:rsidRDefault="0037699E" w:rsidP="008F07A3">
          <w:pPr>
            <w:pStyle w:val="ReportSubtitle"/>
          </w:pPr>
          <w:r>
            <w:t xml:space="preserve">Attachment </w:t>
          </w:r>
          <w:r w:rsidR="00471BC6">
            <w:t>1</w:t>
          </w:r>
          <w:r w:rsidR="00E56707">
            <w:t>4</w:t>
          </w:r>
          <w:r w:rsidR="000474DF">
            <w:t xml:space="preserve"> </w:t>
          </w:r>
          <w:r w:rsidR="00185BA5">
            <w:t>–</w:t>
          </w:r>
          <w:r w:rsidR="000474DF">
            <w:t xml:space="preserve"> </w:t>
          </w:r>
          <w:r w:rsidR="00E56707">
            <w:t>Other incentive schemes</w:t>
          </w:r>
        </w:p>
        <w:p w:rsidR="00D5015C" w:rsidRDefault="00D5015C" w:rsidP="00327A1E">
          <w:pPr>
            <w:pStyle w:val="ReportDate"/>
          </w:pPr>
        </w:p>
        <w:p w:rsidR="00D5015C" w:rsidRDefault="00D5015C" w:rsidP="00327A1E">
          <w:pPr>
            <w:pStyle w:val="ReportDate"/>
          </w:pPr>
        </w:p>
        <w:p w:rsidR="000A6C7B" w:rsidRPr="00327A1E" w:rsidRDefault="00C05B2F" w:rsidP="00327A1E">
          <w:pPr>
            <w:pStyle w:val="ReportDate"/>
          </w:pPr>
          <w:r>
            <w:t>Ju</w:t>
          </w:r>
          <w:r w:rsidR="00AC12B2">
            <w:t>ly</w:t>
          </w:r>
          <w:r w:rsidR="00D5015C">
            <w:t xml:space="preserve"> </w:t>
          </w:r>
          <w:r w:rsidR="00F22A8C">
            <w:t>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E56707">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10020F">
        <w:t>1300 585 165</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6838506"/>
      <w:r>
        <w:lastRenderedPageBreak/>
        <w:t>Note</w:t>
      </w:r>
      <w:bookmarkEnd w:id="1"/>
      <w:bookmarkEnd w:id="2"/>
      <w:bookmarkEnd w:id="3"/>
    </w:p>
    <w:p w:rsidR="00D5015C" w:rsidRDefault="00D5015C" w:rsidP="00D5015C">
      <w:pPr>
        <w:numPr>
          <w:ilvl w:val="0"/>
          <w:numId w:val="23"/>
        </w:numPr>
      </w:pPr>
      <w:r>
        <w:t xml:space="preserve">This attachment forms part of the AER's draft decision on the access arrangement for </w:t>
      </w:r>
      <w:r w:rsidR="00190361">
        <w:t>Multinet Gas</w:t>
      </w:r>
      <w:r>
        <w:t xml:space="preserve"> for 2018</w:t>
      </w:r>
      <w:r>
        <w:noBreakHyphen/>
        <w:t>22. It should be read with all other parts of the draft decision.</w:t>
      </w:r>
    </w:p>
    <w:p w:rsidR="00D5015C" w:rsidRDefault="00D5015C" w:rsidP="00D5015C">
      <w:pPr>
        <w:numPr>
          <w:ilvl w:val="0"/>
          <w:numId w:val="23"/>
        </w:numPr>
      </w:pPr>
      <w:r>
        <w:t>The draft decision includes the following documents:</w:t>
      </w:r>
    </w:p>
    <w:p w:rsidR="00D5015C" w:rsidRDefault="00D5015C" w:rsidP="00D5015C">
      <w:pPr>
        <w:numPr>
          <w:ilvl w:val="0"/>
          <w:numId w:val="23"/>
        </w:numPr>
      </w:pPr>
      <w:r>
        <w:t>Overview</w:t>
      </w:r>
    </w:p>
    <w:p w:rsidR="00D5015C" w:rsidRDefault="00D5015C" w:rsidP="00D5015C">
      <w:r>
        <w:t>Attachment 1 - Services covered by the access arrangement</w:t>
      </w:r>
    </w:p>
    <w:p w:rsidR="00D5015C" w:rsidRDefault="00D5015C" w:rsidP="00D5015C">
      <w:r>
        <w:t>Attachment 2 - Capital base</w:t>
      </w:r>
    </w:p>
    <w:p w:rsidR="00D5015C" w:rsidRDefault="00D5015C" w:rsidP="00D5015C">
      <w:r>
        <w:t>Attachment 3 - Rate of return</w:t>
      </w:r>
    </w:p>
    <w:p w:rsidR="00D5015C" w:rsidRDefault="00D5015C" w:rsidP="00D5015C">
      <w:r>
        <w:t>Attachment 4 - Value of imputation credits</w:t>
      </w:r>
    </w:p>
    <w:p w:rsidR="00D5015C" w:rsidRDefault="00D5015C" w:rsidP="00D5015C">
      <w:r>
        <w:t>Attachment 5 - Regulatory depreciation</w:t>
      </w:r>
    </w:p>
    <w:p w:rsidR="00D5015C" w:rsidRDefault="00D5015C" w:rsidP="00D5015C">
      <w:r>
        <w:t xml:space="preserve">Attachment 6 - Capital expenditure </w:t>
      </w:r>
    </w:p>
    <w:p w:rsidR="00D5015C" w:rsidRDefault="00D5015C" w:rsidP="00D5015C">
      <w:r>
        <w:t>Attachment 7 - Operating expenditure</w:t>
      </w:r>
    </w:p>
    <w:p w:rsidR="00D5015C" w:rsidRDefault="00D5015C" w:rsidP="00D5015C">
      <w:r>
        <w:t>Attachment 8 - Corporate income tax</w:t>
      </w:r>
    </w:p>
    <w:p w:rsidR="00D5015C" w:rsidRDefault="00D5015C" w:rsidP="00D5015C">
      <w:r>
        <w:t>Attachment 9 - Efficiency carryover mechanism</w:t>
      </w:r>
    </w:p>
    <w:p w:rsidR="00D5015C" w:rsidRDefault="00D5015C" w:rsidP="00D5015C">
      <w:r>
        <w:t>Attachment 10 - Reference tariff setting</w:t>
      </w:r>
    </w:p>
    <w:p w:rsidR="00D5015C" w:rsidRDefault="00D5015C" w:rsidP="00D5015C">
      <w:r>
        <w:t>Attachment 11 - Reference tariff variation mechanism</w:t>
      </w:r>
    </w:p>
    <w:p w:rsidR="00D5015C" w:rsidRDefault="00D5015C" w:rsidP="00D5015C">
      <w:r>
        <w:t>Attachment 12 - Non-tariff components</w:t>
      </w:r>
    </w:p>
    <w:p w:rsidR="00D5015C" w:rsidRDefault="00D5015C" w:rsidP="00D5015C">
      <w:r>
        <w:t>Attachment 13 - Demand</w:t>
      </w:r>
    </w:p>
    <w:p w:rsidR="00D5015C" w:rsidRDefault="00D5015C" w:rsidP="00D5015C">
      <w:r>
        <w:t>Attachment 14 - Other incentive schemes</w:t>
      </w:r>
    </w:p>
    <w:p w:rsidR="00CE2A23" w:rsidRPr="00CE2A23" w:rsidRDefault="00CE2A23" w:rsidP="00CE2A23">
      <w:bookmarkStart w:id="4" w:name="_Toc404354899"/>
      <w:bookmarkStart w:id="5" w:name="_Toc404353070"/>
      <w:bookmarkStart w:id="6" w:name="_Toc404684201"/>
      <w:bookmarkStart w:id="7" w:name="_Toc404700923"/>
    </w:p>
    <w:bookmarkEnd w:id="4"/>
    <w:bookmarkEnd w:id="5"/>
    <w:bookmarkEnd w:id="6"/>
    <w:bookmarkEnd w:id="7"/>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6838507"/>
      <w:r>
        <w:t>Contents</w:t>
      </w:r>
      <w:bookmarkEnd w:id="8"/>
      <w:bookmarkEnd w:id="9"/>
    </w:p>
    <w:p w:rsidR="00CE2A23" w:rsidRDefault="00CE2A23" w:rsidP="00CE2A23"/>
    <w:sdt>
      <w:sdtPr>
        <w:id w:val="1269200322"/>
        <w:docPartObj>
          <w:docPartGallery w:val="Table of Contents"/>
          <w:docPartUnique/>
        </w:docPartObj>
      </w:sdtPr>
      <w:sdtEndPr/>
      <w:sdtContent>
        <w:bookmarkStart w:id="10" w:name="_GoBack" w:displacedByCustomXml="prev"/>
        <w:bookmarkEnd w:id="10" w:displacedByCustomXml="prev"/>
        <w:p w:rsidR="0048500A" w:rsidRDefault="00E56707">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 </w:instrText>
          </w:r>
          <w:r>
            <w:fldChar w:fldCharType="separate"/>
          </w:r>
          <w:hyperlink w:anchor="_Toc486838506" w:history="1">
            <w:r w:rsidR="0048500A" w:rsidRPr="004A5631">
              <w:rPr>
                <w:rStyle w:val="Hyperlink"/>
              </w:rPr>
              <w:t>Note</w:t>
            </w:r>
            <w:r w:rsidR="0048500A">
              <w:rPr>
                <w:webHidden/>
              </w:rPr>
              <w:tab/>
            </w:r>
            <w:r w:rsidR="0048500A">
              <w:rPr>
                <w:webHidden/>
              </w:rPr>
              <w:fldChar w:fldCharType="begin"/>
            </w:r>
            <w:r w:rsidR="0048500A">
              <w:rPr>
                <w:webHidden/>
              </w:rPr>
              <w:instrText xml:space="preserve"> PAGEREF _Toc486838506 \h </w:instrText>
            </w:r>
            <w:r w:rsidR="0048500A">
              <w:rPr>
                <w:webHidden/>
              </w:rPr>
            </w:r>
            <w:r w:rsidR="0048500A">
              <w:rPr>
                <w:webHidden/>
              </w:rPr>
              <w:fldChar w:fldCharType="separate"/>
            </w:r>
            <w:r w:rsidR="00772782">
              <w:rPr>
                <w:webHidden/>
              </w:rPr>
              <w:t>14-2</w:t>
            </w:r>
            <w:r w:rsidR="0048500A">
              <w:rPr>
                <w:webHidden/>
              </w:rPr>
              <w:fldChar w:fldCharType="end"/>
            </w:r>
          </w:hyperlink>
        </w:p>
        <w:p w:rsidR="0048500A" w:rsidRDefault="0048500A">
          <w:pPr>
            <w:pStyle w:val="TOC1"/>
            <w:rPr>
              <w:rFonts w:asciiTheme="minorHAnsi" w:eastAsiaTheme="minorEastAsia" w:hAnsiTheme="minorHAnsi"/>
              <w:b w:val="0"/>
              <w:color w:val="auto"/>
              <w:sz w:val="22"/>
              <w:lang w:val="en-AU" w:eastAsia="en-AU"/>
            </w:rPr>
          </w:pPr>
          <w:hyperlink w:anchor="_Toc486838507" w:history="1">
            <w:r w:rsidRPr="004A5631">
              <w:rPr>
                <w:rStyle w:val="Hyperlink"/>
              </w:rPr>
              <w:t>Contents</w:t>
            </w:r>
            <w:r>
              <w:rPr>
                <w:webHidden/>
              </w:rPr>
              <w:tab/>
            </w:r>
            <w:r>
              <w:rPr>
                <w:webHidden/>
              </w:rPr>
              <w:fldChar w:fldCharType="begin"/>
            </w:r>
            <w:r>
              <w:rPr>
                <w:webHidden/>
              </w:rPr>
              <w:instrText xml:space="preserve"> PAGEREF _Toc486838507 \h </w:instrText>
            </w:r>
            <w:r>
              <w:rPr>
                <w:webHidden/>
              </w:rPr>
            </w:r>
            <w:r>
              <w:rPr>
                <w:webHidden/>
              </w:rPr>
              <w:fldChar w:fldCharType="separate"/>
            </w:r>
            <w:r w:rsidR="00772782">
              <w:rPr>
                <w:webHidden/>
              </w:rPr>
              <w:t>14-3</w:t>
            </w:r>
            <w:r>
              <w:rPr>
                <w:webHidden/>
              </w:rPr>
              <w:fldChar w:fldCharType="end"/>
            </w:r>
          </w:hyperlink>
        </w:p>
        <w:p w:rsidR="0048500A" w:rsidRDefault="0048500A">
          <w:pPr>
            <w:pStyle w:val="TOC1"/>
            <w:rPr>
              <w:rFonts w:asciiTheme="minorHAnsi" w:eastAsiaTheme="minorEastAsia" w:hAnsiTheme="minorHAnsi"/>
              <w:b w:val="0"/>
              <w:color w:val="auto"/>
              <w:sz w:val="22"/>
              <w:lang w:val="en-AU" w:eastAsia="en-AU"/>
            </w:rPr>
          </w:pPr>
          <w:hyperlink w:anchor="_Toc486838508" w:history="1">
            <w:r w:rsidRPr="004A5631">
              <w:rPr>
                <w:rStyle w:val="Hyperlink"/>
              </w:rPr>
              <w:t>Shortened forms</w:t>
            </w:r>
            <w:r>
              <w:rPr>
                <w:webHidden/>
              </w:rPr>
              <w:tab/>
            </w:r>
            <w:r>
              <w:rPr>
                <w:webHidden/>
              </w:rPr>
              <w:fldChar w:fldCharType="begin"/>
            </w:r>
            <w:r>
              <w:rPr>
                <w:webHidden/>
              </w:rPr>
              <w:instrText xml:space="preserve"> PAGEREF _Toc486838508 \h </w:instrText>
            </w:r>
            <w:r>
              <w:rPr>
                <w:webHidden/>
              </w:rPr>
            </w:r>
            <w:r>
              <w:rPr>
                <w:webHidden/>
              </w:rPr>
              <w:fldChar w:fldCharType="separate"/>
            </w:r>
            <w:r w:rsidR="00772782">
              <w:rPr>
                <w:webHidden/>
              </w:rPr>
              <w:t>14-4</w:t>
            </w:r>
            <w:r>
              <w:rPr>
                <w:webHidden/>
              </w:rPr>
              <w:fldChar w:fldCharType="end"/>
            </w:r>
          </w:hyperlink>
        </w:p>
        <w:p w:rsidR="0048500A" w:rsidRDefault="0048500A">
          <w:pPr>
            <w:pStyle w:val="TOC1"/>
            <w:rPr>
              <w:rFonts w:asciiTheme="minorHAnsi" w:eastAsiaTheme="minorEastAsia" w:hAnsiTheme="minorHAnsi"/>
              <w:b w:val="0"/>
              <w:color w:val="auto"/>
              <w:sz w:val="22"/>
              <w:lang w:val="en-AU" w:eastAsia="en-AU"/>
            </w:rPr>
          </w:pPr>
          <w:hyperlink w:anchor="_Toc486838509" w:history="1">
            <w:r w:rsidRPr="004A5631">
              <w:rPr>
                <w:rStyle w:val="Hyperlink"/>
              </w:rPr>
              <w:t>14</w:t>
            </w:r>
            <w:r>
              <w:rPr>
                <w:rFonts w:asciiTheme="minorHAnsi" w:eastAsiaTheme="minorEastAsia" w:hAnsiTheme="minorHAnsi"/>
                <w:b w:val="0"/>
                <w:color w:val="auto"/>
                <w:sz w:val="22"/>
                <w:lang w:val="en-AU" w:eastAsia="en-AU"/>
              </w:rPr>
              <w:tab/>
            </w:r>
            <w:r w:rsidRPr="004A5631">
              <w:rPr>
                <w:rStyle w:val="Hyperlink"/>
              </w:rPr>
              <w:t>Other incentive schemes</w:t>
            </w:r>
            <w:r>
              <w:rPr>
                <w:webHidden/>
              </w:rPr>
              <w:tab/>
            </w:r>
            <w:r>
              <w:rPr>
                <w:webHidden/>
              </w:rPr>
              <w:fldChar w:fldCharType="begin"/>
            </w:r>
            <w:r>
              <w:rPr>
                <w:webHidden/>
              </w:rPr>
              <w:instrText xml:space="preserve"> PAGEREF _Toc486838509 \h </w:instrText>
            </w:r>
            <w:r>
              <w:rPr>
                <w:webHidden/>
              </w:rPr>
            </w:r>
            <w:r>
              <w:rPr>
                <w:webHidden/>
              </w:rPr>
              <w:fldChar w:fldCharType="separate"/>
            </w:r>
            <w:r w:rsidR="00772782">
              <w:rPr>
                <w:webHidden/>
              </w:rPr>
              <w:t>14-5</w:t>
            </w:r>
            <w:r>
              <w:rPr>
                <w:webHidden/>
              </w:rPr>
              <w:fldChar w:fldCharType="end"/>
            </w:r>
          </w:hyperlink>
        </w:p>
        <w:p w:rsidR="0048500A" w:rsidRDefault="0048500A">
          <w:pPr>
            <w:pStyle w:val="TOC2"/>
            <w:tabs>
              <w:tab w:val="left" w:pos="1276"/>
            </w:tabs>
            <w:rPr>
              <w:rFonts w:asciiTheme="minorHAnsi" w:eastAsiaTheme="minorEastAsia" w:hAnsiTheme="minorHAnsi"/>
              <w:b w:val="0"/>
              <w:color w:val="auto"/>
              <w:sz w:val="22"/>
              <w:lang w:eastAsia="en-AU"/>
            </w:rPr>
          </w:pPr>
          <w:hyperlink w:anchor="_Toc486838510" w:history="1">
            <w:r w:rsidRPr="004A5631">
              <w:rPr>
                <w:rStyle w:val="Hyperlink"/>
              </w:rPr>
              <w:t>14.1</w:t>
            </w:r>
            <w:r>
              <w:rPr>
                <w:rFonts w:asciiTheme="minorHAnsi" w:eastAsiaTheme="minorEastAsia" w:hAnsiTheme="minorHAnsi"/>
                <w:b w:val="0"/>
                <w:color w:val="auto"/>
                <w:sz w:val="22"/>
                <w:lang w:eastAsia="en-AU"/>
              </w:rPr>
              <w:tab/>
            </w:r>
            <w:r w:rsidRPr="004A5631">
              <w:rPr>
                <w:rStyle w:val="Hyperlink"/>
              </w:rPr>
              <w:t>Draft decision</w:t>
            </w:r>
            <w:r>
              <w:rPr>
                <w:webHidden/>
              </w:rPr>
              <w:tab/>
            </w:r>
            <w:r>
              <w:rPr>
                <w:webHidden/>
              </w:rPr>
              <w:fldChar w:fldCharType="begin"/>
            </w:r>
            <w:r>
              <w:rPr>
                <w:webHidden/>
              </w:rPr>
              <w:instrText xml:space="preserve"> PAGEREF _Toc486838510 \h </w:instrText>
            </w:r>
            <w:r>
              <w:rPr>
                <w:webHidden/>
              </w:rPr>
            </w:r>
            <w:r>
              <w:rPr>
                <w:webHidden/>
              </w:rPr>
              <w:fldChar w:fldCharType="separate"/>
            </w:r>
            <w:r w:rsidR="00772782">
              <w:rPr>
                <w:webHidden/>
              </w:rPr>
              <w:t>14-5</w:t>
            </w:r>
            <w:r>
              <w:rPr>
                <w:webHidden/>
              </w:rPr>
              <w:fldChar w:fldCharType="end"/>
            </w:r>
          </w:hyperlink>
        </w:p>
        <w:p w:rsidR="0048500A" w:rsidRDefault="0048500A">
          <w:pPr>
            <w:pStyle w:val="TOC2"/>
            <w:tabs>
              <w:tab w:val="left" w:pos="1276"/>
            </w:tabs>
            <w:rPr>
              <w:rFonts w:asciiTheme="minorHAnsi" w:eastAsiaTheme="minorEastAsia" w:hAnsiTheme="minorHAnsi"/>
              <w:b w:val="0"/>
              <w:color w:val="auto"/>
              <w:sz w:val="22"/>
              <w:lang w:eastAsia="en-AU"/>
            </w:rPr>
          </w:pPr>
          <w:hyperlink w:anchor="_Toc486838511" w:history="1">
            <w:r w:rsidRPr="004A5631">
              <w:rPr>
                <w:rStyle w:val="Hyperlink"/>
              </w:rPr>
              <w:t>14.2</w:t>
            </w:r>
            <w:r>
              <w:rPr>
                <w:rFonts w:asciiTheme="minorHAnsi" w:eastAsiaTheme="minorEastAsia" w:hAnsiTheme="minorHAnsi"/>
                <w:b w:val="0"/>
                <w:color w:val="auto"/>
                <w:sz w:val="22"/>
                <w:lang w:eastAsia="en-AU"/>
              </w:rPr>
              <w:tab/>
            </w:r>
            <w:r w:rsidRPr="004A5631">
              <w:rPr>
                <w:rStyle w:val="Hyperlink"/>
              </w:rPr>
              <w:t>AER Assessment approach</w:t>
            </w:r>
            <w:r>
              <w:rPr>
                <w:webHidden/>
              </w:rPr>
              <w:tab/>
            </w:r>
            <w:r>
              <w:rPr>
                <w:webHidden/>
              </w:rPr>
              <w:fldChar w:fldCharType="begin"/>
            </w:r>
            <w:r>
              <w:rPr>
                <w:webHidden/>
              </w:rPr>
              <w:instrText xml:space="preserve"> PAGEREF _Toc486838511 \h </w:instrText>
            </w:r>
            <w:r>
              <w:rPr>
                <w:webHidden/>
              </w:rPr>
            </w:r>
            <w:r>
              <w:rPr>
                <w:webHidden/>
              </w:rPr>
              <w:fldChar w:fldCharType="separate"/>
            </w:r>
            <w:r w:rsidR="00772782">
              <w:rPr>
                <w:webHidden/>
              </w:rPr>
              <w:t>14-5</w:t>
            </w:r>
            <w:r>
              <w:rPr>
                <w:webHidden/>
              </w:rPr>
              <w:fldChar w:fldCharType="end"/>
            </w:r>
          </w:hyperlink>
        </w:p>
        <w:p w:rsidR="0048500A" w:rsidRDefault="0048500A">
          <w:pPr>
            <w:pStyle w:val="TOC2"/>
            <w:tabs>
              <w:tab w:val="left" w:pos="1276"/>
            </w:tabs>
            <w:rPr>
              <w:rFonts w:asciiTheme="minorHAnsi" w:eastAsiaTheme="minorEastAsia" w:hAnsiTheme="minorHAnsi"/>
              <w:b w:val="0"/>
              <w:color w:val="auto"/>
              <w:sz w:val="22"/>
              <w:lang w:eastAsia="en-AU"/>
            </w:rPr>
          </w:pPr>
          <w:hyperlink w:anchor="_Toc486838512" w:history="1">
            <w:r w:rsidRPr="004A5631">
              <w:rPr>
                <w:rStyle w:val="Hyperlink"/>
              </w:rPr>
              <w:t>14.3</w:t>
            </w:r>
            <w:r>
              <w:rPr>
                <w:rFonts w:asciiTheme="minorHAnsi" w:eastAsiaTheme="minorEastAsia" w:hAnsiTheme="minorHAnsi"/>
                <w:b w:val="0"/>
                <w:color w:val="auto"/>
                <w:sz w:val="22"/>
                <w:lang w:eastAsia="en-AU"/>
              </w:rPr>
              <w:tab/>
            </w:r>
            <w:r w:rsidRPr="004A5631">
              <w:rPr>
                <w:rStyle w:val="Hyperlink"/>
              </w:rPr>
              <w:t>Multinet's proposal</w:t>
            </w:r>
            <w:r>
              <w:rPr>
                <w:webHidden/>
              </w:rPr>
              <w:tab/>
            </w:r>
            <w:r>
              <w:rPr>
                <w:webHidden/>
              </w:rPr>
              <w:fldChar w:fldCharType="begin"/>
            </w:r>
            <w:r>
              <w:rPr>
                <w:webHidden/>
              </w:rPr>
              <w:instrText xml:space="preserve"> PAGEREF _Toc486838512 \h </w:instrText>
            </w:r>
            <w:r>
              <w:rPr>
                <w:webHidden/>
              </w:rPr>
            </w:r>
            <w:r>
              <w:rPr>
                <w:webHidden/>
              </w:rPr>
              <w:fldChar w:fldCharType="separate"/>
            </w:r>
            <w:r w:rsidR="00772782">
              <w:rPr>
                <w:webHidden/>
              </w:rPr>
              <w:t>14-6</w:t>
            </w:r>
            <w:r>
              <w:rPr>
                <w:webHidden/>
              </w:rPr>
              <w:fldChar w:fldCharType="end"/>
            </w:r>
          </w:hyperlink>
        </w:p>
        <w:p w:rsidR="0048500A" w:rsidRDefault="0048500A">
          <w:pPr>
            <w:pStyle w:val="TOC2"/>
            <w:tabs>
              <w:tab w:val="left" w:pos="1276"/>
            </w:tabs>
            <w:rPr>
              <w:rFonts w:asciiTheme="minorHAnsi" w:eastAsiaTheme="minorEastAsia" w:hAnsiTheme="minorHAnsi"/>
              <w:b w:val="0"/>
              <w:color w:val="auto"/>
              <w:sz w:val="22"/>
              <w:lang w:eastAsia="en-AU"/>
            </w:rPr>
          </w:pPr>
          <w:hyperlink w:anchor="_Toc486838513" w:history="1">
            <w:r w:rsidRPr="004A5631">
              <w:rPr>
                <w:rStyle w:val="Hyperlink"/>
              </w:rPr>
              <w:t>14.4</w:t>
            </w:r>
            <w:r>
              <w:rPr>
                <w:rFonts w:asciiTheme="minorHAnsi" w:eastAsiaTheme="minorEastAsia" w:hAnsiTheme="minorHAnsi"/>
                <w:b w:val="0"/>
                <w:color w:val="auto"/>
                <w:sz w:val="22"/>
                <w:lang w:eastAsia="en-AU"/>
              </w:rPr>
              <w:tab/>
            </w:r>
            <w:r w:rsidRPr="004A5631">
              <w:rPr>
                <w:rStyle w:val="Hyperlink"/>
              </w:rPr>
              <w:t>Reasons for draft decision</w:t>
            </w:r>
            <w:r>
              <w:rPr>
                <w:webHidden/>
              </w:rPr>
              <w:tab/>
            </w:r>
            <w:r>
              <w:rPr>
                <w:webHidden/>
              </w:rPr>
              <w:fldChar w:fldCharType="begin"/>
            </w:r>
            <w:r>
              <w:rPr>
                <w:webHidden/>
              </w:rPr>
              <w:instrText xml:space="preserve"> PAGEREF _Toc486838513 \h </w:instrText>
            </w:r>
            <w:r>
              <w:rPr>
                <w:webHidden/>
              </w:rPr>
            </w:r>
            <w:r>
              <w:rPr>
                <w:webHidden/>
              </w:rPr>
              <w:fldChar w:fldCharType="separate"/>
            </w:r>
            <w:r w:rsidR="00772782">
              <w:rPr>
                <w:webHidden/>
              </w:rPr>
              <w:t>14-6</w:t>
            </w:r>
            <w:r>
              <w:rPr>
                <w:webHidden/>
              </w:rPr>
              <w:fldChar w:fldCharType="end"/>
            </w:r>
          </w:hyperlink>
        </w:p>
        <w:p w:rsidR="00CE2A23" w:rsidRDefault="00E56707" w:rsidP="00E56707">
          <w:pPr>
            <w:pStyle w:val="TOC1"/>
          </w:pPr>
          <w:r>
            <w:fldChar w:fldCharType="end"/>
          </w:r>
        </w:p>
      </w:sdtContent>
    </w:sdt>
    <w:p w:rsidR="00CE2A23" w:rsidRPr="00CE2A23" w:rsidRDefault="00CE2A23" w:rsidP="00CE2A23">
      <w:r>
        <w:t xml:space="preserve"> </w:t>
      </w:r>
    </w:p>
    <w:p w:rsidR="00CE2A23" w:rsidRDefault="00CE2A23" w:rsidP="00CE2A23">
      <w:pPr>
        <w:pStyle w:val="UnnumberedHeading"/>
        <w:numPr>
          <w:ilvl w:val="0"/>
          <w:numId w:val="23"/>
        </w:numPr>
      </w:pPr>
      <w:bookmarkStart w:id="11" w:name="_Toc404700925"/>
      <w:bookmarkStart w:id="12" w:name="_Toc486838508"/>
      <w:r>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10020F" w:rsidTr="003C5BFE">
        <w:trPr>
          <w:cnfStyle w:val="100000000000" w:firstRow="1" w:lastRow="0" w:firstColumn="0" w:lastColumn="0" w:oddVBand="0" w:evenVBand="0" w:oddHBand="0" w:evenHBand="0" w:firstRowFirstColumn="0" w:firstRowLastColumn="0" w:lastRowFirstColumn="0" w:lastRowLastColumn="0"/>
        </w:trPr>
        <w:tc>
          <w:tcPr>
            <w:tcW w:w="4340" w:type="dxa"/>
          </w:tcPr>
          <w:p w:rsidR="0010020F" w:rsidRDefault="0010020F" w:rsidP="0010020F">
            <w:pPr>
              <w:numPr>
                <w:ilvl w:val="0"/>
                <w:numId w:val="24"/>
              </w:numPr>
            </w:pPr>
            <w:r>
              <w:t>Shortened form</w:t>
            </w:r>
          </w:p>
        </w:tc>
        <w:tc>
          <w:tcPr>
            <w:tcW w:w="4353" w:type="dxa"/>
          </w:tcPr>
          <w:p w:rsidR="0010020F" w:rsidRDefault="0010020F" w:rsidP="0010020F">
            <w:pPr>
              <w:numPr>
                <w:ilvl w:val="0"/>
                <w:numId w:val="24"/>
              </w:numPr>
            </w:pPr>
            <w:r>
              <w:t>Extended form</w:t>
            </w:r>
          </w:p>
        </w:tc>
      </w:tr>
      <w:tr w:rsidR="0010020F" w:rsidTr="003C5BFE">
        <w:tc>
          <w:tcPr>
            <w:tcW w:w="4340" w:type="dxa"/>
          </w:tcPr>
          <w:p w:rsidR="0010020F" w:rsidRDefault="0010020F" w:rsidP="0010020F">
            <w:pPr>
              <w:numPr>
                <w:ilvl w:val="0"/>
                <w:numId w:val="24"/>
              </w:numPr>
            </w:pPr>
            <w:r>
              <w:t>AER</w:t>
            </w:r>
          </w:p>
        </w:tc>
        <w:tc>
          <w:tcPr>
            <w:tcW w:w="4353" w:type="dxa"/>
          </w:tcPr>
          <w:p w:rsidR="0010020F" w:rsidRDefault="0010020F" w:rsidP="0010020F">
            <w:pPr>
              <w:numPr>
                <w:ilvl w:val="0"/>
                <w:numId w:val="24"/>
              </w:numPr>
            </w:pPr>
            <w:r>
              <w:t>Australian Energy Regulator</w:t>
            </w:r>
          </w:p>
        </w:tc>
      </w:tr>
      <w:tr w:rsidR="0010020F" w:rsidTr="003C5BFE">
        <w:trPr>
          <w:cnfStyle w:val="000000010000" w:firstRow="0" w:lastRow="0" w:firstColumn="0" w:lastColumn="0" w:oddVBand="0" w:evenVBand="0" w:oddHBand="0" w:evenHBand="1" w:firstRowFirstColumn="0" w:firstRowLastColumn="0" w:lastRowFirstColumn="0" w:lastRowLastColumn="0"/>
        </w:trPr>
        <w:tc>
          <w:tcPr>
            <w:tcW w:w="4340" w:type="dxa"/>
          </w:tcPr>
          <w:p w:rsidR="0010020F" w:rsidRDefault="0010020F" w:rsidP="0010020F">
            <w:pPr>
              <w:numPr>
                <w:ilvl w:val="0"/>
                <w:numId w:val="24"/>
              </w:numPr>
            </w:pPr>
            <w:r>
              <w:t>ATO</w:t>
            </w:r>
          </w:p>
        </w:tc>
        <w:tc>
          <w:tcPr>
            <w:tcW w:w="4353" w:type="dxa"/>
          </w:tcPr>
          <w:p w:rsidR="0010020F" w:rsidRPr="0010020F" w:rsidRDefault="0010020F" w:rsidP="0010020F">
            <w:r>
              <w:t>Australian Tax Office</w:t>
            </w:r>
          </w:p>
        </w:tc>
      </w:tr>
      <w:tr w:rsidR="0010020F" w:rsidTr="003C5BFE">
        <w:tc>
          <w:tcPr>
            <w:tcW w:w="4340" w:type="dxa"/>
          </w:tcPr>
          <w:p w:rsidR="0010020F" w:rsidRDefault="0010020F" w:rsidP="0010020F">
            <w:pPr>
              <w:numPr>
                <w:ilvl w:val="0"/>
                <w:numId w:val="24"/>
              </w:numPr>
            </w:pPr>
            <w:r>
              <w:t>capex</w:t>
            </w:r>
          </w:p>
        </w:tc>
        <w:tc>
          <w:tcPr>
            <w:tcW w:w="4353" w:type="dxa"/>
          </w:tcPr>
          <w:p w:rsidR="0010020F" w:rsidRDefault="0010020F" w:rsidP="0010020F">
            <w:pPr>
              <w:numPr>
                <w:ilvl w:val="0"/>
                <w:numId w:val="24"/>
              </w:numPr>
            </w:pPr>
            <w:r>
              <w:t>capital expenditure</w:t>
            </w:r>
          </w:p>
        </w:tc>
      </w:tr>
      <w:tr w:rsidR="0010020F" w:rsidTr="003C5BFE">
        <w:trPr>
          <w:cnfStyle w:val="000000010000" w:firstRow="0" w:lastRow="0" w:firstColumn="0" w:lastColumn="0" w:oddVBand="0" w:evenVBand="0" w:oddHBand="0" w:evenHBand="1" w:firstRowFirstColumn="0" w:firstRowLastColumn="0" w:lastRowFirstColumn="0" w:lastRowLastColumn="0"/>
        </w:trPr>
        <w:tc>
          <w:tcPr>
            <w:tcW w:w="4340" w:type="dxa"/>
          </w:tcPr>
          <w:p w:rsidR="0010020F" w:rsidRDefault="0010020F" w:rsidP="0010020F">
            <w:pPr>
              <w:numPr>
                <w:ilvl w:val="0"/>
                <w:numId w:val="24"/>
              </w:numPr>
            </w:pPr>
            <w:r>
              <w:t>CAPM</w:t>
            </w:r>
          </w:p>
        </w:tc>
        <w:tc>
          <w:tcPr>
            <w:tcW w:w="4353" w:type="dxa"/>
          </w:tcPr>
          <w:p w:rsidR="0010020F" w:rsidRDefault="0010020F" w:rsidP="0010020F">
            <w:pPr>
              <w:numPr>
                <w:ilvl w:val="0"/>
                <w:numId w:val="24"/>
              </w:numPr>
            </w:pPr>
            <w:r>
              <w:t>capital asset pricing model</w:t>
            </w:r>
          </w:p>
        </w:tc>
      </w:tr>
      <w:tr w:rsidR="0010020F" w:rsidTr="003C5BFE">
        <w:tc>
          <w:tcPr>
            <w:tcW w:w="4340" w:type="dxa"/>
          </w:tcPr>
          <w:p w:rsidR="0010020F" w:rsidRDefault="0010020F" w:rsidP="0010020F">
            <w:pPr>
              <w:numPr>
                <w:ilvl w:val="0"/>
                <w:numId w:val="24"/>
              </w:numPr>
            </w:pPr>
            <w:r>
              <w:t>CESS</w:t>
            </w:r>
          </w:p>
        </w:tc>
        <w:tc>
          <w:tcPr>
            <w:tcW w:w="4353" w:type="dxa"/>
          </w:tcPr>
          <w:p w:rsidR="0010020F" w:rsidRDefault="0010020F" w:rsidP="0010020F">
            <w:pPr>
              <w:numPr>
                <w:ilvl w:val="0"/>
                <w:numId w:val="24"/>
              </w:numPr>
            </w:pPr>
            <w:r>
              <w:t>Capital Expenditure Sharing Scheme</w:t>
            </w:r>
          </w:p>
        </w:tc>
      </w:tr>
      <w:tr w:rsidR="0010020F" w:rsidTr="003C5BFE">
        <w:trPr>
          <w:cnfStyle w:val="000000010000" w:firstRow="0" w:lastRow="0" w:firstColumn="0" w:lastColumn="0" w:oddVBand="0" w:evenVBand="0" w:oddHBand="0" w:evenHBand="1" w:firstRowFirstColumn="0" w:firstRowLastColumn="0" w:lastRowFirstColumn="0" w:lastRowLastColumn="0"/>
        </w:trPr>
        <w:tc>
          <w:tcPr>
            <w:tcW w:w="4340" w:type="dxa"/>
          </w:tcPr>
          <w:p w:rsidR="0010020F" w:rsidRDefault="0010020F" w:rsidP="0010020F">
            <w:pPr>
              <w:numPr>
                <w:ilvl w:val="0"/>
                <w:numId w:val="24"/>
              </w:numPr>
            </w:pPr>
            <w:r>
              <w:t>CPI</w:t>
            </w:r>
          </w:p>
        </w:tc>
        <w:tc>
          <w:tcPr>
            <w:tcW w:w="4353" w:type="dxa"/>
          </w:tcPr>
          <w:p w:rsidR="0010020F" w:rsidRDefault="0010020F" w:rsidP="0010020F">
            <w:pPr>
              <w:numPr>
                <w:ilvl w:val="0"/>
                <w:numId w:val="24"/>
              </w:numPr>
            </w:pPr>
            <w:r>
              <w:t>consumer price index</w:t>
            </w:r>
          </w:p>
        </w:tc>
      </w:tr>
      <w:tr w:rsidR="0010020F" w:rsidTr="003C5BFE">
        <w:tc>
          <w:tcPr>
            <w:tcW w:w="4340" w:type="dxa"/>
          </w:tcPr>
          <w:p w:rsidR="0010020F" w:rsidRDefault="0010020F" w:rsidP="0010020F">
            <w:pPr>
              <w:numPr>
                <w:ilvl w:val="0"/>
                <w:numId w:val="24"/>
              </w:numPr>
            </w:pPr>
            <w:r>
              <w:t>DRP</w:t>
            </w:r>
          </w:p>
        </w:tc>
        <w:tc>
          <w:tcPr>
            <w:tcW w:w="4353" w:type="dxa"/>
          </w:tcPr>
          <w:p w:rsidR="0010020F" w:rsidRDefault="0010020F" w:rsidP="0010020F">
            <w:pPr>
              <w:numPr>
                <w:ilvl w:val="0"/>
                <w:numId w:val="24"/>
              </w:numPr>
            </w:pPr>
            <w:r>
              <w:t>debt risk premium</w:t>
            </w:r>
          </w:p>
        </w:tc>
      </w:tr>
      <w:tr w:rsidR="0010020F" w:rsidTr="003C5BFE">
        <w:trPr>
          <w:cnfStyle w:val="000000010000" w:firstRow="0" w:lastRow="0" w:firstColumn="0" w:lastColumn="0" w:oddVBand="0" w:evenVBand="0" w:oddHBand="0" w:evenHBand="1" w:firstRowFirstColumn="0" w:firstRowLastColumn="0" w:lastRowFirstColumn="0" w:lastRowLastColumn="0"/>
        </w:trPr>
        <w:tc>
          <w:tcPr>
            <w:tcW w:w="4340" w:type="dxa"/>
          </w:tcPr>
          <w:p w:rsidR="0010020F" w:rsidRDefault="0010020F" w:rsidP="0010020F">
            <w:pPr>
              <w:numPr>
                <w:ilvl w:val="0"/>
                <w:numId w:val="24"/>
              </w:numPr>
            </w:pPr>
            <w:r>
              <w:t>ECM</w:t>
            </w:r>
          </w:p>
        </w:tc>
        <w:tc>
          <w:tcPr>
            <w:tcW w:w="4353" w:type="dxa"/>
          </w:tcPr>
          <w:p w:rsidR="0010020F" w:rsidRPr="0010020F" w:rsidRDefault="0010020F" w:rsidP="0010020F">
            <w:r>
              <w:t>(Opex) Efficiency Carryover Mechanism</w:t>
            </w:r>
          </w:p>
        </w:tc>
      </w:tr>
      <w:tr w:rsidR="0010020F" w:rsidTr="003C5BFE">
        <w:tc>
          <w:tcPr>
            <w:tcW w:w="4340" w:type="dxa"/>
          </w:tcPr>
          <w:p w:rsidR="0010020F" w:rsidRDefault="0010020F" w:rsidP="0010020F">
            <w:pPr>
              <w:numPr>
                <w:ilvl w:val="0"/>
                <w:numId w:val="24"/>
              </w:numPr>
            </w:pPr>
            <w:r>
              <w:t>ERP</w:t>
            </w:r>
          </w:p>
        </w:tc>
        <w:tc>
          <w:tcPr>
            <w:tcW w:w="4353" w:type="dxa"/>
          </w:tcPr>
          <w:p w:rsidR="0010020F" w:rsidRDefault="0010020F" w:rsidP="0010020F">
            <w:pPr>
              <w:numPr>
                <w:ilvl w:val="0"/>
                <w:numId w:val="24"/>
              </w:numPr>
            </w:pPr>
            <w:r>
              <w:t>equity risk premium</w:t>
            </w:r>
          </w:p>
        </w:tc>
      </w:tr>
      <w:tr w:rsidR="0010020F" w:rsidTr="003C5BFE">
        <w:trPr>
          <w:cnfStyle w:val="000000010000" w:firstRow="0" w:lastRow="0" w:firstColumn="0" w:lastColumn="0" w:oddVBand="0" w:evenVBand="0" w:oddHBand="0" w:evenHBand="1" w:firstRowFirstColumn="0" w:firstRowLastColumn="0" w:lastRowFirstColumn="0" w:lastRowLastColumn="0"/>
        </w:trPr>
        <w:tc>
          <w:tcPr>
            <w:tcW w:w="4340" w:type="dxa"/>
          </w:tcPr>
          <w:p w:rsidR="0010020F" w:rsidRDefault="0010020F" w:rsidP="0010020F">
            <w:pPr>
              <w:numPr>
                <w:ilvl w:val="0"/>
                <w:numId w:val="24"/>
              </w:numPr>
            </w:pPr>
            <w:r>
              <w:t>Expenditure Guideline</w:t>
            </w:r>
          </w:p>
        </w:tc>
        <w:tc>
          <w:tcPr>
            <w:tcW w:w="4353" w:type="dxa"/>
          </w:tcPr>
          <w:p w:rsidR="0010020F" w:rsidRPr="0010020F" w:rsidRDefault="0010020F" w:rsidP="0010020F">
            <w:r>
              <w:t xml:space="preserve">Expenditure Forecast </w:t>
            </w:r>
            <w:r w:rsidRPr="0010020F">
              <w:t>Assessment Guideline</w:t>
            </w:r>
          </w:p>
        </w:tc>
      </w:tr>
      <w:tr w:rsidR="0010020F" w:rsidTr="003C5BFE">
        <w:tc>
          <w:tcPr>
            <w:tcW w:w="4340" w:type="dxa"/>
          </w:tcPr>
          <w:p w:rsidR="0010020F" w:rsidRDefault="0010020F" w:rsidP="0010020F">
            <w:pPr>
              <w:numPr>
                <w:ilvl w:val="0"/>
                <w:numId w:val="24"/>
              </w:numPr>
            </w:pPr>
            <w:r>
              <w:t>gamma</w:t>
            </w:r>
          </w:p>
        </w:tc>
        <w:tc>
          <w:tcPr>
            <w:tcW w:w="4353" w:type="dxa"/>
          </w:tcPr>
          <w:p w:rsidR="0010020F" w:rsidRPr="0010020F" w:rsidRDefault="0010020F" w:rsidP="0010020F">
            <w:r>
              <w:t>Value of Imputation Credits</w:t>
            </w:r>
          </w:p>
        </w:tc>
      </w:tr>
      <w:tr w:rsidR="0010020F" w:rsidTr="003C5BFE">
        <w:trPr>
          <w:cnfStyle w:val="000000010000" w:firstRow="0" w:lastRow="0" w:firstColumn="0" w:lastColumn="0" w:oddVBand="0" w:evenVBand="0" w:oddHBand="0" w:evenHBand="1" w:firstRowFirstColumn="0" w:firstRowLastColumn="0" w:lastRowFirstColumn="0" w:lastRowLastColumn="0"/>
        </w:trPr>
        <w:tc>
          <w:tcPr>
            <w:tcW w:w="4340" w:type="dxa"/>
          </w:tcPr>
          <w:p w:rsidR="0010020F" w:rsidRDefault="0010020F" w:rsidP="0010020F">
            <w:pPr>
              <w:numPr>
                <w:ilvl w:val="0"/>
                <w:numId w:val="24"/>
              </w:numPr>
            </w:pPr>
            <w:r>
              <w:t>MRP</w:t>
            </w:r>
          </w:p>
        </w:tc>
        <w:tc>
          <w:tcPr>
            <w:tcW w:w="4353" w:type="dxa"/>
          </w:tcPr>
          <w:p w:rsidR="0010020F" w:rsidRDefault="0010020F" w:rsidP="0010020F">
            <w:pPr>
              <w:numPr>
                <w:ilvl w:val="0"/>
                <w:numId w:val="24"/>
              </w:numPr>
            </w:pPr>
            <w:r>
              <w:t>market risk premium</w:t>
            </w:r>
          </w:p>
        </w:tc>
      </w:tr>
      <w:tr w:rsidR="0010020F" w:rsidTr="003C5BFE">
        <w:tc>
          <w:tcPr>
            <w:tcW w:w="4340" w:type="dxa"/>
          </w:tcPr>
          <w:p w:rsidR="0010020F" w:rsidRDefault="0010020F" w:rsidP="0010020F">
            <w:pPr>
              <w:numPr>
                <w:ilvl w:val="0"/>
                <w:numId w:val="24"/>
              </w:numPr>
            </w:pPr>
            <w:r>
              <w:t>NGL</w:t>
            </w:r>
          </w:p>
        </w:tc>
        <w:tc>
          <w:tcPr>
            <w:tcW w:w="4353" w:type="dxa"/>
          </w:tcPr>
          <w:p w:rsidR="0010020F" w:rsidRDefault="0010020F" w:rsidP="0010020F">
            <w:pPr>
              <w:numPr>
                <w:ilvl w:val="0"/>
                <w:numId w:val="24"/>
              </w:numPr>
            </w:pPr>
            <w:r>
              <w:t>National Gas Law</w:t>
            </w:r>
          </w:p>
        </w:tc>
      </w:tr>
      <w:tr w:rsidR="0010020F" w:rsidTr="003C5BFE">
        <w:trPr>
          <w:cnfStyle w:val="000000010000" w:firstRow="0" w:lastRow="0" w:firstColumn="0" w:lastColumn="0" w:oddVBand="0" w:evenVBand="0" w:oddHBand="0" w:evenHBand="1" w:firstRowFirstColumn="0" w:firstRowLastColumn="0" w:lastRowFirstColumn="0" w:lastRowLastColumn="0"/>
        </w:trPr>
        <w:tc>
          <w:tcPr>
            <w:tcW w:w="4340" w:type="dxa"/>
          </w:tcPr>
          <w:p w:rsidR="0010020F" w:rsidRDefault="0010020F" w:rsidP="0010020F">
            <w:pPr>
              <w:numPr>
                <w:ilvl w:val="0"/>
                <w:numId w:val="24"/>
              </w:numPr>
            </w:pPr>
            <w:r>
              <w:t>NGO</w:t>
            </w:r>
          </w:p>
        </w:tc>
        <w:tc>
          <w:tcPr>
            <w:tcW w:w="4353" w:type="dxa"/>
          </w:tcPr>
          <w:p w:rsidR="0010020F" w:rsidRDefault="0010020F" w:rsidP="0010020F">
            <w:pPr>
              <w:numPr>
                <w:ilvl w:val="0"/>
                <w:numId w:val="24"/>
              </w:numPr>
            </w:pPr>
            <w:r>
              <w:t>national gas objective</w:t>
            </w:r>
          </w:p>
        </w:tc>
      </w:tr>
      <w:tr w:rsidR="0010020F" w:rsidTr="003C5BFE">
        <w:tc>
          <w:tcPr>
            <w:tcW w:w="4340" w:type="dxa"/>
          </w:tcPr>
          <w:p w:rsidR="0010020F" w:rsidRDefault="0010020F" w:rsidP="0010020F">
            <w:pPr>
              <w:numPr>
                <w:ilvl w:val="0"/>
                <w:numId w:val="24"/>
              </w:numPr>
            </w:pPr>
            <w:r>
              <w:t>NGR</w:t>
            </w:r>
          </w:p>
        </w:tc>
        <w:tc>
          <w:tcPr>
            <w:tcW w:w="4353" w:type="dxa"/>
          </w:tcPr>
          <w:p w:rsidR="0010020F" w:rsidRDefault="0010020F" w:rsidP="0010020F">
            <w:pPr>
              <w:numPr>
                <w:ilvl w:val="0"/>
                <w:numId w:val="24"/>
              </w:numPr>
            </w:pPr>
            <w:r>
              <w:t>National Gas Rules</w:t>
            </w:r>
          </w:p>
        </w:tc>
      </w:tr>
      <w:tr w:rsidR="0010020F" w:rsidTr="003C5BFE">
        <w:trPr>
          <w:cnfStyle w:val="000000010000" w:firstRow="0" w:lastRow="0" w:firstColumn="0" w:lastColumn="0" w:oddVBand="0" w:evenVBand="0" w:oddHBand="0" w:evenHBand="1" w:firstRowFirstColumn="0" w:firstRowLastColumn="0" w:lastRowFirstColumn="0" w:lastRowLastColumn="0"/>
        </w:trPr>
        <w:tc>
          <w:tcPr>
            <w:tcW w:w="4340" w:type="dxa"/>
          </w:tcPr>
          <w:p w:rsidR="0010020F" w:rsidRDefault="0010020F" w:rsidP="0010020F">
            <w:pPr>
              <w:numPr>
                <w:ilvl w:val="0"/>
                <w:numId w:val="24"/>
              </w:numPr>
            </w:pPr>
            <w:r>
              <w:t>NPV</w:t>
            </w:r>
          </w:p>
        </w:tc>
        <w:tc>
          <w:tcPr>
            <w:tcW w:w="4353" w:type="dxa"/>
          </w:tcPr>
          <w:p w:rsidR="0010020F" w:rsidRPr="0010020F" w:rsidRDefault="0010020F" w:rsidP="0010020F">
            <w:r>
              <w:t>net present value</w:t>
            </w:r>
          </w:p>
        </w:tc>
      </w:tr>
      <w:tr w:rsidR="0010020F" w:rsidTr="003C5BFE">
        <w:tc>
          <w:tcPr>
            <w:tcW w:w="4340" w:type="dxa"/>
          </w:tcPr>
          <w:p w:rsidR="0010020F" w:rsidRDefault="0010020F" w:rsidP="0010020F">
            <w:pPr>
              <w:numPr>
                <w:ilvl w:val="0"/>
                <w:numId w:val="24"/>
              </w:numPr>
            </w:pPr>
            <w:r>
              <w:t>opex</w:t>
            </w:r>
          </w:p>
        </w:tc>
        <w:tc>
          <w:tcPr>
            <w:tcW w:w="4353" w:type="dxa"/>
          </w:tcPr>
          <w:p w:rsidR="0010020F" w:rsidRDefault="0010020F" w:rsidP="0010020F">
            <w:pPr>
              <w:numPr>
                <w:ilvl w:val="0"/>
                <w:numId w:val="24"/>
              </w:numPr>
            </w:pPr>
            <w:r>
              <w:t>operating expenditure</w:t>
            </w:r>
          </w:p>
        </w:tc>
      </w:tr>
      <w:tr w:rsidR="0010020F" w:rsidTr="003C5BFE">
        <w:trPr>
          <w:cnfStyle w:val="000000010000" w:firstRow="0" w:lastRow="0" w:firstColumn="0" w:lastColumn="0" w:oddVBand="0" w:evenVBand="0" w:oddHBand="0" w:evenHBand="1" w:firstRowFirstColumn="0" w:firstRowLastColumn="0" w:lastRowFirstColumn="0" w:lastRowLastColumn="0"/>
        </w:trPr>
        <w:tc>
          <w:tcPr>
            <w:tcW w:w="4340" w:type="dxa"/>
          </w:tcPr>
          <w:p w:rsidR="0010020F" w:rsidRDefault="0010020F" w:rsidP="0010020F">
            <w:pPr>
              <w:numPr>
                <w:ilvl w:val="0"/>
                <w:numId w:val="24"/>
              </w:numPr>
            </w:pPr>
            <w:r>
              <w:t>PTRM</w:t>
            </w:r>
          </w:p>
        </w:tc>
        <w:tc>
          <w:tcPr>
            <w:tcW w:w="4353" w:type="dxa"/>
          </w:tcPr>
          <w:p w:rsidR="0010020F" w:rsidRDefault="0010020F" w:rsidP="0010020F">
            <w:pPr>
              <w:numPr>
                <w:ilvl w:val="0"/>
                <w:numId w:val="24"/>
              </w:numPr>
            </w:pPr>
            <w:r>
              <w:t>post-tax revenue model</w:t>
            </w:r>
          </w:p>
        </w:tc>
      </w:tr>
      <w:tr w:rsidR="0010020F" w:rsidTr="003C5BFE">
        <w:tc>
          <w:tcPr>
            <w:tcW w:w="4340" w:type="dxa"/>
          </w:tcPr>
          <w:p w:rsidR="0010020F" w:rsidRDefault="0010020F" w:rsidP="0010020F">
            <w:pPr>
              <w:numPr>
                <w:ilvl w:val="0"/>
                <w:numId w:val="24"/>
              </w:numPr>
            </w:pPr>
            <w:r>
              <w:t>RBA</w:t>
            </w:r>
          </w:p>
        </w:tc>
        <w:tc>
          <w:tcPr>
            <w:tcW w:w="4353" w:type="dxa"/>
          </w:tcPr>
          <w:p w:rsidR="0010020F" w:rsidRDefault="0010020F" w:rsidP="0010020F">
            <w:pPr>
              <w:numPr>
                <w:ilvl w:val="0"/>
                <w:numId w:val="24"/>
              </w:numPr>
            </w:pPr>
            <w:r>
              <w:t>Reserve Bank of Australia</w:t>
            </w:r>
          </w:p>
        </w:tc>
      </w:tr>
      <w:tr w:rsidR="0010020F" w:rsidTr="003C5BFE">
        <w:trPr>
          <w:cnfStyle w:val="000000010000" w:firstRow="0" w:lastRow="0" w:firstColumn="0" w:lastColumn="0" w:oddVBand="0" w:evenVBand="0" w:oddHBand="0" w:evenHBand="1" w:firstRowFirstColumn="0" w:firstRowLastColumn="0" w:lastRowFirstColumn="0" w:lastRowLastColumn="0"/>
        </w:trPr>
        <w:tc>
          <w:tcPr>
            <w:tcW w:w="4340" w:type="dxa"/>
          </w:tcPr>
          <w:p w:rsidR="0010020F" w:rsidRDefault="0010020F" w:rsidP="0010020F">
            <w:pPr>
              <w:numPr>
                <w:ilvl w:val="0"/>
                <w:numId w:val="24"/>
              </w:numPr>
            </w:pPr>
            <w:r>
              <w:t>RFM</w:t>
            </w:r>
          </w:p>
        </w:tc>
        <w:tc>
          <w:tcPr>
            <w:tcW w:w="4353" w:type="dxa"/>
          </w:tcPr>
          <w:p w:rsidR="0010020F" w:rsidRDefault="0010020F" w:rsidP="0010020F">
            <w:pPr>
              <w:numPr>
                <w:ilvl w:val="0"/>
                <w:numId w:val="24"/>
              </w:numPr>
            </w:pPr>
            <w:r>
              <w:t>roll forward model</w:t>
            </w:r>
          </w:p>
        </w:tc>
      </w:tr>
      <w:tr w:rsidR="0010020F" w:rsidTr="003C5BFE">
        <w:tc>
          <w:tcPr>
            <w:tcW w:w="4340" w:type="dxa"/>
          </w:tcPr>
          <w:p w:rsidR="0010020F" w:rsidRDefault="0010020F" w:rsidP="0010020F">
            <w:pPr>
              <w:numPr>
                <w:ilvl w:val="0"/>
                <w:numId w:val="24"/>
              </w:numPr>
            </w:pPr>
            <w:r>
              <w:t>RIN</w:t>
            </w:r>
          </w:p>
        </w:tc>
        <w:tc>
          <w:tcPr>
            <w:tcW w:w="4353" w:type="dxa"/>
          </w:tcPr>
          <w:p w:rsidR="0010020F" w:rsidRDefault="0010020F" w:rsidP="0010020F">
            <w:pPr>
              <w:numPr>
                <w:ilvl w:val="0"/>
                <w:numId w:val="24"/>
              </w:numPr>
            </w:pPr>
            <w:r>
              <w:t>regulatory information notice</w:t>
            </w:r>
          </w:p>
        </w:tc>
      </w:tr>
      <w:tr w:rsidR="0010020F" w:rsidTr="003C5BFE">
        <w:trPr>
          <w:cnfStyle w:val="000000010000" w:firstRow="0" w:lastRow="0" w:firstColumn="0" w:lastColumn="0" w:oddVBand="0" w:evenVBand="0" w:oddHBand="0" w:evenHBand="1" w:firstRowFirstColumn="0" w:firstRowLastColumn="0" w:lastRowFirstColumn="0" w:lastRowLastColumn="0"/>
        </w:trPr>
        <w:tc>
          <w:tcPr>
            <w:tcW w:w="4340" w:type="dxa"/>
          </w:tcPr>
          <w:p w:rsidR="0010020F" w:rsidRDefault="0010020F" w:rsidP="0010020F">
            <w:pPr>
              <w:numPr>
                <w:ilvl w:val="0"/>
                <w:numId w:val="24"/>
              </w:numPr>
            </w:pPr>
            <w:r>
              <w:t>RPP</w:t>
            </w:r>
          </w:p>
        </w:tc>
        <w:tc>
          <w:tcPr>
            <w:tcW w:w="4353" w:type="dxa"/>
          </w:tcPr>
          <w:p w:rsidR="0010020F" w:rsidRDefault="0010020F" w:rsidP="0010020F">
            <w:pPr>
              <w:numPr>
                <w:ilvl w:val="0"/>
                <w:numId w:val="24"/>
              </w:numPr>
            </w:pPr>
            <w:r>
              <w:t>revenue and pricing principles</w:t>
            </w:r>
          </w:p>
        </w:tc>
      </w:tr>
      <w:tr w:rsidR="0010020F" w:rsidTr="003C5BFE">
        <w:tc>
          <w:tcPr>
            <w:tcW w:w="4340" w:type="dxa"/>
          </w:tcPr>
          <w:p w:rsidR="0010020F" w:rsidRDefault="0010020F" w:rsidP="0010020F">
            <w:pPr>
              <w:numPr>
                <w:ilvl w:val="0"/>
                <w:numId w:val="24"/>
              </w:numPr>
            </w:pPr>
            <w:r>
              <w:t>SLCAPM</w:t>
            </w:r>
          </w:p>
        </w:tc>
        <w:tc>
          <w:tcPr>
            <w:tcW w:w="4353" w:type="dxa"/>
          </w:tcPr>
          <w:p w:rsidR="0010020F" w:rsidRDefault="0010020F" w:rsidP="0010020F">
            <w:pPr>
              <w:numPr>
                <w:ilvl w:val="0"/>
                <w:numId w:val="24"/>
              </w:numPr>
            </w:pPr>
            <w:r>
              <w:t>Sharpe-Lintner capital asset pricing model</w:t>
            </w:r>
          </w:p>
        </w:tc>
      </w:tr>
      <w:tr w:rsidR="0010020F" w:rsidTr="003C5BFE">
        <w:trPr>
          <w:cnfStyle w:val="000000010000" w:firstRow="0" w:lastRow="0" w:firstColumn="0" w:lastColumn="0" w:oddVBand="0" w:evenVBand="0" w:oddHBand="0" w:evenHBand="1" w:firstRowFirstColumn="0" w:firstRowLastColumn="0" w:lastRowFirstColumn="0" w:lastRowLastColumn="0"/>
        </w:trPr>
        <w:tc>
          <w:tcPr>
            <w:tcW w:w="4340" w:type="dxa"/>
          </w:tcPr>
          <w:p w:rsidR="0010020F" w:rsidRDefault="0010020F" w:rsidP="0010020F">
            <w:pPr>
              <w:numPr>
                <w:ilvl w:val="0"/>
                <w:numId w:val="24"/>
              </w:numPr>
            </w:pPr>
            <w:r>
              <w:t>STTM</w:t>
            </w:r>
          </w:p>
        </w:tc>
        <w:tc>
          <w:tcPr>
            <w:tcW w:w="4353" w:type="dxa"/>
          </w:tcPr>
          <w:p w:rsidR="0010020F" w:rsidRPr="0010020F" w:rsidRDefault="0010020F" w:rsidP="0010020F">
            <w:r>
              <w:t>Short Term Trading Market</w:t>
            </w:r>
          </w:p>
        </w:tc>
      </w:tr>
      <w:tr w:rsidR="0010020F" w:rsidTr="003C5BFE">
        <w:tc>
          <w:tcPr>
            <w:tcW w:w="4340" w:type="dxa"/>
          </w:tcPr>
          <w:p w:rsidR="0010020F" w:rsidRDefault="0010020F" w:rsidP="0010020F">
            <w:pPr>
              <w:numPr>
                <w:ilvl w:val="0"/>
                <w:numId w:val="24"/>
              </w:numPr>
            </w:pPr>
            <w:r>
              <w:t>TAB</w:t>
            </w:r>
          </w:p>
        </w:tc>
        <w:tc>
          <w:tcPr>
            <w:tcW w:w="4353" w:type="dxa"/>
          </w:tcPr>
          <w:p w:rsidR="0010020F" w:rsidRPr="0010020F" w:rsidRDefault="0010020F" w:rsidP="0010020F">
            <w:r>
              <w:t>Tax asset base</w:t>
            </w:r>
          </w:p>
        </w:tc>
      </w:tr>
      <w:tr w:rsidR="0010020F" w:rsidTr="003C5BFE">
        <w:trPr>
          <w:cnfStyle w:val="000000010000" w:firstRow="0" w:lastRow="0" w:firstColumn="0" w:lastColumn="0" w:oddVBand="0" w:evenVBand="0" w:oddHBand="0" w:evenHBand="1" w:firstRowFirstColumn="0" w:firstRowLastColumn="0" w:lastRowFirstColumn="0" w:lastRowLastColumn="0"/>
        </w:trPr>
        <w:tc>
          <w:tcPr>
            <w:tcW w:w="4340" w:type="dxa"/>
          </w:tcPr>
          <w:p w:rsidR="0010020F" w:rsidRDefault="0010020F" w:rsidP="0010020F">
            <w:pPr>
              <w:numPr>
                <w:ilvl w:val="0"/>
                <w:numId w:val="24"/>
              </w:numPr>
            </w:pPr>
            <w:r>
              <w:t>UAFG</w:t>
            </w:r>
          </w:p>
        </w:tc>
        <w:tc>
          <w:tcPr>
            <w:tcW w:w="4353" w:type="dxa"/>
          </w:tcPr>
          <w:p w:rsidR="0010020F" w:rsidRPr="0010020F" w:rsidRDefault="0010020F" w:rsidP="0010020F">
            <w:r>
              <w:t>Unaccounted for gas</w:t>
            </w:r>
          </w:p>
        </w:tc>
      </w:tr>
      <w:tr w:rsidR="0010020F" w:rsidTr="003C5BFE">
        <w:tc>
          <w:tcPr>
            <w:tcW w:w="4340" w:type="dxa"/>
          </w:tcPr>
          <w:p w:rsidR="0010020F" w:rsidRDefault="0010020F" w:rsidP="0010020F">
            <w:pPr>
              <w:numPr>
                <w:ilvl w:val="0"/>
                <w:numId w:val="24"/>
              </w:numPr>
            </w:pPr>
            <w:r>
              <w:t>WACC</w:t>
            </w:r>
          </w:p>
        </w:tc>
        <w:tc>
          <w:tcPr>
            <w:tcW w:w="4353" w:type="dxa"/>
          </w:tcPr>
          <w:p w:rsidR="0010020F" w:rsidRDefault="0010020F" w:rsidP="0010020F">
            <w:pPr>
              <w:numPr>
                <w:ilvl w:val="0"/>
                <w:numId w:val="24"/>
              </w:numPr>
            </w:pPr>
            <w:r>
              <w:t>weighted average cost of capital</w:t>
            </w:r>
          </w:p>
        </w:tc>
      </w:tr>
      <w:tr w:rsidR="0010020F" w:rsidTr="003C5BFE">
        <w:trPr>
          <w:cnfStyle w:val="000000010000" w:firstRow="0" w:lastRow="0" w:firstColumn="0" w:lastColumn="0" w:oddVBand="0" w:evenVBand="0" w:oddHBand="0" w:evenHBand="1" w:firstRowFirstColumn="0" w:firstRowLastColumn="0" w:lastRowFirstColumn="0" w:lastRowLastColumn="0"/>
        </w:trPr>
        <w:tc>
          <w:tcPr>
            <w:tcW w:w="4340" w:type="dxa"/>
          </w:tcPr>
          <w:p w:rsidR="0010020F" w:rsidRDefault="0010020F" w:rsidP="0010020F">
            <w:pPr>
              <w:numPr>
                <w:ilvl w:val="0"/>
                <w:numId w:val="24"/>
              </w:numPr>
            </w:pPr>
            <w:r>
              <w:t>WPI</w:t>
            </w:r>
          </w:p>
        </w:tc>
        <w:tc>
          <w:tcPr>
            <w:tcW w:w="4353" w:type="dxa"/>
          </w:tcPr>
          <w:p w:rsidR="0010020F" w:rsidRPr="0010020F" w:rsidRDefault="0010020F" w:rsidP="0010020F">
            <w:r>
              <w:t>Wage Price Index</w:t>
            </w:r>
          </w:p>
        </w:tc>
      </w:tr>
    </w:tbl>
    <w:p w:rsidR="0010020F" w:rsidRPr="0010020F" w:rsidRDefault="0010020F" w:rsidP="0010020F"/>
    <w:p w:rsidR="00DE563D" w:rsidRDefault="00E56707" w:rsidP="00E56707">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86838509"/>
      <w:bookmarkEnd w:id="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t>Other incentive schemes</w:t>
      </w:r>
      <w:bookmarkEnd w:id="71"/>
    </w:p>
    <w:p w:rsidR="00132D43" w:rsidRDefault="00132D43" w:rsidP="00132D43">
      <w:pPr>
        <w:pStyle w:val="Heading2"/>
      </w:pPr>
      <w:bookmarkStart w:id="72" w:name="_Toc486838510"/>
      <w:r>
        <w:t>Draft decision</w:t>
      </w:r>
      <w:bookmarkEnd w:id="72"/>
    </w:p>
    <w:p w:rsidR="00DB3E80" w:rsidRPr="00132D43" w:rsidRDefault="00DB3E80" w:rsidP="00DB3E80">
      <w:r>
        <w:t xml:space="preserve">Multinet proposed </w:t>
      </w:r>
      <w:r w:rsidR="000D6CFF">
        <w:t xml:space="preserve">to promote innovation through a new Gas Network Innovation Competition (Gas NIC) to apply </w:t>
      </w:r>
      <w:r>
        <w:t>for the 201</w:t>
      </w:r>
      <w:r w:rsidR="000D6CFF">
        <w:t>8-22 access arrangement period.</w:t>
      </w:r>
      <w:r w:rsidR="000D6CFF">
        <w:rPr>
          <w:rStyle w:val="FootnoteReference"/>
        </w:rPr>
        <w:footnoteReference w:id="1"/>
      </w:r>
      <w:r w:rsidR="000D6CFF">
        <w:t xml:space="preserve"> </w:t>
      </w:r>
      <w:r>
        <w:t>In this attachment we set out our reasoning and draft decision on th</w:t>
      </w:r>
      <w:r w:rsidR="000D6CFF">
        <w:t>is</w:t>
      </w:r>
      <w:r>
        <w:t xml:space="preserve"> proposed scheme. </w:t>
      </w:r>
    </w:p>
    <w:p w:rsidR="00132D43" w:rsidRDefault="00DB3E80" w:rsidP="00132D43">
      <w:r>
        <w:t xml:space="preserve">Our draft decision does not accept the introduction of a </w:t>
      </w:r>
      <w:r w:rsidR="000D6CFF">
        <w:t>G</w:t>
      </w:r>
      <w:r w:rsidR="004B39F3">
        <w:t>as NIC</w:t>
      </w:r>
      <w:r>
        <w:t>.</w:t>
      </w:r>
      <w:r w:rsidR="00326D89">
        <w:t xml:space="preserve"> We consider</w:t>
      </w:r>
      <w:r w:rsidRPr="00DB4BE4">
        <w:t xml:space="preserve"> that the current framework provides sufficient opportunity to invest in innovation while allowing </w:t>
      </w:r>
      <w:r w:rsidR="00DF2261">
        <w:t>Multinet</w:t>
      </w:r>
      <w:r w:rsidRPr="00DB4BE4">
        <w:t xml:space="preserve"> to retain any efficiency benefits</w:t>
      </w:r>
      <w:r w:rsidR="004B39F3">
        <w:t xml:space="preserve">. </w:t>
      </w:r>
    </w:p>
    <w:p w:rsidR="00DB3E80" w:rsidRDefault="00DB3E80" w:rsidP="00DB3E80">
      <w:pPr>
        <w:pStyle w:val="Heading2"/>
      </w:pPr>
      <w:bookmarkStart w:id="73" w:name="_Toc462217874"/>
      <w:bookmarkStart w:id="74" w:name="_Toc486838511"/>
      <w:r>
        <w:t>AER Assessment approach</w:t>
      </w:r>
      <w:bookmarkEnd w:id="73"/>
      <w:bookmarkEnd w:id="74"/>
    </w:p>
    <w:p w:rsidR="00DB3E80" w:rsidRPr="00932EA2" w:rsidRDefault="00DB3E80" w:rsidP="00DB3E80">
      <w:r>
        <w:t>A full access arrangement may include (or we may require it to include) one or more incentive mechanisms to encourage efficiency in the provision of services by the service provider.</w:t>
      </w:r>
      <w:r>
        <w:rPr>
          <w:rStyle w:val="FootnoteReference"/>
        </w:rPr>
        <w:footnoteReference w:id="2"/>
      </w:r>
      <w:r w:rsidRPr="00932EA2">
        <w:t xml:space="preserve"> </w:t>
      </w:r>
      <w:r>
        <w:t xml:space="preserve">Incentive mechanisms may provide for carrying over </w:t>
      </w:r>
      <w:r w:rsidRPr="00932EA2">
        <w:t>increments for efficiency gains, or decrements for efficiency losses, from one access arrangement period into the next.</w:t>
      </w:r>
      <w:r>
        <w:rPr>
          <w:rStyle w:val="FootnoteReference"/>
        </w:rPr>
        <w:footnoteReference w:id="3"/>
      </w:r>
      <w:r w:rsidRPr="00932EA2">
        <w:t xml:space="preserve"> </w:t>
      </w:r>
      <w:r>
        <w:t>An incentive mechanism must be consistent with the revenue and pricing principles.</w:t>
      </w:r>
      <w:r>
        <w:rPr>
          <w:rStyle w:val="FootnoteReference"/>
        </w:rPr>
        <w:footnoteReference w:id="4"/>
      </w:r>
    </w:p>
    <w:p w:rsidR="00DB3E80" w:rsidRDefault="00DB3E80" w:rsidP="00DB3E80">
      <w:r>
        <w:t xml:space="preserve">We consider the following revenue and pricing principle is most relevant for assessing </w:t>
      </w:r>
      <w:r w:rsidR="00326D89">
        <w:t>Multinet's</w:t>
      </w:r>
      <w:r>
        <w:t xml:space="preserve"> proposed incentives:</w:t>
      </w:r>
    </w:p>
    <w:p w:rsidR="00DB3E80" w:rsidRPr="00932EA2" w:rsidRDefault="00DB3E80" w:rsidP="00DB3E80">
      <w:pPr>
        <w:pStyle w:val="ListContinue3"/>
      </w:pPr>
      <w:r w:rsidRPr="00932EA2">
        <w:t xml:space="preserve">A service provider should be provided with effective incentives in order to promote economic efficiency with respect to reference services the service provider provides. </w:t>
      </w:r>
    </w:p>
    <w:p w:rsidR="00DB3E80" w:rsidRPr="00932EA2" w:rsidRDefault="00DB3E80" w:rsidP="00DB3E80">
      <w:pPr>
        <w:pStyle w:val="ListContinue3"/>
      </w:pPr>
      <w:r w:rsidRPr="00932EA2">
        <w:t xml:space="preserve">The economic efficiency that should be promoted includes— </w:t>
      </w:r>
    </w:p>
    <w:p w:rsidR="00DB3E80" w:rsidRPr="00932EA2" w:rsidRDefault="00DB3E80" w:rsidP="00DB3E80">
      <w:pPr>
        <w:pStyle w:val="ListContinue3"/>
      </w:pPr>
      <w:r w:rsidRPr="00932EA2">
        <w:t xml:space="preserve">(a) efficient investment in, or in connection with, a pipeline with which the service provider provides reference services; and </w:t>
      </w:r>
    </w:p>
    <w:p w:rsidR="00DB3E80" w:rsidRPr="00932EA2" w:rsidRDefault="00DB3E80" w:rsidP="00DB3E80">
      <w:pPr>
        <w:pStyle w:val="ListContinue3"/>
      </w:pPr>
      <w:r w:rsidRPr="00932EA2">
        <w:t xml:space="preserve">(b) the efficient provision of pipeline services; and </w:t>
      </w:r>
    </w:p>
    <w:p w:rsidR="00DB3E80" w:rsidRDefault="00DB3E80" w:rsidP="00DB3E80">
      <w:pPr>
        <w:pStyle w:val="ListContinue3"/>
      </w:pPr>
      <w:r w:rsidRPr="00932EA2">
        <w:t xml:space="preserve">(c) </w:t>
      </w:r>
      <w:proofErr w:type="gramStart"/>
      <w:r w:rsidRPr="00932EA2">
        <w:t>the</w:t>
      </w:r>
      <w:proofErr w:type="gramEnd"/>
      <w:r w:rsidRPr="00932EA2">
        <w:t xml:space="preserve"> efficient use of the pipeline.</w:t>
      </w:r>
      <w:r>
        <w:rPr>
          <w:rStyle w:val="FootnoteReference"/>
        </w:rPr>
        <w:footnoteReference w:id="5"/>
      </w:r>
    </w:p>
    <w:p w:rsidR="00132D43" w:rsidRDefault="00DB3E80" w:rsidP="004E5AED">
      <w:pPr>
        <w:pStyle w:val="ListContinue3"/>
      </w:pPr>
      <w:r>
        <w:t>Under the NGR we have full discretion in our decision as to whether to approve the introduction of an incentive scheme.</w:t>
      </w:r>
    </w:p>
    <w:p w:rsidR="00F53FED" w:rsidRDefault="002E3785" w:rsidP="0010020F">
      <w:pPr>
        <w:pStyle w:val="Heading2"/>
        <w:keepNext/>
      </w:pPr>
      <w:bookmarkStart w:id="75" w:name="_Toc486838512"/>
      <w:r>
        <w:t>Multinet's</w:t>
      </w:r>
      <w:r w:rsidR="00F53FED" w:rsidRPr="00F02476">
        <w:t xml:space="preserve"> proposal</w:t>
      </w:r>
      <w:bookmarkEnd w:id="75"/>
    </w:p>
    <w:p w:rsidR="000D6CFF" w:rsidRDefault="0083060E" w:rsidP="0010020F">
      <w:pPr>
        <w:keepNext/>
      </w:pPr>
      <w:r>
        <w:t xml:space="preserve">In its proposal </w:t>
      </w:r>
      <w:r w:rsidR="004E5AED" w:rsidRPr="004E5AED">
        <w:t xml:space="preserve">Multinet </w:t>
      </w:r>
      <w:r w:rsidR="000D6CFF">
        <w:t>stated:</w:t>
      </w:r>
    </w:p>
    <w:p w:rsidR="000D6CFF" w:rsidRDefault="000D6CFF" w:rsidP="0010020F">
      <w:pPr>
        <w:pStyle w:val="AERquote"/>
        <w:keepNext/>
      </w:pPr>
      <w:proofErr w:type="gramStart"/>
      <w:r>
        <w:t>that</w:t>
      </w:r>
      <w:proofErr w:type="gramEnd"/>
      <w:r>
        <w:t xml:space="preserve"> there is a gap in the regulatory framework because it does not currently provide any funding for, or explicit incentives for gas distributors to pursue, network innovation.</w:t>
      </w:r>
      <w:r>
        <w:rPr>
          <w:rStyle w:val="FootnoteReference"/>
        </w:rPr>
        <w:footnoteReference w:id="6"/>
      </w:r>
      <w:r>
        <w:t xml:space="preserve"> </w:t>
      </w:r>
    </w:p>
    <w:p w:rsidR="00D76E10" w:rsidRDefault="00D76E10" w:rsidP="004E5AED">
      <w:r>
        <w:t>Multinet also state</w:t>
      </w:r>
      <w:r w:rsidR="00652DEB">
        <w:t>d</w:t>
      </w:r>
      <w:r>
        <w:t xml:space="preserve"> that network innovation is important in the </w:t>
      </w:r>
      <w:r w:rsidR="00652DEB">
        <w:t>2018</w:t>
      </w:r>
      <w:r w:rsidR="00652DEB" w:rsidRPr="00652DEB">
        <w:t>–</w:t>
      </w:r>
      <w:r w:rsidR="00652DEB">
        <w:t>22 a</w:t>
      </w:r>
      <w:r>
        <w:t>cce</w:t>
      </w:r>
      <w:r w:rsidR="00652DEB">
        <w:t>ss a</w:t>
      </w:r>
      <w:r>
        <w:t xml:space="preserve">rrangement </w:t>
      </w:r>
      <w:proofErr w:type="gramStart"/>
      <w:r>
        <w:t>period</w:t>
      </w:r>
      <w:proofErr w:type="gramEnd"/>
      <w:r>
        <w:t xml:space="preserve"> because gas is a fuel of choice, the operating environment is continuously changing and Multinet need</w:t>
      </w:r>
      <w:r w:rsidR="0010020F">
        <w:t>s</w:t>
      </w:r>
      <w:r>
        <w:t xml:space="preserve"> to continually improve and provide cost efficient and customer focused services.</w:t>
      </w:r>
      <w:r>
        <w:rPr>
          <w:rStyle w:val="FootnoteReference"/>
        </w:rPr>
        <w:footnoteReference w:id="7"/>
      </w:r>
    </w:p>
    <w:p w:rsidR="000D6CFF" w:rsidRDefault="006650E2" w:rsidP="004E5AED">
      <w:r>
        <w:t xml:space="preserve">Multinet </w:t>
      </w:r>
      <w:r w:rsidR="004E5AED" w:rsidRPr="004E5AED">
        <w:t xml:space="preserve">proposed </w:t>
      </w:r>
      <w:r w:rsidR="00FC34AA">
        <w:t>a</w:t>
      </w:r>
      <w:r w:rsidR="000D6CFF">
        <w:t xml:space="preserve"> Gas</w:t>
      </w:r>
      <w:r w:rsidR="00FC34AA">
        <w:t xml:space="preserve"> NIC</w:t>
      </w:r>
      <w:r w:rsidR="004E5AED" w:rsidRPr="004E5AED">
        <w:t xml:space="preserve"> that would </w:t>
      </w:r>
      <w:r w:rsidR="000D6CFF">
        <w:t>be specifically designed to encourage gas distributors to pursue entrepreneurship with a view to reducing costs or improving performance outcomes</w:t>
      </w:r>
      <w:r w:rsidR="00D76E10">
        <w:t xml:space="preserve">, in relation to </w:t>
      </w:r>
      <w:r w:rsidR="00D76E10" w:rsidRPr="004E5AED">
        <w:t>safety, reliability and/or customer service</w:t>
      </w:r>
      <w:r w:rsidR="000D6CFF">
        <w:t xml:space="preserve">. </w:t>
      </w:r>
    </w:p>
    <w:p w:rsidR="004E5AED" w:rsidRPr="004E5AED" w:rsidRDefault="004E5AED" w:rsidP="004E5AED">
      <w:r w:rsidRPr="004E5AED">
        <w:t>Multinet's proposal is based on Ofgem’s gas network innovation competition</w:t>
      </w:r>
      <w:r w:rsidR="006650E2">
        <w:t xml:space="preserve"> in Great Britain</w:t>
      </w:r>
      <w:r w:rsidRPr="004E5AED">
        <w:t>, where companies compete for a pool of funding in order to develop and demonstrate new technologies.</w:t>
      </w:r>
      <w:r w:rsidR="00023739">
        <w:rPr>
          <w:rStyle w:val="FootnoteReference"/>
        </w:rPr>
        <w:footnoteReference w:id="8"/>
      </w:r>
    </w:p>
    <w:p w:rsidR="004E5AED" w:rsidRPr="004E5AED" w:rsidRDefault="004E5AED" w:rsidP="004E5AED">
      <w:r w:rsidRPr="004E5AED">
        <w:t xml:space="preserve">Multinet did not provide a detailed design of how the </w:t>
      </w:r>
      <w:r w:rsidR="00D76E10">
        <w:t xml:space="preserve">Gas NIC </w:t>
      </w:r>
      <w:r w:rsidR="0083060E">
        <w:t>would operate in Australia. H</w:t>
      </w:r>
      <w:r w:rsidR="00BF08DE">
        <w:t xml:space="preserve">owever, Multinet indicated that </w:t>
      </w:r>
      <w:r w:rsidR="006650E2">
        <w:t>the detailed</w:t>
      </w:r>
      <w:r w:rsidR="00BF08DE">
        <w:t xml:space="preserve"> design could be formulated through an engagement process.</w:t>
      </w:r>
      <w:r w:rsidR="00D76E10">
        <w:rPr>
          <w:rStyle w:val="FootnoteReference"/>
        </w:rPr>
        <w:footnoteReference w:id="9"/>
      </w:r>
    </w:p>
    <w:p w:rsidR="00F53FED" w:rsidRPr="00F02476" w:rsidRDefault="00F53FED" w:rsidP="00F53FED">
      <w:pPr>
        <w:pStyle w:val="Heading2"/>
      </w:pPr>
      <w:bookmarkStart w:id="76" w:name="_Toc486838513"/>
      <w:r w:rsidRPr="00F02476">
        <w:t>Reasons for draft decision</w:t>
      </w:r>
      <w:bookmarkEnd w:id="76"/>
    </w:p>
    <w:p w:rsidR="003B4357" w:rsidRPr="00F02476" w:rsidRDefault="003B4357" w:rsidP="003B4357">
      <w:r w:rsidRPr="00F02476">
        <w:t xml:space="preserve">We understand that, in general, regulated monopolistic businesses face a reduced incentive to innovate when compared to competitive businesses. For a regulated network business, any savings resulting from innovation in one period may lead to a lower revenue allowance in the next period. Therefore, businesses may avoid investments that could have a significant social benefit but would ultimately result in decreased revenue allowance in the subsequent period. </w:t>
      </w:r>
    </w:p>
    <w:p w:rsidR="003B4357" w:rsidRPr="00F02476" w:rsidRDefault="003B4357" w:rsidP="003B4357">
      <w:r>
        <w:t xml:space="preserve">While we acknowledge this reduced incentive to innovate, we do not consider that the Gas NIC </w:t>
      </w:r>
      <w:r w:rsidRPr="00F02476">
        <w:t xml:space="preserve">will encourage efficiency in the provision of services by </w:t>
      </w:r>
      <w:r>
        <w:t>Multinet</w:t>
      </w:r>
      <w:r w:rsidRPr="00F02476">
        <w:t xml:space="preserve"> </w:t>
      </w:r>
      <w:r>
        <w:t xml:space="preserve">in </w:t>
      </w:r>
      <w:r w:rsidRPr="00F02476">
        <w:t>the long term interests of consumers</w:t>
      </w:r>
      <w:r>
        <w:t xml:space="preserve"> for </w:t>
      </w:r>
      <w:r w:rsidRPr="00F02476">
        <w:t>the following reasons:</w:t>
      </w:r>
    </w:p>
    <w:p w:rsidR="003B4357" w:rsidRDefault="003B4357" w:rsidP="003B4357">
      <w:pPr>
        <w:pStyle w:val="AERbulletlistfirststyle"/>
      </w:pPr>
      <w:r>
        <w:t xml:space="preserve">Consumers bear the cost of investment and therefore take 100 per cent of the risk that the innovation project will fail. </w:t>
      </w:r>
    </w:p>
    <w:p w:rsidR="003B4357" w:rsidRPr="00F02476" w:rsidRDefault="003B4357" w:rsidP="003B4357">
      <w:pPr>
        <w:pStyle w:val="AERbulletlistfirststyle"/>
      </w:pPr>
      <w:r>
        <w:t xml:space="preserve">It is not clear how the </w:t>
      </w:r>
      <w:r w:rsidRPr="00F02476">
        <w:t>benefits</w:t>
      </w:r>
      <w:r>
        <w:t xml:space="preserve"> of the innovation projects</w:t>
      </w:r>
      <w:r w:rsidRPr="00F02476">
        <w:t xml:space="preserve"> w</w:t>
      </w:r>
      <w:r>
        <w:t>ill</w:t>
      </w:r>
      <w:r w:rsidRPr="00F02476">
        <w:t xml:space="preserve"> be shared between </w:t>
      </w:r>
      <w:r>
        <w:t xml:space="preserve">Multinet </w:t>
      </w:r>
      <w:r w:rsidRPr="00F02476">
        <w:t xml:space="preserve">and </w:t>
      </w:r>
      <w:r>
        <w:t>its</w:t>
      </w:r>
      <w:r w:rsidRPr="00F02476">
        <w:t xml:space="preserve"> customers. </w:t>
      </w:r>
    </w:p>
    <w:p w:rsidR="003B4357" w:rsidRPr="00F02476" w:rsidRDefault="003B4357" w:rsidP="003B4357">
      <w:pPr>
        <w:pStyle w:val="AERbulletlistfirststyle"/>
      </w:pPr>
      <w:r w:rsidRPr="00F02476">
        <w:t xml:space="preserve">The proposed </w:t>
      </w:r>
      <w:r>
        <w:t xml:space="preserve">Gas NIC </w:t>
      </w:r>
      <w:r w:rsidRPr="00F02476">
        <w:t>is not targeted at a specific social problem (such as emissions reduction</w:t>
      </w:r>
      <w:r>
        <w:t xml:space="preserve"> as the scheme is in Great Britain</w:t>
      </w:r>
      <w:r w:rsidRPr="00F02476">
        <w:t>)</w:t>
      </w:r>
      <w:r>
        <w:t>.</w:t>
      </w:r>
      <w:r>
        <w:rPr>
          <w:rStyle w:val="FootnoteReference"/>
        </w:rPr>
        <w:footnoteReference w:id="10"/>
      </w:r>
      <w:r w:rsidRPr="00F02476">
        <w:t xml:space="preserve"> </w:t>
      </w:r>
    </w:p>
    <w:p w:rsidR="003B4357" w:rsidRPr="00F02476" w:rsidRDefault="003B4357" w:rsidP="003B4357">
      <w:r w:rsidRPr="00F02476">
        <w:t xml:space="preserve">There are also significant disadvantages and costs with implementing </w:t>
      </w:r>
      <w:r>
        <w:t xml:space="preserve">the proposed Gas NIC </w:t>
      </w:r>
      <w:r w:rsidRPr="00F02476">
        <w:t>including:</w:t>
      </w:r>
    </w:p>
    <w:p w:rsidR="003B4357" w:rsidRPr="00F02476" w:rsidRDefault="003B4357" w:rsidP="003B4357">
      <w:pPr>
        <w:pStyle w:val="AERbulletlistfirststyle"/>
      </w:pPr>
      <w:proofErr w:type="gramStart"/>
      <w:r w:rsidRPr="00F02476">
        <w:t>transaction</w:t>
      </w:r>
      <w:proofErr w:type="gramEnd"/>
      <w:r w:rsidRPr="00F02476">
        <w:t xml:space="preserve"> and enforcement costs associated with the introduction and implementation of an innovation scheme. </w:t>
      </w:r>
    </w:p>
    <w:p w:rsidR="003B4357" w:rsidRPr="00F02476" w:rsidRDefault="003B4357" w:rsidP="003B4357">
      <w:pPr>
        <w:pStyle w:val="AERbulletlistfirststyle"/>
      </w:pPr>
      <w:proofErr w:type="gramStart"/>
      <w:r w:rsidRPr="00F02476">
        <w:t>higher</w:t>
      </w:r>
      <w:proofErr w:type="gramEnd"/>
      <w:r w:rsidRPr="00F02476">
        <w:t xml:space="preserve"> prices for consumers in the short-run, with no guaranteed efficiency gains in the long-term. </w:t>
      </w:r>
    </w:p>
    <w:p w:rsidR="003B4357" w:rsidRPr="00F02476" w:rsidRDefault="003B4357" w:rsidP="003B4357">
      <w:r w:rsidRPr="00F02476">
        <w:rPr>
          <w:rStyle w:val="AERbody"/>
        </w:rPr>
        <w:t>Stakeholders were generally supportive of encouraging innovation in light of the potential for rapid changes in the energy sector.</w:t>
      </w:r>
      <w:r w:rsidRPr="00F02476">
        <w:rPr>
          <w:rStyle w:val="AERsuperscript"/>
        </w:rPr>
        <w:footnoteReference w:id="11"/>
      </w:r>
      <w:r w:rsidRPr="00F02476">
        <w:rPr>
          <w:rStyle w:val="AERbody"/>
        </w:rPr>
        <w:t xml:space="preserve"> However, the </w:t>
      </w:r>
      <w:r w:rsidR="0010020F">
        <w:rPr>
          <w:rStyle w:val="AERbody"/>
        </w:rPr>
        <w:t>Consumer Challenge Panel (</w:t>
      </w:r>
      <w:r w:rsidRPr="00F02476">
        <w:rPr>
          <w:rStyle w:val="AERbody"/>
        </w:rPr>
        <w:t>CCP</w:t>
      </w:r>
      <w:r w:rsidR="0010020F">
        <w:rPr>
          <w:rStyle w:val="AERbody"/>
        </w:rPr>
        <w:t>11)</w:t>
      </w:r>
      <w:r w:rsidRPr="00F02476">
        <w:rPr>
          <w:rStyle w:val="AERbody"/>
        </w:rPr>
        <w:t xml:space="preserve"> was concerned as to whether an innovation scheme is necessary in addition to</w:t>
      </w:r>
      <w:r w:rsidR="002D462D">
        <w:rPr>
          <w:rStyle w:val="AERbody"/>
        </w:rPr>
        <w:t xml:space="preserve"> an</w:t>
      </w:r>
      <w:r w:rsidRPr="00F02476">
        <w:rPr>
          <w:rStyle w:val="AERbody"/>
        </w:rPr>
        <w:t xml:space="preserve"> </w:t>
      </w:r>
      <w:r w:rsidR="0010020F">
        <w:rPr>
          <w:rStyle w:val="AERbody"/>
        </w:rPr>
        <w:t>opex efficiency carryover mechanism</w:t>
      </w:r>
      <w:r w:rsidRPr="00F02476">
        <w:rPr>
          <w:rStyle w:val="AERbody"/>
        </w:rPr>
        <w:t>.</w:t>
      </w:r>
      <w:r w:rsidRPr="00F02476">
        <w:rPr>
          <w:rStyle w:val="FootnoteReference"/>
        </w:rPr>
        <w:footnoteReference w:id="12"/>
      </w:r>
      <w:r w:rsidRPr="00F02476">
        <w:rPr>
          <w:rStyle w:val="AERbody"/>
        </w:rPr>
        <w:t xml:space="preserve"> We agree that these schemes are compounding and should be considered together.</w:t>
      </w:r>
    </w:p>
    <w:p w:rsidR="003B4357" w:rsidRDefault="003B4357" w:rsidP="003B4357">
      <w:r w:rsidRPr="00F02476">
        <w:t xml:space="preserve">On balance, we do not believe that a </w:t>
      </w:r>
      <w:r w:rsidR="00524DA4">
        <w:t xml:space="preserve">Gas NIC </w:t>
      </w:r>
      <w:r w:rsidRPr="00F02476">
        <w:t xml:space="preserve">will encourage efficiency in the provision of services by </w:t>
      </w:r>
      <w:r w:rsidR="00524DA4">
        <w:t>Multinet</w:t>
      </w:r>
      <w:r w:rsidRPr="00F02476">
        <w:t xml:space="preserve"> </w:t>
      </w:r>
      <w:r>
        <w:t xml:space="preserve">in </w:t>
      </w:r>
      <w:r w:rsidRPr="00F02476">
        <w:t xml:space="preserve">the long term interests of consumers. We </w:t>
      </w:r>
      <w:r>
        <w:t xml:space="preserve">consider </w:t>
      </w:r>
      <w:r w:rsidRPr="00F02476">
        <w:t>the current framework provides sufficient opportunity to invest in innovation while allowing businesses to retain any efficiency benefits.</w:t>
      </w:r>
    </w:p>
    <w:sectPr w:rsidR="003B4357" w:rsidSect="00CF42AA">
      <w:headerReference w:type="default" r:id="rId16"/>
      <w:footerReference w:type="even" r:id="rId17"/>
      <w:footerReference w:type="default" r:id="rId18"/>
      <w:footerReference w:type="first" r:id="rId19"/>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DF" w:rsidRPr="00290C63" w:rsidRDefault="000474DF" w:rsidP="00290C63">
      <w:r>
        <w:separator/>
      </w:r>
    </w:p>
    <w:p w:rsidR="000474DF" w:rsidRDefault="000474DF"/>
  </w:endnote>
  <w:endnote w:type="continuationSeparator" w:id="0">
    <w:p w:rsidR="000474DF" w:rsidRPr="00290C63" w:rsidRDefault="000474DF" w:rsidP="00290C63">
      <w:r>
        <w:continuationSeparator/>
      </w:r>
    </w:p>
    <w:p w:rsidR="000474DF" w:rsidRDefault="00047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0474DF" w:rsidRPr="009B6F84" w:rsidRDefault="000474DF">
        <w:pPr>
          <w:pStyle w:val="Footer"/>
          <w:rPr>
            <w:sz w:val="20"/>
          </w:rPr>
        </w:pPr>
        <w:r>
          <w:fldChar w:fldCharType="begin"/>
        </w:r>
        <w:r>
          <w:instrText xml:space="preserve"> PAGE   \* MERGEFORMAT </w:instrText>
        </w:r>
        <w:r>
          <w:fldChar w:fldCharType="separate"/>
        </w:r>
        <w:r w:rsidR="00772782">
          <w:rPr>
            <w:noProof/>
          </w:rPr>
          <w:t>14-0</w:t>
        </w:r>
        <w:r>
          <w:rPr>
            <w:noProof/>
          </w:rPr>
          <w:fldChar w:fldCharType="end"/>
        </w:r>
        <w:r>
          <w:rPr>
            <w:noProof/>
          </w:rPr>
          <w:t xml:space="preserve">          </w:t>
        </w:r>
        <w:r>
          <w:t xml:space="preserve">Attachment </w:t>
        </w:r>
        <w:r w:rsidR="00471BC6">
          <w:t>1</w:t>
        </w:r>
        <w:r w:rsidR="00E56707">
          <w:t>4</w:t>
        </w:r>
        <w:r>
          <w:t xml:space="preserve"> </w:t>
        </w:r>
        <w:r w:rsidRPr="000474DF">
          <w:t>−</w:t>
        </w:r>
        <w:r>
          <w:t xml:space="preserve"> </w:t>
        </w:r>
        <w:r w:rsidR="00E56707">
          <w:t>Other incentive schemes</w:t>
        </w:r>
        <w:r w:rsidRPr="009B6F84">
          <w:rPr>
            <w:rFonts w:cs="Gautami"/>
            <w:noProof/>
            <w:szCs w:val="16"/>
          </w:rPr>
          <w:t xml:space="preserve"> | </w:t>
        </w:r>
        <w:r w:rsidR="00D5015C">
          <w:t xml:space="preserve">Draft decision - </w:t>
        </w:r>
        <w:r w:rsidR="00190361">
          <w:t>Multinet G</w:t>
        </w:r>
        <w:r w:rsidR="00D5015C">
          <w:t>as access arrangement</w:t>
        </w:r>
        <w:r w:rsidR="00D5015C" w:rsidRPr="00D5015C">
          <w:t xml:space="preserve"> 201</w:t>
        </w:r>
        <w:r w:rsidR="00D5015C">
          <w:t>8</w:t>
        </w:r>
        <w:r w:rsidR="00D5015C" w:rsidRPr="00D5015C">
          <w:t>–</w:t>
        </w:r>
        <w:r w:rsidR="00D5015C">
          <w:t>22</w:t>
        </w:r>
      </w:p>
    </w:sdtContent>
  </w:sdt>
  <w:p w:rsidR="000474DF" w:rsidRDefault="000474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0474DF" w:rsidRPr="009B6F84" w:rsidRDefault="000474DF">
        <w:pPr>
          <w:pStyle w:val="Footer"/>
          <w:rPr>
            <w:sz w:val="20"/>
          </w:rPr>
        </w:pPr>
        <w:r>
          <w:fldChar w:fldCharType="begin"/>
        </w:r>
        <w:r>
          <w:instrText xml:space="preserve"> PAGE   \* MERGEFORMAT </w:instrText>
        </w:r>
        <w:r>
          <w:fldChar w:fldCharType="separate"/>
        </w:r>
        <w:r w:rsidR="00772782">
          <w:rPr>
            <w:noProof/>
          </w:rPr>
          <w:t>14-3</w:t>
        </w:r>
        <w:r>
          <w:rPr>
            <w:noProof/>
          </w:rPr>
          <w:fldChar w:fldCharType="end"/>
        </w:r>
        <w:r>
          <w:rPr>
            <w:noProof/>
          </w:rPr>
          <w:t xml:space="preserve">          </w:t>
        </w:r>
        <w:r w:rsidR="00D5015C">
          <w:t>Attachment 1</w:t>
        </w:r>
        <w:r w:rsidR="00E56707">
          <w:t>4</w:t>
        </w:r>
        <w:r w:rsidR="00D5015C">
          <w:t xml:space="preserve"> </w:t>
        </w:r>
        <w:r w:rsidR="00D5015C" w:rsidRPr="000474DF">
          <w:t>−</w:t>
        </w:r>
        <w:r w:rsidR="00D5015C">
          <w:t xml:space="preserve"> </w:t>
        </w:r>
        <w:r w:rsidR="00E56707">
          <w:t>Other incentive schemes</w:t>
        </w:r>
        <w:r w:rsidR="00D5015C" w:rsidRPr="00D5015C">
          <w:t xml:space="preserve"> | </w:t>
        </w:r>
        <w:r w:rsidR="00D5015C">
          <w:t xml:space="preserve">Draft decision - </w:t>
        </w:r>
        <w:r w:rsidR="00190361">
          <w:t>Multinet G</w:t>
        </w:r>
        <w:r w:rsidR="00D5015C">
          <w:t>as access arrangement</w:t>
        </w:r>
        <w:r w:rsidR="00D5015C" w:rsidRPr="00D5015C">
          <w:t xml:space="preserve"> 201</w:t>
        </w:r>
        <w:r w:rsidR="00D5015C">
          <w:t>8</w:t>
        </w:r>
        <w:r w:rsidR="00D5015C" w:rsidRPr="00D5015C">
          <w:t>–</w:t>
        </w:r>
        <w:r w:rsidR="00D5015C">
          <w:t>22</w:t>
        </w:r>
      </w:p>
    </w:sdtContent>
  </w:sdt>
  <w:p w:rsidR="000474DF" w:rsidRDefault="000474D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DF" w:rsidRPr="00290C63" w:rsidRDefault="000474DF" w:rsidP="00290C63">
      <w:r>
        <w:separator/>
      </w:r>
    </w:p>
    <w:p w:rsidR="000474DF" w:rsidRDefault="000474DF"/>
  </w:footnote>
  <w:footnote w:type="continuationSeparator" w:id="0">
    <w:p w:rsidR="000474DF" w:rsidRPr="00290C63" w:rsidRDefault="000474DF" w:rsidP="00290C63">
      <w:r>
        <w:continuationSeparator/>
      </w:r>
    </w:p>
    <w:p w:rsidR="000474DF" w:rsidRDefault="000474DF"/>
  </w:footnote>
  <w:footnote w:id="1">
    <w:p w:rsidR="000D6CFF" w:rsidRDefault="000D6CFF">
      <w:pPr>
        <w:pStyle w:val="FootnoteText"/>
      </w:pPr>
      <w:r>
        <w:rPr>
          <w:rStyle w:val="FootnoteReference"/>
        </w:rPr>
        <w:footnoteRef/>
      </w:r>
      <w:r>
        <w:t xml:space="preserve"> </w:t>
      </w:r>
      <w:r>
        <w:tab/>
        <w:t xml:space="preserve">Multinet Gas, </w:t>
      </w:r>
      <w:r w:rsidRPr="000D6CFF">
        <w:rPr>
          <w:rStyle w:val="AERtextitalic"/>
        </w:rPr>
        <w:t>2018 to 2022 Access Arrangement Information</w:t>
      </w:r>
      <w:r>
        <w:t>, December 2016, p. 136.</w:t>
      </w:r>
    </w:p>
  </w:footnote>
  <w:footnote w:id="2">
    <w:p w:rsidR="00DB3E80" w:rsidRDefault="00DB3E80" w:rsidP="00DB3E80">
      <w:pPr>
        <w:pStyle w:val="FootnoteText"/>
      </w:pPr>
      <w:r>
        <w:rPr>
          <w:rStyle w:val="FootnoteReference"/>
        </w:rPr>
        <w:footnoteRef/>
      </w:r>
      <w:r>
        <w:t xml:space="preserve"> </w:t>
      </w:r>
      <w:r w:rsidR="000D6CFF">
        <w:tab/>
      </w:r>
      <w:r>
        <w:t>NGR, r.98(1)</w:t>
      </w:r>
    </w:p>
  </w:footnote>
  <w:footnote w:id="3">
    <w:p w:rsidR="00DB3E80" w:rsidRDefault="00DB3E80" w:rsidP="00DB3E80">
      <w:pPr>
        <w:pStyle w:val="FootnoteText"/>
      </w:pPr>
      <w:r>
        <w:rPr>
          <w:rStyle w:val="FootnoteReference"/>
        </w:rPr>
        <w:footnoteRef/>
      </w:r>
      <w:r>
        <w:t xml:space="preserve"> </w:t>
      </w:r>
      <w:r w:rsidR="000D6CFF">
        <w:tab/>
      </w:r>
      <w:r>
        <w:t>NGR, r.98(2)</w:t>
      </w:r>
    </w:p>
  </w:footnote>
  <w:footnote w:id="4">
    <w:p w:rsidR="00DB3E80" w:rsidRDefault="00DB3E80" w:rsidP="00DB3E80">
      <w:pPr>
        <w:pStyle w:val="FootnoteText"/>
      </w:pPr>
      <w:r>
        <w:rPr>
          <w:rStyle w:val="FootnoteReference"/>
        </w:rPr>
        <w:footnoteRef/>
      </w:r>
      <w:r>
        <w:t xml:space="preserve"> </w:t>
      </w:r>
      <w:r w:rsidR="000D6CFF">
        <w:tab/>
      </w:r>
      <w:r>
        <w:t>NGR, r.98(3)</w:t>
      </w:r>
    </w:p>
  </w:footnote>
  <w:footnote w:id="5">
    <w:p w:rsidR="00DB3E80" w:rsidRDefault="00DB3E80" w:rsidP="00DB3E80">
      <w:pPr>
        <w:pStyle w:val="FootnoteText"/>
      </w:pPr>
      <w:r>
        <w:rPr>
          <w:rStyle w:val="FootnoteReference"/>
        </w:rPr>
        <w:footnoteRef/>
      </w:r>
      <w:r>
        <w:t xml:space="preserve"> </w:t>
      </w:r>
      <w:r w:rsidR="000D6CFF">
        <w:tab/>
      </w:r>
      <w:r>
        <w:t>NGL, s. 24(3)</w:t>
      </w:r>
    </w:p>
    <w:p w:rsidR="00DB3E80" w:rsidRDefault="00DB3E80" w:rsidP="00DB3E80">
      <w:pPr>
        <w:pStyle w:val="FootnoteText"/>
        <w:ind w:left="0" w:firstLine="0"/>
      </w:pPr>
    </w:p>
  </w:footnote>
  <w:footnote w:id="6">
    <w:p w:rsidR="000D6CFF" w:rsidRDefault="000D6CFF">
      <w:pPr>
        <w:pStyle w:val="FootnoteText"/>
      </w:pPr>
      <w:r>
        <w:rPr>
          <w:rStyle w:val="FootnoteReference"/>
        </w:rPr>
        <w:footnoteRef/>
      </w:r>
      <w:r>
        <w:t xml:space="preserve"> </w:t>
      </w:r>
      <w:r>
        <w:tab/>
        <w:t xml:space="preserve">Multinet Gas, </w:t>
      </w:r>
      <w:r w:rsidRPr="000D6CFF">
        <w:rPr>
          <w:rStyle w:val="AERtextitalic"/>
        </w:rPr>
        <w:t>2018 to 2022 Access Arrangement Information</w:t>
      </w:r>
      <w:r>
        <w:t>, December 2016, p. 135.</w:t>
      </w:r>
    </w:p>
  </w:footnote>
  <w:footnote w:id="7">
    <w:p w:rsidR="00D76E10" w:rsidRDefault="00D76E10">
      <w:pPr>
        <w:pStyle w:val="FootnoteText"/>
      </w:pPr>
      <w:r>
        <w:rPr>
          <w:rStyle w:val="FootnoteReference"/>
        </w:rPr>
        <w:footnoteRef/>
      </w:r>
      <w:r>
        <w:t xml:space="preserve"> </w:t>
      </w:r>
      <w:r>
        <w:tab/>
        <w:t xml:space="preserve">Multinet Gas, </w:t>
      </w:r>
      <w:r w:rsidRPr="000D6CFF">
        <w:rPr>
          <w:rStyle w:val="AERtextitalic"/>
        </w:rPr>
        <w:t>2018 to 2022 Access Arrangement Information</w:t>
      </w:r>
      <w:r>
        <w:t>, December 2016, p. 135-136.</w:t>
      </w:r>
    </w:p>
  </w:footnote>
  <w:footnote w:id="8">
    <w:p w:rsidR="00023739" w:rsidRDefault="00023739">
      <w:pPr>
        <w:pStyle w:val="FootnoteText"/>
      </w:pPr>
      <w:r>
        <w:rPr>
          <w:rStyle w:val="FootnoteReference"/>
        </w:rPr>
        <w:footnoteRef/>
      </w:r>
      <w:r>
        <w:t xml:space="preserve"> </w:t>
      </w:r>
      <w:r>
        <w:tab/>
      </w:r>
      <w:r w:rsidRPr="00023739">
        <w:t xml:space="preserve">Multinet Gas, </w:t>
      </w:r>
      <w:r w:rsidRPr="00023739">
        <w:rPr>
          <w:rStyle w:val="AERtextitalic"/>
        </w:rPr>
        <w:t>2018 to 2022 Access Arrangement Information</w:t>
      </w:r>
      <w:r w:rsidRPr="00023739">
        <w:t>, December 2016, p. 136.</w:t>
      </w:r>
    </w:p>
  </w:footnote>
  <w:footnote w:id="9">
    <w:p w:rsidR="00D76E10" w:rsidRDefault="00D76E10">
      <w:pPr>
        <w:pStyle w:val="FootnoteText"/>
      </w:pPr>
      <w:r>
        <w:rPr>
          <w:rStyle w:val="FootnoteReference"/>
        </w:rPr>
        <w:footnoteRef/>
      </w:r>
      <w:r>
        <w:t xml:space="preserve"> </w:t>
      </w:r>
      <w:r>
        <w:tab/>
        <w:t xml:space="preserve">Multinet Gas, </w:t>
      </w:r>
      <w:r w:rsidRPr="000D6CFF">
        <w:rPr>
          <w:rStyle w:val="AERtextitalic"/>
        </w:rPr>
        <w:t>2018 to 2022 Access Arrangement Information</w:t>
      </w:r>
      <w:r>
        <w:t>, December 2016, p. 136.</w:t>
      </w:r>
    </w:p>
  </w:footnote>
  <w:footnote w:id="10">
    <w:p w:rsidR="003B4357" w:rsidRDefault="003B4357" w:rsidP="003B4357">
      <w:pPr>
        <w:pStyle w:val="FootnoteText"/>
      </w:pPr>
      <w:r>
        <w:rPr>
          <w:rStyle w:val="FootnoteReference"/>
        </w:rPr>
        <w:footnoteRef/>
      </w:r>
      <w:r>
        <w:t xml:space="preserve"> </w:t>
      </w:r>
      <w:r>
        <w:tab/>
        <w:t xml:space="preserve">See: </w:t>
      </w:r>
      <w:hyperlink r:id="rId1" w:history="1">
        <w:r w:rsidRPr="00630CD1">
          <w:rPr>
            <w:rStyle w:val="Hyperlink"/>
            <w:sz w:val="16"/>
          </w:rPr>
          <w:t>https://www.ofgem.gov.uk/gas/distribution-networks/network-innovation</w:t>
        </w:r>
      </w:hyperlink>
      <w:r>
        <w:t xml:space="preserve"> </w:t>
      </w:r>
    </w:p>
  </w:footnote>
  <w:footnote w:id="11">
    <w:p w:rsidR="003B4357" w:rsidRDefault="003B4357" w:rsidP="003B4357">
      <w:pPr>
        <w:pStyle w:val="FootnoteText"/>
      </w:pPr>
      <w:r>
        <w:rPr>
          <w:rStyle w:val="FootnoteReference"/>
        </w:rPr>
        <w:footnoteRef/>
      </w:r>
      <w:r>
        <w:t xml:space="preserve"> </w:t>
      </w:r>
      <w:r>
        <w:tab/>
      </w:r>
      <w:r w:rsidRPr="000E78BC">
        <w:rPr>
          <w:rStyle w:val="AERbody"/>
          <w:sz w:val="16"/>
        </w:rPr>
        <w:t xml:space="preserve">Jemena Gas Networks, </w:t>
      </w:r>
      <w:r w:rsidRPr="00D15065">
        <w:rPr>
          <w:rStyle w:val="AERtextitalic"/>
        </w:rPr>
        <w:t>Submission on 2018-22 Victorian gas distribution access arrangement proposals</w:t>
      </w:r>
      <w:r w:rsidRPr="000E78BC">
        <w:rPr>
          <w:rStyle w:val="AERbody"/>
          <w:sz w:val="16"/>
        </w:rPr>
        <w:t xml:space="preserve">, 2 March 2017, p. 1; Energy Network Australia, </w:t>
      </w:r>
      <w:r w:rsidRPr="00D15065">
        <w:rPr>
          <w:rStyle w:val="AERtextitalic"/>
        </w:rPr>
        <w:t>Submission on Australian Gas Networks (Vic and Albury) Access Arrangement Proposal 2018-22</w:t>
      </w:r>
      <w:r w:rsidRPr="000E78BC">
        <w:rPr>
          <w:rStyle w:val="AERbody"/>
          <w:sz w:val="16"/>
        </w:rPr>
        <w:t xml:space="preserve">, </w:t>
      </w:r>
      <w:proofErr w:type="spellStart"/>
      <w:r w:rsidRPr="000E78BC">
        <w:rPr>
          <w:rStyle w:val="AERbody"/>
          <w:sz w:val="16"/>
        </w:rPr>
        <w:t>pp</w:t>
      </w:r>
      <w:proofErr w:type="spellEnd"/>
      <w:r w:rsidRPr="000E78BC">
        <w:rPr>
          <w:rStyle w:val="AERbody"/>
          <w:sz w:val="16"/>
        </w:rPr>
        <w:t xml:space="preserve"> 1-2; Origin Energy, </w:t>
      </w:r>
      <w:r w:rsidRPr="00D15065">
        <w:rPr>
          <w:rStyle w:val="AERtextitalic"/>
        </w:rPr>
        <w:t>Submission to the Victorian gas access arrangement review 2018-22, Response to gas distribution businesses' proposals</w:t>
      </w:r>
      <w:r w:rsidRPr="000E78BC">
        <w:rPr>
          <w:rStyle w:val="AERbody"/>
          <w:sz w:val="16"/>
        </w:rPr>
        <w:t xml:space="preserve">, 10 March 2017, p. 5; and ATCO Gas Australia, </w:t>
      </w:r>
      <w:r w:rsidRPr="00D15065">
        <w:rPr>
          <w:rStyle w:val="AERtextitalic"/>
        </w:rPr>
        <w:t>Submission to Victorian Gas Networks AGN and AusNet Services Access Arrangement 2018-22</w:t>
      </w:r>
      <w:r w:rsidRPr="000E78BC">
        <w:rPr>
          <w:rStyle w:val="AERbody"/>
          <w:sz w:val="16"/>
        </w:rPr>
        <w:t>, 3 March 2017, p.3.</w:t>
      </w:r>
    </w:p>
  </w:footnote>
  <w:footnote w:id="12">
    <w:p w:rsidR="003B4357" w:rsidRDefault="003B4357" w:rsidP="003B4357">
      <w:pPr>
        <w:pStyle w:val="FootnoteText"/>
      </w:pPr>
      <w:r>
        <w:rPr>
          <w:rStyle w:val="FootnoteReference"/>
        </w:rPr>
        <w:footnoteRef/>
      </w:r>
      <w:r>
        <w:t xml:space="preserve"> </w:t>
      </w:r>
      <w:r>
        <w:tab/>
      </w:r>
      <w:proofErr w:type="gramStart"/>
      <w:r>
        <w:t xml:space="preserve">Consumer </w:t>
      </w:r>
      <w:r w:rsidR="0010020F">
        <w:t>C</w:t>
      </w:r>
      <w:r>
        <w:t xml:space="preserve">hallenge </w:t>
      </w:r>
      <w:r w:rsidR="0010020F">
        <w:t>P</w:t>
      </w:r>
      <w:r>
        <w:t xml:space="preserve">anel </w:t>
      </w:r>
      <w:r w:rsidR="0010020F">
        <w:t>(CCP</w:t>
      </w:r>
      <w:r>
        <w:t>11</w:t>
      </w:r>
      <w:r w:rsidR="0010020F">
        <w:t>)</w:t>
      </w:r>
      <w:r>
        <w:t xml:space="preserve">, </w:t>
      </w:r>
      <w:r w:rsidRPr="00D15065">
        <w:rPr>
          <w:rStyle w:val="AERtextitalic"/>
        </w:rPr>
        <w:t xml:space="preserve">Response to proposals from AGN, AusNet and Multinet for </w:t>
      </w:r>
      <w:r w:rsidR="0010020F">
        <w:rPr>
          <w:rStyle w:val="AERtextitalic"/>
        </w:rPr>
        <w:t xml:space="preserve">the 2018-22 </w:t>
      </w:r>
      <w:r w:rsidR="00EF42B0">
        <w:rPr>
          <w:rStyle w:val="AERtextitalic"/>
        </w:rPr>
        <w:t>A</w:t>
      </w:r>
      <w:r w:rsidR="0010020F">
        <w:rPr>
          <w:rStyle w:val="AERtextitalic"/>
        </w:rPr>
        <w:t xml:space="preserve">ccess </w:t>
      </w:r>
      <w:r w:rsidR="00EF42B0">
        <w:rPr>
          <w:rStyle w:val="AERtextitalic"/>
        </w:rPr>
        <w:t>A</w:t>
      </w:r>
      <w:r w:rsidR="0010020F">
        <w:rPr>
          <w:rStyle w:val="AERtextitalic"/>
        </w:rPr>
        <w:t>rrangements</w:t>
      </w:r>
      <w:r>
        <w:t>, 3 March 2017, p. 11.</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Default="000474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6522337E"/>
    <w:lvl w:ilvl="0">
      <w:start w:val="1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mieg7oJvH14SHAgZrq89HAPbn9srHjtdWB0Idkzukxs=" w:saltValue="kWRw6UrjbzTUV/so50H5GA==" w:algorithmName="SHA-256"/>
  <w:defaultTabStop w:val="340"/>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592\D16 9526  AER - Draft decision ElectraNet transmission determination - Attachment 1 - Maximum allowed revenue.DOCX"/>
  </w:docVars>
  <w:rsids>
    <w:rsidRoot w:val="00961A4A"/>
    <w:rsid w:val="000051DC"/>
    <w:rsid w:val="0000658F"/>
    <w:rsid w:val="0001507B"/>
    <w:rsid w:val="00020016"/>
    <w:rsid w:val="00021202"/>
    <w:rsid w:val="00021C2B"/>
    <w:rsid w:val="00023739"/>
    <w:rsid w:val="0002498B"/>
    <w:rsid w:val="0002517F"/>
    <w:rsid w:val="00026187"/>
    <w:rsid w:val="000266FC"/>
    <w:rsid w:val="000273B3"/>
    <w:rsid w:val="00027E2D"/>
    <w:rsid w:val="0003578C"/>
    <w:rsid w:val="00044DA3"/>
    <w:rsid w:val="000474DF"/>
    <w:rsid w:val="00055A67"/>
    <w:rsid w:val="00063247"/>
    <w:rsid w:val="0006624E"/>
    <w:rsid w:val="00070F9F"/>
    <w:rsid w:val="0007137B"/>
    <w:rsid w:val="00073B74"/>
    <w:rsid w:val="00076416"/>
    <w:rsid w:val="000805A8"/>
    <w:rsid w:val="0008190B"/>
    <w:rsid w:val="000836D9"/>
    <w:rsid w:val="00085663"/>
    <w:rsid w:val="00085EBF"/>
    <w:rsid w:val="00091B15"/>
    <w:rsid w:val="00095186"/>
    <w:rsid w:val="000A0E71"/>
    <w:rsid w:val="000A1C0C"/>
    <w:rsid w:val="000A3020"/>
    <w:rsid w:val="000A4840"/>
    <w:rsid w:val="000A62C1"/>
    <w:rsid w:val="000A6A79"/>
    <w:rsid w:val="000A6C7B"/>
    <w:rsid w:val="000B0A7B"/>
    <w:rsid w:val="000B1173"/>
    <w:rsid w:val="000B5827"/>
    <w:rsid w:val="000B7037"/>
    <w:rsid w:val="000C02D1"/>
    <w:rsid w:val="000C0C63"/>
    <w:rsid w:val="000C2B40"/>
    <w:rsid w:val="000C5255"/>
    <w:rsid w:val="000D07A7"/>
    <w:rsid w:val="000D122C"/>
    <w:rsid w:val="000D6CFF"/>
    <w:rsid w:val="000D75B0"/>
    <w:rsid w:val="000E1819"/>
    <w:rsid w:val="000E4821"/>
    <w:rsid w:val="000E4AA9"/>
    <w:rsid w:val="000E6C72"/>
    <w:rsid w:val="000E7F39"/>
    <w:rsid w:val="0010020F"/>
    <w:rsid w:val="00100EA2"/>
    <w:rsid w:val="00101AA1"/>
    <w:rsid w:val="00102338"/>
    <w:rsid w:val="00104566"/>
    <w:rsid w:val="00104FF6"/>
    <w:rsid w:val="001114AA"/>
    <w:rsid w:val="00112684"/>
    <w:rsid w:val="00115743"/>
    <w:rsid w:val="00116EB2"/>
    <w:rsid w:val="0012132C"/>
    <w:rsid w:val="00124609"/>
    <w:rsid w:val="00126A4C"/>
    <w:rsid w:val="001270E3"/>
    <w:rsid w:val="00132D43"/>
    <w:rsid w:val="00133366"/>
    <w:rsid w:val="00133F47"/>
    <w:rsid w:val="00134029"/>
    <w:rsid w:val="00142C2D"/>
    <w:rsid w:val="00144C96"/>
    <w:rsid w:val="0014573B"/>
    <w:rsid w:val="001463A3"/>
    <w:rsid w:val="0015073A"/>
    <w:rsid w:val="0015634C"/>
    <w:rsid w:val="001573E4"/>
    <w:rsid w:val="00160756"/>
    <w:rsid w:val="00161DC8"/>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0361"/>
    <w:rsid w:val="001926A4"/>
    <w:rsid w:val="00192AD5"/>
    <w:rsid w:val="00194597"/>
    <w:rsid w:val="00194E00"/>
    <w:rsid w:val="0019745E"/>
    <w:rsid w:val="00197B16"/>
    <w:rsid w:val="001A530D"/>
    <w:rsid w:val="001A5FB3"/>
    <w:rsid w:val="001A64AC"/>
    <w:rsid w:val="001A7155"/>
    <w:rsid w:val="001B45A0"/>
    <w:rsid w:val="001B680E"/>
    <w:rsid w:val="001D055E"/>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23051"/>
    <w:rsid w:val="00224DB9"/>
    <w:rsid w:val="0022569A"/>
    <w:rsid w:val="0023005C"/>
    <w:rsid w:val="00231012"/>
    <w:rsid w:val="00233775"/>
    <w:rsid w:val="0023414B"/>
    <w:rsid w:val="00243635"/>
    <w:rsid w:val="00247079"/>
    <w:rsid w:val="00251745"/>
    <w:rsid w:val="002552BA"/>
    <w:rsid w:val="00260016"/>
    <w:rsid w:val="00263AC0"/>
    <w:rsid w:val="00264264"/>
    <w:rsid w:val="0026689B"/>
    <w:rsid w:val="0026772D"/>
    <w:rsid w:val="002730B2"/>
    <w:rsid w:val="00274C7E"/>
    <w:rsid w:val="002777CF"/>
    <w:rsid w:val="002810F2"/>
    <w:rsid w:val="00286874"/>
    <w:rsid w:val="00290C63"/>
    <w:rsid w:val="00291A99"/>
    <w:rsid w:val="0029362A"/>
    <w:rsid w:val="00293B6D"/>
    <w:rsid w:val="00294B08"/>
    <w:rsid w:val="0029518C"/>
    <w:rsid w:val="002963DD"/>
    <w:rsid w:val="00296B65"/>
    <w:rsid w:val="002A7DEF"/>
    <w:rsid w:val="002B0696"/>
    <w:rsid w:val="002C0222"/>
    <w:rsid w:val="002C1499"/>
    <w:rsid w:val="002C233C"/>
    <w:rsid w:val="002C517B"/>
    <w:rsid w:val="002D3509"/>
    <w:rsid w:val="002D462D"/>
    <w:rsid w:val="002D5457"/>
    <w:rsid w:val="002D72E8"/>
    <w:rsid w:val="002D79AD"/>
    <w:rsid w:val="002E268F"/>
    <w:rsid w:val="002E3785"/>
    <w:rsid w:val="002E78DD"/>
    <w:rsid w:val="002E7B22"/>
    <w:rsid w:val="002F12EC"/>
    <w:rsid w:val="002F23DA"/>
    <w:rsid w:val="002F7986"/>
    <w:rsid w:val="00301B40"/>
    <w:rsid w:val="00301C82"/>
    <w:rsid w:val="003029EE"/>
    <w:rsid w:val="00304D38"/>
    <w:rsid w:val="00305CC8"/>
    <w:rsid w:val="00307F6D"/>
    <w:rsid w:val="00314D83"/>
    <w:rsid w:val="0031571F"/>
    <w:rsid w:val="003177A2"/>
    <w:rsid w:val="00317E02"/>
    <w:rsid w:val="00326D89"/>
    <w:rsid w:val="003271B5"/>
    <w:rsid w:val="00327A1E"/>
    <w:rsid w:val="00327E28"/>
    <w:rsid w:val="00331264"/>
    <w:rsid w:val="00334C8D"/>
    <w:rsid w:val="003378BD"/>
    <w:rsid w:val="003424EA"/>
    <w:rsid w:val="00342C2F"/>
    <w:rsid w:val="003436EB"/>
    <w:rsid w:val="00343A18"/>
    <w:rsid w:val="00345744"/>
    <w:rsid w:val="003518B3"/>
    <w:rsid w:val="00353E79"/>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CD"/>
    <w:rsid w:val="003A6B00"/>
    <w:rsid w:val="003B30B2"/>
    <w:rsid w:val="003B4357"/>
    <w:rsid w:val="003B484F"/>
    <w:rsid w:val="003B504B"/>
    <w:rsid w:val="003B5179"/>
    <w:rsid w:val="003B685C"/>
    <w:rsid w:val="003B7FBA"/>
    <w:rsid w:val="003C6537"/>
    <w:rsid w:val="003C6A13"/>
    <w:rsid w:val="003C764A"/>
    <w:rsid w:val="003C78BA"/>
    <w:rsid w:val="003D41F1"/>
    <w:rsid w:val="003D42AB"/>
    <w:rsid w:val="003D5B94"/>
    <w:rsid w:val="003E0D3A"/>
    <w:rsid w:val="003E3AAB"/>
    <w:rsid w:val="003E7FE9"/>
    <w:rsid w:val="003F0635"/>
    <w:rsid w:val="003F07D4"/>
    <w:rsid w:val="003F174D"/>
    <w:rsid w:val="003F2329"/>
    <w:rsid w:val="00400FD2"/>
    <w:rsid w:val="00403711"/>
    <w:rsid w:val="00404C52"/>
    <w:rsid w:val="004156D5"/>
    <w:rsid w:val="00415BA9"/>
    <w:rsid w:val="00415F31"/>
    <w:rsid w:val="0041691D"/>
    <w:rsid w:val="0042000C"/>
    <w:rsid w:val="0042090E"/>
    <w:rsid w:val="00421F27"/>
    <w:rsid w:val="004238D8"/>
    <w:rsid w:val="00423A77"/>
    <w:rsid w:val="004324F4"/>
    <w:rsid w:val="00434544"/>
    <w:rsid w:val="00445D43"/>
    <w:rsid w:val="00446CD2"/>
    <w:rsid w:val="0045777E"/>
    <w:rsid w:val="00465258"/>
    <w:rsid w:val="00471BC6"/>
    <w:rsid w:val="00476221"/>
    <w:rsid w:val="004766F5"/>
    <w:rsid w:val="00480B4B"/>
    <w:rsid w:val="004838D8"/>
    <w:rsid w:val="0048500A"/>
    <w:rsid w:val="00485DC4"/>
    <w:rsid w:val="00494D04"/>
    <w:rsid w:val="004A40BA"/>
    <w:rsid w:val="004A43D1"/>
    <w:rsid w:val="004A44BB"/>
    <w:rsid w:val="004A492B"/>
    <w:rsid w:val="004B39F3"/>
    <w:rsid w:val="004B4412"/>
    <w:rsid w:val="004C348C"/>
    <w:rsid w:val="004C462E"/>
    <w:rsid w:val="004C6CA3"/>
    <w:rsid w:val="004C7F5E"/>
    <w:rsid w:val="004D0CF8"/>
    <w:rsid w:val="004D343C"/>
    <w:rsid w:val="004D372A"/>
    <w:rsid w:val="004D55BA"/>
    <w:rsid w:val="004D720C"/>
    <w:rsid w:val="004E0FA7"/>
    <w:rsid w:val="004E22EC"/>
    <w:rsid w:val="004E5AED"/>
    <w:rsid w:val="004F0BFA"/>
    <w:rsid w:val="004F13DA"/>
    <w:rsid w:val="004F4D69"/>
    <w:rsid w:val="004F6883"/>
    <w:rsid w:val="004F6A0E"/>
    <w:rsid w:val="004F6BB3"/>
    <w:rsid w:val="005009CD"/>
    <w:rsid w:val="00504E5F"/>
    <w:rsid w:val="0051337E"/>
    <w:rsid w:val="00513FA7"/>
    <w:rsid w:val="0051768F"/>
    <w:rsid w:val="00522DC2"/>
    <w:rsid w:val="00524DA4"/>
    <w:rsid w:val="00530128"/>
    <w:rsid w:val="00532467"/>
    <w:rsid w:val="005332A9"/>
    <w:rsid w:val="0053603C"/>
    <w:rsid w:val="00537871"/>
    <w:rsid w:val="00542FE9"/>
    <w:rsid w:val="00544598"/>
    <w:rsid w:val="00544C8D"/>
    <w:rsid w:val="00544DFD"/>
    <w:rsid w:val="00556B1E"/>
    <w:rsid w:val="00564A4D"/>
    <w:rsid w:val="0056598C"/>
    <w:rsid w:val="00566E0B"/>
    <w:rsid w:val="00567BA5"/>
    <w:rsid w:val="00571B35"/>
    <w:rsid w:val="00571B43"/>
    <w:rsid w:val="00571D57"/>
    <w:rsid w:val="00573A3B"/>
    <w:rsid w:val="00577716"/>
    <w:rsid w:val="00577A09"/>
    <w:rsid w:val="005829C2"/>
    <w:rsid w:val="00584D8F"/>
    <w:rsid w:val="00587A18"/>
    <w:rsid w:val="00587ADE"/>
    <w:rsid w:val="005A0BEC"/>
    <w:rsid w:val="005A404D"/>
    <w:rsid w:val="005B1E3C"/>
    <w:rsid w:val="005B6518"/>
    <w:rsid w:val="005B704A"/>
    <w:rsid w:val="005B72D7"/>
    <w:rsid w:val="005C045F"/>
    <w:rsid w:val="005C16FE"/>
    <w:rsid w:val="005C1FAB"/>
    <w:rsid w:val="005C21A4"/>
    <w:rsid w:val="005C26CC"/>
    <w:rsid w:val="005C4463"/>
    <w:rsid w:val="005D1B90"/>
    <w:rsid w:val="005D3D88"/>
    <w:rsid w:val="005D48C4"/>
    <w:rsid w:val="005D6208"/>
    <w:rsid w:val="005D6366"/>
    <w:rsid w:val="005D7BA2"/>
    <w:rsid w:val="005E36C2"/>
    <w:rsid w:val="005E4AF4"/>
    <w:rsid w:val="005F387E"/>
    <w:rsid w:val="006007A9"/>
    <w:rsid w:val="00601E0B"/>
    <w:rsid w:val="0060258B"/>
    <w:rsid w:val="00610EF9"/>
    <w:rsid w:val="00612F4F"/>
    <w:rsid w:val="00614EA0"/>
    <w:rsid w:val="00615C6B"/>
    <w:rsid w:val="00617D4C"/>
    <w:rsid w:val="00621DCE"/>
    <w:rsid w:val="00621FC5"/>
    <w:rsid w:val="00624F2C"/>
    <w:rsid w:val="00632D6D"/>
    <w:rsid w:val="00636569"/>
    <w:rsid w:val="00636EF9"/>
    <w:rsid w:val="006405BC"/>
    <w:rsid w:val="00642C3E"/>
    <w:rsid w:val="00644A01"/>
    <w:rsid w:val="00651E2D"/>
    <w:rsid w:val="00652324"/>
    <w:rsid w:val="00652DEB"/>
    <w:rsid w:val="006577FB"/>
    <w:rsid w:val="0066104A"/>
    <w:rsid w:val="00663066"/>
    <w:rsid w:val="00663DAD"/>
    <w:rsid w:val="00664206"/>
    <w:rsid w:val="006649E7"/>
    <w:rsid w:val="006650E2"/>
    <w:rsid w:val="00666634"/>
    <w:rsid w:val="00671692"/>
    <w:rsid w:val="00675E20"/>
    <w:rsid w:val="00676679"/>
    <w:rsid w:val="00683C89"/>
    <w:rsid w:val="00691B53"/>
    <w:rsid w:val="00697D0B"/>
    <w:rsid w:val="006A12BA"/>
    <w:rsid w:val="006A2EA6"/>
    <w:rsid w:val="006A4739"/>
    <w:rsid w:val="006A66A1"/>
    <w:rsid w:val="006B032D"/>
    <w:rsid w:val="006B2395"/>
    <w:rsid w:val="006B40AC"/>
    <w:rsid w:val="006B4CF9"/>
    <w:rsid w:val="006B797C"/>
    <w:rsid w:val="006B7AC8"/>
    <w:rsid w:val="006C1736"/>
    <w:rsid w:val="006C21B8"/>
    <w:rsid w:val="006C329B"/>
    <w:rsid w:val="006C6303"/>
    <w:rsid w:val="006D550F"/>
    <w:rsid w:val="006D6146"/>
    <w:rsid w:val="006D7F7E"/>
    <w:rsid w:val="006E0CFF"/>
    <w:rsid w:val="006F0D92"/>
    <w:rsid w:val="006F267D"/>
    <w:rsid w:val="0070011E"/>
    <w:rsid w:val="00701CAB"/>
    <w:rsid w:val="007023BB"/>
    <w:rsid w:val="00704DD7"/>
    <w:rsid w:val="00707563"/>
    <w:rsid w:val="00715F61"/>
    <w:rsid w:val="00722132"/>
    <w:rsid w:val="007228F7"/>
    <w:rsid w:val="0072348C"/>
    <w:rsid w:val="00724A37"/>
    <w:rsid w:val="007303C3"/>
    <w:rsid w:val="00731188"/>
    <w:rsid w:val="007356CC"/>
    <w:rsid w:val="007368E6"/>
    <w:rsid w:val="007375DF"/>
    <w:rsid w:val="00740406"/>
    <w:rsid w:val="007429BE"/>
    <w:rsid w:val="00743223"/>
    <w:rsid w:val="00743349"/>
    <w:rsid w:val="0074403A"/>
    <w:rsid w:val="00746E01"/>
    <w:rsid w:val="00751DCD"/>
    <w:rsid w:val="00755084"/>
    <w:rsid w:val="00757364"/>
    <w:rsid w:val="00757BDF"/>
    <w:rsid w:val="007609D0"/>
    <w:rsid w:val="00761454"/>
    <w:rsid w:val="0076193D"/>
    <w:rsid w:val="00763E5D"/>
    <w:rsid w:val="00767740"/>
    <w:rsid w:val="00767B5E"/>
    <w:rsid w:val="00772782"/>
    <w:rsid w:val="00775460"/>
    <w:rsid w:val="00777EE6"/>
    <w:rsid w:val="00782EEA"/>
    <w:rsid w:val="007909B4"/>
    <w:rsid w:val="00790E86"/>
    <w:rsid w:val="007949D7"/>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E4904"/>
    <w:rsid w:val="007E4CB5"/>
    <w:rsid w:val="007E4DAE"/>
    <w:rsid w:val="007F066B"/>
    <w:rsid w:val="007F4EAB"/>
    <w:rsid w:val="007F5B16"/>
    <w:rsid w:val="007F7C9D"/>
    <w:rsid w:val="008033C4"/>
    <w:rsid w:val="00806731"/>
    <w:rsid w:val="00806C88"/>
    <w:rsid w:val="0081034E"/>
    <w:rsid w:val="00810806"/>
    <w:rsid w:val="00814B48"/>
    <w:rsid w:val="00815882"/>
    <w:rsid w:val="00820454"/>
    <w:rsid w:val="00822AC7"/>
    <w:rsid w:val="00822E86"/>
    <w:rsid w:val="0083060E"/>
    <w:rsid w:val="008333B9"/>
    <w:rsid w:val="008344F6"/>
    <w:rsid w:val="0083510F"/>
    <w:rsid w:val="00837BF3"/>
    <w:rsid w:val="008415DE"/>
    <w:rsid w:val="008420DE"/>
    <w:rsid w:val="00845865"/>
    <w:rsid w:val="0084799B"/>
    <w:rsid w:val="00850C90"/>
    <w:rsid w:val="00851209"/>
    <w:rsid w:val="0085171F"/>
    <w:rsid w:val="008658A1"/>
    <w:rsid w:val="0086716A"/>
    <w:rsid w:val="00870613"/>
    <w:rsid w:val="0087380F"/>
    <w:rsid w:val="0087648F"/>
    <w:rsid w:val="00876612"/>
    <w:rsid w:val="00882BB1"/>
    <w:rsid w:val="008837AC"/>
    <w:rsid w:val="008909DC"/>
    <w:rsid w:val="00894255"/>
    <w:rsid w:val="008945AD"/>
    <w:rsid w:val="008A0645"/>
    <w:rsid w:val="008A1C02"/>
    <w:rsid w:val="008A3217"/>
    <w:rsid w:val="008A370D"/>
    <w:rsid w:val="008A587D"/>
    <w:rsid w:val="008B16B0"/>
    <w:rsid w:val="008B1BD5"/>
    <w:rsid w:val="008B35CD"/>
    <w:rsid w:val="008B4093"/>
    <w:rsid w:val="008B5FCC"/>
    <w:rsid w:val="008B7F36"/>
    <w:rsid w:val="008C357F"/>
    <w:rsid w:val="008C5486"/>
    <w:rsid w:val="008C54AC"/>
    <w:rsid w:val="008D1661"/>
    <w:rsid w:val="008D27E0"/>
    <w:rsid w:val="008D5F90"/>
    <w:rsid w:val="008D6800"/>
    <w:rsid w:val="008D6D21"/>
    <w:rsid w:val="008D72F1"/>
    <w:rsid w:val="008E4089"/>
    <w:rsid w:val="008E5AFF"/>
    <w:rsid w:val="008E7031"/>
    <w:rsid w:val="008E77DE"/>
    <w:rsid w:val="008F040C"/>
    <w:rsid w:val="008F07A3"/>
    <w:rsid w:val="008F3322"/>
    <w:rsid w:val="008F3519"/>
    <w:rsid w:val="008F3A0D"/>
    <w:rsid w:val="009001B6"/>
    <w:rsid w:val="00900E1B"/>
    <w:rsid w:val="0090131F"/>
    <w:rsid w:val="00902C90"/>
    <w:rsid w:val="00907683"/>
    <w:rsid w:val="009132B7"/>
    <w:rsid w:val="00916A2C"/>
    <w:rsid w:val="009233EE"/>
    <w:rsid w:val="00926E01"/>
    <w:rsid w:val="00930B1A"/>
    <w:rsid w:val="00932612"/>
    <w:rsid w:val="009327DC"/>
    <w:rsid w:val="009338D9"/>
    <w:rsid w:val="009339BD"/>
    <w:rsid w:val="009356CF"/>
    <w:rsid w:val="00945E53"/>
    <w:rsid w:val="009460AA"/>
    <w:rsid w:val="00951978"/>
    <w:rsid w:val="00952C8B"/>
    <w:rsid w:val="00961A4A"/>
    <w:rsid w:val="009661DE"/>
    <w:rsid w:val="00972C7C"/>
    <w:rsid w:val="00973098"/>
    <w:rsid w:val="009776F4"/>
    <w:rsid w:val="00982DA2"/>
    <w:rsid w:val="00983C25"/>
    <w:rsid w:val="0098466D"/>
    <w:rsid w:val="009856B7"/>
    <w:rsid w:val="009859D6"/>
    <w:rsid w:val="00985C86"/>
    <w:rsid w:val="009A5FC3"/>
    <w:rsid w:val="009B6F84"/>
    <w:rsid w:val="009B74B0"/>
    <w:rsid w:val="009C0152"/>
    <w:rsid w:val="009C1A74"/>
    <w:rsid w:val="009C3D42"/>
    <w:rsid w:val="009C491E"/>
    <w:rsid w:val="009D0DF1"/>
    <w:rsid w:val="009D22D6"/>
    <w:rsid w:val="009D2C84"/>
    <w:rsid w:val="009D3906"/>
    <w:rsid w:val="009D6B46"/>
    <w:rsid w:val="009E35B6"/>
    <w:rsid w:val="009E5ABC"/>
    <w:rsid w:val="009F3BBA"/>
    <w:rsid w:val="009F43B4"/>
    <w:rsid w:val="009F4940"/>
    <w:rsid w:val="009F5BA1"/>
    <w:rsid w:val="00A02A88"/>
    <w:rsid w:val="00A04012"/>
    <w:rsid w:val="00A046FA"/>
    <w:rsid w:val="00A0562E"/>
    <w:rsid w:val="00A06830"/>
    <w:rsid w:val="00A0726D"/>
    <w:rsid w:val="00A073AE"/>
    <w:rsid w:val="00A12204"/>
    <w:rsid w:val="00A12750"/>
    <w:rsid w:val="00A13CB0"/>
    <w:rsid w:val="00A1561F"/>
    <w:rsid w:val="00A16544"/>
    <w:rsid w:val="00A30BF5"/>
    <w:rsid w:val="00A31BE6"/>
    <w:rsid w:val="00A32FBB"/>
    <w:rsid w:val="00A40068"/>
    <w:rsid w:val="00A40BE9"/>
    <w:rsid w:val="00A428EE"/>
    <w:rsid w:val="00A443C2"/>
    <w:rsid w:val="00A4478A"/>
    <w:rsid w:val="00A44852"/>
    <w:rsid w:val="00A50502"/>
    <w:rsid w:val="00A53409"/>
    <w:rsid w:val="00A53796"/>
    <w:rsid w:val="00A53848"/>
    <w:rsid w:val="00A56945"/>
    <w:rsid w:val="00A56A6E"/>
    <w:rsid w:val="00A57D04"/>
    <w:rsid w:val="00A60A26"/>
    <w:rsid w:val="00A61598"/>
    <w:rsid w:val="00A61777"/>
    <w:rsid w:val="00A63646"/>
    <w:rsid w:val="00A63914"/>
    <w:rsid w:val="00A84A99"/>
    <w:rsid w:val="00A84F46"/>
    <w:rsid w:val="00A85E87"/>
    <w:rsid w:val="00A86AEA"/>
    <w:rsid w:val="00A871F4"/>
    <w:rsid w:val="00A9431A"/>
    <w:rsid w:val="00A95988"/>
    <w:rsid w:val="00A959DF"/>
    <w:rsid w:val="00A97A1B"/>
    <w:rsid w:val="00AA2927"/>
    <w:rsid w:val="00AB2CB8"/>
    <w:rsid w:val="00AB4617"/>
    <w:rsid w:val="00AC12B2"/>
    <w:rsid w:val="00AC1B2C"/>
    <w:rsid w:val="00AC3264"/>
    <w:rsid w:val="00AC46AD"/>
    <w:rsid w:val="00AC4D2D"/>
    <w:rsid w:val="00AC58EC"/>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AF4718"/>
    <w:rsid w:val="00B00B0E"/>
    <w:rsid w:val="00B00B26"/>
    <w:rsid w:val="00B02385"/>
    <w:rsid w:val="00B02F9D"/>
    <w:rsid w:val="00B05766"/>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403C2"/>
    <w:rsid w:val="00B405A1"/>
    <w:rsid w:val="00B4438A"/>
    <w:rsid w:val="00B45AA2"/>
    <w:rsid w:val="00B479CA"/>
    <w:rsid w:val="00B5084F"/>
    <w:rsid w:val="00B514DD"/>
    <w:rsid w:val="00B52AF0"/>
    <w:rsid w:val="00B53D5F"/>
    <w:rsid w:val="00B54051"/>
    <w:rsid w:val="00B561BD"/>
    <w:rsid w:val="00B56E03"/>
    <w:rsid w:val="00B62765"/>
    <w:rsid w:val="00B65DF5"/>
    <w:rsid w:val="00B75ABF"/>
    <w:rsid w:val="00B7679F"/>
    <w:rsid w:val="00B77159"/>
    <w:rsid w:val="00B8080B"/>
    <w:rsid w:val="00B82223"/>
    <w:rsid w:val="00B87BA5"/>
    <w:rsid w:val="00B87C39"/>
    <w:rsid w:val="00B914DB"/>
    <w:rsid w:val="00B93891"/>
    <w:rsid w:val="00B9562D"/>
    <w:rsid w:val="00BA0132"/>
    <w:rsid w:val="00BA21DA"/>
    <w:rsid w:val="00BA2B60"/>
    <w:rsid w:val="00BA3C93"/>
    <w:rsid w:val="00BA4665"/>
    <w:rsid w:val="00BA7FD7"/>
    <w:rsid w:val="00BB1681"/>
    <w:rsid w:val="00BB2FB2"/>
    <w:rsid w:val="00BB3304"/>
    <w:rsid w:val="00BB6551"/>
    <w:rsid w:val="00BC4A10"/>
    <w:rsid w:val="00BD30F4"/>
    <w:rsid w:val="00BD3446"/>
    <w:rsid w:val="00BD59CF"/>
    <w:rsid w:val="00BE1312"/>
    <w:rsid w:val="00BE1F1B"/>
    <w:rsid w:val="00BE3F89"/>
    <w:rsid w:val="00BE47B5"/>
    <w:rsid w:val="00BE5FCE"/>
    <w:rsid w:val="00BF08DE"/>
    <w:rsid w:val="00C0079E"/>
    <w:rsid w:val="00C0572A"/>
    <w:rsid w:val="00C05B2F"/>
    <w:rsid w:val="00C13EBD"/>
    <w:rsid w:val="00C1631B"/>
    <w:rsid w:val="00C163AB"/>
    <w:rsid w:val="00C170F0"/>
    <w:rsid w:val="00C25962"/>
    <w:rsid w:val="00C25FA6"/>
    <w:rsid w:val="00C3099D"/>
    <w:rsid w:val="00C33011"/>
    <w:rsid w:val="00C362C1"/>
    <w:rsid w:val="00C41950"/>
    <w:rsid w:val="00C42C3B"/>
    <w:rsid w:val="00C51672"/>
    <w:rsid w:val="00C529DF"/>
    <w:rsid w:val="00C538A9"/>
    <w:rsid w:val="00C53B5A"/>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6178"/>
    <w:rsid w:val="00C84560"/>
    <w:rsid w:val="00C86679"/>
    <w:rsid w:val="00C8792F"/>
    <w:rsid w:val="00C90472"/>
    <w:rsid w:val="00C91D6E"/>
    <w:rsid w:val="00CA489E"/>
    <w:rsid w:val="00CB0279"/>
    <w:rsid w:val="00CB666B"/>
    <w:rsid w:val="00CB734B"/>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12A7B"/>
    <w:rsid w:val="00D12ADB"/>
    <w:rsid w:val="00D15065"/>
    <w:rsid w:val="00D15E63"/>
    <w:rsid w:val="00D175FB"/>
    <w:rsid w:val="00D25A39"/>
    <w:rsid w:val="00D27CFA"/>
    <w:rsid w:val="00D310FA"/>
    <w:rsid w:val="00D325C6"/>
    <w:rsid w:val="00D37213"/>
    <w:rsid w:val="00D4360D"/>
    <w:rsid w:val="00D5015C"/>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6E10"/>
    <w:rsid w:val="00D7786B"/>
    <w:rsid w:val="00D80893"/>
    <w:rsid w:val="00D82519"/>
    <w:rsid w:val="00D84854"/>
    <w:rsid w:val="00D924AE"/>
    <w:rsid w:val="00D92CF1"/>
    <w:rsid w:val="00D92D38"/>
    <w:rsid w:val="00D950F5"/>
    <w:rsid w:val="00D97379"/>
    <w:rsid w:val="00DA4752"/>
    <w:rsid w:val="00DA4C09"/>
    <w:rsid w:val="00DA61F3"/>
    <w:rsid w:val="00DA7CB3"/>
    <w:rsid w:val="00DB0D00"/>
    <w:rsid w:val="00DB0F93"/>
    <w:rsid w:val="00DB1A67"/>
    <w:rsid w:val="00DB3721"/>
    <w:rsid w:val="00DB3E80"/>
    <w:rsid w:val="00DB507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7AB5"/>
    <w:rsid w:val="00DF0152"/>
    <w:rsid w:val="00DF1958"/>
    <w:rsid w:val="00DF2261"/>
    <w:rsid w:val="00E04818"/>
    <w:rsid w:val="00E06442"/>
    <w:rsid w:val="00E06952"/>
    <w:rsid w:val="00E11E61"/>
    <w:rsid w:val="00E157B2"/>
    <w:rsid w:val="00E16055"/>
    <w:rsid w:val="00E2332D"/>
    <w:rsid w:val="00E23993"/>
    <w:rsid w:val="00E2574F"/>
    <w:rsid w:val="00E25951"/>
    <w:rsid w:val="00E25B8C"/>
    <w:rsid w:val="00E31CF6"/>
    <w:rsid w:val="00E34A4A"/>
    <w:rsid w:val="00E35AFC"/>
    <w:rsid w:val="00E41D39"/>
    <w:rsid w:val="00E50A02"/>
    <w:rsid w:val="00E54106"/>
    <w:rsid w:val="00E54697"/>
    <w:rsid w:val="00E56707"/>
    <w:rsid w:val="00E57A08"/>
    <w:rsid w:val="00E63631"/>
    <w:rsid w:val="00E64C2A"/>
    <w:rsid w:val="00E65C85"/>
    <w:rsid w:val="00E66199"/>
    <w:rsid w:val="00E70526"/>
    <w:rsid w:val="00E754B4"/>
    <w:rsid w:val="00E755EC"/>
    <w:rsid w:val="00E7624D"/>
    <w:rsid w:val="00E81724"/>
    <w:rsid w:val="00E819A4"/>
    <w:rsid w:val="00E833FA"/>
    <w:rsid w:val="00E84B74"/>
    <w:rsid w:val="00E87066"/>
    <w:rsid w:val="00E966BF"/>
    <w:rsid w:val="00EA0C04"/>
    <w:rsid w:val="00EA3D42"/>
    <w:rsid w:val="00EA6B1B"/>
    <w:rsid w:val="00EB1CBD"/>
    <w:rsid w:val="00EB3A34"/>
    <w:rsid w:val="00EB3C3F"/>
    <w:rsid w:val="00EC04F1"/>
    <w:rsid w:val="00EC237F"/>
    <w:rsid w:val="00EC573A"/>
    <w:rsid w:val="00EC5D49"/>
    <w:rsid w:val="00ED35C8"/>
    <w:rsid w:val="00ED3968"/>
    <w:rsid w:val="00ED7323"/>
    <w:rsid w:val="00EE28F3"/>
    <w:rsid w:val="00EE50D1"/>
    <w:rsid w:val="00EE7614"/>
    <w:rsid w:val="00EF42B0"/>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2A8C"/>
    <w:rsid w:val="00F322E9"/>
    <w:rsid w:val="00F3231B"/>
    <w:rsid w:val="00F33808"/>
    <w:rsid w:val="00F373A5"/>
    <w:rsid w:val="00F37864"/>
    <w:rsid w:val="00F404F9"/>
    <w:rsid w:val="00F44B0A"/>
    <w:rsid w:val="00F47559"/>
    <w:rsid w:val="00F50B30"/>
    <w:rsid w:val="00F51F5F"/>
    <w:rsid w:val="00F52D75"/>
    <w:rsid w:val="00F53FED"/>
    <w:rsid w:val="00F55582"/>
    <w:rsid w:val="00F57647"/>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846A2"/>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C34AA"/>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ofgem.gov.uk/gas/distribution-networks/network-innovation"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220372-273E-46FB-9404-0CED510E4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C16D499B</Template>
  <TotalTime>0</TotalTime>
  <Pages>8</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2016-01-31T23:02:00Z</dcterms:created>
  <dcterms:modified xsi:type="dcterms:W3CDTF">2017-07-02T23:46:00Z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