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F5216FA" wp14:editId="1B485B2D">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41DE8578" wp14:editId="10B3284F">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2564D3" w:rsidRDefault="002564D3" w:rsidP="00D5015C">
          <w:pPr>
            <w:pStyle w:val="ReportSubtitle"/>
          </w:pPr>
          <w:r w:rsidRPr="002564D3">
            <w:t>DRAFT DECISION</w:t>
          </w:r>
        </w:p>
        <w:p w:rsidR="00537263" w:rsidRDefault="00537263" w:rsidP="00D5015C">
          <w:pPr>
            <w:pStyle w:val="ReportSubtitle"/>
          </w:pPr>
          <w:r>
            <w:t>Multinet Gas</w:t>
          </w:r>
        </w:p>
        <w:p w:rsidR="00D5015C" w:rsidRDefault="00537263" w:rsidP="00D5015C">
          <w:pPr>
            <w:pStyle w:val="ReportSubtitle"/>
          </w:pPr>
          <w:r>
            <w:t>a</w:t>
          </w:r>
          <w:r w:rsidR="00D5015C">
            <w:t>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2510B7">
            <w:t>2</w:t>
          </w:r>
          <w:r w:rsidR="000474DF">
            <w:t xml:space="preserve"> </w:t>
          </w:r>
          <w:r w:rsidR="00185BA5">
            <w:t>–</w:t>
          </w:r>
          <w:r w:rsidR="000474DF">
            <w:t xml:space="preserve"> </w:t>
          </w:r>
          <w:r w:rsidR="002510B7">
            <w:t>Capital base</w:t>
          </w:r>
        </w:p>
        <w:p w:rsidR="00D5015C" w:rsidRDefault="00D5015C" w:rsidP="00327A1E">
          <w:pPr>
            <w:pStyle w:val="ReportDate"/>
          </w:pPr>
        </w:p>
        <w:p w:rsidR="00D5015C" w:rsidRDefault="00D5015C" w:rsidP="00327A1E">
          <w:pPr>
            <w:pStyle w:val="ReportDate"/>
          </w:pPr>
        </w:p>
        <w:p w:rsidR="000A6C7B" w:rsidRPr="00327A1E" w:rsidRDefault="0003592B" w:rsidP="00327A1E">
          <w:pPr>
            <w:pStyle w:val="ReportDate"/>
          </w:pPr>
          <w:r>
            <w:t>Ju</w:t>
          </w:r>
          <w:r w:rsidR="00574B35">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2510B7">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03592B" w:rsidRDefault="0003592B" w:rsidP="0003592B">
      <w:r>
        <w:t xml:space="preserve">Tel: </w:t>
      </w:r>
      <w:r>
        <w:tab/>
        <w:t>1300 585 165</w:t>
      </w:r>
    </w:p>
    <w:p w:rsidR="00CE2A23" w:rsidRDefault="0003592B" w:rsidP="0003592B">
      <w:r>
        <w:t xml:space="preserve">Email: </w:t>
      </w:r>
      <w:hyperlink r:id="rId11" w:history="1">
        <w:r w:rsidRPr="00D64888">
          <w:rPr>
            <w:rStyle w:val="Hyperlink"/>
          </w:rPr>
          <w:t>AERInquiry@aer.gov.au</w:t>
        </w:r>
      </w:hyperlink>
      <w:r>
        <w:rPr>
          <w:rStyle w:val="Hyperlink"/>
        </w:rPr>
        <w:br/>
      </w:r>
      <w:r w:rsidR="00CE2A23">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954825"/>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537263">
        <w:t>Multinet Gas</w:t>
      </w:r>
      <w:r w:rsidR="009836F3">
        <w:t xml:space="preserve"> for 2018–</w:t>
      </w:r>
      <w:r>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954826"/>
      <w:r>
        <w:lastRenderedPageBreak/>
        <w:t>Contents</w:t>
      </w:r>
      <w:bookmarkEnd w:id="8"/>
      <w:bookmarkEnd w:id="9"/>
    </w:p>
    <w:p w:rsidR="00CE2A23" w:rsidRDefault="00CE2A23" w:rsidP="00CE2A23"/>
    <w:sdt>
      <w:sdtPr>
        <w:id w:val="1269200322"/>
        <w:docPartObj>
          <w:docPartGallery w:val="Table of Contents"/>
          <w:docPartUnique/>
        </w:docPartObj>
      </w:sdtPr>
      <w:sdtEndPr/>
      <w:sdtContent>
        <w:p w:rsidR="00574B35" w:rsidRDefault="0009279D">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954825" w:history="1">
            <w:r w:rsidR="00574B35" w:rsidRPr="00497786">
              <w:rPr>
                <w:rStyle w:val="Hyperlink"/>
              </w:rPr>
              <w:t>Note</w:t>
            </w:r>
            <w:r w:rsidR="00574B35">
              <w:rPr>
                <w:webHidden/>
              </w:rPr>
              <w:tab/>
            </w:r>
            <w:r w:rsidR="00574B35">
              <w:rPr>
                <w:webHidden/>
              </w:rPr>
              <w:fldChar w:fldCharType="begin"/>
            </w:r>
            <w:r w:rsidR="00574B35">
              <w:rPr>
                <w:webHidden/>
              </w:rPr>
              <w:instrText xml:space="preserve"> PAGEREF _Toc486954825 \h </w:instrText>
            </w:r>
            <w:r w:rsidR="00574B35">
              <w:rPr>
                <w:webHidden/>
              </w:rPr>
            </w:r>
            <w:r w:rsidR="00574B35">
              <w:rPr>
                <w:webHidden/>
              </w:rPr>
              <w:fldChar w:fldCharType="separate"/>
            </w:r>
            <w:r w:rsidR="001E77EC">
              <w:rPr>
                <w:webHidden/>
              </w:rPr>
              <w:t>2-2</w:t>
            </w:r>
            <w:r w:rsidR="00574B35">
              <w:rPr>
                <w:webHidden/>
              </w:rPr>
              <w:fldChar w:fldCharType="end"/>
            </w:r>
          </w:hyperlink>
        </w:p>
        <w:p w:rsidR="00574B35" w:rsidRDefault="001E77EC">
          <w:pPr>
            <w:pStyle w:val="TOC1"/>
            <w:rPr>
              <w:rFonts w:asciiTheme="minorHAnsi" w:eastAsiaTheme="minorEastAsia" w:hAnsiTheme="minorHAnsi"/>
              <w:b w:val="0"/>
              <w:color w:val="auto"/>
              <w:sz w:val="22"/>
              <w:lang w:val="en-AU" w:eastAsia="en-AU"/>
            </w:rPr>
          </w:pPr>
          <w:hyperlink w:anchor="_Toc486954826" w:history="1">
            <w:r w:rsidR="00574B35" w:rsidRPr="00497786">
              <w:rPr>
                <w:rStyle w:val="Hyperlink"/>
              </w:rPr>
              <w:t>Contents</w:t>
            </w:r>
            <w:r w:rsidR="00574B35">
              <w:rPr>
                <w:webHidden/>
              </w:rPr>
              <w:tab/>
            </w:r>
            <w:r w:rsidR="00574B35">
              <w:rPr>
                <w:webHidden/>
              </w:rPr>
              <w:fldChar w:fldCharType="begin"/>
            </w:r>
            <w:r w:rsidR="00574B35">
              <w:rPr>
                <w:webHidden/>
              </w:rPr>
              <w:instrText xml:space="preserve"> PAGEREF _Toc486954826 \h </w:instrText>
            </w:r>
            <w:r w:rsidR="00574B35">
              <w:rPr>
                <w:webHidden/>
              </w:rPr>
            </w:r>
            <w:r w:rsidR="00574B35">
              <w:rPr>
                <w:webHidden/>
              </w:rPr>
              <w:fldChar w:fldCharType="separate"/>
            </w:r>
            <w:r>
              <w:rPr>
                <w:webHidden/>
              </w:rPr>
              <w:t>2-3</w:t>
            </w:r>
            <w:r w:rsidR="00574B35">
              <w:rPr>
                <w:webHidden/>
              </w:rPr>
              <w:fldChar w:fldCharType="end"/>
            </w:r>
          </w:hyperlink>
        </w:p>
        <w:p w:rsidR="00574B35" w:rsidRDefault="001E77EC">
          <w:pPr>
            <w:pStyle w:val="TOC1"/>
            <w:rPr>
              <w:rFonts w:asciiTheme="minorHAnsi" w:eastAsiaTheme="minorEastAsia" w:hAnsiTheme="minorHAnsi"/>
              <w:b w:val="0"/>
              <w:color w:val="auto"/>
              <w:sz w:val="22"/>
              <w:lang w:val="en-AU" w:eastAsia="en-AU"/>
            </w:rPr>
          </w:pPr>
          <w:hyperlink w:anchor="_Toc486954827" w:history="1">
            <w:r w:rsidR="00574B35" w:rsidRPr="00497786">
              <w:rPr>
                <w:rStyle w:val="Hyperlink"/>
              </w:rPr>
              <w:t>Shortened forms</w:t>
            </w:r>
            <w:r w:rsidR="00574B35">
              <w:rPr>
                <w:webHidden/>
              </w:rPr>
              <w:tab/>
            </w:r>
            <w:r w:rsidR="00574B35">
              <w:rPr>
                <w:webHidden/>
              </w:rPr>
              <w:fldChar w:fldCharType="begin"/>
            </w:r>
            <w:r w:rsidR="00574B35">
              <w:rPr>
                <w:webHidden/>
              </w:rPr>
              <w:instrText xml:space="preserve"> PAGEREF _Toc486954827 \h </w:instrText>
            </w:r>
            <w:r w:rsidR="00574B35">
              <w:rPr>
                <w:webHidden/>
              </w:rPr>
            </w:r>
            <w:r w:rsidR="00574B35">
              <w:rPr>
                <w:webHidden/>
              </w:rPr>
              <w:fldChar w:fldCharType="separate"/>
            </w:r>
            <w:r>
              <w:rPr>
                <w:webHidden/>
              </w:rPr>
              <w:t>2-4</w:t>
            </w:r>
            <w:r w:rsidR="00574B35">
              <w:rPr>
                <w:webHidden/>
              </w:rPr>
              <w:fldChar w:fldCharType="end"/>
            </w:r>
          </w:hyperlink>
        </w:p>
        <w:p w:rsidR="00574B35" w:rsidRDefault="001E77EC">
          <w:pPr>
            <w:pStyle w:val="TOC1"/>
            <w:rPr>
              <w:rFonts w:asciiTheme="minorHAnsi" w:eastAsiaTheme="minorEastAsia" w:hAnsiTheme="minorHAnsi"/>
              <w:b w:val="0"/>
              <w:color w:val="auto"/>
              <w:sz w:val="22"/>
              <w:lang w:val="en-AU" w:eastAsia="en-AU"/>
            </w:rPr>
          </w:pPr>
          <w:hyperlink w:anchor="_Toc486954828" w:history="1">
            <w:r w:rsidR="00574B35" w:rsidRPr="00497786">
              <w:rPr>
                <w:rStyle w:val="Hyperlink"/>
              </w:rPr>
              <w:t>2</w:t>
            </w:r>
            <w:r w:rsidR="00574B35">
              <w:rPr>
                <w:rFonts w:asciiTheme="minorHAnsi" w:eastAsiaTheme="minorEastAsia" w:hAnsiTheme="minorHAnsi"/>
                <w:b w:val="0"/>
                <w:color w:val="auto"/>
                <w:sz w:val="22"/>
                <w:lang w:val="en-AU" w:eastAsia="en-AU"/>
              </w:rPr>
              <w:tab/>
            </w:r>
            <w:r w:rsidR="00574B35" w:rsidRPr="00497786">
              <w:rPr>
                <w:rStyle w:val="Hyperlink"/>
              </w:rPr>
              <w:t>Capital base</w:t>
            </w:r>
            <w:r w:rsidR="00574B35">
              <w:rPr>
                <w:webHidden/>
              </w:rPr>
              <w:tab/>
            </w:r>
            <w:r w:rsidR="00574B35">
              <w:rPr>
                <w:webHidden/>
              </w:rPr>
              <w:fldChar w:fldCharType="begin"/>
            </w:r>
            <w:r w:rsidR="00574B35">
              <w:rPr>
                <w:webHidden/>
              </w:rPr>
              <w:instrText xml:space="preserve"> PAGEREF _Toc486954828 \h </w:instrText>
            </w:r>
            <w:r w:rsidR="00574B35">
              <w:rPr>
                <w:webHidden/>
              </w:rPr>
            </w:r>
            <w:r w:rsidR="00574B35">
              <w:rPr>
                <w:webHidden/>
              </w:rPr>
              <w:fldChar w:fldCharType="separate"/>
            </w:r>
            <w:r>
              <w:rPr>
                <w:webHidden/>
              </w:rPr>
              <w:t>2-5</w:t>
            </w:r>
            <w:r w:rsidR="00574B35">
              <w:rPr>
                <w:webHidden/>
              </w:rPr>
              <w:fldChar w:fldCharType="end"/>
            </w:r>
          </w:hyperlink>
        </w:p>
        <w:p w:rsidR="00574B35" w:rsidRDefault="001E77EC">
          <w:pPr>
            <w:pStyle w:val="TOC2"/>
            <w:rPr>
              <w:rFonts w:asciiTheme="minorHAnsi" w:eastAsiaTheme="minorEastAsia" w:hAnsiTheme="minorHAnsi"/>
              <w:b w:val="0"/>
              <w:color w:val="auto"/>
              <w:sz w:val="22"/>
              <w:lang w:eastAsia="en-AU"/>
            </w:rPr>
          </w:pPr>
          <w:hyperlink w:anchor="_Toc486954829" w:history="1">
            <w:r w:rsidR="00574B35" w:rsidRPr="00497786">
              <w:rPr>
                <w:rStyle w:val="Hyperlink"/>
              </w:rPr>
              <w:t>2.1</w:t>
            </w:r>
            <w:r w:rsidR="00574B35">
              <w:rPr>
                <w:rFonts w:asciiTheme="minorHAnsi" w:eastAsiaTheme="minorEastAsia" w:hAnsiTheme="minorHAnsi"/>
                <w:b w:val="0"/>
                <w:color w:val="auto"/>
                <w:sz w:val="22"/>
                <w:lang w:eastAsia="en-AU"/>
              </w:rPr>
              <w:tab/>
            </w:r>
            <w:r w:rsidR="00574B35" w:rsidRPr="00497786">
              <w:rPr>
                <w:rStyle w:val="Hyperlink"/>
              </w:rPr>
              <w:t>Draft decision</w:t>
            </w:r>
            <w:r w:rsidR="00574B35">
              <w:rPr>
                <w:webHidden/>
              </w:rPr>
              <w:tab/>
            </w:r>
            <w:r w:rsidR="00574B35">
              <w:rPr>
                <w:webHidden/>
              </w:rPr>
              <w:fldChar w:fldCharType="begin"/>
            </w:r>
            <w:r w:rsidR="00574B35">
              <w:rPr>
                <w:webHidden/>
              </w:rPr>
              <w:instrText xml:space="preserve"> PAGEREF _Toc486954829 \h </w:instrText>
            </w:r>
            <w:r w:rsidR="00574B35">
              <w:rPr>
                <w:webHidden/>
              </w:rPr>
            </w:r>
            <w:r w:rsidR="00574B35">
              <w:rPr>
                <w:webHidden/>
              </w:rPr>
              <w:fldChar w:fldCharType="separate"/>
            </w:r>
            <w:r>
              <w:rPr>
                <w:webHidden/>
              </w:rPr>
              <w:t>2-5</w:t>
            </w:r>
            <w:r w:rsidR="00574B35">
              <w:rPr>
                <w:webHidden/>
              </w:rPr>
              <w:fldChar w:fldCharType="end"/>
            </w:r>
          </w:hyperlink>
        </w:p>
        <w:p w:rsidR="00574B35" w:rsidRDefault="001E77EC">
          <w:pPr>
            <w:pStyle w:val="TOC2"/>
            <w:rPr>
              <w:rFonts w:asciiTheme="minorHAnsi" w:eastAsiaTheme="minorEastAsia" w:hAnsiTheme="minorHAnsi"/>
              <w:b w:val="0"/>
              <w:color w:val="auto"/>
              <w:sz w:val="22"/>
              <w:lang w:eastAsia="en-AU"/>
            </w:rPr>
          </w:pPr>
          <w:hyperlink w:anchor="_Toc486954830" w:history="1">
            <w:r w:rsidR="00574B35" w:rsidRPr="00497786">
              <w:rPr>
                <w:rStyle w:val="Hyperlink"/>
              </w:rPr>
              <w:t>2.2</w:t>
            </w:r>
            <w:r w:rsidR="00574B35">
              <w:rPr>
                <w:rFonts w:asciiTheme="minorHAnsi" w:eastAsiaTheme="minorEastAsia" w:hAnsiTheme="minorHAnsi"/>
                <w:b w:val="0"/>
                <w:color w:val="auto"/>
                <w:sz w:val="22"/>
                <w:lang w:eastAsia="en-AU"/>
              </w:rPr>
              <w:tab/>
            </w:r>
            <w:r w:rsidR="00574B35" w:rsidRPr="00497786">
              <w:rPr>
                <w:rStyle w:val="Hyperlink"/>
              </w:rPr>
              <w:t>Multinet’s proposal</w:t>
            </w:r>
            <w:r w:rsidR="00574B35">
              <w:rPr>
                <w:webHidden/>
              </w:rPr>
              <w:tab/>
            </w:r>
            <w:r w:rsidR="00574B35">
              <w:rPr>
                <w:webHidden/>
              </w:rPr>
              <w:fldChar w:fldCharType="begin"/>
            </w:r>
            <w:r w:rsidR="00574B35">
              <w:rPr>
                <w:webHidden/>
              </w:rPr>
              <w:instrText xml:space="preserve"> PAGEREF _Toc486954830 \h </w:instrText>
            </w:r>
            <w:r w:rsidR="00574B35">
              <w:rPr>
                <w:webHidden/>
              </w:rPr>
            </w:r>
            <w:r w:rsidR="00574B35">
              <w:rPr>
                <w:webHidden/>
              </w:rPr>
              <w:fldChar w:fldCharType="separate"/>
            </w:r>
            <w:r>
              <w:rPr>
                <w:webHidden/>
              </w:rPr>
              <w:t>2-7</w:t>
            </w:r>
            <w:r w:rsidR="00574B35">
              <w:rPr>
                <w:webHidden/>
              </w:rPr>
              <w:fldChar w:fldCharType="end"/>
            </w:r>
          </w:hyperlink>
        </w:p>
        <w:p w:rsidR="00574B35" w:rsidRDefault="001E77EC">
          <w:pPr>
            <w:pStyle w:val="TOC2"/>
            <w:rPr>
              <w:rFonts w:asciiTheme="minorHAnsi" w:eastAsiaTheme="minorEastAsia" w:hAnsiTheme="minorHAnsi"/>
              <w:b w:val="0"/>
              <w:color w:val="auto"/>
              <w:sz w:val="22"/>
              <w:lang w:eastAsia="en-AU"/>
            </w:rPr>
          </w:pPr>
          <w:hyperlink w:anchor="_Toc486954831" w:history="1">
            <w:r w:rsidR="00574B35" w:rsidRPr="00497786">
              <w:rPr>
                <w:rStyle w:val="Hyperlink"/>
              </w:rPr>
              <w:t>2.3</w:t>
            </w:r>
            <w:r w:rsidR="00574B35">
              <w:rPr>
                <w:rFonts w:asciiTheme="minorHAnsi" w:eastAsiaTheme="minorEastAsia" w:hAnsiTheme="minorHAnsi"/>
                <w:b w:val="0"/>
                <w:color w:val="auto"/>
                <w:sz w:val="22"/>
                <w:lang w:eastAsia="en-AU"/>
              </w:rPr>
              <w:tab/>
            </w:r>
            <w:r w:rsidR="00574B35" w:rsidRPr="00497786">
              <w:rPr>
                <w:rStyle w:val="Hyperlink"/>
              </w:rPr>
              <w:t>Assessment approach</w:t>
            </w:r>
            <w:r w:rsidR="00574B35">
              <w:rPr>
                <w:webHidden/>
              </w:rPr>
              <w:tab/>
            </w:r>
            <w:r w:rsidR="00574B35">
              <w:rPr>
                <w:webHidden/>
              </w:rPr>
              <w:fldChar w:fldCharType="begin"/>
            </w:r>
            <w:r w:rsidR="00574B35">
              <w:rPr>
                <w:webHidden/>
              </w:rPr>
              <w:instrText xml:space="preserve"> PAGEREF _Toc486954831 \h </w:instrText>
            </w:r>
            <w:r w:rsidR="00574B35">
              <w:rPr>
                <w:webHidden/>
              </w:rPr>
            </w:r>
            <w:r w:rsidR="00574B35">
              <w:rPr>
                <w:webHidden/>
              </w:rPr>
              <w:fldChar w:fldCharType="separate"/>
            </w:r>
            <w:r>
              <w:rPr>
                <w:webHidden/>
              </w:rPr>
              <w:t>2-8</w:t>
            </w:r>
            <w:r w:rsidR="00574B35">
              <w:rPr>
                <w:webHidden/>
              </w:rPr>
              <w:fldChar w:fldCharType="end"/>
            </w:r>
          </w:hyperlink>
        </w:p>
        <w:p w:rsidR="00574B35" w:rsidRDefault="001E77EC">
          <w:pPr>
            <w:pStyle w:val="TOC3"/>
            <w:rPr>
              <w:rFonts w:asciiTheme="minorHAnsi" w:eastAsiaTheme="minorEastAsia" w:hAnsiTheme="minorHAnsi"/>
              <w:lang w:eastAsia="en-AU"/>
            </w:rPr>
          </w:pPr>
          <w:hyperlink w:anchor="_Toc486954832" w:history="1">
            <w:r w:rsidR="00574B35" w:rsidRPr="00497786">
              <w:rPr>
                <w:rStyle w:val="Hyperlink"/>
              </w:rPr>
              <w:t>2.3.1</w:t>
            </w:r>
            <w:r w:rsidR="00574B35">
              <w:rPr>
                <w:rFonts w:asciiTheme="minorHAnsi" w:eastAsiaTheme="minorEastAsia" w:hAnsiTheme="minorHAnsi"/>
                <w:lang w:eastAsia="en-AU"/>
              </w:rPr>
              <w:tab/>
            </w:r>
            <w:r w:rsidR="00574B35" w:rsidRPr="00497786">
              <w:rPr>
                <w:rStyle w:val="Hyperlink"/>
              </w:rPr>
              <w:t>Interrelationships</w:t>
            </w:r>
            <w:r w:rsidR="00574B35">
              <w:rPr>
                <w:webHidden/>
              </w:rPr>
              <w:tab/>
            </w:r>
            <w:r w:rsidR="00574B35">
              <w:rPr>
                <w:webHidden/>
              </w:rPr>
              <w:fldChar w:fldCharType="begin"/>
            </w:r>
            <w:r w:rsidR="00574B35">
              <w:rPr>
                <w:webHidden/>
              </w:rPr>
              <w:instrText xml:space="preserve"> PAGEREF _Toc486954832 \h </w:instrText>
            </w:r>
            <w:r w:rsidR="00574B35">
              <w:rPr>
                <w:webHidden/>
              </w:rPr>
            </w:r>
            <w:r w:rsidR="00574B35">
              <w:rPr>
                <w:webHidden/>
              </w:rPr>
              <w:fldChar w:fldCharType="separate"/>
            </w:r>
            <w:r>
              <w:rPr>
                <w:webHidden/>
              </w:rPr>
              <w:t>2-9</w:t>
            </w:r>
            <w:r w:rsidR="00574B35">
              <w:rPr>
                <w:webHidden/>
              </w:rPr>
              <w:fldChar w:fldCharType="end"/>
            </w:r>
          </w:hyperlink>
        </w:p>
        <w:p w:rsidR="00574B35" w:rsidRDefault="001E77EC">
          <w:pPr>
            <w:pStyle w:val="TOC2"/>
            <w:rPr>
              <w:rFonts w:asciiTheme="minorHAnsi" w:eastAsiaTheme="minorEastAsia" w:hAnsiTheme="minorHAnsi"/>
              <w:b w:val="0"/>
              <w:color w:val="auto"/>
              <w:sz w:val="22"/>
              <w:lang w:eastAsia="en-AU"/>
            </w:rPr>
          </w:pPr>
          <w:hyperlink w:anchor="_Toc486954833" w:history="1">
            <w:r w:rsidR="00574B35" w:rsidRPr="00497786">
              <w:rPr>
                <w:rStyle w:val="Hyperlink"/>
              </w:rPr>
              <w:t>2.4</w:t>
            </w:r>
            <w:r w:rsidR="00574B35">
              <w:rPr>
                <w:rFonts w:asciiTheme="minorHAnsi" w:eastAsiaTheme="minorEastAsia" w:hAnsiTheme="minorHAnsi"/>
                <w:b w:val="0"/>
                <w:color w:val="auto"/>
                <w:sz w:val="22"/>
                <w:lang w:eastAsia="en-AU"/>
              </w:rPr>
              <w:tab/>
            </w:r>
            <w:r w:rsidR="00574B35" w:rsidRPr="00497786">
              <w:rPr>
                <w:rStyle w:val="Hyperlink"/>
              </w:rPr>
              <w:t>Reasons for draft decision</w:t>
            </w:r>
            <w:r w:rsidR="00574B35">
              <w:rPr>
                <w:webHidden/>
              </w:rPr>
              <w:tab/>
            </w:r>
            <w:r w:rsidR="00574B35">
              <w:rPr>
                <w:webHidden/>
              </w:rPr>
              <w:fldChar w:fldCharType="begin"/>
            </w:r>
            <w:r w:rsidR="00574B35">
              <w:rPr>
                <w:webHidden/>
              </w:rPr>
              <w:instrText xml:space="preserve"> PAGEREF _Toc486954833 \h </w:instrText>
            </w:r>
            <w:r w:rsidR="00574B35">
              <w:rPr>
                <w:webHidden/>
              </w:rPr>
            </w:r>
            <w:r w:rsidR="00574B35">
              <w:rPr>
                <w:webHidden/>
              </w:rPr>
              <w:fldChar w:fldCharType="separate"/>
            </w:r>
            <w:r>
              <w:rPr>
                <w:webHidden/>
              </w:rPr>
              <w:t>2-11</w:t>
            </w:r>
            <w:r w:rsidR="00574B35">
              <w:rPr>
                <w:webHidden/>
              </w:rPr>
              <w:fldChar w:fldCharType="end"/>
            </w:r>
          </w:hyperlink>
        </w:p>
        <w:p w:rsidR="00574B35" w:rsidRDefault="001E77EC">
          <w:pPr>
            <w:pStyle w:val="TOC3"/>
            <w:rPr>
              <w:rFonts w:asciiTheme="minorHAnsi" w:eastAsiaTheme="minorEastAsia" w:hAnsiTheme="minorHAnsi"/>
              <w:lang w:eastAsia="en-AU"/>
            </w:rPr>
          </w:pPr>
          <w:hyperlink w:anchor="_Toc486954834" w:history="1">
            <w:r w:rsidR="00574B35" w:rsidRPr="00497786">
              <w:rPr>
                <w:rStyle w:val="Hyperlink"/>
              </w:rPr>
              <w:t>2.4.1</w:t>
            </w:r>
            <w:r w:rsidR="00574B35">
              <w:rPr>
                <w:rFonts w:asciiTheme="minorHAnsi" w:eastAsiaTheme="minorEastAsia" w:hAnsiTheme="minorHAnsi"/>
                <w:lang w:eastAsia="en-AU"/>
              </w:rPr>
              <w:tab/>
            </w:r>
            <w:r w:rsidR="00574B35" w:rsidRPr="00497786">
              <w:rPr>
                <w:rStyle w:val="Hyperlink"/>
              </w:rPr>
              <w:t>Roll forward of capital base during the 2013–17 access arrangement period</w:t>
            </w:r>
            <w:r w:rsidR="00574B35">
              <w:rPr>
                <w:webHidden/>
              </w:rPr>
              <w:tab/>
            </w:r>
            <w:r w:rsidR="009D064D">
              <w:rPr>
                <w:webHidden/>
              </w:rPr>
              <w:tab/>
            </w:r>
            <w:r w:rsidR="00574B35">
              <w:rPr>
                <w:webHidden/>
              </w:rPr>
              <w:fldChar w:fldCharType="begin"/>
            </w:r>
            <w:r w:rsidR="00574B35">
              <w:rPr>
                <w:webHidden/>
              </w:rPr>
              <w:instrText xml:space="preserve"> PAGEREF _Toc486954834 \h </w:instrText>
            </w:r>
            <w:r w:rsidR="00574B35">
              <w:rPr>
                <w:webHidden/>
              </w:rPr>
            </w:r>
            <w:r w:rsidR="00574B35">
              <w:rPr>
                <w:webHidden/>
              </w:rPr>
              <w:fldChar w:fldCharType="separate"/>
            </w:r>
            <w:r>
              <w:rPr>
                <w:webHidden/>
              </w:rPr>
              <w:t>2-12</w:t>
            </w:r>
            <w:r w:rsidR="00574B35">
              <w:rPr>
                <w:webHidden/>
              </w:rPr>
              <w:fldChar w:fldCharType="end"/>
            </w:r>
          </w:hyperlink>
        </w:p>
        <w:p w:rsidR="00574B35" w:rsidRDefault="001E77EC">
          <w:pPr>
            <w:pStyle w:val="TOC3"/>
            <w:rPr>
              <w:rFonts w:asciiTheme="minorHAnsi" w:eastAsiaTheme="minorEastAsia" w:hAnsiTheme="minorHAnsi"/>
              <w:lang w:eastAsia="en-AU"/>
            </w:rPr>
          </w:pPr>
          <w:hyperlink w:anchor="_Toc486954835" w:history="1">
            <w:r w:rsidR="00574B35" w:rsidRPr="00497786">
              <w:rPr>
                <w:rStyle w:val="Hyperlink"/>
              </w:rPr>
              <w:t>2.4.2</w:t>
            </w:r>
            <w:r w:rsidR="00574B35">
              <w:rPr>
                <w:rFonts w:asciiTheme="minorHAnsi" w:eastAsiaTheme="minorEastAsia" w:hAnsiTheme="minorHAnsi"/>
                <w:lang w:eastAsia="en-AU"/>
              </w:rPr>
              <w:tab/>
            </w:r>
            <w:r w:rsidR="00574B35" w:rsidRPr="00497786">
              <w:rPr>
                <w:rStyle w:val="Hyperlink"/>
              </w:rPr>
              <w:t>Projected capital base during the 2018–22 access arrangement period</w:t>
            </w:r>
            <w:r w:rsidR="00574B35">
              <w:rPr>
                <w:webHidden/>
              </w:rPr>
              <w:tab/>
            </w:r>
            <w:r w:rsidR="009D064D">
              <w:rPr>
                <w:webHidden/>
              </w:rPr>
              <w:tab/>
            </w:r>
            <w:bookmarkStart w:id="10" w:name="_GoBack"/>
            <w:bookmarkEnd w:id="10"/>
            <w:r w:rsidR="00574B35">
              <w:rPr>
                <w:webHidden/>
              </w:rPr>
              <w:fldChar w:fldCharType="begin"/>
            </w:r>
            <w:r w:rsidR="00574B35">
              <w:rPr>
                <w:webHidden/>
              </w:rPr>
              <w:instrText xml:space="preserve"> PAGEREF _Toc486954835 \h </w:instrText>
            </w:r>
            <w:r w:rsidR="00574B35">
              <w:rPr>
                <w:webHidden/>
              </w:rPr>
            </w:r>
            <w:r w:rsidR="00574B35">
              <w:rPr>
                <w:webHidden/>
              </w:rPr>
              <w:fldChar w:fldCharType="separate"/>
            </w:r>
            <w:r>
              <w:rPr>
                <w:webHidden/>
              </w:rPr>
              <w:t>2-14</w:t>
            </w:r>
            <w:r w:rsidR="00574B35">
              <w:rPr>
                <w:webHidden/>
              </w:rPr>
              <w:fldChar w:fldCharType="end"/>
            </w:r>
          </w:hyperlink>
        </w:p>
        <w:p w:rsidR="00574B35" w:rsidRDefault="001E77EC">
          <w:pPr>
            <w:pStyle w:val="TOC3"/>
            <w:rPr>
              <w:rFonts w:asciiTheme="minorHAnsi" w:eastAsiaTheme="minorEastAsia" w:hAnsiTheme="minorHAnsi"/>
              <w:lang w:eastAsia="en-AU"/>
            </w:rPr>
          </w:pPr>
          <w:hyperlink w:anchor="_Toc486954836" w:history="1">
            <w:r w:rsidR="00574B35" w:rsidRPr="00497786">
              <w:rPr>
                <w:rStyle w:val="Hyperlink"/>
              </w:rPr>
              <w:t>2.4.3</w:t>
            </w:r>
            <w:r w:rsidR="00574B35">
              <w:rPr>
                <w:rFonts w:asciiTheme="minorHAnsi" w:eastAsiaTheme="minorEastAsia" w:hAnsiTheme="minorHAnsi"/>
                <w:lang w:eastAsia="en-AU"/>
              </w:rPr>
              <w:tab/>
            </w:r>
            <w:r w:rsidR="00574B35" w:rsidRPr="00497786">
              <w:rPr>
                <w:rStyle w:val="Hyperlink"/>
              </w:rPr>
              <w:t>Capital base at the commencement of the 2023–27 access arrangement period</w:t>
            </w:r>
            <w:r w:rsidR="00574B35">
              <w:rPr>
                <w:webHidden/>
              </w:rPr>
              <w:tab/>
            </w:r>
            <w:r w:rsidR="00574B35">
              <w:rPr>
                <w:webHidden/>
              </w:rPr>
              <w:fldChar w:fldCharType="begin"/>
            </w:r>
            <w:r w:rsidR="00574B35">
              <w:rPr>
                <w:webHidden/>
              </w:rPr>
              <w:instrText xml:space="preserve"> PAGEREF _Toc486954836 \h </w:instrText>
            </w:r>
            <w:r w:rsidR="00574B35">
              <w:rPr>
                <w:webHidden/>
              </w:rPr>
            </w:r>
            <w:r w:rsidR="00574B35">
              <w:rPr>
                <w:webHidden/>
              </w:rPr>
              <w:fldChar w:fldCharType="separate"/>
            </w:r>
            <w:r>
              <w:rPr>
                <w:webHidden/>
              </w:rPr>
              <w:t>2-16</w:t>
            </w:r>
            <w:r w:rsidR="00574B35">
              <w:rPr>
                <w:webHidden/>
              </w:rPr>
              <w:fldChar w:fldCharType="end"/>
            </w:r>
          </w:hyperlink>
        </w:p>
        <w:p w:rsidR="00574B35" w:rsidRDefault="001E77EC">
          <w:pPr>
            <w:pStyle w:val="TOC2"/>
            <w:rPr>
              <w:rFonts w:asciiTheme="minorHAnsi" w:eastAsiaTheme="minorEastAsia" w:hAnsiTheme="minorHAnsi"/>
              <w:b w:val="0"/>
              <w:color w:val="auto"/>
              <w:sz w:val="22"/>
              <w:lang w:eastAsia="en-AU"/>
            </w:rPr>
          </w:pPr>
          <w:hyperlink w:anchor="_Toc486954837" w:history="1">
            <w:r w:rsidR="00574B35" w:rsidRPr="00497786">
              <w:rPr>
                <w:rStyle w:val="Hyperlink"/>
              </w:rPr>
              <w:t>2.5</w:t>
            </w:r>
            <w:r w:rsidR="00574B35">
              <w:rPr>
                <w:rFonts w:asciiTheme="minorHAnsi" w:eastAsiaTheme="minorEastAsia" w:hAnsiTheme="minorHAnsi"/>
                <w:b w:val="0"/>
                <w:color w:val="auto"/>
                <w:sz w:val="22"/>
                <w:lang w:eastAsia="en-AU"/>
              </w:rPr>
              <w:tab/>
            </w:r>
            <w:r w:rsidR="00574B35" w:rsidRPr="00497786">
              <w:rPr>
                <w:rStyle w:val="Hyperlink"/>
              </w:rPr>
              <w:t>Revisions</w:t>
            </w:r>
            <w:r w:rsidR="00574B35">
              <w:rPr>
                <w:webHidden/>
              </w:rPr>
              <w:tab/>
            </w:r>
            <w:r w:rsidR="00574B35">
              <w:rPr>
                <w:webHidden/>
              </w:rPr>
              <w:fldChar w:fldCharType="begin"/>
            </w:r>
            <w:r w:rsidR="00574B35">
              <w:rPr>
                <w:webHidden/>
              </w:rPr>
              <w:instrText xml:space="preserve"> PAGEREF _Toc486954837 \h </w:instrText>
            </w:r>
            <w:r w:rsidR="00574B35">
              <w:rPr>
                <w:webHidden/>
              </w:rPr>
            </w:r>
            <w:r w:rsidR="00574B35">
              <w:rPr>
                <w:webHidden/>
              </w:rPr>
              <w:fldChar w:fldCharType="separate"/>
            </w:r>
            <w:r>
              <w:rPr>
                <w:webHidden/>
              </w:rPr>
              <w:t>2-17</w:t>
            </w:r>
            <w:r w:rsidR="00574B35">
              <w:rPr>
                <w:webHidden/>
              </w:rPr>
              <w:fldChar w:fldCharType="end"/>
            </w:r>
          </w:hyperlink>
        </w:p>
        <w:p w:rsidR="00CE2A23" w:rsidRDefault="0009279D" w:rsidP="0009279D">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954827"/>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7036B1" w:rsidTr="007036B1">
        <w:trPr>
          <w:cnfStyle w:val="100000000000" w:firstRow="1" w:lastRow="0" w:firstColumn="0" w:lastColumn="0" w:oddVBand="0" w:evenVBand="0" w:oddHBand="0" w:evenHBand="0" w:firstRowFirstColumn="0" w:firstRowLastColumn="0" w:lastRowFirstColumn="0" w:lastRowLastColumn="0"/>
        </w:trPr>
        <w:tc>
          <w:tcPr>
            <w:tcW w:w="4340" w:type="dxa"/>
          </w:tcPr>
          <w:p w:rsidR="007036B1" w:rsidRDefault="007036B1" w:rsidP="007036B1">
            <w:pPr>
              <w:numPr>
                <w:ilvl w:val="0"/>
                <w:numId w:val="24"/>
              </w:numPr>
            </w:pPr>
            <w:r>
              <w:t>Shortened form</w:t>
            </w:r>
          </w:p>
        </w:tc>
        <w:tc>
          <w:tcPr>
            <w:tcW w:w="4353" w:type="dxa"/>
          </w:tcPr>
          <w:p w:rsidR="007036B1" w:rsidRDefault="007036B1" w:rsidP="007036B1">
            <w:pPr>
              <w:numPr>
                <w:ilvl w:val="0"/>
                <w:numId w:val="24"/>
              </w:numPr>
            </w:pPr>
            <w:r>
              <w:t>Extended form</w:t>
            </w:r>
          </w:p>
        </w:tc>
      </w:tr>
      <w:tr w:rsidR="007036B1" w:rsidTr="007036B1">
        <w:tc>
          <w:tcPr>
            <w:tcW w:w="4340" w:type="dxa"/>
          </w:tcPr>
          <w:p w:rsidR="007036B1" w:rsidRDefault="007036B1" w:rsidP="007036B1">
            <w:pPr>
              <w:numPr>
                <w:ilvl w:val="0"/>
                <w:numId w:val="24"/>
              </w:numPr>
            </w:pPr>
            <w:r>
              <w:t>AER</w:t>
            </w:r>
          </w:p>
        </w:tc>
        <w:tc>
          <w:tcPr>
            <w:tcW w:w="4353" w:type="dxa"/>
          </w:tcPr>
          <w:p w:rsidR="007036B1" w:rsidRDefault="007036B1" w:rsidP="007036B1">
            <w:pPr>
              <w:numPr>
                <w:ilvl w:val="0"/>
                <w:numId w:val="24"/>
              </w:numPr>
            </w:pPr>
            <w:r>
              <w:t>Australian Energy Regulator</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ATO</w:t>
            </w:r>
          </w:p>
        </w:tc>
        <w:tc>
          <w:tcPr>
            <w:tcW w:w="4353" w:type="dxa"/>
          </w:tcPr>
          <w:p w:rsidR="007036B1" w:rsidRPr="00650EFA" w:rsidRDefault="007036B1" w:rsidP="007036B1">
            <w:r>
              <w:t>Australian Tax Office</w:t>
            </w:r>
          </w:p>
        </w:tc>
      </w:tr>
      <w:tr w:rsidR="007036B1" w:rsidTr="007036B1">
        <w:tc>
          <w:tcPr>
            <w:tcW w:w="4340" w:type="dxa"/>
          </w:tcPr>
          <w:p w:rsidR="007036B1" w:rsidRDefault="007036B1" w:rsidP="007036B1">
            <w:pPr>
              <w:numPr>
                <w:ilvl w:val="0"/>
                <w:numId w:val="24"/>
              </w:numPr>
            </w:pPr>
            <w:r>
              <w:t>capex</w:t>
            </w:r>
          </w:p>
        </w:tc>
        <w:tc>
          <w:tcPr>
            <w:tcW w:w="4353" w:type="dxa"/>
          </w:tcPr>
          <w:p w:rsidR="007036B1" w:rsidRDefault="007036B1" w:rsidP="007036B1">
            <w:pPr>
              <w:numPr>
                <w:ilvl w:val="0"/>
                <w:numId w:val="24"/>
              </w:numPr>
            </w:pPr>
            <w:r>
              <w:t>capital expenditure</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CAPM</w:t>
            </w:r>
          </w:p>
        </w:tc>
        <w:tc>
          <w:tcPr>
            <w:tcW w:w="4353" w:type="dxa"/>
          </w:tcPr>
          <w:p w:rsidR="007036B1" w:rsidRDefault="007036B1" w:rsidP="007036B1">
            <w:pPr>
              <w:numPr>
                <w:ilvl w:val="0"/>
                <w:numId w:val="24"/>
              </w:numPr>
            </w:pPr>
            <w:r>
              <w:t>capital asset pricing model</w:t>
            </w:r>
          </w:p>
        </w:tc>
      </w:tr>
      <w:tr w:rsidR="007036B1" w:rsidTr="007036B1">
        <w:tc>
          <w:tcPr>
            <w:tcW w:w="4340" w:type="dxa"/>
          </w:tcPr>
          <w:p w:rsidR="007036B1" w:rsidRDefault="007036B1" w:rsidP="007036B1">
            <w:pPr>
              <w:numPr>
                <w:ilvl w:val="0"/>
                <w:numId w:val="24"/>
              </w:numPr>
            </w:pPr>
            <w:r>
              <w:t>CESS</w:t>
            </w:r>
          </w:p>
        </w:tc>
        <w:tc>
          <w:tcPr>
            <w:tcW w:w="4353" w:type="dxa"/>
          </w:tcPr>
          <w:p w:rsidR="007036B1" w:rsidRDefault="007036B1" w:rsidP="007036B1">
            <w:pPr>
              <w:numPr>
                <w:ilvl w:val="0"/>
                <w:numId w:val="24"/>
              </w:numPr>
            </w:pPr>
            <w:r>
              <w:t>Capital Expenditure Sharing Scheme</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CPI</w:t>
            </w:r>
          </w:p>
        </w:tc>
        <w:tc>
          <w:tcPr>
            <w:tcW w:w="4353" w:type="dxa"/>
          </w:tcPr>
          <w:p w:rsidR="007036B1" w:rsidRDefault="007036B1" w:rsidP="007036B1">
            <w:pPr>
              <w:numPr>
                <w:ilvl w:val="0"/>
                <w:numId w:val="24"/>
              </w:numPr>
            </w:pPr>
            <w:r>
              <w:t>consumer price index</w:t>
            </w:r>
          </w:p>
        </w:tc>
      </w:tr>
      <w:tr w:rsidR="007036B1" w:rsidTr="007036B1">
        <w:tc>
          <w:tcPr>
            <w:tcW w:w="4340" w:type="dxa"/>
          </w:tcPr>
          <w:p w:rsidR="007036B1" w:rsidRDefault="007036B1" w:rsidP="007036B1">
            <w:pPr>
              <w:numPr>
                <w:ilvl w:val="0"/>
                <w:numId w:val="24"/>
              </w:numPr>
            </w:pPr>
            <w:r>
              <w:t>DRP</w:t>
            </w:r>
          </w:p>
        </w:tc>
        <w:tc>
          <w:tcPr>
            <w:tcW w:w="4353" w:type="dxa"/>
          </w:tcPr>
          <w:p w:rsidR="007036B1" w:rsidRDefault="007036B1" w:rsidP="007036B1">
            <w:pPr>
              <w:numPr>
                <w:ilvl w:val="0"/>
                <w:numId w:val="24"/>
              </w:numPr>
            </w:pPr>
            <w:r>
              <w:t>debt risk premium</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ECM</w:t>
            </w:r>
          </w:p>
        </w:tc>
        <w:tc>
          <w:tcPr>
            <w:tcW w:w="4353" w:type="dxa"/>
          </w:tcPr>
          <w:p w:rsidR="007036B1" w:rsidRPr="00650EFA" w:rsidRDefault="007036B1" w:rsidP="007036B1">
            <w:r>
              <w:t>(Opex) Efficiency Carryover Mechanism</w:t>
            </w:r>
          </w:p>
        </w:tc>
      </w:tr>
      <w:tr w:rsidR="007036B1" w:rsidTr="007036B1">
        <w:tc>
          <w:tcPr>
            <w:tcW w:w="4340" w:type="dxa"/>
          </w:tcPr>
          <w:p w:rsidR="007036B1" w:rsidRDefault="007036B1" w:rsidP="007036B1">
            <w:pPr>
              <w:numPr>
                <w:ilvl w:val="0"/>
                <w:numId w:val="24"/>
              </w:numPr>
            </w:pPr>
            <w:r>
              <w:t>ERP</w:t>
            </w:r>
          </w:p>
        </w:tc>
        <w:tc>
          <w:tcPr>
            <w:tcW w:w="4353" w:type="dxa"/>
          </w:tcPr>
          <w:p w:rsidR="007036B1" w:rsidRDefault="007036B1" w:rsidP="007036B1">
            <w:pPr>
              <w:numPr>
                <w:ilvl w:val="0"/>
                <w:numId w:val="24"/>
              </w:numPr>
            </w:pPr>
            <w:r>
              <w:t>equity risk premium</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Expenditure Guideline</w:t>
            </w:r>
          </w:p>
        </w:tc>
        <w:tc>
          <w:tcPr>
            <w:tcW w:w="4353" w:type="dxa"/>
          </w:tcPr>
          <w:p w:rsidR="007036B1" w:rsidRPr="00650EFA" w:rsidRDefault="007036B1" w:rsidP="007036B1">
            <w:r>
              <w:t>Expenditure Forecast Assessment Guideline</w:t>
            </w:r>
          </w:p>
        </w:tc>
      </w:tr>
      <w:tr w:rsidR="007036B1" w:rsidTr="007036B1">
        <w:tc>
          <w:tcPr>
            <w:tcW w:w="4340" w:type="dxa"/>
          </w:tcPr>
          <w:p w:rsidR="007036B1" w:rsidRDefault="007036B1" w:rsidP="007036B1">
            <w:pPr>
              <w:numPr>
                <w:ilvl w:val="0"/>
                <w:numId w:val="24"/>
              </w:numPr>
            </w:pPr>
            <w:r>
              <w:t>gamma</w:t>
            </w:r>
          </w:p>
        </w:tc>
        <w:tc>
          <w:tcPr>
            <w:tcW w:w="4353" w:type="dxa"/>
          </w:tcPr>
          <w:p w:rsidR="007036B1" w:rsidRPr="00650EFA" w:rsidRDefault="007036B1" w:rsidP="007036B1">
            <w:r>
              <w:t>Value of Imputation Credits</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MRP</w:t>
            </w:r>
          </w:p>
        </w:tc>
        <w:tc>
          <w:tcPr>
            <w:tcW w:w="4353" w:type="dxa"/>
          </w:tcPr>
          <w:p w:rsidR="007036B1" w:rsidRDefault="007036B1" w:rsidP="007036B1">
            <w:pPr>
              <w:numPr>
                <w:ilvl w:val="0"/>
                <w:numId w:val="24"/>
              </w:numPr>
            </w:pPr>
            <w:r>
              <w:t>market risk premium</w:t>
            </w:r>
          </w:p>
        </w:tc>
      </w:tr>
      <w:tr w:rsidR="007036B1" w:rsidTr="007036B1">
        <w:tc>
          <w:tcPr>
            <w:tcW w:w="4340" w:type="dxa"/>
          </w:tcPr>
          <w:p w:rsidR="007036B1" w:rsidRDefault="007036B1" w:rsidP="007036B1">
            <w:pPr>
              <w:numPr>
                <w:ilvl w:val="0"/>
                <w:numId w:val="24"/>
              </w:numPr>
            </w:pPr>
            <w:r>
              <w:t>NGL</w:t>
            </w:r>
          </w:p>
        </w:tc>
        <w:tc>
          <w:tcPr>
            <w:tcW w:w="4353" w:type="dxa"/>
          </w:tcPr>
          <w:p w:rsidR="007036B1" w:rsidRDefault="007036B1" w:rsidP="007036B1">
            <w:pPr>
              <w:numPr>
                <w:ilvl w:val="0"/>
                <w:numId w:val="24"/>
              </w:numPr>
            </w:pPr>
            <w:r>
              <w:t>National Gas Law</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NGO</w:t>
            </w:r>
          </w:p>
        </w:tc>
        <w:tc>
          <w:tcPr>
            <w:tcW w:w="4353" w:type="dxa"/>
          </w:tcPr>
          <w:p w:rsidR="007036B1" w:rsidRDefault="007036B1" w:rsidP="007036B1">
            <w:pPr>
              <w:numPr>
                <w:ilvl w:val="0"/>
                <w:numId w:val="24"/>
              </w:numPr>
            </w:pPr>
            <w:r>
              <w:t>national gas objective</w:t>
            </w:r>
          </w:p>
        </w:tc>
      </w:tr>
      <w:tr w:rsidR="007036B1" w:rsidTr="007036B1">
        <w:tc>
          <w:tcPr>
            <w:tcW w:w="4340" w:type="dxa"/>
          </w:tcPr>
          <w:p w:rsidR="007036B1" w:rsidRDefault="007036B1" w:rsidP="007036B1">
            <w:pPr>
              <w:numPr>
                <w:ilvl w:val="0"/>
                <w:numId w:val="24"/>
              </w:numPr>
            </w:pPr>
            <w:r>
              <w:t>NGR</w:t>
            </w:r>
          </w:p>
        </w:tc>
        <w:tc>
          <w:tcPr>
            <w:tcW w:w="4353" w:type="dxa"/>
          </w:tcPr>
          <w:p w:rsidR="007036B1" w:rsidRDefault="007036B1" w:rsidP="007036B1">
            <w:pPr>
              <w:numPr>
                <w:ilvl w:val="0"/>
                <w:numId w:val="24"/>
              </w:numPr>
            </w:pPr>
            <w:r>
              <w:t>National Gas Rules</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NPV</w:t>
            </w:r>
          </w:p>
        </w:tc>
        <w:tc>
          <w:tcPr>
            <w:tcW w:w="4353" w:type="dxa"/>
          </w:tcPr>
          <w:p w:rsidR="007036B1" w:rsidRPr="00650EFA" w:rsidRDefault="007036B1" w:rsidP="007036B1">
            <w:r>
              <w:t>net present value</w:t>
            </w:r>
          </w:p>
        </w:tc>
      </w:tr>
      <w:tr w:rsidR="007036B1" w:rsidTr="007036B1">
        <w:tc>
          <w:tcPr>
            <w:tcW w:w="4340" w:type="dxa"/>
          </w:tcPr>
          <w:p w:rsidR="007036B1" w:rsidRDefault="007036B1" w:rsidP="007036B1">
            <w:pPr>
              <w:numPr>
                <w:ilvl w:val="0"/>
                <w:numId w:val="24"/>
              </w:numPr>
            </w:pPr>
            <w:r>
              <w:t>opex</w:t>
            </w:r>
          </w:p>
        </w:tc>
        <w:tc>
          <w:tcPr>
            <w:tcW w:w="4353" w:type="dxa"/>
          </w:tcPr>
          <w:p w:rsidR="007036B1" w:rsidRDefault="007036B1" w:rsidP="007036B1">
            <w:pPr>
              <w:numPr>
                <w:ilvl w:val="0"/>
                <w:numId w:val="24"/>
              </w:numPr>
            </w:pPr>
            <w:r>
              <w:t>operating expenditure</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PTRM</w:t>
            </w:r>
          </w:p>
        </w:tc>
        <w:tc>
          <w:tcPr>
            <w:tcW w:w="4353" w:type="dxa"/>
          </w:tcPr>
          <w:p w:rsidR="007036B1" w:rsidRDefault="007036B1" w:rsidP="007036B1">
            <w:pPr>
              <w:numPr>
                <w:ilvl w:val="0"/>
                <w:numId w:val="24"/>
              </w:numPr>
            </w:pPr>
            <w:r>
              <w:t>post-tax revenue model</w:t>
            </w:r>
          </w:p>
        </w:tc>
      </w:tr>
      <w:tr w:rsidR="007036B1" w:rsidTr="007036B1">
        <w:tc>
          <w:tcPr>
            <w:tcW w:w="4340" w:type="dxa"/>
          </w:tcPr>
          <w:p w:rsidR="007036B1" w:rsidRDefault="007036B1" w:rsidP="007036B1">
            <w:pPr>
              <w:numPr>
                <w:ilvl w:val="0"/>
                <w:numId w:val="24"/>
              </w:numPr>
            </w:pPr>
            <w:r>
              <w:t>RBA</w:t>
            </w:r>
          </w:p>
        </w:tc>
        <w:tc>
          <w:tcPr>
            <w:tcW w:w="4353" w:type="dxa"/>
          </w:tcPr>
          <w:p w:rsidR="007036B1" w:rsidRDefault="007036B1" w:rsidP="007036B1">
            <w:pPr>
              <w:numPr>
                <w:ilvl w:val="0"/>
                <w:numId w:val="24"/>
              </w:numPr>
            </w:pPr>
            <w:r>
              <w:t>Reserve Bank of Australia</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RFM</w:t>
            </w:r>
          </w:p>
        </w:tc>
        <w:tc>
          <w:tcPr>
            <w:tcW w:w="4353" w:type="dxa"/>
          </w:tcPr>
          <w:p w:rsidR="007036B1" w:rsidRDefault="007036B1" w:rsidP="007036B1">
            <w:pPr>
              <w:numPr>
                <w:ilvl w:val="0"/>
                <w:numId w:val="24"/>
              </w:numPr>
            </w:pPr>
            <w:r>
              <w:t>roll forward model</w:t>
            </w:r>
          </w:p>
        </w:tc>
      </w:tr>
      <w:tr w:rsidR="007036B1" w:rsidTr="007036B1">
        <w:tc>
          <w:tcPr>
            <w:tcW w:w="4340" w:type="dxa"/>
          </w:tcPr>
          <w:p w:rsidR="007036B1" w:rsidRDefault="007036B1" w:rsidP="007036B1">
            <w:pPr>
              <w:numPr>
                <w:ilvl w:val="0"/>
                <w:numId w:val="24"/>
              </w:numPr>
            </w:pPr>
            <w:r>
              <w:t>RIN</w:t>
            </w:r>
          </w:p>
        </w:tc>
        <w:tc>
          <w:tcPr>
            <w:tcW w:w="4353" w:type="dxa"/>
          </w:tcPr>
          <w:p w:rsidR="007036B1" w:rsidRDefault="007036B1" w:rsidP="007036B1">
            <w:pPr>
              <w:numPr>
                <w:ilvl w:val="0"/>
                <w:numId w:val="24"/>
              </w:numPr>
            </w:pPr>
            <w:r>
              <w:t>regulatory information notice</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RPP</w:t>
            </w:r>
          </w:p>
        </w:tc>
        <w:tc>
          <w:tcPr>
            <w:tcW w:w="4353" w:type="dxa"/>
          </w:tcPr>
          <w:p w:rsidR="007036B1" w:rsidRDefault="007036B1" w:rsidP="007036B1">
            <w:pPr>
              <w:numPr>
                <w:ilvl w:val="0"/>
                <w:numId w:val="24"/>
              </w:numPr>
            </w:pPr>
            <w:r>
              <w:t>revenue and pricing principles</w:t>
            </w:r>
          </w:p>
        </w:tc>
      </w:tr>
      <w:tr w:rsidR="007036B1" w:rsidTr="007036B1">
        <w:tc>
          <w:tcPr>
            <w:tcW w:w="4340" w:type="dxa"/>
          </w:tcPr>
          <w:p w:rsidR="007036B1" w:rsidRDefault="007036B1" w:rsidP="007036B1">
            <w:pPr>
              <w:numPr>
                <w:ilvl w:val="0"/>
                <w:numId w:val="24"/>
              </w:numPr>
            </w:pPr>
            <w:r>
              <w:t>SLCAPM</w:t>
            </w:r>
          </w:p>
        </w:tc>
        <w:tc>
          <w:tcPr>
            <w:tcW w:w="4353" w:type="dxa"/>
          </w:tcPr>
          <w:p w:rsidR="007036B1" w:rsidRDefault="007036B1" w:rsidP="007036B1">
            <w:pPr>
              <w:numPr>
                <w:ilvl w:val="0"/>
                <w:numId w:val="24"/>
              </w:numPr>
            </w:pPr>
            <w:r>
              <w:t>Sharpe-Lintner capital asset pricing model</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STTM</w:t>
            </w:r>
          </w:p>
        </w:tc>
        <w:tc>
          <w:tcPr>
            <w:tcW w:w="4353" w:type="dxa"/>
          </w:tcPr>
          <w:p w:rsidR="007036B1" w:rsidRPr="00650EFA" w:rsidRDefault="007036B1" w:rsidP="007036B1">
            <w:r>
              <w:t>Short Term Trading Market</w:t>
            </w:r>
          </w:p>
        </w:tc>
      </w:tr>
      <w:tr w:rsidR="007036B1" w:rsidTr="007036B1">
        <w:tc>
          <w:tcPr>
            <w:tcW w:w="4340" w:type="dxa"/>
          </w:tcPr>
          <w:p w:rsidR="007036B1" w:rsidRDefault="007036B1" w:rsidP="007036B1">
            <w:pPr>
              <w:numPr>
                <w:ilvl w:val="0"/>
                <w:numId w:val="24"/>
              </w:numPr>
            </w:pPr>
            <w:r>
              <w:t>TAB</w:t>
            </w:r>
          </w:p>
        </w:tc>
        <w:tc>
          <w:tcPr>
            <w:tcW w:w="4353" w:type="dxa"/>
          </w:tcPr>
          <w:p w:rsidR="007036B1" w:rsidRPr="00650EFA" w:rsidRDefault="007036B1" w:rsidP="007036B1">
            <w:r>
              <w:t>Tax asset base</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UAFG</w:t>
            </w:r>
          </w:p>
        </w:tc>
        <w:tc>
          <w:tcPr>
            <w:tcW w:w="4353" w:type="dxa"/>
          </w:tcPr>
          <w:p w:rsidR="007036B1" w:rsidRPr="00650EFA" w:rsidRDefault="007036B1" w:rsidP="007036B1">
            <w:r>
              <w:t>Unaccounted for gas</w:t>
            </w:r>
          </w:p>
        </w:tc>
      </w:tr>
      <w:tr w:rsidR="007036B1" w:rsidTr="007036B1">
        <w:tc>
          <w:tcPr>
            <w:tcW w:w="4340" w:type="dxa"/>
          </w:tcPr>
          <w:p w:rsidR="007036B1" w:rsidRDefault="007036B1" w:rsidP="007036B1">
            <w:pPr>
              <w:numPr>
                <w:ilvl w:val="0"/>
                <w:numId w:val="24"/>
              </w:numPr>
            </w:pPr>
            <w:r>
              <w:t>WACC</w:t>
            </w:r>
          </w:p>
        </w:tc>
        <w:tc>
          <w:tcPr>
            <w:tcW w:w="4353" w:type="dxa"/>
          </w:tcPr>
          <w:p w:rsidR="007036B1" w:rsidRDefault="007036B1" w:rsidP="007036B1">
            <w:pPr>
              <w:numPr>
                <w:ilvl w:val="0"/>
                <w:numId w:val="24"/>
              </w:numPr>
            </w:pPr>
            <w:r>
              <w:t>weighted average cost of capital</w:t>
            </w:r>
          </w:p>
        </w:tc>
      </w:tr>
      <w:tr w:rsidR="007036B1" w:rsidTr="007036B1">
        <w:trPr>
          <w:cnfStyle w:val="000000010000" w:firstRow="0" w:lastRow="0" w:firstColumn="0" w:lastColumn="0" w:oddVBand="0" w:evenVBand="0" w:oddHBand="0" w:evenHBand="1" w:firstRowFirstColumn="0" w:firstRowLastColumn="0" w:lastRowFirstColumn="0" w:lastRowLastColumn="0"/>
        </w:trPr>
        <w:tc>
          <w:tcPr>
            <w:tcW w:w="4340" w:type="dxa"/>
          </w:tcPr>
          <w:p w:rsidR="007036B1" w:rsidRDefault="007036B1" w:rsidP="007036B1">
            <w:pPr>
              <w:numPr>
                <w:ilvl w:val="0"/>
                <w:numId w:val="24"/>
              </w:numPr>
            </w:pPr>
            <w:r>
              <w:t>WPI</w:t>
            </w:r>
          </w:p>
        </w:tc>
        <w:tc>
          <w:tcPr>
            <w:tcW w:w="4353" w:type="dxa"/>
          </w:tcPr>
          <w:p w:rsidR="007036B1" w:rsidRPr="00650EFA" w:rsidRDefault="007036B1" w:rsidP="007036B1">
            <w:r>
              <w:t>Wage Price Index</w:t>
            </w:r>
          </w:p>
        </w:tc>
      </w:tr>
    </w:tbl>
    <w:p w:rsidR="00DE563D" w:rsidRDefault="002510B7" w:rsidP="002510B7">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6954828"/>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Capital base</w:t>
      </w:r>
      <w:bookmarkEnd w:id="71"/>
    </w:p>
    <w:p w:rsidR="0009510A" w:rsidRPr="004348FE" w:rsidRDefault="0009510A" w:rsidP="0009510A">
      <w:r w:rsidRPr="004348FE">
        <w:t xml:space="preserve">The capital base roll forward accounts for the value of </w:t>
      </w:r>
      <w:r>
        <w:t xml:space="preserve">Multinet's </w:t>
      </w:r>
      <w:r w:rsidRPr="004348FE">
        <w:t>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Pr>
          <w:rStyle w:val="FootnoteReference"/>
        </w:rPr>
        <w:footnoteReference w:id="1"/>
      </w:r>
      <w:r w:rsidRPr="004348FE">
        <w:t xml:space="preserve"> Following this process, </w:t>
      </w:r>
      <w:r>
        <w:t>we</w:t>
      </w:r>
      <w:r w:rsidRPr="004348FE">
        <w:t xml:space="preserve"> arrive at a closing value of the capital base at the end of the relevant year. The opening value of the capital base is used to determine the return of capital (regulatory depreciation) and return on capital building block allowances.</w:t>
      </w:r>
    </w:p>
    <w:p w:rsidR="00132D43" w:rsidRPr="00132D43" w:rsidRDefault="00D148B3" w:rsidP="0009510A">
      <w:r>
        <w:t>This attachment sets out our draft</w:t>
      </w:r>
      <w:r w:rsidR="0009510A" w:rsidRPr="004348FE">
        <w:t xml:space="preserve"> decision on </w:t>
      </w:r>
      <w:r w:rsidR="0009510A">
        <w:t>Multinet's</w:t>
      </w:r>
      <w:r w:rsidR="0009510A" w:rsidRPr="004348FE">
        <w:t xml:space="preserve"> opening capital base as at 1 </w:t>
      </w:r>
      <w:r w:rsidR="0009510A">
        <w:t>January</w:t>
      </w:r>
      <w:r w:rsidR="0009510A" w:rsidRPr="004348FE">
        <w:t xml:space="preserve"> 201</w:t>
      </w:r>
      <w:r w:rsidR="0009510A">
        <w:t>8</w:t>
      </w:r>
      <w:r w:rsidR="0009510A" w:rsidRPr="004348FE">
        <w:t xml:space="preserve"> for the 201</w:t>
      </w:r>
      <w:r w:rsidR="0009510A">
        <w:t>8</w:t>
      </w:r>
      <w:r w:rsidR="0009510A" w:rsidRPr="004348FE">
        <w:t>–2</w:t>
      </w:r>
      <w:r w:rsidR="0009510A">
        <w:t>2</w:t>
      </w:r>
      <w:r w:rsidR="0009510A" w:rsidRPr="004348FE">
        <w:t xml:space="preserve"> access arrangement </w:t>
      </w:r>
      <w:proofErr w:type="gramStart"/>
      <w:r w:rsidR="0009510A" w:rsidRPr="004348FE">
        <w:t>period</w:t>
      </w:r>
      <w:proofErr w:type="gramEnd"/>
      <w:r w:rsidR="0009510A" w:rsidRPr="004348FE">
        <w:t xml:space="preserve">. </w:t>
      </w:r>
      <w:r>
        <w:t>It also sets out our draft</w:t>
      </w:r>
      <w:r w:rsidR="0009510A" w:rsidRPr="004348FE">
        <w:t xml:space="preserve"> decision on </w:t>
      </w:r>
      <w:r w:rsidR="0009510A">
        <w:t>Multinet</w:t>
      </w:r>
      <w:r w:rsidR="0009510A" w:rsidRPr="004348FE">
        <w:t>'s projected capital base for the 201</w:t>
      </w:r>
      <w:r w:rsidR="0009510A">
        <w:t>8</w:t>
      </w:r>
      <w:r w:rsidR="0009510A" w:rsidRPr="004348FE">
        <w:t>–2</w:t>
      </w:r>
      <w:r w:rsidR="0009510A">
        <w:t>2</w:t>
      </w:r>
      <w:r w:rsidR="0009510A" w:rsidRPr="004348FE">
        <w:t xml:space="preserve"> access arrangement </w:t>
      </w:r>
      <w:proofErr w:type="gramStart"/>
      <w:r w:rsidR="0009510A" w:rsidRPr="004348FE">
        <w:t>period</w:t>
      </w:r>
      <w:proofErr w:type="gramEnd"/>
      <w:r w:rsidR="0009510A" w:rsidRPr="004348FE">
        <w:t xml:space="preserve">. </w:t>
      </w:r>
    </w:p>
    <w:p w:rsidR="00132D43" w:rsidRDefault="00132D43" w:rsidP="00132D43">
      <w:pPr>
        <w:pStyle w:val="Heading2"/>
      </w:pPr>
      <w:bookmarkStart w:id="72" w:name="_Toc486954829"/>
      <w:r>
        <w:t>Draft decision</w:t>
      </w:r>
      <w:bookmarkEnd w:id="72"/>
    </w:p>
    <w:p w:rsidR="0009510A" w:rsidRPr="004720AB" w:rsidRDefault="0009510A" w:rsidP="0009510A">
      <w:r w:rsidRPr="004720AB">
        <w:t xml:space="preserve">We do not approve </w:t>
      </w:r>
      <w:r>
        <w:t>Multinet</w:t>
      </w:r>
      <w:r w:rsidRPr="004720AB">
        <w:t>’s proposed opening capital base of $</w:t>
      </w:r>
      <w:r>
        <w:t>1190.8 </w:t>
      </w:r>
      <w:r w:rsidRPr="004720AB">
        <w:t>million ($</w:t>
      </w:r>
      <w:r>
        <w:t> </w:t>
      </w:r>
      <w:r w:rsidRPr="004720AB">
        <w:t xml:space="preserve">nominal) as at 1 </w:t>
      </w:r>
      <w:r>
        <w:t>January</w:t>
      </w:r>
      <w:r w:rsidRPr="004720AB">
        <w:t xml:space="preserve"> 201</w:t>
      </w:r>
      <w:r>
        <w:t>8</w:t>
      </w:r>
      <w:r w:rsidRPr="004720AB">
        <w:t xml:space="preserve">. This is because we made several amendments to </w:t>
      </w:r>
      <w:r>
        <w:t>Multinet</w:t>
      </w:r>
      <w:r w:rsidRPr="004720AB">
        <w:t>’s proposed roll forward model (RFM) to correct some inputs and modelling errors.</w:t>
      </w:r>
    </w:p>
    <w:p w:rsidR="00132D43" w:rsidRDefault="0009510A" w:rsidP="0009510A">
      <w:r w:rsidRPr="004720AB">
        <w:t>We determine an opening capital base of $</w:t>
      </w:r>
      <w:r w:rsidR="0025714A">
        <w:t>1</w:t>
      </w:r>
      <w:r w:rsidR="00651FB2">
        <w:t>1</w:t>
      </w:r>
      <w:r w:rsidR="0025714A">
        <w:t>92.4</w:t>
      </w:r>
      <w:r>
        <w:t> </w:t>
      </w:r>
      <w:r w:rsidRPr="004720AB">
        <w:t>million ($</w:t>
      </w:r>
      <w:r>
        <w:t> </w:t>
      </w:r>
      <w:r w:rsidRPr="004720AB">
        <w:t xml:space="preserve">nominal) as at 1 </w:t>
      </w:r>
      <w:r>
        <w:t>January</w:t>
      </w:r>
      <w:r w:rsidRPr="004720AB">
        <w:t xml:space="preserve"> 201</w:t>
      </w:r>
      <w:r>
        <w:t>8</w:t>
      </w:r>
      <w:r w:rsidRPr="004720AB">
        <w:t>, which is $</w:t>
      </w:r>
      <w:r w:rsidR="0025714A">
        <w:t>1.6</w:t>
      </w:r>
      <w:r w:rsidRPr="004720AB">
        <w:t xml:space="preserve"> million (or </w:t>
      </w:r>
      <w:r w:rsidR="0025714A">
        <w:t>0.1</w:t>
      </w:r>
      <w:r w:rsidRPr="004720AB">
        <w:t xml:space="preserve"> per cent) </w:t>
      </w:r>
      <w:r w:rsidR="0025714A">
        <w:t>higher</w:t>
      </w:r>
      <w:r w:rsidRPr="004720AB">
        <w:t xml:space="preserve"> than that proposed by </w:t>
      </w:r>
      <w:r>
        <w:t>Multinet</w:t>
      </w:r>
      <w:r w:rsidRPr="004720AB">
        <w:t>.</w:t>
      </w:r>
    </w:p>
    <w:p w:rsidR="0009510A" w:rsidRDefault="0009510A" w:rsidP="0009510A">
      <w:r>
        <w:fldChar w:fldCharType="begin"/>
      </w:r>
      <w:r>
        <w:instrText xml:space="preserve"> REF _Ref476210709 \h </w:instrText>
      </w:r>
      <w:r>
        <w:fldChar w:fldCharType="separate"/>
      </w:r>
      <w:r w:rsidR="001E77EC">
        <w:t xml:space="preserve">Table </w:t>
      </w:r>
      <w:r w:rsidR="001E77EC">
        <w:rPr>
          <w:noProof/>
        </w:rPr>
        <w:t>2</w:t>
      </w:r>
      <w:r w:rsidR="001E77EC">
        <w:t>.</w:t>
      </w:r>
      <w:r w:rsidR="001E77EC">
        <w:rPr>
          <w:noProof/>
        </w:rPr>
        <w:t>1</w:t>
      </w:r>
      <w:r>
        <w:fldChar w:fldCharType="end"/>
      </w:r>
      <w:r>
        <w:t xml:space="preserve"> </w:t>
      </w:r>
      <w:r w:rsidRPr="004720AB">
        <w:t xml:space="preserve">summarises our draft decision on the roll forward of </w:t>
      </w:r>
      <w:r>
        <w:t>Multinet</w:t>
      </w:r>
      <w:r w:rsidRPr="004720AB">
        <w:t>'s capital base during the 201</w:t>
      </w:r>
      <w:r>
        <w:t>3</w:t>
      </w:r>
      <w:r w:rsidRPr="004720AB">
        <w:t>–1</w:t>
      </w:r>
      <w:r>
        <w:t>7</w:t>
      </w:r>
      <w:r w:rsidRPr="004720AB">
        <w:t xml:space="preserve"> access arrangement period.</w:t>
      </w:r>
    </w:p>
    <w:p w:rsidR="0009510A" w:rsidRDefault="0009510A" w:rsidP="0003592B">
      <w:pPr>
        <w:pStyle w:val="Caption"/>
      </w:pPr>
      <w:bookmarkStart w:id="73" w:name="_Ref476210709"/>
      <w:proofErr w:type="gramStart"/>
      <w:r>
        <w:t xml:space="preserve">Table </w:t>
      </w:r>
      <w:proofErr w:type="gramEnd"/>
      <w:r w:rsidR="00574B35">
        <w:fldChar w:fldCharType="begin"/>
      </w:r>
      <w:r w:rsidR="00574B35">
        <w:instrText xml:space="preserve"> STYLEREF 1 \s </w:instrText>
      </w:r>
      <w:r w:rsidR="00574B35">
        <w:fldChar w:fldCharType="separate"/>
      </w:r>
      <w:r w:rsidR="001E77EC">
        <w:rPr>
          <w:noProof/>
        </w:rPr>
        <w:t>2</w:t>
      </w:r>
      <w:r w:rsidR="00574B35">
        <w:rPr>
          <w:noProof/>
        </w:rPr>
        <w:fldChar w:fldCharType="end"/>
      </w:r>
      <w:proofErr w:type="gramStart"/>
      <w:r>
        <w:t>.</w:t>
      </w:r>
      <w:proofErr w:type="gramEnd"/>
      <w:r w:rsidR="00796D48">
        <w:fldChar w:fldCharType="begin"/>
      </w:r>
      <w:r w:rsidR="00796D48">
        <w:instrText xml:space="preserve"> SEQ Table \* ARABIC \s 1 </w:instrText>
      </w:r>
      <w:r w:rsidR="00796D48">
        <w:fldChar w:fldCharType="separate"/>
      </w:r>
      <w:r w:rsidR="001E77EC">
        <w:rPr>
          <w:noProof/>
        </w:rPr>
        <w:t>1</w:t>
      </w:r>
      <w:r w:rsidR="00796D48">
        <w:rPr>
          <w:noProof/>
        </w:rPr>
        <w:fldChar w:fldCharType="end"/>
      </w:r>
      <w:bookmarkEnd w:id="73"/>
      <w:r>
        <w:tab/>
      </w:r>
      <w:r w:rsidRPr="0009510A">
        <w:t xml:space="preserve">AER’s draft decision on </w:t>
      </w:r>
      <w:r>
        <w:t>Multinet</w:t>
      </w:r>
      <w:r w:rsidRPr="0009510A">
        <w:t>’s capital base roll forward for the 201</w:t>
      </w:r>
      <w:r>
        <w:t>3</w:t>
      </w:r>
      <w:r w:rsidRPr="0009510A">
        <w:t>–1</w:t>
      </w:r>
      <w:r>
        <w:t>7</w:t>
      </w:r>
      <w:r w:rsidRPr="0009510A">
        <w:t xml:space="preserve"> access arrangement period ($million, nominal)</w:t>
      </w:r>
    </w:p>
    <w:tbl>
      <w:tblPr>
        <w:tblStyle w:val="AERtable-numbers"/>
        <w:tblW w:w="5000" w:type="pct"/>
        <w:tblLook w:val="04A0" w:firstRow="1" w:lastRow="0" w:firstColumn="1" w:lastColumn="0" w:noHBand="0" w:noVBand="1"/>
      </w:tblPr>
      <w:tblGrid>
        <w:gridCol w:w="3427"/>
        <w:gridCol w:w="1053"/>
        <w:gridCol w:w="1053"/>
        <w:gridCol w:w="1054"/>
        <w:gridCol w:w="1054"/>
        <w:gridCol w:w="1052"/>
      </w:tblGrid>
      <w:tr w:rsidR="0009510A" w:rsidRPr="004720AB" w:rsidTr="0089157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09510A" w:rsidRPr="0009510A" w:rsidRDefault="0009510A" w:rsidP="0003592B">
            <w:pPr>
              <w:keepNext/>
            </w:pPr>
            <w:r w:rsidRPr="004720AB">
              <w:t> </w:t>
            </w:r>
          </w:p>
        </w:tc>
        <w:tc>
          <w:tcPr>
            <w:tcW w:w="606" w:type="pct"/>
            <w:noWrap/>
            <w:hideMark/>
          </w:tcPr>
          <w:p w:rsidR="0009510A" w:rsidRPr="0009510A" w:rsidRDefault="0009510A" w:rsidP="0003592B">
            <w:pPr>
              <w:keepNext/>
              <w:cnfStyle w:val="100000000000" w:firstRow="1" w:lastRow="0" w:firstColumn="0" w:lastColumn="0" w:oddVBand="0" w:evenVBand="0" w:oddHBand="0" w:evenHBand="0" w:firstRowFirstColumn="0" w:firstRowLastColumn="0" w:lastRowFirstColumn="0" w:lastRowLastColumn="0"/>
            </w:pPr>
            <w:r w:rsidRPr="004720AB">
              <w:t>2013</w:t>
            </w:r>
          </w:p>
        </w:tc>
        <w:tc>
          <w:tcPr>
            <w:tcW w:w="606" w:type="pct"/>
            <w:noWrap/>
            <w:hideMark/>
          </w:tcPr>
          <w:p w:rsidR="0009510A" w:rsidRPr="0009510A" w:rsidRDefault="0009510A" w:rsidP="0003592B">
            <w:pPr>
              <w:keepNext/>
              <w:cnfStyle w:val="100000000000" w:firstRow="1" w:lastRow="0" w:firstColumn="0" w:lastColumn="0" w:oddVBand="0" w:evenVBand="0" w:oddHBand="0" w:evenHBand="0" w:firstRowFirstColumn="0" w:firstRowLastColumn="0" w:lastRowFirstColumn="0" w:lastRowLastColumn="0"/>
            </w:pPr>
            <w:r w:rsidRPr="004720AB">
              <w:t>2014</w:t>
            </w:r>
          </w:p>
        </w:tc>
        <w:tc>
          <w:tcPr>
            <w:tcW w:w="606" w:type="pct"/>
            <w:noWrap/>
            <w:hideMark/>
          </w:tcPr>
          <w:p w:rsidR="0009510A" w:rsidRPr="0009510A" w:rsidRDefault="0009510A" w:rsidP="0003592B">
            <w:pPr>
              <w:keepNext/>
              <w:cnfStyle w:val="100000000000" w:firstRow="1" w:lastRow="0" w:firstColumn="0" w:lastColumn="0" w:oddVBand="0" w:evenVBand="0" w:oddHBand="0" w:evenHBand="0" w:firstRowFirstColumn="0" w:firstRowLastColumn="0" w:lastRowFirstColumn="0" w:lastRowLastColumn="0"/>
            </w:pPr>
            <w:r w:rsidRPr="004720AB">
              <w:t>2015</w:t>
            </w:r>
          </w:p>
        </w:tc>
        <w:tc>
          <w:tcPr>
            <w:tcW w:w="606" w:type="pct"/>
            <w:noWrap/>
            <w:hideMark/>
          </w:tcPr>
          <w:p w:rsidR="0009510A" w:rsidRPr="0009510A" w:rsidRDefault="0009510A" w:rsidP="0003592B">
            <w:pPr>
              <w:keepNext/>
              <w:cnfStyle w:val="100000000000" w:firstRow="1" w:lastRow="0" w:firstColumn="0" w:lastColumn="0" w:oddVBand="0" w:evenVBand="0" w:oddHBand="0" w:evenHBand="0" w:firstRowFirstColumn="0" w:firstRowLastColumn="0" w:lastRowFirstColumn="0" w:lastRowLastColumn="0"/>
            </w:pPr>
            <w:r w:rsidRPr="004720AB">
              <w:t>2016</w:t>
            </w:r>
          </w:p>
        </w:tc>
        <w:tc>
          <w:tcPr>
            <w:tcW w:w="605" w:type="pct"/>
            <w:noWrap/>
            <w:hideMark/>
          </w:tcPr>
          <w:p w:rsidR="0009510A" w:rsidRPr="0009510A" w:rsidRDefault="0009510A" w:rsidP="0003592B">
            <w:pPr>
              <w:keepNext/>
              <w:cnfStyle w:val="100000000000" w:firstRow="1" w:lastRow="0" w:firstColumn="0" w:lastColumn="0" w:oddVBand="0" w:evenVBand="0" w:oddHBand="0" w:evenHBand="0" w:firstRowFirstColumn="0" w:firstRowLastColumn="0" w:lastRowFirstColumn="0" w:lastRowLastColumn="0"/>
            </w:pPr>
            <w:r w:rsidRPr="004720AB">
              <w:t>2017</w:t>
            </w:r>
          </w:p>
        </w:tc>
      </w:tr>
      <w:tr w:rsidR="0089157D" w:rsidRPr="004720AB" w:rsidTr="0089157D">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89157D" w:rsidRPr="0089157D" w:rsidRDefault="0089157D" w:rsidP="0003592B">
            <w:pPr>
              <w:keepNext/>
            </w:pPr>
            <w:r w:rsidRPr="0089157D">
              <w:t>Opening capital base</w:t>
            </w:r>
          </w:p>
        </w:tc>
        <w:tc>
          <w:tcPr>
            <w:tcW w:w="606"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1055.0</w:t>
            </w:r>
          </w:p>
        </w:tc>
        <w:tc>
          <w:tcPr>
            <w:tcW w:w="606"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1087.4</w:t>
            </w:r>
          </w:p>
        </w:tc>
        <w:tc>
          <w:tcPr>
            <w:tcW w:w="606"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1108.7</w:t>
            </w:r>
          </w:p>
        </w:tc>
        <w:tc>
          <w:tcPr>
            <w:tcW w:w="606"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1135.7</w:t>
            </w:r>
          </w:p>
        </w:tc>
        <w:tc>
          <w:tcPr>
            <w:tcW w:w="605"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1166.9</w:t>
            </w:r>
          </w:p>
        </w:tc>
      </w:tr>
      <w:tr w:rsidR="0089157D" w:rsidRPr="004720AB" w:rsidTr="0089157D">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89157D" w:rsidRPr="0089157D" w:rsidRDefault="0089157D" w:rsidP="0003592B">
            <w:pPr>
              <w:keepNext/>
            </w:pPr>
            <w:r w:rsidRPr="0089157D">
              <w:t>Net capex</w:t>
            </w:r>
          </w:p>
        </w:tc>
        <w:tc>
          <w:tcPr>
            <w:tcW w:w="606" w:type="pct"/>
            <w:noWrap/>
            <w:vAlign w:val="bottom"/>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pPr>
            <w:r w:rsidRPr="0089157D">
              <w:t>57.7</w:t>
            </w:r>
          </w:p>
        </w:tc>
        <w:tc>
          <w:tcPr>
            <w:tcW w:w="606" w:type="pct"/>
            <w:noWrap/>
            <w:vAlign w:val="bottom"/>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pPr>
            <w:r w:rsidRPr="0089157D">
              <w:t>53.1</w:t>
            </w:r>
          </w:p>
        </w:tc>
        <w:tc>
          <w:tcPr>
            <w:tcW w:w="606" w:type="pct"/>
            <w:noWrap/>
            <w:vAlign w:val="bottom"/>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pPr>
            <w:r w:rsidRPr="0089157D">
              <w:t>60.1</w:t>
            </w:r>
          </w:p>
        </w:tc>
        <w:tc>
          <w:tcPr>
            <w:tcW w:w="606" w:type="pct"/>
            <w:noWrap/>
            <w:vAlign w:val="bottom"/>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pPr>
            <w:r w:rsidRPr="0089157D">
              <w:t>75.6</w:t>
            </w:r>
          </w:p>
        </w:tc>
        <w:tc>
          <w:tcPr>
            <w:tcW w:w="605" w:type="pct"/>
            <w:noWrap/>
            <w:vAlign w:val="bottom"/>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pPr>
            <w:r w:rsidRPr="0089157D">
              <w:t>75.1</w:t>
            </w:r>
          </w:p>
        </w:tc>
      </w:tr>
      <w:tr w:rsidR="0089157D" w:rsidRPr="004720AB" w:rsidTr="0089157D">
        <w:trPr>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89157D" w:rsidRPr="0089157D" w:rsidRDefault="0089157D" w:rsidP="0003592B">
            <w:pPr>
              <w:keepNext/>
            </w:pPr>
            <w:r w:rsidRPr="0089157D">
              <w:t>Indexation of capital base</w:t>
            </w:r>
          </w:p>
        </w:tc>
        <w:tc>
          <w:tcPr>
            <w:tcW w:w="606"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21.1</w:t>
            </w:r>
          </w:p>
        </w:tc>
        <w:tc>
          <w:tcPr>
            <w:tcW w:w="606"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23.5</w:t>
            </w:r>
          </w:p>
        </w:tc>
        <w:tc>
          <w:tcPr>
            <w:tcW w:w="606"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25.6</w:t>
            </w:r>
          </w:p>
        </w:tc>
        <w:tc>
          <w:tcPr>
            <w:tcW w:w="606"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17.1</w:t>
            </w:r>
          </w:p>
        </w:tc>
        <w:tc>
          <w:tcPr>
            <w:tcW w:w="605"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15.1</w:t>
            </w:r>
          </w:p>
        </w:tc>
      </w:tr>
      <w:tr w:rsidR="0089157D" w:rsidRPr="004720AB" w:rsidTr="0089157D">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89157D" w:rsidRPr="0089157D" w:rsidRDefault="0089157D" w:rsidP="0003592B">
            <w:pPr>
              <w:keepNext/>
            </w:pPr>
            <w:r w:rsidRPr="0089157D">
              <w:rPr>
                <w:rStyle w:val="AERtextitalic"/>
              </w:rPr>
              <w:t>Less:</w:t>
            </w:r>
            <w:r w:rsidRPr="0089157D">
              <w:t xml:space="preserve"> straight-line depreciation</w:t>
            </w:r>
          </w:p>
        </w:tc>
        <w:tc>
          <w:tcPr>
            <w:tcW w:w="606" w:type="pct"/>
            <w:noWrap/>
            <w:vAlign w:val="bottom"/>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pPr>
            <w:r w:rsidRPr="0089157D">
              <w:t>46.0</w:t>
            </w:r>
          </w:p>
        </w:tc>
        <w:tc>
          <w:tcPr>
            <w:tcW w:w="606" w:type="pct"/>
            <w:noWrap/>
            <w:vAlign w:val="bottom"/>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pPr>
            <w:r w:rsidRPr="0089157D">
              <w:t>55.3</w:t>
            </w:r>
          </w:p>
        </w:tc>
        <w:tc>
          <w:tcPr>
            <w:tcW w:w="606" w:type="pct"/>
            <w:noWrap/>
            <w:vAlign w:val="bottom"/>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pPr>
            <w:r w:rsidRPr="0089157D">
              <w:t>58.7</w:t>
            </w:r>
          </w:p>
        </w:tc>
        <w:tc>
          <w:tcPr>
            <w:tcW w:w="606" w:type="pct"/>
            <w:noWrap/>
            <w:vAlign w:val="bottom"/>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pPr>
            <w:r w:rsidRPr="0089157D">
              <w:t>61.5</w:t>
            </w:r>
          </w:p>
        </w:tc>
        <w:tc>
          <w:tcPr>
            <w:tcW w:w="605" w:type="pct"/>
            <w:noWrap/>
            <w:vAlign w:val="bottom"/>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pPr>
            <w:r w:rsidRPr="0089157D">
              <w:t>64.7</w:t>
            </w:r>
          </w:p>
        </w:tc>
      </w:tr>
      <w:tr w:rsidR="0089157D" w:rsidRPr="004720AB" w:rsidTr="0089157D">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89157D" w:rsidRPr="0089157D" w:rsidRDefault="0089157D" w:rsidP="0003592B">
            <w:pPr>
              <w:keepNext/>
            </w:pPr>
            <w:r w:rsidRPr="0089157D">
              <w:t>Closing capital base</w:t>
            </w:r>
          </w:p>
        </w:tc>
        <w:tc>
          <w:tcPr>
            <w:tcW w:w="606"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1087.4</w:t>
            </w:r>
          </w:p>
        </w:tc>
        <w:tc>
          <w:tcPr>
            <w:tcW w:w="606"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1108.7</w:t>
            </w:r>
          </w:p>
        </w:tc>
        <w:tc>
          <w:tcPr>
            <w:tcW w:w="606"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1135.7</w:t>
            </w:r>
          </w:p>
        </w:tc>
        <w:tc>
          <w:tcPr>
            <w:tcW w:w="606"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1166.9</w:t>
            </w:r>
          </w:p>
        </w:tc>
        <w:tc>
          <w:tcPr>
            <w:tcW w:w="605" w:type="pct"/>
            <w:noWrap/>
            <w:vAlign w:val="bottom"/>
          </w:tcPr>
          <w:p w:rsidR="0089157D" w:rsidRPr="0089157D" w:rsidRDefault="0089157D" w:rsidP="0003592B">
            <w:pPr>
              <w:keepNext/>
              <w:cnfStyle w:val="000000000000" w:firstRow="0" w:lastRow="0" w:firstColumn="0" w:lastColumn="0" w:oddVBand="0" w:evenVBand="0" w:oddHBand="0" w:evenHBand="0" w:firstRowFirstColumn="0" w:firstRowLastColumn="0" w:lastRowFirstColumn="0" w:lastRowLastColumn="0"/>
            </w:pPr>
            <w:r w:rsidRPr="0089157D">
              <w:t>1192.4</w:t>
            </w:r>
          </w:p>
        </w:tc>
      </w:tr>
      <w:tr w:rsidR="0089157D" w:rsidRPr="0089157D" w:rsidTr="00891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89157D" w:rsidRPr="0089157D" w:rsidRDefault="0089157D" w:rsidP="0003592B">
            <w:pPr>
              <w:keepNext/>
              <w:rPr>
                <w:rStyle w:val="Strong"/>
              </w:rPr>
            </w:pPr>
            <w:r w:rsidRPr="0089157D">
              <w:rPr>
                <w:rStyle w:val="Strong"/>
              </w:rPr>
              <w:t>Opening capital base as at 1 January 2018</w:t>
            </w:r>
          </w:p>
        </w:tc>
        <w:tc>
          <w:tcPr>
            <w:tcW w:w="606" w:type="pct"/>
            <w:vAlign w:val="bottom"/>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rPr>
                <w:rStyle w:val="Strong"/>
              </w:rPr>
            </w:pPr>
            <w:r w:rsidRPr="0089157D">
              <w:rPr>
                <w:rStyle w:val="Strong"/>
              </w:rPr>
              <w:t> </w:t>
            </w:r>
          </w:p>
        </w:tc>
        <w:tc>
          <w:tcPr>
            <w:tcW w:w="606" w:type="pct"/>
            <w:noWrap/>
            <w:vAlign w:val="bottom"/>
            <w:hideMark/>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rPr>
                <w:rStyle w:val="Strong"/>
              </w:rPr>
            </w:pPr>
            <w:r w:rsidRPr="0089157D">
              <w:rPr>
                <w:rStyle w:val="Strong"/>
              </w:rPr>
              <w:t> </w:t>
            </w:r>
          </w:p>
        </w:tc>
        <w:tc>
          <w:tcPr>
            <w:tcW w:w="606" w:type="pct"/>
            <w:noWrap/>
            <w:vAlign w:val="bottom"/>
            <w:hideMark/>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rPr>
                <w:rStyle w:val="Strong"/>
              </w:rPr>
            </w:pPr>
            <w:r w:rsidRPr="0089157D">
              <w:rPr>
                <w:rStyle w:val="Strong"/>
              </w:rPr>
              <w:t> </w:t>
            </w:r>
          </w:p>
        </w:tc>
        <w:tc>
          <w:tcPr>
            <w:tcW w:w="606" w:type="pct"/>
            <w:noWrap/>
            <w:vAlign w:val="bottom"/>
            <w:hideMark/>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rPr>
                <w:rStyle w:val="Strong"/>
              </w:rPr>
            </w:pPr>
            <w:r w:rsidRPr="0089157D">
              <w:rPr>
                <w:rStyle w:val="Strong"/>
              </w:rPr>
              <w:t> </w:t>
            </w:r>
          </w:p>
        </w:tc>
        <w:tc>
          <w:tcPr>
            <w:tcW w:w="605" w:type="pct"/>
            <w:noWrap/>
            <w:vAlign w:val="bottom"/>
            <w:hideMark/>
          </w:tcPr>
          <w:p w:rsidR="0089157D" w:rsidRPr="0089157D" w:rsidRDefault="0089157D" w:rsidP="0003592B">
            <w:pPr>
              <w:keepNext/>
              <w:cnfStyle w:val="000000010000" w:firstRow="0" w:lastRow="0" w:firstColumn="0" w:lastColumn="0" w:oddVBand="0" w:evenVBand="0" w:oddHBand="0" w:evenHBand="1" w:firstRowFirstColumn="0" w:firstRowLastColumn="0" w:lastRowFirstColumn="0" w:lastRowLastColumn="0"/>
              <w:rPr>
                <w:rStyle w:val="Strong"/>
              </w:rPr>
            </w:pPr>
            <w:r w:rsidRPr="0089157D">
              <w:rPr>
                <w:rStyle w:val="Strong"/>
              </w:rPr>
              <w:t>1192.4</w:t>
            </w:r>
            <w:r w:rsidR="00D148B3" w:rsidRPr="00372E4D">
              <w:rPr>
                <w:rStyle w:val="AERsuperscript"/>
              </w:rPr>
              <w:t>a</w:t>
            </w:r>
          </w:p>
        </w:tc>
      </w:tr>
    </w:tbl>
    <w:p w:rsidR="0009510A" w:rsidRDefault="0009510A" w:rsidP="0003592B">
      <w:pPr>
        <w:pStyle w:val="AERtablesource"/>
        <w:keepNext/>
      </w:pPr>
      <w:r>
        <w:t>Source:</w:t>
      </w:r>
      <w:r>
        <w:tab/>
        <w:t>AER analysis.</w:t>
      </w:r>
    </w:p>
    <w:p w:rsidR="008B630D" w:rsidRPr="008B630D" w:rsidRDefault="008B630D" w:rsidP="008B630D">
      <w:pPr>
        <w:pStyle w:val="AERtablesource"/>
      </w:pPr>
      <w:r>
        <w:t>(a)</w:t>
      </w:r>
      <w:r>
        <w:tab/>
      </w:r>
      <w:r w:rsidR="00D148B3">
        <w:t>There is no true-up required for 2012</w:t>
      </w:r>
      <w:r w:rsidR="00372E4D">
        <w:t xml:space="preserve"> </w:t>
      </w:r>
      <w:r w:rsidR="00D148B3">
        <w:t>capex. This is because a</w:t>
      </w:r>
      <w:r>
        <w:t>ctual 2012 capex was included in Multinet's 2013 approved opening capital base</w:t>
      </w:r>
      <w:r w:rsidR="00D92AC2">
        <w:t xml:space="preserve">. </w:t>
      </w:r>
      <w:r w:rsidR="00D92AC2" w:rsidRPr="00D92AC2">
        <w:t xml:space="preserve">This occurred as part of the amendments to the 2013–17 access arrangement that followed a decision by the </w:t>
      </w:r>
      <w:r w:rsidR="00D92AC2">
        <w:t>Australian Competition Tribunal</w:t>
      </w:r>
      <w:r>
        <w:t>.</w:t>
      </w:r>
    </w:p>
    <w:p w:rsidR="0009510A" w:rsidRDefault="0009510A" w:rsidP="0009510A">
      <w:r w:rsidRPr="00E47A65">
        <w:t xml:space="preserve">We do not approve </w:t>
      </w:r>
      <w:r>
        <w:t>Multinet</w:t>
      </w:r>
      <w:r w:rsidRPr="00E47A65">
        <w:t>’s proposed roll forward of its projected capital base over the 201</w:t>
      </w:r>
      <w:r>
        <w:t>8</w:t>
      </w:r>
      <w:r w:rsidRPr="00E47A65">
        <w:t>–2</w:t>
      </w:r>
      <w:r>
        <w:t>2</w:t>
      </w:r>
      <w:r w:rsidRPr="00E47A65">
        <w:t xml:space="preserve"> access arrangement period, and do not approve its closing capital base at 3</w:t>
      </w:r>
      <w:r>
        <w:t>1</w:t>
      </w:r>
      <w:r w:rsidRPr="00E47A65">
        <w:t xml:space="preserve"> </w:t>
      </w:r>
      <w:r>
        <w:t xml:space="preserve">December </w:t>
      </w:r>
      <w:r w:rsidRPr="00E47A65">
        <w:t>202</w:t>
      </w:r>
      <w:r>
        <w:t>2</w:t>
      </w:r>
      <w:r w:rsidRPr="00E47A65">
        <w:t xml:space="preserve"> of $</w:t>
      </w:r>
      <w:r>
        <w:t>1446.1 </w:t>
      </w:r>
      <w:r w:rsidRPr="00E47A65">
        <w:t>million ($</w:t>
      </w:r>
      <w:r>
        <w:t> </w:t>
      </w:r>
      <w:r w:rsidRPr="00E47A65">
        <w:t xml:space="preserve">nominal). This is because we have not approved </w:t>
      </w:r>
      <w:r>
        <w:t>Multinet</w:t>
      </w:r>
      <w:r w:rsidRPr="00E47A65">
        <w:t>'s proposed inputs to the projected capital base roll forward, specifically the opening capital base</w:t>
      </w:r>
      <w:r w:rsidR="00D148B3">
        <w:t xml:space="preserve"> (section </w:t>
      </w:r>
      <w:r w:rsidR="00D148B3">
        <w:fldChar w:fldCharType="begin"/>
      </w:r>
      <w:r w:rsidR="00D148B3">
        <w:instrText xml:space="preserve"> REF _Ref476213279 \r \h </w:instrText>
      </w:r>
      <w:r w:rsidR="00D148B3">
        <w:fldChar w:fldCharType="separate"/>
      </w:r>
      <w:r w:rsidR="001E77EC">
        <w:t>2.4.1</w:t>
      </w:r>
      <w:r w:rsidR="00D148B3">
        <w:fldChar w:fldCharType="end"/>
      </w:r>
      <w:r w:rsidR="00D148B3">
        <w:t>)</w:t>
      </w:r>
      <w:r w:rsidRPr="00E47A65">
        <w:t>, depreciation</w:t>
      </w:r>
      <w:r w:rsidR="00D148B3" w:rsidRPr="00D148B3">
        <w:t xml:space="preserve"> </w:t>
      </w:r>
      <w:r w:rsidR="00D148B3">
        <w:t xml:space="preserve">(attachment 5) and </w:t>
      </w:r>
      <w:r w:rsidR="00D148B3" w:rsidRPr="00E47A65">
        <w:t xml:space="preserve">forecast capex </w:t>
      </w:r>
      <w:r w:rsidR="00D148B3">
        <w:t>(attachment 6)</w:t>
      </w:r>
      <w:r w:rsidRPr="00E47A65">
        <w:t>. Based on our approved amounts for these inputs, we determine a projected closing capital base of $</w:t>
      </w:r>
      <w:r w:rsidR="00B8317B">
        <w:t>1401.0</w:t>
      </w:r>
      <w:r w:rsidRPr="00E47A65">
        <w:t xml:space="preserve"> million ($</w:t>
      </w:r>
      <w:r>
        <w:t> </w:t>
      </w:r>
      <w:r w:rsidRPr="00E47A65">
        <w:t>nominal) as at 3</w:t>
      </w:r>
      <w:r>
        <w:t>1</w:t>
      </w:r>
      <w:r w:rsidRPr="00E47A65">
        <w:t xml:space="preserve"> </w:t>
      </w:r>
      <w:r>
        <w:t>December</w:t>
      </w:r>
      <w:r w:rsidRPr="00E47A65">
        <w:t xml:space="preserve"> 202</w:t>
      </w:r>
      <w:r>
        <w:t>2</w:t>
      </w:r>
      <w:r w:rsidRPr="00E47A65">
        <w:t>. This is $</w:t>
      </w:r>
      <w:r w:rsidR="00B8317B">
        <w:t>45.1</w:t>
      </w:r>
      <w:r>
        <w:t> </w:t>
      </w:r>
      <w:r w:rsidRPr="00E47A65">
        <w:t>million ($</w:t>
      </w:r>
      <w:r>
        <w:t> </w:t>
      </w:r>
      <w:r w:rsidRPr="00E47A65">
        <w:t xml:space="preserve">nominal) less than that proposed by </w:t>
      </w:r>
      <w:r>
        <w:t>Multinet</w:t>
      </w:r>
      <w:r w:rsidRPr="00E47A65">
        <w:t xml:space="preserve">, a reduction of </w:t>
      </w:r>
      <w:r w:rsidR="00A33D81">
        <w:t>3.1</w:t>
      </w:r>
      <w:r w:rsidRPr="00E47A65">
        <w:t xml:space="preserve"> per cent.</w:t>
      </w:r>
    </w:p>
    <w:p w:rsidR="0009510A" w:rsidRDefault="0009510A" w:rsidP="0009510A">
      <w:r>
        <w:fldChar w:fldCharType="begin"/>
      </w:r>
      <w:r>
        <w:instrText xml:space="preserve"> REF _Ref476211102 \h </w:instrText>
      </w:r>
      <w:r>
        <w:fldChar w:fldCharType="separate"/>
      </w:r>
      <w:r w:rsidR="001E77EC">
        <w:t xml:space="preserve">Table </w:t>
      </w:r>
      <w:r w:rsidR="001E77EC">
        <w:rPr>
          <w:noProof/>
        </w:rPr>
        <w:t>2</w:t>
      </w:r>
      <w:r w:rsidR="001E77EC">
        <w:t>.</w:t>
      </w:r>
      <w:r w:rsidR="001E77EC">
        <w:rPr>
          <w:noProof/>
        </w:rPr>
        <w:t>2</w:t>
      </w:r>
      <w:r>
        <w:fldChar w:fldCharType="end"/>
      </w:r>
      <w:r>
        <w:t xml:space="preserve"> </w:t>
      </w:r>
      <w:r w:rsidRPr="00E47A65">
        <w:t>sets out the projected roll forward of the capital base during the 201</w:t>
      </w:r>
      <w:r>
        <w:t>8</w:t>
      </w:r>
      <w:r w:rsidRPr="00E47A65">
        <w:t>–</w:t>
      </w:r>
      <w:r>
        <w:t>22</w:t>
      </w:r>
      <w:r w:rsidRPr="00E47A65">
        <w:t xml:space="preserve"> access arrangement period.</w:t>
      </w:r>
    </w:p>
    <w:p w:rsidR="0009510A" w:rsidRDefault="0009510A" w:rsidP="0003592B">
      <w:pPr>
        <w:pStyle w:val="Caption"/>
      </w:pPr>
      <w:bookmarkStart w:id="74" w:name="_Ref476211102"/>
      <w:proofErr w:type="gramStart"/>
      <w:r>
        <w:t xml:space="preserve">Table </w:t>
      </w:r>
      <w:proofErr w:type="gramEnd"/>
      <w:r w:rsidR="00574B35">
        <w:fldChar w:fldCharType="begin"/>
      </w:r>
      <w:r w:rsidR="00574B35">
        <w:instrText xml:space="preserve"> STYLEREF 1 \s </w:instrText>
      </w:r>
      <w:r w:rsidR="00574B35">
        <w:fldChar w:fldCharType="separate"/>
      </w:r>
      <w:r w:rsidR="001E77EC">
        <w:rPr>
          <w:noProof/>
        </w:rPr>
        <w:t>2</w:t>
      </w:r>
      <w:r w:rsidR="00574B35">
        <w:rPr>
          <w:noProof/>
        </w:rPr>
        <w:fldChar w:fldCharType="end"/>
      </w:r>
      <w:proofErr w:type="gramStart"/>
      <w:r>
        <w:t>.</w:t>
      </w:r>
      <w:proofErr w:type="gramEnd"/>
      <w:r w:rsidR="00796D48">
        <w:fldChar w:fldCharType="begin"/>
      </w:r>
      <w:r w:rsidR="00796D48">
        <w:instrText xml:space="preserve"> SEQ Table \* ARABIC \s 1 </w:instrText>
      </w:r>
      <w:r w:rsidR="00796D48">
        <w:fldChar w:fldCharType="separate"/>
      </w:r>
      <w:r w:rsidR="001E77EC">
        <w:rPr>
          <w:noProof/>
        </w:rPr>
        <w:t>2</w:t>
      </w:r>
      <w:r w:rsidR="00796D48">
        <w:rPr>
          <w:noProof/>
        </w:rPr>
        <w:fldChar w:fldCharType="end"/>
      </w:r>
      <w:bookmarkEnd w:id="74"/>
      <w:r>
        <w:tab/>
      </w:r>
      <w:r w:rsidRPr="0009510A">
        <w:t xml:space="preserve">AER’s draft decision on </w:t>
      </w:r>
      <w:r>
        <w:t>Multinet</w:t>
      </w:r>
      <w:r w:rsidRPr="0009510A">
        <w:t>'s projected capital base roll forward for the 2018–22 access arrangement period ($million, nominal)</w:t>
      </w:r>
    </w:p>
    <w:tbl>
      <w:tblPr>
        <w:tblStyle w:val="AERtable-numbers"/>
        <w:tblW w:w="5000" w:type="pct"/>
        <w:tblLook w:val="04A0" w:firstRow="1" w:lastRow="0" w:firstColumn="1" w:lastColumn="0" w:noHBand="0" w:noVBand="1"/>
      </w:tblPr>
      <w:tblGrid>
        <w:gridCol w:w="3953"/>
        <w:gridCol w:w="948"/>
        <w:gridCol w:w="948"/>
        <w:gridCol w:w="948"/>
        <w:gridCol w:w="948"/>
        <w:gridCol w:w="948"/>
      </w:tblGrid>
      <w:tr w:rsidR="0009510A" w:rsidRPr="00E47A65" w:rsidTr="0020529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09510A" w:rsidRPr="00E47A65" w:rsidRDefault="0009510A" w:rsidP="0003592B">
            <w:pPr>
              <w:keepNext/>
            </w:pPr>
            <w:r w:rsidRPr="00E47A65">
              <w:t> </w:t>
            </w:r>
          </w:p>
        </w:tc>
        <w:tc>
          <w:tcPr>
            <w:tcW w:w="545" w:type="pct"/>
            <w:noWrap/>
            <w:hideMark/>
          </w:tcPr>
          <w:p w:rsidR="0009510A" w:rsidRPr="00E47A65" w:rsidRDefault="0009510A" w:rsidP="0003592B">
            <w:pPr>
              <w:keepNext/>
              <w:cnfStyle w:val="100000000000" w:firstRow="1" w:lastRow="0" w:firstColumn="0" w:lastColumn="0" w:oddVBand="0" w:evenVBand="0" w:oddHBand="0" w:evenHBand="0" w:firstRowFirstColumn="0" w:firstRowLastColumn="0" w:lastRowFirstColumn="0" w:lastRowLastColumn="0"/>
            </w:pPr>
            <w:r w:rsidRPr="00E47A65">
              <w:t>2018</w:t>
            </w:r>
          </w:p>
        </w:tc>
        <w:tc>
          <w:tcPr>
            <w:tcW w:w="545" w:type="pct"/>
            <w:noWrap/>
            <w:hideMark/>
          </w:tcPr>
          <w:p w:rsidR="0009510A" w:rsidRPr="00E47A65" w:rsidRDefault="0009510A" w:rsidP="0003592B">
            <w:pPr>
              <w:keepNext/>
              <w:cnfStyle w:val="100000000000" w:firstRow="1" w:lastRow="0" w:firstColumn="0" w:lastColumn="0" w:oddVBand="0" w:evenVBand="0" w:oddHBand="0" w:evenHBand="0" w:firstRowFirstColumn="0" w:firstRowLastColumn="0" w:lastRowFirstColumn="0" w:lastRowLastColumn="0"/>
            </w:pPr>
            <w:r w:rsidRPr="00E47A65">
              <w:t>2019</w:t>
            </w:r>
          </w:p>
        </w:tc>
        <w:tc>
          <w:tcPr>
            <w:tcW w:w="545" w:type="pct"/>
            <w:noWrap/>
            <w:hideMark/>
          </w:tcPr>
          <w:p w:rsidR="0009510A" w:rsidRPr="00E47A65" w:rsidRDefault="0009510A" w:rsidP="0003592B">
            <w:pPr>
              <w:keepNext/>
              <w:cnfStyle w:val="100000000000" w:firstRow="1" w:lastRow="0" w:firstColumn="0" w:lastColumn="0" w:oddVBand="0" w:evenVBand="0" w:oddHBand="0" w:evenHBand="0" w:firstRowFirstColumn="0" w:firstRowLastColumn="0" w:lastRowFirstColumn="0" w:lastRowLastColumn="0"/>
            </w:pPr>
            <w:r w:rsidRPr="00E47A65">
              <w:t>2020</w:t>
            </w:r>
          </w:p>
        </w:tc>
        <w:tc>
          <w:tcPr>
            <w:tcW w:w="545" w:type="pct"/>
            <w:noWrap/>
            <w:hideMark/>
          </w:tcPr>
          <w:p w:rsidR="0009510A" w:rsidRPr="00E47A65" w:rsidRDefault="0009510A" w:rsidP="0003592B">
            <w:pPr>
              <w:keepNext/>
              <w:cnfStyle w:val="100000000000" w:firstRow="1" w:lastRow="0" w:firstColumn="0" w:lastColumn="0" w:oddVBand="0" w:evenVBand="0" w:oddHBand="0" w:evenHBand="0" w:firstRowFirstColumn="0" w:firstRowLastColumn="0" w:lastRowFirstColumn="0" w:lastRowLastColumn="0"/>
            </w:pPr>
            <w:r w:rsidRPr="00E47A65">
              <w:t>2021</w:t>
            </w:r>
          </w:p>
        </w:tc>
        <w:tc>
          <w:tcPr>
            <w:tcW w:w="545" w:type="pct"/>
            <w:noWrap/>
            <w:hideMark/>
          </w:tcPr>
          <w:p w:rsidR="0009510A" w:rsidRPr="00E47A65" w:rsidRDefault="0009510A" w:rsidP="0003592B">
            <w:pPr>
              <w:keepNext/>
              <w:cnfStyle w:val="100000000000" w:firstRow="1" w:lastRow="0" w:firstColumn="0" w:lastColumn="0" w:oddVBand="0" w:evenVBand="0" w:oddHBand="0" w:evenHBand="0" w:firstRowFirstColumn="0" w:firstRowLastColumn="0" w:lastRowFirstColumn="0" w:lastRowLastColumn="0"/>
            </w:pPr>
            <w:r w:rsidRPr="00E47A65">
              <w:t>2022</w:t>
            </w:r>
          </w:p>
        </w:tc>
      </w:tr>
      <w:tr w:rsidR="00B8317B" w:rsidRPr="00E47A65" w:rsidTr="00B8317B">
        <w:trPr>
          <w:trHeight w:val="269"/>
        </w:trPr>
        <w:tc>
          <w:tcPr>
            <w:cnfStyle w:val="001000000000" w:firstRow="0" w:lastRow="0" w:firstColumn="1" w:lastColumn="0" w:oddVBand="0" w:evenVBand="0" w:oddHBand="0" w:evenHBand="0" w:firstRowFirstColumn="0" w:firstRowLastColumn="0" w:lastRowFirstColumn="0" w:lastRowLastColumn="0"/>
            <w:tcW w:w="2274" w:type="pct"/>
            <w:noWrap/>
            <w:hideMark/>
          </w:tcPr>
          <w:p w:rsidR="00B8317B" w:rsidRPr="00B8317B" w:rsidRDefault="00B8317B" w:rsidP="00B8317B">
            <w:r w:rsidRPr="00B8317B">
              <w:t>Opening capital base</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pPr>
            <w:r w:rsidRPr="00B8317B">
              <w:t>1192.4</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pPr>
            <w:r w:rsidRPr="00B8317B">
              <w:t>1245.2</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pPr>
            <w:r w:rsidRPr="00B8317B">
              <w:t>1287.9</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pPr>
            <w:r w:rsidRPr="00B8317B">
              <w:t>1328.6</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pPr>
            <w:r w:rsidRPr="00B8317B">
              <w:t>1364.8</w:t>
            </w:r>
          </w:p>
        </w:tc>
      </w:tr>
      <w:tr w:rsidR="00B8317B" w:rsidRPr="00E47A65" w:rsidTr="00B8317B">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B8317B" w:rsidRPr="00B8317B" w:rsidRDefault="00B8317B" w:rsidP="00B8317B">
            <w:r w:rsidRPr="00B8317B">
              <w:t>Net capex</w:t>
            </w:r>
          </w:p>
        </w:tc>
        <w:tc>
          <w:tcPr>
            <w:tcW w:w="545" w:type="pct"/>
            <w:noWrap/>
            <w:vAlign w:val="bottom"/>
          </w:tcPr>
          <w:p w:rsidR="00B8317B" w:rsidRPr="00B8317B" w:rsidRDefault="00B8317B" w:rsidP="00B8317B">
            <w:pPr>
              <w:cnfStyle w:val="000000010000" w:firstRow="0" w:lastRow="0" w:firstColumn="0" w:lastColumn="0" w:oddVBand="0" w:evenVBand="0" w:oddHBand="0" w:evenHBand="1" w:firstRowFirstColumn="0" w:firstRowLastColumn="0" w:lastRowFirstColumn="0" w:lastRowLastColumn="0"/>
            </w:pPr>
            <w:r w:rsidRPr="00B8317B">
              <w:t>83.8</w:t>
            </w:r>
          </w:p>
        </w:tc>
        <w:tc>
          <w:tcPr>
            <w:tcW w:w="545" w:type="pct"/>
            <w:noWrap/>
            <w:vAlign w:val="bottom"/>
          </w:tcPr>
          <w:p w:rsidR="00B8317B" w:rsidRPr="00B8317B" w:rsidRDefault="00B8317B" w:rsidP="00B8317B">
            <w:pPr>
              <w:cnfStyle w:val="000000010000" w:firstRow="0" w:lastRow="0" w:firstColumn="0" w:lastColumn="0" w:oddVBand="0" w:evenVBand="0" w:oddHBand="0" w:evenHBand="1" w:firstRowFirstColumn="0" w:firstRowLastColumn="0" w:lastRowFirstColumn="0" w:lastRowLastColumn="0"/>
            </w:pPr>
            <w:r w:rsidRPr="00B8317B">
              <w:t>75.8</w:t>
            </w:r>
          </w:p>
        </w:tc>
        <w:tc>
          <w:tcPr>
            <w:tcW w:w="545" w:type="pct"/>
            <w:noWrap/>
            <w:vAlign w:val="bottom"/>
          </w:tcPr>
          <w:p w:rsidR="00B8317B" w:rsidRPr="00B8317B" w:rsidRDefault="00B8317B" w:rsidP="00B8317B">
            <w:pPr>
              <w:cnfStyle w:val="000000010000" w:firstRow="0" w:lastRow="0" w:firstColumn="0" w:lastColumn="0" w:oddVBand="0" w:evenVBand="0" w:oddHBand="0" w:evenHBand="1" w:firstRowFirstColumn="0" w:firstRowLastColumn="0" w:lastRowFirstColumn="0" w:lastRowLastColumn="0"/>
            </w:pPr>
            <w:r w:rsidRPr="00B8317B">
              <w:t>77.0</w:t>
            </w:r>
          </w:p>
        </w:tc>
        <w:tc>
          <w:tcPr>
            <w:tcW w:w="545" w:type="pct"/>
            <w:noWrap/>
            <w:vAlign w:val="bottom"/>
          </w:tcPr>
          <w:p w:rsidR="00B8317B" w:rsidRPr="00B8317B" w:rsidRDefault="00B8317B" w:rsidP="00B8317B">
            <w:pPr>
              <w:cnfStyle w:val="000000010000" w:firstRow="0" w:lastRow="0" w:firstColumn="0" w:lastColumn="0" w:oddVBand="0" w:evenVBand="0" w:oddHBand="0" w:evenHBand="1" w:firstRowFirstColumn="0" w:firstRowLastColumn="0" w:lastRowFirstColumn="0" w:lastRowLastColumn="0"/>
            </w:pPr>
            <w:r w:rsidRPr="00B8317B">
              <w:t>75.6</w:t>
            </w:r>
          </w:p>
        </w:tc>
        <w:tc>
          <w:tcPr>
            <w:tcW w:w="545" w:type="pct"/>
            <w:noWrap/>
            <w:vAlign w:val="bottom"/>
          </w:tcPr>
          <w:p w:rsidR="00B8317B" w:rsidRPr="00B8317B" w:rsidRDefault="00B8317B" w:rsidP="00B8317B">
            <w:pPr>
              <w:cnfStyle w:val="000000010000" w:firstRow="0" w:lastRow="0" w:firstColumn="0" w:lastColumn="0" w:oddVBand="0" w:evenVBand="0" w:oddHBand="0" w:evenHBand="1" w:firstRowFirstColumn="0" w:firstRowLastColumn="0" w:lastRowFirstColumn="0" w:lastRowLastColumn="0"/>
            </w:pPr>
            <w:r w:rsidRPr="00B8317B">
              <w:t>78.7</w:t>
            </w:r>
          </w:p>
        </w:tc>
      </w:tr>
      <w:tr w:rsidR="00B8317B" w:rsidRPr="00E47A65" w:rsidTr="00B8317B">
        <w:trPr>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B8317B" w:rsidRPr="00B8317B" w:rsidRDefault="00B8317B" w:rsidP="00B8317B">
            <w:r w:rsidRPr="00B8317B">
              <w:t>Indexation of capital base</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pPr>
            <w:r w:rsidRPr="00B8317B">
              <w:t>29.2</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pPr>
            <w:r w:rsidRPr="00B8317B">
              <w:t>30.5</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pPr>
            <w:r w:rsidRPr="00B8317B">
              <w:t>31.6</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pPr>
            <w:r w:rsidRPr="00B8317B">
              <w:t>32.5</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pPr>
            <w:r w:rsidRPr="00B8317B">
              <w:t>33.4</w:t>
            </w:r>
          </w:p>
        </w:tc>
      </w:tr>
      <w:tr w:rsidR="00B8317B" w:rsidRPr="00E47A65" w:rsidTr="00B8317B">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B8317B" w:rsidRPr="00B8317B" w:rsidRDefault="00B8317B" w:rsidP="00B8317B">
            <w:r w:rsidRPr="00B8317B">
              <w:rPr>
                <w:rStyle w:val="AERtextitalic"/>
              </w:rPr>
              <w:t>Less:</w:t>
            </w:r>
            <w:r w:rsidRPr="00B8317B">
              <w:t xml:space="preserve"> straight-line depreciation</w:t>
            </w:r>
          </w:p>
        </w:tc>
        <w:tc>
          <w:tcPr>
            <w:tcW w:w="545" w:type="pct"/>
            <w:noWrap/>
            <w:vAlign w:val="bottom"/>
          </w:tcPr>
          <w:p w:rsidR="00B8317B" w:rsidRPr="00B8317B" w:rsidRDefault="00B8317B" w:rsidP="00B8317B">
            <w:pPr>
              <w:cnfStyle w:val="000000010000" w:firstRow="0" w:lastRow="0" w:firstColumn="0" w:lastColumn="0" w:oddVBand="0" w:evenVBand="0" w:oddHBand="0" w:evenHBand="1" w:firstRowFirstColumn="0" w:firstRowLastColumn="0" w:lastRowFirstColumn="0" w:lastRowLastColumn="0"/>
            </w:pPr>
            <w:r w:rsidRPr="00B8317B">
              <w:t>60.3</w:t>
            </w:r>
          </w:p>
        </w:tc>
        <w:tc>
          <w:tcPr>
            <w:tcW w:w="545" w:type="pct"/>
            <w:noWrap/>
            <w:vAlign w:val="bottom"/>
          </w:tcPr>
          <w:p w:rsidR="00B8317B" w:rsidRPr="00B8317B" w:rsidRDefault="00B8317B" w:rsidP="00B8317B">
            <w:pPr>
              <w:cnfStyle w:val="000000010000" w:firstRow="0" w:lastRow="0" w:firstColumn="0" w:lastColumn="0" w:oddVBand="0" w:evenVBand="0" w:oddHBand="0" w:evenHBand="1" w:firstRowFirstColumn="0" w:firstRowLastColumn="0" w:lastRowFirstColumn="0" w:lastRowLastColumn="0"/>
            </w:pPr>
            <w:r w:rsidRPr="00B8317B">
              <w:t>63.6</w:t>
            </w:r>
          </w:p>
        </w:tc>
        <w:tc>
          <w:tcPr>
            <w:tcW w:w="545" w:type="pct"/>
            <w:noWrap/>
            <w:vAlign w:val="bottom"/>
          </w:tcPr>
          <w:p w:rsidR="00B8317B" w:rsidRPr="00B8317B" w:rsidRDefault="00B8317B" w:rsidP="00B8317B">
            <w:pPr>
              <w:cnfStyle w:val="000000010000" w:firstRow="0" w:lastRow="0" w:firstColumn="0" w:lastColumn="0" w:oddVBand="0" w:evenVBand="0" w:oddHBand="0" w:evenHBand="1" w:firstRowFirstColumn="0" w:firstRowLastColumn="0" w:lastRowFirstColumn="0" w:lastRowLastColumn="0"/>
            </w:pPr>
            <w:r w:rsidRPr="00B8317B">
              <w:t>67.9</w:t>
            </w:r>
          </w:p>
        </w:tc>
        <w:tc>
          <w:tcPr>
            <w:tcW w:w="545" w:type="pct"/>
            <w:noWrap/>
            <w:vAlign w:val="bottom"/>
          </w:tcPr>
          <w:p w:rsidR="00B8317B" w:rsidRPr="00B8317B" w:rsidRDefault="00B8317B" w:rsidP="00B8317B">
            <w:pPr>
              <w:cnfStyle w:val="000000010000" w:firstRow="0" w:lastRow="0" w:firstColumn="0" w:lastColumn="0" w:oddVBand="0" w:evenVBand="0" w:oddHBand="0" w:evenHBand="1" w:firstRowFirstColumn="0" w:firstRowLastColumn="0" w:lastRowFirstColumn="0" w:lastRowLastColumn="0"/>
            </w:pPr>
            <w:r w:rsidRPr="00B8317B">
              <w:t>71.8</w:t>
            </w:r>
          </w:p>
        </w:tc>
        <w:tc>
          <w:tcPr>
            <w:tcW w:w="545" w:type="pct"/>
            <w:noWrap/>
            <w:vAlign w:val="bottom"/>
          </w:tcPr>
          <w:p w:rsidR="00B8317B" w:rsidRPr="00B8317B" w:rsidRDefault="00B8317B" w:rsidP="00B8317B">
            <w:pPr>
              <w:cnfStyle w:val="000000010000" w:firstRow="0" w:lastRow="0" w:firstColumn="0" w:lastColumn="0" w:oddVBand="0" w:evenVBand="0" w:oddHBand="0" w:evenHBand="1" w:firstRowFirstColumn="0" w:firstRowLastColumn="0" w:lastRowFirstColumn="0" w:lastRowLastColumn="0"/>
            </w:pPr>
            <w:r w:rsidRPr="00B8317B">
              <w:t>76.0</w:t>
            </w:r>
          </w:p>
        </w:tc>
      </w:tr>
      <w:tr w:rsidR="00B8317B" w:rsidRPr="00B8317B" w:rsidTr="00B8317B">
        <w:trPr>
          <w:trHeight w:val="269"/>
        </w:trPr>
        <w:tc>
          <w:tcPr>
            <w:cnfStyle w:val="001000000000" w:firstRow="0" w:lastRow="0" w:firstColumn="1" w:lastColumn="0" w:oddVBand="0" w:evenVBand="0" w:oddHBand="0" w:evenHBand="0" w:firstRowFirstColumn="0" w:firstRowLastColumn="0" w:lastRowFirstColumn="0" w:lastRowLastColumn="0"/>
            <w:tcW w:w="2274" w:type="pct"/>
            <w:noWrap/>
            <w:hideMark/>
          </w:tcPr>
          <w:p w:rsidR="00B8317B" w:rsidRPr="00B8317B" w:rsidRDefault="00B8317B" w:rsidP="00B8317B">
            <w:pPr>
              <w:rPr>
                <w:rStyle w:val="Strong"/>
              </w:rPr>
            </w:pPr>
            <w:r w:rsidRPr="00B8317B">
              <w:rPr>
                <w:rStyle w:val="Strong"/>
              </w:rPr>
              <w:t>Closing capital base</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rPr>
                <w:rStyle w:val="Strong"/>
              </w:rPr>
            </w:pPr>
            <w:r w:rsidRPr="00B8317B">
              <w:rPr>
                <w:rStyle w:val="Strong"/>
              </w:rPr>
              <w:t>1245.2</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rPr>
                <w:rStyle w:val="Strong"/>
              </w:rPr>
            </w:pPr>
            <w:r w:rsidRPr="00B8317B">
              <w:rPr>
                <w:rStyle w:val="Strong"/>
              </w:rPr>
              <w:t>1287.9</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rPr>
                <w:rStyle w:val="Strong"/>
              </w:rPr>
            </w:pPr>
            <w:r w:rsidRPr="00B8317B">
              <w:rPr>
                <w:rStyle w:val="Strong"/>
              </w:rPr>
              <w:t>1328.6</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rPr>
                <w:rStyle w:val="Strong"/>
              </w:rPr>
            </w:pPr>
            <w:r w:rsidRPr="00B8317B">
              <w:rPr>
                <w:rStyle w:val="Strong"/>
              </w:rPr>
              <w:t>1364.8</w:t>
            </w:r>
          </w:p>
        </w:tc>
        <w:tc>
          <w:tcPr>
            <w:tcW w:w="545" w:type="pct"/>
            <w:noWrap/>
            <w:vAlign w:val="bottom"/>
          </w:tcPr>
          <w:p w:rsidR="00B8317B" w:rsidRPr="00B8317B" w:rsidRDefault="00B8317B" w:rsidP="00B8317B">
            <w:pPr>
              <w:cnfStyle w:val="000000000000" w:firstRow="0" w:lastRow="0" w:firstColumn="0" w:lastColumn="0" w:oddVBand="0" w:evenVBand="0" w:oddHBand="0" w:evenHBand="0" w:firstRowFirstColumn="0" w:firstRowLastColumn="0" w:lastRowFirstColumn="0" w:lastRowLastColumn="0"/>
              <w:rPr>
                <w:rStyle w:val="Strong"/>
              </w:rPr>
            </w:pPr>
            <w:r w:rsidRPr="00B8317B">
              <w:rPr>
                <w:rStyle w:val="Strong"/>
              </w:rPr>
              <w:t>1401.0</w:t>
            </w:r>
          </w:p>
        </w:tc>
      </w:tr>
    </w:tbl>
    <w:p w:rsidR="0009510A" w:rsidRDefault="0009510A" w:rsidP="0003592B">
      <w:pPr>
        <w:pStyle w:val="AERtablesource"/>
        <w:keepNext/>
      </w:pPr>
      <w:r>
        <w:t>Source:</w:t>
      </w:r>
      <w:r>
        <w:tab/>
        <w:t>AER analysis.</w:t>
      </w:r>
    </w:p>
    <w:p w:rsidR="00132D43" w:rsidRDefault="00537263" w:rsidP="0003592B">
      <w:pPr>
        <w:pStyle w:val="Heading2"/>
        <w:keepNext/>
      </w:pPr>
      <w:bookmarkStart w:id="75" w:name="_Toc486954830"/>
      <w:r>
        <w:t>Multinet</w:t>
      </w:r>
      <w:r w:rsidR="00132D43">
        <w:t>’s proposal</w:t>
      </w:r>
      <w:bookmarkEnd w:id="75"/>
    </w:p>
    <w:p w:rsidR="0009510A" w:rsidRPr="001A26B7" w:rsidRDefault="0009510A" w:rsidP="0003592B">
      <w:pPr>
        <w:keepNext/>
      </w:pPr>
      <w:r>
        <w:t>Multinet</w:t>
      </w:r>
      <w:r w:rsidRPr="001A26B7">
        <w:t xml:space="preserve"> proposed an opening capital base as at 1 </w:t>
      </w:r>
      <w:r>
        <w:t>January</w:t>
      </w:r>
      <w:r w:rsidRPr="001A26B7">
        <w:t xml:space="preserve"> 201</w:t>
      </w:r>
      <w:r>
        <w:t>8</w:t>
      </w:r>
      <w:r w:rsidRPr="001A26B7">
        <w:t xml:space="preserve"> of $</w:t>
      </w:r>
      <w:r>
        <w:t>1190.8 </w:t>
      </w:r>
      <w:r w:rsidRPr="001A26B7">
        <w:t>million ($</w:t>
      </w:r>
      <w:r>
        <w:t> </w:t>
      </w:r>
      <w:r w:rsidRPr="001A26B7">
        <w:t xml:space="preserve">nominal). This amount is calculated by rolling forward the opening capital base as at 1 </w:t>
      </w:r>
      <w:r>
        <w:t>January</w:t>
      </w:r>
      <w:r w:rsidRPr="001A26B7">
        <w:t xml:space="preserve"> 201</w:t>
      </w:r>
      <w:r>
        <w:t>3</w:t>
      </w:r>
      <w:r w:rsidRPr="001A26B7">
        <w:t xml:space="preserve"> of $</w:t>
      </w:r>
      <w:r>
        <w:t>1055.0 million</w:t>
      </w:r>
      <w:r w:rsidRPr="001A26B7">
        <w:t xml:space="preserve"> ($</w:t>
      </w:r>
      <w:r>
        <w:t> </w:t>
      </w:r>
      <w:r w:rsidRPr="001A26B7">
        <w:t>nominal) by adding actual net capex, removing approved forecast depreciation and adding inflation indexation on the opening capital base in each year of the 201</w:t>
      </w:r>
      <w:r>
        <w:t>3</w:t>
      </w:r>
      <w:r w:rsidRPr="001A26B7">
        <w:t>–1</w:t>
      </w:r>
      <w:r>
        <w:t>7</w:t>
      </w:r>
      <w:r w:rsidRPr="001A26B7">
        <w:t xml:space="preserve"> access arrangement period.</w:t>
      </w:r>
    </w:p>
    <w:p w:rsidR="00132D43" w:rsidRDefault="0009510A" w:rsidP="0009510A">
      <w:r>
        <w:t>Multinet</w:t>
      </w:r>
      <w:r w:rsidRPr="001A26B7">
        <w:t>'s proposed capital base roll forward during the 201</w:t>
      </w:r>
      <w:r>
        <w:t>3</w:t>
      </w:r>
      <w:r w:rsidRPr="001A26B7">
        <w:t>–1</w:t>
      </w:r>
      <w:r>
        <w:t>7</w:t>
      </w:r>
      <w:r w:rsidRPr="001A26B7">
        <w:t xml:space="preserve"> access arrangement </w:t>
      </w:r>
      <w:proofErr w:type="gramStart"/>
      <w:r w:rsidRPr="001A26B7">
        <w:t>period</w:t>
      </w:r>
      <w:proofErr w:type="gramEnd"/>
      <w:r w:rsidRPr="001A26B7">
        <w:t xml:space="preserve"> is shown in</w:t>
      </w:r>
      <w:r>
        <w:t xml:space="preserve"> </w:t>
      </w:r>
      <w:r>
        <w:fldChar w:fldCharType="begin"/>
      </w:r>
      <w:r>
        <w:instrText xml:space="preserve"> REF _Ref476211290 \h </w:instrText>
      </w:r>
      <w:r>
        <w:fldChar w:fldCharType="separate"/>
      </w:r>
      <w:r w:rsidR="001E77EC">
        <w:t xml:space="preserve">Table </w:t>
      </w:r>
      <w:r w:rsidR="001E77EC">
        <w:rPr>
          <w:noProof/>
        </w:rPr>
        <w:t>2</w:t>
      </w:r>
      <w:r w:rsidR="001E77EC">
        <w:t>.</w:t>
      </w:r>
      <w:r w:rsidR="001E77EC">
        <w:rPr>
          <w:noProof/>
        </w:rPr>
        <w:t>3</w:t>
      </w:r>
      <w:r>
        <w:fldChar w:fldCharType="end"/>
      </w:r>
      <w:r>
        <w:t>.</w:t>
      </w:r>
    </w:p>
    <w:p w:rsidR="0009510A" w:rsidRDefault="0009510A" w:rsidP="0003592B">
      <w:pPr>
        <w:pStyle w:val="Caption"/>
      </w:pPr>
      <w:bookmarkStart w:id="76" w:name="_Ref476211290"/>
      <w:proofErr w:type="gramStart"/>
      <w:r>
        <w:t xml:space="preserve">Table </w:t>
      </w:r>
      <w:proofErr w:type="gramEnd"/>
      <w:r w:rsidR="00574B35">
        <w:fldChar w:fldCharType="begin"/>
      </w:r>
      <w:r w:rsidR="00574B35">
        <w:instrText xml:space="preserve"> STYLEREF 1 \s </w:instrText>
      </w:r>
      <w:r w:rsidR="00574B35">
        <w:fldChar w:fldCharType="separate"/>
      </w:r>
      <w:r w:rsidR="001E77EC">
        <w:rPr>
          <w:noProof/>
        </w:rPr>
        <w:t>2</w:t>
      </w:r>
      <w:r w:rsidR="00574B35">
        <w:rPr>
          <w:noProof/>
        </w:rPr>
        <w:fldChar w:fldCharType="end"/>
      </w:r>
      <w:proofErr w:type="gramStart"/>
      <w:r>
        <w:t>.</w:t>
      </w:r>
      <w:proofErr w:type="gramEnd"/>
      <w:r w:rsidR="00796D48">
        <w:fldChar w:fldCharType="begin"/>
      </w:r>
      <w:r w:rsidR="00796D48">
        <w:instrText xml:space="preserve"> SEQ Table \* ARABIC \s 1 </w:instrText>
      </w:r>
      <w:r w:rsidR="00796D48">
        <w:fldChar w:fldCharType="separate"/>
      </w:r>
      <w:r w:rsidR="001E77EC">
        <w:rPr>
          <w:noProof/>
        </w:rPr>
        <w:t>3</w:t>
      </w:r>
      <w:r w:rsidR="00796D48">
        <w:rPr>
          <w:noProof/>
        </w:rPr>
        <w:fldChar w:fldCharType="end"/>
      </w:r>
      <w:bookmarkEnd w:id="76"/>
      <w:r>
        <w:tab/>
        <w:t>Multinet</w:t>
      </w:r>
      <w:r w:rsidRPr="0009510A">
        <w:t>’s proposed capital base roll forward during the 2013─1</w:t>
      </w:r>
      <w:r w:rsidR="004440B3">
        <w:t>7</w:t>
      </w:r>
      <w:r w:rsidRPr="0009510A">
        <w:t xml:space="preserve"> access arrangement period ($million, nominal)</w:t>
      </w:r>
    </w:p>
    <w:tbl>
      <w:tblPr>
        <w:tblStyle w:val="AERtable-numbers"/>
        <w:tblW w:w="5000" w:type="pct"/>
        <w:tblLook w:val="04A0" w:firstRow="1" w:lastRow="0" w:firstColumn="1" w:lastColumn="0" w:noHBand="0" w:noVBand="1"/>
      </w:tblPr>
      <w:tblGrid>
        <w:gridCol w:w="3427"/>
        <w:gridCol w:w="1053"/>
        <w:gridCol w:w="1053"/>
        <w:gridCol w:w="1054"/>
        <w:gridCol w:w="1054"/>
        <w:gridCol w:w="1052"/>
      </w:tblGrid>
      <w:tr w:rsidR="0009510A" w:rsidRPr="001A26B7" w:rsidTr="0020529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09510A" w:rsidRPr="001A26B7" w:rsidRDefault="0009510A" w:rsidP="0003592B">
            <w:pPr>
              <w:keepNext/>
            </w:pPr>
            <w:r w:rsidRPr="001A26B7">
              <w:t> </w:t>
            </w:r>
          </w:p>
        </w:tc>
        <w:tc>
          <w:tcPr>
            <w:tcW w:w="606" w:type="pct"/>
            <w:noWrap/>
            <w:hideMark/>
          </w:tcPr>
          <w:p w:rsidR="0009510A" w:rsidRPr="001A26B7" w:rsidRDefault="0009510A" w:rsidP="0003592B">
            <w:pPr>
              <w:keepNext/>
              <w:cnfStyle w:val="100000000000" w:firstRow="1" w:lastRow="0" w:firstColumn="0" w:lastColumn="0" w:oddVBand="0" w:evenVBand="0" w:oddHBand="0" w:evenHBand="0" w:firstRowFirstColumn="0" w:firstRowLastColumn="0" w:lastRowFirstColumn="0" w:lastRowLastColumn="0"/>
            </w:pPr>
            <w:r w:rsidRPr="001A26B7">
              <w:t>2013</w:t>
            </w:r>
          </w:p>
        </w:tc>
        <w:tc>
          <w:tcPr>
            <w:tcW w:w="606" w:type="pct"/>
            <w:noWrap/>
            <w:hideMark/>
          </w:tcPr>
          <w:p w:rsidR="0009510A" w:rsidRPr="001A26B7" w:rsidRDefault="0009510A" w:rsidP="0003592B">
            <w:pPr>
              <w:keepNext/>
              <w:cnfStyle w:val="100000000000" w:firstRow="1" w:lastRow="0" w:firstColumn="0" w:lastColumn="0" w:oddVBand="0" w:evenVBand="0" w:oddHBand="0" w:evenHBand="0" w:firstRowFirstColumn="0" w:firstRowLastColumn="0" w:lastRowFirstColumn="0" w:lastRowLastColumn="0"/>
            </w:pPr>
            <w:r w:rsidRPr="001A26B7">
              <w:t>2014</w:t>
            </w:r>
          </w:p>
        </w:tc>
        <w:tc>
          <w:tcPr>
            <w:tcW w:w="606" w:type="pct"/>
            <w:noWrap/>
            <w:hideMark/>
          </w:tcPr>
          <w:p w:rsidR="0009510A" w:rsidRPr="001A26B7" w:rsidRDefault="0009510A" w:rsidP="0003592B">
            <w:pPr>
              <w:keepNext/>
              <w:cnfStyle w:val="100000000000" w:firstRow="1" w:lastRow="0" w:firstColumn="0" w:lastColumn="0" w:oddVBand="0" w:evenVBand="0" w:oddHBand="0" w:evenHBand="0" w:firstRowFirstColumn="0" w:firstRowLastColumn="0" w:lastRowFirstColumn="0" w:lastRowLastColumn="0"/>
            </w:pPr>
            <w:r w:rsidRPr="001A26B7">
              <w:t>2015</w:t>
            </w:r>
          </w:p>
        </w:tc>
        <w:tc>
          <w:tcPr>
            <w:tcW w:w="606" w:type="pct"/>
            <w:noWrap/>
            <w:hideMark/>
          </w:tcPr>
          <w:p w:rsidR="0009510A" w:rsidRPr="001A26B7" w:rsidRDefault="0009510A" w:rsidP="0003592B">
            <w:pPr>
              <w:keepNext/>
              <w:cnfStyle w:val="100000000000" w:firstRow="1" w:lastRow="0" w:firstColumn="0" w:lastColumn="0" w:oddVBand="0" w:evenVBand="0" w:oddHBand="0" w:evenHBand="0" w:firstRowFirstColumn="0" w:firstRowLastColumn="0" w:lastRowFirstColumn="0" w:lastRowLastColumn="0"/>
            </w:pPr>
            <w:r w:rsidRPr="001A26B7">
              <w:t>2016</w:t>
            </w:r>
          </w:p>
        </w:tc>
        <w:tc>
          <w:tcPr>
            <w:tcW w:w="605" w:type="pct"/>
            <w:noWrap/>
            <w:hideMark/>
          </w:tcPr>
          <w:p w:rsidR="0009510A" w:rsidRPr="001A26B7" w:rsidRDefault="0009510A" w:rsidP="0003592B">
            <w:pPr>
              <w:keepNext/>
              <w:cnfStyle w:val="100000000000" w:firstRow="1" w:lastRow="0" w:firstColumn="0" w:lastColumn="0" w:oddVBand="0" w:evenVBand="0" w:oddHBand="0" w:evenHBand="0" w:firstRowFirstColumn="0" w:firstRowLastColumn="0" w:lastRowFirstColumn="0" w:lastRowLastColumn="0"/>
            </w:pPr>
            <w:r w:rsidRPr="001A26B7">
              <w:t>2017</w:t>
            </w:r>
          </w:p>
        </w:tc>
      </w:tr>
      <w:tr w:rsidR="0020529C" w:rsidRPr="001A26B7" w:rsidTr="0020529C">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20529C" w:rsidRPr="0020529C" w:rsidRDefault="0020529C" w:rsidP="0003592B">
            <w:pPr>
              <w:keepNext/>
            </w:pPr>
            <w:r w:rsidRPr="0020529C">
              <w:t>Opening capital base</w:t>
            </w:r>
          </w:p>
        </w:tc>
        <w:tc>
          <w:tcPr>
            <w:tcW w:w="606"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1055.0</w:t>
            </w:r>
          </w:p>
        </w:tc>
        <w:tc>
          <w:tcPr>
            <w:tcW w:w="606"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1087.8</w:t>
            </w:r>
          </w:p>
        </w:tc>
        <w:tc>
          <w:tcPr>
            <w:tcW w:w="606"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1109.1</w:t>
            </w:r>
          </w:p>
        </w:tc>
        <w:tc>
          <w:tcPr>
            <w:tcW w:w="606"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1135.7</w:t>
            </w:r>
          </w:p>
        </w:tc>
        <w:tc>
          <w:tcPr>
            <w:tcW w:w="605"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1166.1</w:t>
            </w:r>
          </w:p>
        </w:tc>
      </w:tr>
      <w:tr w:rsidR="0020529C" w:rsidRPr="001A26B7" w:rsidTr="0020529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20529C" w:rsidRPr="0020529C" w:rsidRDefault="0020529C" w:rsidP="0003592B">
            <w:pPr>
              <w:keepNext/>
            </w:pPr>
            <w:r w:rsidRPr="0020529C">
              <w:t>Net capex</w:t>
            </w:r>
          </w:p>
        </w:tc>
        <w:tc>
          <w:tcPr>
            <w:tcW w:w="606"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pPr>
            <w:r w:rsidRPr="0020529C">
              <w:t>57.7</w:t>
            </w:r>
          </w:p>
        </w:tc>
        <w:tc>
          <w:tcPr>
            <w:tcW w:w="606"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pPr>
            <w:r w:rsidRPr="0020529C">
              <w:t>53.1</w:t>
            </w:r>
          </w:p>
        </w:tc>
        <w:tc>
          <w:tcPr>
            <w:tcW w:w="606"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pPr>
            <w:r w:rsidRPr="0020529C">
              <w:t>60.1</w:t>
            </w:r>
          </w:p>
        </w:tc>
        <w:tc>
          <w:tcPr>
            <w:tcW w:w="606"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pPr>
            <w:r w:rsidRPr="0020529C">
              <w:t>75.6</w:t>
            </w:r>
          </w:p>
        </w:tc>
        <w:tc>
          <w:tcPr>
            <w:tcW w:w="605"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pPr>
            <w:r w:rsidRPr="0020529C">
              <w:t>75.1</w:t>
            </w:r>
          </w:p>
        </w:tc>
      </w:tr>
      <w:tr w:rsidR="0020529C" w:rsidRPr="001A26B7" w:rsidTr="0020529C">
        <w:trPr>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20529C" w:rsidRPr="0020529C" w:rsidRDefault="0020529C" w:rsidP="0003592B">
            <w:pPr>
              <w:keepNext/>
            </w:pPr>
            <w:r w:rsidRPr="0020529C">
              <w:t>Indexation of capital base</w:t>
            </w:r>
          </w:p>
        </w:tc>
        <w:tc>
          <w:tcPr>
            <w:tcW w:w="606"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21.1</w:t>
            </w:r>
          </w:p>
        </w:tc>
        <w:tc>
          <w:tcPr>
            <w:tcW w:w="606"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23.5</w:t>
            </w:r>
          </w:p>
        </w:tc>
        <w:tc>
          <w:tcPr>
            <w:tcW w:w="606"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25.6</w:t>
            </w:r>
          </w:p>
        </w:tc>
        <w:tc>
          <w:tcPr>
            <w:tcW w:w="606"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17.1</w:t>
            </w:r>
          </w:p>
        </w:tc>
        <w:tc>
          <w:tcPr>
            <w:tcW w:w="605"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15.1</w:t>
            </w:r>
          </w:p>
        </w:tc>
      </w:tr>
      <w:tr w:rsidR="0020529C" w:rsidRPr="001A26B7" w:rsidTr="0020529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20529C" w:rsidRPr="0020529C" w:rsidRDefault="0020529C" w:rsidP="0003592B">
            <w:pPr>
              <w:keepNext/>
            </w:pPr>
            <w:r w:rsidRPr="0020529C">
              <w:rPr>
                <w:rStyle w:val="AERtextitalic"/>
              </w:rPr>
              <w:t xml:space="preserve">Less: </w:t>
            </w:r>
            <w:r w:rsidRPr="0020529C">
              <w:t>straight-line depreciation</w:t>
            </w:r>
          </w:p>
        </w:tc>
        <w:tc>
          <w:tcPr>
            <w:tcW w:w="606"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pPr>
            <w:r w:rsidRPr="0020529C">
              <w:t>46.0</w:t>
            </w:r>
          </w:p>
        </w:tc>
        <w:tc>
          <w:tcPr>
            <w:tcW w:w="606"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pPr>
            <w:r w:rsidRPr="0020529C">
              <w:t>55.3</w:t>
            </w:r>
          </w:p>
        </w:tc>
        <w:tc>
          <w:tcPr>
            <w:tcW w:w="606"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pPr>
            <w:r w:rsidRPr="0020529C">
              <w:t>59.1</w:t>
            </w:r>
          </w:p>
        </w:tc>
        <w:tc>
          <w:tcPr>
            <w:tcW w:w="606"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pPr>
            <w:r w:rsidRPr="0020529C">
              <w:t>62.3</w:t>
            </w:r>
          </w:p>
        </w:tc>
        <w:tc>
          <w:tcPr>
            <w:tcW w:w="605"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pPr>
            <w:r w:rsidRPr="0020529C">
              <w:t>65.5</w:t>
            </w:r>
          </w:p>
        </w:tc>
      </w:tr>
      <w:tr w:rsidR="0020529C" w:rsidRPr="001A26B7" w:rsidTr="0020529C">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20529C" w:rsidRPr="0020529C" w:rsidRDefault="0020529C" w:rsidP="0003592B">
            <w:pPr>
              <w:keepNext/>
            </w:pPr>
            <w:r w:rsidRPr="0020529C">
              <w:t>Closing capital base</w:t>
            </w:r>
          </w:p>
        </w:tc>
        <w:tc>
          <w:tcPr>
            <w:tcW w:w="606"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1087.8</w:t>
            </w:r>
          </w:p>
        </w:tc>
        <w:tc>
          <w:tcPr>
            <w:tcW w:w="606"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1109.1</w:t>
            </w:r>
          </w:p>
        </w:tc>
        <w:tc>
          <w:tcPr>
            <w:tcW w:w="606"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1135.7</w:t>
            </w:r>
          </w:p>
        </w:tc>
        <w:tc>
          <w:tcPr>
            <w:tcW w:w="606"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1166.1</w:t>
            </w:r>
          </w:p>
        </w:tc>
        <w:tc>
          <w:tcPr>
            <w:tcW w:w="605" w:type="pct"/>
            <w:noWrap/>
          </w:tcPr>
          <w:p w:rsidR="0020529C" w:rsidRPr="0020529C" w:rsidRDefault="0020529C" w:rsidP="0003592B">
            <w:pPr>
              <w:keepNext/>
              <w:cnfStyle w:val="000000000000" w:firstRow="0" w:lastRow="0" w:firstColumn="0" w:lastColumn="0" w:oddVBand="0" w:evenVBand="0" w:oddHBand="0" w:evenHBand="0" w:firstRowFirstColumn="0" w:firstRowLastColumn="0" w:lastRowFirstColumn="0" w:lastRowLastColumn="0"/>
            </w:pPr>
            <w:r w:rsidRPr="0020529C">
              <w:t>1190.8</w:t>
            </w:r>
          </w:p>
        </w:tc>
      </w:tr>
      <w:tr w:rsidR="0020529C" w:rsidRPr="0020529C" w:rsidTr="0020529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20529C" w:rsidRPr="0020529C" w:rsidRDefault="0020529C" w:rsidP="0003592B">
            <w:pPr>
              <w:keepNext/>
              <w:rPr>
                <w:rStyle w:val="Strong"/>
              </w:rPr>
            </w:pPr>
            <w:r w:rsidRPr="0020529C">
              <w:rPr>
                <w:rStyle w:val="Strong"/>
              </w:rPr>
              <w:t>Opening capital base as at 1 January 201</w:t>
            </w:r>
            <w:r w:rsidR="002E145F">
              <w:rPr>
                <w:rStyle w:val="Strong"/>
              </w:rPr>
              <w:t>8</w:t>
            </w:r>
          </w:p>
        </w:tc>
        <w:tc>
          <w:tcPr>
            <w:tcW w:w="606" w:type="pct"/>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rPr>
                <w:rStyle w:val="Strong"/>
              </w:rPr>
            </w:pPr>
            <w:r w:rsidRPr="0020529C">
              <w:rPr>
                <w:rStyle w:val="Strong"/>
              </w:rPr>
              <w:t> </w:t>
            </w:r>
          </w:p>
        </w:tc>
        <w:tc>
          <w:tcPr>
            <w:tcW w:w="606"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rPr>
                <w:rStyle w:val="Strong"/>
              </w:rPr>
            </w:pPr>
            <w:r w:rsidRPr="0020529C">
              <w:rPr>
                <w:rStyle w:val="Strong"/>
              </w:rPr>
              <w:t> </w:t>
            </w:r>
          </w:p>
        </w:tc>
        <w:tc>
          <w:tcPr>
            <w:tcW w:w="606"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rPr>
                <w:rStyle w:val="Strong"/>
              </w:rPr>
            </w:pPr>
            <w:r w:rsidRPr="0020529C">
              <w:rPr>
                <w:rStyle w:val="Strong"/>
              </w:rPr>
              <w:t> </w:t>
            </w:r>
          </w:p>
        </w:tc>
        <w:tc>
          <w:tcPr>
            <w:tcW w:w="606"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rPr>
                <w:rStyle w:val="Strong"/>
              </w:rPr>
            </w:pPr>
            <w:r w:rsidRPr="0020529C">
              <w:rPr>
                <w:rStyle w:val="Strong"/>
              </w:rPr>
              <w:t> </w:t>
            </w:r>
          </w:p>
        </w:tc>
        <w:tc>
          <w:tcPr>
            <w:tcW w:w="605" w:type="pct"/>
            <w:noWrap/>
          </w:tcPr>
          <w:p w:rsidR="0020529C" w:rsidRPr="0020529C" w:rsidRDefault="0020529C" w:rsidP="0003592B">
            <w:pPr>
              <w:keepNext/>
              <w:cnfStyle w:val="000000010000" w:firstRow="0" w:lastRow="0" w:firstColumn="0" w:lastColumn="0" w:oddVBand="0" w:evenVBand="0" w:oddHBand="0" w:evenHBand="1" w:firstRowFirstColumn="0" w:firstRowLastColumn="0" w:lastRowFirstColumn="0" w:lastRowLastColumn="0"/>
              <w:rPr>
                <w:rStyle w:val="Strong"/>
              </w:rPr>
            </w:pPr>
            <w:r w:rsidRPr="0020529C">
              <w:rPr>
                <w:rStyle w:val="Strong"/>
              </w:rPr>
              <w:t>1190.8</w:t>
            </w:r>
            <w:r w:rsidR="006A4193" w:rsidRPr="00FA7FE6">
              <w:rPr>
                <w:rStyle w:val="AERsuperscript"/>
              </w:rPr>
              <w:t>a</w:t>
            </w:r>
          </w:p>
        </w:tc>
      </w:tr>
    </w:tbl>
    <w:p w:rsidR="0009510A" w:rsidRDefault="0009510A" w:rsidP="0003592B">
      <w:pPr>
        <w:pStyle w:val="AERtablesource"/>
        <w:keepNext/>
      </w:pPr>
      <w:r>
        <w:t>Source:</w:t>
      </w:r>
      <w:r>
        <w:tab/>
      </w:r>
      <w:r w:rsidR="007036B1" w:rsidRPr="007036B1">
        <w:t>Multinet Gas - 0.2 - Roll Forward Model - 20161221 - PUBLIC</w:t>
      </w:r>
      <w:r>
        <w:t>.</w:t>
      </w:r>
    </w:p>
    <w:p w:rsidR="0025714A" w:rsidRPr="0025714A" w:rsidRDefault="0025714A" w:rsidP="0003592B">
      <w:pPr>
        <w:pStyle w:val="AERtablesource"/>
        <w:keepNext/>
      </w:pPr>
      <w:r>
        <w:t>(a)</w:t>
      </w:r>
      <w:r>
        <w:tab/>
      </w:r>
      <w:r w:rsidR="00D148B3">
        <w:t>There is no true-up required for 2012capex. This is because a</w:t>
      </w:r>
      <w:r>
        <w:t>ctual 2012 capex was included in Multinet's 2013 approved opening capital base</w:t>
      </w:r>
      <w:r w:rsidR="00D92AC2">
        <w:t xml:space="preserve">. </w:t>
      </w:r>
      <w:r w:rsidR="00D92AC2" w:rsidRPr="00D92AC2">
        <w:t>This occurred as part of the amendments to the 2013–17 access arrangement that followed a decision by the Australian Competition Tribunal.</w:t>
      </w:r>
    </w:p>
    <w:p w:rsidR="0009510A" w:rsidRDefault="0009510A" w:rsidP="0009510A">
      <w:r>
        <w:t>Multinet</w:t>
      </w:r>
      <w:r w:rsidRPr="001A26B7">
        <w:t xml:space="preserve"> proposed a projected closing capital base as at 3</w:t>
      </w:r>
      <w:r>
        <w:t>1</w:t>
      </w:r>
      <w:r w:rsidRPr="001A26B7">
        <w:t xml:space="preserve"> </w:t>
      </w:r>
      <w:r>
        <w:t>December</w:t>
      </w:r>
      <w:r w:rsidRPr="001A26B7">
        <w:t xml:space="preserve"> 202</w:t>
      </w:r>
      <w:r>
        <w:t>2</w:t>
      </w:r>
      <w:r w:rsidRPr="001A26B7">
        <w:t xml:space="preserve"> of $</w:t>
      </w:r>
      <w:r>
        <w:t>1446.1 </w:t>
      </w:r>
      <w:r w:rsidRPr="001A26B7">
        <w:t>million ($</w:t>
      </w:r>
      <w:r>
        <w:t> </w:t>
      </w:r>
      <w:r w:rsidRPr="001A26B7">
        <w:t xml:space="preserve">nominal). </w:t>
      </w:r>
      <w:r>
        <w:t>Multinet</w:t>
      </w:r>
      <w:r w:rsidRPr="001A26B7">
        <w:t xml:space="preserve"> determined this value by adjusting the closing value at </w:t>
      </w:r>
      <w:r>
        <w:t>31</w:t>
      </w:r>
      <w:r w:rsidRPr="001A26B7">
        <w:t xml:space="preserve"> </w:t>
      </w:r>
      <w:r>
        <w:t>December</w:t>
      </w:r>
      <w:r w:rsidRPr="001A26B7">
        <w:t xml:space="preserve"> 201</w:t>
      </w:r>
      <w:r>
        <w:t>7</w:t>
      </w:r>
      <w:r w:rsidRPr="001A26B7">
        <w:t xml:space="preserve"> for forecast net capex (attachment 6), depreciation (attachment 5) and </w:t>
      </w:r>
      <w:r w:rsidR="00D148B3">
        <w:t xml:space="preserve">expected </w:t>
      </w:r>
      <w:r w:rsidRPr="001A26B7">
        <w:t>inflation (attachment 3). The projected roll forward of the capital base during the 201</w:t>
      </w:r>
      <w:r>
        <w:t>8</w:t>
      </w:r>
      <w:r w:rsidRPr="001A26B7">
        <w:t>–2</w:t>
      </w:r>
      <w:r>
        <w:t>2</w:t>
      </w:r>
      <w:r w:rsidRPr="001A26B7">
        <w:t xml:space="preserve"> access arrangement </w:t>
      </w:r>
      <w:proofErr w:type="gramStart"/>
      <w:r w:rsidRPr="001A26B7">
        <w:t>period</w:t>
      </w:r>
      <w:proofErr w:type="gramEnd"/>
      <w:r w:rsidRPr="001A26B7">
        <w:t xml:space="preserve"> is shown in</w:t>
      </w:r>
      <w:r>
        <w:t xml:space="preserve"> </w:t>
      </w:r>
      <w:r w:rsidR="00ED5020">
        <w:fldChar w:fldCharType="begin"/>
      </w:r>
      <w:r w:rsidR="00ED5020">
        <w:instrText xml:space="preserve"> REF _Ref476211624 \h </w:instrText>
      </w:r>
      <w:r w:rsidR="00ED5020">
        <w:fldChar w:fldCharType="separate"/>
      </w:r>
      <w:r w:rsidR="001E77EC">
        <w:t xml:space="preserve">Table </w:t>
      </w:r>
      <w:r w:rsidR="001E77EC">
        <w:rPr>
          <w:noProof/>
        </w:rPr>
        <w:t>2</w:t>
      </w:r>
      <w:r w:rsidR="001E77EC">
        <w:t>.</w:t>
      </w:r>
      <w:r w:rsidR="001E77EC">
        <w:rPr>
          <w:noProof/>
        </w:rPr>
        <w:t>4</w:t>
      </w:r>
      <w:r w:rsidR="00ED5020">
        <w:fldChar w:fldCharType="end"/>
      </w:r>
      <w:r>
        <w:t>.</w:t>
      </w:r>
    </w:p>
    <w:p w:rsidR="0009510A" w:rsidRDefault="0009510A" w:rsidP="007036B1">
      <w:pPr>
        <w:pStyle w:val="Caption"/>
      </w:pPr>
      <w:bookmarkStart w:id="77" w:name="_Ref476211624"/>
      <w:proofErr w:type="gramStart"/>
      <w:r>
        <w:t xml:space="preserve">Table </w:t>
      </w:r>
      <w:proofErr w:type="gramEnd"/>
      <w:r w:rsidR="00574B35">
        <w:fldChar w:fldCharType="begin"/>
      </w:r>
      <w:r w:rsidR="00574B35">
        <w:instrText xml:space="preserve"> STYLEREF 1 \s </w:instrText>
      </w:r>
      <w:r w:rsidR="00574B35">
        <w:fldChar w:fldCharType="separate"/>
      </w:r>
      <w:r w:rsidR="001E77EC">
        <w:rPr>
          <w:noProof/>
        </w:rPr>
        <w:t>2</w:t>
      </w:r>
      <w:r w:rsidR="00574B35">
        <w:rPr>
          <w:noProof/>
        </w:rPr>
        <w:fldChar w:fldCharType="end"/>
      </w:r>
      <w:proofErr w:type="gramStart"/>
      <w:r>
        <w:t>.</w:t>
      </w:r>
      <w:proofErr w:type="gramEnd"/>
      <w:r w:rsidR="00796D48">
        <w:fldChar w:fldCharType="begin"/>
      </w:r>
      <w:r w:rsidR="00796D48">
        <w:instrText xml:space="preserve"> SEQ Table \* ARABIC \s 1 </w:instrText>
      </w:r>
      <w:r w:rsidR="00796D48">
        <w:fldChar w:fldCharType="separate"/>
      </w:r>
      <w:r w:rsidR="001E77EC">
        <w:rPr>
          <w:noProof/>
        </w:rPr>
        <w:t>4</w:t>
      </w:r>
      <w:r w:rsidR="00796D48">
        <w:rPr>
          <w:noProof/>
        </w:rPr>
        <w:fldChar w:fldCharType="end"/>
      </w:r>
      <w:bookmarkEnd w:id="77"/>
      <w:r>
        <w:tab/>
      </w:r>
      <w:r w:rsidR="00ED5020">
        <w:t>Multinet</w:t>
      </w:r>
      <w:r w:rsidR="00ED5020" w:rsidRPr="00ED5020">
        <w:t>’s proposed projected capital base roll forward during the 2018–22 access arrangement period ($million, nominal)</w:t>
      </w:r>
    </w:p>
    <w:tbl>
      <w:tblPr>
        <w:tblStyle w:val="AERtable-numbers"/>
        <w:tblW w:w="5000" w:type="pct"/>
        <w:tblLook w:val="04A0" w:firstRow="1" w:lastRow="0" w:firstColumn="1" w:lastColumn="0" w:noHBand="0" w:noVBand="1"/>
      </w:tblPr>
      <w:tblGrid>
        <w:gridCol w:w="3268"/>
        <w:gridCol w:w="1085"/>
        <w:gridCol w:w="1085"/>
        <w:gridCol w:w="1085"/>
        <w:gridCol w:w="1085"/>
        <w:gridCol w:w="1085"/>
      </w:tblGrid>
      <w:tr w:rsidR="0009510A" w:rsidRPr="00FC60A9" w:rsidTr="0020529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80" w:type="pct"/>
            <w:noWrap/>
            <w:hideMark/>
          </w:tcPr>
          <w:p w:rsidR="0009510A" w:rsidRPr="00FC60A9" w:rsidRDefault="0009510A" w:rsidP="00EF0A54">
            <w:pPr>
              <w:keepNext/>
              <w:rPr>
                <w:rFonts w:eastAsiaTheme="minorHAnsi" w:cstheme="minorBidi"/>
                <w:b w:val="0"/>
                <w:color w:val="auto"/>
                <w:sz w:val="22"/>
                <w:szCs w:val="22"/>
                <w:lang w:eastAsia="en-US"/>
              </w:rPr>
            </w:pPr>
            <w:r w:rsidRPr="00FC60A9">
              <w:t> </w:t>
            </w:r>
          </w:p>
        </w:tc>
        <w:tc>
          <w:tcPr>
            <w:tcW w:w="624" w:type="pct"/>
            <w:noWrap/>
            <w:hideMark/>
          </w:tcPr>
          <w:p w:rsidR="0009510A" w:rsidRPr="00FC60A9" w:rsidRDefault="0009510A" w:rsidP="00EF0A54">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FC60A9">
              <w:t>2018</w:t>
            </w:r>
          </w:p>
        </w:tc>
        <w:tc>
          <w:tcPr>
            <w:tcW w:w="624" w:type="pct"/>
            <w:noWrap/>
            <w:hideMark/>
          </w:tcPr>
          <w:p w:rsidR="0009510A" w:rsidRPr="00FC60A9" w:rsidRDefault="0009510A" w:rsidP="00EF0A54">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FC60A9">
              <w:t>2019</w:t>
            </w:r>
          </w:p>
        </w:tc>
        <w:tc>
          <w:tcPr>
            <w:tcW w:w="624" w:type="pct"/>
            <w:noWrap/>
            <w:hideMark/>
          </w:tcPr>
          <w:p w:rsidR="0009510A" w:rsidRPr="00FC60A9" w:rsidRDefault="0009510A" w:rsidP="00EF0A54">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FC60A9">
              <w:t>2020</w:t>
            </w:r>
          </w:p>
        </w:tc>
        <w:tc>
          <w:tcPr>
            <w:tcW w:w="624" w:type="pct"/>
            <w:noWrap/>
            <w:hideMark/>
          </w:tcPr>
          <w:p w:rsidR="0009510A" w:rsidRPr="00FC60A9" w:rsidRDefault="0009510A" w:rsidP="00EF0A54">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FC60A9">
              <w:t>2021</w:t>
            </w:r>
          </w:p>
        </w:tc>
        <w:tc>
          <w:tcPr>
            <w:tcW w:w="624" w:type="pct"/>
            <w:noWrap/>
            <w:hideMark/>
          </w:tcPr>
          <w:p w:rsidR="0009510A" w:rsidRPr="00FC60A9" w:rsidRDefault="0009510A" w:rsidP="00EF0A54">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FC60A9">
              <w:t>2022</w:t>
            </w:r>
          </w:p>
        </w:tc>
      </w:tr>
      <w:tr w:rsidR="0020529C" w:rsidRPr="00FC60A9" w:rsidTr="0020529C">
        <w:trPr>
          <w:trHeight w:val="300"/>
        </w:trPr>
        <w:tc>
          <w:tcPr>
            <w:cnfStyle w:val="001000000000" w:firstRow="0" w:lastRow="0" w:firstColumn="1" w:lastColumn="0" w:oddVBand="0" w:evenVBand="0" w:oddHBand="0" w:evenHBand="0" w:firstRowFirstColumn="0" w:firstRowLastColumn="0" w:lastRowFirstColumn="0" w:lastRowLastColumn="0"/>
            <w:tcW w:w="1880" w:type="pct"/>
            <w:noWrap/>
            <w:hideMark/>
          </w:tcPr>
          <w:p w:rsidR="0020529C" w:rsidRPr="0020529C" w:rsidRDefault="0020529C" w:rsidP="00EF0A54">
            <w:pPr>
              <w:keepNext/>
              <w:rPr>
                <w:rFonts w:eastAsiaTheme="minorHAnsi" w:cstheme="minorBidi"/>
                <w:sz w:val="22"/>
                <w:szCs w:val="22"/>
                <w:lang w:eastAsia="en-US"/>
              </w:rPr>
            </w:pPr>
            <w:r w:rsidRPr="0020529C">
              <w:t>Opening capital base</w:t>
            </w:r>
          </w:p>
        </w:tc>
        <w:tc>
          <w:tcPr>
            <w:tcW w:w="624" w:type="pct"/>
            <w:noWrap/>
            <w:vAlign w:val="bottom"/>
          </w:tcPr>
          <w:p w:rsidR="0020529C" w:rsidRPr="0020529C" w:rsidRDefault="0020529C" w:rsidP="00EF0A5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0529C">
              <w:t>1190.8</w:t>
            </w:r>
          </w:p>
        </w:tc>
        <w:tc>
          <w:tcPr>
            <w:tcW w:w="624" w:type="pct"/>
            <w:noWrap/>
            <w:vAlign w:val="bottom"/>
          </w:tcPr>
          <w:p w:rsidR="0020529C" w:rsidRPr="0020529C" w:rsidRDefault="0020529C" w:rsidP="00EF0A5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0529C">
              <w:t>1255.0</w:t>
            </w:r>
          </w:p>
        </w:tc>
        <w:tc>
          <w:tcPr>
            <w:tcW w:w="624" w:type="pct"/>
            <w:noWrap/>
            <w:vAlign w:val="bottom"/>
          </w:tcPr>
          <w:p w:rsidR="0020529C" w:rsidRPr="0020529C" w:rsidRDefault="0020529C" w:rsidP="00EF0A5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0529C">
              <w:t>1301.7</w:t>
            </w:r>
          </w:p>
        </w:tc>
        <w:tc>
          <w:tcPr>
            <w:tcW w:w="624" w:type="pct"/>
            <w:noWrap/>
            <w:vAlign w:val="bottom"/>
          </w:tcPr>
          <w:p w:rsidR="0020529C" w:rsidRPr="0020529C" w:rsidRDefault="0020529C" w:rsidP="00EF0A5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0529C">
              <w:t>1353.9</w:t>
            </w:r>
          </w:p>
        </w:tc>
        <w:tc>
          <w:tcPr>
            <w:tcW w:w="624" w:type="pct"/>
            <w:noWrap/>
            <w:vAlign w:val="bottom"/>
          </w:tcPr>
          <w:p w:rsidR="0020529C" w:rsidRPr="0020529C" w:rsidRDefault="0020529C" w:rsidP="00EF0A5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0529C">
              <w:t>1405.0</w:t>
            </w:r>
          </w:p>
        </w:tc>
      </w:tr>
      <w:tr w:rsidR="0020529C" w:rsidRPr="00FC60A9" w:rsidTr="0020529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80" w:type="pct"/>
            <w:noWrap/>
            <w:hideMark/>
          </w:tcPr>
          <w:p w:rsidR="0020529C" w:rsidRPr="0020529C" w:rsidRDefault="0020529C" w:rsidP="00EF0A54">
            <w:pPr>
              <w:keepNext/>
              <w:rPr>
                <w:rFonts w:eastAsiaTheme="minorHAnsi" w:cstheme="minorBidi"/>
                <w:b/>
                <w:bCs/>
                <w:sz w:val="22"/>
                <w:szCs w:val="22"/>
                <w:lang w:eastAsia="en-US"/>
              </w:rPr>
            </w:pPr>
            <w:r w:rsidRPr="0020529C">
              <w:t>Net capex</w:t>
            </w:r>
          </w:p>
        </w:tc>
        <w:tc>
          <w:tcPr>
            <w:tcW w:w="624" w:type="pct"/>
            <w:noWrap/>
            <w:vAlign w:val="bottom"/>
          </w:tcPr>
          <w:p w:rsidR="0020529C" w:rsidRPr="0020529C" w:rsidRDefault="0020529C" w:rsidP="00EF0A54">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0529C">
              <w:t>110.8</w:t>
            </w:r>
          </w:p>
        </w:tc>
        <w:tc>
          <w:tcPr>
            <w:tcW w:w="624" w:type="pct"/>
            <w:noWrap/>
            <w:vAlign w:val="bottom"/>
          </w:tcPr>
          <w:p w:rsidR="0020529C" w:rsidRPr="0020529C" w:rsidRDefault="0020529C" w:rsidP="00EF0A54">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0529C">
              <w:t>94.9</w:t>
            </w:r>
          </w:p>
        </w:tc>
        <w:tc>
          <w:tcPr>
            <w:tcW w:w="624" w:type="pct"/>
            <w:noWrap/>
            <w:vAlign w:val="bottom"/>
          </w:tcPr>
          <w:p w:rsidR="0020529C" w:rsidRPr="0020529C" w:rsidRDefault="0020529C" w:rsidP="00EF0A54">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0529C">
              <w:t>100.9</w:t>
            </w:r>
          </w:p>
        </w:tc>
        <w:tc>
          <w:tcPr>
            <w:tcW w:w="624" w:type="pct"/>
            <w:noWrap/>
            <w:vAlign w:val="bottom"/>
          </w:tcPr>
          <w:p w:rsidR="0020529C" w:rsidRPr="0020529C" w:rsidRDefault="0020529C" w:rsidP="00EF0A54">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0529C">
              <w:t>103.0</w:t>
            </w:r>
          </w:p>
        </w:tc>
        <w:tc>
          <w:tcPr>
            <w:tcW w:w="624" w:type="pct"/>
            <w:noWrap/>
            <w:vAlign w:val="bottom"/>
          </w:tcPr>
          <w:p w:rsidR="0020529C" w:rsidRPr="0020529C" w:rsidRDefault="0020529C" w:rsidP="00EF0A54">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0529C">
              <w:t>96.6</w:t>
            </w:r>
          </w:p>
        </w:tc>
      </w:tr>
      <w:tr w:rsidR="0020529C" w:rsidRPr="00FC60A9" w:rsidTr="0020529C">
        <w:trPr>
          <w:trHeight w:val="285"/>
        </w:trPr>
        <w:tc>
          <w:tcPr>
            <w:cnfStyle w:val="001000000000" w:firstRow="0" w:lastRow="0" w:firstColumn="1" w:lastColumn="0" w:oddVBand="0" w:evenVBand="0" w:oddHBand="0" w:evenHBand="0" w:firstRowFirstColumn="0" w:firstRowLastColumn="0" w:lastRowFirstColumn="0" w:lastRowLastColumn="0"/>
            <w:tcW w:w="1880" w:type="pct"/>
            <w:noWrap/>
            <w:hideMark/>
          </w:tcPr>
          <w:p w:rsidR="0020529C" w:rsidRPr="0020529C" w:rsidRDefault="0020529C" w:rsidP="00EF0A54">
            <w:pPr>
              <w:keepNext/>
              <w:rPr>
                <w:rFonts w:eastAsiaTheme="minorHAnsi" w:cstheme="minorBidi"/>
                <w:b/>
                <w:bCs/>
                <w:sz w:val="22"/>
                <w:szCs w:val="22"/>
                <w:lang w:eastAsia="en-US"/>
              </w:rPr>
            </w:pPr>
            <w:r w:rsidRPr="0020529C">
              <w:t>Indexation of capital base</w:t>
            </w:r>
          </w:p>
        </w:tc>
        <w:tc>
          <w:tcPr>
            <w:tcW w:w="624" w:type="pct"/>
            <w:noWrap/>
            <w:vAlign w:val="bottom"/>
          </w:tcPr>
          <w:p w:rsidR="0020529C" w:rsidRPr="0020529C" w:rsidRDefault="0020529C" w:rsidP="00EF0A5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0529C">
              <w:t>20.0</w:t>
            </w:r>
          </w:p>
        </w:tc>
        <w:tc>
          <w:tcPr>
            <w:tcW w:w="624" w:type="pct"/>
            <w:noWrap/>
            <w:vAlign w:val="bottom"/>
          </w:tcPr>
          <w:p w:rsidR="0020529C" w:rsidRPr="0020529C" w:rsidRDefault="0020529C" w:rsidP="00EF0A5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0529C">
              <w:t>21.1</w:t>
            </w:r>
          </w:p>
        </w:tc>
        <w:tc>
          <w:tcPr>
            <w:tcW w:w="624" w:type="pct"/>
            <w:noWrap/>
            <w:vAlign w:val="bottom"/>
          </w:tcPr>
          <w:p w:rsidR="0020529C" w:rsidRPr="0020529C" w:rsidRDefault="0020529C" w:rsidP="00EF0A5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0529C">
              <w:t>21.9</w:t>
            </w:r>
          </w:p>
        </w:tc>
        <w:tc>
          <w:tcPr>
            <w:tcW w:w="624" w:type="pct"/>
            <w:noWrap/>
            <w:vAlign w:val="bottom"/>
          </w:tcPr>
          <w:p w:rsidR="0020529C" w:rsidRPr="0020529C" w:rsidRDefault="0020529C" w:rsidP="00EF0A5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0529C">
              <w:t>22.7</w:t>
            </w:r>
          </w:p>
        </w:tc>
        <w:tc>
          <w:tcPr>
            <w:tcW w:w="624" w:type="pct"/>
            <w:noWrap/>
            <w:vAlign w:val="bottom"/>
          </w:tcPr>
          <w:p w:rsidR="0020529C" w:rsidRPr="0020529C" w:rsidRDefault="0020529C" w:rsidP="00EF0A5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0529C">
              <w:t>23.6</w:t>
            </w:r>
          </w:p>
        </w:tc>
      </w:tr>
      <w:tr w:rsidR="0020529C" w:rsidRPr="00FC60A9" w:rsidTr="0020529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80" w:type="pct"/>
            <w:noWrap/>
            <w:hideMark/>
          </w:tcPr>
          <w:p w:rsidR="0020529C" w:rsidRPr="0020529C" w:rsidRDefault="0020529C" w:rsidP="00EF0A54">
            <w:pPr>
              <w:keepNext/>
              <w:rPr>
                <w:rFonts w:eastAsiaTheme="minorHAnsi" w:cstheme="minorBidi"/>
                <w:b/>
                <w:bCs/>
                <w:sz w:val="22"/>
                <w:szCs w:val="22"/>
                <w:lang w:eastAsia="en-US"/>
              </w:rPr>
            </w:pPr>
            <w:r w:rsidRPr="008B630D">
              <w:rPr>
                <w:rStyle w:val="AERtextitalic"/>
              </w:rPr>
              <w:t>Less:</w:t>
            </w:r>
            <w:r w:rsidRPr="0020529C">
              <w:t xml:space="preserve"> straight-line depreciation</w:t>
            </w:r>
          </w:p>
        </w:tc>
        <w:tc>
          <w:tcPr>
            <w:tcW w:w="624" w:type="pct"/>
            <w:noWrap/>
            <w:vAlign w:val="bottom"/>
          </w:tcPr>
          <w:p w:rsidR="0020529C" w:rsidRPr="0020529C" w:rsidRDefault="0020529C" w:rsidP="00EF0A54">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0529C">
              <w:t>66.6</w:t>
            </w:r>
          </w:p>
        </w:tc>
        <w:tc>
          <w:tcPr>
            <w:tcW w:w="624" w:type="pct"/>
            <w:noWrap/>
            <w:vAlign w:val="bottom"/>
          </w:tcPr>
          <w:p w:rsidR="0020529C" w:rsidRPr="0020529C" w:rsidRDefault="0020529C" w:rsidP="00EF0A54">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0529C">
              <w:t>69.3</w:t>
            </w:r>
          </w:p>
        </w:tc>
        <w:tc>
          <w:tcPr>
            <w:tcW w:w="624" w:type="pct"/>
            <w:noWrap/>
            <w:vAlign w:val="bottom"/>
          </w:tcPr>
          <w:p w:rsidR="0020529C" w:rsidRPr="0020529C" w:rsidRDefault="0020529C" w:rsidP="00EF0A54">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0529C">
              <w:t>70.5</w:t>
            </w:r>
          </w:p>
        </w:tc>
        <w:tc>
          <w:tcPr>
            <w:tcW w:w="624" w:type="pct"/>
            <w:noWrap/>
            <w:vAlign w:val="bottom"/>
          </w:tcPr>
          <w:p w:rsidR="0020529C" w:rsidRPr="0020529C" w:rsidRDefault="0020529C" w:rsidP="00EF0A54">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0529C">
              <w:t>74.7</w:t>
            </w:r>
          </w:p>
        </w:tc>
        <w:tc>
          <w:tcPr>
            <w:tcW w:w="624" w:type="pct"/>
            <w:noWrap/>
            <w:vAlign w:val="bottom"/>
          </w:tcPr>
          <w:p w:rsidR="0020529C" w:rsidRPr="0020529C" w:rsidRDefault="0020529C" w:rsidP="00EF0A54">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0529C">
              <w:t>79.1</w:t>
            </w:r>
          </w:p>
        </w:tc>
      </w:tr>
      <w:tr w:rsidR="0020529C" w:rsidRPr="0089157D" w:rsidTr="0020529C">
        <w:trPr>
          <w:trHeight w:val="300"/>
        </w:trPr>
        <w:tc>
          <w:tcPr>
            <w:cnfStyle w:val="001000000000" w:firstRow="0" w:lastRow="0" w:firstColumn="1" w:lastColumn="0" w:oddVBand="0" w:evenVBand="0" w:oddHBand="0" w:evenHBand="0" w:firstRowFirstColumn="0" w:firstRowLastColumn="0" w:lastRowFirstColumn="0" w:lastRowLastColumn="0"/>
            <w:tcW w:w="1880" w:type="pct"/>
            <w:noWrap/>
            <w:hideMark/>
          </w:tcPr>
          <w:p w:rsidR="0020529C" w:rsidRPr="0089157D" w:rsidRDefault="0020529C" w:rsidP="00EF0A54">
            <w:pPr>
              <w:keepNext/>
              <w:rPr>
                <w:rStyle w:val="Strong"/>
              </w:rPr>
            </w:pPr>
            <w:r w:rsidRPr="0089157D">
              <w:rPr>
                <w:rStyle w:val="Strong"/>
              </w:rPr>
              <w:t>Closing capital base</w:t>
            </w:r>
          </w:p>
        </w:tc>
        <w:tc>
          <w:tcPr>
            <w:tcW w:w="624" w:type="pct"/>
            <w:noWrap/>
            <w:vAlign w:val="bottom"/>
          </w:tcPr>
          <w:p w:rsidR="0020529C" w:rsidRPr="0089157D" w:rsidRDefault="0020529C" w:rsidP="00EF0A54">
            <w:pPr>
              <w:keepNext/>
              <w:cnfStyle w:val="000000000000" w:firstRow="0" w:lastRow="0" w:firstColumn="0" w:lastColumn="0" w:oddVBand="0" w:evenVBand="0" w:oddHBand="0" w:evenHBand="0" w:firstRowFirstColumn="0" w:firstRowLastColumn="0" w:lastRowFirstColumn="0" w:lastRowLastColumn="0"/>
              <w:rPr>
                <w:rStyle w:val="Strong"/>
              </w:rPr>
            </w:pPr>
            <w:r w:rsidRPr="0089157D">
              <w:rPr>
                <w:rStyle w:val="Strong"/>
              </w:rPr>
              <w:t>1255.0</w:t>
            </w:r>
          </w:p>
        </w:tc>
        <w:tc>
          <w:tcPr>
            <w:tcW w:w="624" w:type="pct"/>
            <w:noWrap/>
            <w:vAlign w:val="bottom"/>
          </w:tcPr>
          <w:p w:rsidR="0020529C" w:rsidRPr="0089157D" w:rsidRDefault="0020529C" w:rsidP="00EF0A54">
            <w:pPr>
              <w:keepNext/>
              <w:cnfStyle w:val="000000000000" w:firstRow="0" w:lastRow="0" w:firstColumn="0" w:lastColumn="0" w:oddVBand="0" w:evenVBand="0" w:oddHBand="0" w:evenHBand="0" w:firstRowFirstColumn="0" w:firstRowLastColumn="0" w:lastRowFirstColumn="0" w:lastRowLastColumn="0"/>
              <w:rPr>
                <w:rStyle w:val="Strong"/>
              </w:rPr>
            </w:pPr>
            <w:r w:rsidRPr="0089157D">
              <w:rPr>
                <w:rStyle w:val="Strong"/>
              </w:rPr>
              <w:t>1301.7</w:t>
            </w:r>
          </w:p>
        </w:tc>
        <w:tc>
          <w:tcPr>
            <w:tcW w:w="624" w:type="pct"/>
            <w:noWrap/>
            <w:vAlign w:val="bottom"/>
          </w:tcPr>
          <w:p w:rsidR="0020529C" w:rsidRPr="0089157D" w:rsidRDefault="0020529C" w:rsidP="00EF0A54">
            <w:pPr>
              <w:keepNext/>
              <w:cnfStyle w:val="000000000000" w:firstRow="0" w:lastRow="0" w:firstColumn="0" w:lastColumn="0" w:oddVBand="0" w:evenVBand="0" w:oddHBand="0" w:evenHBand="0" w:firstRowFirstColumn="0" w:firstRowLastColumn="0" w:lastRowFirstColumn="0" w:lastRowLastColumn="0"/>
              <w:rPr>
                <w:rStyle w:val="Strong"/>
              </w:rPr>
            </w:pPr>
            <w:r w:rsidRPr="0089157D">
              <w:rPr>
                <w:rStyle w:val="Strong"/>
              </w:rPr>
              <w:t>1353.9</w:t>
            </w:r>
          </w:p>
        </w:tc>
        <w:tc>
          <w:tcPr>
            <w:tcW w:w="624" w:type="pct"/>
            <w:noWrap/>
            <w:vAlign w:val="bottom"/>
          </w:tcPr>
          <w:p w:rsidR="0020529C" w:rsidRPr="0089157D" w:rsidRDefault="0020529C" w:rsidP="00EF0A54">
            <w:pPr>
              <w:keepNext/>
              <w:cnfStyle w:val="000000000000" w:firstRow="0" w:lastRow="0" w:firstColumn="0" w:lastColumn="0" w:oddVBand="0" w:evenVBand="0" w:oddHBand="0" w:evenHBand="0" w:firstRowFirstColumn="0" w:firstRowLastColumn="0" w:lastRowFirstColumn="0" w:lastRowLastColumn="0"/>
              <w:rPr>
                <w:rStyle w:val="Strong"/>
              </w:rPr>
            </w:pPr>
            <w:r w:rsidRPr="0089157D">
              <w:rPr>
                <w:rStyle w:val="Strong"/>
              </w:rPr>
              <w:t>1405.0</w:t>
            </w:r>
          </w:p>
        </w:tc>
        <w:tc>
          <w:tcPr>
            <w:tcW w:w="624" w:type="pct"/>
            <w:noWrap/>
            <w:vAlign w:val="bottom"/>
          </w:tcPr>
          <w:p w:rsidR="0020529C" w:rsidRPr="0089157D" w:rsidRDefault="0020529C" w:rsidP="00EF0A54">
            <w:pPr>
              <w:keepNext/>
              <w:cnfStyle w:val="000000000000" w:firstRow="0" w:lastRow="0" w:firstColumn="0" w:lastColumn="0" w:oddVBand="0" w:evenVBand="0" w:oddHBand="0" w:evenHBand="0" w:firstRowFirstColumn="0" w:firstRowLastColumn="0" w:lastRowFirstColumn="0" w:lastRowLastColumn="0"/>
              <w:rPr>
                <w:rStyle w:val="Strong"/>
              </w:rPr>
            </w:pPr>
            <w:r w:rsidRPr="0089157D">
              <w:rPr>
                <w:rStyle w:val="Strong"/>
              </w:rPr>
              <w:t>1446.1</w:t>
            </w:r>
          </w:p>
        </w:tc>
      </w:tr>
    </w:tbl>
    <w:p w:rsidR="00ED5020" w:rsidRDefault="00ED5020" w:rsidP="00EF0A54">
      <w:pPr>
        <w:pStyle w:val="AERtablesource"/>
        <w:keepNext/>
      </w:pPr>
      <w:r>
        <w:t>Source:</w:t>
      </w:r>
      <w:r>
        <w:tab/>
      </w:r>
      <w:r w:rsidR="007036B1" w:rsidRPr="007036B1">
        <w:t>Multinet Gas - 0.1 - Access Arrangement Review Pricing Model - 20161221 - PUBLIC</w:t>
      </w:r>
      <w:r>
        <w:t>.</w:t>
      </w:r>
    </w:p>
    <w:p w:rsidR="0009510A" w:rsidRDefault="00ED5020" w:rsidP="0009510A">
      <w:r>
        <w:t>Multinet</w:t>
      </w:r>
      <w:r w:rsidRPr="00FC60A9">
        <w:t xml:space="preserve"> propos</w:t>
      </w:r>
      <w:r>
        <w:t xml:space="preserve">ed to use forecast depreciation </w:t>
      </w:r>
      <w:r w:rsidRPr="00FC60A9">
        <w:t xml:space="preserve">to determine the opening capital base as at 1 </w:t>
      </w:r>
      <w:r>
        <w:t>January</w:t>
      </w:r>
      <w:r w:rsidRPr="00FC60A9">
        <w:t xml:space="preserve"> 202</w:t>
      </w:r>
      <w:r>
        <w:t>2, consistent with the approach applied in th</w:t>
      </w:r>
      <w:r w:rsidR="00BA2BE8">
        <w:t>e</w:t>
      </w:r>
      <w:r>
        <w:t xml:space="preserve"> </w:t>
      </w:r>
      <w:r w:rsidR="00D148B3">
        <w:t>access arrangement</w:t>
      </w:r>
      <w:r w:rsidR="00BA2BE8">
        <w:t xml:space="preserve"> </w:t>
      </w:r>
      <w:r w:rsidR="00D148B3">
        <w:t>for the 2013–17 period</w:t>
      </w:r>
      <w:r>
        <w:t>.</w:t>
      </w:r>
      <w:r>
        <w:rPr>
          <w:rStyle w:val="FootnoteReference"/>
        </w:rPr>
        <w:footnoteReference w:id="2"/>
      </w:r>
    </w:p>
    <w:p w:rsidR="00132D43" w:rsidRDefault="00132D43" w:rsidP="00132D43">
      <w:pPr>
        <w:pStyle w:val="Heading2"/>
      </w:pPr>
      <w:bookmarkStart w:id="78" w:name="_Toc486954831"/>
      <w:r>
        <w:t>Assessment approach</w:t>
      </w:r>
      <w:bookmarkEnd w:id="78"/>
    </w:p>
    <w:p w:rsidR="00ED5020" w:rsidRDefault="00ED5020" w:rsidP="00ED5020">
      <w:r w:rsidRPr="00FC60A9">
        <w:t xml:space="preserve">Our approach to assessing </w:t>
      </w:r>
      <w:r>
        <w:t>Multinet</w:t>
      </w:r>
      <w:r w:rsidRPr="00FC60A9">
        <w:t>'s projected capital base is consistent with that adopted in previous gas decisions made under the NGR.</w:t>
      </w:r>
      <w:r>
        <w:rPr>
          <w:rStyle w:val="FootnoteReference"/>
        </w:rPr>
        <w:footnoteReference w:id="3"/>
      </w:r>
      <w:r w:rsidRPr="00FC60A9">
        <w:t xml:space="preserve"> In accordance with rule 77(2) and rule 78 of the NGR, we applied three steps to calculate the projected capital base:</w:t>
      </w:r>
    </w:p>
    <w:p w:rsidR="00ED5020" w:rsidRDefault="00ED5020" w:rsidP="00ED5020">
      <w:pPr>
        <w:pStyle w:val="AERbulletlistfirststyle"/>
      </w:pPr>
      <w:r w:rsidRPr="00FC60A9">
        <w:t>First, we confirm the value of the opening capital base for the first year of the 201</w:t>
      </w:r>
      <w:r>
        <w:t>3</w:t>
      </w:r>
      <w:r w:rsidRPr="00ED5020">
        <w:t>─</w:t>
      </w:r>
      <w:r w:rsidRPr="00FC60A9">
        <w:t>1</w:t>
      </w:r>
      <w:r>
        <w:t>7</w:t>
      </w:r>
      <w:r w:rsidRPr="00FC60A9">
        <w:t xml:space="preserve"> access arrangement period (in this case, 1 </w:t>
      </w:r>
      <w:r>
        <w:t>January</w:t>
      </w:r>
      <w:r w:rsidRPr="00FC60A9">
        <w:t xml:space="preserve"> 201</w:t>
      </w:r>
      <w:r>
        <w:t>3</w:t>
      </w:r>
      <w:r w:rsidRPr="00FC60A9">
        <w:t>). This includes making an adjustment to account for any difference between actual and estimated capex in the final year of the previous access arrangement period (in this case, 201</w:t>
      </w:r>
      <w:r>
        <w:t>2</w:t>
      </w:r>
      <w:r w:rsidRPr="00FC60A9">
        <w:t>).</w:t>
      </w:r>
      <w:r w:rsidR="00BA2BE8">
        <w:rPr>
          <w:rStyle w:val="FootnoteReference"/>
        </w:rPr>
        <w:footnoteReference w:id="4"/>
      </w:r>
      <w:r w:rsidRPr="00FC60A9">
        <w:t xml:space="preserve"> This adjustment must also remove any benefit or penalty associated with any difference between the estimated </w:t>
      </w:r>
      <w:r>
        <w:t>and actual capex for that year.</w:t>
      </w:r>
      <w:r>
        <w:rPr>
          <w:rStyle w:val="FootnoteReference"/>
        </w:rPr>
        <w:footnoteReference w:id="5"/>
      </w:r>
      <w:r w:rsidRPr="00FC60A9">
        <w:t xml:space="preserve"> We note that this adjustment is subject to any further changes made in our assessment of conforming capex for </w:t>
      </w:r>
      <w:r>
        <w:t>2012</w:t>
      </w:r>
      <w:r w:rsidRPr="00FC60A9">
        <w:t>.</w:t>
      </w:r>
    </w:p>
    <w:p w:rsidR="00ED5020" w:rsidRDefault="00ED5020" w:rsidP="00ED5020">
      <w:pPr>
        <w:pStyle w:val="AERbulletlistfirststyle"/>
      </w:pPr>
      <w:r w:rsidRPr="00FC60A9">
        <w:t xml:space="preserve">Second, the opening capital base as at 1 </w:t>
      </w:r>
      <w:r>
        <w:t>January</w:t>
      </w:r>
      <w:r w:rsidRPr="00FC60A9">
        <w:t xml:space="preserve"> 201</w:t>
      </w:r>
      <w:r>
        <w:t>3</w:t>
      </w:r>
      <w:r w:rsidRPr="00FC60A9">
        <w:t xml:space="preserve"> is rolled forward to determine the closing capital base as at 3</w:t>
      </w:r>
      <w:r>
        <w:t>1</w:t>
      </w:r>
      <w:r w:rsidRPr="00FC60A9">
        <w:t xml:space="preserve"> </w:t>
      </w:r>
      <w:r>
        <w:t>December</w:t>
      </w:r>
      <w:r w:rsidRPr="00FC60A9">
        <w:t xml:space="preserve"> 201</w:t>
      </w:r>
      <w:r>
        <w:t>7</w:t>
      </w:r>
      <w:r w:rsidRPr="00FC60A9">
        <w:t xml:space="preserve">. This closing capital base is also used as the value of the opening capital base for the access arrangement period as at 1 </w:t>
      </w:r>
      <w:r>
        <w:t>January</w:t>
      </w:r>
      <w:r w:rsidRPr="00FC60A9">
        <w:t xml:space="preserve"> 201</w:t>
      </w:r>
      <w:r>
        <w:t>8</w:t>
      </w:r>
      <w:r w:rsidRPr="00FC60A9">
        <w:t>. This involves:</w:t>
      </w:r>
      <w:r>
        <w:rPr>
          <w:rStyle w:val="FootnoteReference"/>
        </w:rPr>
        <w:footnoteReference w:id="6"/>
      </w:r>
    </w:p>
    <w:p w:rsidR="00ED5020" w:rsidRDefault="00ED5020" w:rsidP="00ED5020">
      <w:pPr>
        <w:pStyle w:val="AERbulletlistsecondstyle"/>
      </w:pPr>
      <w:r w:rsidRPr="00A07A81">
        <w:t>adding conforming actual capex for each year—this requires assessing the capex and determining that it is consistent with the provisions of the 201</w:t>
      </w:r>
      <w:r>
        <w:t>3</w:t>
      </w:r>
      <w:r w:rsidRPr="00ED5020">
        <w:t>─</w:t>
      </w:r>
      <w:r w:rsidRPr="00A07A81">
        <w:t>1</w:t>
      </w:r>
      <w:r>
        <w:t>7</w:t>
      </w:r>
      <w:r w:rsidRPr="00A07A81">
        <w:t xml:space="preserve"> access arrangement and data from audited annual reporting regulatory information notices, as well as the definition of 'conforming capital expenditure' in the NGR</w:t>
      </w:r>
      <w:r>
        <w:rPr>
          <w:rStyle w:val="FootnoteReference"/>
        </w:rPr>
        <w:footnoteReference w:id="7"/>
      </w:r>
    </w:p>
    <w:p w:rsidR="00ED5020" w:rsidRPr="00A07A81" w:rsidRDefault="00ED5020" w:rsidP="00ED5020">
      <w:pPr>
        <w:pStyle w:val="AERbulletlistsecondstyle"/>
      </w:pPr>
      <w:r w:rsidRPr="00A07A81">
        <w:t>removing depreciation for each year based on th</w:t>
      </w:r>
      <w:r>
        <w:t>e approach approved for the 2013</w:t>
      </w:r>
      <w:r w:rsidRPr="00A07A81">
        <w:t>–1</w:t>
      </w:r>
      <w:r>
        <w:t>7</w:t>
      </w:r>
      <w:r w:rsidRPr="00A07A81">
        <w:t xml:space="preserve"> access arrangement</w:t>
      </w:r>
    </w:p>
    <w:p w:rsidR="00ED5020" w:rsidRPr="00A07A81" w:rsidRDefault="00ED5020" w:rsidP="00ED5020">
      <w:pPr>
        <w:pStyle w:val="AERbulletlistsecondstyle"/>
      </w:pPr>
      <w:r w:rsidRPr="00A07A81">
        <w:t>removing any capital contributions during the 201</w:t>
      </w:r>
      <w:r>
        <w:t>3</w:t>
      </w:r>
      <w:r w:rsidRPr="00A07A81">
        <w:t>–1</w:t>
      </w:r>
      <w:r>
        <w:t>7</w:t>
      </w:r>
      <w:r w:rsidRPr="00A07A81">
        <w:t xml:space="preserve"> access arrangement period</w:t>
      </w:r>
      <w:r w:rsidR="001562AA">
        <w:rPr>
          <w:rStyle w:val="FootnoteReference"/>
        </w:rPr>
        <w:footnoteReference w:id="8"/>
      </w:r>
    </w:p>
    <w:p w:rsidR="00ED5020" w:rsidRPr="00A07A81" w:rsidRDefault="00ED5020" w:rsidP="00ED5020">
      <w:pPr>
        <w:pStyle w:val="AERbulletlistsecondstyle"/>
      </w:pPr>
      <w:r w:rsidRPr="00A07A81">
        <w:t>adding any speculative capex or redundant assets that were reused during the 201</w:t>
      </w:r>
      <w:r>
        <w:t>3–17</w:t>
      </w:r>
      <w:r w:rsidRPr="00A07A81">
        <w:t xml:space="preserve"> access arrangement period</w:t>
      </w:r>
    </w:p>
    <w:p w:rsidR="00ED5020" w:rsidRPr="00A07A81" w:rsidRDefault="00ED5020" w:rsidP="00ED5020">
      <w:pPr>
        <w:pStyle w:val="AERbulletlistsecondstyle"/>
      </w:pPr>
      <w:r w:rsidRPr="00A07A81">
        <w:t>removing any redundant assets and disposals during the 201</w:t>
      </w:r>
      <w:r>
        <w:t>3</w:t>
      </w:r>
      <w:r w:rsidRPr="00A07A81">
        <w:t>–1</w:t>
      </w:r>
      <w:r>
        <w:t>7</w:t>
      </w:r>
      <w:r w:rsidRPr="00A07A81">
        <w:t xml:space="preserve"> access arrangement period</w:t>
      </w:r>
    </w:p>
    <w:p w:rsidR="00ED5020" w:rsidRDefault="00ED5020" w:rsidP="00ED5020">
      <w:pPr>
        <w:pStyle w:val="AERbulletlistsecondstyle"/>
      </w:pPr>
      <w:proofErr w:type="gramStart"/>
      <w:r w:rsidRPr="00A07A81">
        <w:t>indexing</w:t>
      </w:r>
      <w:proofErr w:type="gramEnd"/>
      <w:r w:rsidRPr="00A07A81">
        <w:t xml:space="preserve"> the roll forward each year for actual inflation.</w:t>
      </w:r>
    </w:p>
    <w:p w:rsidR="00ED5020" w:rsidRDefault="00ED5020" w:rsidP="00ED5020">
      <w:pPr>
        <w:pStyle w:val="AERbulletlistfirststyle"/>
      </w:pPr>
      <w:r w:rsidRPr="00A07A81">
        <w:t>Third, the capital base is projected over the 201</w:t>
      </w:r>
      <w:r>
        <w:t>8</w:t>
      </w:r>
      <w:r w:rsidRPr="00A07A81">
        <w:t>–2</w:t>
      </w:r>
      <w:r>
        <w:t>2</w:t>
      </w:r>
      <w:r w:rsidRPr="00A07A81">
        <w:t xml:space="preserve"> access arrangement period by rolling forward the opening capital base as at 1 </w:t>
      </w:r>
      <w:r>
        <w:t>January</w:t>
      </w:r>
      <w:r w:rsidRPr="00A07A81">
        <w:t xml:space="preserve"> 201</w:t>
      </w:r>
      <w:r>
        <w:t>8</w:t>
      </w:r>
      <w:r w:rsidRPr="00A07A81">
        <w:t xml:space="preserve"> to 3</w:t>
      </w:r>
      <w:r>
        <w:t>1</w:t>
      </w:r>
      <w:r w:rsidRPr="00A07A81">
        <w:t xml:space="preserve"> </w:t>
      </w:r>
      <w:r>
        <w:t>December</w:t>
      </w:r>
      <w:r w:rsidRPr="00A07A81">
        <w:t xml:space="preserve"> 202</w:t>
      </w:r>
      <w:r>
        <w:t>2</w:t>
      </w:r>
      <w:r w:rsidRPr="00A07A81">
        <w:t>. This involves performing the followi</w:t>
      </w:r>
      <w:r>
        <w:t>ng on the opening capital base:</w:t>
      </w:r>
      <w:r>
        <w:rPr>
          <w:rStyle w:val="FootnoteReference"/>
        </w:rPr>
        <w:footnoteReference w:id="9"/>
      </w:r>
    </w:p>
    <w:p w:rsidR="00ED5020" w:rsidRPr="00A07A81" w:rsidRDefault="00ED5020" w:rsidP="00ED5020">
      <w:pPr>
        <w:pStyle w:val="AERbulletlistsecondstyle"/>
      </w:pPr>
      <w:r w:rsidRPr="00A07A81">
        <w:t>adding forecast conforming capex for each year</w:t>
      </w:r>
      <w:r w:rsidR="001C227A">
        <w:t>, net of</w:t>
      </w:r>
      <w:r w:rsidR="001C227A" w:rsidRPr="006A4DE2">
        <w:t xml:space="preserve"> </w:t>
      </w:r>
      <w:r w:rsidR="001C227A" w:rsidRPr="00FB7479">
        <w:t xml:space="preserve">any </w:t>
      </w:r>
      <w:r w:rsidR="001C227A">
        <w:t xml:space="preserve">forecast </w:t>
      </w:r>
      <w:r w:rsidR="001C227A" w:rsidRPr="00FB7479">
        <w:t>capital contributions</w:t>
      </w:r>
    </w:p>
    <w:p w:rsidR="00ED5020" w:rsidRPr="00A07A81" w:rsidRDefault="00ED5020" w:rsidP="00ED5020">
      <w:pPr>
        <w:pStyle w:val="AERbulletlistsecondstyle"/>
      </w:pPr>
      <w:r w:rsidRPr="00A07A81">
        <w:t>removing forecast depreciation for each year</w:t>
      </w:r>
    </w:p>
    <w:p w:rsidR="00ED5020" w:rsidRPr="00A07A81" w:rsidRDefault="00ED5020" w:rsidP="00ED5020">
      <w:pPr>
        <w:pStyle w:val="AERbulletlistsecondstyle"/>
      </w:pPr>
      <w:r w:rsidRPr="00A07A81">
        <w:t>removing the forecast value of assets t</w:t>
      </w:r>
      <w:r>
        <w:t>o be disposed of during the 2018</w:t>
      </w:r>
      <w:r w:rsidRPr="00A07A81">
        <w:t>–2</w:t>
      </w:r>
      <w:r>
        <w:t>2</w:t>
      </w:r>
      <w:r w:rsidRPr="00A07A81">
        <w:t xml:space="preserve"> access arrangement period</w:t>
      </w:r>
    </w:p>
    <w:p w:rsidR="00132D43" w:rsidRDefault="00ED5020" w:rsidP="00132D43">
      <w:pPr>
        <w:pStyle w:val="AERbulletlistsecondstyle"/>
      </w:pPr>
      <w:proofErr w:type="gramStart"/>
      <w:r w:rsidRPr="00A07A81">
        <w:t>indexing</w:t>
      </w:r>
      <w:proofErr w:type="gramEnd"/>
      <w:r w:rsidRPr="00A07A81">
        <w:t xml:space="preserve"> the capital base of the roll forward each year for </w:t>
      </w:r>
      <w:r>
        <w:t>expected</w:t>
      </w:r>
      <w:r w:rsidRPr="00A07A81">
        <w:t xml:space="preserve"> inflation.</w:t>
      </w:r>
    </w:p>
    <w:p w:rsidR="00132D43" w:rsidRDefault="00132D43" w:rsidP="00132D43">
      <w:pPr>
        <w:pStyle w:val="Heading3"/>
        <w:tabs>
          <w:tab w:val="clear" w:pos="1021"/>
        </w:tabs>
        <w:ind w:left="142" w:hanging="142"/>
      </w:pPr>
      <w:bookmarkStart w:id="79" w:name="_Toc486954832"/>
      <w:r>
        <w:t>Interrelationships</w:t>
      </w:r>
      <w:bookmarkEnd w:id="79"/>
    </w:p>
    <w:p w:rsidR="00ED5020" w:rsidRDefault="00ED5020" w:rsidP="00ED5020">
      <w:r w:rsidRPr="00A07A81">
        <w:t xml:space="preserve">The level of the capital base substantially impacts the service provider's revenue and the price consumers pay. It is an input into the determination of the return on capital and depreciation </w:t>
      </w:r>
      <w:r>
        <w:t>(return of capital) allowances.</w:t>
      </w:r>
      <w:r>
        <w:rPr>
          <w:rStyle w:val="FootnoteReference"/>
        </w:rPr>
        <w:footnoteReference w:id="10"/>
      </w:r>
      <w:r w:rsidRPr="00A07A81">
        <w:t xml:space="preserve"> Factors that influence the capital base will therefore flow through to these building block components and the annual building block revenue requirement. Other things being equal, a higher capital base increases both the return on capital and depreciation allowances. In turn, it increases the service provider's revenue, and prices for its services.</w:t>
      </w:r>
    </w:p>
    <w:p w:rsidR="00ED5020" w:rsidRPr="00A07A81" w:rsidRDefault="00ED5020" w:rsidP="00ED5020">
      <w:r w:rsidRPr="00A07A81">
        <w:t>The capital base is determined by various factors, including;</w:t>
      </w:r>
    </w:p>
    <w:p w:rsidR="00ED5020" w:rsidRPr="00A07A81" w:rsidRDefault="00ED5020" w:rsidP="00ED5020">
      <w:pPr>
        <w:pStyle w:val="AERbulletlistfirststyle"/>
      </w:pPr>
      <w:r w:rsidRPr="00A07A81">
        <w:t>the opening capital base (meaning the value of existing assets at the beginning of the access arrangement period)</w:t>
      </w:r>
    </w:p>
    <w:p w:rsidR="00ED5020" w:rsidRPr="00A07A81" w:rsidRDefault="00ED5020" w:rsidP="00ED5020">
      <w:pPr>
        <w:pStyle w:val="AERbulletlistfirststyle"/>
      </w:pPr>
      <w:r w:rsidRPr="00A07A81">
        <w:t>net capex</w:t>
      </w:r>
      <w:r>
        <w:rPr>
          <w:rStyle w:val="FootnoteReference"/>
        </w:rPr>
        <w:footnoteReference w:id="11"/>
      </w:r>
    </w:p>
    <w:p w:rsidR="00ED5020" w:rsidRPr="00A07A81" w:rsidRDefault="00ED5020" w:rsidP="00ED5020">
      <w:pPr>
        <w:pStyle w:val="AERbulletlistfirststyle"/>
      </w:pPr>
      <w:r w:rsidRPr="00A07A81">
        <w:t>depreciation</w:t>
      </w:r>
    </w:p>
    <w:p w:rsidR="00ED5020" w:rsidRDefault="00ED5020" w:rsidP="00ED5020">
      <w:pPr>
        <w:pStyle w:val="AERbulletlistfirststyle"/>
      </w:pPr>
      <w:proofErr w:type="gramStart"/>
      <w:r w:rsidRPr="00A07A81">
        <w:t>indexation</w:t>
      </w:r>
      <w:proofErr w:type="gramEnd"/>
      <w:r w:rsidRPr="00A07A81">
        <w:t xml:space="preserve"> adjustment – so the capital base is presented in nominal terms, consistent with the rate of return.</w:t>
      </w:r>
    </w:p>
    <w:p w:rsidR="00ED5020" w:rsidRPr="00A07A81" w:rsidRDefault="00ED5020" w:rsidP="00ED5020">
      <w:r w:rsidRPr="00A07A81">
        <w:t>The opening capital base depends on the value of existing assets as well as actual conforming net capex, actual inflation outcomes and depreciation in the past.</w:t>
      </w:r>
    </w:p>
    <w:p w:rsidR="00ED5020" w:rsidRPr="00A07A81" w:rsidRDefault="00ED5020" w:rsidP="00ED5020">
      <w:r w:rsidRPr="00A07A81">
        <w:t>The capital base when projected to the end of the access arrangement period may increase due to forecast new capex and the indexation adjustment. The size of the indexation adjustment depends on expected inflation (which also affects the nominal rate of return or WACC) and the size of the capital base at the start of each year.</w:t>
      </w:r>
    </w:p>
    <w:p w:rsidR="00BA2BE8" w:rsidRDefault="00ED5020" w:rsidP="00ED5020">
      <w:r w:rsidRPr="00A07A81">
        <w:t>Depreciation reduces the capital base. The depreciation allowance depends on the size of the opening capital base</w:t>
      </w:r>
      <w:r w:rsidR="00BA2BE8">
        <w:t>,</w:t>
      </w:r>
      <w:r w:rsidRPr="00A07A81">
        <w:t xml:space="preserve"> the forecast net capex</w:t>
      </w:r>
      <w:r w:rsidR="00BA2BE8">
        <w:t xml:space="preserve"> and </w:t>
      </w:r>
      <w:r w:rsidR="00F30CE1">
        <w:t xml:space="preserve">the </w:t>
      </w:r>
      <w:r w:rsidR="00BA2BE8">
        <w:t>depreciation schedules applied to the assets</w:t>
      </w:r>
      <w:r w:rsidRPr="00A07A81">
        <w:t xml:space="preserve">. </w:t>
      </w:r>
    </w:p>
    <w:p w:rsidR="00ED5020" w:rsidRPr="00A07A81" w:rsidRDefault="00BA2BE8" w:rsidP="00ED5020">
      <w:r w:rsidRPr="00640B9E">
        <w:t>We maintain the capital base in real terms by indexing for inflation. A nominal rate of return (WACC) is multiplied by the opening capital base to produce the return on capital building block.</w:t>
      </w:r>
      <w:r w:rsidRPr="00640B9E">
        <w:rPr>
          <w:rStyle w:val="FootnoteReference"/>
        </w:rPr>
        <w:footnoteReference w:id="12"/>
      </w:r>
      <w:r w:rsidRPr="00640B9E">
        <w:t xml:space="preserve"> </w:t>
      </w:r>
      <w:r w:rsidR="00ED5020" w:rsidRPr="00A07A81">
        <w:t>By convention, the indexation adjustment is offset against depreciation to prevent double counting of inflation in the capital base and WACC, which are both presented in nominal terms. This reduces the apparent size of the depreciation building block that feeds into the annual building block model for setting revenue.</w:t>
      </w:r>
      <w:r>
        <w:rPr>
          <w:rStyle w:val="FootnoteReference"/>
        </w:rPr>
        <w:footnoteReference w:id="13"/>
      </w:r>
      <w:r>
        <w:t xml:space="preserve"> </w:t>
      </w:r>
      <w:r w:rsidRPr="00640B9E">
        <w:rPr>
          <w:rStyle w:val="AERbody"/>
        </w:rPr>
        <w:t>The implications of our approach to indexing the value of the capital base on revenues are discussed further in attachment 5.</w:t>
      </w:r>
    </w:p>
    <w:p w:rsidR="00132D43" w:rsidRDefault="0020529C" w:rsidP="00ED5020">
      <w:r>
        <w:fldChar w:fldCharType="begin"/>
      </w:r>
      <w:r>
        <w:instrText xml:space="preserve"> REF _Ref476212605 \h </w:instrText>
      </w:r>
      <w:r>
        <w:fldChar w:fldCharType="separate"/>
      </w:r>
      <w:r w:rsidR="001E77EC">
        <w:t xml:space="preserve">Figure </w:t>
      </w:r>
      <w:r w:rsidR="001E77EC">
        <w:rPr>
          <w:noProof/>
        </w:rPr>
        <w:t>2</w:t>
      </w:r>
      <w:r w:rsidR="001E77EC">
        <w:t>.</w:t>
      </w:r>
      <w:r w:rsidR="001E77EC">
        <w:rPr>
          <w:noProof/>
        </w:rPr>
        <w:t>1</w:t>
      </w:r>
      <w:r>
        <w:fldChar w:fldCharType="end"/>
      </w:r>
      <w:r>
        <w:t xml:space="preserve"> </w:t>
      </w:r>
      <w:r w:rsidR="00ED5020" w:rsidRPr="00A07A81">
        <w:t>shows the key drivers of the change in the capital base over the 201</w:t>
      </w:r>
      <w:r w:rsidR="00ED5020">
        <w:t>8</w:t>
      </w:r>
      <w:r w:rsidR="00ED5020" w:rsidRPr="00A07A81">
        <w:t>–2</w:t>
      </w:r>
      <w:r w:rsidR="00ED5020">
        <w:t>2</w:t>
      </w:r>
      <w:r w:rsidR="00ED5020" w:rsidRPr="00A07A81">
        <w:t xml:space="preserve"> access arrangement </w:t>
      </w:r>
      <w:proofErr w:type="gramStart"/>
      <w:r w:rsidR="00ED5020" w:rsidRPr="00A07A81">
        <w:t>period</w:t>
      </w:r>
      <w:proofErr w:type="gramEnd"/>
      <w:r w:rsidR="00ED5020" w:rsidRPr="00A07A81">
        <w:t xml:space="preserve"> as proposed by </w:t>
      </w:r>
      <w:r w:rsidR="00ED5020">
        <w:t>Multinet</w:t>
      </w:r>
      <w:r w:rsidR="00ED5020" w:rsidRPr="00A07A81">
        <w:t>. Overall, the closing capital base at the end of the 201</w:t>
      </w:r>
      <w:r w:rsidR="00ED5020">
        <w:t>8</w:t>
      </w:r>
      <w:r w:rsidR="00ED5020" w:rsidRPr="00A07A81">
        <w:t>–2</w:t>
      </w:r>
      <w:r w:rsidR="00ED5020">
        <w:t>2</w:t>
      </w:r>
      <w:r w:rsidR="00ED5020" w:rsidRPr="00A07A81">
        <w:t xml:space="preserve"> access arrangement </w:t>
      </w:r>
      <w:proofErr w:type="gramStart"/>
      <w:r w:rsidR="00ED5020" w:rsidRPr="00A07A81">
        <w:t>period</w:t>
      </w:r>
      <w:proofErr w:type="gramEnd"/>
      <w:r w:rsidR="00ED5020" w:rsidRPr="00A07A81">
        <w:t xml:space="preserve"> would be </w:t>
      </w:r>
      <w:r>
        <w:t>21.4 </w:t>
      </w:r>
      <w:r w:rsidR="00ED5020" w:rsidRPr="00A07A81">
        <w:t xml:space="preserve">per cent higher than the opening capital base at the start of that period based on the proposal, in nominal terms. The proposed forecast net capex increases the capital base by about </w:t>
      </w:r>
      <w:r>
        <w:t>42.5 </w:t>
      </w:r>
      <w:r w:rsidR="00ED5020" w:rsidRPr="00A07A81">
        <w:t xml:space="preserve">per cent, while </w:t>
      </w:r>
      <w:r w:rsidR="00ED5020">
        <w:t>expected</w:t>
      </w:r>
      <w:r w:rsidR="00ED5020" w:rsidRPr="00A07A81">
        <w:t xml:space="preserve"> inflation increases it by about </w:t>
      </w:r>
      <w:r>
        <w:t>9.2 </w:t>
      </w:r>
      <w:r w:rsidR="00ED5020" w:rsidRPr="00A07A81">
        <w:t xml:space="preserve">per cent. Forecast depreciation, on the other hand, reduces the capital base by about </w:t>
      </w:r>
      <w:r>
        <w:t>30.2 </w:t>
      </w:r>
      <w:r w:rsidR="00ED5020" w:rsidRPr="00A07A81">
        <w:t>per cent.</w:t>
      </w:r>
    </w:p>
    <w:p w:rsidR="0020529C" w:rsidRDefault="0020529C" w:rsidP="0020529C">
      <w:pPr>
        <w:pStyle w:val="Caption"/>
      </w:pPr>
      <w:bookmarkStart w:id="80" w:name="_Ref476212605"/>
      <w:proofErr w:type="gramStart"/>
      <w:r>
        <w:t xml:space="preserve">Figure </w:t>
      </w:r>
      <w:proofErr w:type="gramEnd"/>
      <w:r w:rsidR="00574B35">
        <w:fldChar w:fldCharType="begin"/>
      </w:r>
      <w:r w:rsidR="00574B35">
        <w:instrText xml:space="preserve"> STYLEREF 1 \s </w:instrText>
      </w:r>
      <w:r w:rsidR="00574B35">
        <w:fldChar w:fldCharType="separate"/>
      </w:r>
      <w:r w:rsidR="001E77EC">
        <w:rPr>
          <w:noProof/>
        </w:rPr>
        <w:t>2</w:t>
      </w:r>
      <w:r w:rsidR="00574B35">
        <w:rPr>
          <w:noProof/>
        </w:rPr>
        <w:fldChar w:fldCharType="end"/>
      </w:r>
      <w:proofErr w:type="gramStart"/>
      <w:r>
        <w:t>.</w:t>
      </w:r>
      <w:proofErr w:type="gramEnd"/>
      <w:r w:rsidR="00796D48">
        <w:fldChar w:fldCharType="begin"/>
      </w:r>
      <w:r w:rsidR="00796D48">
        <w:instrText xml:space="preserve"> SEQ Figure \* ARABIC \s 1 </w:instrText>
      </w:r>
      <w:r w:rsidR="00796D48">
        <w:fldChar w:fldCharType="separate"/>
      </w:r>
      <w:r w:rsidR="001E77EC">
        <w:rPr>
          <w:noProof/>
        </w:rPr>
        <w:t>1</w:t>
      </w:r>
      <w:r w:rsidR="00796D48">
        <w:rPr>
          <w:noProof/>
        </w:rPr>
        <w:fldChar w:fldCharType="end"/>
      </w:r>
      <w:bookmarkEnd w:id="80"/>
      <w:r>
        <w:tab/>
      </w:r>
      <w:r w:rsidRPr="0020529C">
        <w:t>Key drivers of changes in the capital base ($million, nominal)</w:t>
      </w:r>
    </w:p>
    <w:p w:rsidR="0020529C" w:rsidRDefault="0020529C" w:rsidP="00ED5020">
      <w:r w:rsidRPr="0020529C">
        <w:rPr>
          <w:noProof/>
          <w:lang w:eastAsia="en-AU"/>
        </w:rPr>
        <w:drawing>
          <wp:inline distT="0" distB="0" distL="0" distR="0" wp14:anchorId="6E57A015" wp14:editId="32A543E2">
            <wp:extent cx="5382895" cy="3252166"/>
            <wp:effectExtent l="0" t="0" r="825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52166"/>
                    </a:xfrm>
                    <a:prstGeom prst="rect">
                      <a:avLst/>
                    </a:prstGeom>
                    <a:noFill/>
                    <a:ln>
                      <a:noFill/>
                    </a:ln>
                  </pic:spPr>
                </pic:pic>
              </a:graphicData>
            </a:graphic>
          </wp:inline>
        </w:drawing>
      </w:r>
    </w:p>
    <w:p w:rsidR="0020529C" w:rsidRDefault="0020529C" w:rsidP="0020529C">
      <w:pPr>
        <w:pStyle w:val="AERtablesource"/>
      </w:pPr>
      <w:r>
        <w:t>Source:</w:t>
      </w:r>
      <w:r>
        <w:tab/>
        <w:t>AER analysis.</w:t>
      </w:r>
    </w:p>
    <w:p w:rsidR="0020529C" w:rsidRPr="0020529C" w:rsidRDefault="0020529C" w:rsidP="0020529C">
      <w:r w:rsidRPr="0020529C">
        <w:t xml:space="preserve">The capital base would rise by </w:t>
      </w:r>
      <w:r>
        <w:t>13.6</w:t>
      </w:r>
      <w:r w:rsidRPr="0020529C">
        <w:t xml:space="preserve"> per cent in real terms over the 2018–22 access arrangement period based on </w:t>
      </w:r>
      <w:r>
        <w:t>Multinet</w:t>
      </w:r>
      <w:r w:rsidRPr="0020529C">
        <w:t xml:space="preserve">'s proposal. </w:t>
      </w:r>
      <w:r w:rsidR="00BA2BE8" w:rsidRPr="00640B9E">
        <w:t xml:space="preserve">The depreciation amount also largely depends on the opening capital base (which in turn depends on capex). </w:t>
      </w:r>
      <w:r>
        <w:fldChar w:fldCharType="begin"/>
      </w:r>
      <w:r>
        <w:instrText xml:space="preserve"> REF _Ref476212605 \h </w:instrText>
      </w:r>
      <w:r>
        <w:fldChar w:fldCharType="separate"/>
      </w:r>
      <w:r w:rsidR="001E77EC">
        <w:t xml:space="preserve">Figure </w:t>
      </w:r>
      <w:r w:rsidR="001E77EC">
        <w:rPr>
          <w:noProof/>
        </w:rPr>
        <w:t>2</w:t>
      </w:r>
      <w:r w:rsidR="001E77EC">
        <w:t>.</w:t>
      </w:r>
      <w:r w:rsidR="001E77EC">
        <w:rPr>
          <w:noProof/>
        </w:rPr>
        <w:t>1</w:t>
      </w:r>
      <w:r>
        <w:fldChar w:fldCharType="end"/>
      </w:r>
      <w:r>
        <w:t xml:space="preserve"> </w:t>
      </w:r>
      <w:r w:rsidRPr="0020529C">
        <w:t>shows forecast net capex is the largest driver of the increase in the capital base.</w:t>
      </w:r>
      <w:r w:rsidR="00EB2052">
        <w:t xml:space="preserve"> </w:t>
      </w:r>
      <w:r w:rsidR="00BA2BE8" w:rsidRPr="00640B9E">
        <w:t>Refer to attachment 6 for the discussion on forecast capex.</w:t>
      </w:r>
    </w:p>
    <w:p w:rsidR="0020529C" w:rsidRDefault="0020529C" w:rsidP="0020529C">
      <w:r w:rsidRPr="0020529C">
        <w:t xml:space="preserve">A ten per cent increase in the opening capital base causes revenues to increase by about </w:t>
      </w:r>
      <w:r>
        <w:t>four</w:t>
      </w:r>
      <w:r w:rsidRPr="0020529C">
        <w:t xml:space="preserve"> per cent. However, the impact on revenues of the annual change in capital base depends on the source of the capital base change, as some drivers affect more than one building block cost.</w:t>
      </w:r>
      <w:r w:rsidRPr="0020529C">
        <w:rPr>
          <w:rStyle w:val="FootnoteReference"/>
        </w:rPr>
        <w:footnoteReference w:id="14"/>
      </w:r>
    </w:p>
    <w:p w:rsidR="00132D43" w:rsidRDefault="00132D43" w:rsidP="00132D43">
      <w:pPr>
        <w:pStyle w:val="Heading2"/>
      </w:pPr>
      <w:bookmarkStart w:id="81" w:name="_Toc486954833"/>
      <w:r>
        <w:t>Reasons for draft decision</w:t>
      </w:r>
      <w:bookmarkEnd w:id="81"/>
    </w:p>
    <w:p w:rsidR="00A04F1E" w:rsidRDefault="00A04F1E" w:rsidP="00A04F1E">
      <w:r>
        <w:t xml:space="preserve">We do not approve </w:t>
      </w:r>
      <w:r w:rsidR="009764C2">
        <w:t>Multinet</w:t>
      </w:r>
      <w:r w:rsidRPr="00992B37">
        <w:t>’s proposed opening capital base of $</w:t>
      </w:r>
      <w:r>
        <w:t>1190.8 </w:t>
      </w:r>
      <w:r w:rsidRPr="00992B37">
        <w:t>million ($</w:t>
      </w:r>
      <w:r>
        <w:t> </w:t>
      </w:r>
      <w:r w:rsidRPr="00992B37">
        <w:t xml:space="preserve">nominal) as at 1 </w:t>
      </w:r>
      <w:r>
        <w:t>January</w:t>
      </w:r>
      <w:r w:rsidRPr="00992B37">
        <w:t xml:space="preserve"> 201</w:t>
      </w:r>
      <w:r>
        <w:t>8</w:t>
      </w:r>
      <w:r w:rsidRPr="00992B37">
        <w:t>. We have instead determined an opening capital base value of $</w:t>
      </w:r>
      <w:r w:rsidR="001562AA">
        <w:t>1192.4</w:t>
      </w:r>
      <w:r w:rsidRPr="00992B37">
        <w:t xml:space="preserve"> million ($</w:t>
      </w:r>
      <w:r w:rsidR="00B8317B">
        <w:t> </w:t>
      </w:r>
      <w:r w:rsidRPr="00992B37">
        <w:t xml:space="preserve">nominal) as at 1 </w:t>
      </w:r>
      <w:r>
        <w:t>January</w:t>
      </w:r>
      <w:r w:rsidRPr="00992B37">
        <w:t xml:space="preserve"> 201</w:t>
      </w:r>
      <w:r>
        <w:t>8</w:t>
      </w:r>
      <w:r w:rsidRPr="00992B37">
        <w:t>, a</w:t>
      </w:r>
      <w:r w:rsidR="001562AA">
        <w:t>n</w:t>
      </w:r>
      <w:r w:rsidRPr="00992B37">
        <w:t xml:space="preserve"> </w:t>
      </w:r>
      <w:r w:rsidR="001562AA">
        <w:t xml:space="preserve">increase </w:t>
      </w:r>
      <w:r w:rsidRPr="00992B37">
        <w:t>of $</w:t>
      </w:r>
      <w:r w:rsidR="001562AA">
        <w:t>1.6 </w:t>
      </w:r>
      <w:r w:rsidRPr="00992B37">
        <w:t xml:space="preserve">million or </w:t>
      </w:r>
      <w:r w:rsidR="001562AA">
        <w:t>0.1</w:t>
      </w:r>
      <w:r>
        <w:t> </w:t>
      </w:r>
      <w:r w:rsidRPr="00992B37">
        <w:t xml:space="preserve">per cent from the proposed value. This is due to the amendments we made in the proposed RFM </w:t>
      </w:r>
      <w:r w:rsidR="007036B1">
        <w:t>to</w:t>
      </w:r>
      <w:r w:rsidR="007036B1" w:rsidRPr="00992B37">
        <w:t xml:space="preserve"> </w:t>
      </w:r>
      <w:r w:rsidRPr="00992B37">
        <w:t>correct some input and modelling errors.</w:t>
      </w:r>
    </w:p>
    <w:p w:rsidR="00A04F1E" w:rsidRPr="00992B37" w:rsidRDefault="00A04F1E" w:rsidP="00A04F1E">
      <w:r w:rsidRPr="00992B37">
        <w:t xml:space="preserve">We also do not approve </w:t>
      </w:r>
      <w:r w:rsidR="009764C2">
        <w:t>Multinet</w:t>
      </w:r>
      <w:r w:rsidRPr="00992B37">
        <w:t>'s projected closing capital base of $</w:t>
      </w:r>
      <w:r>
        <w:t>1446.1 </w:t>
      </w:r>
      <w:r w:rsidRPr="00992B37">
        <w:t>million ($</w:t>
      </w:r>
      <w:r>
        <w:t> </w:t>
      </w:r>
      <w:r w:rsidRPr="00992B37">
        <w:t>nominal) as at 3</w:t>
      </w:r>
      <w:r>
        <w:t>1</w:t>
      </w:r>
      <w:r w:rsidRPr="00992B37">
        <w:t xml:space="preserve"> </w:t>
      </w:r>
      <w:r>
        <w:t xml:space="preserve">December </w:t>
      </w:r>
      <w:r w:rsidRPr="00992B37">
        <w:t>202</w:t>
      </w:r>
      <w:r>
        <w:t>2</w:t>
      </w:r>
      <w:r w:rsidRPr="00992B37">
        <w:t>. We instead determine a closing capital base of $</w:t>
      </w:r>
      <w:r w:rsidR="00CD0670">
        <w:t>1401.0</w:t>
      </w:r>
      <w:r w:rsidRPr="00992B37">
        <w:t xml:space="preserve"> million ($</w:t>
      </w:r>
      <w:r w:rsidR="00B8317B">
        <w:t> </w:t>
      </w:r>
      <w:r w:rsidRPr="00992B37">
        <w:t>nominal) as at 3</w:t>
      </w:r>
      <w:r>
        <w:t>1</w:t>
      </w:r>
      <w:r w:rsidRPr="00992B37">
        <w:t xml:space="preserve"> </w:t>
      </w:r>
      <w:r>
        <w:t>December 2022</w:t>
      </w:r>
      <w:r w:rsidRPr="00992B37">
        <w:t>, a reduction of $</w:t>
      </w:r>
      <w:r w:rsidR="00B8317B">
        <w:t>45.1</w:t>
      </w:r>
      <w:r w:rsidRPr="00992B37">
        <w:t xml:space="preserve"> million or </w:t>
      </w:r>
      <w:r w:rsidR="00A33D81">
        <w:t>3.1</w:t>
      </w:r>
      <w:r>
        <w:t> </w:t>
      </w:r>
      <w:r w:rsidRPr="00992B37">
        <w:t xml:space="preserve">per cent from the proposed value. The main reasons for </w:t>
      </w:r>
      <w:r w:rsidR="004440B3">
        <w:t>our draft decision are discussed below</w:t>
      </w:r>
      <w:r w:rsidRPr="00992B37">
        <w:t>.</w:t>
      </w:r>
    </w:p>
    <w:p w:rsidR="00132D43" w:rsidRDefault="00A04F1E" w:rsidP="00A04F1E">
      <w:r w:rsidRPr="00992B37">
        <w:t>We are satisfied each of these amendments is necessary having regard to the requirements of the NGR</w:t>
      </w:r>
      <w:r w:rsidR="000532BD">
        <w:t>.</w:t>
      </w:r>
    </w:p>
    <w:p w:rsidR="00A04F1E" w:rsidRDefault="00A04F1E" w:rsidP="0003592B">
      <w:pPr>
        <w:pStyle w:val="Heading3"/>
        <w:ind w:left="720"/>
      </w:pPr>
      <w:bookmarkStart w:id="82" w:name="_Ref476213279"/>
      <w:bookmarkStart w:id="83" w:name="_Toc486954834"/>
      <w:r w:rsidRPr="00A04F1E">
        <w:t>Roll forward of capital base during the 2013–17 access arrangement period</w:t>
      </w:r>
      <w:bookmarkEnd w:id="82"/>
      <w:bookmarkEnd w:id="83"/>
    </w:p>
    <w:p w:rsidR="009764C2" w:rsidRPr="00992B37" w:rsidRDefault="009764C2" w:rsidP="009764C2">
      <w:r w:rsidRPr="00992B37">
        <w:t xml:space="preserve">To determine the opening capital base as at 1 </w:t>
      </w:r>
      <w:r>
        <w:t>January</w:t>
      </w:r>
      <w:r w:rsidRPr="00992B37">
        <w:t xml:space="preserve"> 201</w:t>
      </w:r>
      <w:r>
        <w:t>8</w:t>
      </w:r>
      <w:r w:rsidRPr="00992B37">
        <w:t xml:space="preserve"> we have assessed </w:t>
      </w:r>
      <w:r>
        <w:t>Multinet</w:t>
      </w:r>
      <w:r w:rsidRPr="00992B37">
        <w:t>'s proposed roll forward of its capital base over the 201</w:t>
      </w:r>
      <w:r>
        <w:t>3</w:t>
      </w:r>
      <w:r w:rsidRPr="00992B37">
        <w:t>–1</w:t>
      </w:r>
      <w:r>
        <w:t>7</w:t>
      </w:r>
      <w:r w:rsidRPr="00992B37">
        <w:t xml:space="preserve"> access arrangement period. </w:t>
      </w:r>
      <w:r w:rsidR="00253699" w:rsidRPr="00253699">
        <w:t xml:space="preserve">In doing so we reviewed the key inputs of </w:t>
      </w:r>
      <w:r w:rsidR="00253699">
        <w:t>Multinet</w:t>
      </w:r>
      <w:r w:rsidR="00253699" w:rsidRPr="00253699">
        <w:t>'s proposed RFMs, such as actual conforming capex</w:t>
      </w:r>
      <w:r w:rsidR="00253699">
        <w:t xml:space="preserve">, </w:t>
      </w:r>
      <w:r w:rsidR="00253699" w:rsidRPr="00253699">
        <w:t xml:space="preserve">inflation and rate of return. We found these were generally correct and reconciled with relevant data sources such as annual regulatory reporting accounts and approved decision models for the 2013–17 access arrangement </w:t>
      </w:r>
      <w:proofErr w:type="gramStart"/>
      <w:r w:rsidR="00253699" w:rsidRPr="00253699">
        <w:t>period</w:t>
      </w:r>
      <w:proofErr w:type="gramEnd"/>
      <w:r w:rsidR="00253699" w:rsidRPr="00253699">
        <w:t>.</w:t>
      </w:r>
      <w:r w:rsidR="006C4014" w:rsidRPr="006C4014">
        <w:rPr>
          <w:rStyle w:val="FootnoteReference"/>
        </w:rPr>
        <w:footnoteReference w:id="15"/>
      </w:r>
      <w:r w:rsidR="00253699">
        <w:t xml:space="preserve"> </w:t>
      </w:r>
      <w:r w:rsidR="00253699" w:rsidRPr="00253699">
        <w:t xml:space="preserve">However, we consider there should be adjustments made to </w:t>
      </w:r>
      <w:r w:rsidR="007036B1">
        <w:t>Multinet</w:t>
      </w:r>
      <w:r w:rsidR="007036B1" w:rsidRPr="00253699">
        <w:t xml:space="preserve">'s </w:t>
      </w:r>
      <w:r w:rsidR="00253699" w:rsidRPr="00253699">
        <w:t>proposed RFM inputs for</w:t>
      </w:r>
      <w:r w:rsidR="006C4014">
        <w:t>:</w:t>
      </w:r>
    </w:p>
    <w:p w:rsidR="009764C2" w:rsidRPr="00992B37" w:rsidRDefault="001562AA" w:rsidP="009764C2">
      <w:pPr>
        <w:pStyle w:val="AERbulletlistfirststyle"/>
      </w:pPr>
      <w:r>
        <w:t>opening capital base at 1 January 2013</w:t>
      </w:r>
    </w:p>
    <w:p w:rsidR="00C24AD3" w:rsidRPr="00992B37" w:rsidRDefault="00C24AD3" w:rsidP="009764C2">
      <w:pPr>
        <w:pStyle w:val="AERbulletlistfirststyle"/>
      </w:pPr>
      <w:r>
        <w:t>movements in capitalised provisions</w:t>
      </w:r>
    </w:p>
    <w:p w:rsidR="009764C2" w:rsidRPr="00992B37" w:rsidRDefault="006C4014" w:rsidP="009764C2">
      <w:pPr>
        <w:pStyle w:val="AERbulletlistfirststyle"/>
      </w:pPr>
      <w:proofErr w:type="gramStart"/>
      <w:r>
        <w:t>forecast</w:t>
      </w:r>
      <w:proofErr w:type="gramEnd"/>
      <w:r>
        <w:t xml:space="preserve"> </w:t>
      </w:r>
      <w:r w:rsidR="009764C2" w:rsidRPr="00992B37">
        <w:t>depreciation in the 201</w:t>
      </w:r>
      <w:r w:rsidR="009764C2">
        <w:t>3</w:t>
      </w:r>
      <w:r w:rsidR="009764C2" w:rsidRPr="00992B37">
        <w:t>–1</w:t>
      </w:r>
      <w:r w:rsidR="009764C2">
        <w:t>7</w:t>
      </w:r>
      <w:r w:rsidR="009764C2" w:rsidRPr="00992B37">
        <w:t xml:space="preserve"> access arrangement period.</w:t>
      </w:r>
    </w:p>
    <w:p w:rsidR="009764C2" w:rsidRDefault="009764C2" w:rsidP="009764C2">
      <w:r w:rsidRPr="00992B37">
        <w:t>Our amendments to the above inputs are discussed further below</w:t>
      </w:r>
      <w:r w:rsidR="00153669">
        <w:t>,</w:t>
      </w:r>
      <w:r w:rsidR="00153669" w:rsidRPr="00153669">
        <w:t xml:space="preserve"> </w:t>
      </w:r>
      <w:r w:rsidR="00153669">
        <w:t xml:space="preserve">and result in a draft decision opening capital base at 1 January 2018 of $1192.4 million, </w:t>
      </w:r>
      <w:r w:rsidR="00153669" w:rsidRPr="006925E3">
        <w:t>a</w:t>
      </w:r>
      <w:r w:rsidR="00153669">
        <w:t>n increase</w:t>
      </w:r>
      <w:r w:rsidR="00153669" w:rsidRPr="006925E3">
        <w:t xml:space="preserve"> of $</w:t>
      </w:r>
      <w:r w:rsidR="00153669">
        <w:t>1.6 </w:t>
      </w:r>
      <w:r w:rsidR="00153669" w:rsidRPr="006925E3">
        <w:t xml:space="preserve">million or </w:t>
      </w:r>
      <w:r w:rsidR="00153669">
        <w:t>0.1 </w:t>
      </w:r>
      <w:r w:rsidR="00153669" w:rsidRPr="006925E3">
        <w:t>per cent from the proposed value</w:t>
      </w:r>
      <w:r w:rsidRPr="00992B37">
        <w:t>.</w:t>
      </w:r>
    </w:p>
    <w:p w:rsidR="00603E84" w:rsidRDefault="009764C2" w:rsidP="009764C2">
      <w:r w:rsidRPr="00992B37">
        <w:t xml:space="preserve">We also reviewed the other key inputs into </w:t>
      </w:r>
      <w:r>
        <w:t>Multinet</w:t>
      </w:r>
      <w:r w:rsidRPr="00992B37">
        <w:t>'s proposed capital b</w:t>
      </w:r>
      <w:r>
        <w:t>ase roll forward during the 2013</w:t>
      </w:r>
      <w:r w:rsidRPr="00992B37">
        <w:t>–</w:t>
      </w:r>
      <w:r>
        <w:t>17</w:t>
      </w:r>
      <w:r w:rsidRPr="00992B37">
        <w:t xml:space="preserve"> access arrangement </w:t>
      </w:r>
      <w:proofErr w:type="gramStart"/>
      <w:r w:rsidRPr="00992B37">
        <w:t>period</w:t>
      </w:r>
      <w:proofErr w:type="gramEnd"/>
      <w:r w:rsidRPr="00992B37">
        <w:t>, such as</w:t>
      </w:r>
      <w:r w:rsidR="00253699">
        <w:t xml:space="preserve"> actual conforming capex,</w:t>
      </w:r>
      <w:r w:rsidR="00171DE6">
        <w:t xml:space="preserve"> inflation</w:t>
      </w:r>
      <w:r w:rsidRPr="00992B37">
        <w:t xml:space="preserve"> and rate of return</w:t>
      </w:r>
      <w:r w:rsidR="00171DE6">
        <w:t xml:space="preserve"> and generally</w:t>
      </w:r>
      <w:r w:rsidR="00603E84">
        <w:t xml:space="preserve"> found </w:t>
      </w:r>
      <w:r w:rsidR="00171DE6">
        <w:t>these inputs to be correct</w:t>
      </w:r>
      <w:r w:rsidRPr="00992B37">
        <w:t>.</w:t>
      </w:r>
    </w:p>
    <w:p w:rsidR="00603E84" w:rsidRDefault="00603E84" w:rsidP="00603E84">
      <w:pPr>
        <w:pStyle w:val="Heading4"/>
      </w:pPr>
      <w:r>
        <w:t>Opening capital base at 1 January 2013</w:t>
      </w:r>
    </w:p>
    <w:p w:rsidR="00ED71EE" w:rsidRDefault="0089157D" w:rsidP="006937D4">
      <w:proofErr w:type="gramStart"/>
      <w:r>
        <w:t>Multinet's</w:t>
      </w:r>
      <w:proofErr w:type="gramEnd"/>
      <w:r>
        <w:t xml:space="preserve"> proposed </w:t>
      </w:r>
      <w:r w:rsidR="007A7B80">
        <w:t xml:space="preserve">2013 </w:t>
      </w:r>
      <w:r>
        <w:t xml:space="preserve">opening capital base values for </w:t>
      </w:r>
      <w:r w:rsidR="007A7B80">
        <w:t xml:space="preserve">a number of its </w:t>
      </w:r>
      <w:r>
        <w:t xml:space="preserve">asset classes </w:t>
      </w:r>
      <w:r w:rsidR="006B034F" w:rsidRPr="006B034F">
        <w:t>did not match those that formed the basis of our decision on the opening capital base</w:t>
      </w:r>
      <w:r w:rsidR="006B034F" w:rsidRPr="006B034F" w:rsidDel="006B034F">
        <w:t xml:space="preserve"> </w:t>
      </w:r>
      <w:r w:rsidR="00ED71EE">
        <w:t>for the</w:t>
      </w:r>
      <w:r w:rsidR="007A7B80">
        <w:t xml:space="preserve"> 2013–17 </w:t>
      </w:r>
      <w:r w:rsidR="00153669">
        <w:t>access arrangement period</w:t>
      </w:r>
      <w:r w:rsidR="007A7B80">
        <w:t>.</w:t>
      </w:r>
      <w:r w:rsidR="00921399">
        <w:t xml:space="preserve"> </w:t>
      </w:r>
      <w:r w:rsidR="00165813" w:rsidRPr="00165813">
        <w:t xml:space="preserve">The </w:t>
      </w:r>
      <w:r w:rsidR="003460E3">
        <w:t xml:space="preserve">approved </w:t>
      </w:r>
      <w:r w:rsidR="00165813" w:rsidRPr="00165813">
        <w:t xml:space="preserve">opening capital base as at 1 </w:t>
      </w:r>
      <w:r w:rsidR="00165813">
        <w:t xml:space="preserve">January </w:t>
      </w:r>
      <w:r w:rsidR="00165813" w:rsidRPr="00165813">
        <w:t>201</w:t>
      </w:r>
      <w:r w:rsidR="00EB2052">
        <w:t>3</w:t>
      </w:r>
      <w:r w:rsidR="00165813" w:rsidRPr="00165813">
        <w:t xml:space="preserve"> </w:t>
      </w:r>
      <w:r w:rsidR="006B034F">
        <w:t xml:space="preserve">included a negative value </w:t>
      </w:r>
      <w:r w:rsidR="00165813" w:rsidRPr="00165813">
        <w:t>for the ‘</w:t>
      </w:r>
      <w:r w:rsidR="003460E3">
        <w:t>SCADA</w:t>
      </w:r>
      <w:r w:rsidR="00165813" w:rsidRPr="00165813">
        <w:t>’ asset class (about –</w:t>
      </w:r>
      <w:r w:rsidR="00EB2052">
        <w:t>$</w:t>
      </w:r>
      <w:r w:rsidR="003460E3">
        <w:t>1.1</w:t>
      </w:r>
      <w:r w:rsidR="00165813" w:rsidRPr="00165813">
        <w:t xml:space="preserve"> million). </w:t>
      </w:r>
      <w:r w:rsidR="003460E3">
        <w:t>Multinet</w:t>
      </w:r>
      <w:r w:rsidR="00165813" w:rsidRPr="00165813">
        <w:t xml:space="preserve"> </w:t>
      </w:r>
      <w:r w:rsidR="003460E3">
        <w:t>reallocated</w:t>
      </w:r>
      <w:r w:rsidR="00165813" w:rsidRPr="00165813">
        <w:t xml:space="preserve"> this amount </w:t>
      </w:r>
      <w:r w:rsidR="003460E3">
        <w:t xml:space="preserve">to </w:t>
      </w:r>
      <w:r w:rsidR="00165813" w:rsidRPr="00165813">
        <w:t>the opening capital</w:t>
      </w:r>
      <w:r w:rsidR="003460E3">
        <w:t xml:space="preserve"> </w:t>
      </w:r>
      <w:r w:rsidR="003460E3" w:rsidRPr="003460E3">
        <w:t xml:space="preserve">base </w:t>
      </w:r>
      <w:r w:rsidR="003460E3">
        <w:t xml:space="preserve">of the 'Transmission and distribution' asset class </w:t>
      </w:r>
      <w:r w:rsidR="003460E3" w:rsidRPr="003460E3">
        <w:t xml:space="preserve">in its proposed </w:t>
      </w:r>
      <w:r w:rsidR="003460E3">
        <w:t>RFM. Multinet noted in response to an information request, that it did so to avoid negative depreciation.</w:t>
      </w:r>
      <w:r w:rsidR="006937D4">
        <w:rPr>
          <w:rStyle w:val="FootnoteReference"/>
        </w:rPr>
        <w:footnoteReference w:id="16"/>
      </w:r>
      <w:r w:rsidR="003460E3">
        <w:t xml:space="preserve"> </w:t>
      </w:r>
      <w:r w:rsidR="006937D4" w:rsidRPr="006937D4">
        <w:t xml:space="preserve">We do not agree with </w:t>
      </w:r>
      <w:r w:rsidR="006937D4">
        <w:t>Multinet's approach</w:t>
      </w:r>
      <w:r w:rsidR="006937D4" w:rsidRPr="006937D4">
        <w:t xml:space="preserve"> </w:t>
      </w:r>
      <w:r w:rsidR="006937D4">
        <w:t>to reallocate the negative value to deal with this issue</w:t>
      </w:r>
      <w:r w:rsidR="006937D4" w:rsidRPr="006937D4">
        <w:t xml:space="preserve">. </w:t>
      </w:r>
      <w:r w:rsidR="006937D4">
        <w:t xml:space="preserve">In the 2013–17 access arrangement the negative value was written off </w:t>
      </w:r>
      <w:r w:rsidR="00695162">
        <w:t xml:space="preserve">(returned to customers through lower depreciation) </w:t>
      </w:r>
      <w:r w:rsidR="006937D4">
        <w:t xml:space="preserve">in the first year of the access arrangement period within the 'SCADA' asset class. </w:t>
      </w:r>
      <w:r w:rsidR="00323DF8">
        <w:t>Reallocating th</w:t>
      </w:r>
      <w:r w:rsidR="00695162">
        <w:t>is</w:t>
      </w:r>
      <w:r w:rsidR="00323DF8">
        <w:t xml:space="preserve"> value to the </w:t>
      </w:r>
      <w:r w:rsidR="00323DF8" w:rsidRPr="00323DF8">
        <w:t xml:space="preserve">'Transmission and distribution' </w:t>
      </w:r>
      <w:r w:rsidR="00323DF8">
        <w:t xml:space="preserve">asset class </w:t>
      </w:r>
      <w:r w:rsidR="00695162">
        <w:t xml:space="preserve">at 1 January 2013 </w:t>
      </w:r>
      <w:r w:rsidR="00323DF8">
        <w:t xml:space="preserve">results in the asset value </w:t>
      </w:r>
      <w:r w:rsidR="00695162">
        <w:t xml:space="preserve">effectively </w:t>
      </w:r>
      <w:r w:rsidR="00323DF8">
        <w:t xml:space="preserve">being written off over 34 years </w:t>
      </w:r>
      <w:r w:rsidR="00695162">
        <w:t xml:space="preserve">instead (the remaining life of the </w:t>
      </w:r>
      <w:r w:rsidR="00695162" w:rsidRPr="00323DF8">
        <w:t>'Transmission and distribution'</w:t>
      </w:r>
      <w:r w:rsidR="00323DF8">
        <w:t>.</w:t>
      </w:r>
      <w:r w:rsidR="00695162">
        <w:t xml:space="preserve"> We consider that this approach results in </w:t>
      </w:r>
      <w:r w:rsidR="00C45E7D">
        <w:t xml:space="preserve">an </w:t>
      </w:r>
      <w:r w:rsidR="00695162">
        <w:t xml:space="preserve">estimated asset value for the </w:t>
      </w:r>
      <w:r w:rsidR="00695162" w:rsidRPr="00695162">
        <w:t>'Transmission and distribution'</w:t>
      </w:r>
      <w:r w:rsidR="00695162">
        <w:t xml:space="preserve"> asset class at </w:t>
      </w:r>
      <w:r w:rsidR="00C45E7D">
        <w:t xml:space="preserve">1 January 2017 that </w:t>
      </w:r>
      <w:r w:rsidR="00695162">
        <w:t xml:space="preserve">is not </w:t>
      </w:r>
      <w:r w:rsidR="00695162" w:rsidRPr="00695162">
        <w:t>arrived at on a reasonable basis</w:t>
      </w:r>
      <w:r w:rsidR="00695162">
        <w:t>.</w:t>
      </w:r>
      <w:r w:rsidR="00C45E7D">
        <w:rPr>
          <w:rStyle w:val="FootnoteReference"/>
        </w:rPr>
        <w:footnoteReference w:id="17"/>
      </w:r>
      <w:r w:rsidR="00C45E7D">
        <w:t xml:space="preserve"> This is because it still includes part of the negative SCADA asset value that was written off </w:t>
      </w:r>
      <w:r w:rsidR="00C45E7D" w:rsidRPr="00C45E7D">
        <w:t xml:space="preserve">in the first year of the </w:t>
      </w:r>
      <w:r w:rsidR="00C45E7D">
        <w:t xml:space="preserve">2013–17 </w:t>
      </w:r>
      <w:r w:rsidR="00C45E7D" w:rsidRPr="00C45E7D">
        <w:t xml:space="preserve">access arrangement </w:t>
      </w:r>
      <w:proofErr w:type="gramStart"/>
      <w:r w:rsidR="00C45E7D" w:rsidRPr="00C45E7D">
        <w:t>period</w:t>
      </w:r>
      <w:proofErr w:type="gramEnd"/>
      <w:r w:rsidR="00C45E7D">
        <w:t>.</w:t>
      </w:r>
      <w:r w:rsidR="00323DF8">
        <w:t xml:space="preserve"> </w:t>
      </w:r>
      <w:r w:rsidR="006937D4">
        <w:t>We consider that the same approach should be taken in rolling forward the capital base in this access arrangement</w:t>
      </w:r>
      <w:r w:rsidR="00EB2052">
        <w:t xml:space="preserve"> review for the 2013–17 </w:t>
      </w:r>
      <w:proofErr w:type="gramStart"/>
      <w:r w:rsidR="00EB2052">
        <w:t>period</w:t>
      </w:r>
      <w:proofErr w:type="gramEnd"/>
      <w:r w:rsidR="006937D4">
        <w:t>.</w:t>
      </w:r>
    </w:p>
    <w:p w:rsidR="00921399" w:rsidRDefault="00ED71EE" w:rsidP="005D0C15">
      <w:r>
        <w:t>Multinet also confirmed that the proposed reallocation of assets to the 'IT' asset class was an error in its proposal.</w:t>
      </w:r>
      <w:r w:rsidRPr="00B86923">
        <w:rPr>
          <w:rStyle w:val="FootnoteReference"/>
        </w:rPr>
        <w:footnoteReference w:id="18"/>
      </w:r>
      <w:r>
        <w:t xml:space="preserve"> We have corrected this error in our draft decision so that the value matches that approved in the final decision model for the 2013–17 access arrangement </w:t>
      </w:r>
      <w:proofErr w:type="gramStart"/>
      <w:r>
        <w:t>period</w:t>
      </w:r>
      <w:proofErr w:type="gramEnd"/>
      <w:r>
        <w:t>.</w:t>
      </w:r>
    </w:p>
    <w:p w:rsidR="00A04F1E" w:rsidRDefault="005D0C15" w:rsidP="005D0C15">
      <w:pPr>
        <w:pStyle w:val="Heading4"/>
      </w:pPr>
      <w:r w:rsidRPr="005D0C15">
        <w:t>Conforming capital expenditure in the 201</w:t>
      </w:r>
      <w:r>
        <w:t>3</w:t>
      </w:r>
      <w:r w:rsidRPr="005D0C15">
        <w:t>–1</w:t>
      </w:r>
      <w:r>
        <w:t>7</w:t>
      </w:r>
      <w:r w:rsidRPr="005D0C15">
        <w:t xml:space="preserve"> access arrangement period</w:t>
      </w:r>
    </w:p>
    <w:p w:rsidR="005E2FB7" w:rsidRPr="00075758" w:rsidRDefault="005E2FB7" w:rsidP="005E2FB7">
      <w:r w:rsidRPr="00075758">
        <w:t xml:space="preserve">Our assessment of conforming capex is set out in capex attachment 6. In determining the opening capital base as at 1 </w:t>
      </w:r>
      <w:r>
        <w:t>January 2018</w:t>
      </w:r>
      <w:r w:rsidRPr="00075758">
        <w:t xml:space="preserve">, we assessed whether </w:t>
      </w:r>
      <w:r w:rsidR="004D3962">
        <w:t>Multinet</w:t>
      </w:r>
      <w:r w:rsidR="00EB2052">
        <w:t>'</w:t>
      </w:r>
      <w:r w:rsidRPr="00075758">
        <w:t>s proposed capex amounts for the 201</w:t>
      </w:r>
      <w:r>
        <w:t>3</w:t>
      </w:r>
      <w:r w:rsidRPr="00075758">
        <w:t xml:space="preserve">–17 access arrangement are properly accounted for in the capital base roll forward. </w:t>
      </w:r>
    </w:p>
    <w:p w:rsidR="002A6117" w:rsidRDefault="005E2FB7" w:rsidP="005E2FB7">
      <w:r w:rsidRPr="00075758">
        <w:t xml:space="preserve">We </w:t>
      </w:r>
      <w:r w:rsidRPr="00CA7986">
        <w:t xml:space="preserve">accept </w:t>
      </w:r>
      <w:r w:rsidR="00EB2052">
        <w:t>Multinet</w:t>
      </w:r>
      <w:r w:rsidRPr="00CA7986">
        <w:t>'s proposed actual capex as conforming capex during the 201</w:t>
      </w:r>
      <w:r w:rsidR="00EB2052">
        <w:t>3</w:t>
      </w:r>
      <w:r w:rsidRPr="00CA7986">
        <w:t xml:space="preserve">–17 </w:t>
      </w:r>
      <w:proofErr w:type="gramStart"/>
      <w:r w:rsidRPr="00CA7986">
        <w:t>period</w:t>
      </w:r>
      <w:proofErr w:type="gramEnd"/>
      <w:r w:rsidRPr="00CA7986">
        <w:t>. Therefore, we accept that actual conforming capex has been properly accounted for in the proposed capital base roll forward consistent with the requirements of the NGR.</w:t>
      </w:r>
      <w:r w:rsidRPr="00CA7986">
        <w:rPr>
          <w:rStyle w:val="FootnoteReference"/>
        </w:rPr>
        <w:footnoteReference w:id="19"/>
      </w:r>
      <w:r>
        <w:t xml:space="preserve"> </w:t>
      </w:r>
      <w:r w:rsidR="004D3962">
        <w:t>However, we note that</w:t>
      </w:r>
      <w:r w:rsidR="002A6117" w:rsidRPr="006348AE">
        <w:t xml:space="preserve"> the proposed capex for 201</w:t>
      </w:r>
      <w:r w:rsidR="002A6117">
        <w:t>6</w:t>
      </w:r>
      <w:r w:rsidR="002A6117" w:rsidRPr="006348AE">
        <w:t xml:space="preserve"> and 201</w:t>
      </w:r>
      <w:r w:rsidR="002A6117">
        <w:t>7</w:t>
      </w:r>
      <w:r w:rsidR="002A6117" w:rsidRPr="006348AE">
        <w:t xml:space="preserve"> are estimates. Therefore the ‘approved’ capex in this draft decision for 201</w:t>
      </w:r>
      <w:r w:rsidR="002A6117">
        <w:t>6</w:t>
      </w:r>
      <w:r w:rsidR="002A6117" w:rsidRPr="006348AE">
        <w:t xml:space="preserve"> and 201</w:t>
      </w:r>
      <w:r w:rsidR="002A6117">
        <w:t>7</w:t>
      </w:r>
      <w:r w:rsidR="002A6117" w:rsidRPr="006348AE">
        <w:t xml:space="preserve"> are placeholder amounts. We expect </w:t>
      </w:r>
      <w:r w:rsidR="002A6117">
        <w:t>Multinet</w:t>
      </w:r>
      <w:r w:rsidR="002A6117" w:rsidRPr="006348AE">
        <w:t xml:space="preserve"> will provide actual capex for 201</w:t>
      </w:r>
      <w:r w:rsidR="002A6117">
        <w:t>6</w:t>
      </w:r>
      <w:r w:rsidR="002A6117" w:rsidRPr="006348AE">
        <w:t xml:space="preserve"> in its revised proposal and the 201</w:t>
      </w:r>
      <w:r w:rsidR="002A6117">
        <w:t>7</w:t>
      </w:r>
      <w:r w:rsidR="002A6117" w:rsidRPr="006348AE">
        <w:t xml:space="preserve"> capex estimates may be revised based on more up to date information. We will assess whether the actual capex for 201</w:t>
      </w:r>
      <w:r w:rsidR="002A6117">
        <w:t>6</w:t>
      </w:r>
      <w:r w:rsidR="002A6117" w:rsidRPr="006348AE">
        <w:t xml:space="preserve"> </w:t>
      </w:r>
      <w:r w:rsidR="007036B1">
        <w:t>is</w:t>
      </w:r>
      <w:r w:rsidR="007036B1" w:rsidRPr="006348AE">
        <w:t xml:space="preserve"> </w:t>
      </w:r>
      <w:r w:rsidR="002A6117" w:rsidRPr="006348AE">
        <w:t>conforming capex in our final decision. We will undertake the assessment of whether the 201</w:t>
      </w:r>
      <w:r w:rsidR="002A6117">
        <w:t>7</w:t>
      </w:r>
      <w:r w:rsidR="002A6117" w:rsidRPr="006348AE">
        <w:t xml:space="preserve"> amount</w:t>
      </w:r>
      <w:r w:rsidR="002A6117">
        <w:t xml:space="preserve"> i</w:t>
      </w:r>
      <w:r w:rsidR="002A6117" w:rsidRPr="006348AE">
        <w:t xml:space="preserve">s conforming capex as part of the next access arrangement </w:t>
      </w:r>
      <w:r w:rsidR="002A6117">
        <w:t>review</w:t>
      </w:r>
      <w:r w:rsidR="002A6117" w:rsidRPr="006348AE">
        <w:t>.</w:t>
      </w:r>
    </w:p>
    <w:p w:rsidR="0036330F" w:rsidRDefault="002A6117" w:rsidP="00EF0A54">
      <w:pPr>
        <w:pStyle w:val="Heading4"/>
        <w:keepNext/>
      </w:pPr>
      <w:r>
        <w:t>Movements in capitalised provisions</w:t>
      </w:r>
    </w:p>
    <w:p w:rsidR="00C24AD3" w:rsidRDefault="007D1DAF" w:rsidP="00EF0A54">
      <w:pPr>
        <w:keepNext/>
      </w:pPr>
      <w:r>
        <w:t>Multinet</w:t>
      </w:r>
      <w:r w:rsidRPr="007D1DAF">
        <w:t xml:space="preserve">’s proposed reset RIN identified </w:t>
      </w:r>
      <w:r>
        <w:t xml:space="preserve">net </w:t>
      </w:r>
      <w:r w:rsidRPr="007D1DAF">
        <w:t>movement</w:t>
      </w:r>
      <w:r>
        <w:t>s</w:t>
      </w:r>
      <w:r w:rsidRPr="007D1DAF">
        <w:t xml:space="preserve"> in </w:t>
      </w:r>
      <w:r w:rsidR="0047720E">
        <w:t xml:space="preserve">capitalised </w:t>
      </w:r>
      <w:r w:rsidRPr="007D1DAF">
        <w:t>provisions allocated to capex of $0.</w:t>
      </w:r>
      <w:r>
        <w:t>4</w:t>
      </w:r>
      <w:r w:rsidRPr="007D1DAF">
        <w:t xml:space="preserve"> million </w:t>
      </w:r>
      <w:r>
        <w:t>between</w:t>
      </w:r>
      <w:r w:rsidRPr="007D1DAF">
        <w:t xml:space="preserve"> 201</w:t>
      </w:r>
      <w:r>
        <w:t>3 and 2015</w:t>
      </w:r>
      <w:r w:rsidRPr="007D1DAF">
        <w:t>.</w:t>
      </w:r>
      <w:r>
        <w:rPr>
          <w:rStyle w:val="FootnoteReference"/>
        </w:rPr>
        <w:footnoteReference w:id="20"/>
      </w:r>
      <w:r w:rsidRPr="007D1DAF">
        <w:t xml:space="preserve"> The capitalised provisions were allocated to the ‘</w:t>
      </w:r>
      <w:r>
        <w:t>Transmission and distribution</w:t>
      </w:r>
      <w:r w:rsidRPr="007D1DAF">
        <w:t xml:space="preserve">’ asset class. </w:t>
      </w:r>
      <w:r>
        <w:t>Multinet</w:t>
      </w:r>
      <w:r w:rsidRPr="007D1DAF">
        <w:t xml:space="preserve">’s proposed RFM did not account for these capitalised provisions by adjusting the value from its capex entering the </w:t>
      </w:r>
      <w:r>
        <w:t>capital base</w:t>
      </w:r>
      <w:r w:rsidRPr="007D1DAF">
        <w:t>.</w:t>
      </w:r>
      <w:r>
        <w:rPr>
          <w:rStyle w:val="FootnoteReference"/>
        </w:rPr>
        <w:footnoteReference w:id="21"/>
      </w:r>
      <w:r w:rsidR="002A6117">
        <w:t xml:space="preserve"> O</w:t>
      </w:r>
      <w:r w:rsidRPr="007D1DAF">
        <w:t xml:space="preserve">ur </w:t>
      </w:r>
      <w:r>
        <w:t>draft</w:t>
      </w:r>
      <w:r w:rsidRPr="007D1DAF">
        <w:t xml:space="preserve"> decision is to adjust the gross capex for </w:t>
      </w:r>
      <w:r w:rsidR="0047720E">
        <w:t xml:space="preserve">the </w:t>
      </w:r>
      <w:r w:rsidRPr="007D1DAF">
        <w:t>‘</w:t>
      </w:r>
      <w:r w:rsidR="0047720E">
        <w:t>Transmission and d</w:t>
      </w:r>
      <w:r w:rsidRPr="007D1DAF">
        <w:t xml:space="preserve">istribution’ </w:t>
      </w:r>
      <w:r w:rsidR="0047720E">
        <w:t xml:space="preserve">asset class </w:t>
      </w:r>
      <w:r w:rsidRPr="007D1DAF">
        <w:t>in the RFM for the</w:t>
      </w:r>
      <w:r>
        <w:t xml:space="preserve"> movements in</w:t>
      </w:r>
      <w:r w:rsidRPr="007D1DAF">
        <w:t xml:space="preserve"> capitalised provisions.</w:t>
      </w:r>
    </w:p>
    <w:p w:rsidR="006348AE" w:rsidRDefault="00C24AD3" w:rsidP="005D0C15">
      <w:r w:rsidRPr="007D1DAF">
        <w:t xml:space="preserve">We consider that the movement in capitalised provisions during the </w:t>
      </w:r>
      <w:r>
        <w:t>access arrangement</w:t>
      </w:r>
      <w:r w:rsidRPr="007D1DAF">
        <w:t xml:space="preserve"> period should be adjusted from</w:t>
      </w:r>
      <w:r>
        <w:t xml:space="preserve"> the</w:t>
      </w:r>
      <w:r w:rsidRPr="007D1DAF">
        <w:t xml:space="preserve"> capex inputs to the RFM. This approach means capitalised costs related to these provisions are only included in the </w:t>
      </w:r>
      <w:r>
        <w:t>capital base</w:t>
      </w:r>
      <w:r w:rsidRPr="007D1DAF">
        <w:t xml:space="preserve"> when they are paid out by the business. This approach is consistent with adding capex as incurred and has been a</w:t>
      </w:r>
      <w:r>
        <w:t>pplied in other AER decisions, including for Multinet's access arrangement for the 2013–17 period.</w:t>
      </w:r>
      <w:r>
        <w:rPr>
          <w:rStyle w:val="FootnoteReference"/>
        </w:rPr>
        <w:footnoteReference w:id="22"/>
      </w:r>
      <w:r>
        <w:t xml:space="preserve"> </w:t>
      </w:r>
    </w:p>
    <w:p w:rsidR="005D0C15" w:rsidRDefault="005D0C15" w:rsidP="005D0C15">
      <w:pPr>
        <w:pStyle w:val="Heading4"/>
      </w:pPr>
      <w:r>
        <w:t>Depreciation used in the 2013–17 asset base roll forward</w:t>
      </w:r>
    </w:p>
    <w:p w:rsidR="003F7BAF" w:rsidRDefault="003F7BAF" w:rsidP="005D0C15">
      <w:r>
        <w:t xml:space="preserve">Multinet's proposed RFM used forecast deprecation to roll forward its capital base over the 2013–17 access arrangement </w:t>
      </w:r>
      <w:proofErr w:type="gramStart"/>
      <w:r>
        <w:t>period</w:t>
      </w:r>
      <w:proofErr w:type="gramEnd"/>
      <w:r>
        <w:t>.</w:t>
      </w:r>
      <w:r>
        <w:rPr>
          <w:rStyle w:val="FootnoteReference"/>
        </w:rPr>
        <w:footnoteReference w:id="23"/>
      </w:r>
      <w:r>
        <w:t xml:space="preserve"> This is consistent with the approach set out in the </w:t>
      </w:r>
      <w:r w:rsidR="0047720E">
        <w:t xml:space="preserve">access arrangement for the </w:t>
      </w:r>
      <w:r>
        <w:t>201</w:t>
      </w:r>
      <w:r w:rsidR="0047720E">
        <w:t xml:space="preserve">3–17 </w:t>
      </w:r>
      <w:proofErr w:type="gramStart"/>
      <w:r w:rsidR="0047720E">
        <w:t>period</w:t>
      </w:r>
      <w:proofErr w:type="gramEnd"/>
      <w:r>
        <w:t>.</w:t>
      </w:r>
      <w:r w:rsidR="00566828">
        <w:rPr>
          <w:rStyle w:val="FootnoteReference"/>
        </w:rPr>
        <w:footnoteReference w:id="24"/>
      </w:r>
      <w:r>
        <w:t xml:space="preserve"> We reviewed the forecast depreciation </w:t>
      </w:r>
      <w:r w:rsidR="00566828">
        <w:t>inputs</w:t>
      </w:r>
      <w:r>
        <w:t xml:space="preserve"> used in Multinet's RFM and found some minor discrepancies with those </w:t>
      </w:r>
      <w:r w:rsidR="00566828">
        <w:t xml:space="preserve">in the approved PTRM for the 2013–17 </w:t>
      </w:r>
      <w:r w:rsidR="0047720E">
        <w:t xml:space="preserve">access arrangement </w:t>
      </w:r>
      <w:proofErr w:type="gramStart"/>
      <w:r w:rsidR="00566828">
        <w:t>period</w:t>
      </w:r>
      <w:proofErr w:type="gramEnd"/>
      <w:r w:rsidR="00566828">
        <w:t>. We sent an information request to Multinet regarding this issue and Multinet stated that this was an error in the proposed RFM.</w:t>
      </w:r>
      <w:r w:rsidR="00566828">
        <w:rPr>
          <w:rStyle w:val="FootnoteReference"/>
        </w:rPr>
        <w:footnoteReference w:id="25"/>
      </w:r>
      <w:r w:rsidR="00566828">
        <w:t xml:space="preserve"> We have corrected this error in this draft decision and applied the </w:t>
      </w:r>
      <w:r w:rsidR="0047720E">
        <w:t xml:space="preserve">approved forecast </w:t>
      </w:r>
      <w:r w:rsidR="00566828">
        <w:t xml:space="preserve">depreciation values </w:t>
      </w:r>
      <w:r w:rsidR="0047720E">
        <w:t xml:space="preserve">from </w:t>
      </w:r>
      <w:r w:rsidR="00775B1D">
        <w:t xml:space="preserve">the </w:t>
      </w:r>
      <w:r w:rsidR="0047720E">
        <w:t xml:space="preserve">PTRM for the 2013–17 access arrangement </w:t>
      </w:r>
      <w:proofErr w:type="gramStart"/>
      <w:r w:rsidR="0047720E">
        <w:t>period</w:t>
      </w:r>
      <w:proofErr w:type="gramEnd"/>
      <w:r w:rsidR="00566828">
        <w:t xml:space="preserve"> to roll forward the capital base.</w:t>
      </w:r>
    </w:p>
    <w:p w:rsidR="00A04F1E" w:rsidRDefault="00A04F1E" w:rsidP="0003592B">
      <w:pPr>
        <w:pStyle w:val="Heading3"/>
        <w:ind w:left="720"/>
      </w:pPr>
      <w:bookmarkStart w:id="84" w:name="_Toc486954835"/>
      <w:r w:rsidRPr="00A04F1E">
        <w:t>Projected capital base during the 2018–22 access arrangement period</w:t>
      </w:r>
      <w:bookmarkEnd w:id="84"/>
    </w:p>
    <w:p w:rsidR="009764C2" w:rsidRDefault="009764C2" w:rsidP="009764C2">
      <w:r w:rsidRPr="00992B37">
        <w:t xml:space="preserve">We forecast </w:t>
      </w:r>
      <w:r>
        <w:t>Multinet</w:t>
      </w:r>
      <w:r w:rsidRPr="00992B37">
        <w:t>'s projected capital base at 3</w:t>
      </w:r>
      <w:r>
        <w:t>1</w:t>
      </w:r>
      <w:r w:rsidRPr="00992B37">
        <w:t xml:space="preserve"> </w:t>
      </w:r>
      <w:r>
        <w:t>December</w:t>
      </w:r>
      <w:r w:rsidRPr="00992B37">
        <w:t xml:space="preserve"> 202</w:t>
      </w:r>
      <w:r>
        <w:t>2</w:t>
      </w:r>
      <w:r w:rsidRPr="00992B37">
        <w:t xml:space="preserve"> to be $</w:t>
      </w:r>
      <w:r w:rsidR="00B8317B">
        <w:t>1401.0</w:t>
      </w:r>
      <w:r>
        <w:t> </w:t>
      </w:r>
      <w:r w:rsidRPr="00992B37">
        <w:t>million ($</w:t>
      </w:r>
      <w:r>
        <w:t> </w:t>
      </w:r>
      <w:r w:rsidRPr="00992B37">
        <w:t>nominal), a reduction of $</w:t>
      </w:r>
      <w:r w:rsidR="00B8317B">
        <w:t>45.1</w:t>
      </w:r>
      <w:r>
        <w:t> </w:t>
      </w:r>
      <w:r w:rsidRPr="00992B37">
        <w:t xml:space="preserve">million or </w:t>
      </w:r>
      <w:r w:rsidR="00A33D81">
        <w:t>3.1</w:t>
      </w:r>
      <w:r>
        <w:t> </w:t>
      </w:r>
      <w:r w:rsidRPr="00992B37">
        <w:t xml:space="preserve">per cent from </w:t>
      </w:r>
      <w:r>
        <w:t>Multinet</w:t>
      </w:r>
      <w:r w:rsidRPr="00992B37">
        <w:t>'s proposal. This results from our draft decision on the inputs to the determination of the projected capital base. We have amended the inputs in the following ways:</w:t>
      </w:r>
    </w:p>
    <w:p w:rsidR="009764C2" w:rsidRPr="00CB5970" w:rsidRDefault="004440B3" w:rsidP="009764C2">
      <w:pPr>
        <w:pStyle w:val="AERbulletlistfirststyle"/>
      </w:pPr>
      <w:r>
        <w:t>W</w:t>
      </w:r>
      <w:r w:rsidR="00880E43">
        <w:t>e i</w:t>
      </w:r>
      <w:r w:rsidR="0047720E">
        <w:t>ncreased</w:t>
      </w:r>
      <w:r w:rsidR="0047720E" w:rsidRPr="00CB5970">
        <w:t xml:space="preserve"> </w:t>
      </w:r>
      <w:r w:rsidR="009764C2">
        <w:t>Multinet</w:t>
      </w:r>
      <w:r w:rsidR="009764C2" w:rsidRPr="00CB5970">
        <w:t xml:space="preserve">'s opening capital base as at 1 </w:t>
      </w:r>
      <w:r w:rsidR="009764C2">
        <w:t>January</w:t>
      </w:r>
      <w:r w:rsidR="009764C2" w:rsidRPr="00CB5970">
        <w:t xml:space="preserve"> 201</w:t>
      </w:r>
      <w:r w:rsidR="009764C2">
        <w:t>8</w:t>
      </w:r>
      <w:r w:rsidR="009764C2" w:rsidRPr="00CB5970">
        <w:t xml:space="preserve"> by $</w:t>
      </w:r>
      <w:r w:rsidR="00880E43">
        <w:t>1.6</w:t>
      </w:r>
      <w:r w:rsidR="009764C2" w:rsidRPr="00CB5970">
        <w:t xml:space="preserve"> million ($</w:t>
      </w:r>
      <w:r w:rsidR="009764C2">
        <w:t> </w:t>
      </w:r>
      <w:r w:rsidR="009764C2" w:rsidRPr="00CB5970">
        <w:t xml:space="preserve">nominal) or by </w:t>
      </w:r>
      <w:r w:rsidR="00880E43">
        <w:t>0.</w:t>
      </w:r>
      <w:r w:rsidR="00574946">
        <w:t>1</w:t>
      </w:r>
      <w:r w:rsidR="00574946" w:rsidRPr="00CB5970">
        <w:t xml:space="preserve"> </w:t>
      </w:r>
      <w:r w:rsidR="009764C2" w:rsidRPr="00CB5970">
        <w:t>per cent to reflect the changes required in this attachment.</w:t>
      </w:r>
    </w:p>
    <w:p w:rsidR="009764C2" w:rsidRDefault="004440B3" w:rsidP="009764C2">
      <w:pPr>
        <w:pStyle w:val="AERbulletlistfirststyle"/>
      </w:pPr>
      <w:r>
        <w:t>W</w:t>
      </w:r>
      <w:r w:rsidR="00880E43">
        <w:t>e re</w:t>
      </w:r>
      <w:r w:rsidR="009764C2" w:rsidRPr="00CB5970">
        <w:t xml:space="preserve">duced </w:t>
      </w:r>
      <w:r w:rsidR="009764C2">
        <w:t>Multinet</w:t>
      </w:r>
      <w:r w:rsidR="009764C2" w:rsidRPr="00CB5970">
        <w:t xml:space="preserve">'s proposed forecast net capex </w:t>
      </w:r>
      <w:r w:rsidR="0047720E">
        <w:t xml:space="preserve">for the 2018–22 access arrangement period </w:t>
      </w:r>
      <w:r w:rsidR="009764C2" w:rsidRPr="00CB5970">
        <w:t>by $</w:t>
      </w:r>
      <w:r w:rsidR="00880E43">
        <w:t>115.2</w:t>
      </w:r>
      <w:r w:rsidR="009764C2">
        <w:t> </w:t>
      </w:r>
      <w:r w:rsidR="009764C2" w:rsidRPr="00CB5970">
        <w:t>million ($</w:t>
      </w:r>
      <w:r w:rsidR="00880E43">
        <w:t> nominal</w:t>
      </w:r>
      <w:r w:rsidR="009764C2" w:rsidRPr="00CB5970">
        <w:t xml:space="preserve">) or </w:t>
      </w:r>
      <w:r w:rsidR="00880E43">
        <w:t>22.</w:t>
      </w:r>
      <w:r w:rsidR="00EB336E">
        <w:t>8 </w:t>
      </w:r>
      <w:r w:rsidR="009764C2" w:rsidRPr="00CB5970">
        <w:t>per cent. Our assessment of the proposed forecast capex is set out in attachment 6.</w:t>
      </w:r>
    </w:p>
    <w:p w:rsidR="00880E43" w:rsidRDefault="004440B3" w:rsidP="00880E43">
      <w:pPr>
        <w:pStyle w:val="AERbulletlistfirststyle"/>
      </w:pPr>
      <w:r>
        <w:t>W</w:t>
      </w:r>
      <w:r w:rsidR="00880E43" w:rsidRPr="00880E43">
        <w:t xml:space="preserve">e increased </w:t>
      </w:r>
      <w:r w:rsidR="00880E43">
        <w:t>Multinet</w:t>
      </w:r>
      <w:r w:rsidR="00880E43" w:rsidRPr="00880E43">
        <w:t>'s proposed</w:t>
      </w:r>
      <w:r w:rsidR="00880E43">
        <w:t xml:space="preserve"> expected inflation rate of 1.68</w:t>
      </w:r>
      <w:r w:rsidR="00880E43" w:rsidRPr="00880E43">
        <w:t xml:space="preserve"> per cent per annum to 2.45 per cent per annum (attachment 3). This results in an increase to the indexation of the </w:t>
      </w:r>
      <w:r w:rsidR="00880E43">
        <w:t>capital base</w:t>
      </w:r>
      <w:r w:rsidR="00880E43" w:rsidRPr="00880E43">
        <w:t xml:space="preserve"> component for the 201</w:t>
      </w:r>
      <w:r w:rsidR="00880E43">
        <w:t>8</w:t>
      </w:r>
      <w:r w:rsidR="00880E43" w:rsidRPr="00880E43">
        <w:t>–22 regulatory control period by $</w:t>
      </w:r>
      <w:r w:rsidR="00880E43">
        <w:t>47.9</w:t>
      </w:r>
      <w:r w:rsidR="00880E43" w:rsidRPr="00880E43">
        <w:t xml:space="preserve"> million ($ nominal) or </w:t>
      </w:r>
      <w:r w:rsidR="00880E43">
        <w:t>43.9</w:t>
      </w:r>
      <w:r w:rsidR="00880E43" w:rsidRPr="00880E43">
        <w:t xml:space="preserve"> per cent.</w:t>
      </w:r>
    </w:p>
    <w:p w:rsidR="00A04F1E" w:rsidRDefault="00880E43" w:rsidP="009764C2">
      <w:pPr>
        <w:pStyle w:val="AERbulletlistfirststyle"/>
      </w:pPr>
      <w:proofErr w:type="gramStart"/>
      <w:r>
        <w:t>we</w:t>
      </w:r>
      <w:proofErr w:type="gramEnd"/>
      <w:r>
        <w:t xml:space="preserve"> r</w:t>
      </w:r>
      <w:r w:rsidR="009764C2" w:rsidRPr="00CB5970">
        <w:t xml:space="preserve">educed </w:t>
      </w:r>
      <w:r w:rsidR="009764C2">
        <w:t>Multinet</w:t>
      </w:r>
      <w:r w:rsidR="009764C2" w:rsidRPr="00CB5970">
        <w:t xml:space="preserve">'s proposed forecast </w:t>
      </w:r>
      <w:r>
        <w:t>straight-line</w:t>
      </w:r>
      <w:r w:rsidR="009764C2" w:rsidRPr="00CB5970">
        <w:t xml:space="preserve"> depreciation allowance </w:t>
      </w:r>
      <w:r w:rsidR="0047720E">
        <w:t xml:space="preserve">for the 2018–22 access arrangement period </w:t>
      </w:r>
      <w:r w:rsidR="009764C2" w:rsidRPr="00CB5970">
        <w:t>by $</w:t>
      </w:r>
      <w:r>
        <w:t>20.4</w:t>
      </w:r>
      <w:r w:rsidR="009764C2">
        <w:t> </w:t>
      </w:r>
      <w:r w:rsidR="009764C2" w:rsidRPr="00CB5970">
        <w:t>million ($</w:t>
      </w:r>
      <w:r w:rsidR="009764C2">
        <w:t> </w:t>
      </w:r>
      <w:r w:rsidR="009764C2" w:rsidRPr="00CB5970">
        <w:t xml:space="preserve">nominal) or </w:t>
      </w:r>
      <w:r>
        <w:t>5.7</w:t>
      </w:r>
      <w:r w:rsidR="009764C2" w:rsidRPr="00CB5970">
        <w:t xml:space="preserve"> per cent.</w:t>
      </w:r>
      <w:r w:rsidR="009764C2">
        <w:rPr>
          <w:rStyle w:val="FootnoteReference"/>
        </w:rPr>
        <w:footnoteReference w:id="26"/>
      </w:r>
      <w:r w:rsidR="009764C2" w:rsidRPr="00CB5970">
        <w:t xml:space="preserve"> Our assessment of the proposed forecast depreciation is set out in attachment 5.</w:t>
      </w:r>
    </w:p>
    <w:p w:rsidR="0047720E" w:rsidRPr="00D327F2" w:rsidRDefault="0047720E" w:rsidP="0047720E">
      <w:r>
        <w:fldChar w:fldCharType="begin"/>
      </w:r>
      <w:r>
        <w:instrText xml:space="preserve"> REF _Ref468709585 \h </w:instrText>
      </w:r>
      <w:r>
        <w:fldChar w:fldCharType="separate"/>
      </w:r>
      <w:r w:rsidR="001E77EC" w:rsidRPr="00ED214E">
        <w:t xml:space="preserve">Figure </w:t>
      </w:r>
      <w:r w:rsidR="001E77EC">
        <w:rPr>
          <w:noProof/>
        </w:rPr>
        <w:t>2</w:t>
      </w:r>
      <w:r w:rsidR="001E77EC" w:rsidRPr="00D327F2">
        <w:t>.</w:t>
      </w:r>
      <w:r w:rsidR="001E77EC">
        <w:rPr>
          <w:noProof/>
        </w:rPr>
        <w:t>2</w:t>
      </w:r>
      <w:r>
        <w:fldChar w:fldCharType="end"/>
      </w:r>
      <w:r>
        <w:t xml:space="preserve"> </w:t>
      </w:r>
      <w:r w:rsidRPr="00D327F2">
        <w:t xml:space="preserve">shows the key drivers of the change in </w:t>
      </w:r>
      <w:r>
        <w:t>Multinet</w:t>
      </w:r>
      <w:r w:rsidRPr="00D327F2">
        <w:t>'s capital base</w:t>
      </w:r>
      <w:r>
        <w:t xml:space="preserve"> over the 2018</w:t>
      </w:r>
      <w:r w:rsidRPr="00D327F2">
        <w:t xml:space="preserve">–22 access arrangement </w:t>
      </w:r>
      <w:proofErr w:type="gramStart"/>
      <w:r w:rsidRPr="00D327F2">
        <w:t>period</w:t>
      </w:r>
      <w:proofErr w:type="gramEnd"/>
      <w:r w:rsidRPr="00D327F2">
        <w:t xml:space="preserve"> for this draft decision. Overall, the closing </w:t>
      </w:r>
      <w:r>
        <w:t>capital base</w:t>
      </w:r>
      <w:r w:rsidRPr="00D327F2">
        <w:t xml:space="preserve"> at the end of the 201</w:t>
      </w:r>
      <w:r>
        <w:t>8</w:t>
      </w:r>
      <w:r w:rsidRPr="00D327F2">
        <w:t xml:space="preserve">–22 access arrangement </w:t>
      </w:r>
      <w:proofErr w:type="gramStart"/>
      <w:r w:rsidRPr="00D327F2">
        <w:t>period</w:t>
      </w:r>
      <w:proofErr w:type="gramEnd"/>
      <w:r w:rsidRPr="00D327F2">
        <w:t xml:space="preserve"> is forecast to be </w:t>
      </w:r>
      <w:r w:rsidR="00880E43">
        <w:t>17.5</w:t>
      </w:r>
      <w:r w:rsidRPr="00D327F2">
        <w:t xml:space="preserve"> per cent higher than the opening capital base at the start of that period, in nominal terms. The approved forecast net capex increases the capital base by about </w:t>
      </w:r>
      <w:r w:rsidR="00880E43">
        <w:t>32.8</w:t>
      </w:r>
      <w:r>
        <w:t xml:space="preserve"> </w:t>
      </w:r>
      <w:r w:rsidRPr="00D327F2">
        <w:t xml:space="preserve">per cent, while expected inflation increases it by about </w:t>
      </w:r>
      <w:r w:rsidR="00880E43">
        <w:t>13.2</w:t>
      </w:r>
      <w:r>
        <w:t xml:space="preserve"> </w:t>
      </w:r>
      <w:r w:rsidRPr="00D327F2">
        <w:t xml:space="preserve">per cent. Forecast depreciation, on the other hand, reduces the capital base by about </w:t>
      </w:r>
      <w:r w:rsidR="00880E43">
        <w:t>28.5</w:t>
      </w:r>
      <w:r w:rsidRPr="00D327F2">
        <w:t xml:space="preserve"> per cent.</w:t>
      </w:r>
    </w:p>
    <w:p w:rsidR="0047720E" w:rsidRPr="00D327F2" w:rsidRDefault="0047720E" w:rsidP="0047720E">
      <w:pPr>
        <w:pStyle w:val="Caption"/>
      </w:pPr>
      <w:bookmarkStart w:id="85" w:name="_Ref468709585"/>
      <w:proofErr w:type="gramStart"/>
      <w:r w:rsidRPr="00ED214E">
        <w:t xml:space="preserve">Figure </w:t>
      </w:r>
      <w:proofErr w:type="gramEnd"/>
      <w:r w:rsidR="00574B35">
        <w:fldChar w:fldCharType="begin"/>
      </w:r>
      <w:r w:rsidR="00574B35">
        <w:instrText xml:space="preserve"> STYLEREF 1 \s </w:instrText>
      </w:r>
      <w:r w:rsidR="00574B35">
        <w:fldChar w:fldCharType="separate"/>
      </w:r>
      <w:r w:rsidR="001E77EC">
        <w:rPr>
          <w:noProof/>
        </w:rPr>
        <w:t>2</w:t>
      </w:r>
      <w:r w:rsidR="00574B35">
        <w:rPr>
          <w:noProof/>
        </w:rPr>
        <w:fldChar w:fldCharType="end"/>
      </w:r>
      <w:proofErr w:type="gramStart"/>
      <w:r w:rsidRPr="00D327F2">
        <w:t>.</w:t>
      </w:r>
      <w:proofErr w:type="gramEnd"/>
      <w:r w:rsidR="00796D48">
        <w:fldChar w:fldCharType="begin"/>
      </w:r>
      <w:r w:rsidR="00796D48">
        <w:instrText xml:space="preserve"> SEQ Figure \* ARABIC \s 1 </w:instrText>
      </w:r>
      <w:r w:rsidR="00796D48">
        <w:fldChar w:fldCharType="separate"/>
      </w:r>
      <w:r w:rsidR="001E77EC">
        <w:rPr>
          <w:noProof/>
        </w:rPr>
        <w:t>2</w:t>
      </w:r>
      <w:r w:rsidR="00796D48">
        <w:rPr>
          <w:noProof/>
        </w:rPr>
        <w:fldChar w:fldCharType="end"/>
      </w:r>
      <w:bookmarkEnd w:id="85"/>
      <w:r w:rsidRPr="00D327F2">
        <w:tab/>
        <w:t>Key drivers of changes in the capital base ($ million, nominal)</w:t>
      </w:r>
    </w:p>
    <w:p w:rsidR="005D2DBB" w:rsidRDefault="005D2DBB" w:rsidP="00667FAA">
      <w:r w:rsidRPr="00FA7FE6">
        <w:rPr>
          <w:noProof/>
          <w:lang w:eastAsia="en-AU"/>
        </w:rPr>
        <w:drawing>
          <wp:inline distT="0" distB="0" distL="0" distR="0" wp14:anchorId="2B69C321" wp14:editId="136F8589">
            <wp:extent cx="5382895" cy="3130821"/>
            <wp:effectExtent l="0" t="0" r="8255"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130821"/>
                    </a:xfrm>
                    <a:prstGeom prst="rect">
                      <a:avLst/>
                    </a:prstGeom>
                    <a:noFill/>
                    <a:extLst/>
                  </pic:spPr>
                </pic:pic>
              </a:graphicData>
            </a:graphic>
          </wp:inline>
        </w:drawing>
      </w:r>
    </w:p>
    <w:p w:rsidR="0047720E" w:rsidRPr="00455033" w:rsidRDefault="0047720E" w:rsidP="0047720E">
      <w:pPr>
        <w:pStyle w:val="Source"/>
      </w:pPr>
      <w:r w:rsidRPr="00ED214E">
        <w:t>Source:</w:t>
      </w:r>
      <w:r w:rsidRPr="00ED214E">
        <w:tab/>
        <w:t>AER analysis.</w:t>
      </w:r>
    </w:p>
    <w:p w:rsidR="00A04F1E" w:rsidRDefault="00A04F1E" w:rsidP="00EF0A54">
      <w:pPr>
        <w:pStyle w:val="Heading3"/>
        <w:keepNext/>
        <w:ind w:left="720"/>
      </w:pPr>
      <w:bookmarkStart w:id="86" w:name="_Toc486954836"/>
      <w:r w:rsidRPr="00A04F1E">
        <w:t>Capital base at the commencement of the 2023–2</w:t>
      </w:r>
      <w:r w:rsidR="0047720E">
        <w:t>7</w:t>
      </w:r>
      <w:r w:rsidRPr="00A04F1E">
        <w:t xml:space="preserve"> access arrangement period</w:t>
      </w:r>
      <w:bookmarkEnd w:id="86"/>
    </w:p>
    <w:p w:rsidR="009764C2" w:rsidRDefault="009764C2" w:rsidP="00EF0A54">
      <w:pPr>
        <w:keepNext/>
      </w:pPr>
      <w:r w:rsidRPr="00CB5970">
        <w:t>The capital base at the commencement of the 202</w:t>
      </w:r>
      <w:r>
        <w:t>3</w:t>
      </w:r>
      <w:r w:rsidRPr="00CB5970">
        <w:t>–2</w:t>
      </w:r>
      <w:r w:rsidR="0047720E">
        <w:t>7</w:t>
      </w:r>
      <w:r w:rsidRPr="00CB5970">
        <w:t xml:space="preserve"> access arrangement </w:t>
      </w:r>
      <w:proofErr w:type="gramStart"/>
      <w:r w:rsidRPr="00CB5970">
        <w:t>period</w:t>
      </w:r>
      <w:proofErr w:type="gramEnd"/>
      <w:r w:rsidRPr="00CB5970">
        <w:t xml:space="preserve"> will be subject to adjust</w:t>
      </w:r>
      <w:r>
        <w:t>ments consistent with the NGR.</w:t>
      </w:r>
      <w:r w:rsidRPr="00CB5970">
        <w:t xml:space="preserve"> The adjustments </w:t>
      </w:r>
      <w:r w:rsidR="0047720E">
        <w:t xml:space="preserve">for Multinet </w:t>
      </w:r>
      <w:r w:rsidRPr="00CB5970">
        <w:t>include (but are not limited to)</w:t>
      </w:r>
      <w:r w:rsidR="0047720E">
        <w:t xml:space="preserve"> actual inflation and approved depreciation over the 2018–22 access arrangement period.</w:t>
      </w:r>
    </w:p>
    <w:p w:rsidR="003C669A" w:rsidRDefault="009764C2" w:rsidP="003C669A">
      <w:r>
        <w:t>We accept Multinet</w:t>
      </w:r>
      <w:r w:rsidRPr="00CB5970">
        <w:t xml:space="preserve">'s proposal to establish </w:t>
      </w:r>
      <w:r w:rsidR="0047720E">
        <w:t>the</w:t>
      </w:r>
      <w:r w:rsidRPr="00CB5970">
        <w:t xml:space="preserve"> opening capital base as at 1 </w:t>
      </w:r>
      <w:r>
        <w:t>January</w:t>
      </w:r>
      <w:r w:rsidRPr="00CB5970">
        <w:t xml:space="preserve"> 202</w:t>
      </w:r>
      <w:r>
        <w:t>3</w:t>
      </w:r>
      <w:r w:rsidR="0047720E">
        <w:t xml:space="preserve"> </w:t>
      </w:r>
      <w:r w:rsidR="005A737D">
        <w:t>using</w:t>
      </w:r>
      <w:r w:rsidR="005A737D" w:rsidRPr="00CB5970">
        <w:t xml:space="preserve"> </w:t>
      </w:r>
      <w:r w:rsidR="005A737D">
        <w:t>the</w:t>
      </w:r>
      <w:r w:rsidR="005A737D" w:rsidRPr="00CB5970">
        <w:t xml:space="preserve"> depreciation</w:t>
      </w:r>
      <w:r w:rsidR="005A737D">
        <w:t xml:space="preserve"> schedules based on forecast capex over</w:t>
      </w:r>
      <w:r w:rsidR="005A737D" w:rsidRPr="00CB5970">
        <w:t xml:space="preserve"> the 201</w:t>
      </w:r>
      <w:r w:rsidR="005A737D">
        <w:t>8</w:t>
      </w:r>
      <w:r w:rsidR="005A737D" w:rsidRPr="00CB5970">
        <w:t>–2</w:t>
      </w:r>
      <w:r w:rsidR="005A737D">
        <w:t>2</w:t>
      </w:r>
      <w:r w:rsidR="005A737D" w:rsidRPr="00CB5970">
        <w:t xml:space="preserve"> access arrangement period</w:t>
      </w:r>
      <w:r w:rsidRPr="00CB5970">
        <w:t>.</w:t>
      </w:r>
      <w:r>
        <w:rPr>
          <w:rStyle w:val="FootnoteReference"/>
        </w:rPr>
        <w:footnoteReference w:id="27"/>
      </w:r>
      <w:r w:rsidRPr="00CB5970">
        <w:t xml:space="preserve"> </w:t>
      </w:r>
      <w:r w:rsidR="003C669A" w:rsidRPr="00E943E6">
        <w:t>We approved such an approach in our recent gas decisions.</w:t>
      </w:r>
      <w:r w:rsidR="003C669A">
        <w:rPr>
          <w:rStyle w:val="FootnoteReference"/>
        </w:rPr>
        <w:footnoteReference w:id="28"/>
      </w:r>
      <w:r w:rsidR="003C669A">
        <w:t xml:space="preserve"> </w:t>
      </w:r>
      <w:r w:rsidR="003C669A" w:rsidRPr="00E943E6">
        <w:t xml:space="preserve">This approach is also consistent with the approach outlined in our </w:t>
      </w:r>
      <w:r w:rsidR="003C669A" w:rsidRPr="009D32BA">
        <w:rPr>
          <w:rStyle w:val="AERtextitalic"/>
        </w:rPr>
        <w:t>Access Arrangement Guideline</w:t>
      </w:r>
      <w:r w:rsidR="003C669A" w:rsidRPr="00E943E6">
        <w:t>.</w:t>
      </w:r>
      <w:r w:rsidR="003C669A">
        <w:rPr>
          <w:rStyle w:val="FootnoteReference"/>
        </w:rPr>
        <w:footnoteReference w:id="29"/>
      </w:r>
      <w:r w:rsidR="003C669A">
        <w:t xml:space="preserve"> </w:t>
      </w:r>
      <w:r w:rsidR="003C669A" w:rsidRPr="00E943E6">
        <w:t>The amount of the forecast depreciation is to be approved by us in the final decision for the 201</w:t>
      </w:r>
      <w:r w:rsidR="003C669A">
        <w:t>8</w:t>
      </w:r>
      <w:r w:rsidR="003C669A" w:rsidRPr="00E943E6">
        <w:t>–2</w:t>
      </w:r>
      <w:r w:rsidR="003C669A">
        <w:t>2</w:t>
      </w:r>
      <w:r w:rsidR="003C669A" w:rsidRPr="00E943E6">
        <w:t xml:space="preserve"> access arrangement </w:t>
      </w:r>
      <w:proofErr w:type="gramStart"/>
      <w:r w:rsidR="003C669A" w:rsidRPr="00E943E6">
        <w:t>period</w:t>
      </w:r>
      <w:proofErr w:type="gramEnd"/>
      <w:r w:rsidR="003C669A" w:rsidRPr="00E943E6">
        <w:t>.</w:t>
      </w:r>
    </w:p>
    <w:p w:rsidR="005A737D" w:rsidRDefault="00796D48" w:rsidP="005A737D">
      <w:r>
        <w:t>W</w:t>
      </w:r>
      <w:r w:rsidR="00716F71">
        <w:t xml:space="preserve">e </w:t>
      </w:r>
      <w:r w:rsidR="005A737D">
        <w:t xml:space="preserve">consider the access arrangement should </w:t>
      </w:r>
      <w:r w:rsidR="003C669A">
        <w:t>further provide for</w:t>
      </w:r>
      <w:r w:rsidR="005A737D">
        <w:t xml:space="preserve"> the capital base as at 1 January 2023 is to be established using</w:t>
      </w:r>
      <w:r w:rsidR="00DB7EF9">
        <w:t xml:space="preserve"> </w:t>
      </w:r>
      <w:r w:rsidR="005A737D" w:rsidRPr="00BF48EA">
        <w:t>the approved depreciation schedule</w:t>
      </w:r>
      <w:r w:rsidR="005A737D">
        <w:t>s</w:t>
      </w:r>
      <w:r w:rsidR="005A737D" w:rsidRPr="00BF48EA">
        <w:t xml:space="preserve"> </w:t>
      </w:r>
      <w:r w:rsidR="00DB7EF9">
        <w:t xml:space="preserve">(straight-line) </w:t>
      </w:r>
      <w:r w:rsidR="005A737D" w:rsidRPr="00BF48EA">
        <w:t>based on forecast capex at the asset class level</w:t>
      </w:r>
      <w:r w:rsidR="00C878C8">
        <w:t>.</w:t>
      </w:r>
      <w:r w:rsidR="0069487E">
        <w:rPr>
          <w:rStyle w:val="FootnoteReference"/>
        </w:rPr>
        <w:footnoteReference w:id="30"/>
      </w:r>
      <w:r w:rsidR="003C669A">
        <w:t xml:space="preserve"> Having </w:t>
      </w:r>
      <w:r w:rsidR="003C669A" w:rsidRPr="003C669A">
        <w:t>regard to the capital base as determined in the preceding access arrangement,</w:t>
      </w:r>
      <w:r w:rsidR="003C669A">
        <w:t xml:space="preserve"> w</w:t>
      </w:r>
      <w:r w:rsidR="005A737D">
        <w:t>e consider this will provide for a foreca</w:t>
      </w:r>
      <w:r w:rsidR="009836F3">
        <w:t>st of depreciation over the 2018</w:t>
      </w:r>
      <w:r w:rsidR="005A737D">
        <w:t xml:space="preserve">–22 access arrangement </w:t>
      </w:r>
      <w:proofErr w:type="gramStart"/>
      <w:r w:rsidR="005A737D">
        <w:t>period</w:t>
      </w:r>
      <w:proofErr w:type="gramEnd"/>
      <w:r w:rsidR="005A737D">
        <w:t xml:space="preserve"> that </w:t>
      </w:r>
      <w:r w:rsidR="003C669A">
        <w:t>provides for continuity and consistency in determining depreciation from one access arrangement period to the next</w:t>
      </w:r>
      <w:r w:rsidR="005A737D">
        <w:t>.</w:t>
      </w:r>
      <w:r w:rsidR="005A737D">
        <w:rPr>
          <w:rStyle w:val="FootnoteReference"/>
        </w:rPr>
        <w:footnoteReference w:id="31"/>
      </w:r>
      <w:r w:rsidR="005A737D">
        <w:t xml:space="preserve"> </w:t>
      </w:r>
    </w:p>
    <w:p w:rsidR="00715B1D" w:rsidRDefault="00027DB4" w:rsidP="00716F71">
      <w:r>
        <w:t xml:space="preserve">We note </w:t>
      </w:r>
      <w:r w:rsidR="00716F71">
        <w:t>Multinet's access arrangement for the 201</w:t>
      </w:r>
      <w:r w:rsidR="00676090">
        <w:t>3</w:t>
      </w:r>
      <w:r w:rsidR="00716F71">
        <w:t>–</w:t>
      </w:r>
      <w:r w:rsidR="00676090">
        <w:t>17</w:t>
      </w:r>
      <w:r w:rsidR="00716F71">
        <w:t xml:space="preserve"> period contains fixed principle 7.2(</w:t>
      </w:r>
      <w:r w:rsidR="00131CE5">
        <w:t>c</w:t>
      </w:r>
      <w:r w:rsidR="00716F71">
        <w:t xml:space="preserve">) regarding </w:t>
      </w:r>
      <w:r w:rsidR="00715B1D">
        <w:t xml:space="preserve">four </w:t>
      </w:r>
      <w:r w:rsidR="00716F71">
        <w:t xml:space="preserve">adjustments </w:t>
      </w:r>
      <w:r w:rsidR="00715B1D">
        <w:t>to be made when</w:t>
      </w:r>
      <w:r w:rsidR="00716F71">
        <w:t xml:space="preserve"> establish</w:t>
      </w:r>
      <w:r w:rsidR="00715B1D">
        <w:t>ing</w:t>
      </w:r>
      <w:r w:rsidR="00716F71">
        <w:t xml:space="preserve"> the </w:t>
      </w:r>
      <w:r w:rsidR="00715B1D">
        <w:t xml:space="preserve">opening </w:t>
      </w:r>
      <w:r w:rsidR="00716F71">
        <w:t xml:space="preserve">capital base </w:t>
      </w:r>
      <w:r w:rsidR="00715B1D">
        <w:t xml:space="preserve">for </w:t>
      </w:r>
      <w:r w:rsidR="00716F71">
        <w:t>the 20</w:t>
      </w:r>
      <w:r w:rsidR="0019753B">
        <w:t>18–22</w:t>
      </w:r>
      <w:r w:rsidR="00716F71">
        <w:t xml:space="preserve"> access arrangement </w:t>
      </w:r>
      <w:proofErr w:type="gramStart"/>
      <w:r w:rsidR="00716F71">
        <w:t>period</w:t>
      </w:r>
      <w:proofErr w:type="gramEnd"/>
      <w:r>
        <w:t xml:space="preserve"> (the fifth access arrangement period)</w:t>
      </w:r>
      <w:r w:rsidR="00716F71">
        <w:t>.</w:t>
      </w:r>
      <w:r w:rsidR="0069487E">
        <w:rPr>
          <w:rStyle w:val="FootnoteReference"/>
        </w:rPr>
        <w:footnoteReference w:id="32"/>
      </w:r>
      <w:r w:rsidR="00715B1D">
        <w:t xml:space="preserve"> We accept that this fixed principle applies until the end of the fifth access arrangement period (2018–22), which is the approved fixed period.</w:t>
      </w:r>
      <w:r w:rsidR="00715B1D">
        <w:rPr>
          <w:rStyle w:val="FootnoteReference"/>
        </w:rPr>
        <w:footnoteReference w:id="33"/>
      </w:r>
    </w:p>
    <w:p w:rsidR="00716F71" w:rsidRDefault="00716F71" w:rsidP="00716F71">
      <w:r>
        <w:t xml:space="preserve">Multinet proposed </w:t>
      </w:r>
      <w:r w:rsidR="00715B1D">
        <w:t xml:space="preserve">a new </w:t>
      </w:r>
      <w:r>
        <w:t xml:space="preserve">fixed principle </w:t>
      </w:r>
      <w:r w:rsidR="00715B1D">
        <w:t>7.2(b), based on 7.2(</w:t>
      </w:r>
      <w:r w:rsidR="00531ABB">
        <w:t>c</w:t>
      </w:r>
      <w:r w:rsidR="00715B1D">
        <w:t xml:space="preserve">) from the earlier access arrangement, but extended to deal with the establishment of the opening capital base for the 2023–27 access arrangement </w:t>
      </w:r>
      <w:proofErr w:type="gramStart"/>
      <w:r w:rsidR="00715B1D">
        <w:t>period</w:t>
      </w:r>
      <w:proofErr w:type="gramEnd"/>
      <w:r w:rsidR="00715B1D">
        <w:t xml:space="preserve"> (the sixth access arrangement period)</w:t>
      </w:r>
      <w:r>
        <w:t>.</w:t>
      </w:r>
      <w:r w:rsidR="00FC6F2A">
        <w:rPr>
          <w:rStyle w:val="FootnoteReference"/>
        </w:rPr>
        <w:footnoteReference w:id="34"/>
      </w:r>
    </w:p>
    <w:p w:rsidR="00715B1D" w:rsidRDefault="00407D26" w:rsidP="005A737D">
      <w:r>
        <w:t xml:space="preserve">We accept the new </w:t>
      </w:r>
      <w:r w:rsidR="00715B1D">
        <w:t xml:space="preserve">fixed principle 7.2(b), </w:t>
      </w:r>
      <w:r>
        <w:t>subject to the removal of one of the subclauses</w:t>
      </w:r>
      <w:r w:rsidR="004B36B2">
        <w:t xml:space="preserve"> within it</w:t>
      </w:r>
      <w:r>
        <w:t xml:space="preserve">. </w:t>
      </w:r>
      <w:r w:rsidR="00715B1D">
        <w:t>Specifically, fixed principle subclause 7.2(b</w:t>
      </w:r>
      <w:proofErr w:type="gramStart"/>
      <w:r w:rsidR="00715B1D">
        <w:t>)(</w:t>
      </w:r>
      <w:proofErr w:type="gramEnd"/>
      <w:r w:rsidR="00715B1D">
        <w:t>3) states</w:t>
      </w:r>
      <w:r>
        <w:t xml:space="preserve"> that the opening capital base</w:t>
      </w:r>
      <w:r w:rsidR="004B36B2">
        <w:t xml:space="preserve"> will be adjusted to take account of</w:t>
      </w:r>
      <w:r w:rsidR="00715B1D">
        <w:t>:</w:t>
      </w:r>
    </w:p>
    <w:p w:rsidR="00715B1D" w:rsidRDefault="00715B1D" w:rsidP="00AE4918">
      <w:pPr>
        <w:pStyle w:val="AERquote"/>
      </w:pPr>
      <w:r>
        <w:t>the principle that the Capital Base will not be reduced as a result of assets forming part of the Capital Base ceasing to contribute in any way to delivery of Pipeline Services</w:t>
      </w:r>
      <w:r w:rsidR="009E113C">
        <w:t>.</w:t>
      </w:r>
    </w:p>
    <w:p w:rsidR="00715B1D" w:rsidRDefault="00715B1D" w:rsidP="005A737D">
      <w:r>
        <w:t>However, r</w:t>
      </w:r>
      <w:r w:rsidR="00531ABB">
        <w:t>.</w:t>
      </w:r>
      <w:r>
        <w:t xml:space="preserve"> 77</w:t>
      </w:r>
      <w:r w:rsidR="00407D26">
        <w:t>(2</w:t>
      </w:r>
      <w:proofErr w:type="gramStart"/>
      <w:r w:rsidR="00407D26">
        <w:t>)(</w:t>
      </w:r>
      <w:proofErr w:type="gramEnd"/>
      <w:r w:rsidR="00407D26">
        <w:t>e)</w:t>
      </w:r>
      <w:r>
        <w:t xml:space="preserve"> of the NGR sets out that</w:t>
      </w:r>
      <w:r w:rsidR="00407D26">
        <w:t xml:space="preserve"> the capital base is to be reduced to reflect the value of redundant assets identified during the relevant access arrangement period.</w:t>
      </w:r>
      <w:r w:rsidR="004B36B2">
        <w:t xml:space="preserve"> Hence, including this adjustment in the proposed fixed principle </w:t>
      </w:r>
      <w:r w:rsidR="00531ABB">
        <w:t xml:space="preserve">is </w:t>
      </w:r>
      <w:r w:rsidR="004B36B2">
        <w:t>inconsistent with the requirements of the NGR, and so we do not accept it.</w:t>
      </w:r>
    </w:p>
    <w:p w:rsidR="00D5015C" w:rsidRDefault="00D5015C" w:rsidP="00D5015C">
      <w:pPr>
        <w:pStyle w:val="Heading2"/>
      </w:pPr>
      <w:bookmarkStart w:id="87" w:name="_Toc486954837"/>
      <w:r>
        <w:t>Revisions</w:t>
      </w:r>
      <w:bookmarkEnd w:id="87"/>
    </w:p>
    <w:p w:rsidR="009764C2" w:rsidRDefault="009764C2" w:rsidP="009764C2">
      <w:r w:rsidRPr="0059787E">
        <w:t>We require the following revisions to make the access arrangement proposal acceptable:</w:t>
      </w:r>
    </w:p>
    <w:tbl>
      <w:tblPr>
        <w:tblStyle w:val="AERtable-text0"/>
        <w:tblW w:w="0" w:type="auto"/>
        <w:tblLook w:val="04A0" w:firstRow="1" w:lastRow="0" w:firstColumn="1" w:lastColumn="0" w:noHBand="0" w:noVBand="1"/>
      </w:tblPr>
      <w:tblGrid>
        <w:gridCol w:w="1809"/>
        <w:gridCol w:w="567"/>
        <w:gridCol w:w="6317"/>
      </w:tblGrid>
      <w:tr w:rsidR="0003592B" w:rsidTr="00531ABB">
        <w:trPr>
          <w:cnfStyle w:val="100000000000" w:firstRow="1" w:lastRow="0" w:firstColumn="0" w:lastColumn="0" w:oddVBand="0" w:evenVBand="0" w:oddHBand="0" w:evenHBand="0" w:firstRowFirstColumn="0" w:firstRowLastColumn="0" w:lastRowFirstColumn="0" w:lastRowLastColumn="0"/>
        </w:trPr>
        <w:tc>
          <w:tcPr>
            <w:tcW w:w="2376" w:type="dxa"/>
            <w:gridSpan w:val="2"/>
          </w:tcPr>
          <w:p w:rsidR="0003592B" w:rsidRDefault="0003592B" w:rsidP="0003592B">
            <w:pPr>
              <w:pStyle w:val="AERtabletextleft"/>
            </w:pPr>
          </w:p>
        </w:tc>
        <w:tc>
          <w:tcPr>
            <w:tcW w:w="6317" w:type="dxa"/>
          </w:tcPr>
          <w:p w:rsidR="0003592B" w:rsidRDefault="0003592B" w:rsidP="0003592B">
            <w:pPr>
              <w:pStyle w:val="AERtabletextleft"/>
            </w:pPr>
          </w:p>
        </w:tc>
      </w:tr>
      <w:tr w:rsidR="0003592B" w:rsidTr="00531ABB">
        <w:tc>
          <w:tcPr>
            <w:tcW w:w="1809" w:type="dxa"/>
          </w:tcPr>
          <w:p w:rsidR="0003592B" w:rsidRDefault="0003592B" w:rsidP="0003592B">
            <w:pPr>
              <w:pStyle w:val="AERtabletextleft"/>
            </w:pPr>
            <w:r w:rsidRPr="0059787E">
              <w:rPr>
                <w:rStyle w:val="Strong"/>
              </w:rPr>
              <w:t>Revision 2.1</w:t>
            </w:r>
          </w:p>
        </w:tc>
        <w:tc>
          <w:tcPr>
            <w:tcW w:w="6884" w:type="dxa"/>
            <w:gridSpan w:val="2"/>
          </w:tcPr>
          <w:p w:rsidR="0003592B" w:rsidRDefault="0003592B" w:rsidP="0003592B">
            <w:pPr>
              <w:pStyle w:val="AERtabletextleft"/>
            </w:pPr>
            <w:r w:rsidRPr="0059787E">
              <w:t>Make all necessary amendments to reflect this draft decision on the roll forward of the capital base for the 201</w:t>
            </w:r>
            <w:r>
              <w:t>3</w:t>
            </w:r>
            <w:r w:rsidRPr="0059787E">
              <w:t>–1</w:t>
            </w:r>
            <w:r>
              <w:t>7</w:t>
            </w:r>
            <w:r w:rsidRPr="0059787E">
              <w:t xml:space="preserve"> access arrangement period, as set out in</w:t>
            </w:r>
            <w:r>
              <w:t xml:space="preserve"> </w:t>
            </w:r>
            <w:r>
              <w:fldChar w:fldCharType="begin"/>
            </w:r>
            <w:r>
              <w:instrText xml:space="preserve"> REF _Ref476210709 \h  \* MERGEFORMAT </w:instrText>
            </w:r>
            <w:r>
              <w:fldChar w:fldCharType="separate"/>
            </w:r>
            <w:r w:rsidR="001E77EC">
              <w:t xml:space="preserve">Table </w:t>
            </w:r>
            <w:r w:rsidR="001E77EC">
              <w:rPr>
                <w:noProof/>
              </w:rPr>
              <w:t>2.1</w:t>
            </w:r>
            <w:r>
              <w:fldChar w:fldCharType="end"/>
            </w:r>
            <w:r w:rsidRPr="0059787E">
              <w:t>.</w:t>
            </w:r>
          </w:p>
        </w:tc>
      </w:tr>
      <w:tr w:rsidR="0003592B" w:rsidTr="00531ABB">
        <w:trPr>
          <w:cnfStyle w:val="000000010000" w:firstRow="0" w:lastRow="0" w:firstColumn="0" w:lastColumn="0" w:oddVBand="0" w:evenVBand="0" w:oddHBand="0" w:evenHBand="1" w:firstRowFirstColumn="0" w:firstRowLastColumn="0" w:lastRowFirstColumn="0" w:lastRowLastColumn="0"/>
        </w:trPr>
        <w:tc>
          <w:tcPr>
            <w:tcW w:w="1809" w:type="dxa"/>
          </w:tcPr>
          <w:p w:rsidR="0003592B" w:rsidRDefault="0003592B" w:rsidP="0003592B">
            <w:pPr>
              <w:pStyle w:val="AERtabletextleft"/>
            </w:pPr>
            <w:r w:rsidRPr="0059787E">
              <w:rPr>
                <w:rStyle w:val="Strong"/>
              </w:rPr>
              <w:t>Revision 2.2:</w:t>
            </w:r>
          </w:p>
        </w:tc>
        <w:tc>
          <w:tcPr>
            <w:tcW w:w="6884" w:type="dxa"/>
            <w:gridSpan w:val="2"/>
          </w:tcPr>
          <w:p w:rsidR="0003592B" w:rsidRDefault="0003592B" w:rsidP="0003592B">
            <w:pPr>
              <w:pStyle w:val="AERtabletextleft"/>
            </w:pPr>
            <w:r w:rsidRPr="0059787E">
              <w:t>Make all necessary amendments to reflect this draft decision on the roll forward of the capital base for the 201</w:t>
            </w:r>
            <w:r>
              <w:t>3</w:t>
            </w:r>
            <w:r w:rsidRPr="0059787E">
              <w:t>–1</w:t>
            </w:r>
            <w:r>
              <w:t>7</w:t>
            </w:r>
            <w:r w:rsidRPr="0059787E">
              <w:t xml:space="preserve"> access arrangement period, as set out in</w:t>
            </w:r>
            <w:r>
              <w:t xml:space="preserve"> </w:t>
            </w:r>
            <w:r>
              <w:fldChar w:fldCharType="begin"/>
            </w:r>
            <w:r>
              <w:instrText xml:space="preserve"> REF _Ref476210709 \h  \* MERGEFORMAT </w:instrText>
            </w:r>
            <w:r>
              <w:fldChar w:fldCharType="separate"/>
            </w:r>
            <w:r w:rsidR="001E77EC">
              <w:t xml:space="preserve">Table </w:t>
            </w:r>
            <w:r w:rsidR="001E77EC">
              <w:rPr>
                <w:noProof/>
              </w:rPr>
              <w:t>2.1</w:t>
            </w:r>
            <w:r>
              <w:fldChar w:fldCharType="end"/>
            </w:r>
            <w:r w:rsidRPr="0059787E">
              <w:t>.</w:t>
            </w:r>
          </w:p>
        </w:tc>
      </w:tr>
      <w:tr w:rsidR="0003592B" w:rsidTr="00531ABB">
        <w:tc>
          <w:tcPr>
            <w:tcW w:w="1809" w:type="dxa"/>
          </w:tcPr>
          <w:p w:rsidR="0003592B" w:rsidRDefault="0003592B" w:rsidP="0003592B">
            <w:pPr>
              <w:pStyle w:val="AERtabletextleft"/>
            </w:pPr>
            <w:r w:rsidRPr="0008381A">
              <w:rPr>
                <w:rStyle w:val="Strong"/>
              </w:rPr>
              <w:t>Revision 2.3:</w:t>
            </w:r>
          </w:p>
        </w:tc>
        <w:tc>
          <w:tcPr>
            <w:tcW w:w="6884" w:type="dxa"/>
            <w:gridSpan w:val="2"/>
          </w:tcPr>
          <w:p w:rsidR="0003592B" w:rsidRDefault="00407D26" w:rsidP="00CE696A">
            <w:pPr>
              <w:pStyle w:val="AERtabletextleft"/>
            </w:pPr>
            <w:r>
              <w:t>Amend</w:t>
            </w:r>
            <w:r w:rsidRPr="00EF0A54">
              <w:t xml:space="preserve"> </w:t>
            </w:r>
            <w:r w:rsidR="00CE696A">
              <w:t xml:space="preserve">section 7.2(b) of </w:t>
            </w:r>
            <w:r w:rsidR="0003592B" w:rsidRPr="00EF0A54">
              <w:t xml:space="preserve">the access arrangement </w:t>
            </w:r>
            <w:r w:rsidR="00CE696A">
              <w:t xml:space="preserve">fixed principle </w:t>
            </w:r>
            <w:r w:rsidR="00D241ED">
              <w:t>as</w:t>
            </w:r>
            <w:r w:rsidR="00CE696A">
              <w:t xml:space="preserve"> follow</w:t>
            </w:r>
            <w:r w:rsidR="00D241ED">
              <w:t>s</w:t>
            </w:r>
            <w:r w:rsidR="00CE696A">
              <w:t>:</w:t>
            </w:r>
          </w:p>
          <w:p w:rsidR="00CE696A" w:rsidRDefault="00CE696A" w:rsidP="00491E64">
            <w:pPr>
              <w:pStyle w:val="AERnumberedlistsecondstyle"/>
              <w:numPr>
                <w:ilvl w:val="0"/>
                <w:numId w:val="0"/>
              </w:numPr>
              <w:rPr>
                <w:lang w:eastAsia="en-US"/>
              </w:rPr>
            </w:pPr>
            <w:r>
              <w:t xml:space="preserve">The opening capital base for the </w:t>
            </w:r>
            <w:r w:rsidR="00407D26">
              <w:t xml:space="preserve">Sixth </w:t>
            </w:r>
            <w:r>
              <w:t xml:space="preserve">access arrangement period will be determined in accordance with rule 77(2) of the NGR and the opening capital base  </w:t>
            </w:r>
            <w:r w:rsidR="0069487E">
              <w:t xml:space="preserve">at the start of the </w:t>
            </w:r>
            <w:r w:rsidR="00407D26">
              <w:t xml:space="preserve">Fifth </w:t>
            </w:r>
            <w:r w:rsidR="0069487E">
              <w:t xml:space="preserve">Access Arrangement Period </w:t>
            </w:r>
            <w:r>
              <w:t>will be adjusted to take account of:</w:t>
            </w:r>
          </w:p>
          <w:p w:rsidR="00CE696A" w:rsidRDefault="0069487E" w:rsidP="00491E64">
            <w:pPr>
              <w:pStyle w:val="ListNumber"/>
              <w:rPr>
                <w:lang w:eastAsia="en-US"/>
              </w:rPr>
            </w:pPr>
            <w:r>
              <w:t xml:space="preserve">Changes to </w:t>
            </w:r>
            <w:r w:rsidR="00055293">
              <w:t>CPI</w:t>
            </w:r>
            <w:r w:rsidR="00BC4F6F">
              <w:t xml:space="preserve"> </w:t>
            </w:r>
            <w:r>
              <w:t xml:space="preserve">over </w:t>
            </w:r>
            <w:r w:rsidR="00BC4F6F">
              <w:t xml:space="preserve"> the </w:t>
            </w:r>
            <w:r w:rsidR="00407D26">
              <w:t xml:space="preserve">Fifth </w:t>
            </w:r>
            <w:r>
              <w:t>A</w:t>
            </w:r>
            <w:r w:rsidR="00BC4F6F">
              <w:t xml:space="preserve">ccess </w:t>
            </w:r>
            <w:r>
              <w:t>A</w:t>
            </w:r>
            <w:r w:rsidR="00BC4F6F">
              <w:t xml:space="preserve">rrangement </w:t>
            </w:r>
            <w:r>
              <w:t>P</w:t>
            </w:r>
            <w:r w:rsidR="00BC4F6F">
              <w:t>eriod</w:t>
            </w:r>
            <w:r w:rsidR="008C3764">
              <w:t>;</w:t>
            </w:r>
          </w:p>
          <w:p w:rsidR="0069487E" w:rsidRDefault="0069487E" w:rsidP="00491E64">
            <w:pPr>
              <w:pStyle w:val="ListNumber"/>
              <w:rPr>
                <w:lang w:eastAsia="en-US"/>
              </w:rPr>
            </w:pPr>
            <w:r>
              <w:t xml:space="preserve">the value of disposals in the ordinary course of business during the </w:t>
            </w:r>
            <w:r w:rsidR="00407D26">
              <w:t xml:space="preserve">Fifth </w:t>
            </w:r>
            <w:r>
              <w:t>Access Arrangement Period, other than a disposal of:</w:t>
            </w:r>
          </w:p>
          <w:p w:rsidR="00184310" w:rsidRDefault="00184310" w:rsidP="00491E64">
            <w:pPr>
              <w:pStyle w:val="AERnumberedlistsecondstyle"/>
              <w:rPr>
                <w:lang w:eastAsia="en-US"/>
              </w:rPr>
            </w:pPr>
            <w:r>
              <w:t>all of the assets of the Service Provider;</w:t>
            </w:r>
          </w:p>
          <w:p w:rsidR="00184310" w:rsidRDefault="00184310" w:rsidP="00491E64">
            <w:pPr>
              <w:pStyle w:val="AERnumberedlistsecondstyle"/>
              <w:rPr>
                <w:lang w:eastAsia="en-US"/>
              </w:rPr>
            </w:pPr>
            <w:r>
              <w:t>assets pursuant to which the assets of the Service Provider are sold and leased back to the Service Provider</w:t>
            </w:r>
          </w:p>
          <w:p w:rsidR="00184310" w:rsidRDefault="00184310" w:rsidP="00491E64">
            <w:pPr>
              <w:pStyle w:val="ListNumber"/>
              <w:rPr>
                <w:lang w:eastAsia="en-US"/>
              </w:rPr>
            </w:pPr>
            <w:r>
              <w:t>disposals in the ordinary course of business during Calendar Year 201</w:t>
            </w:r>
            <w:r w:rsidR="00407D26">
              <w:t>7</w:t>
            </w:r>
            <w:r>
              <w:t>, other than a disposal of:</w:t>
            </w:r>
          </w:p>
          <w:p w:rsidR="00184310" w:rsidRDefault="00184310" w:rsidP="00491E64">
            <w:pPr>
              <w:pStyle w:val="ListBullet2"/>
              <w:rPr>
                <w:lang w:eastAsia="en-US"/>
              </w:rPr>
            </w:pPr>
            <w:r>
              <w:t>all of the assets and liabilities of the Service Provider;</w:t>
            </w:r>
          </w:p>
          <w:p w:rsidR="00184310" w:rsidRDefault="00184310" w:rsidP="00491E64">
            <w:pPr>
              <w:pStyle w:val="ListBullet2"/>
              <w:rPr>
                <w:lang w:eastAsia="en-US"/>
              </w:rPr>
            </w:pPr>
            <w:r>
              <w:t xml:space="preserve">assets pursuant to which the assets of the Service Provider were sold and leased back to the Service Provider; and </w:t>
            </w:r>
          </w:p>
          <w:p w:rsidR="008C3764" w:rsidRDefault="00184310" w:rsidP="00491E64">
            <w:pPr>
              <w:pStyle w:val="ListNumber"/>
              <w:numPr>
                <w:ilvl w:val="0"/>
                <w:numId w:val="0"/>
              </w:numPr>
              <w:ind w:left="340"/>
              <w:rPr>
                <w:lang w:eastAsia="en-US"/>
              </w:rPr>
            </w:pPr>
            <w:r>
              <w:t xml:space="preserve">This Fixed Principle will apply until the end of the </w:t>
            </w:r>
            <w:r w:rsidR="00407D26">
              <w:t xml:space="preserve">Sixth </w:t>
            </w:r>
            <w:r>
              <w:t>Access arrangement period.</w:t>
            </w:r>
          </w:p>
        </w:tc>
      </w:tr>
      <w:tr w:rsidR="0069487E" w:rsidTr="00531ABB">
        <w:trPr>
          <w:cnfStyle w:val="000000010000" w:firstRow="0" w:lastRow="0" w:firstColumn="0" w:lastColumn="0" w:oddVBand="0" w:evenVBand="0" w:oddHBand="0" w:evenHBand="1" w:firstRowFirstColumn="0" w:firstRowLastColumn="0" w:lastRowFirstColumn="0" w:lastRowLastColumn="0"/>
        </w:trPr>
        <w:tc>
          <w:tcPr>
            <w:tcW w:w="1809" w:type="dxa"/>
          </w:tcPr>
          <w:p w:rsidR="0069487E" w:rsidRPr="0008381A" w:rsidRDefault="00055293" w:rsidP="0003592B">
            <w:pPr>
              <w:pStyle w:val="AERtabletextleft"/>
              <w:rPr>
                <w:rStyle w:val="Strong"/>
              </w:rPr>
            </w:pPr>
            <w:r>
              <w:rPr>
                <w:rStyle w:val="Strong"/>
              </w:rPr>
              <w:t>Revision 2.4:</w:t>
            </w:r>
          </w:p>
        </w:tc>
        <w:tc>
          <w:tcPr>
            <w:tcW w:w="6884" w:type="dxa"/>
            <w:gridSpan w:val="2"/>
          </w:tcPr>
          <w:p w:rsidR="0069487E" w:rsidRPr="00055293" w:rsidRDefault="00055293" w:rsidP="00CE696A">
            <w:pPr>
              <w:pStyle w:val="AERtabletextleft"/>
              <w:rPr>
                <w:rStyle w:val="AERtextsize10"/>
              </w:rPr>
            </w:pPr>
            <w:r w:rsidRPr="00055293">
              <w:rPr>
                <w:rStyle w:val="AERtextsize10"/>
              </w:rPr>
              <w:t>Insert the following provision after section</w:t>
            </w:r>
            <w:r w:rsidR="00D241ED">
              <w:rPr>
                <w:rStyle w:val="AERtextsize10"/>
              </w:rPr>
              <w:t xml:space="preserve"> </w:t>
            </w:r>
            <w:r w:rsidRPr="00055293">
              <w:rPr>
                <w:rStyle w:val="AERtextsize10"/>
              </w:rPr>
              <w:t>8 of the 2018–22 access arrangement:</w:t>
            </w:r>
          </w:p>
          <w:p w:rsidR="00055293" w:rsidRPr="00027DB4" w:rsidRDefault="00055293" w:rsidP="00055293">
            <w:pPr>
              <w:pStyle w:val="AERtabletextleft"/>
              <w:rPr>
                <w:rStyle w:val="Strong"/>
              </w:rPr>
            </w:pPr>
            <w:r w:rsidRPr="00027DB4">
              <w:rPr>
                <w:rStyle w:val="Strong"/>
              </w:rPr>
              <w:t>9  Depreciation for establishing the capital base as at 1 January 2023</w:t>
            </w:r>
          </w:p>
          <w:p w:rsidR="00055293" w:rsidRPr="00EF0A54" w:rsidRDefault="00531ABB" w:rsidP="00055293">
            <w:pPr>
              <w:pStyle w:val="AERtabletextleft"/>
            </w:pPr>
            <w:r>
              <w:rPr>
                <w:rStyle w:val="AERtextsize10"/>
              </w:rPr>
              <w:tab/>
            </w:r>
            <w:r w:rsidR="00055293" w:rsidRPr="00055293">
              <w:rPr>
                <w:rStyle w:val="AERtextsize10"/>
              </w:rPr>
              <w:t xml:space="preserve">The depreciation schedule (straight-line) for establishing the </w:t>
            </w:r>
            <w:r>
              <w:rPr>
                <w:rStyle w:val="AERtextsize10"/>
              </w:rPr>
              <w:tab/>
            </w:r>
            <w:r w:rsidR="00055293" w:rsidRPr="00055293">
              <w:rPr>
                <w:rStyle w:val="AERtextsize10"/>
              </w:rPr>
              <w:t xml:space="preserve">opening </w:t>
            </w:r>
            <w:r>
              <w:rPr>
                <w:rStyle w:val="AERtextsize10"/>
              </w:rPr>
              <w:tab/>
            </w:r>
            <w:r w:rsidR="00055293" w:rsidRPr="00055293">
              <w:rPr>
                <w:rStyle w:val="AERtextsize10"/>
              </w:rPr>
              <w:t xml:space="preserve">capital base as at 1 January 2023 will be based on forecast capital </w:t>
            </w:r>
            <w:r>
              <w:rPr>
                <w:rStyle w:val="AERtextsize10"/>
              </w:rPr>
              <w:tab/>
            </w:r>
            <w:r w:rsidR="00055293" w:rsidRPr="00055293">
              <w:rPr>
                <w:rStyle w:val="AERtextsize10"/>
              </w:rPr>
              <w:t xml:space="preserve">expenditure at the asset class level approved for the 2018–22 access </w:t>
            </w:r>
            <w:r>
              <w:rPr>
                <w:rStyle w:val="AERtextsize10"/>
              </w:rPr>
              <w:tab/>
            </w:r>
            <w:r w:rsidR="00055293" w:rsidRPr="00055293">
              <w:rPr>
                <w:rStyle w:val="AERtextsize10"/>
              </w:rPr>
              <w:t>arrangement period.</w:t>
            </w:r>
          </w:p>
        </w:tc>
      </w:tr>
    </w:tbl>
    <w:p w:rsidR="0003592B" w:rsidRDefault="0003592B" w:rsidP="009764C2"/>
    <w:sectPr w:rsidR="0003592B" w:rsidSect="00CF42AA">
      <w:headerReference w:type="default" r:id="rId17"/>
      <w:footerReference w:type="even" r:id="rId18"/>
      <w:footerReference w:type="default" r:id="rId19"/>
      <w:footerReference w:type="first" r:id="rId2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764" w:rsidRPr="00290C63" w:rsidRDefault="00D64764" w:rsidP="00290C63">
      <w:r>
        <w:separator/>
      </w:r>
    </w:p>
    <w:p w:rsidR="00D64764" w:rsidRDefault="00D64764"/>
  </w:endnote>
  <w:endnote w:type="continuationSeparator" w:id="0">
    <w:p w:rsidR="00D64764" w:rsidRPr="00290C63" w:rsidRDefault="00D64764" w:rsidP="00290C63">
      <w:r>
        <w:continuationSeparator/>
      </w:r>
    </w:p>
    <w:p w:rsidR="00D64764" w:rsidRDefault="00D64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64" w:rsidRPr="00290C63" w:rsidRDefault="00D6476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64764" w:rsidRDefault="00D64764"/>
  <w:p w:rsidR="00D64764" w:rsidRDefault="00D64764"/>
  <w:p w:rsidR="00D64764" w:rsidRDefault="00D64764"/>
  <w:p w:rsidR="00D64764" w:rsidRDefault="00D64764"/>
  <w:p w:rsidR="00D64764" w:rsidRDefault="00D64764"/>
  <w:p w:rsidR="00D64764" w:rsidRDefault="00D64764"/>
  <w:p w:rsidR="00D64764" w:rsidRDefault="00D647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D64764" w:rsidRPr="009B6F84" w:rsidRDefault="00D64764">
        <w:pPr>
          <w:pStyle w:val="Footer"/>
          <w:rPr>
            <w:sz w:val="20"/>
          </w:rPr>
        </w:pPr>
        <w:r>
          <w:fldChar w:fldCharType="begin"/>
        </w:r>
        <w:r>
          <w:instrText xml:space="preserve"> PAGE   \* MERGEFORMAT </w:instrText>
        </w:r>
        <w:r>
          <w:fldChar w:fldCharType="separate"/>
        </w:r>
        <w:r w:rsidR="001E77EC">
          <w:rPr>
            <w:noProof/>
          </w:rPr>
          <w:t>2-2</w:t>
        </w:r>
        <w:r>
          <w:rPr>
            <w:noProof/>
          </w:rPr>
          <w:fldChar w:fldCharType="end"/>
        </w:r>
        <w:r>
          <w:rPr>
            <w:noProof/>
          </w:rPr>
          <w:t xml:space="preserve">          </w:t>
        </w:r>
        <w:r>
          <w:t xml:space="preserve">Attachment 2 </w:t>
        </w:r>
        <w:r w:rsidRPr="000474DF">
          <w:t>−</w:t>
        </w:r>
        <w:r>
          <w:t xml:space="preserve"> Capital base</w:t>
        </w:r>
        <w:r w:rsidRPr="009B6F84">
          <w:rPr>
            <w:rFonts w:cs="Gautami"/>
            <w:noProof/>
            <w:szCs w:val="16"/>
          </w:rPr>
          <w:t xml:space="preserve"> | </w:t>
        </w:r>
        <w:r>
          <w:t>Draft decision - Multinet Gas access arrangement</w:t>
        </w:r>
        <w:r w:rsidRPr="00D5015C">
          <w:t xml:space="preserve"> 201</w:t>
        </w:r>
        <w:r>
          <w:t>8</w:t>
        </w:r>
        <w:r w:rsidRPr="00D5015C">
          <w:t>–</w:t>
        </w:r>
        <w:r>
          <w:t>22</w:t>
        </w:r>
      </w:p>
    </w:sdtContent>
  </w:sdt>
  <w:p w:rsidR="00D64764" w:rsidRDefault="00D647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64" w:rsidRPr="00290C63" w:rsidRDefault="00D6476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64764" w:rsidRDefault="00D64764">
    <w:pPr>
      <w:pStyle w:val="Footer"/>
    </w:pPr>
  </w:p>
  <w:p w:rsidR="00D64764" w:rsidRDefault="00D64764"/>
  <w:p w:rsidR="00D64764" w:rsidRDefault="00D64764"/>
  <w:p w:rsidR="00D64764" w:rsidRDefault="00D64764"/>
  <w:p w:rsidR="00D64764" w:rsidRDefault="00D64764"/>
  <w:p w:rsidR="00D64764" w:rsidRDefault="00D64764"/>
  <w:p w:rsidR="00D64764" w:rsidRDefault="00D64764"/>
  <w:p w:rsidR="00D64764" w:rsidRDefault="00D6476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64" w:rsidRPr="00290C63" w:rsidRDefault="00D6476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64764" w:rsidRDefault="00D64764"/>
  <w:p w:rsidR="00D64764" w:rsidRDefault="00D64764"/>
  <w:p w:rsidR="00D64764" w:rsidRDefault="00D64764"/>
  <w:p w:rsidR="00D64764" w:rsidRDefault="00D64764"/>
  <w:p w:rsidR="00D64764" w:rsidRDefault="00D64764"/>
  <w:p w:rsidR="00D64764" w:rsidRDefault="00D64764"/>
  <w:p w:rsidR="00D64764" w:rsidRDefault="00D6476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64764" w:rsidRPr="009B6F84" w:rsidRDefault="00D64764">
        <w:pPr>
          <w:pStyle w:val="Footer"/>
          <w:rPr>
            <w:sz w:val="20"/>
          </w:rPr>
        </w:pPr>
        <w:r>
          <w:fldChar w:fldCharType="begin"/>
        </w:r>
        <w:r>
          <w:instrText xml:space="preserve"> PAGE   \* MERGEFORMAT </w:instrText>
        </w:r>
        <w:r>
          <w:fldChar w:fldCharType="separate"/>
        </w:r>
        <w:r w:rsidR="001E77EC">
          <w:rPr>
            <w:noProof/>
          </w:rPr>
          <w:t>2-3</w:t>
        </w:r>
        <w:r>
          <w:rPr>
            <w:noProof/>
          </w:rPr>
          <w:fldChar w:fldCharType="end"/>
        </w:r>
        <w:r>
          <w:rPr>
            <w:noProof/>
          </w:rPr>
          <w:t xml:space="preserve">          </w:t>
        </w:r>
        <w:r>
          <w:t xml:space="preserve">Attachment 2 </w:t>
        </w:r>
        <w:r w:rsidRPr="000474DF">
          <w:t>−</w:t>
        </w:r>
        <w:r>
          <w:t xml:space="preserve"> Capital base</w:t>
        </w:r>
        <w:r w:rsidRPr="00D5015C">
          <w:t xml:space="preserve"> | </w:t>
        </w:r>
        <w:r>
          <w:t>Draft decision - Multinet Gas access arrangement</w:t>
        </w:r>
        <w:r w:rsidRPr="00D5015C">
          <w:t xml:space="preserve"> 201</w:t>
        </w:r>
        <w:r>
          <w:t>8</w:t>
        </w:r>
        <w:r w:rsidRPr="00D5015C">
          <w:t>–</w:t>
        </w:r>
        <w:r>
          <w:t>22</w:t>
        </w:r>
      </w:p>
    </w:sdtContent>
  </w:sdt>
  <w:p w:rsidR="00D64764" w:rsidRDefault="00D647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64" w:rsidRPr="00290C63" w:rsidRDefault="00D6476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64764" w:rsidRDefault="00D64764">
    <w:pPr>
      <w:pStyle w:val="Footer"/>
    </w:pPr>
  </w:p>
  <w:p w:rsidR="00D64764" w:rsidRDefault="00D64764"/>
  <w:p w:rsidR="00D64764" w:rsidRDefault="00D64764"/>
  <w:p w:rsidR="00D64764" w:rsidRDefault="00D64764"/>
  <w:p w:rsidR="00D64764" w:rsidRDefault="00D64764"/>
  <w:p w:rsidR="00D64764" w:rsidRDefault="00D64764"/>
  <w:p w:rsidR="00D64764" w:rsidRDefault="00D64764"/>
  <w:p w:rsidR="00D64764" w:rsidRDefault="00D647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764" w:rsidRPr="00290C63" w:rsidRDefault="00D64764" w:rsidP="00290C63">
      <w:r>
        <w:separator/>
      </w:r>
    </w:p>
    <w:p w:rsidR="00D64764" w:rsidRDefault="00D64764"/>
  </w:footnote>
  <w:footnote w:type="continuationSeparator" w:id="0">
    <w:p w:rsidR="00D64764" w:rsidRPr="00290C63" w:rsidRDefault="00D64764" w:rsidP="00290C63">
      <w:r>
        <w:continuationSeparator/>
      </w:r>
    </w:p>
    <w:p w:rsidR="00D64764" w:rsidRDefault="00D64764"/>
  </w:footnote>
  <w:footnote w:id="1">
    <w:p w:rsidR="00D64764" w:rsidRDefault="00D64764" w:rsidP="0009510A">
      <w:pPr>
        <w:pStyle w:val="FootnoteText"/>
      </w:pPr>
      <w:r>
        <w:rPr>
          <w:rStyle w:val="FootnoteReference"/>
        </w:rPr>
        <w:footnoteRef/>
      </w:r>
      <w:r>
        <w:t xml:space="preserve"> </w:t>
      </w:r>
      <w:r>
        <w:tab/>
      </w:r>
      <w:r w:rsidRPr="00F84CD1">
        <w:t>The term 'rolled forward' means the process of carrying over the value of the capital base from one regulatory year to the next.</w:t>
      </w:r>
    </w:p>
  </w:footnote>
  <w:footnote w:id="2">
    <w:p w:rsidR="00D64764" w:rsidRDefault="00D64764" w:rsidP="00ED5020">
      <w:pPr>
        <w:pStyle w:val="FootnoteText"/>
      </w:pPr>
      <w:r>
        <w:rPr>
          <w:rStyle w:val="FootnoteReference"/>
        </w:rPr>
        <w:footnoteRef/>
      </w:r>
      <w:r>
        <w:t xml:space="preserve"> </w:t>
      </w:r>
      <w:r>
        <w:tab/>
        <w:t xml:space="preserve">Multinet, </w:t>
      </w:r>
      <w:r w:rsidRPr="008B630D">
        <w:rPr>
          <w:rStyle w:val="AERtextitalic"/>
        </w:rPr>
        <w:t xml:space="preserve">Email </w:t>
      </w:r>
      <w:r>
        <w:rPr>
          <w:rStyle w:val="AERtextitalic"/>
        </w:rPr>
        <w:t xml:space="preserve">response </w:t>
      </w:r>
      <w:r w:rsidRPr="008B630D">
        <w:rPr>
          <w:rStyle w:val="AERtextitalic"/>
        </w:rPr>
        <w:t>- RE</w:t>
      </w:r>
      <w:r>
        <w:rPr>
          <w:rStyle w:val="AERtextitalic"/>
        </w:rPr>
        <w:t>:</w:t>
      </w:r>
      <w:r w:rsidRPr="008B630D">
        <w:rPr>
          <w:rStyle w:val="AERtextitalic"/>
        </w:rPr>
        <w:t xml:space="preserve"> Depreciation to establish opening 2023 Capital Base and RIN templates (Tab 26)</w:t>
      </w:r>
      <w:r>
        <w:t>, 9 January 2017.</w:t>
      </w:r>
    </w:p>
  </w:footnote>
  <w:footnote w:id="3">
    <w:p w:rsidR="00D64764" w:rsidRDefault="00D64764" w:rsidP="00ED5020">
      <w:pPr>
        <w:pStyle w:val="FootnoteText"/>
      </w:pPr>
      <w:r>
        <w:rPr>
          <w:rStyle w:val="FootnoteReference"/>
        </w:rPr>
        <w:footnoteRef/>
      </w:r>
      <w:r>
        <w:t xml:space="preserve"> </w:t>
      </w:r>
      <w:r>
        <w:tab/>
      </w:r>
      <w:r w:rsidRPr="00DC7A5C">
        <w:t xml:space="preserve">For example, AER, </w:t>
      </w:r>
      <w:r w:rsidRPr="00DC7A5C">
        <w:rPr>
          <w:rStyle w:val="AERtextitalic"/>
        </w:rPr>
        <w:t>Final decision: Jemena Gas Networks (NSW) access arrangement 2015–20</w:t>
      </w:r>
      <w:r>
        <w:t xml:space="preserve">, June 2015; </w:t>
      </w:r>
      <w:r w:rsidRPr="00DC7A5C">
        <w:t xml:space="preserve">AER, </w:t>
      </w:r>
      <w:r w:rsidRPr="00DC7A5C">
        <w:rPr>
          <w:rStyle w:val="AERtextitalic"/>
        </w:rPr>
        <w:t xml:space="preserve">Final decision: </w:t>
      </w:r>
      <w:r>
        <w:rPr>
          <w:rStyle w:val="AERtextitalic"/>
        </w:rPr>
        <w:t>ActewAGL</w:t>
      </w:r>
      <w:r w:rsidRPr="00DC7A5C">
        <w:rPr>
          <w:rStyle w:val="AERtextitalic"/>
        </w:rPr>
        <w:t xml:space="preserve"> access arrangement 201</w:t>
      </w:r>
      <w:r>
        <w:rPr>
          <w:rStyle w:val="AERtextitalic"/>
        </w:rPr>
        <w:t>6</w:t>
      </w:r>
      <w:r w:rsidRPr="00DC7A5C">
        <w:rPr>
          <w:rStyle w:val="AERtextitalic"/>
        </w:rPr>
        <w:t>–2</w:t>
      </w:r>
      <w:r>
        <w:rPr>
          <w:rStyle w:val="AERtextitalic"/>
        </w:rPr>
        <w:t>1</w:t>
      </w:r>
      <w:r>
        <w:t xml:space="preserve">, May 2016; </w:t>
      </w:r>
      <w:r w:rsidRPr="00DC7A5C">
        <w:t xml:space="preserve">AER, </w:t>
      </w:r>
      <w:r w:rsidRPr="00DC7A5C">
        <w:rPr>
          <w:rStyle w:val="AERtextitalic"/>
        </w:rPr>
        <w:t xml:space="preserve">Final decision: </w:t>
      </w:r>
      <w:r>
        <w:rPr>
          <w:rStyle w:val="AERtextitalic"/>
        </w:rPr>
        <w:t>Australian Gas Networks (SA)</w:t>
      </w:r>
      <w:r w:rsidRPr="00DC7A5C">
        <w:rPr>
          <w:rStyle w:val="AERtextitalic"/>
        </w:rPr>
        <w:t xml:space="preserve"> access arrangement 201</w:t>
      </w:r>
      <w:r>
        <w:rPr>
          <w:rStyle w:val="AERtextitalic"/>
        </w:rPr>
        <w:t>6</w:t>
      </w:r>
      <w:r w:rsidRPr="00DC7A5C">
        <w:rPr>
          <w:rStyle w:val="AERtextitalic"/>
        </w:rPr>
        <w:t>–2</w:t>
      </w:r>
      <w:r>
        <w:rPr>
          <w:rStyle w:val="AERtextitalic"/>
        </w:rPr>
        <w:t>1</w:t>
      </w:r>
      <w:r>
        <w:t>, May 2016.</w:t>
      </w:r>
    </w:p>
  </w:footnote>
  <w:footnote w:id="4">
    <w:p w:rsidR="00D64764" w:rsidRDefault="00D64764">
      <w:pPr>
        <w:pStyle w:val="FootnoteText"/>
      </w:pPr>
      <w:r>
        <w:rPr>
          <w:rStyle w:val="FootnoteReference"/>
        </w:rPr>
        <w:footnoteRef/>
      </w:r>
      <w:r>
        <w:t xml:space="preserve"> </w:t>
      </w:r>
      <w:r>
        <w:tab/>
        <w:t>This is not required for Multinet because actual 2012 capex was included in Multinet's 2013 approved opening capital base. This occurred as part of the amendments to the 2013–17 access arrangement that followed a decision by the Australian Competition Tribunal.</w:t>
      </w:r>
    </w:p>
  </w:footnote>
  <w:footnote w:id="5">
    <w:p w:rsidR="00D64764" w:rsidRDefault="00D64764" w:rsidP="00ED5020">
      <w:pPr>
        <w:pStyle w:val="FootnoteText"/>
      </w:pPr>
      <w:r>
        <w:rPr>
          <w:rStyle w:val="FootnoteReference"/>
        </w:rPr>
        <w:footnoteRef/>
      </w:r>
      <w:r>
        <w:t xml:space="preserve"> </w:t>
      </w:r>
      <w:r>
        <w:tab/>
      </w:r>
      <w:r w:rsidRPr="00A07A81">
        <w:t>NGR, r. 77(2</w:t>
      </w:r>
      <w:proofErr w:type="gramStart"/>
      <w:r w:rsidRPr="00A07A81">
        <w:t>)(</w:t>
      </w:r>
      <w:proofErr w:type="gramEnd"/>
      <w:r w:rsidRPr="00A07A81">
        <w:t>a).</w:t>
      </w:r>
    </w:p>
  </w:footnote>
  <w:footnote w:id="6">
    <w:p w:rsidR="00D64764" w:rsidRDefault="00D64764" w:rsidP="00ED5020">
      <w:pPr>
        <w:pStyle w:val="FootnoteText"/>
      </w:pPr>
      <w:r>
        <w:rPr>
          <w:rStyle w:val="FootnoteReference"/>
        </w:rPr>
        <w:footnoteRef/>
      </w:r>
      <w:r>
        <w:t xml:space="preserve"> </w:t>
      </w:r>
      <w:r>
        <w:tab/>
      </w:r>
      <w:proofErr w:type="gramStart"/>
      <w:r w:rsidRPr="00A07A81">
        <w:t>NGR, r. 77(2).</w:t>
      </w:r>
      <w:proofErr w:type="gramEnd"/>
    </w:p>
  </w:footnote>
  <w:footnote w:id="7">
    <w:p w:rsidR="00D64764" w:rsidRDefault="00D64764" w:rsidP="00ED5020">
      <w:pPr>
        <w:pStyle w:val="FootnoteText"/>
      </w:pPr>
      <w:r>
        <w:rPr>
          <w:rStyle w:val="FootnoteReference"/>
        </w:rPr>
        <w:footnoteRef/>
      </w:r>
      <w:r>
        <w:t xml:space="preserve"> </w:t>
      </w:r>
      <w:r>
        <w:tab/>
      </w:r>
      <w:proofErr w:type="gramStart"/>
      <w:r w:rsidRPr="00A07A81">
        <w:t>NGR, r. 7</w:t>
      </w:r>
      <w:r>
        <w:t>9(1</w:t>
      </w:r>
      <w:r w:rsidRPr="00A07A81">
        <w:t>).</w:t>
      </w:r>
      <w:proofErr w:type="gramEnd"/>
    </w:p>
  </w:footnote>
  <w:footnote w:id="8">
    <w:p w:rsidR="00D64764" w:rsidRDefault="00D64764">
      <w:pPr>
        <w:pStyle w:val="FootnoteText"/>
      </w:pPr>
      <w:r>
        <w:rPr>
          <w:rStyle w:val="FootnoteReference"/>
        </w:rPr>
        <w:footnoteRef/>
      </w:r>
      <w:r>
        <w:t xml:space="preserve"> </w:t>
      </w:r>
      <w:r>
        <w:tab/>
      </w:r>
      <w:proofErr w:type="gramStart"/>
      <w:r>
        <w:t>NGR, r. 82(3).</w:t>
      </w:r>
      <w:proofErr w:type="gramEnd"/>
    </w:p>
  </w:footnote>
  <w:footnote w:id="9">
    <w:p w:rsidR="00D64764" w:rsidRDefault="00D64764" w:rsidP="00ED5020">
      <w:pPr>
        <w:pStyle w:val="FootnoteText"/>
      </w:pPr>
      <w:r>
        <w:rPr>
          <w:rStyle w:val="FootnoteReference"/>
        </w:rPr>
        <w:footnoteRef/>
      </w:r>
      <w:r>
        <w:t xml:space="preserve"> </w:t>
      </w:r>
      <w:r>
        <w:tab/>
      </w:r>
      <w:proofErr w:type="gramStart"/>
      <w:r w:rsidRPr="00A07A81">
        <w:t>NGR, r. 78.</w:t>
      </w:r>
      <w:proofErr w:type="gramEnd"/>
    </w:p>
  </w:footnote>
  <w:footnote w:id="10">
    <w:p w:rsidR="00D64764" w:rsidRDefault="00D64764" w:rsidP="00ED5020">
      <w:pPr>
        <w:pStyle w:val="FootnoteText"/>
      </w:pPr>
      <w:r>
        <w:rPr>
          <w:rStyle w:val="FootnoteReference"/>
        </w:rPr>
        <w:footnoteRef/>
      </w:r>
      <w:r>
        <w:t xml:space="preserve"> </w:t>
      </w:r>
      <w:r>
        <w:tab/>
      </w:r>
      <w:r w:rsidRPr="00A07A81">
        <w:t>The size of the capital base also impacts the benchmark debt raising cost allowance. However, this amount is usually relatively small and therefore not a significant determinant of revenues overall.</w:t>
      </w:r>
    </w:p>
  </w:footnote>
  <w:footnote w:id="11">
    <w:p w:rsidR="00D64764" w:rsidRDefault="00D64764" w:rsidP="00ED5020">
      <w:pPr>
        <w:pStyle w:val="FootnoteText"/>
      </w:pPr>
      <w:r>
        <w:rPr>
          <w:rStyle w:val="FootnoteReference"/>
        </w:rPr>
        <w:footnoteRef/>
      </w:r>
      <w:r>
        <w:t xml:space="preserve"> </w:t>
      </w:r>
      <w:r>
        <w:tab/>
      </w:r>
      <w:r w:rsidRPr="00A07A81">
        <w:t>Net capex is gross capex less disposals and capital contribution</w:t>
      </w:r>
      <w:r>
        <w:t>s</w:t>
      </w:r>
      <w:r w:rsidRPr="00A07A81">
        <w:t>.</w:t>
      </w:r>
    </w:p>
  </w:footnote>
  <w:footnote w:id="12">
    <w:p w:rsidR="00D64764" w:rsidRDefault="00D64764" w:rsidP="00BA2BE8">
      <w:pPr>
        <w:pStyle w:val="FootnoteText"/>
      </w:pPr>
      <w:r>
        <w:rPr>
          <w:rStyle w:val="FootnoteReference"/>
        </w:rPr>
        <w:footnoteRef/>
      </w:r>
      <w:r>
        <w:t xml:space="preserve"> </w:t>
      </w:r>
      <w:r>
        <w:tab/>
      </w:r>
      <w:proofErr w:type="gramStart"/>
      <w:r>
        <w:t>NGR, r. 87.</w:t>
      </w:r>
      <w:proofErr w:type="gramEnd"/>
    </w:p>
  </w:footnote>
  <w:footnote w:id="13">
    <w:p w:rsidR="00D64764" w:rsidRDefault="00D64764" w:rsidP="00BA2BE8">
      <w:pPr>
        <w:pStyle w:val="FootnoteText"/>
      </w:pPr>
      <w:r>
        <w:rPr>
          <w:rStyle w:val="FootnoteReference"/>
        </w:rPr>
        <w:footnoteRef/>
      </w:r>
      <w:r>
        <w:t xml:space="preserve"> </w:t>
      </w:r>
      <w:r>
        <w:tab/>
      </w:r>
      <w:r w:rsidRPr="00640B9E">
        <w:t xml:space="preserve">If the asset lives are extremely long, such that the capital base depreciation rate is lower than the inflation rate, then negative regulatory depreciation can emerge. The indexation adjustment is greater than the capital base depreciation in such circumstances. Please also refer to section 5.3.1 of attachment 5 of this draft decision for further explanation of the offsetting adjustment to the depreciation.  </w:t>
      </w:r>
    </w:p>
  </w:footnote>
  <w:footnote w:id="14">
    <w:p w:rsidR="00D64764" w:rsidRDefault="00D64764" w:rsidP="0020529C">
      <w:pPr>
        <w:pStyle w:val="FootnoteText"/>
      </w:pPr>
      <w:r>
        <w:rPr>
          <w:rStyle w:val="FootnoteReference"/>
        </w:rPr>
        <w:footnoteRef/>
      </w:r>
      <w:r>
        <w:t xml:space="preserve"> </w:t>
      </w:r>
      <w:r>
        <w:tab/>
      </w:r>
      <w:r w:rsidRPr="00A35D97">
        <w:t>If capex causes the capital base increase, then return on capital, depreciation, and debt raising costs all increase too. If a reduction in depreciation causes the capital base increase, revenue could increase or decrease. In this case, the higher return on capital is offset (perhaps more than offset) by the reduction in depreciation allowance. Inflation naturally increases the capital base in nominal terms. However, the real impact from changing the inflation forecast is inconsequential as revenues are updated annually by actual inflation and the X factor, which is generally unaffected by the assumed forecast inflation rate.</w:t>
      </w:r>
    </w:p>
  </w:footnote>
  <w:footnote w:id="15">
    <w:p w:rsidR="00D64764" w:rsidRDefault="00D64764" w:rsidP="006C4014">
      <w:pPr>
        <w:pStyle w:val="FootnoteText"/>
      </w:pPr>
      <w:r>
        <w:rPr>
          <w:rStyle w:val="FootnoteReference"/>
        </w:rPr>
        <w:footnoteRef/>
      </w:r>
      <w:r>
        <w:t xml:space="preserve"> </w:t>
      </w:r>
      <w:r>
        <w:tab/>
        <w:t>W</w:t>
      </w:r>
      <w:r w:rsidRPr="006C4014">
        <w:t xml:space="preserve">e </w:t>
      </w:r>
      <w:r>
        <w:t>did correct</w:t>
      </w:r>
      <w:r w:rsidRPr="006C4014">
        <w:t xml:space="preserve"> a minor rounding error in the proposed 2016 actual inflation value</w:t>
      </w:r>
      <w:r>
        <w:t>.</w:t>
      </w:r>
      <w:r w:rsidRPr="006C4014">
        <w:t xml:space="preserve"> </w:t>
      </w:r>
      <w:r>
        <w:t>The 2016 actual inflation value represents inflation from September 2015 to September 2016. Under the all-lagged approach in the RFM, this value becomes part of the inflation index for 2017.</w:t>
      </w:r>
    </w:p>
  </w:footnote>
  <w:footnote w:id="16">
    <w:p w:rsidR="00D64764" w:rsidRDefault="00D64764">
      <w:pPr>
        <w:pStyle w:val="FootnoteText"/>
      </w:pPr>
      <w:r>
        <w:rPr>
          <w:rStyle w:val="FootnoteReference"/>
        </w:rPr>
        <w:footnoteRef/>
      </w:r>
      <w:r>
        <w:t xml:space="preserve"> </w:t>
      </w:r>
      <w:r>
        <w:tab/>
      </w:r>
      <w:proofErr w:type="gramStart"/>
      <w:r>
        <w:t xml:space="preserve">Multinet, </w:t>
      </w:r>
      <w:r w:rsidRPr="007D1DAF">
        <w:rPr>
          <w:rStyle w:val="AERtextitalic"/>
        </w:rPr>
        <w:t>Response to information request - IR#07 - General modelling issues</w:t>
      </w:r>
      <w:r>
        <w:t>, 21 February 2017.</w:t>
      </w:r>
      <w:proofErr w:type="gramEnd"/>
    </w:p>
  </w:footnote>
  <w:footnote w:id="17">
    <w:p w:rsidR="00D64764" w:rsidRDefault="00D64764">
      <w:pPr>
        <w:pStyle w:val="FootnoteText"/>
      </w:pPr>
      <w:r>
        <w:rPr>
          <w:rStyle w:val="FootnoteReference"/>
        </w:rPr>
        <w:footnoteRef/>
      </w:r>
      <w:r>
        <w:t xml:space="preserve"> </w:t>
      </w:r>
      <w:r>
        <w:tab/>
      </w:r>
      <w:proofErr w:type="gramStart"/>
      <w:r>
        <w:t>NGR, r. 74(2).</w:t>
      </w:r>
      <w:proofErr w:type="gramEnd"/>
    </w:p>
  </w:footnote>
  <w:footnote w:id="18">
    <w:p w:rsidR="00D64764" w:rsidRDefault="00D64764" w:rsidP="00ED71EE">
      <w:pPr>
        <w:pStyle w:val="FootnoteText"/>
      </w:pPr>
      <w:r>
        <w:rPr>
          <w:rStyle w:val="FootnoteReference"/>
        </w:rPr>
        <w:footnoteRef/>
      </w:r>
      <w:r>
        <w:t xml:space="preserve"> </w:t>
      </w:r>
      <w:r>
        <w:tab/>
      </w:r>
      <w:proofErr w:type="gramStart"/>
      <w:r>
        <w:t xml:space="preserve">Multinet, </w:t>
      </w:r>
      <w:r w:rsidRPr="007D1DAF">
        <w:rPr>
          <w:rStyle w:val="AERtextitalic"/>
        </w:rPr>
        <w:t>Response to information request - IR#07 - General modelling issues</w:t>
      </w:r>
      <w:r>
        <w:t>, 21 February 2017.</w:t>
      </w:r>
      <w:proofErr w:type="gramEnd"/>
    </w:p>
  </w:footnote>
  <w:footnote w:id="19">
    <w:p w:rsidR="00D64764" w:rsidRDefault="00D64764" w:rsidP="005E2FB7">
      <w:pPr>
        <w:pStyle w:val="FootnoteText"/>
      </w:pPr>
      <w:r>
        <w:rPr>
          <w:rStyle w:val="FootnoteReference"/>
        </w:rPr>
        <w:footnoteRef/>
      </w:r>
      <w:r>
        <w:t xml:space="preserve"> </w:t>
      </w:r>
      <w:r>
        <w:tab/>
      </w:r>
      <w:r w:rsidRPr="008A0AEE">
        <w:t>NGR, r. 77(2</w:t>
      </w:r>
      <w:proofErr w:type="gramStart"/>
      <w:r w:rsidRPr="008A0AEE">
        <w:t>)(</w:t>
      </w:r>
      <w:proofErr w:type="gramEnd"/>
      <w:r w:rsidRPr="008A0AEE">
        <w:t>b).</w:t>
      </w:r>
    </w:p>
  </w:footnote>
  <w:footnote w:id="20">
    <w:p w:rsidR="00D64764" w:rsidRDefault="00D64764">
      <w:pPr>
        <w:pStyle w:val="FootnoteText"/>
      </w:pPr>
      <w:r>
        <w:rPr>
          <w:rStyle w:val="FootnoteReference"/>
        </w:rPr>
        <w:footnoteRef/>
      </w:r>
      <w:r>
        <w:t xml:space="preserve"> </w:t>
      </w:r>
      <w:r>
        <w:tab/>
      </w:r>
      <w:proofErr w:type="gramStart"/>
      <w:r w:rsidRPr="00967D7F">
        <w:t>Multinet Gas</w:t>
      </w:r>
      <w:r>
        <w:t>,</w:t>
      </w:r>
      <w:r w:rsidRPr="00967D7F">
        <w:t xml:space="preserve"> </w:t>
      </w:r>
      <w:r w:rsidRPr="00EF0A54">
        <w:rPr>
          <w:rStyle w:val="Emphasis"/>
        </w:rPr>
        <w:t>11A - Final 2018-22 Reset RIN Templates - Multinet Gas response</w:t>
      </w:r>
      <w:r w:rsidRPr="00967D7F">
        <w:t xml:space="preserve"> - 20170109 - PUBLIC</w:t>
      </w:r>
      <w:r>
        <w:t>.</w:t>
      </w:r>
      <w:proofErr w:type="gramEnd"/>
    </w:p>
  </w:footnote>
  <w:footnote w:id="21">
    <w:p w:rsidR="00D64764" w:rsidRDefault="00D64764">
      <w:pPr>
        <w:pStyle w:val="FootnoteText"/>
      </w:pPr>
      <w:r>
        <w:rPr>
          <w:rStyle w:val="FootnoteReference"/>
        </w:rPr>
        <w:footnoteRef/>
      </w:r>
      <w:r>
        <w:t xml:space="preserve"> </w:t>
      </w:r>
      <w:r>
        <w:tab/>
      </w:r>
      <w:proofErr w:type="gramStart"/>
      <w:r>
        <w:t xml:space="preserve">Multinet, </w:t>
      </w:r>
      <w:r w:rsidRPr="007D1DAF">
        <w:rPr>
          <w:rStyle w:val="AERtextitalic"/>
        </w:rPr>
        <w:t>Response to information request - IR#07 - General modelling issues</w:t>
      </w:r>
      <w:r>
        <w:t>, 13 February 2017.</w:t>
      </w:r>
      <w:proofErr w:type="gramEnd"/>
    </w:p>
  </w:footnote>
  <w:footnote w:id="22">
    <w:p w:rsidR="00D64764" w:rsidRDefault="00D64764" w:rsidP="00C24AD3">
      <w:pPr>
        <w:pStyle w:val="FootnoteText"/>
      </w:pPr>
      <w:r>
        <w:rPr>
          <w:rStyle w:val="FootnoteReference"/>
        </w:rPr>
        <w:footnoteRef/>
      </w:r>
      <w:r>
        <w:t xml:space="preserve"> </w:t>
      </w:r>
      <w:r>
        <w:tab/>
        <w:t xml:space="preserve">For example: AER, </w:t>
      </w:r>
      <w:r w:rsidRPr="00305C70">
        <w:rPr>
          <w:rStyle w:val="AERtextitalic"/>
        </w:rPr>
        <w:t>Preliminary decision United Energy distribution determination - Attachment 2 - Regulatory asset base</w:t>
      </w:r>
      <w:r>
        <w:t xml:space="preserve">, </w:t>
      </w:r>
      <w:r w:rsidRPr="008A2686">
        <w:t>October 2015</w:t>
      </w:r>
      <w:r>
        <w:t xml:space="preserve">, p. 16; </w:t>
      </w:r>
      <w:r w:rsidRPr="00305C70">
        <w:t xml:space="preserve">AER, </w:t>
      </w:r>
      <w:r w:rsidRPr="00305C70">
        <w:rPr>
          <w:rStyle w:val="AERtextitalic"/>
        </w:rPr>
        <w:t xml:space="preserve">Preliminary decision </w:t>
      </w:r>
      <w:proofErr w:type="spellStart"/>
      <w:r w:rsidRPr="00305C70">
        <w:rPr>
          <w:rStyle w:val="AERtextitalic"/>
        </w:rPr>
        <w:t>Ergon</w:t>
      </w:r>
      <w:proofErr w:type="spellEnd"/>
      <w:r w:rsidRPr="00305C70">
        <w:rPr>
          <w:rStyle w:val="AERtextitalic"/>
        </w:rPr>
        <w:t xml:space="preserve"> Energy - Attachment 2 - Regulatory asset base, April 2015</w:t>
      </w:r>
      <w:r w:rsidRPr="00305C70">
        <w:t>, p. 16</w:t>
      </w:r>
      <w:r>
        <w:t xml:space="preserve">; </w:t>
      </w:r>
    </w:p>
  </w:footnote>
  <w:footnote w:id="23">
    <w:p w:rsidR="00D64764" w:rsidRDefault="00D64764">
      <w:pPr>
        <w:pStyle w:val="FootnoteText"/>
      </w:pPr>
      <w:r>
        <w:rPr>
          <w:rStyle w:val="FootnoteReference"/>
        </w:rPr>
        <w:footnoteRef/>
      </w:r>
      <w:r>
        <w:t xml:space="preserve"> </w:t>
      </w:r>
      <w:r>
        <w:tab/>
      </w:r>
      <w:r w:rsidRPr="00901ED4">
        <w:t>Multinet Gas</w:t>
      </w:r>
      <w:r>
        <w:t>,</w:t>
      </w:r>
      <w:r w:rsidRPr="00901ED4">
        <w:t xml:space="preserve"> </w:t>
      </w:r>
      <w:r w:rsidRPr="00EF0A54">
        <w:rPr>
          <w:rStyle w:val="AERtextitalic"/>
        </w:rPr>
        <w:t>2018 to 2022 Access Arrangement Information</w:t>
      </w:r>
      <w:r>
        <w:t xml:space="preserve">, </w:t>
      </w:r>
      <w:r w:rsidRPr="00901ED4">
        <w:t>20161221 - PUBLIC</w:t>
      </w:r>
      <w:r>
        <w:t>, p. 115.</w:t>
      </w:r>
    </w:p>
  </w:footnote>
  <w:footnote w:id="24">
    <w:p w:rsidR="00D64764" w:rsidRDefault="00D64764">
      <w:pPr>
        <w:pStyle w:val="FootnoteText"/>
      </w:pPr>
      <w:r>
        <w:rPr>
          <w:rStyle w:val="FootnoteReference"/>
        </w:rPr>
        <w:footnoteRef/>
      </w:r>
      <w:r>
        <w:t xml:space="preserve"> </w:t>
      </w:r>
      <w:r>
        <w:tab/>
      </w:r>
      <w:proofErr w:type="gramStart"/>
      <w:r>
        <w:t xml:space="preserve">AER, </w:t>
      </w:r>
      <w:r w:rsidRPr="00C55CBC">
        <w:rPr>
          <w:rStyle w:val="AERtextitalic"/>
        </w:rPr>
        <w:t>Multinet 2013–17 final decision - Attachments</w:t>
      </w:r>
      <w:r>
        <w:t>,</w:t>
      </w:r>
      <w:r w:rsidRPr="00566828">
        <w:t xml:space="preserve"> March 2013</w:t>
      </w:r>
      <w:r>
        <w:t>, p. 24.</w:t>
      </w:r>
      <w:proofErr w:type="gramEnd"/>
    </w:p>
  </w:footnote>
  <w:footnote w:id="25">
    <w:p w:rsidR="00D64764" w:rsidRDefault="00D64764">
      <w:pPr>
        <w:pStyle w:val="FootnoteText"/>
      </w:pPr>
      <w:r>
        <w:rPr>
          <w:rStyle w:val="FootnoteReference"/>
        </w:rPr>
        <w:footnoteRef/>
      </w:r>
      <w:r>
        <w:t xml:space="preserve"> </w:t>
      </w:r>
      <w:r>
        <w:tab/>
      </w:r>
      <w:proofErr w:type="gramStart"/>
      <w:r>
        <w:t xml:space="preserve">Multinet, </w:t>
      </w:r>
      <w:r w:rsidRPr="007D1DAF">
        <w:rPr>
          <w:rStyle w:val="AERtextitalic"/>
        </w:rPr>
        <w:t>Response to information request - IR#07 - General modelling issues</w:t>
      </w:r>
      <w:r>
        <w:t>, 21 February 2017.</w:t>
      </w:r>
      <w:proofErr w:type="gramEnd"/>
    </w:p>
  </w:footnote>
  <w:footnote w:id="26">
    <w:p w:rsidR="00D64764" w:rsidRDefault="00D64764" w:rsidP="009764C2">
      <w:pPr>
        <w:pStyle w:val="FootnoteText"/>
      </w:pPr>
      <w:r>
        <w:rPr>
          <w:rStyle w:val="FootnoteReference"/>
        </w:rPr>
        <w:footnoteRef/>
      </w:r>
      <w:r>
        <w:t xml:space="preserve"> </w:t>
      </w:r>
      <w:r>
        <w:tab/>
      </w:r>
      <w:r w:rsidRPr="00CB5970">
        <w:t>Regulatory depreciation is the net total of straight-line depreciation and inflation indexation of the capital base.</w:t>
      </w:r>
    </w:p>
  </w:footnote>
  <w:footnote w:id="27">
    <w:p w:rsidR="00D64764" w:rsidRDefault="00D64764" w:rsidP="009764C2">
      <w:pPr>
        <w:pStyle w:val="FootnoteText"/>
      </w:pPr>
      <w:r>
        <w:rPr>
          <w:rStyle w:val="FootnoteReference"/>
        </w:rPr>
        <w:footnoteRef/>
      </w:r>
      <w:r>
        <w:t xml:space="preserve"> </w:t>
      </w:r>
      <w:r>
        <w:tab/>
      </w:r>
      <w:r w:rsidRPr="00901ED4">
        <w:t>Multinet Gas</w:t>
      </w:r>
      <w:r>
        <w:t xml:space="preserve">, </w:t>
      </w:r>
      <w:r w:rsidRPr="00EF0A54">
        <w:rPr>
          <w:rStyle w:val="AERtextitalic"/>
        </w:rPr>
        <w:t>2018 to 2022 Access Arrangement Information</w:t>
      </w:r>
      <w:r>
        <w:t xml:space="preserve">, </w:t>
      </w:r>
      <w:r w:rsidRPr="00901ED4">
        <w:t>20161221 - PUBLIC</w:t>
      </w:r>
      <w:r>
        <w:t xml:space="preserve">, p. 115. </w:t>
      </w:r>
    </w:p>
  </w:footnote>
  <w:footnote w:id="28">
    <w:p w:rsidR="00D64764" w:rsidRDefault="00D64764" w:rsidP="003C669A">
      <w:pPr>
        <w:pStyle w:val="FootnoteText"/>
      </w:pPr>
      <w:r>
        <w:rPr>
          <w:rStyle w:val="FootnoteReference"/>
        </w:rPr>
        <w:footnoteRef/>
      </w:r>
      <w:r>
        <w:t xml:space="preserve"> </w:t>
      </w:r>
      <w:r>
        <w:tab/>
        <w:t xml:space="preserve">AER, </w:t>
      </w:r>
      <w:r w:rsidRPr="009D32BA">
        <w:rPr>
          <w:rStyle w:val="AERtextitalic"/>
        </w:rPr>
        <w:t>Final Decision Amadeus Gas Pipeline, Attachment 2 – Capital base</w:t>
      </w:r>
      <w:r>
        <w:t>,</w:t>
      </w:r>
      <w:r w:rsidR="00AE4918">
        <w:t xml:space="preserve"> May 2016,</w:t>
      </w:r>
      <w:r>
        <w:t xml:space="preserve"> p.11; AER,  </w:t>
      </w:r>
      <w:r w:rsidRPr="009D32BA">
        <w:rPr>
          <w:rStyle w:val="AERtextitalic"/>
        </w:rPr>
        <w:t>Final Decision A</w:t>
      </w:r>
      <w:r>
        <w:rPr>
          <w:rStyle w:val="AERtextitalic"/>
        </w:rPr>
        <w:t>ustralian  Gas Networks</w:t>
      </w:r>
      <w:r w:rsidRPr="009D32BA">
        <w:rPr>
          <w:rStyle w:val="AERtextitalic"/>
        </w:rPr>
        <w:t>, Attachment 2 – Capital base</w:t>
      </w:r>
      <w:r>
        <w:t xml:space="preserve">, </w:t>
      </w:r>
      <w:r w:rsidR="00AE4918">
        <w:t xml:space="preserve">May 2016, </w:t>
      </w:r>
      <w:r>
        <w:t>p.11</w:t>
      </w:r>
      <w:r w:rsidR="00AE4918">
        <w:t>.</w:t>
      </w:r>
    </w:p>
  </w:footnote>
  <w:footnote w:id="29">
    <w:p w:rsidR="00D64764" w:rsidRDefault="00D64764" w:rsidP="003C669A">
      <w:pPr>
        <w:pStyle w:val="FootnoteText"/>
      </w:pPr>
      <w:r>
        <w:rPr>
          <w:rStyle w:val="FootnoteReference"/>
        </w:rPr>
        <w:footnoteRef/>
      </w:r>
      <w:r>
        <w:t xml:space="preserve"> </w:t>
      </w:r>
      <w:r>
        <w:tab/>
      </w:r>
      <w:proofErr w:type="gramStart"/>
      <w:r>
        <w:t xml:space="preserve">AER, </w:t>
      </w:r>
      <w:r>
        <w:rPr>
          <w:rStyle w:val="AERtextitalic"/>
        </w:rPr>
        <w:t>Final access arrangement guideline</w:t>
      </w:r>
      <w:r>
        <w:t>, March 2009, pp. 61</w:t>
      </w:r>
      <w:r w:rsidRPr="007524F0">
        <w:t>–</w:t>
      </w:r>
      <w:r>
        <w:t>62.</w:t>
      </w:r>
      <w:proofErr w:type="gramEnd"/>
    </w:p>
  </w:footnote>
  <w:footnote w:id="30">
    <w:p w:rsidR="00D64764" w:rsidRDefault="00D64764">
      <w:pPr>
        <w:pStyle w:val="FootnoteText"/>
      </w:pPr>
      <w:r>
        <w:rPr>
          <w:rStyle w:val="FootnoteReference"/>
        </w:rPr>
        <w:footnoteRef/>
      </w:r>
      <w:r>
        <w:t xml:space="preserve"> </w:t>
      </w:r>
      <w:r>
        <w:tab/>
      </w:r>
      <w:proofErr w:type="gramStart"/>
      <w:r>
        <w:t>NGR, r. 90.</w:t>
      </w:r>
      <w:proofErr w:type="gramEnd"/>
    </w:p>
  </w:footnote>
  <w:footnote w:id="31">
    <w:p w:rsidR="00D64764" w:rsidRDefault="00D64764" w:rsidP="005A737D">
      <w:pPr>
        <w:pStyle w:val="FootnoteText"/>
      </w:pPr>
      <w:r>
        <w:rPr>
          <w:rStyle w:val="FootnoteReference"/>
        </w:rPr>
        <w:footnoteRef/>
      </w:r>
      <w:r>
        <w:t xml:space="preserve"> </w:t>
      </w:r>
      <w:r>
        <w:tab/>
        <w:t>NGL, s. 24(4) and s. 28(2</w:t>
      </w:r>
      <w:proofErr w:type="gramStart"/>
      <w:r>
        <w:t>)(</w:t>
      </w:r>
      <w:proofErr w:type="gramEnd"/>
      <w:r>
        <w:t>a)(</w:t>
      </w:r>
      <w:proofErr w:type="spellStart"/>
      <w:r>
        <w:t>i</w:t>
      </w:r>
      <w:proofErr w:type="spellEnd"/>
      <w:r>
        <w:t>).</w:t>
      </w:r>
    </w:p>
  </w:footnote>
  <w:footnote w:id="32">
    <w:p w:rsidR="00D64764" w:rsidRDefault="00D64764">
      <w:pPr>
        <w:pStyle w:val="FootnoteText"/>
      </w:pPr>
      <w:r>
        <w:rPr>
          <w:rStyle w:val="FootnoteReference"/>
        </w:rPr>
        <w:footnoteRef/>
      </w:r>
      <w:r>
        <w:t xml:space="preserve"> </w:t>
      </w:r>
      <w:r>
        <w:tab/>
        <w:t xml:space="preserve">Multinet, </w:t>
      </w:r>
      <w:r w:rsidRPr="0069487E">
        <w:rPr>
          <w:rStyle w:val="AERtextitalic"/>
        </w:rPr>
        <w:t>Access arrangement – Part B</w:t>
      </w:r>
      <w:r>
        <w:rPr>
          <w:rStyle w:val="AERtextitalic"/>
        </w:rPr>
        <w:t xml:space="preserve"> – Reference Tariffs and Reference Tariff Policy</w:t>
      </w:r>
      <w:r>
        <w:t xml:space="preserve">, April 2013, p. 22.  </w:t>
      </w:r>
    </w:p>
  </w:footnote>
  <w:footnote w:id="33">
    <w:p w:rsidR="00D64764" w:rsidRDefault="00D64764">
      <w:pPr>
        <w:pStyle w:val="FootnoteText"/>
      </w:pPr>
      <w:r>
        <w:rPr>
          <w:rStyle w:val="FootnoteReference"/>
        </w:rPr>
        <w:footnoteRef/>
      </w:r>
      <w:r>
        <w:t xml:space="preserve"> </w:t>
      </w:r>
      <w:r>
        <w:tab/>
      </w:r>
      <w:proofErr w:type="gramStart"/>
      <w:r>
        <w:t>NGR, r. 99(3)</w:t>
      </w:r>
      <w:r w:rsidR="00531ABB">
        <w:t>.</w:t>
      </w:r>
      <w:proofErr w:type="gramEnd"/>
    </w:p>
  </w:footnote>
  <w:footnote w:id="34">
    <w:p w:rsidR="00D64764" w:rsidRDefault="00D64764">
      <w:pPr>
        <w:pStyle w:val="FootnoteText"/>
      </w:pPr>
      <w:r>
        <w:rPr>
          <w:rStyle w:val="FootnoteReference"/>
        </w:rPr>
        <w:footnoteRef/>
      </w:r>
      <w:r>
        <w:t xml:space="preserve"> </w:t>
      </w:r>
      <w:r>
        <w:tab/>
        <w:t xml:space="preserve">Multinet, </w:t>
      </w:r>
      <w:r w:rsidRPr="0069487E">
        <w:rPr>
          <w:rStyle w:val="AERtextitalic"/>
        </w:rPr>
        <w:t>Access arrangement – Part B</w:t>
      </w:r>
      <w:r>
        <w:rPr>
          <w:rStyle w:val="AERtextitalic"/>
        </w:rPr>
        <w:t xml:space="preserve"> – Reference Tariffs and Reference Tariff Policy</w:t>
      </w:r>
      <w:r>
        <w:t xml:space="preserve">, 23 December 2016, p. 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64" w:rsidRDefault="00D64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6AC6B9A8"/>
    <w:lvl w:ilvl="0" w:tplc="F0269296">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9AF41BD4"/>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1DF0CDC6"/>
    <w:lvl w:ilvl="0" w:tplc="DC1A83A0">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VFe2VJ29dD6/9XKqDvvYY1kLTepr/U8aK4mM9Pn5wc=" w:saltValue="B/eotws8xnbgF1RBF7gj0Q==" w:algorithmName="SHA-256"/>
  <w:defaultTabStop w:val="340"/>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01C1"/>
    <w:rsid w:val="0001507B"/>
    <w:rsid w:val="00020016"/>
    <w:rsid w:val="00021202"/>
    <w:rsid w:val="00021C2B"/>
    <w:rsid w:val="0002498B"/>
    <w:rsid w:val="0002517F"/>
    <w:rsid w:val="00026187"/>
    <w:rsid w:val="000266FC"/>
    <w:rsid w:val="000273B3"/>
    <w:rsid w:val="00027DB4"/>
    <w:rsid w:val="00027E2D"/>
    <w:rsid w:val="0003578C"/>
    <w:rsid w:val="0003592B"/>
    <w:rsid w:val="00044DA3"/>
    <w:rsid w:val="000474DF"/>
    <w:rsid w:val="000532BD"/>
    <w:rsid w:val="00055293"/>
    <w:rsid w:val="00055A67"/>
    <w:rsid w:val="00063247"/>
    <w:rsid w:val="0006624E"/>
    <w:rsid w:val="00070F9F"/>
    <w:rsid w:val="0007137B"/>
    <w:rsid w:val="00073B74"/>
    <w:rsid w:val="00076416"/>
    <w:rsid w:val="000805A8"/>
    <w:rsid w:val="0008190B"/>
    <w:rsid w:val="000836D9"/>
    <w:rsid w:val="00085663"/>
    <w:rsid w:val="00085EBF"/>
    <w:rsid w:val="00091B15"/>
    <w:rsid w:val="0009279D"/>
    <w:rsid w:val="0009510A"/>
    <w:rsid w:val="00095186"/>
    <w:rsid w:val="0009648F"/>
    <w:rsid w:val="000A0E71"/>
    <w:rsid w:val="000A1C0C"/>
    <w:rsid w:val="000A3020"/>
    <w:rsid w:val="000A4840"/>
    <w:rsid w:val="000A4A23"/>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0EFA"/>
    <w:rsid w:val="001114AA"/>
    <w:rsid w:val="00112684"/>
    <w:rsid w:val="00115743"/>
    <w:rsid w:val="00116EB2"/>
    <w:rsid w:val="0012132C"/>
    <w:rsid w:val="00124609"/>
    <w:rsid w:val="00126A4C"/>
    <w:rsid w:val="001270E3"/>
    <w:rsid w:val="00131CE5"/>
    <w:rsid w:val="00132D43"/>
    <w:rsid w:val="00133366"/>
    <w:rsid w:val="00133F47"/>
    <w:rsid w:val="00134029"/>
    <w:rsid w:val="00137A42"/>
    <w:rsid w:val="00142C2D"/>
    <w:rsid w:val="00144C96"/>
    <w:rsid w:val="0014573B"/>
    <w:rsid w:val="001463A3"/>
    <w:rsid w:val="0015073A"/>
    <w:rsid w:val="00153669"/>
    <w:rsid w:val="001562AA"/>
    <w:rsid w:val="001573E4"/>
    <w:rsid w:val="00160756"/>
    <w:rsid w:val="00161DC8"/>
    <w:rsid w:val="00165813"/>
    <w:rsid w:val="00166760"/>
    <w:rsid w:val="00171B22"/>
    <w:rsid w:val="00171DE6"/>
    <w:rsid w:val="0017232E"/>
    <w:rsid w:val="00174102"/>
    <w:rsid w:val="001754EE"/>
    <w:rsid w:val="00180157"/>
    <w:rsid w:val="001809BC"/>
    <w:rsid w:val="00180E97"/>
    <w:rsid w:val="001820B4"/>
    <w:rsid w:val="00182CC7"/>
    <w:rsid w:val="00184310"/>
    <w:rsid w:val="00184351"/>
    <w:rsid w:val="00184AC8"/>
    <w:rsid w:val="00185BA5"/>
    <w:rsid w:val="00185CB9"/>
    <w:rsid w:val="00185DBE"/>
    <w:rsid w:val="00186ADC"/>
    <w:rsid w:val="00186F77"/>
    <w:rsid w:val="001877A4"/>
    <w:rsid w:val="001926A4"/>
    <w:rsid w:val="00192AD5"/>
    <w:rsid w:val="00194597"/>
    <w:rsid w:val="00194E00"/>
    <w:rsid w:val="0019660E"/>
    <w:rsid w:val="0019745E"/>
    <w:rsid w:val="0019753B"/>
    <w:rsid w:val="00197B16"/>
    <w:rsid w:val="001A0E7C"/>
    <w:rsid w:val="001A530D"/>
    <w:rsid w:val="001A5FB3"/>
    <w:rsid w:val="001A7155"/>
    <w:rsid w:val="001B45A0"/>
    <w:rsid w:val="001B680E"/>
    <w:rsid w:val="001C227A"/>
    <w:rsid w:val="001D055E"/>
    <w:rsid w:val="001D1B29"/>
    <w:rsid w:val="001E1B3F"/>
    <w:rsid w:val="001E1C78"/>
    <w:rsid w:val="001E7161"/>
    <w:rsid w:val="001E77EC"/>
    <w:rsid w:val="001F05A4"/>
    <w:rsid w:val="001F3D4A"/>
    <w:rsid w:val="001F492E"/>
    <w:rsid w:val="001F64EF"/>
    <w:rsid w:val="001F6DA3"/>
    <w:rsid w:val="001F7829"/>
    <w:rsid w:val="002010BC"/>
    <w:rsid w:val="002016E7"/>
    <w:rsid w:val="00202E03"/>
    <w:rsid w:val="002033B9"/>
    <w:rsid w:val="002043D0"/>
    <w:rsid w:val="0020492C"/>
    <w:rsid w:val="00204EC9"/>
    <w:rsid w:val="0020529C"/>
    <w:rsid w:val="00206505"/>
    <w:rsid w:val="0020743F"/>
    <w:rsid w:val="00211415"/>
    <w:rsid w:val="00216C93"/>
    <w:rsid w:val="002223AA"/>
    <w:rsid w:val="00223051"/>
    <w:rsid w:val="00224DB9"/>
    <w:rsid w:val="0022569A"/>
    <w:rsid w:val="0023005C"/>
    <w:rsid w:val="00231012"/>
    <w:rsid w:val="00231BB4"/>
    <w:rsid w:val="00233775"/>
    <w:rsid w:val="0023414B"/>
    <w:rsid w:val="00243635"/>
    <w:rsid w:val="002457D9"/>
    <w:rsid w:val="00247079"/>
    <w:rsid w:val="002510B7"/>
    <w:rsid w:val="00251745"/>
    <w:rsid w:val="00253699"/>
    <w:rsid w:val="002552BA"/>
    <w:rsid w:val="002564D3"/>
    <w:rsid w:val="0025714A"/>
    <w:rsid w:val="00260016"/>
    <w:rsid w:val="00263AC0"/>
    <w:rsid w:val="00264264"/>
    <w:rsid w:val="0026689B"/>
    <w:rsid w:val="0026772D"/>
    <w:rsid w:val="002730B2"/>
    <w:rsid w:val="00274C7E"/>
    <w:rsid w:val="00276A0E"/>
    <w:rsid w:val="002777CF"/>
    <w:rsid w:val="002805DD"/>
    <w:rsid w:val="002810F2"/>
    <w:rsid w:val="00286874"/>
    <w:rsid w:val="00286DB1"/>
    <w:rsid w:val="0029069C"/>
    <w:rsid w:val="00290C63"/>
    <w:rsid w:val="00291A99"/>
    <w:rsid w:val="00293B6D"/>
    <w:rsid w:val="00294B08"/>
    <w:rsid w:val="0029518C"/>
    <w:rsid w:val="002963DD"/>
    <w:rsid w:val="00296B65"/>
    <w:rsid w:val="002A6117"/>
    <w:rsid w:val="002A7DEF"/>
    <w:rsid w:val="002B0696"/>
    <w:rsid w:val="002C0222"/>
    <w:rsid w:val="002C1499"/>
    <w:rsid w:val="002C233C"/>
    <w:rsid w:val="002C517B"/>
    <w:rsid w:val="002D3509"/>
    <w:rsid w:val="002D5457"/>
    <w:rsid w:val="002D72E8"/>
    <w:rsid w:val="002D79AD"/>
    <w:rsid w:val="002E145F"/>
    <w:rsid w:val="002E268F"/>
    <w:rsid w:val="002E78DD"/>
    <w:rsid w:val="002E7B22"/>
    <w:rsid w:val="002F12EC"/>
    <w:rsid w:val="002F4A36"/>
    <w:rsid w:val="002F7986"/>
    <w:rsid w:val="00301B40"/>
    <w:rsid w:val="00301C82"/>
    <w:rsid w:val="003029EE"/>
    <w:rsid w:val="00304D38"/>
    <w:rsid w:val="00305CC8"/>
    <w:rsid w:val="00307F6D"/>
    <w:rsid w:val="00314D83"/>
    <w:rsid w:val="0031571F"/>
    <w:rsid w:val="003177A2"/>
    <w:rsid w:val="00317E02"/>
    <w:rsid w:val="00323851"/>
    <w:rsid w:val="00323DF8"/>
    <w:rsid w:val="003271B5"/>
    <w:rsid w:val="00327A1E"/>
    <w:rsid w:val="00327E28"/>
    <w:rsid w:val="00331264"/>
    <w:rsid w:val="00334C8D"/>
    <w:rsid w:val="003378BD"/>
    <w:rsid w:val="003424EA"/>
    <w:rsid w:val="00342C2F"/>
    <w:rsid w:val="003436EB"/>
    <w:rsid w:val="00343A18"/>
    <w:rsid w:val="00345744"/>
    <w:rsid w:val="003460E3"/>
    <w:rsid w:val="003518B3"/>
    <w:rsid w:val="00353E79"/>
    <w:rsid w:val="0036330F"/>
    <w:rsid w:val="00364EA0"/>
    <w:rsid w:val="00366981"/>
    <w:rsid w:val="00370678"/>
    <w:rsid w:val="0037214E"/>
    <w:rsid w:val="00372C85"/>
    <w:rsid w:val="00372E4D"/>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69A"/>
    <w:rsid w:val="003C6A13"/>
    <w:rsid w:val="003C764A"/>
    <w:rsid w:val="003C78BA"/>
    <w:rsid w:val="003D41F1"/>
    <w:rsid w:val="003D42AB"/>
    <w:rsid w:val="003D5B94"/>
    <w:rsid w:val="003E0D3A"/>
    <w:rsid w:val="003E3AAB"/>
    <w:rsid w:val="003E7FE9"/>
    <w:rsid w:val="003F07D4"/>
    <w:rsid w:val="003F174D"/>
    <w:rsid w:val="003F2329"/>
    <w:rsid w:val="003F7BAF"/>
    <w:rsid w:val="00400FD2"/>
    <w:rsid w:val="00403711"/>
    <w:rsid w:val="00404C52"/>
    <w:rsid w:val="00407D26"/>
    <w:rsid w:val="00413AA9"/>
    <w:rsid w:val="004156D5"/>
    <w:rsid w:val="00415BA9"/>
    <w:rsid w:val="00415F31"/>
    <w:rsid w:val="0041691D"/>
    <w:rsid w:val="0042000C"/>
    <w:rsid w:val="0042090E"/>
    <w:rsid w:val="00421F27"/>
    <w:rsid w:val="004238D8"/>
    <w:rsid w:val="00423A77"/>
    <w:rsid w:val="004324F4"/>
    <w:rsid w:val="00434544"/>
    <w:rsid w:val="00436201"/>
    <w:rsid w:val="00440BDE"/>
    <w:rsid w:val="004440B3"/>
    <w:rsid w:val="00445D43"/>
    <w:rsid w:val="00446CD2"/>
    <w:rsid w:val="0045777E"/>
    <w:rsid w:val="00465258"/>
    <w:rsid w:val="00471BC6"/>
    <w:rsid w:val="00476221"/>
    <w:rsid w:val="004766F5"/>
    <w:rsid w:val="0047720E"/>
    <w:rsid w:val="00480B4B"/>
    <w:rsid w:val="004838D8"/>
    <w:rsid w:val="00485DC4"/>
    <w:rsid w:val="00491E64"/>
    <w:rsid w:val="00494D04"/>
    <w:rsid w:val="004A40BA"/>
    <w:rsid w:val="004A43D1"/>
    <w:rsid w:val="004A492B"/>
    <w:rsid w:val="004B36B2"/>
    <w:rsid w:val="004B4412"/>
    <w:rsid w:val="004C348C"/>
    <w:rsid w:val="004C3944"/>
    <w:rsid w:val="004C462E"/>
    <w:rsid w:val="004C6CA3"/>
    <w:rsid w:val="004C7F5E"/>
    <w:rsid w:val="004D343C"/>
    <w:rsid w:val="004D372A"/>
    <w:rsid w:val="004D3962"/>
    <w:rsid w:val="004D55BA"/>
    <w:rsid w:val="004D720C"/>
    <w:rsid w:val="004E0FA7"/>
    <w:rsid w:val="004E22EC"/>
    <w:rsid w:val="004F0BFA"/>
    <w:rsid w:val="004F13DA"/>
    <w:rsid w:val="004F30A1"/>
    <w:rsid w:val="004F4D69"/>
    <w:rsid w:val="004F6883"/>
    <w:rsid w:val="004F6A0E"/>
    <w:rsid w:val="004F6BB3"/>
    <w:rsid w:val="005009CD"/>
    <w:rsid w:val="00504E5F"/>
    <w:rsid w:val="0051337E"/>
    <w:rsid w:val="00513FA7"/>
    <w:rsid w:val="0051768F"/>
    <w:rsid w:val="00522DC2"/>
    <w:rsid w:val="00527C72"/>
    <w:rsid w:val="00530128"/>
    <w:rsid w:val="00531ABB"/>
    <w:rsid w:val="00532467"/>
    <w:rsid w:val="005332A9"/>
    <w:rsid w:val="0053603C"/>
    <w:rsid w:val="00537263"/>
    <w:rsid w:val="00537871"/>
    <w:rsid w:val="00542FE9"/>
    <w:rsid w:val="00544598"/>
    <w:rsid w:val="00544C8D"/>
    <w:rsid w:val="00544DFD"/>
    <w:rsid w:val="00556B1E"/>
    <w:rsid w:val="00564A4D"/>
    <w:rsid w:val="0056598C"/>
    <w:rsid w:val="00566828"/>
    <w:rsid w:val="00566E0B"/>
    <w:rsid w:val="00567BA5"/>
    <w:rsid w:val="00571B35"/>
    <w:rsid w:val="00571B43"/>
    <w:rsid w:val="00571D23"/>
    <w:rsid w:val="00571D57"/>
    <w:rsid w:val="00573A3B"/>
    <w:rsid w:val="00574946"/>
    <w:rsid w:val="00574B35"/>
    <w:rsid w:val="00577716"/>
    <w:rsid w:val="00577A09"/>
    <w:rsid w:val="005829C2"/>
    <w:rsid w:val="00584D8F"/>
    <w:rsid w:val="00587A18"/>
    <w:rsid w:val="00587ADE"/>
    <w:rsid w:val="005A0BEC"/>
    <w:rsid w:val="005A404D"/>
    <w:rsid w:val="005A737D"/>
    <w:rsid w:val="005B1E3C"/>
    <w:rsid w:val="005B6518"/>
    <w:rsid w:val="005B704A"/>
    <w:rsid w:val="005B72D7"/>
    <w:rsid w:val="005C045F"/>
    <w:rsid w:val="005C16FE"/>
    <w:rsid w:val="005C1FAB"/>
    <w:rsid w:val="005C21A4"/>
    <w:rsid w:val="005C26CC"/>
    <w:rsid w:val="005C3414"/>
    <w:rsid w:val="005C4463"/>
    <w:rsid w:val="005D0C15"/>
    <w:rsid w:val="005D2DBB"/>
    <w:rsid w:val="005D3D88"/>
    <w:rsid w:val="005D48C4"/>
    <w:rsid w:val="005D6208"/>
    <w:rsid w:val="005D6366"/>
    <w:rsid w:val="005D7BA2"/>
    <w:rsid w:val="005E2FB7"/>
    <w:rsid w:val="005E36C2"/>
    <w:rsid w:val="005E4AF4"/>
    <w:rsid w:val="005F387E"/>
    <w:rsid w:val="00601E0B"/>
    <w:rsid w:val="0060258B"/>
    <w:rsid w:val="00603E84"/>
    <w:rsid w:val="00604E28"/>
    <w:rsid w:val="00610EF9"/>
    <w:rsid w:val="00612F4F"/>
    <w:rsid w:val="00614EA0"/>
    <w:rsid w:val="00615C6B"/>
    <w:rsid w:val="00617D4C"/>
    <w:rsid w:val="00621DCE"/>
    <w:rsid w:val="00621FC5"/>
    <w:rsid w:val="00624F2C"/>
    <w:rsid w:val="00632D6D"/>
    <w:rsid w:val="006348AE"/>
    <w:rsid w:val="00636569"/>
    <w:rsid w:val="00636EF9"/>
    <w:rsid w:val="00642C3E"/>
    <w:rsid w:val="00644A01"/>
    <w:rsid w:val="00651E2D"/>
    <w:rsid w:val="00651FB2"/>
    <w:rsid w:val="00652324"/>
    <w:rsid w:val="006577FB"/>
    <w:rsid w:val="0066104A"/>
    <w:rsid w:val="00663066"/>
    <w:rsid w:val="00663DAD"/>
    <w:rsid w:val="00664206"/>
    <w:rsid w:val="006649E7"/>
    <w:rsid w:val="00664A8B"/>
    <w:rsid w:val="00666634"/>
    <w:rsid w:val="00667FAA"/>
    <w:rsid w:val="00671692"/>
    <w:rsid w:val="00675E20"/>
    <w:rsid w:val="00676090"/>
    <w:rsid w:val="00676679"/>
    <w:rsid w:val="00683C89"/>
    <w:rsid w:val="00691B53"/>
    <w:rsid w:val="006937D4"/>
    <w:rsid w:val="0069487E"/>
    <w:rsid w:val="00695162"/>
    <w:rsid w:val="00697D0B"/>
    <w:rsid w:val="006A12BA"/>
    <w:rsid w:val="006A4193"/>
    <w:rsid w:val="006A4739"/>
    <w:rsid w:val="006A66A1"/>
    <w:rsid w:val="006B032D"/>
    <w:rsid w:val="006B034F"/>
    <w:rsid w:val="006B2395"/>
    <w:rsid w:val="006B40AC"/>
    <w:rsid w:val="006B4CF9"/>
    <w:rsid w:val="006B7280"/>
    <w:rsid w:val="006B797C"/>
    <w:rsid w:val="006B7AC8"/>
    <w:rsid w:val="006C1533"/>
    <w:rsid w:val="006C1736"/>
    <w:rsid w:val="006C329B"/>
    <w:rsid w:val="006C4014"/>
    <w:rsid w:val="006C6303"/>
    <w:rsid w:val="006D550F"/>
    <w:rsid w:val="006D6146"/>
    <w:rsid w:val="006D7F7E"/>
    <w:rsid w:val="006E0CFF"/>
    <w:rsid w:val="006F0D92"/>
    <w:rsid w:val="006F267D"/>
    <w:rsid w:val="0070011E"/>
    <w:rsid w:val="00701CAB"/>
    <w:rsid w:val="007023BB"/>
    <w:rsid w:val="007036B1"/>
    <w:rsid w:val="00704DD7"/>
    <w:rsid w:val="0070735A"/>
    <w:rsid w:val="00707563"/>
    <w:rsid w:val="00715B1D"/>
    <w:rsid w:val="00715F61"/>
    <w:rsid w:val="00716F71"/>
    <w:rsid w:val="00722132"/>
    <w:rsid w:val="00722237"/>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45F7"/>
    <w:rsid w:val="00755084"/>
    <w:rsid w:val="00757364"/>
    <w:rsid w:val="00757BDF"/>
    <w:rsid w:val="007609D0"/>
    <w:rsid w:val="00761454"/>
    <w:rsid w:val="0076193D"/>
    <w:rsid w:val="00763E5D"/>
    <w:rsid w:val="00767740"/>
    <w:rsid w:val="00767B5E"/>
    <w:rsid w:val="00775460"/>
    <w:rsid w:val="00775B1D"/>
    <w:rsid w:val="00777EE6"/>
    <w:rsid w:val="00782EEA"/>
    <w:rsid w:val="007909B4"/>
    <w:rsid w:val="00790E86"/>
    <w:rsid w:val="0079362E"/>
    <w:rsid w:val="007949D7"/>
    <w:rsid w:val="00796D48"/>
    <w:rsid w:val="007A0143"/>
    <w:rsid w:val="007A34C2"/>
    <w:rsid w:val="007A396C"/>
    <w:rsid w:val="007A4B02"/>
    <w:rsid w:val="007A512C"/>
    <w:rsid w:val="007A7B80"/>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1DAF"/>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80E43"/>
    <w:rsid w:val="00882BB1"/>
    <w:rsid w:val="008837AC"/>
    <w:rsid w:val="008909DC"/>
    <w:rsid w:val="0089157D"/>
    <w:rsid w:val="00894255"/>
    <w:rsid w:val="008945AD"/>
    <w:rsid w:val="008A0645"/>
    <w:rsid w:val="008A1C02"/>
    <w:rsid w:val="008A370D"/>
    <w:rsid w:val="008A5612"/>
    <w:rsid w:val="008A587D"/>
    <w:rsid w:val="008B16B0"/>
    <w:rsid w:val="008B1BD5"/>
    <w:rsid w:val="008B35CD"/>
    <w:rsid w:val="008B4093"/>
    <w:rsid w:val="008B5FCC"/>
    <w:rsid w:val="008B630D"/>
    <w:rsid w:val="008B7F36"/>
    <w:rsid w:val="008C357F"/>
    <w:rsid w:val="008C3764"/>
    <w:rsid w:val="008C5486"/>
    <w:rsid w:val="008D1661"/>
    <w:rsid w:val="008D1C2E"/>
    <w:rsid w:val="008D27E0"/>
    <w:rsid w:val="008D5F90"/>
    <w:rsid w:val="008D6800"/>
    <w:rsid w:val="008D72F1"/>
    <w:rsid w:val="008E4089"/>
    <w:rsid w:val="008E5AFF"/>
    <w:rsid w:val="008E6A78"/>
    <w:rsid w:val="008E7031"/>
    <w:rsid w:val="008E77DE"/>
    <w:rsid w:val="008F040C"/>
    <w:rsid w:val="008F07A3"/>
    <w:rsid w:val="008F3322"/>
    <w:rsid w:val="008F3519"/>
    <w:rsid w:val="008F3A0D"/>
    <w:rsid w:val="009001B6"/>
    <w:rsid w:val="00900E1B"/>
    <w:rsid w:val="0090131F"/>
    <w:rsid w:val="00901ED4"/>
    <w:rsid w:val="00907683"/>
    <w:rsid w:val="009132B7"/>
    <w:rsid w:val="00916A2C"/>
    <w:rsid w:val="00921399"/>
    <w:rsid w:val="009233EE"/>
    <w:rsid w:val="00930B1A"/>
    <w:rsid w:val="00932612"/>
    <w:rsid w:val="009327DC"/>
    <w:rsid w:val="009338D9"/>
    <w:rsid w:val="009339BD"/>
    <w:rsid w:val="009356CF"/>
    <w:rsid w:val="00945E53"/>
    <w:rsid w:val="009460AA"/>
    <w:rsid w:val="00951978"/>
    <w:rsid w:val="00952C8B"/>
    <w:rsid w:val="00961A4A"/>
    <w:rsid w:val="009637DD"/>
    <w:rsid w:val="009661DE"/>
    <w:rsid w:val="00967D7F"/>
    <w:rsid w:val="00972C7C"/>
    <w:rsid w:val="009764C2"/>
    <w:rsid w:val="009776F4"/>
    <w:rsid w:val="00982DA2"/>
    <w:rsid w:val="009836F3"/>
    <w:rsid w:val="00983C25"/>
    <w:rsid w:val="0098466D"/>
    <w:rsid w:val="009856B7"/>
    <w:rsid w:val="009859D6"/>
    <w:rsid w:val="00985C86"/>
    <w:rsid w:val="00993407"/>
    <w:rsid w:val="009A5FC3"/>
    <w:rsid w:val="009B6F84"/>
    <w:rsid w:val="009B74B0"/>
    <w:rsid w:val="009C0152"/>
    <w:rsid w:val="009C1A74"/>
    <w:rsid w:val="009C3D42"/>
    <w:rsid w:val="009C491E"/>
    <w:rsid w:val="009D064D"/>
    <w:rsid w:val="009D0DF1"/>
    <w:rsid w:val="009D1915"/>
    <w:rsid w:val="009D22D6"/>
    <w:rsid w:val="009D2C84"/>
    <w:rsid w:val="009D3906"/>
    <w:rsid w:val="009D6B46"/>
    <w:rsid w:val="009E113C"/>
    <w:rsid w:val="009E35B6"/>
    <w:rsid w:val="009E5ABC"/>
    <w:rsid w:val="009F3BBA"/>
    <w:rsid w:val="009F43B4"/>
    <w:rsid w:val="009F4940"/>
    <w:rsid w:val="009F5BA1"/>
    <w:rsid w:val="00A02A88"/>
    <w:rsid w:val="00A04012"/>
    <w:rsid w:val="00A046FA"/>
    <w:rsid w:val="00A04F1E"/>
    <w:rsid w:val="00A0562E"/>
    <w:rsid w:val="00A0726D"/>
    <w:rsid w:val="00A073AE"/>
    <w:rsid w:val="00A12204"/>
    <w:rsid w:val="00A12750"/>
    <w:rsid w:val="00A13CB0"/>
    <w:rsid w:val="00A1561F"/>
    <w:rsid w:val="00A16544"/>
    <w:rsid w:val="00A30BF5"/>
    <w:rsid w:val="00A31BE6"/>
    <w:rsid w:val="00A32FBB"/>
    <w:rsid w:val="00A33D81"/>
    <w:rsid w:val="00A36580"/>
    <w:rsid w:val="00A40068"/>
    <w:rsid w:val="00A40BE9"/>
    <w:rsid w:val="00A4152F"/>
    <w:rsid w:val="00A428EE"/>
    <w:rsid w:val="00A42BDD"/>
    <w:rsid w:val="00A443C2"/>
    <w:rsid w:val="00A4478A"/>
    <w:rsid w:val="00A44852"/>
    <w:rsid w:val="00A50502"/>
    <w:rsid w:val="00A506FD"/>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2E9"/>
    <w:rsid w:val="00A95988"/>
    <w:rsid w:val="00A959DF"/>
    <w:rsid w:val="00A9688B"/>
    <w:rsid w:val="00A97A1B"/>
    <w:rsid w:val="00AA2927"/>
    <w:rsid w:val="00AA7DC4"/>
    <w:rsid w:val="00AB0449"/>
    <w:rsid w:val="00AB2CB8"/>
    <w:rsid w:val="00AB4617"/>
    <w:rsid w:val="00AC1B2C"/>
    <w:rsid w:val="00AC3264"/>
    <w:rsid w:val="00AC46AD"/>
    <w:rsid w:val="00AC4D2D"/>
    <w:rsid w:val="00AC58EC"/>
    <w:rsid w:val="00AC6F6D"/>
    <w:rsid w:val="00AC7282"/>
    <w:rsid w:val="00AC7961"/>
    <w:rsid w:val="00AD314E"/>
    <w:rsid w:val="00AD5FCD"/>
    <w:rsid w:val="00AD6B48"/>
    <w:rsid w:val="00AD7A3A"/>
    <w:rsid w:val="00AE1BF1"/>
    <w:rsid w:val="00AE23AB"/>
    <w:rsid w:val="00AE4918"/>
    <w:rsid w:val="00AE58FB"/>
    <w:rsid w:val="00AE5AF0"/>
    <w:rsid w:val="00AE663D"/>
    <w:rsid w:val="00AE73B3"/>
    <w:rsid w:val="00AE7ADD"/>
    <w:rsid w:val="00AF07E7"/>
    <w:rsid w:val="00AF0DD2"/>
    <w:rsid w:val="00AF31E1"/>
    <w:rsid w:val="00AF3BBA"/>
    <w:rsid w:val="00AF4231"/>
    <w:rsid w:val="00B00B0E"/>
    <w:rsid w:val="00B00B26"/>
    <w:rsid w:val="00B02385"/>
    <w:rsid w:val="00B02F9D"/>
    <w:rsid w:val="00B05766"/>
    <w:rsid w:val="00B06D88"/>
    <w:rsid w:val="00B12A01"/>
    <w:rsid w:val="00B13048"/>
    <w:rsid w:val="00B13883"/>
    <w:rsid w:val="00B1716D"/>
    <w:rsid w:val="00B17A1D"/>
    <w:rsid w:val="00B207A0"/>
    <w:rsid w:val="00B21C21"/>
    <w:rsid w:val="00B22F54"/>
    <w:rsid w:val="00B24A7E"/>
    <w:rsid w:val="00B25C0C"/>
    <w:rsid w:val="00B272AA"/>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36B4"/>
    <w:rsid w:val="00B65DF5"/>
    <w:rsid w:val="00B724F8"/>
    <w:rsid w:val="00B7679F"/>
    <w:rsid w:val="00B77159"/>
    <w:rsid w:val="00B8080B"/>
    <w:rsid w:val="00B82223"/>
    <w:rsid w:val="00B8317B"/>
    <w:rsid w:val="00B86923"/>
    <w:rsid w:val="00B87BA5"/>
    <w:rsid w:val="00B87C39"/>
    <w:rsid w:val="00B93891"/>
    <w:rsid w:val="00B9562D"/>
    <w:rsid w:val="00BA21DA"/>
    <w:rsid w:val="00BA2B60"/>
    <w:rsid w:val="00BA2BE8"/>
    <w:rsid w:val="00BA3C93"/>
    <w:rsid w:val="00BA4665"/>
    <w:rsid w:val="00BA7FD7"/>
    <w:rsid w:val="00BB1681"/>
    <w:rsid w:val="00BB2FB2"/>
    <w:rsid w:val="00BB3304"/>
    <w:rsid w:val="00BB6551"/>
    <w:rsid w:val="00BC4A10"/>
    <w:rsid w:val="00BC4F6F"/>
    <w:rsid w:val="00BD30F4"/>
    <w:rsid w:val="00BD3446"/>
    <w:rsid w:val="00BD59CF"/>
    <w:rsid w:val="00BD6900"/>
    <w:rsid w:val="00BE1312"/>
    <w:rsid w:val="00BE1F1B"/>
    <w:rsid w:val="00BE3F89"/>
    <w:rsid w:val="00BE47B5"/>
    <w:rsid w:val="00BE5FCE"/>
    <w:rsid w:val="00C0079E"/>
    <w:rsid w:val="00C0572A"/>
    <w:rsid w:val="00C07E37"/>
    <w:rsid w:val="00C13EBD"/>
    <w:rsid w:val="00C1631B"/>
    <w:rsid w:val="00C163AB"/>
    <w:rsid w:val="00C170F0"/>
    <w:rsid w:val="00C24AD3"/>
    <w:rsid w:val="00C25962"/>
    <w:rsid w:val="00C25FA6"/>
    <w:rsid w:val="00C3099D"/>
    <w:rsid w:val="00C33011"/>
    <w:rsid w:val="00C3500A"/>
    <w:rsid w:val="00C362C1"/>
    <w:rsid w:val="00C41950"/>
    <w:rsid w:val="00C42C3B"/>
    <w:rsid w:val="00C4501E"/>
    <w:rsid w:val="00C45E7D"/>
    <w:rsid w:val="00C51672"/>
    <w:rsid w:val="00C51687"/>
    <w:rsid w:val="00C538A9"/>
    <w:rsid w:val="00C53B5A"/>
    <w:rsid w:val="00C53E41"/>
    <w:rsid w:val="00C54909"/>
    <w:rsid w:val="00C54AF3"/>
    <w:rsid w:val="00C54F5A"/>
    <w:rsid w:val="00C55CBC"/>
    <w:rsid w:val="00C569B4"/>
    <w:rsid w:val="00C57DDE"/>
    <w:rsid w:val="00C61468"/>
    <w:rsid w:val="00C61A97"/>
    <w:rsid w:val="00C61E44"/>
    <w:rsid w:val="00C64FF3"/>
    <w:rsid w:val="00C662AD"/>
    <w:rsid w:val="00C67A92"/>
    <w:rsid w:val="00C71280"/>
    <w:rsid w:val="00C717BF"/>
    <w:rsid w:val="00C76178"/>
    <w:rsid w:val="00C84560"/>
    <w:rsid w:val="00C86679"/>
    <w:rsid w:val="00C878C8"/>
    <w:rsid w:val="00C8792F"/>
    <w:rsid w:val="00C90472"/>
    <w:rsid w:val="00C91D6E"/>
    <w:rsid w:val="00C9323D"/>
    <w:rsid w:val="00CA489E"/>
    <w:rsid w:val="00CA4BBF"/>
    <w:rsid w:val="00CB0279"/>
    <w:rsid w:val="00CB666B"/>
    <w:rsid w:val="00CB734B"/>
    <w:rsid w:val="00CC1A49"/>
    <w:rsid w:val="00CC41B6"/>
    <w:rsid w:val="00CC62F4"/>
    <w:rsid w:val="00CC7ADA"/>
    <w:rsid w:val="00CC7F1D"/>
    <w:rsid w:val="00CD0670"/>
    <w:rsid w:val="00CD0A88"/>
    <w:rsid w:val="00CD125D"/>
    <w:rsid w:val="00CD283C"/>
    <w:rsid w:val="00CD3641"/>
    <w:rsid w:val="00CD66EA"/>
    <w:rsid w:val="00CD7432"/>
    <w:rsid w:val="00CE0FA5"/>
    <w:rsid w:val="00CE2A23"/>
    <w:rsid w:val="00CE31C8"/>
    <w:rsid w:val="00CE484B"/>
    <w:rsid w:val="00CE5663"/>
    <w:rsid w:val="00CE696A"/>
    <w:rsid w:val="00CE7CBA"/>
    <w:rsid w:val="00CF0DEE"/>
    <w:rsid w:val="00CF42AA"/>
    <w:rsid w:val="00CF5EAA"/>
    <w:rsid w:val="00CF6AE3"/>
    <w:rsid w:val="00CF77BB"/>
    <w:rsid w:val="00D006AE"/>
    <w:rsid w:val="00D00905"/>
    <w:rsid w:val="00D010C1"/>
    <w:rsid w:val="00D01CF0"/>
    <w:rsid w:val="00D02293"/>
    <w:rsid w:val="00D0442A"/>
    <w:rsid w:val="00D0554F"/>
    <w:rsid w:val="00D12A7B"/>
    <w:rsid w:val="00D12ADB"/>
    <w:rsid w:val="00D148B3"/>
    <w:rsid w:val="00D15E63"/>
    <w:rsid w:val="00D241ED"/>
    <w:rsid w:val="00D25A39"/>
    <w:rsid w:val="00D27CFA"/>
    <w:rsid w:val="00D310FA"/>
    <w:rsid w:val="00D325C6"/>
    <w:rsid w:val="00D37213"/>
    <w:rsid w:val="00D41B83"/>
    <w:rsid w:val="00D4360D"/>
    <w:rsid w:val="00D5015C"/>
    <w:rsid w:val="00D5607F"/>
    <w:rsid w:val="00D61388"/>
    <w:rsid w:val="00D61A54"/>
    <w:rsid w:val="00D62108"/>
    <w:rsid w:val="00D643C6"/>
    <w:rsid w:val="00D64764"/>
    <w:rsid w:val="00D64AA4"/>
    <w:rsid w:val="00D64DEA"/>
    <w:rsid w:val="00D64F84"/>
    <w:rsid w:val="00D663CD"/>
    <w:rsid w:val="00D6726A"/>
    <w:rsid w:val="00D7001B"/>
    <w:rsid w:val="00D7160D"/>
    <w:rsid w:val="00D7168E"/>
    <w:rsid w:val="00D71E57"/>
    <w:rsid w:val="00D72327"/>
    <w:rsid w:val="00D72D27"/>
    <w:rsid w:val="00D7786B"/>
    <w:rsid w:val="00D80893"/>
    <w:rsid w:val="00D82519"/>
    <w:rsid w:val="00D84854"/>
    <w:rsid w:val="00D924AE"/>
    <w:rsid w:val="00D92AC2"/>
    <w:rsid w:val="00D92CF1"/>
    <w:rsid w:val="00D92D38"/>
    <w:rsid w:val="00D950F5"/>
    <w:rsid w:val="00D97379"/>
    <w:rsid w:val="00DA4752"/>
    <w:rsid w:val="00DA4C09"/>
    <w:rsid w:val="00DA61F3"/>
    <w:rsid w:val="00DA7CB3"/>
    <w:rsid w:val="00DB0D00"/>
    <w:rsid w:val="00DB0F93"/>
    <w:rsid w:val="00DB1A67"/>
    <w:rsid w:val="00DB3721"/>
    <w:rsid w:val="00DB5074"/>
    <w:rsid w:val="00DB7EF9"/>
    <w:rsid w:val="00DC0281"/>
    <w:rsid w:val="00DC1930"/>
    <w:rsid w:val="00DC1C76"/>
    <w:rsid w:val="00DC35CB"/>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07812"/>
    <w:rsid w:val="00E11E61"/>
    <w:rsid w:val="00E157B2"/>
    <w:rsid w:val="00E16055"/>
    <w:rsid w:val="00E21931"/>
    <w:rsid w:val="00E2332D"/>
    <w:rsid w:val="00E23993"/>
    <w:rsid w:val="00E2574F"/>
    <w:rsid w:val="00E25951"/>
    <w:rsid w:val="00E25B8C"/>
    <w:rsid w:val="00E31CF6"/>
    <w:rsid w:val="00E34A4A"/>
    <w:rsid w:val="00E35AFC"/>
    <w:rsid w:val="00E35CBF"/>
    <w:rsid w:val="00E373B6"/>
    <w:rsid w:val="00E40A9D"/>
    <w:rsid w:val="00E41D39"/>
    <w:rsid w:val="00E43FF6"/>
    <w:rsid w:val="00E50A02"/>
    <w:rsid w:val="00E52A15"/>
    <w:rsid w:val="00E54106"/>
    <w:rsid w:val="00E54697"/>
    <w:rsid w:val="00E55701"/>
    <w:rsid w:val="00E57A08"/>
    <w:rsid w:val="00E63631"/>
    <w:rsid w:val="00E64C2A"/>
    <w:rsid w:val="00E65C85"/>
    <w:rsid w:val="00E66199"/>
    <w:rsid w:val="00E70526"/>
    <w:rsid w:val="00E754B4"/>
    <w:rsid w:val="00E755EC"/>
    <w:rsid w:val="00E7624D"/>
    <w:rsid w:val="00E81724"/>
    <w:rsid w:val="00E819A4"/>
    <w:rsid w:val="00E8269E"/>
    <w:rsid w:val="00E833FA"/>
    <w:rsid w:val="00E84B74"/>
    <w:rsid w:val="00E87066"/>
    <w:rsid w:val="00E966BF"/>
    <w:rsid w:val="00EA0C04"/>
    <w:rsid w:val="00EA3D42"/>
    <w:rsid w:val="00EA6B1B"/>
    <w:rsid w:val="00EB1CBD"/>
    <w:rsid w:val="00EB2052"/>
    <w:rsid w:val="00EB336E"/>
    <w:rsid w:val="00EB3A34"/>
    <w:rsid w:val="00EB3C3F"/>
    <w:rsid w:val="00EC04F1"/>
    <w:rsid w:val="00EC237F"/>
    <w:rsid w:val="00EC573A"/>
    <w:rsid w:val="00ED35C8"/>
    <w:rsid w:val="00ED3968"/>
    <w:rsid w:val="00ED5020"/>
    <w:rsid w:val="00ED71EE"/>
    <w:rsid w:val="00ED7323"/>
    <w:rsid w:val="00EE28F3"/>
    <w:rsid w:val="00EE50D1"/>
    <w:rsid w:val="00EE7614"/>
    <w:rsid w:val="00EF0A5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2A8C"/>
    <w:rsid w:val="00F30CE1"/>
    <w:rsid w:val="00F322E9"/>
    <w:rsid w:val="00F3231B"/>
    <w:rsid w:val="00F33808"/>
    <w:rsid w:val="00F373A5"/>
    <w:rsid w:val="00F37864"/>
    <w:rsid w:val="00F404F9"/>
    <w:rsid w:val="00F44B0A"/>
    <w:rsid w:val="00F47559"/>
    <w:rsid w:val="00F50B30"/>
    <w:rsid w:val="00F51F5F"/>
    <w:rsid w:val="00F52D75"/>
    <w:rsid w:val="00F55582"/>
    <w:rsid w:val="00F571FB"/>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A7FE6"/>
    <w:rsid w:val="00FB24ED"/>
    <w:rsid w:val="00FB3304"/>
    <w:rsid w:val="00FB5005"/>
    <w:rsid w:val="00FB60FE"/>
    <w:rsid w:val="00FB74E2"/>
    <w:rsid w:val="00FB778B"/>
    <w:rsid w:val="00FC6F2A"/>
    <w:rsid w:val="00FD5614"/>
    <w:rsid w:val="00FD5E78"/>
    <w:rsid w:val="00FE0BE1"/>
    <w:rsid w:val="00FE11BB"/>
    <w:rsid w:val="00FE1DE9"/>
    <w:rsid w:val="00FE36AF"/>
    <w:rsid w:val="00FE39C2"/>
    <w:rsid w:val="00FE3C32"/>
    <w:rsid w:val="00FE64AE"/>
    <w:rsid w:val="00FF2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9BC70F07</Template>
  <TotalTime>0</TotalTime>
  <Pages>18</Pages>
  <Words>4572</Words>
  <Characters>26062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2017-07-04T08:18:00Z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