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heme="majorEastAsia" w:cstheme="majorBidi"/>
          <w:noProof/>
          <w:sz w:val="36"/>
          <w:szCs w:val="36"/>
          <w:lang w:eastAsia="en-AU"/>
        </w:rPr>
        <w:id w:val="1021519724"/>
        <w:docPartObj>
          <w:docPartGallery w:val="Cover Pages"/>
          <w:docPartUnique/>
        </w:docPartObj>
      </w:sdtPr>
      <w:sdtEndPr/>
      <w:sdtContent>
        <w:p w:rsidR="000A6C7B" w:rsidRPr="00290C63" w:rsidRDefault="000A6C7B" w:rsidP="00290C63">
          <w:r w:rsidRPr="00290C63">
            <w:rPr>
              <w:noProof/>
              <w:lang w:eastAsia="en-AU"/>
            </w:rPr>
            <w:drawing>
              <wp:anchor distT="0" distB="0" distL="114300" distR="114300" simplePos="0" relativeHeight="251659264" behindDoc="1" locked="0" layoutInCell="1" allowOverlap="1" wp14:anchorId="694BC324" wp14:editId="1A8A268E">
                <wp:simplePos x="0" y="0"/>
                <wp:positionH relativeFrom="column">
                  <wp:posOffset>-1104900</wp:posOffset>
                </wp:positionH>
                <wp:positionV relativeFrom="paragraph">
                  <wp:posOffset>-927735</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327A1E" w:rsidRDefault="001754EE" w:rsidP="001754EE">
          <w:pPr>
            <w:pStyle w:val="ReportSubtitle"/>
            <w:tabs>
              <w:tab w:val="left" w:pos="1122"/>
              <w:tab w:val="center" w:pos="4238"/>
            </w:tabs>
            <w:jc w:val="left"/>
          </w:pPr>
          <w:r>
            <w:tab/>
          </w:r>
          <w:r>
            <w:tab/>
          </w:r>
          <w:r w:rsidR="003E08B5">
            <w:t xml:space="preserve">DRAFT </w:t>
          </w:r>
          <w:r w:rsidR="00DA4752">
            <w:t>DECISION</w:t>
          </w:r>
        </w:p>
        <w:p w:rsidR="00A318FD" w:rsidRDefault="004A1240" w:rsidP="008F07A3">
          <w:pPr>
            <w:pStyle w:val="ReportSubtitle"/>
          </w:pPr>
          <w:r>
            <w:t xml:space="preserve">Multinet </w:t>
          </w:r>
          <w:r w:rsidR="00A318FD">
            <w:t>Gas</w:t>
          </w:r>
        </w:p>
        <w:p w:rsidR="00A318FD" w:rsidRDefault="00A318FD" w:rsidP="008F07A3">
          <w:pPr>
            <w:pStyle w:val="ReportSubtitle"/>
          </w:pPr>
          <w:r>
            <w:t>Access Arrangement</w:t>
          </w:r>
        </w:p>
        <w:p w:rsidR="000A6C7B" w:rsidRDefault="004A1240" w:rsidP="008F07A3">
          <w:pPr>
            <w:pStyle w:val="ReportSubtitle"/>
          </w:pPr>
          <w:r>
            <w:t>2018</w:t>
          </w:r>
          <w:r w:rsidR="003870A9">
            <w:t>-2022</w:t>
          </w:r>
        </w:p>
        <w:p w:rsidR="008F07A3" w:rsidRPr="000A6C7B" w:rsidRDefault="008F07A3" w:rsidP="008F07A3">
          <w:pPr>
            <w:pStyle w:val="ReportSubtitle"/>
          </w:pPr>
        </w:p>
        <w:p w:rsidR="000A6C7B" w:rsidRPr="000A6C7B" w:rsidRDefault="00E14A44" w:rsidP="008F07A3">
          <w:pPr>
            <w:pStyle w:val="ReportSubtitle"/>
          </w:pPr>
          <w:r>
            <w:t>Attachment 4</w:t>
          </w:r>
          <w:r w:rsidR="00DA4752">
            <w:t xml:space="preserve"> </w:t>
          </w:r>
          <w:r w:rsidR="00415F31">
            <w:rPr>
              <w:rFonts w:cs="Arial"/>
            </w:rPr>
            <w:t>–</w:t>
          </w:r>
          <w:r w:rsidR="00DA4752">
            <w:t xml:space="preserve"> </w:t>
          </w:r>
          <w:r>
            <w:t>Value of imputation credits</w:t>
          </w:r>
        </w:p>
        <w:p w:rsidR="00B9733D" w:rsidRDefault="00B9733D" w:rsidP="00327A1E">
          <w:pPr>
            <w:pStyle w:val="ReportDate"/>
          </w:pPr>
        </w:p>
        <w:p w:rsidR="000A6C7B" w:rsidRPr="00327A1E" w:rsidRDefault="00A318FD" w:rsidP="00327A1E">
          <w:pPr>
            <w:pStyle w:val="ReportDate"/>
          </w:pPr>
          <w:r>
            <w:t>July</w:t>
          </w:r>
          <w:r w:rsidR="003870A9">
            <w:t xml:space="preserve"> 2017</w:t>
          </w:r>
        </w:p>
      </w:sdtContent>
    </w:sdt>
    <w:p w:rsidR="00327A1E" w:rsidRPr="00290C63" w:rsidRDefault="00327A1E" w:rsidP="00290C63">
      <w:r>
        <w:br w:type="page"/>
      </w:r>
    </w:p>
    <w:p w:rsidR="000A6C7B" w:rsidRDefault="008F07A3" w:rsidP="00961A4A">
      <w:pPr>
        <w:pStyle w:val="Copyright"/>
      </w:pPr>
      <w:r>
        <w:lastRenderedPageBreak/>
        <w:t>© Commonwealth of Australia 201</w:t>
      </w:r>
      <w:r w:rsidR="004134F9">
        <w:t>7</w:t>
      </w:r>
    </w:p>
    <w:p w:rsidR="000A6C7B" w:rsidRDefault="000A6C7B" w:rsidP="000A6C7B">
      <w:pPr>
        <w:pStyle w:val="Copyright"/>
      </w:pPr>
      <w:r>
        <w:t>This work is copyright. In addition to any use permitted under the Copyright Act 1968, all material contained within this work is provided under a Creative Commons Attributions 3.0 Australia licence, with the exception of:</w:t>
      </w:r>
    </w:p>
    <w:p w:rsidR="000A6C7B" w:rsidRPr="00983C25" w:rsidRDefault="000A6C7B" w:rsidP="00983C25">
      <w:pPr>
        <w:pStyle w:val="AERbulletlistfirststyle"/>
        <w:rPr>
          <w:sz w:val="20"/>
          <w:szCs w:val="20"/>
        </w:rPr>
      </w:pPr>
      <w:r>
        <w:t xml:space="preserve">the </w:t>
      </w:r>
      <w:r w:rsidRPr="00983C25">
        <w:rPr>
          <w:sz w:val="20"/>
          <w:szCs w:val="20"/>
        </w:rPr>
        <w:t>Commonwealth Coat of Arms</w:t>
      </w:r>
    </w:p>
    <w:p w:rsidR="000A6C7B" w:rsidRPr="00983C25" w:rsidRDefault="000A6C7B" w:rsidP="00983C25">
      <w:pPr>
        <w:pStyle w:val="AERbulletlistfirststyle"/>
        <w:rPr>
          <w:sz w:val="20"/>
          <w:szCs w:val="20"/>
        </w:rPr>
      </w:pPr>
      <w:r w:rsidRPr="00983C25">
        <w:rPr>
          <w:sz w:val="20"/>
          <w:szCs w:val="20"/>
        </w:rPr>
        <w:t>the ACCC and AER logos</w:t>
      </w:r>
    </w:p>
    <w:p w:rsidR="000A6C7B" w:rsidRPr="00983C25" w:rsidRDefault="000A6C7B" w:rsidP="00983C25">
      <w:pPr>
        <w:pStyle w:val="AERbulletlistfirststyle"/>
        <w:rPr>
          <w:sz w:val="20"/>
        </w:rPr>
      </w:pPr>
      <w:r w:rsidRPr="00983C25">
        <w:rPr>
          <w:sz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9D3906" w:rsidRDefault="000A6C7B" w:rsidP="000A6C7B">
      <w:pPr>
        <w:pStyle w:val="Copyright"/>
      </w:pPr>
      <w:r>
        <w:t>Requests and inquiries concerning reproduction and rights should be addressed to the</w:t>
      </w:r>
      <w:r w:rsidR="009D3906">
        <w:t>:</w:t>
      </w:r>
    </w:p>
    <w:p w:rsidR="009D3906" w:rsidRDefault="000A6C7B" w:rsidP="000A6C7B">
      <w:pPr>
        <w:pStyle w:val="Copyright"/>
      </w:pPr>
      <w:r>
        <w:t>Dir</w:t>
      </w:r>
      <w:r w:rsidR="009D3906">
        <w:t>ector, Corporate Communications</w:t>
      </w:r>
      <w:r w:rsidR="00983C25">
        <w:br/>
      </w:r>
      <w:r>
        <w:t>Australian Comp</w:t>
      </w:r>
      <w:r w:rsidR="009D3906">
        <w:t>etition and Consumer Commission</w:t>
      </w:r>
      <w:r>
        <w:t xml:space="preserve"> </w:t>
      </w:r>
      <w:r w:rsidR="00983C25">
        <w:br/>
      </w:r>
      <w:r>
        <w:t>GPO Box 4141, Canberra ACT 2601</w:t>
      </w:r>
    </w:p>
    <w:p w:rsidR="000A6C7B" w:rsidRDefault="000A6C7B" w:rsidP="000A6C7B">
      <w:pPr>
        <w:pStyle w:val="Copyright"/>
      </w:pPr>
      <w:r>
        <w:t>or publishing.unit@accc.gov.au.</w:t>
      </w:r>
    </w:p>
    <w:p w:rsidR="00951978" w:rsidRDefault="000A6C7B" w:rsidP="00961A4A">
      <w:pPr>
        <w:pStyle w:val="Copyright"/>
      </w:pPr>
      <w:r>
        <w:t>Inquiries about this publication should be addressed to:</w:t>
      </w:r>
    </w:p>
    <w:p w:rsidR="000A6C7B" w:rsidRDefault="000A6C7B" w:rsidP="000A6C7B">
      <w:pPr>
        <w:pStyle w:val="Copyright"/>
      </w:pPr>
      <w:r>
        <w:t xml:space="preserve">Australian Energy </w:t>
      </w:r>
      <w:r w:rsidRPr="00F171E0">
        <w:t>Regulator</w:t>
      </w:r>
      <w:r w:rsidR="00951978">
        <w:br/>
      </w:r>
      <w:r>
        <w:t>GPO Box 520</w:t>
      </w:r>
      <w:r w:rsidR="00951978">
        <w:br/>
      </w:r>
      <w:r>
        <w:t>Melbourne  Vic  3001</w:t>
      </w:r>
    </w:p>
    <w:p w:rsidR="000A6C7B" w:rsidRDefault="00EB5E79" w:rsidP="00961A4A">
      <w:pPr>
        <w:pStyle w:val="Copyright"/>
      </w:pPr>
      <w:r>
        <w:t xml:space="preserve">Tel: </w:t>
      </w:r>
      <w:r w:rsidRPr="00EB5E79">
        <w:t>1300 585 165</w:t>
      </w:r>
      <w:r w:rsidR="00951978">
        <w:br/>
      </w:r>
    </w:p>
    <w:p w:rsidR="00B9562D" w:rsidRDefault="000A6C7B" w:rsidP="00B9562D">
      <w:pPr>
        <w:pStyle w:val="Copyright"/>
      </w:pPr>
      <w:r>
        <w:t xml:space="preserve">Email: </w:t>
      </w:r>
      <w:hyperlink r:id="rId10" w:history="1">
        <w:r w:rsidRPr="00D64888">
          <w:rPr>
            <w:rStyle w:val="Hyperlink"/>
          </w:rPr>
          <w:t>AERInquiry@aer.gov.au</w:t>
        </w:r>
      </w:hyperlink>
      <w:r w:rsidR="00951978">
        <w:rPr>
          <w:rStyle w:val="Hyperlink"/>
        </w:rPr>
        <w:br/>
      </w:r>
    </w:p>
    <w:p w:rsidR="009001B6" w:rsidRDefault="009001B6">
      <w:pPr>
        <w:spacing w:line="240" w:lineRule="auto"/>
      </w:pPr>
      <w:bookmarkStart w:id="0" w:name="_Toc404354899"/>
      <w:bookmarkStart w:id="1" w:name="_Toc404353070"/>
      <w:bookmarkStart w:id="2" w:name="_Toc404684201"/>
      <w:bookmarkStart w:id="3" w:name="_Toc404700923"/>
      <w:r>
        <w:br w:type="page"/>
      </w:r>
    </w:p>
    <w:p w:rsidR="008F07A3" w:rsidRDefault="00DA61F3" w:rsidP="00C52695">
      <w:pPr>
        <w:pStyle w:val="UnnumberedHeading"/>
        <w:numPr>
          <w:ilvl w:val="0"/>
          <w:numId w:val="23"/>
        </w:numPr>
      </w:pPr>
      <w:r>
        <w:lastRenderedPageBreak/>
        <w:t>N</w:t>
      </w:r>
      <w:r w:rsidR="008F07A3">
        <w:t>ote</w:t>
      </w:r>
      <w:bookmarkEnd w:id="0"/>
      <w:bookmarkEnd w:id="1"/>
      <w:bookmarkEnd w:id="2"/>
      <w:bookmarkEnd w:id="3"/>
    </w:p>
    <w:p w:rsidR="00415F31" w:rsidRDefault="00415F31" w:rsidP="00C52695">
      <w:pPr>
        <w:numPr>
          <w:ilvl w:val="0"/>
          <w:numId w:val="24"/>
        </w:numPr>
        <w:spacing w:before="0" w:after="240" w:line="288" w:lineRule="auto"/>
        <w:jc w:val="both"/>
      </w:pPr>
    </w:p>
    <w:p w:rsidR="00415F31" w:rsidRDefault="008F07A3" w:rsidP="00C52695">
      <w:pPr>
        <w:numPr>
          <w:ilvl w:val="0"/>
          <w:numId w:val="24"/>
        </w:numPr>
        <w:spacing w:before="0" w:after="240" w:line="288" w:lineRule="auto"/>
        <w:jc w:val="both"/>
      </w:pPr>
      <w:r>
        <w:t xml:space="preserve">This </w:t>
      </w:r>
      <w:r w:rsidR="00415F31">
        <w:t xml:space="preserve">attachment forms part of the AER's </w:t>
      </w:r>
      <w:r w:rsidR="00AB2F1E">
        <w:t>draft</w:t>
      </w:r>
      <w:r w:rsidR="00415F31">
        <w:t xml:space="preserve"> decision on </w:t>
      </w:r>
      <w:r w:rsidR="00A318FD">
        <w:t>the access arrangement for Multinet for</w:t>
      </w:r>
      <w:r w:rsidR="00AB2F1E">
        <w:t xml:space="preserve"> 2018-2022</w:t>
      </w:r>
      <w:r w:rsidR="00415F31">
        <w:t xml:space="preserve">. It should be read with other parts of the </w:t>
      </w:r>
      <w:r w:rsidR="00AB2F1E">
        <w:t>draft</w:t>
      </w:r>
      <w:r w:rsidR="00415F31">
        <w:t xml:space="preserve"> decision.</w:t>
      </w:r>
    </w:p>
    <w:p w:rsidR="00415F31" w:rsidRDefault="00415F31" w:rsidP="00C52695">
      <w:pPr>
        <w:numPr>
          <w:ilvl w:val="0"/>
          <w:numId w:val="24"/>
        </w:numPr>
        <w:spacing w:before="0" w:after="240" w:line="288" w:lineRule="auto"/>
        <w:jc w:val="both"/>
      </w:pPr>
      <w:r>
        <w:t xml:space="preserve">The </w:t>
      </w:r>
      <w:r w:rsidR="00AB2F1E">
        <w:t xml:space="preserve">draft </w:t>
      </w:r>
      <w:r>
        <w:t>decision includes the following documents:</w:t>
      </w:r>
    </w:p>
    <w:p w:rsidR="00415F31" w:rsidRDefault="00415F31" w:rsidP="00C52695">
      <w:pPr>
        <w:numPr>
          <w:ilvl w:val="0"/>
          <w:numId w:val="24"/>
        </w:numPr>
        <w:spacing w:before="0" w:after="240" w:line="288" w:lineRule="auto"/>
        <w:jc w:val="both"/>
      </w:pPr>
      <w:r>
        <w:t>Overview</w:t>
      </w:r>
    </w:p>
    <w:p w:rsidR="00A318FD" w:rsidRPr="00A318FD" w:rsidRDefault="00A318FD" w:rsidP="008B1CA1">
      <w:r w:rsidRPr="00A318FD">
        <w:t>Attachment 1 - Services covered by the access arrangement</w:t>
      </w:r>
    </w:p>
    <w:p w:rsidR="00A318FD" w:rsidRPr="00A318FD" w:rsidRDefault="00A318FD" w:rsidP="008B1CA1">
      <w:r w:rsidRPr="00A318FD">
        <w:t>Attachment 2 - Capital base</w:t>
      </w:r>
    </w:p>
    <w:p w:rsidR="00A318FD" w:rsidRPr="00A318FD" w:rsidRDefault="00A318FD" w:rsidP="008B1CA1">
      <w:r w:rsidRPr="00A318FD">
        <w:t>Attachment 3 - Rate of return</w:t>
      </w:r>
    </w:p>
    <w:p w:rsidR="00A318FD" w:rsidRPr="00A318FD" w:rsidRDefault="00A318FD" w:rsidP="008B1CA1">
      <w:r w:rsidRPr="00A318FD">
        <w:t>Attachment 4 - Value of imputation credits</w:t>
      </w:r>
    </w:p>
    <w:p w:rsidR="00A318FD" w:rsidRPr="00A318FD" w:rsidRDefault="00A318FD" w:rsidP="008B1CA1">
      <w:r w:rsidRPr="00A318FD">
        <w:t>Attachment 5 - Regulatory depreciation</w:t>
      </w:r>
    </w:p>
    <w:p w:rsidR="00A318FD" w:rsidRPr="00A318FD" w:rsidRDefault="00A318FD" w:rsidP="008B1CA1">
      <w:r w:rsidRPr="00A318FD">
        <w:t xml:space="preserve">Attachment 6 - Capital expenditure </w:t>
      </w:r>
    </w:p>
    <w:p w:rsidR="00A318FD" w:rsidRPr="00A318FD" w:rsidRDefault="00A318FD" w:rsidP="008B1CA1">
      <w:r w:rsidRPr="00A318FD">
        <w:t>Attachment 7 - Operating expenditure</w:t>
      </w:r>
    </w:p>
    <w:p w:rsidR="00A318FD" w:rsidRPr="00A318FD" w:rsidRDefault="00A318FD" w:rsidP="008B1CA1">
      <w:r w:rsidRPr="00A318FD">
        <w:t>Attachment 8 - Corporate income tax</w:t>
      </w:r>
    </w:p>
    <w:p w:rsidR="00A318FD" w:rsidRPr="00A318FD" w:rsidRDefault="00A318FD" w:rsidP="008B1CA1">
      <w:r w:rsidRPr="00A318FD">
        <w:t>Attachment 9 - Efficiency carryover mechanism</w:t>
      </w:r>
    </w:p>
    <w:p w:rsidR="00A318FD" w:rsidRPr="00A318FD" w:rsidRDefault="00A318FD" w:rsidP="008B1CA1">
      <w:r w:rsidRPr="00A318FD">
        <w:t>Attachment 10 - Reference tariff setting</w:t>
      </w:r>
    </w:p>
    <w:p w:rsidR="00A318FD" w:rsidRPr="00A318FD" w:rsidRDefault="00A318FD" w:rsidP="008B1CA1">
      <w:r w:rsidRPr="00A318FD">
        <w:t>Attachment 11 - Reference tariff variation mechanism</w:t>
      </w:r>
    </w:p>
    <w:p w:rsidR="00A318FD" w:rsidRPr="00A318FD" w:rsidRDefault="00A318FD" w:rsidP="008B1CA1">
      <w:r w:rsidRPr="00A318FD">
        <w:t>Attachment 12 - Non-tariff components</w:t>
      </w:r>
    </w:p>
    <w:p w:rsidR="00A318FD" w:rsidRPr="00A318FD" w:rsidRDefault="00A318FD" w:rsidP="008B1CA1">
      <w:r w:rsidRPr="00A318FD">
        <w:t>Attachment 13 - Demand</w:t>
      </w:r>
    </w:p>
    <w:p w:rsidR="00415F31" w:rsidRDefault="00A318FD" w:rsidP="008B1CA1">
      <w:r w:rsidRPr="00A318FD">
        <w:t>Attachment 14 - Other incentive schemes</w:t>
      </w:r>
    </w:p>
    <w:p w:rsidR="008F07A3" w:rsidRPr="008F07A3" w:rsidRDefault="008F07A3" w:rsidP="00C52695">
      <w:pPr>
        <w:numPr>
          <w:ilvl w:val="0"/>
          <w:numId w:val="24"/>
        </w:numPr>
        <w:sectPr w:rsidR="008F07A3" w:rsidRPr="008F07A3" w:rsidSect="001754EE">
          <w:footerReference w:type="even" r:id="rId11"/>
          <w:footerReference w:type="default" r:id="rId12"/>
          <w:footerReference w:type="first" r:id="rId13"/>
          <w:pgSz w:w="11906" w:h="16838" w:code="9"/>
          <w:pgMar w:top="1440" w:right="1700" w:bottom="1582" w:left="1729" w:header="720" w:footer="0" w:gutter="0"/>
          <w:pgNumType w:start="0" w:chapStyle="1"/>
          <w:cols w:space="720"/>
          <w:docGrid w:linePitch="326"/>
        </w:sectPr>
      </w:pPr>
    </w:p>
    <w:p w:rsidR="005D7BA2" w:rsidRDefault="00611EC0" w:rsidP="00611EC0">
      <w:pPr>
        <w:pStyle w:val="Numbered11111111"/>
      </w:pPr>
      <w:r>
        <w:lastRenderedPageBreak/>
        <w:t xml:space="preserve">Contents </w:t>
      </w:r>
    </w:p>
    <w:sdt>
      <w:sdtPr>
        <w:rPr>
          <w:b w:val="0"/>
          <w:noProof w:val="0"/>
          <w:color w:val="auto"/>
          <w:sz w:val="22"/>
          <w:lang w:val="en-AU" w:eastAsia="en-US"/>
        </w:rPr>
        <w:id w:val="2101907916"/>
        <w:docPartObj>
          <w:docPartGallery w:val="Table of Contents"/>
          <w:docPartUnique/>
        </w:docPartObj>
      </w:sdtPr>
      <w:sdtEndPr>
        <w:rPr>
          <w:b/>
          <w:noProof/>
          <w:color w:val="70635A" w:themeColor="text2"/>
          <w:sz w:val="24"/>
          <w:lang w:val="en-US" w:eastAsia="ja-JP"/>
        </w:rPr>
      </w:sdtEndPr>
      <w:sdtContent>
        <w:p w:rsidR="00F40012" w:rsidRDefault="00C649A9">
          <w:pPr>
            <w:pStyle w:val="TOC1"/>
            <w:rPr>
              <w:rFonts w:asciiTheme="minorHAnsi" w:eastAsiaTheme="minorEastAsia" w:hAnsiTheme="minorHAnsi"/>
              <w:b w:val="0"/>
              <w:color w:val="auto"/>
              <w:sz w:val="22"/>
              <w:lang w:val="en-AU" w:eastAsia="en-AU"/>
            </w:rPr>
          </w:pPr>
          <w:r>
            <w:fldChar w:fldCharType="begin"/>
          </w:r>
          <w:r>
            <w:instrText xml:space="preserve"> TOC \o "2-2" \h \z \t "Heading 1,1,Heading 3,3,Heading 7,1,Heading 8,2,Heading 9,3,Chapter title,1" </w:instrText>
          </w:r>
          <w:r>
            <w:fldChar w:fldCharType="separate"/>
          </w:r>
          <w:hyperlink w:anchor="_Toc487014042" w:history="1">
            <w:r w:rsidR="00F40012" w:rsidRPr="00C45BD9">
              <w:rPr>
                <w:rStyle w:val="Hyperlink"/>
              </w:rPr>
              <w:t>4</w:t>
            </w:r>
            <w:r w:rsidR="00F40012">
              <w:rPr>
                <w:rFonts w:asciiTheme="minorHAnsi" w:eastAsiaTheme="minorEastAsia" w:hAnsiTheme="minorHAnsi"/>
                <w:b w:val="0"/>
                <w:color w:val="auto"/>
                <w:sz w:val="22"/>
                <w:lang w:val="en-AU" w:eastAsia="en-AU"/>
              </w:rPr>
              <w:tab/>
            </w:r>
            <w:r w:rsidR="00F40012" w:rsidRPr="00C45BD9">
              <w:rPr>
                <w:rStyle w:val="Hyperlink"/>
              </w:rPr>
              <w:t>Value of imputation credits</w:t>
            </w:r>
            <w:r w:rsidR="00F40012">
              <w:rPr>
                <w:webHidden/>
              </w:rPr>
              <w:tab/>
            </w:r>
            <w:r w:rsidR="00F40012">
              <w:rPr>
                <w:webHidden/>
              </w:rPr>
              <w:fldChar w:fldCharType="begin"/>
            </w:r>
            <w:r w:rsidR="00F40012">
              <w:rPr>
                <w:webHidden/>
              </w:rPr>
              <w:instrText xml:space="preserve"> PAGEREF _Toc487014042 \h </w:instrText>
            </w:r>
            <w:r w:rsidR="00F40012">
              <w:rPr>
                <w:webHidden/>
              </w:rPr>
            </w:r>
            <w:r w:rsidR="00F40012">
              <w:rPr>
                <w:webHidden/>
              </w:rPr>
              <w:fldChar w:fldCharType="separate"/>
            </w:r>
            <w:r w:rsidR="007E3457">
              <w:rPr>
                <w:webHidden/>
              </w:rPr>
              <w:t>4-7</w:t>
            </w:r>
            <w:r w:rsidR="00F40012">
              <w:rPr>
                <w:webHidden/>
              </w:rPr>
              <w:fldChar w:fldCharType="end"/>
            </w:r>
          </w:hyperlink>
        </w:p>
        <w:p w:rsidR="00F40012" w:rsidRDefault="007E3457">
          <w:pPr>
            <w:pStyle w:val="TOC2"/>
            <w:rPr>
              <w:rFonts w:asciiTheme="minorHAnsi" w:eastAsiaTheme="minorEastAsia" w:hAnsiTheme="minorHAnsi"/>
              <w:b w:val="0"/>
              <w:color w:val="auto"/>
              <w:sz w:val="22"/>
              <w:lang w:eastAsia="en-AU"/>
            </w:rPr>
          </w:pPr>
          <w:hyperlink w:anchor="_Toc487014043" w:history="1">
            <w:r w:rsidR="00F40012" w:rsidRPr="00C45BD9">
              <w:rPr>
                <w:rStyle w:val="Hyperlink"/>
              </w:rPr>
              <w:t>4.1</w:t>
            </w:r>
            <w:r w:rsidR="00F40012">
              <w:rPr>
                <w:rFonts w:asciiTheme="minorHAnsi" w:eastAsiaTheme="minorEastAsia" w:hAnsiTheme="minorHAnsi"/>
                <w:b w:val="0"/>
                <w:color w:val="auto"/>
                <w:sz w:val="22"/>
                <w:lang w:eastAsia="en-AU"/>
              </w:rPr>
              <w:tab/>
            </w:r>
            <w:r w:rsidR="00F40012" w:rsidRPr="00C45BD9">
              <w:rPr>
                <w:rStyle w:val="Hyperlink"/>
              </w:rPr>
              <w:t>Draft decision</w:t>
            </w:r>
            <w:r w:rsidR="00F40012">
              <w:rPr>
                <w:webHidden/>
              </w:rPr>
              <w:tab/>
            </w:r>
            <w:r w:rsidR="00F40012">
              <w:rPr>
                <w:webHidden/>
              </w:rPr>
              <w:fldChar w:fldCharType="begin"/>
            </w:r>
            <w:r w:rsidR="00F40012">
              <w:rPr>
                <w:webHidden/>
              </w:rPr>
              <w:instrText xml:space="preserve"> PAGEREF _Toc487014043 \h </w:instrText>
            </w:r>
            <w:r w:rsidR="00F40012">
              <w:rPr>
                <w:webHidden/>
              </w:rPr>
            </w:r>
            <w:r w:rsidR="00F40012">
              <w:rPr>
                <w:webHidden/>
              </w:rPr>
              <w:fldChar w:fldCharType="separate"/>
            </w:r>
            <w:r>
              <w:rPr>
                <w:webHidden/>
              </w:rPr>
              <w:t>4-8</w:t>
            </w:r>
            <w:r w:rsidR="00F40012">
              <w:rPr>
                <w:webHidden/>
              </w:rPr>
              <w:fldChar w:fldCharType="end"/>
            </w:r>
          </w:hyperlink>
        </w:p>
        <w:p w:rsidR="00F40012" w:rsidRDefault="007E3457">
          <w:pPr>
            <w:pStyle w:val="TOC2"/>
            <w:rPr>
              <w:rFonts w:asciiTheme="minorHAnsi" w:eastAsiaTheme="minorEastAsia" w:hAnsiTheme="minorHAnsi"/>
              <w:b w:val="0"/>
              <w:color w:val="auto"/>
              <w:sz w:val="22"/>
              <w:lang w:eastAsia="en-AU"/>
            </w:rPr>
          </w:pPr>
          <w:hyperlink w:anchor="_Toc487014044" w:history="1">
            <w:r w:rsidR="00F40012" w:rsidRPr="00C45BD9">
              <w:rPr>
                <w:rStyle w:val="Hyperlink"/>
              </w:rPr>
              <w:t>4.2</w:t>
            </w:r>
            <w:r w:rsidR="00F40012">
              <w:rPr>
                <w:rFonts w:asciiTheme="minorHAnsi" w:eastAsiaTheme="minorEastAsia" w:hAnsiTheme="minorHAnsi"/>
                <w:b w:val="0"/>
                <w:color w:val="auto"/>
                <w:sz w:val="22"/>
                <w:lang w:eastAsia="en-AU"/>
              </w:rPr>
              <w:tab/>
            </w:r>
            <w:r w:rsidR="00F40012" w:rsidRPr="00C45BD9">
              <w:rPr>
                <w:rStyle w:val="Hyperlink"/>
              </w:rPr>
              <w:t>Multinet's initial proposal</w:t>
            </w:r>
            <w:r w:rsidR="00F40012">
              <w:rPr>
                <w:webHidden/>
              </w:rPr>
              <w:tab/>
            </w:r>
            <w:r w:rsidR="00F40012">
              <w:rPr>
                <w:webHidden/>
              </w:rPr>
              <w:fldChar w:fldCharType="begin"/>
            </w:r>
            <w:r w:rsidR="00F40012">
              <w:rPr>
                <w:webHidden/>
              </w:rPr>
              <w:instrText xml:space="preserve"> PAGEREF _Toc487014044 \h </w:instrText>
            </w:r>
            <w:r w:rsidR="00F40012">
              <w:rPr>
                <w:webHidden/>
              </w:rPr>
            </w:r>
            <w:r w:rsidR="00F40012">
              <w:rPr>
                <w:webHidden/>
              </w:rPr>
              <w:fldChar w:fldCharType="separate"/>
            </w:r>
            <w:r>
              <w:rPr>
                <w:webHidden/>
              </w:rPr>
              <w:t>4-15</w:t>
            </w:r>
            <w:r w:rsidR="00F40012">
              <w:rPr>
                <w:webHidden/>
              </w:rPr>
              <w:fldChar w:fldCharType="end"/>
            </w:r>
          </w:hyperlink>
        </w:p>
        <w:p w:rsidR="00F40012" w:rsidRDefault="007E3457">
          <w:pPr>
            <w:pStyle w:val="TOC2"/>
            <w:rPr>
              <w:rFonts w:asciiTheme="minorHAnsi" w:eastAsiaTheme="minorEastAsia" w:hAnsiTheme="minorHAnsi"/>
              <w:b w:val="0"/>
              <w:color w:val="auto"/>
              <w:sz w:val="22"/>
              <w:lang w:eastAsia="en-AU"/>
            </w:rPr>
          </w:pPr>
          <w:hyperlink w:anchor="_Toc487014045" w:history="1">
            <w:r w:rsidR="00F40012" w:rsidRPr="00C45BD9">
              <w:rPr>
                <w:rStyle w:val="Hyperlink"/>
              </w:rPr>
              <w:t>4.3</w:t>
            </w:r>
            <w:r w:rsidR="00F40012">
              <w:rPr>
                <w:rFonts w:asciiTheme="minorHAnsi" w:eastAsiaTheme="minorEastAsia" w:hAnsiTheme="minorHAnsi"/>
                <w:b w:val="0"/>
                <w:color w:val="auto"/>
                <w:sz w:val="22"/>
                <w:lang w:eastAsia="en-AU"/>
              </w:rPr>
              <w:tab/>
            </w:r>
            <w:r w:rsidR="00F40012" w:rsidRPr="00C45BD9">
              <w:rPr>
                <w:rStyle w:val="Hyperlink"/>
              </w:rPr>
              <w:t>AER’s assessment approach</w:t>
            </w:r>
            <w:r w:rsidR="00F40012">
              <w:rPr>
                <w:webHidden/>
              </w:rPr>
              <w:tab/>
            </w:r>
            <w:r w:rsidR="00F40012">
              <w:rPr>
                <w:webHidden/>
              </w:rPr>
              <w:fldChar w:fldCharType="begin"/>
            </w:r>
            <w:r w:rsidR="00F40012">
              <w:rPr>
                <w:webHidden/>
              </w:rPr>
              <w:instrText xml:space="preserve"> PAGEREF _Toc487014045 \h </w:instrText>
            </w:r>
            <w:r w:rsidR="00F40012">
              <w:rPr>
                <w:webHidden/>
              </w:rPr>
            </w:r>
            <w:r w:rsidR="00F40012">
              <w:rPr>
                <w:webHidden/>
              </w:rPr>
              <w:fldChar w:fldCharType="separate"/>
            </w:r>
            <w:r>
              <w:rPr>
                <w:webHidden/>
              </w:rPr>
              <w:t>4-17</w:t>
            </w:r>
            <w:r w:rsidR="00F40012">
              <w:rPr>
                <w:webHidden/>
              </w:rPr>
              <w:fldChar w:fldCharType="end"/>
            </w:r>
          </w:hyperlink>
        </w:p>
        <w:p w:rsidR="00F40012" w:rsidRDefault="007E3457">
          <w:pPr>
            <w:pStyle w:val="TOC3"/>
            <w:rPr>
              <w:rFonts w:asciiTheme="minorHAnsi" w:eastAsiaTheme="minorEastAsia" w:hAnsiTheme="minorHAnsi"/>
              <w:lang w:eastAsia="en-AU"/>
            </w:rPr>
          </w:pPr>
          <w:hyperlink w:anchor="_Toc487014046" w:history="1">
            <w:r w:rsidR="00F40012" w:rsidRPr="00C45BD9">
              <w:rPr>
                <w:rStyle w:val="Hyperlink"/>
              </w:rPr>
              <w:t>4.3.1</w:t>
            </w:r>
            <w:r w:rsidR="00F40012">
              <w:rPr>
                <w:rFonts w:asciiTheme="minorHAnsi" w:eastAsiaTheme="minorEastAsia" w:hAnsiTheme="minorHAnsi"/>
                <w:lang w:eastAsia="en-AU"/>
              </w:rPr>
              <w:tab/>
            </w:r>
            <w:r w:rsidR="00F40012" w:rsidRPr="00C45BD9">
              <w:rPr>
                <w:rStyle w:val="Hyperlink"/>
              </w:rPr>
              <w:t>Requirements of the NEL/NGL and NER/NGR</w:t>
            </w:r>
            <w:r w:rsidR="00F40012">
              <w:rPr>
                <w:webHidden/>
              </w:rPr>
              <w:tab/>
            </w:r>
            <w:r w:rsidR="00F40012">
              <w:rPr>
                <w:webHidden/>
              </w:rPr>
              <w:fldChar w:fldCharType="begin"/>
            </w:r>
            <w:r w:rsidR="00F40012">
              <w:rPr>
                <w:webHidden/>
              </w:rPr>
              <w:instrText xml:space="preserve"> PAGEREF _Toc487014046 \h </w:instrText>
            </w:r>
            <w:r w:rsidR="00F40012">
              <w:rPr>
                <w:webHidden/>
              </w:rPr>
            </w:r>
            <w:r w:rsidR="00F40012">
              <w:rPr>
                <w:webHidden/>
              </w:rPr>
              <w:fldChar w:fldCharType="separate"/>
            </w:r>
            <w:r>
              <w:rPr>
                <w:webHidden/>
              </w:rPr>
              <w:t>4-18</w:t>
            </w:r>
            <w:r w:rsidR="00F40012">
              <w:rPr>
                <w:webHidden/>
              </w:rPr>
              <w:fldChar w:fldCharType="end"/>
            </w:r>
          </w:hyperlink>
        </w:p>
        <w:p w:rsidR="00F40012" w:rsidRDefault="007E3457">
          <w:pPr>
            <w:pStyle w:val="TOC3"/>
            <w:rPr>
              <w:rFonts w:asciiTheme="minorHAnsi" w:eastAsiaTheme="minorEastAsia" w:hAnsiTheme="minorHAnsi"/>
              <w:lang w:eastAsia="en-AU"/>
            </w:rPr>
          </w:pPr>
          <w:hyperlink w:anchor="_Toc487014047" w:history="1">
            <w:r w:rsidR="00F40012" w:rsidRPr="00C45BD9">
              <w:rPr>
                <w:rStyle w:val="Hyperlink"/>
              </w:rPr>
              <w:t>4.3.2</w:t>
            </w:r>
            <w:r w:rsidR="00F40012">
              <w:rPr>
                <w:rFonts w:asciiTheme="minorHAnsi" w:eastAsiaTheme="minorEastAsia" w:hAnsiTheme="minorHAnsi"/>
                <w:lang w:eastAsia="en-AU"/>
              </w:rPr>
              <w:tab/>
            </w:r>
            <w:r w:rsidR="00F40012" w:rsidRPr="00C45BD9">
              <w:rPr>
                <w:rStyle w:val="Hyperlink"/>
              </w:rPr>
              <w:t>Rate of return Guideline</w:t>
            </w:r>
            <w:r w:rsidR="00F40012">
              <w:rPr>
                <w:webHidden/>
              </w:rPr>
              <w:tab/>
            </w:r>
            <w:r w:rsidR="00F40012">
              <w:rPr>
                <w:webHidden/>
              </w:rPr>
              <w:fldChar w:fldCharType="begin"/>
            </w:r>
            <w:r w:rsidR="00F40012">
              <w:rPr>
                <w:webHidden/>
              </w:rPr>
              <w:instrText xml:space="preserve"> PAGEREF _Toc487014047 \h </w:instrText>
            </w:r>
            <w:r w:rsidR="00F40012">
              <w:rPr>
                <w:webHidden/>
              </w:rPr>
            </w:r>
            <w:r w:rsidR="00F40012">
              <w:rPr>
                <w:webHidden/>
              </w:rPr>
              <w:fldChar w:fldCharType="separate"/>
            </w:r>
            <w:r>
              <w:rPr>
                <w:webHidden/>
              </w:rPr>
              <w:t>4-20</w:t>
            </w:r>
            <w:r w:rsidR="00F40012">
              <w:rPr>
                <w:webHidden/>
              </w:rPr>
              <w:fldChar w:fldCharType="end"/>
            </w:r>
          </w:hyperlink>
        </w:p>
        <w:p w:rsidR="00F40012" w:rsidRDefault="007E3457">
          <w:pPr>
            <w:pStyle w:val="TOC3"/>
            <w:rPr>
              <w:rFonts w:asciiTheme="minorHAnsi" w:eastAsiaTheme="minorEastAsia" w:hAnsiTheme="minorHAnsi"/>
              <w:lang w:eastAsia="en-AU"/>
            </w:rPr>
          </w:pPr>
          <w:hyperlink w:anchor="_Toc487014048" w:history="1">
            <w:r w:rsidR="00F40012" w:rsidRPr="00C45BD9">
              <w:rPr>
                <w:rStyle w:val="Hyperlink"/>
              </w:rPr>
              <w:t>4.3.3</w:t>
            </w:r>
            <w:r w:rsidR="00F40012">
              <w:rPr>
                <w:rFonts w:asciiTheme="minorHAnsi" w:eastAsiaTheme="minorEastAsia" w:hAnsiTheme="minorHAnsi"/>
                <w:lang w:eastAsia="en-AU"/>
              </w:rPr>
              <w:tab/>
            </w:r>
            <w:r w:rsidR="00F40012" w:rsidRPr="00C45BD9">
              <w:rPr>
                <w:rStyle w:val="Hyperlink"/>
              </w:rPr>
              <w:t>Definition of a benchmark efficient entity</w:t>
            </w:r>
            <w:r w:rsidR="00F40012">
              <w:rPr>
                <w:webHidden/>
              </w:rPr>
              <w:tab/>
            </w:r>
            <w:r w:rsidR="00F40012">
              <w:rPr>
                <w:webHidden/>
              </w:rPr>
              <w:fldChar w:fldCharType="begin"/>
            </w:r>
            <w:r w:rsidR="00F40012">
              <w:rPr>
                <w:webHidden/>
              </w:rPr>
              <w:instrText xml:space="preserve"> PAGEREF _Toc487014048 \h </w:instrText>
            </w:r>
            <w:r w:rsidR="00F40012">
              <w:rPr>
                <w:webHidden/>
              </w:rPr>
            </w:r>
            <w:r w:rsidR="00F40012">
              <w:rPr>
                <w:webHidden/>
              </w:rPr>
              <w:fldChar w:fldCharType="separate"/>
            </w:r>
            <w:r>
              <w:rPr>
                <w:webHidden/>
              </w:rPr>
              <w:t>4-21</w:t>
            </w:r>
            <w:r w:rsidR="00F40012">
              <w:rPr>
                <w:webHidden/>
              </w:rPr>
              <w:fldChar w:fldCharType="end"/>
            </w:r>
          </w:hyperlink>
        </w:p>
        <w:p w:rsidR="00F40012" w:rsidRDefault="007E3457">
          <w:pPr>
            <w:pStyle w:val="TOC3"/>
            <w:rPr>
              <w:rFonts w:asciiTheme="minorHAnsi" w:eastAsiaTheme="minorEastAsia" w:hAnsiTheme="minorHAnsi"/>
              <w:lang w:eastAsia="en-AU"/>
            </w:rPr>
          </w:pPr>
          <w:hyperlink w:anchor="_Toc487014049" w:history="1">
            <w:r w:rsidR="00F40012" w:rsidRPr="00C45BD9">
              <w:rPr>
                <w:rStyle w:val="Hyperlink"/>
              </w:rPr>
              <w:t>4.3.4</w:t>
            </w:r>
            <w:r w:rsidR="00F40012">
              <w:rPr>
                <w:rFonts w:asciiTheme="minorHAnsi" w:eastAsiaTheme="minorEastAsia" w:hAnsiTheme="minorHAnsi"/>
                <w:lang w:eastAsia="en-AU"/>
              </w:rPr>
              <w:tab/>
            </w:r>
            <w:r w:rsidR="00F40012" w:rsidRPr="00C45BD9">
              <w:rPr>
                <w:rStyle w:val="Hyperlink"/>
              </w:rPr>
              <w:t>Interrelationships</w:t>
            </w:r>
            <w:r w:rsidR="00F40012">
              <w:rPr>
                <w:webHidden/>
              </w:rPr>
              <w:tab/>
            </w:r>
            <w:r w:rsidR="00F40012">
              <w:rPr>
                <w:webHidden/>
              </w:rPr>
              <w:fldChar w:fldCharType="begin"/>
            </w:r>
            <w:r w:rsidR="00F40012">
              <w:rPr>
                <w:webHidden/>
              </w:rPr>
              <w:instrText xml:space="preserve"> PAGEREF _Toc487014049 \h </w:instrText>
            </w:r>
            <w:r w:rsidR="00F40012">
              <w:rPr>
                <w:webHidden/>
              </w:rPr>
            </w:r>
            <w:r w:rsidR="00F40012">
              <w:rPr>
                <w:webHidden/>
              </w:rPr>
              <w:fldChar w:fldCharType="separate"/>
            </w:r>
            <w:r>
              <w:rPr>
                <w:webHidden/>
              </w:rPr>
              <w:t>4-22</w:t>
            </w:r>
            <w:r w:rsidR="00F40012">
              <w:rPr>
                <w:webHidden/>
              </w:rPr>
              <w:fldChar w:fldCharType="end"/>
            </w:r>
          </w:hyperlink>
        </w:p>
        <w:p w:rsidR="00F40012" w:rsidRDefault="007E3457">
          <w:pPr>
            <w:pStyle w:val="TOC3"/>
            <w:rPr>
              <w:rFonts w:asciiTheme="minorHAnsi" w:eastAsiaTheme="minorEastAsia" w:hAnsiTheme="minorHAnsi"/>
              <w:lang w:eastAsia="en-AU"/>
            </w:rPr>
          </w:pPr>
          <w:hyperlink w:anchor="_Toc487014050" w:history="1">
            <w:r w:rsidR="00F40012" w:rsidRPr="00C45BD9">
              <w:rPr>
                <w:rStyle w:val="Hyperlink"/>
              </w:rPr>
              <w:t>4.3.5</w:t>
            </w:r>
            <w:r w:rsidR="00F40012">
              <w:rPr>
                <w:rFonts w:asciiTheme="minorHAnsi" w:eastAsiaTheme="minorEastAsia" w:hAnsiTheme="minorHAnsi"/>
                <w:lang w:eastAsia="en-AU"/>
              </w:rPr>
              <w:tab/>
            </w:r>
            <w:r w:rsidR="00F40012" w:rsidRPr="00C45BD9">
              <w:rPr>
                <w:rStyle w:val="Hyperlink"/>
              </w:rPr>
              <w:t>Expert reports</w:t>
            </w:r>
            <w:r w:rsidR="00F40012">
              <w:rPr>
                <w:webHidden/>
              </w:rPr>
              <w:tab/>
            </w:r>
            <w:r w:rsidR="00F40012">
              <w:rPr>
                <w:webHidden/>
              </w:rPr>
              <w:fldChar w:fldCharType="begin"/>
            </w:r>
            <w:r w:rsidR="00F40012">
              <w:rPr>
                <w:webHidden/>
              </w:rPr>
              <w:instrText xml:space="preserve"> PAGEREF _Toc487014050 \h </w:instrText>
            </w:r>
            <w:r w:rsidR="00F40012">
              <w:rPr>
                <w:webHidden/>
              </w:rPr>
            </w:r>
            <w:r w:rsidR="00F40012">
              <w:rPr>
                <w:webHidden/>
              </w:rPr>
              <w:fldChar w:fldCharType="separate"/>
            </w:r>
            <w:r>
              <w:rPr>
                <w:webHidden/>
              </w:rPr>
              <w:t>4-23</w:t>
            </w:r>
            <w:r w:rsidR="00F40012">
              <w:rPr>
                <w:webHidden/>
              </w:rPr>
              <w:fldChar w:fldCharType="end"/>
            </w:r>
          </w:hyperlink>
        </w:p>
        <w:p w:rsidR="00F40012" w:rsidRDefault="007E3457">
          <w:pPr>
            <w:pStyle w:val="TOC3"/>
            <w:rPr>
              <w:rFonts w:asciiTheme="minorHAnsi" w:eastAsiaTheme="minorEastAsia" w:hAnsiTheme="minorHAnsi"/>
              <w:lang w:eastAsia="en-AU"/>
            </w:rPr>
          </w:pPr>
          <w:hyperlink w:anchor="_Toc487014051" w:history="1">
            <w:r w:rsidR="00F40012" w:rsidRPr="00C45BD9">
              <w:rPr>
                <w:rStyle w:val="Hyperlink"/>
              </w:rPr>
              <w:t>4.3.6</w:t>
            </w:r>
            <w:r w:rsidR="00F40012">
              <w:rPr>
                <w:rFonts w:asciiTheme="minorHAnsi" w:eastAsiaTheme="minorEastAsia" w:hAnsiTheme="minorHAnsi"/>
                <w:lang w:eastAsia="en-AU"/>
              </w:rPr>
              <w:tab/>
            </w:r>
            <w:r w:rsidR="00F40012" w:rsidRPr="00C45BD9">
              <w:rPr>
                <w:rStyle w:val="Hyperlink"/>
              </w:rPr>
              <w:t>Approach to determining the value of imputation credits</w:t>
            </w:r>
            <w:r w:rsidR="00F40012">
              <w:rPr>
                <w:webHidden/>
              </w:rPr>
              <w:tab/>
            </w:r>
            <w:r w:rsidR="00F40012">
              <w:rPr>
                <w:webHidden/>
              </w:rPr>
              <w:fldChar w:fldCharType="begin"/>
            </w:r>
            <w:r w:rsidR="00F40012">
              <w:rPr>
                <w:webHidden/>
              </w:rPr>
              <w:instrText xml:space="preserve"> PAGEREF _Toc487014051 \h </w:instrText>
            </w:r>
            <w:r w:rsidR="00F40012">
              <w:rPr>
                <w:webHidden/>
              </w:rPr>
            </w:r>
            <w:r w:rsidR="00F40012">
              <w:rPr>
                <w:webHidden/>
              </w:rPr>
              <w:fldChar w:fldCharType="separate"/>
            </w:r>
            <w:r>
              <w:rPr>
                <w:webHidden/>
              </w:rPr>
              <w:t>4-24</w:t>
            </w:r>
            <w:r w:rsidR="00F40012">
              <w:rPr>
                <w:webHidden/>
              </w:rPr>
              <w:fldChar w:fldCharType="end"/>
            </w:r>
          </w:hyperlink>
        </w:p>
        <w:p w:rsidR="00F40012" w:rsidRDefault="007E3457">
          <w:pPr>
            <w:pStyle w:val="TOC2"/>
            <w:rPr>
              <w:rFonts w:asciiTheme="minorHAnsi" w:eastAsiaTheme="minorEastAsia" w:hAnsiTheme="minorHAnsi"/>
              <w:b w:val="0"/>
              <w:color w:val="auto"/>
              <w:sz w:val="22"/>
              <w:lang w:eastAsia="en-AU"/>
            </w:rPr>
          </w:pPr>
          <w:hyperlink w:anchor="_Toc487014052" w:history="1">
            <w:r w:rsidR="00F40012" w:rsidRPr="00C45BD9">
              <w:rPr>
                <w:rStyle w:val="Hyperlink"/>
              </w:rPr>
              <w:t>4.4</w:t>
            </w:r>
            <w:r w:rsidR="00F40012">
              <w:rPr>
                <w:rFonts w:asciiTheme="minorHAnsi" w:eastAsiaTheme="minorEastAsia" w:hAnsiTheme="minorHAnsi"/>
                <w:b w:val="0"/>
                <w:color w:val="auto"/>
                <w:sz w:val="22"/>
                <w:lang w:eastAsia="en-AU"/>
              </w:rPr>
              <w:tab/>
            </w:r>
            <w:r w:rsidR="00F40012" w:rsidRPr="00C45BD9">
              <w:rPr>
                <w:rStyle w:val="Hyperlink"/>
              </w:rPr>
              <w:t>Reasons for draft decision</w:t>
            </w:r>
            <w:r w:rsidR="00F40012">
              <w:rPr>
                <w:webHidden/>
              </w:rPr>
              <w:tab/>
            </w:r>
            <w:r w:rsidR="00F40012">
              <w:rPr>
                <w:webHidden/>
              </w:rPr>
              <w:fldChar w:fldCharType="begin"/>
            </w:r>
            <w:r w:rsidR="00F40012">
              <w:rPr>
                <w:webHidden/>
              </w:rPr>
              <w:instrText xml:space="preserve"> PAGEREF _Toc487014052 \h </w:instrText>
            </w:r>
            <w:r w:rsidR="00F40012">
              <w:rPr>
                <w:webHidden/>
              </w:rPr>
            </w:r>
            <w:r w:rsidR="00F40012">
              <w:rPr>
                <w:webHidden/>
              </w:rPr>
              <w:fldChar w:fldCharType="separate"/>
            </w:r>
            <w:r>
              <w:rPr>
                <w:webHidden/>
              </w:rPr>
              <w:t>4-26</w:t>
            </w:r>
            <w:r w:rsidR="00F40012">
              <w:rPr>
                <w:webHidden/>
              </w:rPr>
              <w:fldChar w:fldCharType="end"/>
            </w:r>
          </w:hyperlink>
        </w:p>
        <w:p w:rsidR="00F40012" w:rsidRDefault="007E3457">
          <w:pPr>
            <w:pStyle w:val="TOC3"/>
            <w:rPr>
              <w:rFonts w:asciiTheme="minorHAnsi" w:eastAsiaTheme="minorEastAsia" w:hAnsiTheme="minorHAnsi"/>
              <w:lang w:eastAsia="en-AU"/>
            </w:rPr>
          </w:pPr>
          <w:hyperlink w:anchor="_Toc487014053" w:history="1">
            <w:r w:rsidR="00F40012" w:rsidRPr="00C45BD9">
              <w:rPr>
                <w:rStyle w:val="Hyperlink"/>
              </w:rPr>
              <w:t>4.4.1</w:t>
            </w:r>
            <w:r w:rsidR="00F40012">
              <w:rPr>
                <w:rFonts w:asciiTheme="minorHAnsi" w:eastAsiaTheme="minorEastAsia" w:hAnsiTheme="minorHAnsi"/>
                <w:lang w:eastAsia="en-AU"/>
              </w:rPr>
              <w:tab/>
            </w:r>
            <w:r w:rsidR="00F40012" w:rsidRPr="00C45BD9">
              <w:rPr>
                <w:rStyle w:val="Hyperlink"/>
              </w:rPr>
              <w:t>Evidence underlying our estimate of the value of imputation credits</w:t>
            </w:r>
            <w:r w:rsidR="00F40012">
              <w:rPr>
                <w:webHidden/>
              </w:rPr>
              <w:tab/>
            </w:r>
            <w:r w:rsidR="00F40012">
              <w:rPr>
                <w:webHidden/>
              </w:rPr>
              <w:fldChar w:fldCharType="begin"/>
            </w:r>
            <w:r w:rsidR="00F40012">
              <w:rPr>
                <w:webHidden/>
              </w:rPr>
              <w:instrText xml:space="preserve"> PAGEREF _Toc487014053 \h </w:instrText>
            </w:r>
            <w:r w:rsidR="00F40012">
              <w:rPr>
                <w:webHidden/>
              </w:rPr>
            </w:r>
            <w:r w:rsidR="00F40012">
              <w:rPr>
                <w:webHidden/>
              </w:rPr>
              <w:fldChar w:fldCharType="separate"/>
            </w:r>
            <w:r>
              <w:rPr>
                <w:webHidden/>
              </w:rPr>
              <w:t>4-32</w:t>
            </w:r>
            <w:r w:rsidR="00F40012">
              <w:rPr>
                <w:webHidden/>
              </w:rPr>
              <w:fldChar w:fldCharType="end"/>
            </w:r>
          </w:hyperlink>
        </w:p>
        <w:p w:rsidR="00F40012" w:rsidRDefault="007E3457">
          <w:pPr>
            <w:pStyle w:val="TOC3"/>
            <w:rPr>
              <w:rFonts w:asciiTheme="minorHAnsi" w:eastAsiaTheme="minorEastAsia" w:hAnsiTheme="minorHAnsi"/>
              <w:lang w:eastAsia="en-AU"/>
            </w:rPr>
          </w:pPr>
          <w:hyperlink w:anchor="_Toc487014054" w:history="1">
            <w:r w:rsidR="00F40012" w:rsidRPr="00C45BD9">
              <w:rPr>
                <w:rStyle w:val="Hyperlink"/>
              </w:rPr>
              <w:t>4.4.2</w:t>
            </w:r>
            <w:r w:rsidR="00F40012">
              <w:rPr>
                <w:rFonts w:asciiTheme="minorHAnsi" w:eastAsiaTheme="minorEastAsia" w:hAnsiTheme="minorHAnsi"/>
                <w:lang w:eastAsia="en-AU"/>
              </w:rPr>
              <w:tab/>
            </w:r>
            <w:r w:rsidR="00F40012" w:rsidRPr="00C45BD9">
              <w:rPr>
                <w:rStyle w:val="Hyperlink"/>
              </w:rPr>
              <w:t>Response to submissions by stakeholders</w:t>
            </w:r>
            <w:r w:rsidR="00F40012">
              <w:rPr>
                <w:webHidden/>
              </w:rPr>
              <w:tab/>
            </w:r>
            <w:r w:rsidR="00F40012">
              <w:rPr>
                <w:webHidden/>
              </w:rPr>
              <w:fldChar w:fldCharType="begin"/>
            </w:r>
            <w:r w:rsidR="00F40012">
              <w:rPr>
                <w:webHidden/>
              </w:rPr>
              <w:instrText xml:space="preserve"> PAGEREF _Toc487014054 \h </w:instrText>
            </w:r>
            <w:r w:rsidR="00F40012">
              <w:rPr>
                <w:webHidden/>
              </w:rPr>
            </w:r>
            <w:r w:rsidR="00F40012">
              <w:rPr>
                <w:webHidden/>
              </w:rPr>
              <w:fldChar w:fldCharType="separate"/>
            </w:r>
            <w:r>
              <w:rPr>
                <w:webHidden/>
              </w:rPr>
              <w:t>4-44</w:t>
            </w:r>
            <w:r w:rsidR="00F40012">
              <w:rPr>
                <w:webHidden/>
              </w:rPr>
              <w:fldChar w:fldCharType="end"/>
            </w:r>
          </w:hyperlink>
        </w:p>
        <w:p w:rsidR="00F40012" w:rsidRDefault="007E3457">
          <w:pPr>
            <w:pStyle w:val="TOC1"/>
            <w:rPr>
              <w:rFonts w:asciiTheme="minorHAnsi" w:eastAsiaTheme="minorEastAsia" w:hAnsiTheme="minorHAnsi"/>
              <w:b w:val="0"/>
              <w:color w:val="auto"/>
              <w:sz w:val="22"/>
              <w:lang w:val="en-AU" w:eastAsia="en-AU"/>
            </w:rPr>
          </w:pPr>
          <w:hyperlink w:anchor="_Toc487014055" w:history="1">
            <w:r w:rsidR="00F40012" w:rsidRPr="00C45BD9">
              <w:rPr>
                <w:rStyle w:val="Hyperlink"/>
              </w:rPr>
              <w:t>A</w:t>
            </w:r>
            <w:r w:rsidR="00F40012">
              <w:rPr>
                <w:rFonts w:asciiTheme="minorHAnsi" w:eastAsiaTheme="minorEastAsia" w:hAnsiTheme="minorHAnsi"/>
                <w:b w:val="0"/>
                <w:color w:val="auto"/>
                <w:sz w:val="22"/>
                <w:lang w:val="en-AU" w:eastAsia="en-AU"/>
              </w:rPr>
              <w:tab/>
            </w:r>
            <w:r w:rsidR="00F40012" w:rsidRPr="00C45BD9">
              <w:rPr>
                <w:rStyle w:val="Hyperlink"/>
              </w:rPr>
              <w:t>Value of imputation credits: Detailed analysis</w:t>
            </w:r>
            <w:r w:rsidR="00F40012">
              <w:rPr>
                <w:webHidden/>
              </w:rPr>
              <w:tab/>
            </w:r>
            <w:r w:rsidR="00F40012">
              <w:rPr>
                <w:webHidden/>
              </w:rPr>
              <w:fldChar w:fldCharType="begin"/>
            </w:r>
            <w:r w:rsidR="00F40012">
              <w:rPr>
                <w:webHidden/>
              </w:rPr>
              <w:instrText xml:space="preserve"> PAGEREF _Toc487014055 \h </w:instrText>
            </w:r>
            <w:r w:rsidR="00F40012">
              <w:rPr>
                <w:webHidden/>
              </w:rPr>
            </w:r>
            <w:r w:rsidR="00F40012">
              <w:rPr>
                <w:webHidden/>
              </w:rPr>
              <w:fldChar w:fldCharType="separate"/>
            </w:r>
            <w:r>
              <w:rPr>
                <w:webHidden/>
              </w:rPr>
              <w:t>4-58</w:t>
            </w:r>
            <w:r w:rsidR="00F40012">
              <w:rPr>
                <w:webHidden/>
              </w:rPr>
              <w:fldChar w:fldCharType="end"/>
            </w:r>
          </w:hyperlink>
        </w:p>
        <w:p w:rsidR="00F40012" w:rsidRDefault="007E3457">
          <w:pPr>
            <w:pStyle w:val="TOC2"/>
            <w:rPr>
              <w:rFonts w:asciiTheme="minorHAnsi" w:eastAsiaTheme="minorEastAsia" w:hAnsiTheme="minorHAnsi"/>
              <w:b w:val="0"/>
              <w:color w:val="auto"/>
              <w:sz w:val="22"/>
              <w:lang w:eastAsia="en-AU"/>
            </w:rPr>
          </w:pPr>
          <w:hyperlink w:anchor="_Toc487014056" w:history="1">
            <w:r w:rsidR="00F40012" w:rsidRPr="00C45BD9">
              <w:rPr>
                <w:rStyle w:val="Hyperlink"/>
              </w:rPr>
              <w:t>A.1</w:t>
            </w:r>
            <w:r w:rsidR="00F40012">
              <w:rPr>
                <w:rFonts w:asciiTheme="minorHAnsi" w:eastAsiaTheme="minorEastAsia" w:hAnsiTheme="minorHAnsi"/>
                <w:b w:val="0"/>
                <w:color w:val="auto"/>
                <w:sz w:val="22"/>
                <w:lang w:eastAsia="en-AU"/>
              </w:rPr>
              <w:tab/>
            </w:r>
            <w:r w:rsidR="00F40012" w:rsidRPr="00C45BD9">
              <w:rPr>
                <w:rStyle w:val="Hyperlink"/>
              </w:rPr>
              <w:t>Expert views on the value of imputation credits</w:t>
            </w:r>
            <w:r w:rsidR="00F40012">
              <w:rPr>
                <w:webHidden/>
              </w:rPr>
              <w:tab/>
            </w:r>
            <w:r w:rsidR="00F40012">
              <w:rPr>
                <w:webHidden/>
              </w:rPr>
              <w:fldChar w:fldCharType="begin"/>
            </w:r>
            <w:r w:rsidR="00F40012">
              <w:rPr>
                <w:webHidden/>
              </w:rPr>
              <w:instrText xml:space="preserve"> PAGEREF _Toc487014056 \h </w:instrText>
            </w:r>
            <w:r w:rsidR="00F40012">
              <w:rPr>
                <w:webHidden/>
              </w:rPr>
            </w:r>
            <w:r w:rsidR="00F40012">
              <w:rPr>
                <w:webHidden/>
              </w:rPr>
              <w:fldChar w:fldCharType="separate"/>
            </w:r>
            <w:r>
              <w:rPr>
                <w:webHidden/>
              </w:rPr>
              <w:t>4-59</w:t>
            </w:r>
            <w:r w:rsidR="00F40012">
              <w:rPr>
                <w:webHidden/>
              </w:rPr>
              <w:fldChar w:fldCharType="end"/>
            </w:r>
          </w:hyperlink>
        </w:p>
        <w:p w:rsidR="00F40012" w:rsidRDefault="007E3457">
          <w:pPr>
            <w:pStyle w:val="TOC2"/>
            <w:rPr>
              <w:rFonts w:asciiTheme="minorHAnsi" w:eastAsiaTheme="minorEastAsia" w:hAnsiTheme="minorHAnsi"/>
              <w:b w:val="0"/>
              <w:color w:val="auto"/>
              <w:sz w:val="22"/>
              <w:lang w:eastAsia="en-AU"/>
            </w:rPr>
          </w:pPr>
          <w:hyperlink w:anchor="_Toc487014057" w:history="1">
            <w:r w:rsidR="00F40012" w:rsidRPr="00C45BD9">
              <w:rPr>
                <w:rStyle w:val="Hyperlink"/>
              </w:rPr>
              <w:t>A.2</w:t>
            </w:r>
            <w:r w:rsidR="00F40012">
              <w:rPr>
                <w:rFonts w:asciiTheme="minorHAnsi" w:eastAsiaTheme="minorEastAsia" w:hAnsiTheme="minorHAnsi"/>
                <w:b w:val="0"/>
                <w:color w:val="auto"/>
                <w:sz w:val="22"/>
                <w:lang w:eastAsia="en-AU"/>
              </w:rPr>
              <w:tab/>
            </w:r>
            <w:r w:rsidR="00F40012" w:rsidRPr="00C45BD9">
              <w:rPr>
                <w:rStyle w:val="Hyperlink"/>
              </w:rPr>
              <w:t>The value of imputation credits used by other regulators</w:t>
            </w:r>
            <w:r w:rsidR="00F40012">
              <w:rPr>
                <w:webHidden/>
              </w:rPr>
              <w:tab/>
            </w:r>
            <w:r w:rsidR="00F40012">
              <w:rPr>
                <w:webHidden/>
              </w:rPr>
              <w:fldChar w:fldCharType="begin"/>
            </w:r>
            <w:r w:rsidR="00F40012">
              <w:rPr>
                <w:webHidden/>
              </w:rPr>
              <w:instrText xml:space="preserve"> PAGEREF _Toc487014057 \h </w:instrText>
            </w:r>
            <w:r w:rsidR="00F40012">
              <w:rPr>
                <w:webHidden/>
              </w:rPr>
            </w:r>
            <w:r w:rsidR="00F40012">
              <w:rPr>
                <w:webHidden/>
              </w:rPr>
              <w:fldChar w:fldCharType="separate"/>
            </w:r>
            <w:r>
              <w:rPr>
                <w:webHidden/>
              </w:rPr>
              <w:t>4-62</w:t>
            </w:r>
            <w:r w:rsidR="00F40012">
              <w:rPr>
                <w:webHidden/>
              </w:rPr>
              <w:fldChar w:fldCharType="end"/>
            </w:r>
          </w:hyperlink>
        </w:p>
        <w:p w:rsidR="00F40012" w:rsidRDefault="007E3457">
          <w:pPr>
            <w:pStyle w:val="TOC2"/>
            <w:rPr>
              <w:rFonts w:asciiTheme="minorHAnsi" w:eastAsiaTheme="minorEastAsia" w:hAnsiTheme="minorHAnsi"/>
              <w:b w:val="0"/>
              <w:color w:val="auto"/>
              <w:sz w:val="22"/>
              <w:lang w:eastAsia="en-AU"/>
            </w:rPr>
          </w:pPr>
          <w:hyperlink w:anchor="_Toc487014058" w:history="1">
            <w:r w:rsidR="00F40012" w:rsidRPr="00C45BD9">
              <w:rPr>
                <w:rStyle w:val="Hyperlink"/>
              </w:rPr>
              <w:t>A.3</w:t>
            </w:r>
            <w:r w:rsidR="00F40012">
              <w:rPr>
                <w:rFonts w:asciiTheme="minorHAnsi" w:eastAsiaTheme="minorEastAsia" w:hAnsiTheme="minorHAnsi"/>
                <w:b w:val="0"/>
                <w:color w:val="auto"/>
                <w:sz w:val="22"/>
                <w:lang w:eastAsia="en-AU"/>
              </w:rPr>
              <w:tab/>
            </w:r>
            <w:r w:rsidR="00F40012" w:rsidRPr="00C45BD9">
              <w:rPr>
                <w:rStyle w:val="Hyperlink"/>
              </w:rPr>
              <w:t>Previous Australian Competition Tribunal considerations</w:t>
            </w:r>
            <w:r w:rsidR="00F40012">
              <w:rPr>
                <w:webHidden/>
              </w:rPr>
              <w:tab/>
            </w:r>
            <w:r w:rsidR="00F40012">
              <w:rPr>
                <w:webHidden/>
              </w:rPr>
              <w:fldChar w:fldCharType="begin"/>
            </w:r>
            <w:r w:rsidR="00F40012">
              <w:rPr>
                <w:webHidden/>
              </w:rPr>
              <w:instrText xml:space="preserve"> PAGEREF _Toc487014058 \h </w:instrText>
            </w:r>
            <w:r w:rsidR="00F40012">
              <w:rPr>
                <w:webHidden/>
              </w:rPr>
            </w:r>
            <w:r w:rsidR="00F40012">
              <w:rPr>
                <w:webHidden/>
              </w:rPr>
              <w:fldChar w:fldCharType="separate"/>
            </w:r>
            <w:r>
              <w:rPr>
                <w:webHidden/>
              </w:rPr>
              <w:t>4-64</w:t>
            </w:r>
            <w:r w:rsidR="00F40012">
              <w:rPr>
                <w:webHidden/>
              </w:rPr>
              <w:fldChar w:fldCharType="end"/>
            </w:r>
          </w:hyperlink>
        </w:p>
        <w:p w:rsidR="00F40012" w:rsidRDefault="007E3457">
          <w:pPr>
            <w:pStyle w:val="TOC3"/>
            <w:rPr>
              <w:rFonts w:asciiTheme="minorHAnsi" w:eastAsiaTheme="minorEastAsia" w:hAnsiTheme="minorHAnsi"/>
              <w:lang w:eastAsia="en-AU"/>
            </w:rPr>
          </w:pPr>
          <w:hyperlink w:anchor="_Toc487014059" w:history="1">
            <w:r w:rsidR="00F40012" w:rsidRPr="00C45BD9">
              <w:rPr>
                <w:rStyle w:val="Hyperlink"/>
                <w14:scene3d>
                  <w14:camera w14:prst="orthographicFront"/>
                  <w14:lightRig w14:rig="threePt" w14:dir="t">
                    <w14:rot w14:lat="0" w14:lon="0" w14:rev="0"/>
                  </w14:lightRig>
                </w14:scene3d>
              </w:rPr>
              <w:t>A.3.1</w:t>
            </w:r>
            <w:r w:rsidR="00F40012">
              <w:rPr>
                <w:rFonts w:asciiTheme="minorHAnsi" w:eastAsiaTheme="minorEastAsia" w:hAnsiTheme="minorHAnsi"/>
                <w:lang w:eastAsia="en-AU"/>
              </w:rPr>
              <w:tab/>
            </w:r>
            <w:r w:rsidR="00F40012" w:rsidRPr="00C45BD9">
              <w:rPr>
                <w:rStyle w:val="Hyperlink"/>
              </w:rPr>
              <w:t>SA Power Networks</w:t>
            </w:r>
            <w:r w:rsidR="00F40012">
              <w:rPr>
                <w:webHidden/>
              </w:rPr>
              <w:tab/>
            </w:r>
            <w:r w:rsidR="00F40012">
              <w:rPr>
                <w:webHidden/>
              </w:rPr>
              <w:fldChar w:fldCharType="begin"/>
            </w:r>
            <w:r w:rsidR="00F40012">
              <w:rPr>
                <w:webHidden/>
              </w:rPr>
              <w:instrText xml:space="preserve"> PAGEREF _Toc487014059 \h </w:instrText>
            </w:r>
            <w:r w:rsidR="00F40012">
              <w:rPr>
                <w:webHidden/>
              </w:rPr>
            </w:r>
            <w:r w:rsidR="00F40012">
              <w:rPr>
                <w:webHidden/>
              </w:rPr>
              <w:fldChar w:fldCharType="separate"/>
            </w:r>
            <w:r>
              <w:rPr>
                <w:webHidden/>
              </w:rPr>
              <w:t>4-64</w:t>
            </w:r>
            <w:r w:rsidR="00F40012">
              <w:rPr>
                <w:webHidden/>
              </w:rPr>
              <w:fldChar w:fldCharType="end"/>
            </w:r>
          </w:hyperlink>
        </w:p>
        <w:p w:rsidR="00F40012" w:rsidRDefault="007E3457">
          <w:pPr>
            <w:pStyle w:val="TOC3"/>
            <w:rPr>
              <w:rFonts w:asciiTheme="minorHAnsi" w:eastAsiaTheme="minorEastAsia" w:hAnsiTheme="minorHAnsi"/>
              <w:lang w:eastAsia="en-AU"/>
            </w:rPr>
          </w:pPr>
          <w:hyperlink w:anchor="_Toc487014060" w:history="1">
            <w:r w:rsidR="00F40012" w:rsidRPr="00C45BD9">
              <w:rPr>
                <w:rStyle w:val="Hyperlink"/>
                <w14:scene3d>
                  <w14:camera w14:prst="orthographicFront"/>
                  <w14:lightRig w14:rig="threePt" w14:dir="t">
                    <w14:rot w14:lat="0" w14:lon="0" w14:rev="0"/>
                  </w14:lightRig>
                </w14:scene3d>
              </w:rPr>
              <w:t>A.3.2</w:t>
            </w:r>
            <w:r w:rsidR="00F40012">
              <w:rPr>
                <w:rFonts w:asciiTheme="minorHAnsi" w:eastAsiaTheme="minorEastAsia" w:hAnsiTheme="minorHAnsi"/>
                <w:lang w:eastAsia="en-AU"/>
              </w:rPr>
              <w:tab/>
            </w:r>
            <w:r w:rsidR="00F40012" w:rsidRPr="00C45BD9">
              <w:rPr>
                <w:rStyle w:val="Hyperlink"/>
              </w:rPr>
              <w:t>ActewAGL Distribution, Ausgrid, Endeavour Energy, Essential Energy and Jemena Gas Networks</w:t>
            </w:r>
            <w:r w:rsidR="00F40012">
              <w:rPr>
                <w:webHidden/>
              </w:rPr>
              <w:tab/>
            </w:r>
            <w:r w:rsidR="00F40012">
              <w:rPr>
                <w:webHidden/>
              </w:rPr>
              <w:fldChar w:fldCharType="begin"/>
            </w:r>
            <w:r w:rsidR="00F40012">
              <w:rPr>
                <w:webHidden/>
              </w:rPr>
              <w:instrText xml:space="preserve"> PAGEREF _Toc487014060 \h </w:instrText>
            </w:r>
            <w:r w:rsidR="00F40012">
              <w:rPr>
                <w:webHidden/>
              </w:rPr>
            </w:r>
            <w:r w:rsidR="00F40012">
              <w:rPr>
                <w:webHidden/>
              </w:rPr>
              <w:fldChar w:fldCharType="separate"/>
            </w:r>
            <w:r>
              <w:rPr>
                <w:webHidden/>
              </w:rPr>
              <w:t>4-69</w:t>
            </w:r>
            <w:r w:rsidR="00F40012">
              <w:rPr>
                <w:webHidden/>
              </w:rPr>
              <w:fldChar w:fldCharType="end"/>
            </w:r>
          </w:hyperlink>
        </w:p>
        <w:p w:rsidR="00F40012" w:rsidRDefault="007E3457">
          <w:pPr>
            <w:pStyle w:val="TOC3"/>
            <w:rPr>
              <w:rFonts w:asciiTheme="minorHAnsi" w:eastAsiaTheme="minorEastAsia" w:hAnsiTheme="minorHAnsi"/>
              <w:lang w:eastAsia="en-AU"/>
            </w:rPr>
          </w:pPr>
          <w:hyperlink w:anchor="_Toc487014061" w:history="1">
            <w:r w:rsidR="00F40012" w:rsidRPr="00C45BD9">
              <w:rPr>
                <w:rStyle w:val="Hyperlink"/>
                <w14:scene3d>
                  <w14:camera w14:prst="orthographicFront"/>
                  <w14:lightRig w14:rig="threePt" w14:dir="t">
                    <w14:rot w14:lat="0" w14:lon="0" w14:rev="0"/>
                  </w14:lightRig>
                </w14:scene3d>
              </w:rPr>
              <w:t>A.3.3</w:t>
            </w:r>
            <w:r w:rsidR="00F40012">
              <w:rPr>
                <w:rFonts w:asciiTheme="minorHAnsi" w:eastAsiaTheme="minorEastAsia" w:hAnsiTheme="minorHAnsi"/>
                <w:lang w:eastAsia="en-AU"/>
              </w:rPr>
              <w:tab/>
            </w:r>
            <w:r w:rsidR="00F40012" w:rsidRPr="00C45BD9">
              <w:rPr>
                <w:rStyle w:val="Hyperlink"/>
              </w:rPr>
              <w:t>Energex</w:t>
            </w:r>
            <w:r w:rsidR="00F40012">
              <w:rPr>
                <w:webHidden/>
              </w:rPr>
              <w:tab/>
            </w:r>
            <w:r w:rsidR="00F40012">
              <w:rPr>
                <w:webHidden/>
              </w:rPr>
              <w:fldChar w:fldCharType="begin"/>
            </w:r>
            <w:r w:rsidR="00F40012">
              <w:rPr>
                <w:webHidden/>
              </w:rPr>
              <w:instrText xml:space="preserve"> PAGEREF _Toc487014061 \h </w:instrText>
            </w:r>
            <w:r w:rsidR="00F40012">
              <w:rPr>
                <w:webHidden/>
              </w:rPr>
            </w:r>
            <w:r w:rsidR="00F40012">
              <w:rPr>
                <w:webHidden/>
              </w:rPr>
              <w:fldChar w:fldCharType="separate"/>
            </w:r>
            <w:r>
              <w:rPr>
                <w:webHidden/>
              </w:rPr>
              <w:t>4-77</w:t>
            </w:r>
            <w:r w:rsidR="00F40012">
              <w:rPr>
                <w:webHidden/>
              </w:rPr>
              <w:fldChar w:fldCharType="end"/>
            </w:r>
          </w:hyperlink>
        </w:p>
        <w:p w:rsidR="00F40012" w:rsidRDefault="007E3457">
          <w:pPr>
            <w:pStyle w:val="TOC3"/>
            <w:rPr>
              <w:rFonts w:asciiTheme="minorHAnsi" w:eastAsiaTheme="minorEastAsia" w:hAnsiTheme="minorHAnsi"/>
              <w:lang w:eastAsia="en-AU"/>
            </w:rPr>
          </w:pPr>
          <w:hyperlink w:anchor="_Toc487014062" w:history="1">
            <w:r w:rsidR="00F40012" w:rsidRPr="00C45BD9">
              <w:rPr>
                <w:rStyle w:val="Hyperlink"/>
                <w14:scene3d>
                  <w14:camera w14:prst="orthographicFront"/>
                  <w14:lightRig w14:rig="threePt" w14:dir="t">
                    <w14:rot w14:lat="0" w14:lon="0" w14:rev="0"/>
                  </w14:lightRig>
                </w14:scene3d>
              </w:rPr>
              <w:t>A.3.4</w:t>
            </w:r>
            <w:r w:rsidR="00F40012">
              <w:rPr>
                <w:rFonts w:asciiTheme="minorHAnsi" w:eastAsiaTheme="minorEastAsia" w:hAnsiTheme="minorHAnsi"/>
                <w:lang w:eastAsia="en-AU"/>
              </w:rPr>
              <w:tab/>
            </w:r>
            <w:r w:rsidR="00F40012" w:rsidRPr="00C45BD9">
              <w:rPr>
                <w:rStyle w:val="Hyperlink"/>
              </w:rPr>
              <w:t>DBNGP and WA Gas Networks</w:t>
            </w:r>
            <w:r w:rsidR="00F40012">
              <w:rPr>
                <w:webHidden/>
              </w:rPr>
              <w:tab/>
            </w:r>
            <w:r w:rsidR="00F40012">
              <w:rPr>
                <w:webHidden/>
              </w:rPr>
              <w:fldChar w:fldCharType="begin"/>
            </w:r>
            <w:r w:rsidR="00F40012">
              <w:rPr>
                <w:webHidden/>
              </w:rPr>
              <w:instrText xml:space="preserve"> PAGEREF _Toc487014062 \h </w:instrText>
            </w:r>
            <w:r w:rsidR="00F40012">
              <w:rPr>
                <w:webHidden/>
              </w:rPr>
            </w:r>
            <w:r w:rsidR="00F40012">
              <w:rPr>
                <w:webHidden/>
              </w:rPr>
              <w:fldChar w:fldCharType="separate"/>
            </w:r>
            <w:r>
              <w:rPr>
                <w:webHidden/>
              </w:rPr>
              <w:t>4-81</w:t>
            </w:r>
            <w:r w:rsidR="00F40012">
              <w:rPr>
                <w:webHidden/>
              </w:rPr>
              <w:fldChar w:fldCharType="end"/>
            </w:r>
          </w:hyperlink>
        </w:p>
        <w:p w:rsidR="00F40012" w:rsidRDefault="007E3457">
          <w:pPr>
            <w:pStyle w:val="TOC2"/>
            <w:rPr>
              <w:rFonts w:asciiTheme="minorHAnsi" w:eastAsiaTheme="minorEastAsia" w:hAnsiTheme="minorHAnsi"/>
              <w:b w:val="0"/>
              <w:color w:val="auto"/>
              <w:sz w:val="22"/>
              <w:lang w:eastAsia="en-AU"/>
            </w:rPr>
          </w:pPr>
          <w:hyperlink w:anchor="_Toc487014063" w:history="1">
            <w:r w:rsidR="00F40012" w:rsidRPr="00C45BD9">
              <w:rPr>
                <w:rStyle w:val="Hyperlink"/>
              </w:rPr>
              <w:t>A.4</w:t>
            </w:r>
            <w:r w:rsidR="00F40012">
              <w:rPr>
                <w:rFonts w:asciiTheme="minorHAnsi" w:eastAsiaTheme="minorEastAsia" w:hAnsiTheme="minorHAnsi"/>
                <w:b w:val="0"/>
                <w:color w:val="auto"/>
                <w:sz w:val="22"/>
                <w:lang w:eastAsia="en-AU"/>
              </w:rPr>
              <w:tab/>
            </w:r>
            <w:r w:rsidR="00F40012" w:rsidRPr="00C45BD9">
              <w:rPr>
                <w:rStyle w:val="Hyperlink"/>
              </w:rPr>
              <w:t>Key concerns of the service providers</w:t>
            </w:r>
            <w:r w:rsidR="00F40012">
              <w:rPr>
                <w:webHidden/>
              </w:rPr>
              <w:tab/>
            </w:r>
            <w:r w:rsidR="00F40012">
              <w:rPr>
                <w:webHidden/>
              </w:rPr>
              <w:fldChar w:fldCharType="begin"/>
            </w:r>
            <w:r w:rsidR="00F40012">
              <w:rPr>
                <w:webHidden/>
              </w:rPr>
              <w:instrText xml:space="preserve"> PAGEREF _Toc487014063 \h </w:instrText>
            </w:r>
            <w:r w:rsidR="00F40012">
              <w:rPr>
                <w:webHidden/>
              </w:rPr>
            </w:r>
            <w:r w:rsidR="00F40012">
              <w:rPr>
                <w:webHidden/>
              </w:rPr>
              <w:fldChar w:fldCharType="separate"/>
            </w:r>
            <w:r>
              <w:rPr>
                <w:webHidden/>
              </w:rPr>
              <w:t>4-82</w:t>
            </w:r>
            <w:r w:rsidR="00F40012">
              <w:rPr>
                <w:webHidden/>
              </w:rPr>
              <w:fldChar w:fldCharType="end"/>
            </w:r>
          </w:hyperlink>
        </w:p>
        <w:p w:rsidR="00F40012" w:rsidRDefault="007E3457">
          <w:pPr>
            <w:pStyle w:val="TOC3"/>
            <w:rPr>
              <w:rFonts w:asciiTheme="minorHAnsi" w:eastAsiaTheme="minorEastAsia" w:hAnsiTheme="minorHAnsi"/>
              <w:lang w:eastAsia="en-AU"/>
            </w:rPr>
          </w:pPr>
          <w:hyperlink w:anchor="_Toc487014064" w:history="1">
            <w:r w:rsidR="00F40012" w:rsidRPr="00C45BD9">
              <w:rPr>
                <w:rStyle w:val="Hyperlink"/>
                <w14:scene3d>
                  <w14:camera w14:prst="orthographicFront"/>
                  <w14:lightRig w14:rig="threePt" w14:dir="t">
                    <w14:rot w14:lat="0" w14:lon="0" w14:rev="0"/>
                  </w14:lightRig>
                </w14:scene3d>
              </w:rPr>
              <w:t>A.4.1</w:t>
            </w:r>
            <w:r w:rsidR="00F40012">
              <w:rPr>
                <w:rFonts w:asciiTheme="minorHAnsi" w:eastAsiaTheme="minorEastAsia" w:hAnsiTheme="minorHAnsi"/>
                <w:lang w:eastAsia="en-AU"/>
              </w:rPr>
              <w:tab/>
            </w:r>
            <w:r w:rsidR="00F40012" w:rsidRPr="00C45BD9">
              <w:rPr>
                <w:rStyle w:val="Hyperlink"/>
              </w:rPr>
              <w:t>Ausgrid, Endeavour Energy, Essential Energy, ActewAGL, TransGrid, Directlink, Jemena Gas Networks</w:t>
            </w:r>
            <w:r w:rsidR="00F40012">
              <w:rPr>
                <w:webHidden/>
              </w:rPr>
              <w:tab/>
            </w:r>
            <w:r w:rsidR="00F40012">
              <w:rPr>
                <w:webHidden/>
              </w:rPr>
              <w:fldChar w:fldCharType="begin"/>
            </w:r>
            <w:r w:rsidR="00F40012">
              <w:rPr>
                <w:webHidden/>
              </w:rPr>
              <w:instrText xml:space="preserve"> PAGEREF _Toc487014064 \h </w:instrText>
            </w:r>
            <w:r w:rsidR="00F40012">
              <w:rPr>
                <w:webHidden/>
              </w:rPr>
            </w:r>
            <w:r w:rsidR="00F40012">
              <w:rPr>
                <w:webHidden/>
              </w:rPr>
              <w:fldChar w:fldCharType="separate"/>
            </w:r>
            <w:r>
              <w:rPr>
                <w:webHidden/>
              </w:rPr>
              <w:t>4-83</w:t>
            </w:r>
            <w:r w:rsidR="00F40012">
              <w:rPr>
                <w:webHidden/>
              </w:rPr>
              <w:fldChar w:fldCharType="end"/>
            </w:r>
          </w:hyperlink>
        </w:p>
        <w:p w:rsidR="00F40012" w:rsidRDefault="007E3457">
          <w:pPr>
            <w:pStyle w:val="TOC3"/>
            <w:rPr>
              <w:rFonts w:asciiTheme="minorHAnsi" w:eastAsiaTheme="minorEastAsia" w:hAnsiTheme="minorHAnsi"/>
              <w:lang w:eastAsia="en-AU"/>
            </w:rPr>
          </w:pPr>
          <w:hyperlink w:anchor="_Toc487014065" w:history="1">
            <w:r w:rsidR="00F40012" w:rsidRPr="00C45BD9">
              <w:rPr>
                <w:rStyle w:val="Hyperlink"/>
                <w14:scene3d>
                  <w14:camera w14:prst="orthographicFront"/>
                  <w14:lightRig w14:rig="threePt" w14:dir="t">
                    <w14:rot w14:lat="0" w14:lon="0" w14:rev="0"/>
                  </w14:lightRig>
                </w14:scene3d>
              </w:rPr>
              <w:t>A.4.2</w:t>
            </w:r>
            <w:r w:rsidR="00F40012">
              <w:rPr>
                <w:rFonts w:asciiTheme="minorHAnsi" w:eastAsiaTheme="minorEastAsia" w:hAnsiTheme="minorHAnsi"/>
                <w:lang w:eastAsia="en-AU"/>
              </w:rPr>
              <w:tab/>
            </w:r>
            <w:r w:rsidR="00F40012" w:rsidRPr="00C45BD9">
              <w:rPr>
                <w:rStyle w:val="Hyperlink"/>
              </w:rPr>
              <w:t>SA Power Networks, Ergon Energy, Energex</w:t>
            </w:r>
            <w:r w:rsidR="00F40012">
              <w:rPr>
                <w:webHidden/>
              </w:rPr>
              <w:tab/>
            </w:r>
            <w:r w:rsidR="00F40012">
              <w:rPr>
                <w:webHidden/>
              </w:rPr>
              <w:fldChar w:fldCharType="begin"/>
            </w:r>
            <w:r w:rsidR="00F40012">
              <w:rPr>
                <w:webHidden/>
              </w:rPr>
              <w:instrText xml:space="preserve"> PAGEREF _Toc487014065 \h </w:instrText>
            </w:r>
            <w:r w:rsidR="00F40012">
              <w:rPr>
                <w:webHidden/>
              </w:rPr>
            </w:r>
            <w:r w:rsidR="00F40012">
              <w:rPr>
                <w:webHidden/>
              </w:rPr>
              <w:fldChar w:fldCharType="separate"/>
            </w:r>
            <w:r>
              <w:rPr>
                <w:webHidden/>
              </w:rPr>
              <w:t>4-85</w:t>
            </w:r>
            <w:r w:rsidR="00F40012">
              <w:rPr>
                <w:webHidden/>
              </w:rPr>
              <w:fldChar w:fldCharType="end"/>
            </w:r>
          </w:hyperlink>
        </w:p>
        <w:p w:rsidR="00F40012" w:rsidRDefault="007E3457">
          <w:pPr>
            <w:pStyle w:val="TOC3"/>
            <w:rPr>
              <w:rFonts w:asciiTheme="minorHAnsi" w:eastAsiaTheme="minorEastAsia" w:hAnsiTheme="minorHAnsi"/>
              <w:lang w:eastAsia="en-AU"/>
            </w:rPr>
          </w:pPr>
          <w:hyperlink w:anchor="_Toc487014066" w:history="1">
            <w:r w:rsidR="00F40012" w:rsidRPr="00C45BD9">
              <w:rPr>
                <w:rStyle w:val="Hyperlink"/>
                <w14:scene3d>
                  <w14:camera w14:prst="orthographicFront"/>
                  <w14:lightRig w14:rig="threePt" w14:dir="t">
                    <w14:rot w14:lat="0" w14:lon="0" w14:rev="0"/>
                  </w14:lightRig>
                </w14:scene3d>
              </w:rPr>
              <w:t>A.4.3</w:t>
            </w:r>
            <w:r w:rsidR="00F40012">
              <w:rPr>
                <w:rFonts w:asciiTheme="minorHAnsi" w:eastAsiaTheme="minorEastAsia" w:hAnsiTheme="minorHAnsi"/>
                <w:lang w:eastAsia="en-AU"/>
              </w:rPr>
              <w:tab/>
            </w:r>
            <w:r w:rsidR="00F40012" w:rsidRPr="00C45BD9">
              <w:rPr>
                <w:rStyle w:val="Hyperlink"/>
              </w:rPr>
              <w:t>Australian Gas Networks, ActewAGL, AusNet Services, CitiPower, Jemena Electricity, United Energy, Powercor</w:t>
            </w:r>
            <w:r w:rsidR="00F40012">
              <w:rPr>
                <w:webHidden/>
              </w:rPr>
              <w:tab/>
            </w:r>
            <w:r w:rsidR="00F40012">
              <w:rPr>
                <w:webHidden/>
              </w:rPr>
              <w:fldChar w:fldCharType="begin"/>
            </w:r>
            <w:r w:rsidR="00F40012">
              <w:rPr>
                <w:webHidden/>
              </w:rPr>
              <w:instrText xml:space="preserve"> PAGEREF _Toc487014066 \h </w:instrText>
            </w:r>
            <w:r w:rsidR="00F40012">
              <w:rPr>
                <w:webHidden/>
              </w:rPr>
            </w:r>
            <w:r w:rsidR="00F40012">
              <w:rPr>
                <w:webHidden/>
              </w:rPr>
              <w:fldChar w:fldCharType="separate"/>
            </w:r>
            <w:r>
              <w:rPr>
                <w:webHidden/>
              </w:rPr>
              <w:t>4-86</w:t>
            </w:r>
            <w:r w:rsidR="00F40012">
              <w:rPr>
                <w:webHidden/>
              </w:rPr>
              <w:fldChar w:fldCharType="end"/>
            </w:r>
          </w:hyperlink>
        </w:p>
        <w:p w:rsidR="00F40012" w:rsidRDefault="007E3457">
          <w:pPr>
            <w:pStyle w:val="TOC3"/>
            <w:rPr>
              <w:rFonts w:asciiTheme="minorHAnsi" w:eastAsiaTheme="minorEastAsia" w:hAnsiTheme="minorHAnsi"/>
              <w:lang w:eastAsia="en-AU"/>
            </w:rPr>
          </w:pPr>
          <w:hyperlink w:anchor="_Toc487014067" w:history="1">
            <w:r w:rsidR="00F40012" w:rsidRPr="00C45BD9">
              <w:rPr>
                <w:rStyle w:val="Hyperlink"/>
                <w14:scene3d>
                  <w14:camera w14:prst="orthographicFront"/>
                  <w14:lightRig w14:rig="threePt" w14:dir="t">
                    <w14:rot w14:lat="0" w14:lon="0" w14:rev="0"/>
                  </w14:lightRig>
                </w14:scene3d>
              </w:rPr>
              <w:t>A.4.4</w:t>
            </w:r>
            <w:r w:rsidR="00F40012">
              <w:rPr>
                <w:rFonts w:asciiTheme="minorHAnsi" w:eastAsiaTheme="minorEastAsia" w:hAnsiTheme="minorHAnsi"/>
                <w:lang w:eastAsia="en-AU"/>
              </w:rPr>
              <w:tab/>
            </w:r>
            <w:r w:rsidR="00F40012" w:rsidRPr="00C45BD9">
              <w:rPr>
                <w:rStyle w:val="Hyperlink"/>
              </w:rPr>
              <w:t>AusNet Transmission, TasNetworks, Powerlink</w:t>
            </w:r>
            <w:r w:rsidR="00F40012">
              <w:rPr>
                <w:webHidden/>
              </w:rPr>
              <w:tab/>
            </w:r>
            <w:r w:rsidR="00F40012">
              <w:rPr>
                <w:webHidden/>
              </w:rPr>
              <w:fldChar w:fldCharType="begin"/>
            </w:r>
            <w:r w:rsidR="00F40012">
              <w:rPr>
                <w:webHidden/>
              </w:rPr>
              <w:instrText xml:space="preserve"> PAGEREF _Toc487014067 \h </w:instrText>
            </w:r>
            <w:r w:rsidR="00F40012">
              <w:rPr>
                <w:webHidden/>
              </w:rPr>
            </w:r>
            <w:r w:rsidR="00F40012">
              <w:rPr>
                <w:webHidden/>
              </w:rPr>
              <w:fldChar w:fldCharType="separate"/>
            </w:r>
            <w:r>
              <w:rPr>
                <w:webHidden/>
              </w:rPr>
              <w:t>4-88</w:t>
            </w:r>
            <w:r w:rsidR="00F40012">
              <w:rPr>
                <w:webHidden/>
              </w:rPr>
              <w:fldChar w:fldCharType="end"/>
            </w:r>
          </w:hyperlink>
        </w:p>
        <w:p w:rsidR="00F40012" w:rsidRDefault="007E3457">
          <w:pPr>
            <w:pStyle w:val="TOC3"/>
            <w:rPr>
              <w:rFonts w:asciiTheme="minorHAnsi" w:eastAsiaTheme="minorEastAsia" w:hAnsiTheme="minorHAnsi"/>
              <w:lang w:eastAsia="en-AU"/>
            </w:rPr>
          </w:pPr>
          <w:hyperlink w:anchor="_Toc487014068" w:history="1">
            <w:r w:rsidR="00F40012" w:rsidRPr="00C45BD9">
              <w:rPr>
                <w:rStyle w:val="Hyperlink"/>
                <w14:scene3d>
                  <w14:camera w14:prst="orthographicFront"/>
                  <w14:lightRig w14:rig="threePt" w14:dir="t">
                    <w14:rot w14:lat="0" w14:lon="0" w14:rev="0"/>
                  </w14:lightRig>
                </w14:scene3d>
              </w:rPr>
              <w:t>A.4.5</w:t>
            </w:r>
            <w:r w:rsidR="00F40012">
              <w:rPr>
                <w:rFonts w:asciiTheme="minorHAnsi" w:eastAsiaTheme="minorEastAsia" w:hAnsiTheme="minorHAnsi"/>
                <w:lang w:eastAsia="en-AU"/>
              </w:rPr>
              <w:tab/>
            </w:r>
            <w:r w:rsidR="00F40012" w:rsidRPr="00C45BD9">
              <w:rPr>
                <w:rStyle w:val="Hyperlink"/>
              </w:rPr>
              <w:t>Multinet, APTPPL, AGN, APA VTS, AusNet Services Gas Distribution</w:t>
            </w:r>
            <w:r w:rsidR="00F40012">
              <w:rPr>
                <w:webHidden/>
              </w:rPr>
              <w:tab/>
            </w:r>
            <w:r w:rsidR="00F40012">
              <w:rPr>
                <w:webHidden/>
              </w:rPr>
              <w:fldChar w:fldCharType="begin"/>
            </w:r>
            <w:r w:rsidR="00F40012">
              <w:rPr>
                <w:webHidden/>
              </w:rPr>
              <w:instrText xml:space="preserve"> PAGEREF _Toc487014068 \h </w:instrText>
            </w:r>
            <w:r w:rsidR="00F40012">
              <w:rPr>
                <w:webHidden/>
              </w:rPr>
            </w:r>
            <w:r w:rsidR="00F40012">
              <w:rPr>
                <w:webHidden/>
              </w:rPr>
              <w:fldChar w:fldCharType="separate"/>
            </w:r>
            <w:r>
              <w:rPr>
                <w:webHidden/>
              </w:rPr>
              <w:t>4-89</w:t>
            </w:r>
            <w:r w:rsidR="00F40012">
              <w:rPr>
                <w:webHidden/>
              </w:rPr>
              <w:fldChar w:fldCharType="end"/>
            </w:r>
          </w:hyperlink>
        </w:p>
        <w:p w:rsidR="00F40012" w:rsidRDefault="007E3457">
          <w:pPr>
            <w:pStyle w:val="TOC2"/>
            <w:rPr>
              <w:rFonts w:asciiTheme="minorHAnsi" w:eastAsiaTheme="minorEastAsia" w:hAnsiTheme="minorHAnsi"/>
              <w:b w:val="0"/>
              <w:color w:val="auto"/>
              <w:sz w:val="22"/>
              <w:lang w:eastAsia="en-AU"/>
            </w:rPr>
          </w:pPr>
          <w:hyperlink w:anchor="_Toc487014069" w:history="1">
            <w:r w:rsidR="00F40012" w:rsidRPr="00C45BD9">
              <w:rPr>
                <w:rStyle w:val="Hyperlink"/>
              </w:rPr>
              <w:t>A.5</w:t>
            </w:r>
            <w:r w:rsidR="00F40012">
              <w:rPr>
                <w:rFonts w:asciiTheme="minorHAnsi" w:eastAsiaTheme="minorEastAsia" w:hAnsiTheme="minorHAnsi"/>
                <w:b w:val="0"/>
                <w:color w:val="auto"/>
                <w:sz w:val="22"/>
                <w:lang w:eastAsia="en-AU"/>
              </w:rPr>
              <w:tab/>
            </w:r>
            <w:r w:rsidR="00F40012" w:rsidRPr="00C45BD9">
              <w:rPr>
                <w:rStyle w:val="Hyperlink"/>
              </w:rPr>
              <w:t>The role of the value of imputation credits in the regulatory framework</w:t>
            </w:r>
            <w:r w:rsidR="00F40012">
              <w:rPr>
                <w:webHidden/>
              </w:rPr>
              <w:tab/>
            </w:r>
            <w:r w:rsidR="00F40012">
              <w:rPr>
                <w:webHidden/>
              </w:rPr>
              <w:fldChar w:fldCharType="begin"/>
            </w:r>
            <w:r w:rsidR="00F40012">
              <w:rPr>
                <w:webHidden/>
              </w:rPr>
              <w:instrText xml:space="preserve"> PAGEREF _Toc487014069 \h </w:instrText>
            </w:r>
            <w:r w:rsidR="00F40012">
              <w:rPr>
                <w:webHidden/>
              </w:rPr>
            </w:r>
            <w:r w:rsidR="00F40012">
              <w:rPr>
                <w:webHidden/>
              </w:rPr>
              <w:fldChar w:fldCharType="separate"/>
            </w:r>
            <w:r>
              <w:rPr>
                <w:webHidden/>
              </w:rPr>
              <w:t>4-90</w:t>
            </w:r>
            <w:r w:rsidR="00F40012">
              <w:rPr>
                <w:webHidden/>
              </w:rPr>
              <w:fldChar w:fldCharType="end"/>
            </w:r>
          </w:hyperlink>
        </w:p>
        <w:p w:rsidR="00F40012" w:rsidRDefault="007E3457">
          <w:pPr>
            <w:pStyle w:val="TOC3"/>
            <w:rPr>
              <w:rFonts w:asciiTheme="minorHAnsi" w:eastAsiaTheme="minorEastAsia" w:hAnsiTheme="minorHAnsi"/>
              <w:lang w:eastAsia="en-AU"/>
            </w:rPr>
          </w:pPr>
          <w:hyperlink w:anchor="_Toc487014070" w:history="1">
            <w:r w:rsidR="00F40012" w:rsidRPr="00C45BD9">
              <w:rPr>
                <w:rStyle w:val="Hyperlink"/>
                <w14:scene3d>
                  <w14:camera w14:prst="orthographicFront"/>
                  <w14:lightRig w14:rig="threePt" w14:dir="t">
                    <w14:rot w14:lat="0" w14:lon="0" w14:rev="0"/>
                  </w14:lightRig>
                </w14:scene3d>
              </w:rPr>
              <w:t>A.5.1</w:t>
            </w:r>
            <w:r w:rsidR="00F40012">
              <w:rPr>
                <w:rFonts w:asciiTheme="minorHAnsi" w:eastAsiaTheme="minorEastAsia" w:hAnsiTheme="minorHAnsi"/>
                <w:lang w:eastAsia="en-AU"/>
              </w:rPr>
              <w:tab/>
            </w:r>
            <w:r w:rsidR="00F40012" w:rsidRPr="00C45BD9">
              <w:rPr>
                <w:rStyle w:val="Hyperlink"/>
              </w:rPr>
              <w:t>The building block framework</w:t>
            </w:r>
            <w:r w:rsidR="00F40012">
              <w:rPr>
                <w:webHidden/>
              </w:rPr>
              <w:tab/>
            </w:r>
            <w:r w:rsidR="00F40012">
              <w:rPr>
                <w:webHidden/>
              </w:rPr>
              <w:fldChar w:fldCharType="begin"/>
            </w:r>
            <w:r w:rsidR="00F40012">
              <w:rPr>
                <w:webHidden/>
              </w:rPr>
              <w:instrText xml:space="preserve"> PAGEREF _Toc487014070 \h </w:instrText>
            </w:r>
            <w:r w:rsidR="00F40012">
              <w:rPr>
                <w:webHidden/>
              </w:rPr>
            </w:r>
            <w:r w:rsidR="00F40012">
              <w:rPr>
                <w:webHidden/>
              </w:rPr>
              <w:fldChar w:fldCharType="separate"/>
            </w:r>
            <w:r>
              <w:rPr>
                <w:webHidden/>
              </w:rPr>
              <w:t>4-90</w:t>
            </w:r>
            <w:r w:rsidR="00F40012">
              <w:rPr>
                <w:webHidden/>
              </w:rPr>
              <w:fldChar w:fldCharType="end"/>
            </w:r>
          </w:hyperlink>
        </w:p>
        <w:p w:rsidR="00F40012" w:rsidRDefault="007E3457">
          <w:pPr>
            <w:pStyle w:val="TOC3"/>
            <w:rPr>
              <w:rFonts w:asciiTheme="minorHAnsi" w:eastAsiaTheme="minorEastAsia" w:hAnsiTheme="minorHAnsi"/>
              <w:lang w:eastAsia="en-AU"/>
            </w:rPr>
          </w:pPr>
          <w:hyperlink w:anchor="_Toc487014071" w:history="1">
            <w:r w:rsidR="00F40012" w:rsidRPr="00C45BD9">
              <w:rPr>
                <w:rStyle w:val="Hyperlink"/>
                <w14:scene3d>
                  <w14:camera w14:prst="orthographicFront"/>
                  <w14:lightRig w14:rig="threePt" w14:dir="t">
                    <w14:rot w14:lat="0" w14:lon="0" w14:rev="0"/>
                  </w14:lightRig>
                </w14:scene3d>
              </w:rPr>
              <w:t>A.5.2</w:t>
            </w:r>
            <w:r w:rsidR="00F40012">
              <w:rPr>
                <w:rFonts w:asciiTheme="minorHAnsi" w:eastAsiaTheme="minorEastAsia" w:hAnsiTheme="minorHAnsi"/>
                <w:lang w:eastAsia="en-AU"/>
              </w:rPr>
              <w:tab/>
            </w:r>
            <w:r w:rsidR="00F40012" w:rsidRPr="00C45BD9">
              <w:rPr>
                <w:rStyle w:val="Hyperlink"/>
              </w:rPr>
              <w:t>The tax building block</w:t>
            </w:r>
            <w:r w:rsidR="00F40012">
              <w:rPr>
                <w:webHidden/>
              </w:rPr>
              <w:tab/>
            </w:r>
            <w:r w:rsidR="00F40012">
              <w:rPr>
                <w:webHidden/>
              </w:rPr>
              <w:fldChar w:fldCharType="begin"/>
            </w:r>
            <w:r w:rsidR="00F40012">
              <w:rPr>
                <w:webHidden/>
              </w:rPr>
              <w:instrText xml:space="preserve"> PAGEREF _Toc487014071 \h </w:instrText>
            </w:r>
            <w:r w:rsidR="00F40012">
              <w:rPr>
                <w:webHidden/>
              </w:rPr>
            </w:r>
            <w:r w:rsidR="00F40012">
              <w:rPr>
                <w:webHidden/>
              </w:rPr>
              <w:fldChar w:fldCharType="separate"/>
            </w:r>
            <w:r>
              <w:rPr>
                <w:webHidden/>
              </w:rPr>
              <w:t>4-93</w:t>
            </w:r>
            <w:r w:rsidR="00F40012">
              <w:rPr>
                <w:webHidden/>
              </w:rPr>
              <w:fldChar w:fldCharType="end"/>
            </w:r>
          </w:hyperlink>
        </w:p>
        <w:p w:rsidR="00F40012" w:rsidRDefault="007E3457">
          <w:pPr>
            <w:pStyle w:val="TOC2"/>
            <w:rPr>
              <w:rFonts w:asciiTheme="minorHAnsi" w:eastAsiaTheme="minorEastAsia" w:hAnsiTheme="minorHAnsi"/>
              <w:b w:val="0"/>
              <w:color w:val="auto"/>
              <w:sz w:val="22"/>
              <w:lang w:eastAsia="en-AU"/>
            </w:rPr>
          </w:pPr>
          <w:hyperlink w:anchor="_Toc487014072" w:history="1">
            <w:r w:rsidR="00F40012" w:rsidRPr="00C45BD9">
              <w:rPr>
                <w:rStyle w:val="Hyperlink"/>
              </w:rPr>
              <w:t>A.6</w:t>
            </w:r>
            <w:r w:rsidR="00F40012">
              <w:rPr>
                <w:rFonts w:asciiTheme="minorHAnsi" w:eastAsiaTheme="minorEastAsia" w:hAnsiTheme="minorHAnsi"/>
                <w:b w:val="0"/>
                <w:color w:val="auto"/>
                <w:sz w:val="22"/>
                <w:lang w:eastAsia="en-AU"/>
              </w:rPr>
              <w:tab/>
            </w:r>
            <w:r w:rsidR="00F40012" w:rsidRPr="00C45BD9">
              <w:rPr>
                <w:rStyle w:val="Hyperlink"/>
              </w:rPr>
              <w:t>The conceptual framework for the value of imputation credits</w:t>
            </w:r>
            <w:r w:rsidR="00F40012">
              <w:rPr>
                <w:webHidden/>
              </w:rPr>
              <w:tab/>
            </w:r>
            <w:r w:rsidR="00F40012">
              <w:rPr>
                <w:webHidden/>
              </w:rPr>
              <w:fldChar w:fldCharType="begin"/>
            </w:r>
            <w:r w:rsidR="00F40012">
              <w:rPr>
                <w:webHidden/>
              </w:rPr>
              <w:instrText xml:space="preserve"> PAGEREF _Toc487014072 \h </w:instrText>
            </w:r>
            <w:r w:rsidR="00F40012">
              <w:rPr>
                <w:webHidden/>
              </w:rPr>
            </w:r>
            <w:r w:rsidR="00F40012">
              <w:rPr>
                <w:webHidden/>
              </w:rPr>
              <w:fldChar w:fldCharType="separate"/>
            </w:r>
            <w:r>
              <w:rPr>
                <w:webHidden/>
              </w:rPr>
              <w:t>4-93</w:t>
            </w:r>
            <w:r w:rsidR="00F40012">
              <w:rPr>
                <w:webHidden/>
              </w:rPr>
              <w:fldChar w:fldCharType="end"/>
            </w:r>
          </w:hyperlink>
        </w:p>
        <w:p w:rsidR="00F40012" w:rsidRDefault="007E3457">
          <w:pPr>
            <w:pStyle w:val="TOC2"/>
            <w:rPr>
              <w:rFonts w:asciiTheme="minorHAnsi" w:eastAsiaTheme="minorEastAsia" w:hAnsiTheme="minorHAnsi"/>
              <w:b w:val="0"/>
              <w:color w:val="auto"/>
              <w:sz w:val="22"/>
              <w:lang w:eastAsia="en-AU"/>
            </w:rPr>
          </w:pPr>
          <w:hyperlink w:anchor="_Toc487014073" w:history="1">
            <w:r w:rsidR="00F40012" w:rsidRPr="00C45BD9">
              <w:rPr>
                <w:rStyle w:val="Hyperlink"/>
              </w:rPr>
              <w:t>A.7</w:t>
            </w:r>
            <w:r w:rsidR="00F40012">
              <w:rPr>
                <w:rFonts w:asciiTheme="minorHAnsi" w:eastAsiaTheme="minorEastAsia" w:hAnsiTheme="minorHAnsi"/>
                <w:b w:val="0"/>
                <w:color w:val="auto"/>
                <w:sz w:val="22"/>
                <w:lang w:eastAsia="en-AU"/>
              </w:rPr>
              <w:tab/>
            </w:r>
            <w:r w:rsidR="00F40012" w:rsidRPr="00C45BD9">
              <w:rPr>
                <w:rStyle w:val="Hyperlink"/>
              </w:rPr>
              <w:t>Gray's comments on the conceptual framework</w:t>
            </w:r>
            <w:r w:rsidR="00F40012">
              <w:rPr>
                <w:webHidden/>
              </w:rPr>
              <w:tab/>
            </w:r>
            <w:r w:rsidR="00F40012">
              <w:rPr>
                <w:webHidden/>
              </w:rPr>
              <w:fldChar w:fldCharType="begin"/>
            </w:r>
            <w:r w:rsidR="00F40012">
              <w:rPr>
                <w:webHidden/>
              </w:rPr>
              <w:instrText xml:space="preserve"> PAGEREF _Toc487014073 \h </w:instrText>
            </w:r>
            <w:r w:rsidR="00F40012">
              <w:rPr>
                <w:webHidden/>
              </w:rPr>
            </w:r>
            <w:r w:rsidR="00F40012">
              <w:rPr>
                <w:webHidden/>
              </w:rPr>
              <w:fldChar w:fldCharType="separate"/>
            </w:r>
            <w:r>
              <w:rPr>
                <w:webHidden/>
              </w:rPr>
              <w:t>4-100</w:t>
            </w:r>
            <w:r w:rsidR="00F40012">
              <w:rPr>
                <w:webHidden/>
              </w:rPr>
              <w:fldChar w:fldCharType="end"/>
            </w:r>
          </w:hyperlink>
        </w:p>
        <w:p w:rsidR="00F40012" w:rsidRDefault="007E3457">
          <w:pPr>
            <w:pStyle w:val="TOC3"/>
            <w:rPr>
              <w:rFonts w:asciiTheme="minorHAnsi" w:eastAsiaTheme="minorEastAsia" w:hAnsiTheme="minorHAnsi"/>
              <w:lang w:eastAsia="en-AU"/>
            </w:rPr>
          </w:pPr>
          <w:hyperlink w:anchor="_Toc487014074" w:history="1">
            <w:r w:rsidR="00F40012" w:rsidRPr="00C45BD9">
              <w:rPr>
                <w:rStyle w:val="Hyperlink"/>
                <w14:scene3d>
                  <w14:camera w14:prst="orthographicFront"/>
                  <w14:lightRig w14:rig="threePt" w14:dir="t">
                    <w14:rot w14:lat="0" w14:lon="0" w14:rev="0"/>
                  </w14:lightRig>
                </w14:scene3d>
              </w:rPr>
              <w:t>A.7.1</w:t>
            </w:r>
            <w:r w:rsidR="00F40012">
              <w:rPr>
                <w:rFonts w:asciiTheme="minorHAnsi" w:eastAsiaTheme="minorEastAsia" w:hAnsiTheme="minorHAnsi"/>
                <w:lang w:eastAsia="en-AU"/>
              </w:rPr>
              <w:tab/>
            </w:r>
            <w:r w:rsidR="00F40012" w:rsidRPr="00C45BD9">
              <w:rPr>
                <w:rStyle w:val="Hyperlink"/>
              </w:rPr>
              <w:t>Gray's comments on the AER's position</w:t>
            </w:r>
            <w:r w:rsidR="00F40012">
              <w:rPr>
                <w:webHidden/>
              </w:rPr>
              <w:tab/>
            </w:r>
            <w:r w:rsidR="00F40012">
              <w:rPr>
                <w:webHidden/>
              </w:rPr>
              <w:fldChar w:fldCharType="begin"/>
            </w:r>
            <w:r w:rsidR="00F40012">
              <w:rPr>
                <w:webHidden/>
              </w:rPr>
              <w:instrText xml:space="preserve"> PAGEREF _Toc487014074 \h </w:instrText>
            </w:r>
            <w:r w:rsidR="00F40012">
              <w:rPr>
                <w:webHidden/>
              </w:rPr>
            </w:r>
            <w:r w:rsidR="00F40012">
              <w:rPr>
                <w:webHidden/>
              </w:rPr>
              <w:fldChar w:fldCharType="separate"/>
            </w:r>
            <w:r>
              <w:rPr>
                <w:webHidden/>
              </w:rPr>
              <w:t>4-101</w:t>
            </w:r>
            <w:r w:rsidR="00F40012">
              <w:rPr>
                <w:webHidden/>
              </w:rPr>
              <w:fldChar w:fldCharType="end"/>
            </w:r>
          </w:hyperlink>
        </w:p>
        <w:p w:rsidR="00F40012" w:rsidRDefault="007E3457">
          <w:pPr>
            <w:pStyle w:val="TOC3"/>
            <w:rPr>
              <w:rFonts w:asciiTheme="minorHAnsi" w:eastAsiaTheme="minorEastAsia" w:hAnsiTheme="minorHAnsi"/>
              <w:lang w:eastAsia="en-AU"/>
            </w:rPr>
          </w:pPr>
          <w:hyperlink w:anchor="_Toc487014075" w:history="1">
            <w:r w:rsidR="00F40012" w:rsidRPr="00C45BD9">
              <w:rPr>
                <w:rStyle w:val="Hyperlink"/>
                <w14:scene3d>
                  <w14:camera w14:prst="orthographicFront"/>
                  <w14:lightRig w14:rig="threePt" w14:dir="t">
                    <w14:rot w14:lat="0" w14:lon="0" w14:rev="0"/>
                  </w14:lightRig>
                </w14:scene3d>
              </w:rPr>
              <w:t>A.7.2</w:t>
            </w:r>
            <w:r w:rsidR="00F40012">
              <w:rPr>
                <w:rFonts w:asciiTheme="minorHAnsi" w:eastAsiaTheme="minorEastAsia" w:hAnsiTheme="minorHAnsi"/>
                <w:lang w:eastAsia="en-AU"/>
              </w:rPr>
              <w:tab/>
            </w:r>
            <w:r w:rsidR="00F40012" w:rsidRPr="00C45BD9">
              <w:rPr>
                <w:rStyle w:val="Hyperlink"/>
              </w:rPr>
              <w:t>Gray's comments on certain evidence and advice cited in the Guideline</w:t>
            </w:r>
            <w:r w:rsidR="00F40012">
              <w:rPr>
                <w:webHidden/>
              </w:rPr>
              <w:tab/>
            </w:r>
            <w:r w:rsidR="00F40012">
              <w:rPr>
                <w:webHidden/>
              </w:rPr>
              <w:fldChar w:fldCharType="begin"/>
            </w:r>
            <w:r w:rsidR="00F40012">
              <w:rPr>
                <w:webHidden/>
              </w:rPr>
              <w:instrText xml:space="preserve"> PAGEREF _Toc487014075 \h </w:instrText>
            </w:r>
            <w:r w:rsidR="00F40012">
              <w:rPr>
                <w:webHidden/>
              </w:rPr>
            </w:r>
            <w:r w:rsidR="00F40012">
              <w:rPr>
                <w:webHidden/>
              </w:rPr>
              <w:fldChar w:fldCharType="separate"/>
            </w:r>
            <w:r>
              <w:rPr>
                <w:webHidden/>
              </w:rPr>
              <w:t>4-102</w:t>
            </w:r>
            <w:r w:rsidR="00F40012">
              <w:rPr>
                <w:webHidden/>
              </w:rPr>
              <w:fldChar w:fldCharType="end"/>
            </w:r>
          </w:hyperlink>
        </w:p>
        <w:p w:rsidR="00F40012" w:rsidRDefault="007E3457">
          <w:pPr>
            <w:pStyle w:val="TOC3"/>
            <w:rPr>
              <w:rFonts w:asciiTheme="minorHAnsi" w:eastAsiaTheme="minorEastAsia" w:hAnsiTheme="minorHAnsi"/>
              <w:lang w:eastAsia="en-AU"/>
            </w:rPr>
          </w:pPr>
          <w:hyperlink w:anchor="_Toc487014076" w:history="1">
            <w:r w:rsidR="00F40012" w:rsidRPr="00C45BD9">
              <w:rPr>
                <w:rStyle w:val="Hyperlink"/>
                <w14:scene3d>
                  <w14:camera w14:prst="orthographicFront"/>
                  <w14:lightRig w14:rig="threePt" w14:dir="t">
                    <w14:rot w14:lat="0" w14:lon="0" w14:rev="0"/>
                  </w14:lightRig>
                </w14:scene3d>
              </w:rPr>
              <w:t>A.7.3</w:t>
            </w:r>
            <w:r w:rsidR="00F40012">
              <w:rPr>
                <w:rFonts w:asciiTheme="minorHAnsi" w:eastAsiaTheme="minorEastAsia" w:hAnsiTheme="minorHAnsi"/>
                <w:lang w:eastAsia="en-AU"/>
              </w:rPr>
              <w:tab/>
            </w:r>
            <w:r w:rsidR="00F40012" w:rsidRPr="00C45BD9">
              <w:rPr>
                <w:rStyle w:val="Hyperlink"/>
              </w:rPr>
              <w:t>Gray's comments on Officer (1994)</w:t>
            </w:r>
            <w:r w:rsidR="00F40012">
              <w:rPr>
                <w:webHidden/>
              </w:rPr>
              <w:tab/>
            </w:r>
            <w:r w:rsidR="00F40012">
              <w:rPr>
                <w:webHidden/>
              </w:rPr>
              <w:fldChar w:fldCharType="begin"/>
            </w:r>
            <w:r w:rsidR="00F40012">
              <w:rPr>
                <w:webHidden/>
              </w:rPr>
              <w:instrText xml:space="preserve"> PAGEREF _Toc487014076 \h </w:instrText>
            </w:r>
            <w:r w:rsidR="00F40012">
              <w:rPr>
                <w:webHidden/>
              </w:rPr>
            </w:r>
            <w:r w:rsidR="00F40012">
              <w:rPr>
                <w:webHidden/>
              </w:rPr>
              <w:fldChar w:fldCharType="separate"/>
            </w:r>
            <w:r>
              <w:rPr>
                <w:webHidden/>
              </w:rPr>
              <w:t>4-102</w:t>
            </w:r>
            <w:r w:rsidR="00F40012">
              <w:rPr>
                <w:webHidden/>
              </w:rPr>
              <w:fldChar w:fldCharType="end"/>
            </w:r>
          </w:hyperlink>
        </w:p>
        <w:p w:rsidR="00F40012" w:rsidRDefault="007E3457">
          <w:pPr>
            <w:pStyle w:val="TOC3"/>
            <w:rPr>
              <w:rFonts w:asciiTheme="minorHAnsi" w:eastAsiaTheme="minorEastAsia" w:hAnsiTheme="minorHAnsi"/>
              <w:lang w:eastAsia="en-AU"/>
            </w:rPr>
          </w:pPr>
          <w:hyperlink w:anchor="_Toc487014077" w:history="1">
            <w:r w:rsidR="00F40012" w:rsidRPr="00C45BD9">
              <w:rPr>
                <w:rStyle w:val="Hyperlink"/>
                <w14:scene3d>
                  <w14:camera w14:prst="orthographicFront"/>
                  <w14:lightRig w14:rig="threePt" w14:dir="t">
                    <w14:rot w14:lat="0" w14:lon="0" w14:rev="0"/>
                  </w14:lightRig>
                </w14:scene3d>
              </w:rPr>
              <w:t>A.7.4</w:t>
            </w:r>
            <w:r w:rsidR="00F40012">
              <w:rPr>
                <w:rFonts w:asciiTheme="minorHAnsi" w:eastAsiaTheme="minorEastAsia" w:hAnsiTheme="minorHAnsi"/>
                <w:lang w:eastAsia="en-AU"/>
              </w:rPr>
              <w:tab/>
            </w:r>
            <w:r w:rsidR="00F40012" w:rsidRPr="00C45BD9">
              <w:rPr>
                <w:rStyle w:val="Hyperlink"/>
              </w:rPr>
              <w:t>Gray's comments on the Monkhouse framework</w:t>
            </w:r>
            <w:r w:rsidR="00F40012">
              <w:rPr>
                <w:webHidden/>
              </w:rPr>
              <w:tab/>
            </w:r>
            <w:r w:rsidR="00F40012">
              <w:rPr>
                <w:webHidden/>
              </w:rPr>
              <w:fldChar w:fldCharType="begin"/>
            </w:r>
            <w:r w:rsidR="00F40012">
              <w:rPr>
                <w:webHidden/>
              </w:rPr>
              <w:instrText xml:space="preserve"> PAGEREF _Toc487014077 \h </w:instrText>
            </w:r>
            <w:r w:rsidR="00F40012">
              <w:rPr>
                <w:webHidden/>
              </w:rPr>
            </w:r>
            <w:r w:rsidR="00F40012">
              <w:rPr>
                <w:webHidden/>
              </w:rPr>
              <w:fldChar w:fldCharType="separate"/>
            </w:r>
            <w:r>
              <w:rPr>
                <w:webHidden/>
              </w:rPr>
              <w:t>4-111</w:t>
            </w:r>
            <w:r w:rsidR="00F40012">
              <w:rPr>
                <w:webHidden/>
              </w:rPr>
              <w:fldChar w:fldCharType="end"/>
            </w:r>
          </w:hyperlink>
        </w:p>
        <w:p w:rsidR="00F40012" w:rsidRDefault="007E3457">
          <w:pPr>
            <w:pStyle w:val="TOC2"/>
            <w:rPr>
              <w:rFonts w:asciiTheme="minorHAnsi" w:eastAsiaTheme="minorEastAsia" w:hAnsiTheme="minorHAnsi"/>
              <w:b w:val="0"/>
              <w:color w:val="auto"/>
              <w:sz w:val="22"/>
              <w:lang w:eastAsia="en-AU"/>
            </w:rPr>
          </w:pPr>
          <w:hyperlink w:anchor="_Toc487014078" w:history="1">
            <w:r w:rsidR="00F40012" w:rsidRPr="00C45BD9">
              <w:rPr>
                <w:rStyle w:val="Hyperlink"/>
              </w:rPr>
              <w:t>A.8</w:t>
            </w:r>
            <w:r w:rsidR="00F40012">
              <w:rPr>
                <w:rFonts w:asciiTheme="minorHAnsi" w:eastAsiaTheme="minorEastAsia" w:hAnsiTheme="minorHAnsi"/>
                <w:b w:val="0"/>
                <w:color w:val="auto"/>
                <w:sz w:val="22"/>
                <w:lang w:eastAsia="en-AU"/>
              </w:rPr>
              <w:tab/>
            </w:r>
            <w:r w:rsidR="00F40012" w:rsidRPr="00C45BD9">
              <w:rPr>
                <w:rStyle w:val="Hyperlink"/>
              </w:rPr>
              <w:t>Further issues relating to the utilisation rate</w:t>
            </w:r>
            <w:r w:rsidR="00F40012">
              <w:rPr>
                <w:webHidden/>
              </w:rPr>
              <w:tab/>
            </w:r>
            <w:r w:rsidR="00F40012">
              <w:rPr>
                <w:webHidden/>
              </w:rPr>
              <w:fldChar w:fldCharType="begin"/>
            </w:r>
            <w:r w:rsidR="00F40012">
              <w:rPr>
                <w:webHidden/>
              </w:rPr>
              <w:instrText xml:space="preserve"> PAGEREF _Toc487014078 \h </w:instrText>
            </w:r>
            <w:r w:rsidR="00F40012">
              <w:rPr>
                <w:webHidden/>
              </w:rPr>
            </w:r>
            <w:r w:rsidR="00F40012">
              <w:rPr>
                <w:webHidden/>
              </w:rPr>
              <w:fldChar w:fldCharType="separate"/>
            </w:r>
            <w:r>
              <w:rPr>
                <w:webHidden/>
              </w:rPr>
              <w:t>4-114</w:t>
            </w:r>
            <w:r w:rsidR="00F40012">
              <w:rPr>
                <w:webHidden/>
              </w:rPr>
              <w:fldChar w:fldCharType="end"/>
            </w:r>
          </w:hyperlink>
        </w:p>
        <w:p w:rsidR="00F40012" w:rsidRDefault="007E3457">
          <w:pPr>
            <w:pStyle w:val="TOC3"/>
            <w:rPr>
              <w:rFonts w:asciiTheme="minorHAnsi" w:eastAsiaTheme="minorEastAsia" w:hAnsiTheme="minorHAnsi"/>
              <w:lang w:eastAsia="en-AU"/>
            </w:rPr>
          </w:pPr>
          <w:hyperlink w:anchor="_Toc487014079" w:history="1">
            <w:r w:rsidR="00F40012" w:rsidRPr="00C45BD9">
              <w:rPr>
                <w:rStyle w:val="Hyperlink"/>
                <w14:scene3d>
                  <w14:camera w14:prst="orthographicFront"/>
                  <w14:lightRig w14:rig="threePt" w14:dir="t">
                    <w14:rot w14:lat="0" w14:lon="0" w14:rev="0"/>
                  </w14:lightRig>
                </w14:scene3d>
              </w:rPr>
              <w:t>A.8.1</w:t>
            </w:r>
            <w:r w:rsidR="00F40012">
              <w:rPr>
                <w:rFonts w:asciiTheme="minorHAnsi" w:eastAsiaTheme="minorEastAsia" w:hAnsiTheme="minorHAnsi"/>
                <w:lang w:eastAsia="en-AU"/>
              </w:rPr>
              <w:tab/>
            </w:r>
            <w:r w:rsidR="00F40012" w:rsidRPr="00C45BD9">
              <w:rPr>
                <w:rStyle w:val="Hyperlink"/>
              </w:rPr>
              <w:t>Consistency with the building block framework</w:t>
            </w:r>
            <w:r w:rsidR="00F40012">
              <w:rPr>
                <w:webHidden/>
              </w:rPr>
              <w:tab/>
            </w:r>
            <w:r w:rsidR="00F40012">
              <w:rPr>
                <w:webHidden/>
              </w:rPr>
              <w:fldChar w:fldCharType="begin"/>
            </w:r>
            <w:r w:rsidR="00F40012">
              <w:rPr>
                <w:webHidden/>
              </w:rPr>
              <w:instrText xml:space="preserve"> PAGEREF _Toc487014079 \h </w:instrText>
            </w:r>
            <w:r w:rsidR="00F40012">
              <w:rPr>
                <w:webHidden/>
              </w:rPr>
            </w:r>
            <w:r w:rsidR="00F40012">
              <w:rPr>
                <w:webHidden/>
              </w:rPr>
              <w:fldChar w:fldCharType="separate"/>
            </w:r>
            <w:r>
              <w:rPr>
                <w:webHidden/>
              </w:rPr>
              <w:t>4-114</w:t>
            </w:r>
            <w:r w:rsidR="00F40012">
              <w:rPr>
                <w:webHidden/>
              </w:rPr>
              <w:fldChar w:fldCharType="end"/>
            </w:r>
          </w:hyperlink>
        </w:p>
        <w:p w:rsidR="00F40012" w:rsidRDefault="007E3457">
          <w:pPr>
            <w:pStyle w:val="TOC3"/>
            <w:rPr>
              <w:rFonts w:asciiTheme="minorHAnsi" w:eastAsiaTheme="minorEastAsia" w:hAnsiTheme="minorHAnsi"/>
              <w:lang w:eastAsia="en-AU"/>
            </w:rPr>
          </w:pPr>
          <w:hyperlink w:anchor="_Toc487014080" w:history="1">
            <w:r w:rsidR="00F40012" w:rsidRPr="00C45BD9">
              <w:rPr>
                <w:rStyle w:val="Hyperlink"/>
                <w14:scene3d>
                  <w14:camera w14:prst="orthographicFront"/>
                  <w14:lightRig w14:rig="threePt" w14:dir="t">
                    <w14:rot w14:lat="0" w14:lon="0" w14:rev="0"/>
                  </w14:lightRig>
                </w14:scene3d>
              </w:rPr>
              <w:t>A.8.2</w:t>
            </w:r>
            <w:r w:rsidR="00F40012">
              <w:rPr>
                <w:rFonts w:asciiTheme="minorHAnsi" w:eastAsiaTheme="minorEastAsia" w:hAnsiTheme="minorHAnsi"/>
                <w:lang w:eastAsia="en-AU"/>
              </w:rPr>
              <w:tab/>
            </w:r>
            <w:r w:rsidR="00F40012" w:rsidRPr="00C45BD9">
              <w:rPr>
                <w:rStyle w:val="Hyperlink"/>
              </w:rPr>
              <w:t>Consistency with other allowed rate of return parameters</w:t>
            </w:r>
            <w:r w:rsidR="00F40012">
              <w:rPr>
                <w:webHidden/>
              </w:rPr>
              <w:tab/>
            </w:r>
            <w:r w:rsidR="00F40012">
              <w:rPr>
                <w:webHidden/>
              </w:rPr>
              <w:fldChar w:fldCharType="begin"/>
            </w:r>
            <w:r w:rsidR="00F40012">
              <w:rPr>
                <w:webHidden/>
              </w:rPr>
              <w:instrText xml:space="preserve"> PAGEREF _Toc487014080 \h </w:instrText>
            </w:r>
            <w:r w:rsidR="00F40012">
              <w:rPr>
                <w:webHidden/>
              </w:rPr>
            </w:r>
            <w:r w:rsidR="00F40012">
              <w:rPr>
                <w:webHidden/>
              </w:rPr>
              <w:fldChar w:fldCharType="separate"/>
            </w:r>
            <w:r>
              <w:rPr>
                <w:webHidden/>
              </w:rPr>
              <w:t>4-118</w:t>
            </w:r>
            <w:r w:rsidR="00F40012">
              <w:rPr>
                <w:webHidden/>
              </w:rPr>
              <w:fldChar w:fldCharType="end"/>
            </w:r>
          </w:hyperlink>
        </w:p>
        <w:p w:rsidR="00F40012" w:rsidRDefault="007E3457">
          <w:pPr>
            <w:pStyle w:val="TOC3"/>
            <w:rPr>
              <w:rFonts w:asciiTheme="minorHAnsi" w:eastAsiaTheme="minorEastAsia" w:hAnsiTheme="minorHAnsi"/>
              <w:lang w:eastAsia="en-AU"/>
            </w:rPr>
          </w:pPr>
          <w:hyperlink w:anchor="_Toc487014081" w:history="1">
            <w:r w:rsidR="00F40012" w:rsidRPr="00C45BD9">
              <w:rPr>
                <w:rStyle w:val="Hyperlink"/>
                <w14:scene3d>
                  <w14:camera w14:prst="orthographicFront"/>
                  <w14:lightRig w14:rig="threePt" w14:dir="t">
                    <w14:rot w14:lat="0" w14:lon="0" w14:rev="0"/>
                  </w14:lightRig>
                </w14:scene3d>
              </w:rPr>
              <w:t>A.8.3</w:t>
            </w:r>
            <w:r w:rsidR="00F40012">
              <w:rPr>
                <w:rFonts w:asciiTheme="minorHAnsi" w:eastAsiaTheme="minorEastAsia" w:hAnsiTheme="minorHAnsi"/>
                <w:lang w:eastAsia="en-AU"/>
              </w:rPr>
              <w:tab/>
            </w:r>
            <w:r w:rsidR="00F40012" w:rsidRPr="00C45BD9">
              <w:rPr>
                <w:rStyle w:val="Hyperlink"/>
              </w:rPr>
              <w:t>Market Risk Premium adjustment for gamma</w:t>
            </w:r>
            <w:r w:rsidR="00F40012">
              <w:rPr>
                <w:webHidden/>
              </w:rPr>
              <w:tab/>
            </w:r>
            <w:r w:rsidR="00F40012">
              <w:rPr>
                <w:webHidden/>
              </w:rPr>
              <w:fldChar w:fldCharType="begin"/>
            </w:r>
            <w:r w:rsidR="00F40012">
              <w:rPr>
                <w:webHidden/>
              </w:rPr>
              <w:instrText xml:space="preserve"> PAGEREF _Toc487014081 \h </w:instrText>
            </w:r>
            <w:r w:rsidR="00F40012">
              <w:rPr>
                <w:webHidden/>
              </w:rPr>
            </w:r>
            <w:r w:rsidR="00F40012">
              <w:rPr>
                <w:webHidden/>
              </w:rPr>
              <w:fldChar w:fldCharType="separate"/>
            </w:r>
            <w:r>
              <w:rPr>
                <w:webHidden/>
              </w:rPr>
              <w:t>4-123</w:t>
            </w:r>
            <w:r w:rsidR="00F40012">
              <w:rPr>
                <w:webHidden/>
              </w:rPr>
              <w:fldChar w:fldCharType="end"/>
            </w:r>
          </w:hyperlink>
        </w:p>
        <w:p w:rsidR="00F40012" w:rsidRDefault="007E3457">
          <w:pPr>
            <w:pStyle w:val="TOC3"/>
            <w:rPr>
              <w:rFonts w:asciiTheme="minorHAnsi" w:eastAsiaTheme="minorEastAsia" w:hAnsiTheme="minorHAnsi"/>
              <w:lang w:eastAsia="en-AU"/>
            </w:rPr>
          </w:pPr>
          <w:hyperlink w:anchor="_Toc487014082" w:history="1">
            <w:r w:rsidR="00F40012" w:rsidRPr="00C45BD9">
              <w:rPr>
                <w:rStyle w:val="Hyperlink"/>
                <w14:scene3d>
                  <w14:camera w14:prst="orthographicFront"/>
                  <w14:lightRig w14:rig="threePt" w14:dir="t">
                    <w14:rot w14:lat="0" w14:lon="0" w14:rev="0"/>
                  </w14:lightRig>
                </w14:scene3d>
              </w:rPr>
              <w:t>A.8.4</w:t>
            </w:r>
            <w:r w:rsidR="00F40012">
              <w:rPr>
                <w:rFonts w:asciiTheme="minorHAnsi" w:eastAsiaTheme="minorEastAsia" w:hAnsiTheme="minorHAnsi"/>
                <w:lang w:eastAsia="en-AU"/>
              </w:rPr>
              <w:tab/>
            </w:r>
            <w:r w:rsidR="00F40012" w:rsidRPr="00C45BD9">
              <w:rPr>
                <w:rStyle w:val="Hyperlink"/>
              </w:rPr>
              <w:t>Factors affecting investors' valuation of imputation credits</w:t>
            </w:r>
            <w:r w:rsidR="00F40012">
              <w:rPr>
                <w:webHidden/>
              </w:rPr>
              <w:tab/>
            </w:r>
            <w:r w:rsidR="00F40012">
              <w:rPr>
                <w:webHidden/>
              </w:rPr>
              <w:fldChar w:fldCharType="begin"/>
            </w:r>
            <w:r w:rsidR="00F40012">
              <w:rPr>
                <w:webHidden/>
              </w:rPr>
              <w:instrText xml:space="preserve"> PAGEREF _Toc487014082 \h </w:instrText>
            </w:r>
            <w:r w:rsidR="00F40012">
              <w:rPr>
                <w:webHidden/>
              </w:rPr>
            </w:r>
            <w:r w:rsidR="00F40012">
              <w:rPr>
                <w:webHidden/>
              </w:rPr>
              <w:fldChar w:fldCharType="separate"/>
            </w:r>
            <w:r>
              <w:rPr>
                <w:webHidden/>
              </w:rPr>
              <w:t>4-125</w:t>
            </w:r>
            <w:r w:rsidR="00F40012">
              <w:rPr>
                <w:webHidden/>
              </w:rPr>
              <w:fldChar w:fldCharType="end"/>
            </w:r>
          </w:hyperlink>
        </w:p>
        <w:p w:rsidR="00F40012" w:rsidRDefault="007E3457">
          <w:pPr>
            <w:pStyle w:val="TOC3"/>
            <w:rPr>
              <w:rFonts w:asciiTheme="minorHAnsi" w:eastAsiaTheme="minorEastAsia" w:hAnsiTheme="minorHAnsi"/>
              <w:lang w:eastAsia="en-AU"/>
            </w:rPr>
          </w:pPr>
          <w:hyperlink w:anchor="_Toc487014083" w:history="1">
            <w:r w:rsidR="00F40012" w:rsidRPr="00C45BD9">
              <w:rPr>
                <w:rStyle w:val="Hyperlink"/>
                <w14:scene3d>
                  <w14:camera w14:prst="orthographicFront"/>
                  <w14:lightRig w14:rig="threePt" w14:dir="t">
                    <w14:rot w14:lat="0" w14:lon="0" w14:rev="0"/>
                  </w14:lightRig>
                </w14:scene3d>
              </w:rPr>
              <w:t>A.8.5</w:t>
            </w:r>
            <w:r w:rsidR="00F40012">
              <w:rPr>
                <w:rFonts w:asciiTheme="minorHAnsi" w:eastAsiaTheme="minorEastAsia" w:hAnsiTheme="minorHAnsi"/>
                <w:lang w:eastAsia="en-AU"/>
              </w:rPr>
              <w:tab/>
            </w:r>
            <w:r w:rsidR="00F40012" w:rsidRPr="00C45BD9">
              <w:rPr>
                <w:rStyle w:val="Hyperlink"/>
              </w:rPr>
              <w:t>NERA's comments on the utilisation rate</w:t>
            </w:r>
            <w:r w:rsidR="00F40012">
              <w:rPr>
                <w:webHidden/>
              </w:rPr>
              <w:tab/>
            </w:r>
            <w:r w:rsidR="00F40012">
              <w:rPr>
                <w:webHidden/>
              </w:rPr>
              <w:fldChar w:fldCharType="begin"/>
            </w:r>
            <w:r w:rsidR="00F40012">
              <w:rPr>
                <w:webHidden/>
              </w:rPr>
              <w:instrText xml:space="preserve"> PAGEREF _Toc487014083 \h </w:instrText>
            </w:r>
            <w:r w:rsidR="00F40012">
              <w:rPr>
                <w:webHidden/>
              </w:rPr>
            </w:r>
            <w:r w:rsidR="00F40012">
              <w:rPr>
                <w:webHidden/>
              </w:rPr>
              <w:fldChar w:fldCharType="separate"/>
            </w:r>
            <w:r>
              <w:rPr>
                <w:webHidden/>
              </w:rPr>
              <w:t>4-140</w:t>
            </w:r>
            <w:r w:rsidR="00F40012">
              <w:rPr>
                <w:webHidden/>
              </w:rPr>
              <w:fldChar w:fldCharType="end"/>
            </w:r>
          </w:hyperlink>
        </w:p>
        <w:p w:rsidR="00F40012" w:rsidRDefault="007E3457">
          <w:pPr>
            <w:pStyle w:val="TOC2"/>
            <w:rPr>
              <w:rFonts w:asciiTheme="minorHAnsi" w:eastAsiaTheme="minorEastAsia" w:hAnsiTheme="minorHAnsi"/>
              <w:b w:val="0"/>
              <w:color w:val="auto"/>
              <w:sz w:val="22"/>
              <w:lang w:eastAsia="en-AU"/>
            </w:rPr>
          </w:pPr>
          <w:hyperlink w:anchor="_Toc487014084" w:history="1">
            <w:r w:rsidR="00F40012" w:rsidRPr="00C45BD9">
              <w:rPr>
                <w:rStyle w:val="Hyperlink"/>
              </w:rPr>
              <w:t>A.9</w:t>
            </w:r>
            <w:r w:rsidR="00F40012">
              <w:rPr>
                <w:rFonts w:asciiTheme="minorHAnsi" w:eastAsiaTheme="minorEastAsia" w:hAnsiTheme="minorHAnsi"/>
                <w:b w:val="0"/>
                <w:color w:val="auto"/>
                <w:sz w:val="22"/>
                <w:lang w:eastAsia="en-AU"/>
              </w:rPr>
              <w:tab/>
            </w:r>
            <w:r w:rsidR="00F40012" w:rsidRPr="00C45BD9">
              <w:rPr>
                <w:rStyle w:val="Hyperlink"/>
              </w:rPr>
              <w:t>Estimation approach considerations</w:t>
            </w:r>
            <w:r w:rsidR="00F40012">
              <w:rPr>
                <w:webHidden/>
              </w:rPr>
              <w:tab/>
            </w:r>
            <w:r w:rsidR="00F40012">
              <w:rPr>
                <w:webHidden/>
              </w:rPr>
              <w:fldChar w:fldCharType="begin"/>
            </w:r>
            <w:r w:rsidR="00F40012">
              <w:rPr>
                <w:webHidden/>
              </w:rPr>
              <w:instrText xml:space="preserve"> PAGEREF _Toc487014084 \h </w:instrText>
            </w:r>
            <w:r w:rsidR="00F40012">
              <w:rPr>
                <w:webHidden/>
              </w:rPr>
            </w:r>
            <w:r w:rsidR="00F40012">
              <w:rPr>
                <w:webHidden/>
              </w:rPr>
              <w:fldChar w:fldCharType="separate"/>
            </w:r>
            <w:r>
              <w:rPr>
                <w:webHidden/>
              </w:rPr>
              <w:t>4-143</w:t>
            </w:r>
            <w:r w:rsidR="00F40012">
              <w:rPr>
                <w:webHidden/>
              </w:rPr>
              <w:fldChar w:fldCharType="end"/>
            </w:r>
          </w:hyperlink>
        </w:p>
        <w:p w:rsidR="00F40012" w:rsidRDefault="007E3457">
          <w:pPr>
            <w:pStyle w:val="TOC3"/>
            <w:rPr>
              <w:rFonts w:asciiTheme="minorHAnsi" w:eastAsiaTheme="minorEastAsia" w:hAnsiTheme="minorHAnsi"/>
              <w:lang w:eastAsia="en-AU"/>
            </w:rPr>
          </w:pPr>
          <w:hyperlink w:anchor="_Toc487014085" w:history="1">
            <w:r w:rsidR="00F40012" w:rsidRPr="00C45BD9">
              <w:rPr>
                <w:rStyle w:val="Hyperlink"/>
                <w14:scene3d>
                  <w14:camera w14:prst="orthographicFront"/>
                  <w14:lightRig w14:rig="threePt" w14:dir="t">
                    <w14:rot w14:lat="0" w14:lon="0" w14:rev="0"/>
                  </w14:lightRig>
                </w14:scene3d>
              </w:rPr>
              <w:t>A.9.1</w:t>
            </w:r>
            <w:r w:rsidR="00F40012">
              <w:rPr>
                <w:rFonts w:asciiTheme="minorHAnsi" w:eastAsiaTheme="minorEastAsia" w:hAnsiTheme="minorHAnsi"/>
                <w:lang w:eastAsia="en-AU"/>
              </w:rPr>
              <w:tab/>
            </w:r>
            <w:r w:rsidR="00F40012" w:rsidRPr="00C45BD9">
              <w:rPr>
                <w:rStyle w:val="Hyperlink"/>
              </w:rPr>
              <w:t>Evidence from all equity or only listed equity</w:t>
            </w:r>
            <w:r w:rsidR="00F40012">
              <w:rPr>
                <w:webHidden/>
              </w:rPr>
              <w:tab/>
            </w:r>
            <w:r w:rsidR="00F40012">
              <w:rPr>
                <w:webHidden/>
              </w:rPr>
              <w:fldChar w:fldCharType="begin"/>
            </w:r>
            <w:r w:rsidR="00F40012">
              <w:rPr>
                <w:webHidden/>
              </w:rPr>
              <w:instrText xml:space="preserve"> PAGEREF _Toc487014085 \h </w:instrText>
            </w:r>
            <w:r w:rsidR="00F40012">
              <w:rPr>
                <w:webHidden/>
              </w:rPr>
            </w:r>
            <w:r w:rsidR="00F40012">
              <w:rPr>
                <w:webHidden/>
              </w:rPr>
              <w:fldChar w:fldCharType="separate"/>
            </w:r>
            <w:r>
              <w:rPr>
                <w:webHidden/>
              </w:rPr>
              <w:t>4-143</w:t>
            </w:r>
            <w:r w:rsidR="00F40012">
              <w:rPr>
                <w:webHidden/>
              </w:rPr>
              <w:fldChar w:fldCharType="end"/>
            </w:r>
          </w:hyperlink>
        </w:p>
        <w:p w:rsidR="00F40012" w:rsidRDefault="007E3457">
          <w:pPr>
            <w:pStyle w:val="TOC3"/>
            <w:rPr>
              <w:rFonts w:asciiTheme="minorHAnsi" w:eastAsiaTheme="minorEastAsia" w:hAnsiTheme="minorHAnsi"/>
              <w:lang w:eastAsia="en-AU"/>
            </w:rPr>
          </w:pPr>
          <w:hyperlink w:anchor="_Toc487014086" w:history="1">
            <w:r w:rsidR="00F40012" w:rsidRPr="00C45BD9">
              <w:rPr>
                <w:rStyle w:val="Hyperlink"/>
                <w14:scene3d>
                  <w14:camera w14:prst="orthographicFront"/>
                  <w14:lightRig w14:rig="threePt" w14:dir="t">
                    <w14:rot w14:lat="0" w14:lon="0" w14:rev="0"/>
                  </w14:lightRig>
                </w14:scene3d>
              </w:rPr>
              <w:t>A.9.2</w:t>
            </w:r>
            <w:r w:rsidR="00F40012">
              <w:rPr>
                <w:rFonts w:asciiTheme="minorHAnsi" w:eastAsiaTheme="minorEastAsia" w:hAnsiTheme="minorHAnsi"/>
                <w:lang w:eastAsia="en-AU"/>
              </w:rPr>
              <w:tab/>
            </w:r>
            <w:r w:rsidR="00F40012" w:rsidRPr="00C45BD9">
              <w:rPr>
                <w:rStyle w:val="Hyperlink"/>
              </w:rPr>
              <w:t>Relationship between the distribution rate and the utilisation value</w:t>
            </w:r>
            <w:r w:rsidR="00F40012">
              <w:rPr>
                <w:webHidden/>
              </w:rPr>
              <w:tab/>
            </w:r>
            <w:r w:rsidR="00F40012">
              <w:rPr>
                <w:webHidden/>
              </w:rPr>
              <w:fldChar w:fldCharType="begin"/>
            </w:r>
            <w:r w:rsidR="00F40012">
              <w:rPr>
                <w:webHidden/>
              </w:rPr>
              <w:instrText xml:space="preserve"> PAGEREF _Toc487014086 \h </w:instrText>
            </w:r>
            <w:r w:rsidR="00F40012">
              <w:rPr>
                <w:webHidden/>
              </w:rPr>
            </w:r>
            <w:r w:rsidR="00F40012">
              <w:rPr>
                <w:webHidden/>
              </w:rPr>
              <w:fldChar w:fldCharType="separate"/>
            </w:r>
            <w:r>
              <w:rPr>
                <w:webHidden/>
              </w:rPr>
              <w:t>4-146</w:t>
            </w:r>
            <w:r w:rsidR="00F40012">
              <w:rPr>
                <w:webHidden/>
              </w:rPr>
              <w:fldChar w:fldCharType="end"/>
            </w:r>
          </w:hyperlink>
        </w:p>
        <w:p w:rsidR="00F40012" w:rsidRDefault="007E3457">
          <w:pPr>
            <w:pStyle w:val="TOC2"/>
            <w:tabs>
              <w:tab w:val="left" w:pos="1276"/>
            </w:tabs>
            <w:rPr>
              <w:rFonts w:asciiTheme="minorHAnsi" w:eastAsiaTheme="minorEastAsia" w:hAnsiTheme="minorHAnsi"/>
              <w:b w:val="0"/>
              <w:color w:val="auto"/>
              <w:sz w:val="22"/>
              <w:lang w:eastAsia="en-AU"/>
            </w:rPr>
          </w:pPr>
          <w:hyperlink w:anchor="_Toc487014087" w:history="1">
            <w:r w:rsidR="00F40012" w:rsidRPr="00C45BD9">
              <w:rPr>
                <w:rStyle w:val="Hyperlink"/>
              </w:rPr>
              <w:t>A.10</w:t>
            </w:r>
            <w:r w:rsidR="00F40012">
              <w:rPr>
                <w:rFonts w:asciiTheme="minorHAnsi" w:eastAsiaTheme="minorEastAsia" w:hAnsiTheme="minorHAnsi"/>
                <w:b w:val="0"/>
                <w:color w:val="auto"/>
                <w:sz w:val="22"/>
                <w:lang w:eastAsia="en-AU"/>
              </w:rPr>
              <w:tab/>
            </w:r>
            <w:r w:rsidR="00F40012" w:rsidRPr="00C45BD9">
              <w:rPr>
                <w:rStyle w:val="Hyperlink"/>
              </w:rPr>
              <w:t>Estimating the distribution rate</w:t>
            </w:r>
            <w:r w:rsidR="00F40012">
              <w:rPr>
                <w:webHidden/>
              </w:rPr>
              <w:tab/>
            </w:r>
            <w:r w:rsidR="00F40012">
              <w:rPr>
                <w:webHidden/>
              </w:rPr>
              <w:fldChar w:fldCharType="begin"/>
            </w:r>
            <w:r w:rsidR="00F40012">
              <w:rPr>
                <w:webHidden/>
              </w:rPr>
              <w:instrText xml:space="preserve"> PAGEREF _Toc487014087 \h </w:instrText>
            </w:r>
            <w:r w:rsidR="00F40012">
              <w:rPr>
                <w:webHidden/>
              </w:rPr>
            </w:r>
            <w:r w:rsidR="00F40012">
              <w:rPr>
                <w:webHidden/>
              </w:rPr>
              <w:fldChar w:fldCharType="separate"/>
            </w:r>
            <w:r>
              <w:rPr>
                <w:webHidden/>
              </w:rPr>
              <w:t>4-149</w:t>
            </w:r>
            <w:r w:rsidR="00F40012">
              <w:rPr>
                <w:webHidden/>
              </w:rPr>
              <w:fldChar w:fldCharType="end"/>
            </w:r>
          </w:hyperlink>
        </w:p>
        <w:p w:rsidR="00F40012" w:rsidRDefault="007E3457">
          <w:pPr>
            <w:pStyle w:val="TOC3"/>
            <w:rPr>
              <w:rFonts w:asciiTheme="minorHAnsi" w:eastAsiaTheme="minorEastAsia" w:hAnsiTheme="minorHAnsi"/>
              <w:lang w:eastAsia="en-AU"/>
            </w:rPr>
          </w:pPr>
          <w:hyperlink w:anchor="_Toc487014088" w:history="1">
            <w:r w:rsidR="00F40012" w:rsidRPr="00C45BD9">
              <w:rPr>
                <w:rStyle w:val="Hyperlink"/>
                <w14:scene3d>
                  <w14:camera w14:prst="orthographicFront"/>
                  <w14:lightRig w14:rig="threePt" w14:dir="t">
                    <w14:rot w14:lat="0" w14:lon="0" w14:rev="0"/>
                  </w14:lightRig>
                </w14:scene3d>
              </w:rPr>
              <w:t>A.10.1</w:t>
            </w:r>
            <w:r w:rsidR="00F40012">
              <w:rPr>
                <w:rFonts w:asciiTheme="minorHAnsi" w:eastAsiaTheme="minorEastAsia" w:hAnsiTheme="minorHAnsi"/>
                <w:lang w:eastAsia="en-AU"/>
              </w:rPr>
              <w:tab/>
            </w:r>
            <w:r w:rsidR="00F40012" w:rsidRPr="00C45BD9">
              <w:rPr>
                <w:rStyle w:val="Hyperlink"/>
              </w:rPr>
              <w:t>Service providers', Gray's and NERA's comments on the distribution rate</w:t>
            </w:r>
            <w:r w:rsidR="00F40012">
              <w:rPr>
                <w:webHidden/>
              </w:rPr>
              <w:tab/>
            </w:r>
            <w:r w:rsidR="00F40012">
              <w:rPr>
                <w:webHidden/>
              </w:rPr>
              <w:fldChar w:fldCharType="begin"/>
            </w:r>
            <w:r w:rsidR="00F40012">
              <w:rPr>
                <w:webHidden/>
              </w:rPr>
              <w:instrText xml:space="preserve"> PAGEREF _Toc487014088 \h </w:instrText>
            </w:r>
            <w:r w:rsidR="00F40012">
              <w:rPr>
                <w:webHidden/>
              </w:rPr>
            </w:r>
            <w:r w:rsidR="00F40012">
              <w:rPr>
                <w:webHidden/>
              </w:rPr>
              <w:fldChar w:fldCharType="separate"/>
            </w:r>
            <w:r>
              <w:rPr>
                <w:webHidden/>
              </w:rPr>
              <w:t>4-151</w:t>
            </w:r>
            <w:r w:rsidR="00F40012">
              <w:rPr>
                <w:webHidden/>
              </w:rPr>
              <w:fldChar w:fldCharType="end"/>
            </w:r>
          </w:hyperlink>
        </w:p>
        <w:p w:rsidR="00F40012" w:rsidRDefault="007E3457">
          <w:pPr>
            <w:pStyle w:val="TOC3"/>
            <w:rPr>
              <w:rFonts w:asciiTheme="minorHAnsi" w:eastAsiaTheme="minorEastAsia" w:hAnsiTheme="minorHAnsi"/>
              <w:lang w:eastAsia="en-AU"/>
            </w:rPr>
          </w:pPr>
          <w:hyperlink w:anchor="_Toc487014089" w:history="1">
            <w:r w:rsidR="00F40012" w:rsidRPr="00C45BD9">
              <w:rPr>
                <w:rStyle w:val="Hyperlink"/>
                <w14:scene3d>
                  <w14:camera w14:prst="orthographicFront"/>
                  <w14:lightRig w14:rig="threePt" w14:dir="t">
                    <w14:rot w14:lat="0" w14:lon="0" w14:rev="0"/>
                  </w14:lightRig>
                </w14:scene3d>
              </w:rPr>
              <w:t>A.10.2</w:t>
            </w:r>
            <w:r w:rsidR="00F40012">
              <w:rPr>
                <w:rFonts w:asciiTheme="minorHAnsi" w:eastAsiaTheme="minorEastAsia" w:hAnsiTheme="minorHAnsi"/>
                <w:lang w:eastAsia="en-AU"/>
              </w:rPr>
              <w:tab/>
            </w:r>
            <w:r w:rsidR="00F40012" w:rsidRPr="00C45BD9">
              <w:rPr>
                <w:rStyle w:val="Hyperlink"/>
              </w:rPr>
              <w:t>The cumulative payout ratio approach</w:t>
            </w:r>
            <w:r w:rsidR="00F40012">
              <w:rPr>
                <w:webHidden/>
              </w:rPr>
              <w:tab/>
            </w:r>
            <w:r w:rsidR="00F40012">
              <w:rPr>
                <w:webHidden/>
              </w:rPr>
              <w:fldChar w:fldCharType="begin"/>
            </w:r>
            <w:r w:rsidR="00F40012">
              <w:rPr>
                <w:webHidden/>
              </w:rPr>
              <w:instrText xml:space="preserve"> PAGEREF _Toc487014089 \h </w:instrText>
            </w:r>
            <w:r w:rsidR="00F40012">
              <w:rPr>
                <w:webHidden/>
              </w:rPr>
            </w:r>
            <w:r w:rsidR="00F40012">
              <w:rPr>
                <w:webHidden/>
              </w:rPr>
              <w:fldChar w:fldCharType="separate"/>
            </w:r>
            <w:r>
              <w:rPr>
                <w:webHidden/>
              </w:rPr>
              <w:t>4-159</w:t>
            </w:r>
            <w:r w:rsidR="00F40012">
              <w:rPr>
                <w:webHidden/>
              </w:rPr>
              <w:fldChar w:fldCharType="end"/>
            </w:r>
          </w:hyperlink>
        </w:p>
        <w:p w:rsidR="00F40012" w:rsidRDefault="007E3457">
          <w:pPr>
            <w:pStyle w:val="TOC3"/>
            <w:rPr>
              <w:rFonts w:asciiTheme="minorHAnsi" w:eastAsiaTheme="minorEastAsia" w:hAnsiTheme="minorHAnsi"/>
              <w:lang w:eastAsia="en-AU"/>
            </w:rPr>
          </w:pPr>
          <w:hyperlink w:anchor="_Toc487014090" w:history="1">
            <w:r w:rsidR="00F40012" w:rsidRPr="00C45BD9">
              <w:rPr>
                <w:rStyle w:val="Hyperlink"/>
                <w14:scene3d>
                  <w14:camera w14:prst="orthographicFront"/>
                  <w14:lightRig w14:rig="threePt" w14:dir="t">
                    <w14:rot w14:lat="0" w14:lon="0" w14:rev="0"/>
                  </w14:lightRig>
                </w14:scene3d>
              </w:rPr>
              <w:t>A.10.3</w:t>
            </w:r>
            <w:r w:rsidR="00F40012">
              <w:rPr>
                <w:rFonts w:asciiTheme="minorHAnsi" w:eastAsiaTheme="minorEastAsia" w:hAnsiTheme="minorHAnsi"/>
                <w:lang w:eastAsia="en-AU"/>
              </w:rPr>
              <w:tab/>
            </w:r>
            <w:r w:rsidR="00F40012" w:rsidRPr="00C45BD9">
              <w:rPr>
                <w:rStyle w:val="Hyperlink"/>
              </w:rPr>
              <w:t>Alternative approaches</w:t>
            </w:r>
            <w:r w:rsidR="00F40012">
              <w:rPr>
                <w:webHidden/>
              </w:rPr>
              <w:tab/>
            </w:r>
            <w:r w:rsidR="00F40012">
              <w:rPr>
                <w:webHidden/>
              </w:rPr>
              <w:fldChar w:fldCharType="begin"/>
            </w:r>
            <w:r w:rsidR="00F40012">
              <w:rPr>
                <w:webHidden/>
              </w:rPr>
              <w:instrText xml:space="preserve"> PAGEREF _Toc487014090 \h </w:instrText>
            </w:r>
            <w:r w:rsidR="00F40012">
              <w:rPr>
                <w:webHidden/>
              </w:rPr>
            </w:r>
            <w:r w:rsidR="00F40012">
              <w:rPr>
                <w:webHidden/>
              </w:rPr>
              <w:fldChar w:fldCharType="separate"/>
            </w:r>
            <w:r>
              <w:rPr>
                <w:webHidden/>
              </w:rPr>
              <w:t>4-160</w:t>
            </w:r>
            <w:r w:rsidR="00F40012">
              <w:rPr>
                <w:webHidden/>
              </w:rPr>
              <w:fldChar w:fldCharType="end"/>
            </w:r>
          </w:hyperlink>
        </w:p>
        <w:p w:rsidR="00F40012" w:rsidRDefault="007E3457">
          <w:pPr>
            <w:pStyle w:val="TOC3"/>
            <w:rPr>
              <w:rFonts w:asciiTheme="minorHAnsi" w:eastAsiaTheme="minorEastAsia" w:hAnsiTheme="minorHAnsi"/>
              <w:lang w:eastAsia="en-AU"/>
            </w:rPr>
          </w:pPr>
          <w:hyperlink w:anchor="_Toc487014091" w:history="1">
            <w:r w:rsidR="00F40012" w:rsidRPr="00C45BD9">
              <w:rPr>
                <w:rStyle w:val="Hyperlink"/>
                <w14:scene3d>
                  <w14:camera w14:prst="orthographicFront"/>
                  <w14:lightRig w14:rig="threePt" w14:dir="t">
                    <w14:rot w14:lat="0" w14:lon="0" w14:rev="0"/>
                  </w14:lightRig>
                </w14:scene3d>
              </w:rPr>
              <w:t>A.10.4</w:t>
            </w:r>
            <w:r w:rsidR="00F40012">
              <w:rPr>
                <w:rFonts w:asciiTheme="minorHAnsi" w:eastAsiaTheme="minorEastAsia" w:hAnsiTheme="minorHAnsi"/>
                <w:lang w:eastAsia="en-AU"/>
              </w:rPr>
              <w:tab/>
            </w:r>
            <w:r w:rsidR="00F40012" w:rsidRPr="00C45BD9">
              <w:rPr>
                <w:rStyle w:val="Hyperlink"/>
              </w:rPr>
              <w:t>Hathaway (2014)</w:t>
            </w:r>
            <w:r w:rsidR="00F40012">
              <w:rPr>
                <w:webHidden/>
              </w:rPr>
              <w:tab/>
            </w:r>
            <w:r w:rsidR="00F40012">
              <w:rPr>
                <w:webHidden/>
              </w:rPr>
              <w:fldChar w:fldCharType="begin"/>
            </w:r>
            <w:r w:rsidR="00F40012">
              <w:rPr>
                <w:webHidden/>
              </w:rPr>
              <w:instrText xml:space="preserve"> PAGEREF _Toc487014091 \h </w:instrText>
            </w:r>
            <w:r w:rsidR="00F40012">
              <w:rPr>
                <w:webHidden/>
              </w:rPr>
            </w:r>
            <w:r w:rsidR="00F40012">
              <w:rPr>
                <w:webHidden/>
              </w:rPr>
              <w:fldChar w:fldCharType="separate"/>
            </w:r>
            <w:r>
              <w:rPr>
                <w:webHidden/>
              </w:rPr>
              <w:t>4-161</w:t>
            </w:r>
            <w:r w:rsidR="00F40012">
              <w:rPr>
                <w:webHidden/>
              </w:rPr>
              <w:fldChar w:fldCharType="end"/>
            </w:r>
          </w:hyperlink>
        </w:p>
        <w:p w:rsidR="00F40012" w:rsidRDefault="007E3457">
          <w:pPr>
            <w:pStyle w:val="TOC2"/>
            <w:tabs>
              <w:tab w:val="left" w:pos="1276"/>
            </w:tabs>
            <w:rPr>
              <w:rFonts w:asciiTheme="minorHAnsi" w:eastAsiaTheme="minorEastAsia" w:hAnsiTheme="minorHAnsi"/>
              <w:b w:val="0"/>
              <w:color w:val="auto"/>
              <w:sz w:val="22"/>
              <w:lang w:eastAsia="en-AU"/>
            </w:rPr>
          </w:pPr>
          <w:hyperlink w:anchor="_Toc487014092" w:history="1">
            <w:r w:rsidR="00F40012" w:rsidRPr="00C45BD9">
              <w:rPr>
                <w:rStyle w:val="Hyperlink"/>
              </w:rPr>
              <w:t>A.11</w:t>
            </w:r>
            <w:r w:rsidR="00F40012">
              <w:rPr>
                <w:rFonts w:asciiTheme="minorHAnsi" w:eastAsiaTheme="minorEastAsia" w:hAnsiTheme="minorHAnsi"/>
                <w:b w:val="0"/>
                <w:color w:val="auto"/>
                <w:sz w:val="22"/>
                <w:lang w:eastAsia="en-AU"/>
              </w:rPr>
              <w:tab/>
            </w:r>
            <w:r w:rsidR="00F40012" w:rsidRPr="00C45BD9">
              <w:rPr>
                <w:rStyle w:val="Hyperlink"/>
              </w:rPr>
              <w:t>Application of rate of return criteria to evidence on the utilisation rate</w:t>
            </w:r>
            <w:r w:rsidR="00F40012">
              <w:rPr>
                <w:webHidden/>
              </w:rPr>
              <w:tab/>
            </w:r>
            <w:r w:rsidR="00F40012">
              <w:rPr>
                <w:webHidden/>
              </w:rPr>
              <w:fldChar w:fldCharType="begin"/>
            </w:r>
            <w:r w:rsidR="00F40012">
              <w:rPr>
                <w:webHidden/>
              </w:rPr>
              <w:instrText xml:space="preserve"> PAGEREF _Toc487014092 \h </w:instrText>
            </w:r>
            <w:r w:rsidR="00F40012">
              <w:rPr>
                <w:webHidden/>
              </w:rPr>
            </w:r>
            <w:r w:rsidR="00F40012">
              <w:rPr>
                <w:webHidden/>
              </w:rPr>
              <w:fldChar w:fldCharType="separate"/>
            </w:r>
            <w:r>
              <w:rPr>
                <w:webHidden/>
              </w:rPr>
              <w:t>4-162</w:t>
            </w:r>
            <w:r w:rsidR="00F40012">
              <w:rPr>
                <w:webHidden/>
              </w:rPr>
              <w:fldChar w:fldCharType="end"/>
            </w:r>
          </w:hyperlink>
        </w:p>
        <w:p w:rsidR="00F40012" w:rsidRDefault="007E3457">
          <w:pPr>
            <w:pStyle w:val="TOC2"/>
            <w:tabs>
              <w:tab w:val="left" w:pos="1276"/>
            </w:tabs>
            <w:rPr>
              <w:rFonts w:asciiTheme="minorHAnsi" w:eastAsiaTheme="minorEastAsia" w:hAnsiTheme="minorHAnsi"/>
              <w:b w:val="0"/>
              <w:color w:val="auto"/>
              <w:sz w:val="22"/>
              <w:lang w:eastAsia="en-AU"/>
            </w:rPr>
          </w:pPr>
          <w:hyperlink w:anchor="_Toc487014093" w:history="1">
            <w:r w:rsidR="00F40012" w:rsidRPr="00C45BD9">
              <w:rPr>
                <w:rStyle w:val="Hyperlink"/>
              </w:rPr>
              <w:t>A.12</w:t>
            </w:r>
            <w:r w:rsidR="00F40012">
              <w:rPr>
                <w:rFonts w:asciiTheme="minorHAnsi" w:eastAsiaTheme="minorEastAsia" w:hAnsiTheme="minorHAnsi"/>
                <w:b w:val="0"/>
                <w:color w:val="auto"/>
                <w:sz w:val="22"/>
                <w:lang w:eastAsia="en-AU"/>
              </w:rPr>
              <w:tab/>
            </w:r>
            <w:r w:rsidR="00F40012" w:rsidRPr="00C45BD9">
              <w:rPr>
                <w:rStyle w:val="Hyperlink"/>
              </w:rPr>
              <w:t>The equity ownership approach</w:t>
            </w:r>
            <w:r w:rsidR="00F40012">
              <w:rPr>
                <w:webHidden/>
              </w:rPr>
              <w:tab/>
            </w:r>
            <w:r w:rsidR="00F40012">
              <w:rPr>
                <w:webHidden/>
              </w:rPr>
              <w:fldChar w:fldCharType="begin"/>
            </w:r>
            <w:r w:rsidR="00F40012">
              <w:rPr>
                <w:webHidden/>
              </w:rPr>
              <w:instrText xml:space="preserve"> PAGEREF _Toc487014093 \h </w:instrText>
            </w:r>
            <w:r w:rsidR="00F40012">
              <w:rPr>
                <w:webHidden/>
              </w:rPr>
            </w:r>
            <w:r w:rsidR="00F40012">
              <w:rPr>
                <w:webHidden/>
              </w:rPr>
              <w:fldChar w:fldCharType="separate"/>
            </w:r>
            <w:r>
              <w:rPr>
                <w:webHidden/>
              </w:rPr>
              <w:t>4-165</w:t>
            </w:r>
            <w:r w:rsidR="00F40012">
              <w:rPr>
                <w:webHidden/>
              </w:rPr>
              <w:fldChar w:fldCharType="end"/>
            </w:r>
          </w:hyperlink>
        </w:p>
        <w:p w:rsidR="00F40012" w:rsidRDefault="007E3457">
          <w:pPr>
            <w:pStyle w:val="TOC2"/>
            <w:tabs>
              <w:tab w:val="left" w:pos="1276"/>
            </w:tabs>
            <w:rPr>
              <w:rFonts w:asciiTheme="minorHAnsi" w:eastAsiaTheme="minorEastAsia" w:hAnsiTheme="minorHAnsi"/>
              <w:b w:val="0"/>
              <w:color w:val="auto"/>
              <w:sz w:val="22"/>
              <w:lang w:eastAsia="en-AU"/>
            </w:rPr>
          </w:pPr>
          <w:hyperlink w:anchor="_Toc487014094" w:history="1">
            <w:r w:rsidR="00F40012" w:rsidRPr="00C45BD9">
              <w:rPr>
                <w:rStyle w:val="Hyperlink"/>
              </w:rPr>
              <w:t>A.13</w:t>
            </w:r>
            <w:r w:rsidR="00F40012">
              <w:rPr>
                <w:rFonts w:asciiTheme="minorHAnsi" w:eastAsiaTheme="minorEastAsia" w:hAnsiTheme="minorHAnsi"/>
                <w:b w:val="0"/>
                <w:color w:val="auto"/>
                <w:sz w:val="22"/>
                <w:lang w:eastAsia="en-AU"/>
              </w:rPr>
              <w:tab/>
            </w:r>
            <w:r w:rsidR="00F40012" w:rsidRPr="00C45BD9">
              <w:rPr>
                <w:rStyle w:val="Hyperlink"/>
              </w:rPr>
              <w:t>Tax statistics</w:t>
            </w:r>
            <w:r w:rsidR="00F40012">
              <w:rPr>
                <w:webHidden/>
              </w:rPr>
              <w:tab/>
            </w:r>
            <w:r w:rsidR="00F40012">
              <w:rPr>
                <w:webHidden/>
              </w:rPr>
              <w:fldChar w:fldCharType="begin"/>
            </w:r>
            <w:r w:rsidR="00F40012">
              <w:rPr>
                <w:webHidden/>
              </w:rPr>
              <w:instrText xml:space="preserve"> PAGEREF _Toc487014094 \h </w:instrText>
            </w:r>
            <w:r w:rsidR="00F40012">
              <w:rPr>
                <w:webHidden/>
              </w:rPr>
            </w:r>
            <w:r w:rsidR="00F40012">
              <w:rPr>
                <w:webHidden/>
              </w:rPr>
              <w:fldChar w:fldCharType="separate"/>
            </w:r>
            <w:r>
              <w:rPr>
                <w:webHidden/>
              </w:rPr>
              <w:t>4-171</w:t>
            </w:r>
            <w:r w:rsidR="00F40012">
              <w:rPr>
                <w:webHidden/>
              </w:rPr>
              <w:fldChar w:fldCharType="end"/>
            </w:r>
          </w:hyperlink>
        </w:p>
        <w:p w:rsidR="00F40012" w:rsidRDefault="007E3457">
          <w:pPr>
            <w:pStyle w:val="TOC2"/>
            <w:tabs>
              <w:tab w:val="left" w:pos="1276"/>
            </w:tabs>
            <w:rPr>
              <w:rFonts w:asciiTheme="minorHAnsi" w:eastAsiaTheme="minorEastAsia" w:hAnsiTheme="minorHAnsi"/>
              <w:b w:val="0"/>
              <w:color w:val="auto"/>
              <w:sz w:val="22"/>
              <w:lang w:eastAsia="en-AU"/>
            </w:rPr>
          </w:pPr>
          <w:hyperlink w:anchor="_Toc487014095" w:history="1">
            <w:r w:rsidR="00F40012" w:rsidRPr="00C45BD9">
              <w:rPr>
                <w:rStyle w:val="Hyperlink"/>
              </w:rPr>
              <w:t>A.14</w:t>
            </w:r>
            <w:r w:rsidR="00F40012">
              <w:rPr>
                <w:rFonts w:asciiTheme="minorHAnsi" w:eastAsiaTheme="minorEastAsia" w:hAnsiTheme="minorHAnsi"/>
                <w:b w:val="0"/>
                <w:color w:val="auto"/>
                <w:sz w:val="22"/>
                <w:lang w:eastAsia="en-AU"/>
              </w:rPr>
              <w:tab/>
            </w:r>
            <w:r w:rsidR="00F40012" w:rsidRPr="00C45BD9">
              <w:rPr>
                <w:rStyle w:val="Hyperlink"/>
              </w:rPr>
              <w:t>Difference between equity ownership approach and tax statistics</w:t>
            </w:r>
            <w:r w:rsidR="00F40012">
              <w:rPr>
                <w:webHidden/>
              </w:rPr>
              <w:tab/>
            </w:r>
            <w:r w:rsidR="00F40012">
              <w:rPr>
                <w:webHidden/>
              </w:rPr>
              <w:fldChar w:fldCharType="begin"/>
            </w:r>
            <w:r w:rsidR="00F40012">
              <w:rPr>
                <w:webHidden/>
              </w:rPr>
              <w:instrText xml:space="preserve"> PAGEREF _Toc487014095 \h </w:instrText>
            </w:r>
            <w:r w:rsidR="00F40012">
              <w:rPr>
                <w:webHidden/>
              </w:rPr>
            </w:r>
            <w:r w:rsidR="00F40012">
              <w:rPr>
                <w:webHidden/>
              </w:rPr>
              <w:fldChar w:fldCharType="separate"/>
            </w:r>
            <w:r>
              <w:rPr>
                <w:webHidden/>
              </w:rPr>
              <w:t>4-176</w:t>
            </w:r>
            <w:r w:rsidR="00F40012">
              <w:rPr>
                <w:webHidden/>
              </w:rPr>
              <w:fldChar w:fldCharType="end"/>
            </w:r>
          </w:hyperlink>
        </w:p>
        <w:p w:rsidR="00F40012" w:rsidRDefault="007E3457">
          <w:pPr>
            <w:pStyle w:val="TOC2"/>
            <w:tabs>
              <w:tab w:val="left" w:pos="1276"/>
            </w:tabs>
            <w:rPr>
              <w:rFonts w:asciiTheme="minorHAnsi" w:eastAsiaTheme="minorEastAsia" w:hAnsiTheme="minorHAnsi"/>
              <w:b w:val="0"/>
              <w:color w:val="auto"/>
              <w:sz w:val="22"/>
              <w:lang w:eastAsia="en-AU"/>
            </w:rPr>
          </w:pPr>
          <w:hyperlink w:anchor="_Toc487014096" w:history="1">
            <w:r w:rsidR="00F40012" w:rsidRPr="00C45BD9">
              <w:rPr>
                <w:rStyle w:val="Hyperlink"/>
              </w:rPr>
              <w:t>A.15</w:t>
            </w:r>
            <w:r w:rsidR="00F40012">
              <w:rPr>
                <w:rFonts w:asciiTheme="minorHAnsi" w:eastAsiaTheme="minorEastAsia" w:hAnsiTheme="minorHAnsi"/>
                <w:b w:val="0"/>
                <w:color w:val="auto"/>
                <w:sz w:val="22"/>
                <w:lang w:eastAsia="en-AU"/>
              </w:rPr>
              <w:tab/>
            </w:r>
            <w:r w:rsidR="00F40012" w:rsidRPr="00C45BD9">
              <w:rPr>
                <w:rStyle w:val="Hyperlink"/>
              </w:rPr>
              <w:t>Implied market value studies</w:t>
            </w:r>
            <w:r w:rsidR="00F40012">
              <w:rPr>
                <w:webHidden/>
              </w:rPr>
              <w:tab/>
            </w:r>
            <w:r w:rsidR="00F40012">
              <w:rPr>
                <w:webHidden/>
              </w:rPr>
              <w:fldChar w:fldCharType="begin"/>
            </w:r>
            <w:r w:rsidR="00F40012">
              <w:rPr>
                <w:webHidden/>
              </w:rPr>
              <w:instrText xml:space="preserve"> PAGEREF _Toc487014096 \h </w:instrText>
            </w:r>
            <w:r w:rsidR="00F40012">
              <w:rPr>
                <w:webHidden/>
              </w:rPr>
            </w:r>
            <w:r w:rsidR="00F40012">
              <w:rPr>
                <w:webHidden/>
              </w:rPr>
              <w:fldChar w:fldCharType="separate"/>
            </w:r>
            <w:r>
              <w:rPr>
                <w:webHidden/>
              </w:rPr>
              <w:t>4-178</w:t>
            </w:r>
            <w:r w:rsidR="00F40012">
              <w:rPr>
                <w:webHidden/>
              </w:rPr>
              <w:fldChar w:fldCharType="end"/>
            </w:r>
          </w:hyperlink>
        </w:p>
        <w:p w:rsidR="00F40012" w:rsidRDefault="007E3457">
          <w:pPr>
            <w:pStyle w:val="TOC3"/>
            <w:rPr>
              <w:rFonts w:asciiTheme="minorHAnsi" w:eastAsiaTheme="minorEastAsia" w:hAnsiTheme="minorHAnsi"/>
              <w:lang w:eastAsia="en-AU"/>
            </w:rPr>
          </w:pPr>
          <w:hyperlink w:anchor="_Toc487014097" w:history="1">
            <w:r w:rsidR="00F40012" w:rsidRPr="00C45BD9">
              <w:rPr>
                <w:rStyle w:val="Hyperlink"/>
                <w14:scene3d>
                  <w14:camera w14:prst="orthographicFront"/>
                  <w14:lightRig w14:rig="threePt" w14:dir="t">
                    <w14:rot w14:lat="0" w14:lon="0" w14:rev="0"/>
                  </w14:lightRig>
                </w14:scene3d>
              </w:rPr>
              <w:t>A.15.1</w:t>
            </w:r>
            <w:r w:rsidR="00F40012">
              <w:rPr>
                <w:rFonts w:asciiTheme="minorHAnsi" w:eastAsiaTheme="minorEastAsia" w:hAnsiTheme="minorHAnsi"/>
                <w:lang w:eastAsia="en-AU"/>
              </w:rPr>
              <w:tab/>
            </w:r>
            <w:r w:rsidR="00F40012" w:rsidRPr="00C45BD9">
              <w:rPr>
                <w:rStyle w:val="Hyperlink"/>
              </w:rPr>
              <w:t>Types of implied market value studies</w:t>
            </w:r>
            <w:r w:rsidR="00F40012">
              <w:rPr>
                <w:webHidden/>
              </w:rPr>
              <w:tab/>
            </w:r>
            <w:r w:rsidR="00F40012">
              <w:rPr>
                <w:webHidden/>
              </w:rPr>
              <w:fldChar w:fldCharType="begin"/>
            </w:r>
            <w:r w:rsidR="00F40012">
              <w:rPr>
                <w:webHidden/>
              </w:rPr>
              <w:instrText xml:space="preserve"> PAGEREF _Toc487014097 \h </w:instrText>
            </w:r>
            <w:r w:rsidR="00F40012">
              <w:rPr>
                <w:webHidden/>
              </w:rPr>
            </w:r>
            <w:r w:rsidR="00F40012">
              <w:rPr>
                <w:webHidden/>
              </w:rPr>
              <w:fldChar w:fldCharType="separate"/>
            </w:r>
            <w:r>
              <w:rPr>
                <w:webHidden/>
              </w:rPr>
              <w:t>4-178</w:t>
            </w:r>
            <w:r w:rsidR="00F40012">
              <w:rPr>
                <w:webHidden/>
              </w:rPr>
              <w:fldChar w:fldCharType="end"/>
            </w:r>
          </w:hyperlink>
        </w:p>
        <w:p w:rsidR="00F40012" w:rsidRDefault="007E3457">
          <w:pPr>
            <w:pStyle w:val="TOC3"/>
            <w:rPr>
              <w:rFonts w:asciiTheme="minorHAnsi" w:eastAsiaTheme="minorEastAsia" w:hAnsiTheme="minorHAnsi"/>
              <w:lang w:eastAsia="en-AU"/>
            </w:rPr>
          </w:pPr>
          <w:hyperlink w:anchor="_Toc487014098" w:history="1">
            <w:r w:rsidR="00F40012" w:rsidRPr="00C45BD9">
              <w:rPr>
                <w:rStyle w:val="Hyperlink"/>
                <w14:scene3d>
                  <w14:camera w14:prst="orthographicFront"/>
                  <w14:lightRig w14:rig="threePt" w14:dir="t">
                    <w14:rot w14:lat="0" w14:lon="0" w14:rev="0"/>
                  </w14:lightRig>
                </w14:scene3d>
              </w:rPr>
              <w:t>A.15.2</w:t>
            </w:r>
            <w:r w:rsidR="00F40012">
              <w:rPr>
                <w:rFonts w:asciiTheme="minorHAnsi" w:eastAsiaTheme="minorEastAsia" w:hAnsiTheme="minorHAnsi"/>
                <w:lang w:eastAsia="en-AU"/>
              </w:rPr>
              <w:tab/>
            </w:r>
            <w:r w:rsidR="00F40012" w:rsidRPr="00C45BD9">
              <w:rPr>
                <w:rStyle w:val="Hyperlink"/>
              </w:rPr>
              <w:t>Estimates from implied market value studies</w:t>
            </w:r>
            <w:r w:rsidR="00F40012">
              <w:rPr>
                <w:webHidden/>
              </w:rPr>
              <w:tab/>
            </w:r>
            <w:r w:rsidR="00F40012">
              <w:rPr>
                <w:webHidden/>
              </w:rPr>
              <w:fldChar w:fldCharType="begin"/>
            </w:r>
            <w:r w:rsidR="00F40012">
              <w:rPr>
                <w:webHidden/>
              </w:rPr>
              <w:instrText xml:space="preserve"> PAGEREF _Toc487014098 \h </w:instrText>
            </w:r>
            <w:r w:rsidR="00F40012">
              <w:rPr>
                <w:webHidden/>
              </w:rPr>
            </w:r>
            <w:r w:rsidR="00F40012">
              <w:rPr>
                <w:webHidden/>
              </w:rPr>
              <w:fldChar w:fldCharType="separate"/>
            </w:r>
            <w:r>
              <w:rPr>
                <w:webHidden/>
              </w:rPr>
              <w:t>4-182</w:t>
            </w:r>
            <w:r w:rsidR="00F40012">
              <w:rPr>
                <w:webHidden/>
              </w:rPr>
              <w:fldChar w:fldCharType="end"/>
            </w:r>
          </w:hyperlink>
        </w:p>
        <w:p w:rsidR="00F40012" w:rsidRDefault="007E3457">
          <w:pPr>
            <w:pStyle w:val="TOC3"/>
            <w:rPr>
              <w:rFonts w:asciiTheme="minorHAnsi" w:eastAsiaTheme="minorEastAsia" w:hAnsiTheme="minorHAnsi"/>
              <w:lang w:eastAsia="en-AU"/>
            </w:rPr>
          </w:pPr>
          <w:hyperlink w:anchor="_Toc487014099" w:history="1">
            <w:r w:rsidR="00F40012" w:rsidRPr="00C45BD9">
              <w:rPr>
                <w:rStyle w:val="Hyperlink"/>
                <w14:scene3d>
                  <w14:camera w14:prst="orthographicFront"/>
                  <w14:lightRig w14:rig="threePt" w14:dir="t">
                    <w14:rot w14:lat="0" w14:lon="0" w14:rev="0"/>
                  </w14:lightRig>
                </w14:scene3d>
              </w:rPr>
              <w:t>A.15.3</w:t>
            </w:r>
            <w:r w:rsidR="00F40012">
              <w:rPr>
                <w:rFonts w:asciiTheme="minorHAnsi" w:eastAsiaTheme="minorEastAsia" w:hAnsiTheme="minorHAnsi"/>
                <w:lang w:eastAsia="en-AU"/>
              </w:rPr>
              <w:tab/>
            </w:r>
            <w:r w:rsidR="00F40012" w:rsidRPr="00C45BD9">
              <w:rPr>
                <w:rStyle w:val="Hyperlink"/>
              </w:rPr>
              <w:t>Comparison with other market-based estimation approaches</w:t>
            </w:r>
            <w:r w:rsidR="00F40012">
              <w:rPr>
                <w:webHidden/>
              </w:rPr>
              <w:tab/>
            </w:r>
            <w:r w:rsidR="00F40012">
              <w:rPr>
                <w:webHidden/>
              </w:rPr>
              <w:fldChar w:fldCharType="begin"/>
            </w:r>
            <w:r w:rsidR="00F40012">
              <w:rPr>
                <w:webHidden/>
              </w:rPr>
              <w:instrText xml:space="preserve"> PAGEREF _Toc487014099 \h </w:instrText>
            </w:r>
            <w:r w:rsidR="00F40012">
              <w:rPr>
                <w:webHidden/>
              </w:rPr>
            </w:r>
            <w:r w:rsidR="00F40012">
              <w:rPr>
                <w:webHidden/>
              </w:rPr>
              <w:fldChar w:fldCharType="separate"/>
            </w:r>
            <w:r>
              <w:rPr>
                <w:webHidden/>
              </w:rPr>
              <w:t>4-191</w:t>
            </w:r>
            <w:r w:rsidR="00F40012">
              <w:rPr>
                <w:webHidden/>
              </w:rPr>
              <w:fldChar w:fldCharType="end"/>
            </w:r>
          </w:hyperlink>
        </w:p>
        <w:p w:rsidR="00F40012" w:rsidRDefault="007E3457">
          <w:pPr>
            <w:pStyle w:val="TOC3"/>
            <w:rPr>
              <w:rFonts w:asciiTheme="minorHAnsi" w:eastAsiaTheme="minorEastAsia" w:hAnsiTheme="minorHAnsi"/>
              <w:lang w:eastAsia="en-AU"/>
            </w:rPr>
          </w:pPr>
          <w:hyperlink w:anchor="_Toc487014100" w:history="1">
            <w:r w:rsidR="00F40012" w:rsidRPr="00C45BD9">
              <w:rPr>
                <w:rStyle w:val="Hyperlink"/>
                <w14:scene3d>
                  <w14:camera w14:prst="orthographicFront"/>
                  <w14:lightRig w14:rig="threePt" w14:dir="t">
                    <w14:rot w14:lat="0" w14:lon="0" w14:rev="0"/>
                  </w14:lightRig>
                </w14:scene3d>
              </w:rPr>
              <w:t>A.15.4</w:t>
            </w:r>
            <w:r w:rsidR="00F40012">
              <w:rPr>
                <w:rFonts w:asciiTheme="minorHAnsi" w:eastAsiaTheme="minorEastAsia" w:hAnsiTheme="minorHAnsi"/>
                <w:lang w:eastAsia="en-AU"/>
              </w:rPr>
              <w:tab/>
            </w:r>
            <w:r w:rsidR="00F40012" w:rsidRPr="00C45BD9">
              <w:rPr>
                <w:rStyle w:val="Hyperlink"/>
              </w:rPr>
              <w:t>Adjustment of estimates from implied market value studies</w:t>
            </w:r>
            <w:r w:rsidR="00F40012">
              <w:rPr>
                <w:webHidden/>
              </w:rPr>
              <w:tab/>
            </w:r>
            <w:r w:rsidR="00F40012">
              <w:rPr>
                <w:webHidden/>
              </w:rPr>
              <w:fldChar w:fldCharType="begin"/>
            </w:r>
            <w:r w:rsidR="00F40012">
              <w:rPr>
                <w:webHidden/>
              </w:rPr>
              <w:instrText xml:space="preserve"> PAGEREF _Toc487014100 \h </w:instrText>
            </w:r>
            <w:r w:rsidR="00F40012">
              <w:rPr>
                <w:webHidden/>
              </w:rPr>
            </w:r>
            <w:r w:rsidR="00F40012">
              <w:rPr>
                <w:webHidden/>
              </w:rPr>
              <w:fldChar w:fldCharType="separate"/>
            </w:r>
            <w:r>
              <w:rPr>
                <w:webHidden/>
              </w:rPr>
              <w:t>4-201</w:t>
            </w:r>
            <w:r w:rsidR="00F40012">
              <w:rPr>
                <w:webHidden/>
              </w:rPr>
              <w:fldChar w:fldCharType="end"/>
            </w:r>
          </w:hyperlink>
        </w:p>
        <w:p w:rsidR="00F40012" w:rsidRDefault="007E3457">
          <w:pPr>
            <w:pStyle w:val="TOC3"/>
            <w:rPr>
              <w:rFonts w:asciiTheme="minorHAnsi" w:eastAsiaTheme="minorEastAsia" w:hAnsiTheme="minorHAnsi"/>
              <w:lang w:eastAsia="en-AU"/>
            </w:rPr>
          </w:pPr>
          <w:hyperlink w:anchor="_Toc487014101" w:history="1">
            <w:r w:rsidR="00F40012" w:rsidRPr="00C45BD9">
              <w:rPr>
                <w:rStyle w:val="Hyperlink"/>
                <w14:scene3d>
                  <w14:camera w14:prst="orthographicFront"/>
                  <w14:lightRig w14:rig="threePt" w14:dir="t">
                    <w14:rot w14:lat="0" w14:lon="0" w14:rev="0"/>
                  </w14:lightRig>
                </w14:scene3d>
              </w:rPr>
              <w:t>A.15.5</w:t>
            </w:r>
            <w:r w:rsidR="00F40012">
              <w:rPr>
                <w:rFonts w:asciiTheme="minorHAnsi" w:eastAsiaTheme="minorEastAsia" w:hAnsiTheme="minorHAnsi"/>
                <w:lang w:eastAsia="en-AU"/>
              </w:rPr>
              <w:tab/>
            </w:r>
            <w:r w:rsidR="00F40012" w:rsidRPr="00C45BD9">
              <w:rPr>
                <w:rStyle w:val="Hyperlink"/>
              </w:rPr>
              <w:t>Limitations of SFG's dividend drop off study</w:t>
            </w:r>
            <w:r w:rsidR="00F40012">
              <w:rPr>
                <w:webHidden/>
              </w:rPr>
              <w:tab/>
            </w:r>
            <w:r w:rsidR="00F40012">
              <w:rPr>
                <w:webHidden/>
              </w:rPr>
              <w:fldChar w:fldCharType="begin"/>
            </w:r>
            <w:r w:rsidR="00F40012">
              <w:rPr>
                <w:webHidden/>
              </w:rPr>
              <w:instrText xml:space="preserve"> PAGEREF _Toc487014101 \h </w:instrText>
            </w:r>
            <w:r w:rsidR="00F40012">
              <w:rPr>
                <w:webHidden/>
              </w:rPr>
            </w:r>
            <w:r w:rsidR="00F40012">
              <w:rPr>
                <w:webHidden/>
              </w:rPr>
              <w:fldChar w:fldCharType="separate"/>
            </w:r>
            <w:r>
              <w:rPr>
                <w:webHidden/>
              </w:rPr>
              <w:t>4-203</w:t>
            </w:r>
            <w:r w:rsidR="00F40012">
              <w:rPr>
                <w:webHidden/>
              </w:rPr>
              <w:fldChar w:fldCharType="end"/>
            </w:r>
          </w:hyperlink>
        </w:p>
        <w:p w:rsidR="00F40012" w:rsidRDefault="007E3457">
          <w:pPr>
            <w:pStyle w:val="TOC3"/>
            <w:rPr>
              <w:rFonts w:asciiTheme="minorHAnsi" w:eastAsiaTheme="minorEastAsia" w:hAnsiTheme="minorHAnsi"/>
              <w:lang w:eastAsia="en-AU"/>
            </w:rPr>
          </w:pPr>
          <w:hyperlink w:anchor="_Toc487014102" w:history="1">
            <w:r w:rsidR="00F40012" w:rsidRPr="00C45BD9">
              <w:rPr>
                <w:rStyle w:val="Hyperlink"/>
                <w14:scene3d>
                  <w14:camera w14:prst="orthographicFront"/>
                  <w14:lightRig w14:rig="threePt" w14:dir="t">
                    <w14:rot w14:lat="0" w14:lon="0" w14:rev="0"/>
                  </w14:lightRig>
                </w14:scene3d>
              </w:rPr>
              <w:t>A.15.6</w:t>
            </w:r>
            <w:r w:rsidR="00F40012">
              <w:rPr>
                <w:rFonts w:asciiTheme="minorHAnsi" w:eastAsiaTheme="minorEastAsia" w:hAnsiTheme="minorHAnsi"/>
                <w:lang w:eastAsia="en-AU"/>
              </w:rPr>
              <w:tab/>
            </w:r>
            <w:r w:rsidR="00F40012" w:rsidRPr="00C45BD9">
              <w:rPr>
                <w:rStyle w:val="Hyperlink"/>
              </w:rPr>
              <w:t>The views of academics and other regulators on dividend drop off studies</w:t>
            </w:r>
            <w:r w:rsidR="00F40012">
              <w:rPr>
                <w:webHidden/>
              </w:rPr>
              <w:tab/>
            </w:r>
            <w:r w:rsidR="00F40012">
              <w:rPr>
                <w:webHidden/>
              </w:rPr>
              <w:fldChar w:fldCharType="begin"/>
            </w:r>
            <w:r w:rsidR="00F40012">
              <w:rPr>
                <w:webHidden/>
              </w:rPr>
              <w:instrText xml:space="preserve"> PAGEREF _Toc487014102 \h </w:instrText>
            </w:r>
            <w:r w:rsidR="00F40012">
              <w:rPr>
                <w:webHidden/>
              </w:rPr>
            </w:r>
            <w:r w:rsidR="00F40012">
              <w:rPr>
                <w:webHidden/>
              </w:rPr>
              <w:fldChar w:fldCharType="separate"/>
            </w:r>
            <w:r>
              <w:rPr>
                <w:webHidden/>
              </w:rPr>
              <w:t>4-209</w:t>
            </w:r>
            <w:r w:rsidR="00F40012">
              <w:rPr>
                <w:webHidden/>
              </w:rPr>
              <w:fldChar w:fldCharType="end"/>
            </w:r>
          </w:hyperlink>
        </w:p>
        <w:p w:rsidR="00F40012" w:rsidRDefault="007E3457">
          <w:pPr>
            <w:pStyle w:val="TOC2"/>
            <w:tabs>
              <w:tab w:val="left" w:pos="1276"/>
            </w:tabs>
            <w:rPr>
              <w:rFonts w:asciiTheme="minorHAnsi" w:eastAsiaTheme="minorEastAsia" w:hAnsiTheme="minorHAnsi"/>
              <w:b w:val="0"/>
              <w:color w:val="auto"/>
              <w:sz w:val="22"/>
              <w:lang w:eastAsia="en-AU"/>
            </w:rPr>
          </w:pPr>
          <w:hyperlink w:anchor="_Toc487014103" w:history="1">
            <w:r w:rsidR="00F40012" w:rsidRPr="00C45BD9">
              <w:rPr>
                <w:rStyle w:val="Hyperlink"/>
              </w:rPr>
              <w:t>A.16</w:t>
            </w:r>
            <w:r w:rsidR="00F40012">
              <w:rPr>
                <w:rFonts w:asciiTheme="minorHAnsi" w:eastAsiaTheme="minorEastAsia" w:hAnsiTheme="minorHAnsi"/>
                <w:b w:val="0"/>
                <w:color w:val="auto"/>
                <w:sz w:val="22"/>
                <w:lang w:eastAsia="en-AU"/>
              </w:rPr>
              <w:tab/>
            </w:r>
            <w:r w:rsidR="00F40012" w:rsidRPr="00C45BD9">
              <w:rPr>
                <w:rStyle w:val="Hyperlink"/>
              </w:rPr>
              <w:t>Revised consideration of the conceptual goalposts approach</w:t>
            </w:r>
            <w:r w:rsidR="00F40012">
              <w:rPr>
                <w:webHidden/>
              </w:rPr>
              <w:tab/>
            </w:r>
            <w:r w:rsidR="00F40012">
              <w:rPr>
                <w:webHidden/>
              </w:rPr>
              <w:fldChar w:fldCharType="begin"/>
            </w:r>
            <w:r w:rsidR="00F40012">
              <w:rPr>
                <w:webHidden/>
              </w:rPr>
              <w:instrText xml:space="preserve"> PAGEREF _Toc487014103 \h </w:instrText>
            </w:r>
            <w:r w:rsidR="00F40012">
              <w:rPr>
                <w:webHidden/>
              </w:rPr>
            </w:r>
            <w:r w:rsidR="00F40012">
              <w:rPr>
                <w:webHidden/>
              </w:rPr>
              <w:fldChar w:fldCharType="separate"/>
            </w:r>
            <w:r>
              <w:rPr>
                <w:webHidden/>
              </w:rPr>
              <w:t>4-213</w:t>
            </w:r>
            <w:r w:rsidR="00F40012">
              <w:rPr>
                <w:webHidden/>
              </w:rPr>
              <w:fldChar w:fldCharType="end"/>
            </w:r>
          </w:hyperlink>
        </w:p>
        <w:p w:rsidR="00F40012" w:rsidRDefault="007E3457">
          <w:pPr>
            <w:pStyle w:val="TOC3"/>
            <w:rPr>
              <w:rFonts w:asciiTheme="minorHAnsi" w:eastAsiaTheme="minorEastAsia" w:hAnsiTheme="minorHAnsi"/>
              <w:lang w:eastAsia="en-AU"/>
            </w:rPr>
          </w:pPr>
          <w:hyperlink w:anchor="_Toc487014104" w:history="1">
            <w:r w:rsidR="00F40012" w:rsidRPr="00C45BD9">
              <w:rPr>
                <w:rStyle w:val="Hyperlink"/>
                <w14:scene3d>
                  <w14:camera w14:prst="orthographicFront"/>
                  <w14:lightRig w14:rig="threePt" w14:dir="t">
                    <w14:rot w14:lat="0" w14:lon="0" w14:rev="0"/>
                  </w14:lightRig>
                </w14:scene3d>
              </w:rPr>
              <w:t>A.16.1</w:t>
            </w:r>
            <w:r w:rsidR="00F40012">
              <w:rPr>
                <w:rFonts w:asciiTheme="minorHAnsi" w:eastAsiaTheme="minorEastAsia" w:hAnsiTheme="minorHAnsi"/>
                <w:lang w:eastAsia="en-AU"/>
              </w:rPr>
              <w:tab/>
            </w:r>
            <w:r w:rsidR="00F40012" w:rsidRPr="00C45BD9">
              <w:rPr>
                <w:rStyle w:val="Hyperlink"/>
              </w:rPr>
              <w:t>Description of the approach</w:t>
            </w:r>
            <w:r w:rsidR="00F40012">
              <w:rPr>
                <w:webHidden/>
              </w:rPr>
              <w:tab/>
            </w:r>
            <w:r w:rsidR="00F40012">
              <w:rPr>
                <w:webHidden/>
              </w:rPr>
              <w:fldChar w:fldCharType="begin"/>
            </w:r>
            <w:r w:rsidR="00F40012">
              <w:rPr>
                <w:webHidden/>
              </w:rPr>
              <w:instrText xml:space="preserve"> PAGEREF _Toc487014104 \h </w:instrText>
            </w:r>
            <w:r w:rsidR="00F40012">
              <w:rPr>
                <w:webHidden/>
              </w:rPr>
            </w:r>
            <w:r w:rsidR="00F40012">
              <w:rPr>
                <w:webHidden/>
              </w:rPr>
              <w:fldChar w:fldCharType="separate"/>
            </w:r>
            <w:r>
              <w:rPr>
                <w:webHidden/>
              </w:rPr>
              <w:t>4-214</w:t>
            </w:r>
            <w:r w:rsidR="00F40012">
              <w:rPr>
                <w:webHidden/>
              </w:rPr>
              <w:fldChar w:fldCharType="end"/>
            </w:r>
          </w:hyperlink>
        </w:p>
        <w:p w:rsidR="00F40012" w:rsidRDefault="007E3457">
          <w:pPr>
            <w:pStyle w:val="TOC3"/>
            <w:rPr>
              <w:rFonts w:asciiTheme="minorHAnsi" w:eastAsiaTheme="minorEastAsia" w:hAnsiTheme="minorHAnsi"/>
              <w:lang w:eastAsia="en-AU"/>
            </w:rPr>
          </w:pPr>
          <w:hyperlink w:anchor="_Toc487014105" w:history="1">
            <w:r w:rsidR="00F40012" w:rsidRPr="00C45BD9">
              <w:rPr>
                <w:rStyle w:val="Hyperlink"/>
                <w14:scene3d>
                  <w14:camera w14:prst="orthographicFront"/>
                  <w14:lightRig w14:rig="threePt" w14:dir="t">
                    <w14:rot w14:lat="0" w14:lon="0" w14:rev="0"/>
                  </w14:lightRig>
                </w14:scene3d>
              </w:rPr>
              <w:t>A.16.2</w:t>
            </w:r>
            <w:r w:rsidR="00F40012">
              <w:rPr>
                <w:rFonts w:asciiTheme="minorHAnsi" w:eastAsiaTheme="minorEastAsia" w:hAnsiTheme="minorHAnsi"/>
                <w:lang w:eastAsia="en-AU"/>
              </w:rPr>
              <w:tab/>
            </w:r>
            <w:r w:rsidR="00F40012" w:rsidRPr="00C45BD9">
              <w:rPr>
                <w:rStyle w:val="Hyperlink"/>
              </w:rPr>
              <w:t>Advice received since the Guideline</w:t>
            </w:r>
            <w:r w:rsidR="00F40012">
              <w:rPr>
                <w:webHidden/>
              </w:rPr>
              <w:tab/>
            </w:r>
            <w:r w:rsidR="00F40012">
              <w:rPr>
                <w:webHidden/>
              </w:rPr>
              <w:fldChar w:fldCharType="begin"/>
            </w:r>
            <w:r w:rsidR="00F40012">
              <w:rPr>
                <w:webHidden/>
              </w:rPr>
              <w:instrText xml:space="preserve"> PAGEREF _Toc487014105 \h </w:instrText>
            </w:r>
            <w:r w:rsidR="00F40012">
              <w:rPr>
                <w:webHidden/>
              </w:rPr>
            </w:r>
            <w:r w:rsidR="00F40012">
              <w:rPr>
                <w:webHidden/>
              </w:rPr>
              <w:fldChar w:fldCharType="separate"/>
            </w:r>
            <w:r>
              <w:rPr>
                <w:webHidden/>
              </w:rPr>
              <w:t>4-217</w:t>
            </w:r>
            <w:r w:rsidR="00F40012">
              <w:rPr>
                <w:webHidden/>
              </w:rPr>
              <w:fldChar w:fldCharType="end"/>
            </w:r>
          </w:hyperlink>
        </w:p>
        <w:p w:rsidR="00021F98" w:rsidRDefault="00C649A9" w:rsidP="008B1CA1">
          <w:pPr>
            <w:pStyle w:val="TOC1"/>
          </w:pPr>
          <w:r>
            <w:fldChar w:fldCharType="end"/>
          </w:r>
        </w:p>
      </w:sdtContent>
    </w:sdt>
    <w:p w:rsidR="00DE563D" w:rsidRDefault="00C84560">
      <w:pPr>
        <w:spacing w:line="240" w:lineRule="auto"/>
      </w:pPr>
      <w:r>
        <w:t xml:space="preserve"> </w:t>
      </w:r>
    </w:p>
    <w:p w:rsidR="00DE563D" w:rsidRDefault="00DE563D" w:rsidP="00C52695">
      <w:pPr>
        <w:pStyle w:val="UnnumberedHeading"/>
        <w:numPr>
          <w:ilvl w:val="0"/>
          <w:numId w:val="23"/>
        </w:numPr>
      </w:pPr>
      <w:bookmarkStart w:id="4" w:name="_Toc404700925"/>
      <w:r>
        <w:t>Shortened forms</w:t>
      </w:r>
      <w:bookmarkEnd w:id="4"/>
    </w:p>
    <w:tbl>
      <w:tblPr>
        <w:tblStyle w:val="AERtable-numbers"/>
        <w:tblW w:w="0" w:type="auto"/>
        <w:tblLook w:val="04A0" w:firstRow="1" w:lastRow="0" w:firstColumn="1" w:lastColumn="0" w:noHBand="0" w:noVBand="1"/>
      </w:tblPr>
      <w:tblGrid>
        <w:gridCol w:w="4621"/>
        <w:gridCol w:w="4621"/>
      </w:tblGrid>
      <w:tr w:rsidR="001C216D" w:rsidTr="001C21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1C216D" w:rsidRDefault="001C216D" w:rsidP="001C216D">
            <w:pPr>
              <w:numPr>
                <w:ilvl w:val="0"/>
                <w:numId w:val="24"/>
              </w:numPr>
            </w:pPr>
            <w:r>
              <w:t>Shortened form</w:t>
            </w:r>
          </w:p>
        </w:tc>
        <w:tc>
          <w:tcPr>
            <w:tcW w:w="4621" w:type="dxa"/>
          </w:tcPr>
          <w:p w:rsidR="001C216D" w:rsidRDefault="001C216D" w:rsidP="001C216D">
            <w:pPr>
              <w:numPr>
                <w:ilvl w:val="0"/>
                <w:numId w:val="24"/>
              </w:numPr>
              <w:cnfStyle w:val="100000000000" w:firstRow="1" w:lastRow="0" w:firstColumn="0" w:lastColumn="0" w:oddVBand="0" w:evenVBand="0" w:oddHBand="0" w:evenHBand="0" w:firstRowFirstColumn="0" w:firstRowLastColumn="0" w:lastRowFirstColumn="0" w:lastRowLastColumn="0"/>
            </w:pPr>
            <w:r>
              <w:t>Extended form</w:t>
            </w:r>
          </w:p>
        </w:tc>
      </w:tr>
      <w:tr w:rsidR="001C216D" w:rsidTr="001C216D">
        <w:tc>
          <w:tcPr>
            <w:cnfStyle w:val="001000000000" w:firstRow="0" w:lastRow="0" w:firstColumn="1" w:lastColumn="0" w:oddVBand="0" w:evenVBand="0" w:oddHBand="0" w:evenHBand="0" w:firstRowFirstColumn="0" w:firstRowLastColumn="0" w:lastRowFirstColumn="0" w:lastRowLastColumn="0"/>
            <w:tcW w:w="4621" w:type="dxa"/>
          </w:tcPr>
          <w:p w:rsidR="001C216D" w:rsidRDefault="001C216D" w:rsidP="001C216D">
            <w:pPr>
              <w:numPr>
                <w:ilvl w:val="0"/>
                <w:numId w:val="24"/>
              </w:numPr>
            </w:pPr>
            <w:r>
              <w:t>AER</w:t>
            </w:r>
          </w:p>
        </w:tc>
        <w:tc>
          <w:tcPr>
            <w:tcW w:w="4621" w:type="dxa"/>
          </w:tcPr>
          <w:p w:rsidR="001C216D" w:rsidRDefault="001C216D" w:rsidP="001C216D">
            <w:pPr>
              <w:numPr>
                <w:ilvl w:val="0"/>
                <w:numId w:val="24"/>
              </w:numPr>
              <w:cnfStyle w:val="000000000000" w:firstRow="0" w:lastRow="0" w:firstColumn="0" w:lastColumn="0" w:oddVBand="0" w:evenVBand="0" w:oddHBand="0" w:evenHBand="0" w:firstRowFirstColumn="0" w:firstRowLastColumn="0" w:lastRowFirstColumn="0" w:lastRowLastColumn="0"/>
            </w:pPr>
            <w:r>
              <w:t>Australian Energy Regulator</w:t>
            </w:r>
          </w:p>
        </w:tc>
      </w:tr>
      <w:tr w:rsidR="001C216D" w:rsidTr="001C216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1C216D" w:rsidRDefault="001C216D" w:rsidP="001C216D">
            <w:pPr>
              <w:numPr>
                <w:ilvl w:val="0"/>
                <w:numId w:val="24"/>
              </w:numPr>
            </w:pPr>
            <w:r>
              <w:t>ATO</w:t>
            </w:r>
          </w:p>
        </w:tc>
        <w:tc>
          <w:tcPr>
            <w:tcW w:w="4621" w:type="dxa"/>
          </w:tcPr>
          <w:p w:rsidR="001C216D" w:rsidRPr="001C216D" w:rsidRDefault="001C216D" w:rsidP="001C216D">
            <w:pPr>
              <w:cnfStyle w:val="000000010000" w:firstRow="0" w:lastRow="0" w:firstColumn="0" w:lastColumn="0" w:oddVBand="0" w:evenVBand="0" w:oddHBand="0" w:evenHBand="1" w:firstRowFirstColumn="0" w:firstRowLastColumn="0" w:lastRowFirstColumn="0" w:lastRowLastColumn="0"/>
            </w:pPr>
            <w:r>
              <w:t>Australian Tax Office</w:t>
            </w:r>
          </w:p>
        </w:tc>
      </w:tr>
      <w:tr w:rsidR="001C216D" w:rsidTr="001C216D">
        <w:tc>
          <w:tcPr>
            <w:cnfStyle w:val="001000000000" w:firstRow="0" w:lastRow="0" w:firstColumn="1" w:lastColumn="0" w:oddVBand="0" w:evenVBand="0" w:oddHBand="0" w:evenHBand="0" w:firstRowFirstColumn="0" w:firstRowLastColumn="0" w:lastRowFirstColumn="0" w:lastRowLastColumn="0"/>
            <w:tcW w:w="4621" w:type="dxa"/>
          </w:tcPr>
          <w:p w:rsidR="001C216D" w:rsidRDefault="001C216D" w:rsidP="001C216D">
            <w:pPr>
              <w:numPr>
                <w:ilvl w:val="0"/>
                <w:numId w:val="24"/>
              </w:numPr>
            </w:pPr>
            <w:r>
              <w:t>capex</w:t>
            </w:r>
          </w:p>
        </w:tc>
        <w:tc>
          <w:tcPr>
            <w:tcW w:w="4621" w:type="dxa"/>
          </w:tcPr>
          <w:p w:rsidR="001C216D" w:rsidRDefault="001C216D" w:rsidP="001C216D">
            <w:pPr>
              <w:numPr>
                <w:ilvl w:val="0"/>
                <w:numId w:val="24"/>
              </w:numPr>
              <w:cnfStyle w:val="000000000000" w:firstRow="0" w:lastRow="0" w:firstColumn="0" w:lastColumn="0" w:oddVBand="0" w:evenVBand="0" w:oddHBand="0" w:evenHBand="0" w:firstRowFirstColumn="0" w:firstRowLastColumn="0" w:lastRowFirstColumn="0" w:lastRowLastColumn="0"/>
            </w:pPr>
            <w:r>
              <w:t>capital expenditure</w:t>
            </w:r>
          </w:p>
        </w:tc>
      </w:tr>
      <w:tr w:rsidR="001C216D" w:rsidTr="001C216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1C216D" w:rsidRDefault="001C216D" w:rsidP="001C216D">
            <w:pPr>
              <w:numPr>
                <w:ilvl w:val="0"/>
                <w:numId w:val="24"/>
              </w:numPr>
            </w:pPr>
            <w:r>
              <w:t>CAPM</w:t>
            </w:r>
          </w:p>
        </w:tc>
        <w:tc>
          <w:tcPr>
            <w:tcW w:w="4621" w:type="dxa"/>
          </w:tcPr>
          <w:p w:rsidR="001C216D" w:rsidRDefault="001C216D" w:rsidP="001C216D">
            <w:pPr>
              <w:numPr>
                <w:ilvl w:val="0"/>
                <w:numId w:val="24"/>
              </w:numPr>
              <w:cnfStyle w:val="000000010000" w:firstRow="0" w:lastRow="0" w:firstColumn="0" w:lastColumn="0" w:oddVBand="0" w:evenVBand="0" w:oddHBand="0" w:evenHBand="1" w:firstRowFirstColumn="0" w:firstRowLastColumn="0" w:lastRowFirstColumn="0" w:lastRowLastColumn="0"/>
            </w:pPr>
            <w:r>
              <w:t>capital asset pricing model</w:t>
            </w:r>
          </w:p>
        </w:tc>
      </w:tr>
      <w:tr w:rsidR="001C216D" w:rsidTr="001C216D">
        <w:tc>
          <w:tcPr>
            <w:cnfStyle w:val="001000000000" w:firstRow="0" w:lastRow="0" w:firstColumn="1" w:lastColumn="0" w:oddVBand="0" w:evenVBand="0" w:oddHBand="0" w:evenHBand="0" w:firstRowFirstColumn="0" w:firstRowLastColumn="0" w:lastRowFirstColumn="0" w:lastRowLastColumn="0"/>
            <w:tcW w:w="4621" w:type="dxa"/>
          </w:tcPr>
          <w:p w:rsidR="001C216D" w:rsidRDefault="001C216D" w:rsidP="001C216D">
            <w:pPr>
              <w:numPr>
                <w:ilvl w:val="0"/>
                <w:numId w:val="24"/>
              </w:numPr>
            </w:pPr>
            <w:r>
              <w:t>CESS</w:t>
            </w:r>
          </w:p>
        </w:tc>
        <w:tc>
          <w:tcPr>
            <w:tcW w:w="4621" w:type="dxa"/>
          </w:tcPr>
          <w:p w:rsidR="001C216D" w:rsidRDefault="001C216D" w:rsidP="001C216D">
            <w:pPr>
              <w:numPr>
                <w:ilvl w:val="0"/>
                <w:numId w:val="24"/>
              </w:numPr>
              <w:cnfStyle w:val="000000000000" w:firstRow="0" w:lastRow="0" w:firstColumn="0" w:lastColumn="0" w:oddVBand="0" w:evenVBand="0" w:oddHBand="0" w:evenHBand="0" w:firstRowFirstColumn="0" w:firstRowLastColumn="0" w:lastRowFirstColumn="0" w:lastRowLastColumn="0"/>
            </w:pPr>
            <w:r>
              <w:t>Capital Expenditure Sharing Scheme</w:t>
            </w:r>
          </w:p>
        </w:tc>
      </w:tr>
      <w:tr w:rsidR="001C216D" w:rsidTr="001C216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1C216D" w:rsidRDefault="001C216D" w:rsidP="001C216D">
            <w:pPr>
              <w:numPr>
                <w:ilvl w:val="0"/>
                <w:numId w:val="24"/>
              </w:numPr>
            </w:pPr>
            <w:r>
              <w:t>CPI</w:t>
            </w:r>
          </w:p>
        </w:tc>
        <w:tc>
          <w:tcPr>
            <w:tcW w:w="4621" w:type="dxa"/>
          </w:tcPr>
          <w:p w:rsidR="001C216D" w:rsidRDefault="001C216D" w:rsidP="001C216D">
            <w:pPr>
              <w:numPr>
                <w:ilvl w:val="0"/>
                <w:numId w:val="24"/>
              </w:numPr>
              <w:cnfStyle w:val="000000010000" w:firstRow="0" w:lastRow="0" w:firstColumn="0" w:lastColumn="0" w:oddVBand="0" w:evenVBand="0" w:oddHBand="0" w:evenHBand="1" w:firstRowFirstColumn="0" w:firstRowLastColumn="0" w:lastRowFirstColumn="0" w:lastRowLastColumn="0"/>
            </w:pPr>
            <w:r>
              <w:t>consumer price index</w:t>
            </w:r>
          </w:p>
        </w:tc>
      </w:tr>
      <w:tr w:rsidR="001C216D" w:rsidTr="001C216D">
        <w:tc>
          <w:tcPr>
            <w:cnfStyle w:val="001000000000" w:firstRow="0" w:lastRow="0" w:firstColumn="1" w:lastColumn="0" w:oddVBand="0" w:evenVBand="0" w:oddHBand="0" w:evenHBand="0" w:firstRowFirstColumn="0" w:firstRowLastColumn="0" w:lastRowFirstColumn="0" w:lastRowLastColumn="0"/>
            <w:tcW w:w="4621" w:type="dxa"/>
          </w:tcPr>
          <w:p w:rsidR="001C216D" w:rsidRDefault="001C216D" w:rsidP="001C216D">
            <w:pPr>
              <w:numPr>
                <w:ilvl w:val="0"/>
                <w:numId w:val="24"/>
              </w:numPr>
            </w:pPr>
            <w:r>
              <w:t>DRP</w:t>
            </w:r>
          </w:p>
        </w:tc>
        <w:tc>
          <w:tcPr>
            <w:tcW w:w="4621" w:type="dxa"/>
          </w:tcPr>
          <w:p w:rsidR="001C216D" w:rsidRDefault="001C216D" w:rsidP="001C216D">
            <w:pPr>
              <w:numPr>
                <w:ilvl w:val="0"/>
                <w:numId w:val="24"/>
              </w:numPr>
              <w:cnfStyle w:val="000000000000" w:firstRow="0" w:lastRow="0" w:firstColumn="0" w:lastColumn="0" w:oddVBand="0" w:evenVBand="0" w:oddHBand="0" w:evenHBand="0" w:firstRowFirstColumn="0" w:firstRowLastColumn="0" w:lastRowFirstColumn="0" w:lastRowLastColumn="0"/>
            </w:pPr>
            <w:r>
              <w:t>debt risk premium</w:t>
            </w:r>
          </w:p>
        </w:tc>
      </w:tr>
      <w:tr w:rsidR="001C216D" w:rsidTr="001C216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1C216D" w:rsidRDefault="001C216D" w:rsidP="001C216D">
            <w:pPr>
              <w:numPr>
                <w:ilvl w:val="0"/>
                <w:numId w:val="24"/>
              </w:numPr>
            </w:pPr>
            <w:r>
              <w:t>ECM</w:t>
            </w:r>
          </w:p>
        </w:tc>
        <w:tc>
          <w:tcPr>
            <w:tcW w:w="4621" w:type="dxa"/>
          </w:tcPr>
          <w:p w:rsidR="001C216D" w:rsidRPr="001C216D" w:rsidRDefault="001C216D" w:rsidP="001C216D">
            <w:pPr>
              <w:cnfStyle w:val="000000010000" w:firstRow="0" w:lastRow="0" w:firstColumn="0" w:lastColumn="0" w:oddVBand="0" w:evenVBand="0" w:oddHBand="0" w:evenHBand="1" w:firstRowFirstColumn="0" w:firstRowLastColumn="0" w:lastRowFirstColumn="0" w:lastRowLastColumn="0"/>
            </w:pPr>
            <w:r>
              <w:t xml:space="preserve">(Opex) Efficiency </w:t>
            </w:r>
            <w:r w:rsidRPr="001C216D">
              <w:t>Carryover Mechanism</w:t>
            </w:r>
          </w:p>
        </w:tc>
      </w:tr>
      <w:tr w:rsidR="001C216D" w:rsidTr="001C216D">
        <w:tc>
          <w:tcPr>
            <w:cnfStyle w:val="001000000000" w:firstRow="0" w:lastRow="0" w:firstColumn="1" w:lastColumn="0" w:oddVBand="0" w:evenVBand="0" w:oddHBand="0" w:evenHBand="0" w:firstRowFirstColumn="0" w:firstRowLastColumn="0" w:lastRowFirstColumn="0" w:lastRowLastColumn="0"/>
            <w:tcW w:w="4621" w:type="dxa"/>
          </w:tcPr>
          <w:p w:rsidR="001C216D" w:rsidRDefault="001C216D" w:rsidP="001C216D">
            <w:pPr>
              <w:numPr>
                <w:ilvl w:val="0"/>
                <w:numId w:val="24"/>
              </w:numPr>
            </w:pPr>
            <w:r>
              <w:t>ERP</w:t>
            </w:r>
          </w:p>
        </w:tc>
        <w:tc>
          <w:tcPr>
            <w:tcW w:w="4621" w:type="dxa"/>
          </w:tcPr>
          <w:p w:rsidR="001C216D" w:rsidRDefault="001C216D" w:rsidP="001C216D">
            <w:pPr>
              <w:numPr>
                <w:ilvl w:val="0"/>
                <w:numId w:val="24"/>
              </w:numPr>
              <w:cnfStyle w:val="000000000000" w:firstRow="0" w:lastRow="0" w:firstColumn="0" w:lastColumn="0" w:oddVBand="0" w:evenVBand="0" w:oddHBand="0" w:evenHBand="0" w:firstRowFirstColumn="0" w:firstRowLastColumn="0" w:lastRowFirstColumn="0" w:lastRowLastColumn="0"/>
            </w:pPr>
            <w:r>
              <w:t>equity risk premium</w:t>
            </w:r>
          </w:p>
        </w:tc>
      </w:tr>
      <w:tr w:rsidR="001C216D" w:rsidTr="001C216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1C216D" w:rsidRDefault="001C216D" w:rsidP="001C216D">
            <w:pPr>
              <w:numPr>
                <w:ilvl w:val="0"/>
                <w:numId w:val="24"/>
              </w:numPr>
            </w:pPr>
            <w:r>
              <w:t>Expenditure Guideline</w:t>
            </w:r>
          </w:p>
        </w:tc>
        <w:tc>
          <w:tcPr>
            <w:tcW w:w="4621" w:type="dxa"/>
          </w:tcPr>
          <w:p w:rsidR="001C216D" w:rsidRPr="001C216D" w:rsidRDefault="001C216D" w:rsidP="001C216D">
            <w:pPr>
              <w:cnfStyle w:val="000000010000" w:firstRow="0" w:lastRow="0" w:firstColumn="0" w:lastColumn="0" w:oddVBand="0" w:evenVBand="0" w:oddHBand="0" w:evenHBand="1" w:firstRowFirstColumn="0" w:firstRowLastColumn="0" w:lastRowFirstColumn="0" w:lastRowLastColumn="0"/>
            </w:pPr>
            <w:r>
              <w:t>Expenditure Forecast Assessment Guideline</w:t>
            </w:r>
          </w:p>
        </w:tc>
      </w:tr>
      <w:tr w:rsidR="001C216D" w:rsidTr="001C216D">
        <w:tc>
          <w:tcPr>
            <w:cnfStyle w:val="001000000000" w:firstRow="0" w:lastRow="0" w:firstColumn="1" w:lastColumn="0" w:oddVBand="0" w:evenVBand="0" w:oddHBand="0" w:evenHBand="0" w:firstRowFirstColumn="0" w:firstRowLastColumn="0" w:lastRowFirstColumn="0" w:lastRowLastColumn="0"/>
            <w:tcW w:w="4621" w:type="dxa"/>
          </w:tcPr>
          <w:p w:rsidR="001C216D" w:rsidRDefault="001C216D" w:rsidP="001C216D">
            <w:pPr>
              <w:numPr>
                <w:ilvl w:val="0"/>
                <w:numId w:val="24"/>
              </w:numPr>
            </w:pPr>
            <w:r>
              <w:t>gamma</w:t>
            </w:r>
          </w:p>
        </w:tc>
        <w:tc>
          <w:tcPr>
            <w:tcW w:w="4621" w:type="dxa"/>
          </w:tcPr>
          <w:p w:rsidR="001C216D" w:rsidRPr="001C216D" w:rsidRDefault="001C216D" w:rsidP="001C216D">
            <w:pPr>
              <w:cnfStyle w:val="000000000000" w:firstRow="0" w:lastRow="0" w:firstColumn="0" w:lastColumn="0" w:oddVBand="0" w:evenVBand="0" w:oddHBand="0" w:evenHBand="0" w:firstRowFirstColumn="0" w:firstRowLastColumn="0" w:lastRowFirstColumn="0" w:lastRowLastColumn="0"/>
            </w:pPr>
            <w:r>
              <w:t>Value of Imputation Credits</w:t>
            </w:r>
          </w:p>
        </w:tc>
      </w:tr>
      <w:tr w:rsidR="001C216D" w:rsidTr="001C216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1C216D" w:rsidRDefault="001C216D" w:rsidP="001C216D">
            <w:pPr>
              <w:numPr>
                <w:ilvl w:val="0"/>
                <w:numId w:val="24"/>
              </w:numPr>
            </w:pPr>
            <w:r>
              <w:t>MRP</w:t>
            </w:r>
          </w:p>
        </w:tc>
        <w:tc>
          <w:tcPr>
            <w:tcW w:w="4621" w:type="dxa"/>
          </w:tcPr>
          <w:p w:rsidR="001C216D" w:rsidRDefault="001C216D" w:rsidP="001C216D">
            <w:pPr>
              <w:numPr>
                <w:ilvl w:val="0"/>
                <w:numId w:val="24"/>
              </w:numPr>
              <w:cnfStyle w:val="000000010000" w:firstRow="0" w:lastRow="0" w:firstColumn="0" w:lastColumn="0" w:oddVBand="0" w:evenVBand="0" w:oddHBand="0" w:evenHBand="1" w:firstRowFirstColumn="0" w:firstRowLastColumn="0" w:lastRowFirstColumn="0" w:lastRowLastColumn="0"/>
            </w:pPr>
            <w:r>
              <w:t>market risk premium</w:t>
            </w:r>
          </w:p>
        </w:tc>
      </w:tr>
      <w:tr w:rsidR="001C216D" w:rsidTr="001C216D">
        <w:tc>
          <w:tcPr>
            <w:cnfStyle w:val="001000000000" w:firstRow="0" w:lastRow="0" w:firstColumn="1" w:lastColumn="0" w:oddVBand="0" w:evenVBand="0" w:oddHBand="0" w:evenHBand="0" w:firstRowFirstColumn="0" w:firstRowLastColumn="0" w:lastRowFirstColumn="0" w:lastRowLastColumn="0"/>
            <w:tcW w:w="4621" w:type="dxa"/>
          </w:tcPr>
          <w:p w:rsidR="001C216D" w:rsidRDefault="001C216D" w:rsidP="001C216D">
            <w:pPr>
              <w:numPr>
                <w:ilvl w:val="0"/>
                <w:numId w:val="24"/>
              </w:numPr>
            </w:pPr>
            <w:r>
              <w:t>NGL</w:t>
            </w:r>
          </w:p>
        </w:tc>
        <w:tc>
          <w:tcPr>
            <w:tcW w:w="4621" w:type="dxa"/>
          </w:tcPr>
          <w:p w:rsidR="001C216D" w:rsidRDefault="001C216D" w:rsidP="001C216D">
            <w:pPr>
              <w:numPr>
                <w:ilvl w:val="0"/>
                <w:numId w:val="24"/>
              </w:numPr>
              <w:cnfStyle w:val="000000000000" w:firstRow="0" w:lastRow="0" w:firstColumn="0" w:lastColumn="0" w:oddVBand="0" w:evenVBand="0" w:oddHBand="0" w:evenHBand="0" w:firstRowFirstColumn="0" w:firstRowLastColumn="0" w:lastRowFirstColumn="0" w:lastRowLastColumn="0"/>
            </w:pPr>
            <w:r>
              <w:t>national gas law</w:t>
            </w:r>
          </w:p>
        </w:tc>
      </w:tr>
      <w:tr w:rsidR="001C216D" w:rsidTr="001C216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1C216D" w:rsidRDefault="001C216D" w:rsidP="001C216D">
            <w:pPr>
              <w:numPr>
                <w:ilvl w:val="0"/>
                <w:numId w:val="24"/>
              </w:numPr>
            </w:pPr>
            <w:r>
              <w:t>NGO</w:t>
            </w:r>
          </w:p>
        </w:tc>
        <w:tc>
          <w:tcPr>
            <w:tcW w:w="4621" w:type="dxa"/>
          </w:tcPr>
          <w:p w:rsidR="001C216D" w:rsidRDefault="001C216D" w:rsidP="001C216D">
            <w:pPr>
              <w:numPr>
                <w:ilvl w:val="0"/>
                <w:numId w:val="24"/>
              </w:numPr>
              <w:cnfStyle w:val="000000010000" w:firstRow="0" w:lastRow="0" w:firstColumn="0" w:lastColumn="0" w:oddVBand="0" w:evenVBand="0" w:oddHBand="0" w:evenHBand="1" w:firstRowFirstColumn="0" w:firstRowLastColumn="0" w:lastRowFirstColumn="0" w:lastRowLastColumn="0"/>
            </w:pPr>
            <w:r>
              <w:t>national gas objective</w:t>
            </w:r>
          </w:p>
        </w:tc>
      </w:tr>
      <w:tr w:rsidR="001C216D" w:rsidTr="001C216D">
        <w:tc>
          <w:tcPr>
            <w:cnfStyle w:val="001000000000" w:firstRow="0" w:lastRow="0" w:firstColumn="1" w:lastColumn="0" w:oddVBand="0" w:evenVBand="0" w:oddHBand="0" w:evenHBand="0" w:firstRowFirstColumn="0" w:firstRowLastColumn="0" w:lastRowFirstColumn="0" w:lastRowLastColumn="0"/>
            <w:tcW w:w="4621" w:type="dxa"/>
          </w:tcPr>
          <w:p w:rsidR="001C216D" w:rsidRDefault="001C216D" w:rsidP="001C216D">
            <w:pPr>
              <w:numPr>
                <w:ilvl w:val="0"/>
                <w:numId w:val="24"/>
              </w:numPr>
            </w:pPr>
            <w:r>
              <w:t>NGR</w:t>
            </w:r>
          </w:p>
        </w:tc>
        <w:tc>
          <w:tcPr>
            <w:tcW w:w="4621" w:type="dxa"/>
          </w:tcPr>
          <w:p w:rsidR="001C216D" w:rsidRDefault="001C216D" w:rsidP="001C216D">
            <w:pPr>
              <w:numPr>
                <w:ilvl w:val="0"/>
                <w:numId w:val="24"/>
              </w:numPr>
              <w:cnfStyle w:val="000000000000" w:firstRow="0" w:lastRow="0" w:firstColumn="0" w:lastColumn="0" w:oddVBand="0" w:evenVBand="0" w:oddHBand="0" w:evenHBand="0" w:firstRowFirstColumn="0" w:firstRowLastColumn="0" w:lastRowFirstColumn="0" w:lastRowLastColumn="0"/>
            </w:pPr>
            <w:r>
              <w:t>national gas rules</w:t>
            </w:r>
          </w:p>
        </w:tc>
      </w:tr>
      <w:tr w:rsidR="001C216D" w:rsidTr="001C216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1C216D" w:rsidRDefault="001C216D" w:rsidP="001C216D">
            <w:pPr>
              <w:numPr>
                <w:ilvl w:val="0"/>
                <w:numId w:val="24"/>
              </w:numPr>
            </w:pPr>
            <w:r>
              <w:t>NPV</w:t>
            </w:r>
          </w:p>
        </w:tc>
        <w:tc>
          <w:tcPr>
            <w:tcW w:w="4621" w:type="dxa"/>
          </w:tcPr>
          <w:p w:rsidR="001C216D" w:rsidRPr="001C216D" w:rsidRDefault="001C216D" w:rsidP="001C216D">
            <w:pPr>
              <w:cnfStyle w:val="000000010000" w:firstRow="0" w:lastRow="0" w:firstColumn="0" w:lastColumn="0" w:oddVBand="0" w:evenVBand="0" w:oddHBand="0" w:evenHBand="1" w:firstRowFirstColumn="0" w:firstRowLastColumn="0" w:lastRowFirstColumn="0" w:lastRowLastColumn="0"/>
            </w:pPr>
            <w:r>
              <w:t>net present value</w:t>
            </w:r>
          </w:p>
        </w:tc>
      </w:tr>
      <w:tr w:rsidR="001C216D" w:rsidTr="001C216D">
        <w:tc>
          <w:tcPr>
            <w:cnfStyle w:val="001000000000" w:firstRow="0" w:lastRow="0" w:firstColumn="1" w:lastColumn="0" w:oddVBand="0" w:evenVBand="0" w:oddHBand="0" w:evenHBand="0" w:firstRowFirstColumn="0" w:firstRowLastColumn="0" w:lastRowFirstColumn="0" w:lastRowLastColumn="0"/>
            <w:tcW w:w="4621" w:type="dxa"/>
          </w:tcPr>
          <w:p w:rsidR="001C216D" w:rsidRDefault="001C216D" w:rsidP="001C216D">
            <w:pPr>
              <w:numPr>
                <w:ilvl w:val="0"/>
                <w:numId w:val="24"/>
              </w:numPr>
            </w:pPr>
            <w:r>
              <w:t>opex</w:t>
            </w:r>
          </w:p>
        </w:tc>
        <w:tc>
          <w:tcPr>
            <w:tcW w:w="4621" w:type="dxa"/>
          </w:tcPr>
          <w:p w:rsidR="001C216D" w:rsidRDefault="001C216D" w:rsidP="001C216D">
            <w:pPr>
              <w:numPr>
                <w:ilvl w:val="0"/>
                <w:numId w:val="24"/>
              </w:numPr>
              <w:cnfStyle w:val="000000000000" w:firstRow="0" w:lastRow="0" w:firstColumn="0" w:lastColumn="0" w:oddVBand="0" w:evenVBand="0" w:oddHBand="0" w:evenHBand="0" w:firstRowFirstColumn="0" w:firstRowLastColumn="0" w:lastRowFirstColumn="0" w:lastRowLastColumn="0"/>
            </w:pPr>
            <w:r>
              <w:t>operating expenditure</w:t>
            </w:r>
          </w:p>
        </w:tc>
      </w:tr>
      <w:tr w:rsidR="001C216D" w:rsidTr="001C216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1C216D" w:rsidRDefault="001C216D" w:rsidP="001C216D">
            <w:pPr>
              <w:numPr>
                <w:ilvl w:val="0"/>
                <w:numId w:val="24"/>
              </w:numPr>
            </w:pPr>
            <w:r>
              <w:t>PTRM</w:t>
            </w:r>
          </w:p>
        </w:tc>
        <w:tc>
          <w:tcPr>
            <w:tcW w:w="4621" w:type="dxa"/>
          </w:tcPr>
          <w:p w:rsidR="001C216D" w:rsidRDefault="001C216D" w:rsidP="001C216D">
            <w:pPr>
              <w:numPr>
                <w:ilvl w:val="0"/>
                <w:numId w:val="24"/>
              </w:numPr>
              <w:cnfStyle w:val="000000010000" w:firstRow="0" w:lastRow="0" w:firstColumn="0" w:lastColumn="0" w:oddVBand="0" w:evenVBand="0" w:oddHBand="0" w:evenHBand="1" w:firstRowFirstColumn="0" w:firstRowLastColumn="0" w:lastRowFirstColumn="0" w:lastRowLastColumn="0"/>
            </w:pPr>
            <w:r>
              <w:t>post-tax revenue model</w:t>
            </w:r>
          </w:p>
        </w:tc>
      </w:tr>
      <w:tr w:rsidR="001C216D" w:rsidTr="001C216D">
        <w:tc>
          <w:tcPr>
            <w:cnfStyle w:val="001000000000" w:firstRow="0" w:lastRow="0" w:firstColumn="1" w:lastColumn="0" w:oddVBand="0" w:evenVBand="0" w:oddHBand="0" w:evenHBand="0" w:firstRowFirstColumn="0" w:firstRowLastColumn="0" w:lastRowFirstColumn="0" w:lastRowLastColumn="0"/>
            <w:tcW w:w="4621" w:type="dxa"/>
          </w:tcPr>
          <w:p w:rsidR="001C216D" w:rsidRDefault="001C216D" w:rsidP="001C216D">
            <w:pPr>
              <w:numPr>
                <w:ilvl w:val="0"/>
                <w:numId w:val="24"/>
              </w:numPr>
            </w:pPr>
            <w:r>
              <w:t>RBA</w:t>
            </w:r>
          </w:p>
        </w:tc>
        <w:tc>
          <w:tcPr>
            <w:tcW w:w="4621" w:type="dxa"/>
          </w:tcPr>
          <w:p w:rsidR="001C216D" w:rsidRDefault="001C216D" w:rsidP="001C216D">
            <w:pPr>
              <w:numPr>
                <w:ilvl w:val="0"/>
                <w:numId w:val="24"/>
              </w:numPr>
              <w:cnfStyle w:val="000000000000" w:firstRow="0" w:lastRow="0" w:firstColumn="0" w:lastColumn="0" w:oddVBand="0" w:evenVBand="0" w:oddHBand="0" w:evenHBand="0" w:firstRowFirstColumn="0" w:firstRowLastColumn="0" w:lastRowFirstColumn="0" w:lastRowLastColumn="0"/>
            </w:pPr>
            <w:r>
              <w:t>Reserve Bank of Australia</w:t>
            </w:r>
          </w:p>
        </w:tc>
      </w:tr>
      <w:tr w:rsidR="001C216D" w:rsidTr="001C216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1C216D" w:rsidRDefault="001C216D" w:rsidP="001C216D">
            <w:pPr>
              <w:numPr>
                <w:ilvl w:val="0"/>
                <w:numId w:val="24"/>
              </w:numPr>
            </w:pPr>
            <w:r>
              <w:t>RFM</w:t>
            </w:r>
          </w:p>
        </w:tc>
        <w:tc>
          <w:tcPr>
            <w:tcW w:w="4621" w:type="dxa"/>
          </w:tcPr>
          <w:p w:rsidR="001C216D" w:rsidRDefault="001C216D" w:rsidP="001C216D">
            <w:pPr>
              <w:numPr>
                <w:ilvl w:val="0"/>
                <w:numId w:val="24"/>
              </w:numPr>
              <w:cnfStyle w:val="000000010000" w:firstRow="0" w:lastRow="0" w:firstColumn="0" w:lastColumn="0" w:oddVBand="0" w:evenVBand="0" w:oddHBand="0" w:evenHBand="1" w:firstRowFirstColumn="0" w:firstRowLastColumn="0" w:lastRowFirstColumn="0" w:lastRowLastColumn="0"/>
            </w:pPr>
            <w:r>
              <w:t>roll forward model</w:t>
            </w:r>
          </w:p>
        </w:tc>
      </w:tr>
      <w:tr w:rsidR="001C216D" w:rsidTr="001C216D">
        <w:tc>
          <w:tcPr>
            <w:cnfStyle w:val="001000000000" w:firstRow="0" w:lastRow="0" w:firstColumn="1" w:lastColumn="0" w:oddVBand="0" w:evenVBand="0" w:oddHBand="0" w:evenHBand="0" w:firstRowFirstColumn="0" w:firstRowLastColumn="0" w:lastRowFirstColumn="0" w:lastRowLastColumn="0"/>
            <w:tcW w:w="4621" w:type="dxa"/>
          </w:tcPr>
          <w:p w:rsidR="001C216D" w:rsidRDefault="001C216D" w:rsidP="001C216D">
            <w:pPr>
              <w:numPr>
                <w:ilvl w:val="0"/>
                <w:numId w:val="24"/>
              </w:numPr>
            </w:pPr>
            <w:r>
              <w:t>RIN</w:t>
            </w:r>
          </w:p>
        </w:tc>
        <w:tc>
          <w:tcPr>
            <w:tcW w:w="4621" w:type="dxa"/>
          </w:tcPr>
          <w:p w:rsidR="001C216D" w:rsidRDefault="001C216D" w:rsidP="001C216D">
            <w:pPr>
              <w:numPr>
                <w:ilvl w:val="0"/>
                <w:numId w:val="24"/>
              </w:numPr>
              <w:cnfStyle w:val="000000000000" w:firstRow="0" w:lastRow="0" w:firstColumn="0" w:lastColumn="0" w:oddVBand="0" w:evenVBand="0" w:oddHBand="0" w:evenHBand="0" w:firstRowFirstColumn="0" w:firstRowLastColumn="0" w:lastRowFirstColumn="0" w:lastRowLastColumn="0"/>
            </w:pPr>
            <w:r>
              <w:t>regulatory information notice</w:t>
            </w:r>
          </w:p>
        </w:tc>
      </w:tr>
      <w:tr w:rsidR="001C216D" w:rsidTr="001C216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1C216D" w:rsidRDefault="001C216D" w:rsidP="001C216D">
            <w:pPr>
              <w:numPr>
                <w:ilvl w:val="0"/>
                <w:numId w:val="24"/>
              </w:numPr>
            </w:pPr>
            <w:r>
              <w:t>RPP</w:t>
            </w:r>
          </w:p>
        </w:tc>
        <w:tc>
          <w:tcPr>
            <w:tcW w:w="4621" w:type="dxa"/>
          </w:tcPr>
          <w:p w:rsidR="001C216D" w:rsidRDefault="001C216D" w:rsidP="001C216D">
            <w:pPr>
              <w:numPr>
                <w:ilvl w:val="0"/>
                <w:numId w:val="24"/>
              </w:numPr>
              <w:cnfStyle w:val="000000010000" w:firstRow="0" w:lastRow="0" w:firstColumn="0" w:lastColumn="0" w:oddVBand="0" w:evenVBand="0" w:oddHBand="0" w:evenHBand="1" w:firstRowFirstColumn="0" w:firstRowLastColumn="0" w:lastRowFirstColumn="0" w:lastRowLastColumn="0"/>
            </w:pPr>
            <w:r>
              <w:t>revenue and pricing principles</w:t>
            </w:r>
          </w:p>
        </w:tc>
      </w:tr>
      <w:tr w:rsidR="001C216D" w:rsidTr="001C216D">
        <w:tc>
          <w:tcPr>
            <w:cnfStyle w:val="001000000000" w:firstRow="0" w:lastRow="0" w:firstColumn="1" w:lastColumn="0" w:oddVBand="0" w:evenVBand="0" w:oddHBand="0" w:evenHBand="0" w:firstRowFirstColumn="0" w:firstRowLastColumn="0" w:lastRowFirstColumn="0" w:lastRowLastColumn="0"/>
            <w:tcW w:w="4621" w:type="dxa"/>
          </w:tcPr>
          <w:p w:rsidR="001C216D" w:rsidRDefault="001C216D" w:rsidP="001C216D">
            <w:pPr>
              <w:numPr>
                <w:ilvl w:val="0"/>
                <w:numId w:val="24"/>
              </w:numPr>
            </w:pPr>
            <w:r>
              <w:t>SLCAPM</w:t>
            </w:r>
          </w:p>
        </w:tc>
        <w:tc>
          <w:tcPr>
            <w:tcW w:w="4621" w:type="dxa"/>
          </w:tcPr>
          <w:p w:rsidR="001C216D" w:rsidRDefault="001C216D" w:rsidP="001C216D">
            <w:pPr>
              <w:numPr>
                <w:ilvl w:val="0"/>
                <w:numId w:val="24"/>
              </w:numPr>
              <w:cnfStyle w:val="000000000000" w:firstRow="0" w:lastRow="0" w:firstColumn="0" w:lastColumn="0" w:oddVBand="0" w:evenVBand="0" w:oddHBand="0" w:evenHBand="0" w:firstRowFirstColumn="0" w:firstRowLastColumn="0" w:lastRowFirstColumn="0" w:lastRowLastColumn="0"/>
            </w:pPr>
            <w:r>
              <w:t>Sharpe-Lintner capital asset pricing model</w:t>
            </w:r>
          </w:p>
        </w:tc>
      </w:tr>
      <w:tr w:rsidR="001C216D" w:rsidTr="001C216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1C216D" w:rsidRDefault="001C216D" w:rsidP="001C216D">
            <w:pPr>
              <w:numPr>
                <w:ilvl w:val="0"/>
                <w:numId w:val="24"/>
              </w:numPr>
            </w:pPr>
            <w:r>
              <w:t>STTM</w:t>
            </w:r>
          </w:p>
        </w:tc>
        <w:tc>
          <w:tcPr>
            <w:tcW w:w="4621" w:type="dxa"/>
          </w:tcPr>
          <w:p w:rsidR="001C216D" w:rsidRPr="001C216D" w:rsidRDefault="001C216D" w:rsidP="001C216D">
            <w:pPr>
              <w:cnfStyle w:val="000000010000" w:firstRow="0" w:lastRow="0" w:firstColumn="0" w:lastColumn="0" w:oddVBand="0" w:evenVBand="0" w:oddHBand="0" w:evenHBand="1" w:firstRowFirstColumn="0" w:firstRowLastColumn="0" w:lastRowFirstColumn="0" w:lastRowLastColumn="0"/>
            </w:pPr>
            <w:r>
              <w:t>Short Term Trading Market</w:t>
            </w:r>
          </w:p>
        </w:tc>
      </w:tr>
      <w:tr w:rsidR="001C216D" w:rsidTr="001C216D">
        <w:tc>
          <w:tcPr>
            <w:cnfStyle w:val="001000000000" w:firstRow="0" w:lastRow="0" w:firstColumn="1" w:lastColumn="0" w:oddVBand="0" w:evenVBand="0" w:oddHBand="0" w:evenHBand="0" w:firstRowFirstColumn="0" w:firstRowLastColumn="0" w:lastRowFirstColumn="0" w:lastRowLastColumn="0"/>
            <w:tcW w:w="4621" w:type="dxa"/>
          </w:tcPr>
          <w:p w:rsidR="001C216D" w:rsidRDefault="001C216D" w:rsidP="001C216D">
            <w:pPr>
              <w:numPr>
                <w:ilvl w:val="0"/>
                <w:numId w:val="24"/>
              </w:numPr>
            </w:pPr>
            <w:r>
              <w:t>TAB</w:t>
            </w:r>
          </w:p>
        </w:tc>
        <w:tc>
          <w:tcPr>
            <w:tcW w:w="4621" w:type="dxa"/>
          </w:tcPr>
          <w:p w:rsidR="001C216D" w:rsidRPr="001C216D" w:rsidRDefault="001C216D" w:rsidP="001C216D">
            <w:pPr>
              <w:cnfStyle w:val="000000000000" w:firstRow="0" w:lastRow="0" w:firstColumn="0" w:lastColumn="0" w:oddVBand="0" w:evenVBand="0" w:oddHBand="0" w:evenHBand="0" w:firstRowFirstColumn="0" w:firstRowLastColumn="0" w:lastRowFirstColumn="0" w:lastRowLastColumn="0"/>
            </w:pPr>
            <w:r>
              <w:t>Tax asset base</w:t>
            </w:r>
          </w:p>
        </w:tc>
      </w:tr>
      <w:tr w:rsidR="001C216D" w:rsidTr="001C216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1C216D" w:rsidRDefault="001C216D" w:rsidP="001C216D">
            <w:pPr>
              <w:numPr>
                <w:ilvl w:val="0"/>
                <w:numId w:val="24"/>
              </w:numPr>
            </w:pPr>
            <w:r>
              <w:t>UAFG</w:t>
            </w:r>
          </w:p>
        </w:tc>
        <w:tc>
          <w:tcPr>
            <w:tcW w:w="4621" w:type="dxa"/>
          </w:tcPr>
          <w:p w:rsidR="001C216D" w:rsidRPr="001C216D" w:rsidRDefault="001C216D" w:rsidP="001C216D">
            <w:pPr>
              <w:cnfStyle w:val="000000010000" w:firstRow="0" w:lastRow="0" w:firstColumn="0" w:lastColumn="0" w:oddVBand="0" w:evenVBand="0" w:oddHBand="0" w:evenHBand="1" w:firstRowFirstColumn="0" w:firstRowLastColumn="0" w:lastRowFirstColumn="0" w:lastRowLastColumn="0"/>
            </w:pPr>
            <w:r>
              <w:t>Unaccounted for gas</w:t>
            </w:r>
          </w:p>
        </w:tc>
      </w:tr>
      <w:tr w:rsidR="001C216D" w:rsidTr="001C216D">
        <w:tc>
          <w:tcPr>
            <w:cnfStyle w:val="001000000000" w:firstRow="0" w:lastRow="0" w:firstColumn="1" w:lastColumn="0" w:oddVBand="0" w:evenVBand="0" w:oddHBand="0" w:evenHBand="0" w:firstRowFirstColumn="0" w:firstRowLastColumn="0" w:lastRowFirstColumn="0" w:lastRowLastColumn="0"/>
            <w:tcW w:w="4621" w:type="dxa"/>
          </w:tcPr>
          <w:p w:rsidR="001C216D" w:rsidRDefault="001C216D" w:rsidP="001C216D">
            <w:pPr>
              <w:numPr>
                <w:ilvl w:val="0"/>
                <w:numId w:val="24"/>
              </w:numPr>
            </w:pPr>
            <w:r>
              <w:t>WACC</w:t>
            </w:r>
          </w:p>
        </w:tc>
        <w:tc>
          <w:tcPr>
            <w:tcW w:w="4621" w:type="dxa"/>
          </w:tcPr>
          <w:p w:rsidR="001C216D" w:rsidRDefault="001C216D" w:rsidP="001C216D">
            <w:pPr>
              <w:numPr>
                <w:ilvl w:val="0"/>
                <w:numId w:val="24"/>
              </w:numPr>
              <w:cnfStyle w:val="000000000000" w:firstRow="0" w:lastRow="0" w:firstColumn="0" w:lastColumn="0" w:oddVBand="0" w:evenVBand="0" w:oddHBand="0" w:evenHBand="0" w:firstRowFirstColumn="0" w:firstRowLastColumn="0" w:lastRowFirstColumn="0" w:lastRowLastColumn="0"/>
            </w:pPr>
            <w:r>
              <w:t>weighted average cost of capital</w:t>
            </w:r>
          </w:p>
        </w:tc>
      </w:tr>
      <w:tr w:rsidR="001C216D" w:rsidTr="001C216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1C216D" w:rsidRDefault="001C216D" w:rsidP="001C216D">
            <w:pPr>
              <w:numPr>
                <w:ilvl w:val="0"/>
                <w:numId w:val="24"/>
              </w:numPr>
            </w:pPr>
            <w:r>
              <w:t>WPI</w:t>
            </w:r>
          </w:p>
        </w:tc>
        <w:tc>
          <w:tcPr>
            <w:tcW w:w="4621" w:type="dxa"/>
          </w:tcPr>
          <w:p w:rsidR="001C216D" w:rsidRPr="001C216D" w:rsidRDefault="001C216D" w:rsidP="001C216D">
            <w:pPr>
              <w:cnfStyle w:val="000000010000" w:firstRow="0" w:lastRow="0" w:firstColumn="0" w:lastColumn="0" w:oddVBand="0" w:evenVBand="0" w:oddHBand="0" w:evenHBand="1" w:firstRowFirstColumn="0" w:firstRowLastColumn="0" w:lastRowFirstColumn="0" w:lastRowLastColumn="0"/>
            </w:pPr>
            <w:r>
              <w:t>Wage Price Index</w:t>
            </w:r>
          </w:p>
        </w:tc>
      </w:tr>
    </w:tbl>
    <w:p w:rsidR="00DE563D" w:rsidRDefault="00E14A44" w:rsidP="00E14A44">
      <w:pPr>
        <w:pStyle w:val="Heading1"/>
      </w:pPr>
      <w:bookmarkStart w:id="5" w:name="_Toc486843645"/>
      <w:bookmarkStart w:id="6" w:name="_Toc486843646"/>
      <w:bookmarkStart w:id="7" w:name="_Toc486843647"/>
      <w:bookmarkStart w:id="8" w:name="_Ref477173357"/>
      <w:bookmarkStart w:id="9" w:name="_Toc487014042"/>
      <w:bookmarkEnd w:id="5"/>
      <w:bookmarkEnd w:id="6"/>
      <w:bookmarkEnd w:id="7"/>
      <w:r>
        <w:t>Value of imputation credits</w:t>
      </w:r>
      <w:bookmarkEnd w:id="8"/>
      <w:bookmarkEnd w:id="9"/>
    </w:p>
    <w:p w:rsidR="00437CA2" w:rsidRDefault="00437CA2" w:rsidP="00C52695">
      <w:pPr>
        <w:numPr>
          <w:ilvl w:val="0"/>
          <w:numId w:val="24"/>
        </w:numPr>
      </w:pPr>
      <w:r>
        <w:t>Imputation</w:t>
      </w:r>
      <w:r w:rsidRPr="00A3318E">
        <w:t xml:space="preserve"> credits are </w:t>
      </w:r>
      <w:r>
        <w:t xml:space="preserve">valuable to investors and are therefore </w:t>
      </w:r>
      <w:r w:rsidRPr="00A3318E">
        <w:t xml:space="preserve">a benefit in addition to any cash dividend or capital gains </w:t>
      </w:r>
      <w:r>
        <w:t xml:space="preserve">they receive </w:t>
      </w:r>
      <w:r w:rsidRPr="00A3318E">
        <w:t>from owning shares.</w:t>
      </w:r>
      <w:r>
        <w:t xml:space="preserve"> </w:t>
      </w:r>
      <w:r w:rsidRPr="00A3318E">
        <w:t xml:space="preserve">Under the Australian imputation tax system, investors </w:t>
      </w:r>
      <w:r>
        <w:t xml:space="preserve">can </w:t>
      </w:r>
      <w:r w:rsidRPr="00A3318E">
        <w:t>receive an imputation credit for income t</w:t>
      </w:r>
      <w:r>
        <w:t>ax paid at the company level.</w:t>
      </w:r>
      <w:r>
        <w:rPr>
          <w:rStyle w:val="FootnoteReference"/>
        </w:rPr>
        <w:footnoteReference w:id="1"/>
      </w:r>
      <w:r w:rsidRPr="00A3318E">
        <w:t xml:space="preserve"> For eligible investors, this credit offsets their Australian income tax liabilities. If the </w:t>
      </w:r>
      <w:r>
        <w:t>amount</w:t>
      </w:r>
      <w:r w:rsidRPr="00A3318E">
        <w:t xml:space="preserve"> of imputation credits </w:t>
      </w:r>
      <w:r>
        <w:t xml:space="preserve">received </w:t>
      </w:r>
      <w:r w:rsidRPr="00A3318E">
        <w:t>exceeds an investor's tax liability, that investor can receive</w:t>
      </w:r>
      <w:r w:rsidR="00E750F8">
        <w:t xml:space="preserve"> a cash refund for the balance.</w:t>
      </w:r>
    </w:p>
    <w:p w:rsidR="00437CA2" w:rsidRDefault="00437CA2" w:rsidP="00C52695">
      <w:pPr>
        <w:numPr>
          <w:ilvl w:val="0"/>
          <w:numId w:val="24"/>
        </w:numPr>
      </w:pPr>
      <w:r>
        <w:t>The National Electricity Rules/National Gas Rules (NER/NGR) recognises that a service provider's allowed revenue does not need to include the value of imputation credits. Under the NER/NGR, service providers are to recover revenue that compensates them for their efficient costs in providing regulated services. This includes, among other things, a return to be provided to investors (return on equity) that is required to promote efficient levels of investment. The more that imputation credits are valuable, the less return that investors require from dividends and capital gains. However, the estimation of the return on equity does not take imputation credits into account.</w:t>
      </w:r>
      <w:r>
        <w:rPr>
          <w:rStyle w:val="FootnoteReference"/>
        </w:rPr>
        <w:footnoteReference w:id="2"/>
      </w:r>
      <w:r>
        <w:t xml:space="preserve"> Therefore, an adjustment for the value of imputation credits is required. This adjustment could take the form of a decrease in the estimated return on equity itself.</w:t>
      </w:r>
    </w:p>
    <w:p w:rsidR="00437CA2" w:rsidRPr="00E356F9" w:rsidRDefault="00437CA2" w:rsidP="00C52695">
      <w:pPr>
        <w:numPr>
          <w:ilvl w:val="0"/>
          <w:numId w:val="24"/>
        </w:numPr>
      </w:pPr>
      <w:r>
        <w:t xml:space="preserve">An alternative but equivalent form of adjustment, which is employed by the NER/NGR, is via the revenue granted to a service provider to cover its expected tax liability. Specifically, the NER/NGR require that the estimated cost of corporate income tax be determined in accordance with a formula that reduces the estimated cost of corporate tax by the 'value of imputation credits' (represented by the Greek letter, </w:t>
      </w:r>
      <m:oMath>
        <m:r>
          <w:rPr>
            <w:rFonts w:ascii="Cambria Math" w:hAnsi="Cambria Math"/>
          </w:rPr>
          <m:t>γ</m:t>
        </m:r>
      </m:oMath>
      <w:r>
        <w:t>, 'gamma').</w:t>
      </w:r>
      <w:r>
        <w:rPr>
          <w:rStyle w:val="FootnoteReference"/>
        </w:rPr>
        <w:footnoteReference w:id="3"/>
      </w:r>
      <w:r>
        <w:t xml:space="preserve"> This form of adjustment recognises that it is the payment of corporate tax which is the source of the imputation credit return to investors.</w:t>
      </w:r>
    </w:p>
    <w:p w:rsidR="00437CA2" w:rsidRDefault="00437CA2" w:rsidP="00C52695">
      <w:pPr>
        <w:numPr>
          <w:ilvl w:val="0"/>
          <w:numId w:val="24"/>
        </w:numPr>
      </w:pPr>
      <w:r>
        <w:t xml:space="preserve">In this attachment, we set out our </w:t>
      </w:r>
      <w:r w:rsidR="007F0C93">
        <w:t>draft</w:t>
      </w:r>
      <w:r w:rsidR="00997BDC">
        <w:t xml:space="preserve"> </w:t>
      </w:r>
      <w:r>
        <w:t xml:space="preserve">decision on the value of imputation credits and our key reasons for this decision. We also consider </w:t>
      </w:r>
      <w:r w:rsidR="007F0C93">
        <w:t>Multinet's</w:t>
      </w:r>
      <w:r w:rsidR="00997BDC">
        <w:t xml:space="preserve"> </w:t>
      </w:r>
      <w:r>
        <w:t xml:space="preserve">proposed value of imputation credits and the </w:t>
      </w:r>
      <w:r w:rsidR="007F0C93">
        <w:t>material in its</w:t>
      </w:r>
      <w:r>
        <w:t xml:space="preserve"> proposal.</w:t>
      </w:r>
      <w:r w:rsidR="007F0C93">
        <w:t xml:space="preserve"> This includes a </w:t>
      </w:r>
      <w:r w:rsidR="00180548">
        <w:t xml:space="preserve">new </w:t>
      </w:r>
      <w:r w:rsidR="007F0C93">
        <w:t>report by Frontier on perspectives for the estimation of Gamma.</w:t>
      </w:r>
      <w:r w:rsidR="007F0C93">
        <w:rPr>
          <w:rStyle w:val="FootnoteReference"/>
        </w:rPr>
        <w:footnoteReference w:id="4"/>
      </w:r>
      <w:r w:rsidR="009B6CBD">
        <w:t xml:space="preserve"> </w:t>
      </w:r>
      <w:r w:rsidR="00991FC6">
        <w:t xml:space="preserve"> We </w:t>
      </w:r>
      <w:r w:rsidR="00651532">
        <w:t xml:space="preserve">have </w:t>
      </w:r>
      <w:r w:rsidR="00991FC6">
        <w:t>had our consultant consider the report</w:t>
      </w:r>
      <w:r w:rsidR="00651532">
        <w:t>. Having considered the report and our consultant's advice</w:t>
      </w:r>
      <w:r w:rsidR="00991FC6">
        <w:t xml:space="preserve"> nothing in the new material changes our </w:t>
      </w:r>
      <w:r w:rsidR="00CD6421">
        <w:t>views on how we estimate gamma</w:t>
      </w:r>
      <w:r w:rsidR="00651532">
        <w:t>, or that a value of 0.4 remains appropriate</w:t>
      </w:r>
      <w:r w:rsidR="00CD6421">
        <w:t xml:space="preserve">. </w:t>
      </w:r>
      <w:r w:rsidR="009B6CBD">
        <w:t>We note</w:t>
      </w:r>
      <w:r w:rsidR="00180548">
        <w:t xml:space="preserve"> Multinet</w:t>
      </w:r>
      <w:r w:rsidR="0079361D">
        <w:t xml:space="preserve"> and some service providers</w:t>
      </w:r>
      <w:r w:rsidR="00180548">
        <w:t xml:space="preserve"> also submitted two Frontier's reports</w:t>
      </w:r>
      <w:r w:rsidR="0079361D">
        <w:t xml:space="preserve"> with their</w:t>
      </w:r>
      <w:r w:rsidR="00180548">
        <w:t xml:space="preserve"> proposal</w:t>
      </w:r>
      <w:r w:rsidR="0079361D">
        <w:t>s</w:t>
      </w:r>
      <w:r w:rsidR="00180548">
        <w:t xml:space="preserve"> that were submitted earlier by AusNet Services.</w:t>
      </w:r>
      <w:r w:rsidR="00323FDA">
        <w:rPr>
          <w:rStyle w:val="FootnoteReference"/>
        </w:rPr>
        <w:footnoteReference w:id="5"/>
      </w:r>
      <w:r w:rsidR="002C1C0B">
        <w:t xml:space="preserve"> </w:t>
      </w:r>
      <w:r w:rsidR="00180548">
        <w:t>T</w:t>
      </w:r>
      <w:r w:rsidR="009B6CBD">
        <w:t>he sec</w:t>
      </w:r>
      <w:r w:rsidR="00180548">
        <w:t>tions below also respond to the two Frontier's reports</w:t>
      </w:r>
      <w:r w:rsidR="00490D58">
        <w:t xml:space="preserve"> </w:t>
      </w:r>
      <w:r w:rsidR="00180548">
        <w:t xml:space="preserve">and the arguments in AusNet Services' proposal </w:t>
      </w:r>
      <w:r w:rsidR="00490D58">
        <w:t>given we have considered it in reaching our draft decision for Multinet.</w:t>
      </w:r>
      <w:r>
        <w:t xml:space="preserve"> </w:t>
      </w:r>
      <w:r w:rsidR="002C1C0B">
        <w:t xml:space="preserve">We considered these 2 earlier reports when making our final determination for AusNet Services eletricity transmision in April 2017 and our views on those reports expressed in that decision remain unchanged. </w:t>
      </w:r>
      <w:r>
        <w:t xml:space="preserve">In appendix A, we include further supporting detail on our position on the value of imputation credits and also respond to </w:t>
      </w:r>
      <w:r w:rsidR="00144E73">
        <w:t>Multinet's</w:t>
      </w:r>
      <w:r w:rsidR="00997BDC">
        <w:t xml:space="preserve"> </w:t>
      </w:r>
      <w:r>
        <w:t>proposal in detail.</w:t>
      </w:r>
    </w:p>
    <w:p w:rsidR="00DE563D" w:rsidRPr="001754EE" w:rsidRDefault="003E08B5" w:rsidP="001754EE">
      <w:pPr>
        <w:pStyle w:val="Heading2"/>
      </w:pPr>
      <w:bookmarkStart w:id="10" w:name="_Toc486843649"/>
      <w:bookmarkStart w:id="11" w:name="_Toc486843650"/>
      <w:bookmarkStart w:id="12" w:name="_Toc403144136"/>
      <w:bookmarkStart w:id="13" w:name="_Ref476324220"/>
      <w:bookmarkStart w:id="14" w:name="_Ref476564330"/>
      <w:bookmarkStart w:id="15" w:name="_Ref477173369"/>
      <w:bookmarkStart w:id="16" w:name="_Toc487014043"/>
      <w:bookmarkStart w:id="17" w:name="_GoBack"/>
      <w:bookmarkEnd w:id="10"/>
      <w:bookmarkEnd w:id="11"/>
      <w:bookmarkEnd w:id="17"/>
      <w:r>
        <w:t>Draft</w:t>
      </w:r>
      <w:r w:rsidR="00AB2F1E">
        <w:t xml:space="preserve"> </w:t>
      </w:r>
      <w:r w:rsidR="00DE563D" w:rsidRPr="001754EE">
        <w:t>decision</w:t>
      </w:r>
      <w:bookmarkEnd w:id="12"/>
      <w:bookmarkEnd w:id="13"/>
      <w:bookmarkEnd w:id="14"/>
      <w:bookmarkEnd w:id="15"/>
      <w:bookmarkEnd w:id="16"/>
    </w:p>
    <w:p w:rsidR="00437CA2" w:rsidRPr="00C94AE8" w:rsidRDefault="00437CA2" w:rsidP="00C52695">
      <w:pPr>
        <w:numPr>
          <w:ilvl w:val="0"/>
          <w:numId w:val="24"/>
        </w:numPr>
      </w:pPr>
      <w:bookmarkStart w:id="18" w:name="_Toc403144137"/>
      <w:r w:rsidRPr="00883125">
        <w:t xml:space="preserve">We </w:t>
      </w:r>
      <w:r w:rsidR="0010358A">
        <w:t xml:space="preserve">do not </w:t>
      </w:r>
      <w:r w:rsidRPr="00883125">
        <w:t xml:space="preserve">accept </w:t>
      </w:r>
      <w:r w:rsidR="007F0C93">
        <w:t>Multinet's</w:t>
      </w:r>
      <w:r w:rsidR="00286D94">
        <w:t xml:space="preserve"> </w:t>
      </w:r>
      <w:r w:rsidRPr="00883125">
        <w:t>proposed value of imputation credits</w:t>
      </w:r>
      <w:r>
        <w:t xml:space="preserve"> (or gamma)</w:t>
      </w:r>
      <w:r w:rsidRPr="00883125">
        <w:t xml:space="preserve"> of 0.</w:t>
      </w:r>
      <w:r w:rsidR="00286D94">
        <w:t>25</w:t>
      </w:r>
      <w:r w:rsidRPr="00883125">
        <w:t xml:space="preserve">. </w:t>
      </w:r>
      <w:r w:rsidR="00286D94">
        <w:t xml:space="preserve">Instead, we adopt a value of imputation credits of 0.4. </w:t>
      </w:r>
      <w:r w:rsidRPr="00C94AE8">
        <w:t xml:space="preserve">We consider that the use of a value for imputation credits of 0.4 will result in equity investors in the benchmark efficient entity receiving an ex ante total return (inclusive of the value of imputation credits) commensurate with the efficient equity financing costs of </w:t>
      </w:r>
      <w:r>
        <w:t>a</w:t>
      </w:r>
      <w:r w:rsidRPr="00C94AE8">
        <w:t xml:space="preserve"> benchmark efficient entity.</w:t>
      </w:r>
    </w:p>
    <w:p w:rsidR="00437CA2" w:rsidRPr="00883125" w:rsidRDefault="00437CA2" w:rsidP="00C52695">
      <w:pPr>
        <w:numPr>
          <w:ilvl w:val="0"/>
          <w:numId w:val="24"/>
        </w:numPr>
      </w:pPr>
      <w:r w:rsidRPr="00883125">
        <w:t>Estimating the value of imputation credits is a complex and imprecise task. There is no consensus among experts on the appropriate value or estimation techniques to use.</w:t>
      </w:r>
      <w:r w:rsidRPr="00E82D06">
        <w:rPr>
          <w:rStyle w:val="FootnoteReference"/>
        </w:rPr>
        <w:footnoteReference w:id="6"/>
      </w:r>
      <w:r w:rsidRPr="00E82D06">
        <w:rPr>
          <w:rStyle w:val="FootnoteReference"/>
        </w:rPr>
        <w:t xml:space="preserve"> </w:t>
      </w:r>
      <w:r w:rsidRPr="00883125">
        <w:t>Further, with each estimation technique there are often a number of ways these may be applied resulting in different outcomes. Conceptually, the value of imputation credits must be between 0 and 1, and the range of expert views on the value of imputation credits is almost this wide.</w:t>
      </w:r>
      <w:r w:rsidRPr="00E82D06">
        <w:rPr>
          <w:rStyle w:val="FootnoteReference"/>
        </w:rPr>
        <w:footnoteReference w:id="7"/>
      </w:r>
    </w:p>
    <w:p w:rsidR="00437CA2" w:rsidRPr="005942A6" w:rsidRDefault="00437CA2" w:rsidP="00437CA2">
      <w:pPr>
        <w:rPr>
          <w:rStyle w:val="AERbody"/>
        </w:rPr>
      </w:pPr>
      <w:r w:rsidRPr="005942A6">
        <w:rPr>
          <w:rStyle w:val="AERbody"/>
        </w:rPr>
        <w:t>In coming to a value of imputation credits of 0.4:</w:t>
      </w:r>
    </w:p>
    <w:p w:rsidR="00437CA2" w:rsidRPr="001D37D5" w:rsidRDefault="00437CA2" w:rsidP="00437CA2">
      <w:pPr>
        <w:pStyle w:val="AERbulletlistfirststyle"/>
      </w:pPr>
      <w:r w:rsidRPr="00DD1139">
        <w:t>We a</w:t>
      </w:r>
      <w:r w:rsidRPr="001D37D5">
        <w:t>dopt a conceptual approach consistent with the Officer framework,</w:t>
      </w:r>
      <w:r w:rsidRPr="00247000">
        <w:rPr>
          <w:rStyle w:val="FootnoteReference"/>
        </w:rPr>
        <w:footnoteReference w:id="8"/>
      </w:r>
      <w:r w:rsidRPr="001D37D5">
        <w:t xml:space="preserve"> which we consider best promotes the objectives and requirements of the NER/NGR. This approach considers the value of imputation credits is a post-tax value before the impact of personal taxes and transaction costs.</w:t>
      </w:r>
      <w:r>
        <w:rPr>
          <w:rStyle w:val="FootnoteReference"/>
        </w:rPr>
        <w:footnoteReference w:id="9"/>
      </w:r>
      <w:r w:rsidRPr="001D37D5">
        <w:t xml:space="preserve"> As such, we view the value of imputation credits as the proportion of company tax returned to investors through the utilisation of imputation credits.</w:t>
      </w:r>
      <w:r w:rsidRPr="001D37D5">
        <w:rPr>
          <w:rStyle w:val="FootnoteReference"/>
        </w:rPr>
        <w:footnoteReference w:id="10"/>
      </w:r>
    </w:p>
    <w:p w:rsidR="00437CA2" w:rsidRPr="001D37D5" w:rsidRDefault="00437CA2" w:rsidP="00437CA2">
      <w:pPr>
        <w:pStyle w:val="AERbulletlistfirststyle"/>
      </w:pPr>
      <w:r w:rsidRPr="00DD1139">
        <w:t>We consider our</w:t>
      </w:r>
      <w:r w:rsidRPr="001D37D5">
        <w:t xml:space="preserve"> conceptual approach allows for the value of imputation credits to be estimated on a consistent basis with the allowed rate of return and allowed revenues under the post-tax framework in the NER/NGR.</w:t>
      </w:r>
      <w:r w:rsidRPr="001D37D5">
        <w:rPr>
          <w:rStyle w:val="FootnoteReference"/>
        </w:rPr>
        <w:footnoteReference w:id="11"/>
      </w:r>
      <w:r w:rsidRPr="001D37D5">
        <w:t xml:space="preserve"> </w:t>
      </w:r>
    </w:p>
    <w:p w:rsidR="00437CA2" w:rsidRPr="001D37D5" w:rsidRDefault="00437CA2" w:rsidP="00437CA2">
      <w:pPr>
        <w:pStyle w:val="AERbulletlistfirststyle"/>
      </w:pPr>
      <w:r w:rsidRPr="00DD1139">
        <w:t xml:space="preserve">We use the widely accepted approach of estimating the value of imputation credits as the product of two sub-parameters: the 'distribution rate' and the 'utilisation </w:t>
      </w:r>
      <w:r w:rsidRPr="001D37D5">
        <w:t>rate'.</w:t>
      </w:r>
      <w:r w:rsidRPr="001D37D5">
        <w:rPr>
          <w:rStyle w:val="FootnoteReference"/>
        </w:rPr>
        <w:footnoteReference w:id="12"/>
      </w:r>
      <w:r w:rsidRPr="001D37D5">
        <w:t xml:space="preserve"> Our definition of, and estimation approach for, these sub-parameters is set out in </w:t>
      </w:r>
      <w:r w:rsidRPr="001D37D5">
        <w:fldChar w:fldCharType="begin"/>
      </w:r>
      <w:r w:rsidRPr="001D37D5">
        <w:instrText xml:space="preserve"> REF  _Ref450662555 \* Lower \h  \* MERGEFORMAT </w:instrText>
      </w:r>
      <w:r w:rsidRPr="001D37D5">
        <w:fldChar w:fldCharType="separate"/>
      </w:r>
      <w:r w:rsidR="007E3457">
        <w:t>table 4</w:t>
      </w:r>
      <w:r w:rsidR="007E3457">
        <w:noBreakHyphen/>
        <w:t>1</w:t>
      </w:r>
      <w:r w:rsidRPr="001D37D5">
        <w:fldChar w:fldCharType="end"/>
      </w:r>
      <w:r w:rsidRPr="001D37D5">
        <w:t>.</w:t>
      </w:r>
    </w:p>
    <w:p w:rsidR="00437CA2" w:rsidRDefault="00437CA2" w:rsidP="00437CA2">
      <w:pPr>
        <w:pStyle w:val="Caption"/>
      </w:pPr>
      <w:bookmarkStart w:id="19" w:name="_Ref450662555"/>
      <w:r>
        <w:t xml:space="preserve">Table </w:t>
      </w:r>
      <w:r w:rsidRPr="001D37D5">
        <w:fldChar w:fldCharType="begin"/>
      </w:r>
      <w:r>
        <w:instrText xml:space="preserve"> STYLEREF 1 \s </w:instrText>
      </w:r>
      <w:r w:rsidRPr="001D37D5">
        <w:fldChar w:fldCharType="separate"/>
      </w:r>
      <w:r w:rsidR="007E3457">
        <w:rPr>
          <w:noProof/>
        </w:rPr>
        <w:t>4</w:t>
      </w:r>
      <w:r w:rsidRPr="001D37D5">
        <w:fldChar w:fldCharType="end"/>
      </w:r>
      <w:r>
        <w:noBreakHyphen/>
      </w:r>
      <w:r w:rsidRPr="001D37D5">
        <w:fldChar w:fldCharType="begin"/>
      </w:r>
      <w:r>
        <w:instrText xml:space="preserve"> SEQ Table \* ARABIC \s 1 </w:instrText>
      </w:r>
      <w:r w:rsidRPr="001D37D5">
        <w:fldChar w:fldCharType="separate"/>
      </w:r>
      <w:r w:rsidR="007E3457">
        <w:rPr>
          <w:noProof/>
        </w:rPr>
        <w:t>1</w:t>
      </w:r>
      <w:r w:rsidRPr="001D37D5">
        <w:fldChar w:fldCharType="end"/>
      </w:r>
      <w:bookmarkEnd w:id="19"/>
      <w:r>
        <w:tab/>
        <w:t>Gamma sub-parameters: definition and estimation approach</w:t>
      </w:r>
    </w:p>
    <w:tbl>
      <w:tblPr>
        <w:tblStyle w:val="AERtable-text0"/>
        <w:tblW w:w="0" w:type="auto"/>
        <w:tblLook w:val="04A0" w:firstRow="1" w:lastRow="0" w:firstColumn="1" w:lastColumn="0" w:noHBand="0" w:noVBand="1"/>
      </w:tblPr>
      <w:tblGrid>
        <w:gridCol w:w="2518"/>
        <w:gridCol w:w="2977"/>
        <w:gridCol w:w="3747"/>
      </w:tblGrid>
      <w:tr w:rsidR="00437CA2" w:rsidTr="00437CA2">
        <w:trPr>
          <w:cnfStyle w:val="100000000000" w:firstRow="1" w:lastRow="0" w:firstColumn="0" w:lastColumn="0" w:oddVBand="0" w:evenVBand="0" w:oddHBand="0" w:evenHBand="0" w:firstRowFirstColumn="0" w:firstRowLastColumn="0" w:lastRowFirstColumn="0" w:lastRowLastColumn="0"/>
        </w:trPr>
        <w:tc>
          <w:tcPr>
            <w:tcW w:w="2518" w:type="dxa"/>
          </w:tcPr>
          <w:p w:rsidR="00437CA2" w:rsidRDefault="00437CA2" w:rsidP="00C52695">
            <w:pPr>
              <w:numPr>
                <w:ilvl w:val="0"/>
                <w:numId w:val="24"/>
              </w:numPr>
            </w:pPr>
            <w:r>
              <w:t>Sub-parameter</w:t>
            </w:r>
          </w:p>
        </w:tc>
        <w:tc>
          <w:tcPr>
            <w:tcW w:w="2977" w:type="dxa"/>
          </w:tcPr>
          <w:p w:rsidR="00437CA2" w:rsidRDefault="00437CA2" w:rsidP="00C52695">
            <w:pPr>
              <w:numPr>
                <w:ilvl w:val="0"/>
                <w:numId w:val="24"/>
              </w:numPr>
            </w:pPr>
            <w:r>
              <w:t>Definition</w:t>
            </w:r>
          </w:p>
        </w:tc>
        <w:tc>
          <w:tcPr>
            <w:tcW w:w="3747" w:type="dxa"/>
          </w:tcPr>
          <w:p w:rsidR="00437CA2" w:rsidRDefault="00437CA2" w:rsidP="00C52695">
            <w:pPr>
              <w:numPr>
                <w:ilvl w:val="0"/>
                <w:numId w:val="24"/>
              </w:numPr>
            </w:pPr>
            <w:r>
              <w:t>Estimation approach</w:t>
            </w:r>
          </w:p>
        </w:tc>
      </w:tr>
      <w:tr w:rsidR="00437CA2" w:rsidTr="00437CA2">
        <w:tc>
          <w:tcPr>
            <w:tcW w:w="2518" w:type="dxa"/>
          </w:tcPr>
          <w:p w:rsidR="00437CA2" w:rsidRDefault="00437CA2" w:rsidP="00C52695">
            <w:pPr>
              <w:numPr>
                <w:ilvl w:val="0"/>
                <w:numId w:val="24"/>
              </w:numPr>
            </w:pPr>
            <w:r>
              <w:t>Distribution rate (or payout ratio)</w:t>
            </w:r>
          </w:p>
        </w:tc>
        <w:tc>
          <w:tcPr>
            <w:tcW w:w="2977" w:type="dxa"/>
          </w:tcPr>
          <w:p w:rsidR="00437CA2" w:rsidRDefault="00437CA2" w:rsidP="00C52695">
            <w:pPr>
              <w:numPr>
                <w:ilvl w:val="0"/>
                <w:numId w:val="24"/>
              </w:numPr>
            </w:pPr>
            <w:r>
              <w:t>T</w:t>
            </w:r>
            <w:r w:rsidRPr="004746B6">
              <w:t>he proportion of imputation credits generated that is distributed to investors</w:t>
            </w:r>
          </w:p>
        </w:tc>
        <w:tc>
          <w:tcPr>
            <w:tcW w:w="3747" w:type="dxa"/>
          </w:tcPr>
          <w:p w:rsidR="00437CA2" w:rsidRDefault="00437CA2" w:rsidP="00C52695">
            <w:pPr>
              <w:numPr>
                <w:ilvl w:val="0"/>
                <w:numId w:val="24"/>
              </w:numPr>
            </w:pPr>
            <w:r>
              <w:t xml:space="preserve">Primary reliance placed on the </w:t>
            </w:r>
            <w:r w:rsidRPr="004746B6">
              <w:t xml:space="preserve">widely accepted </w:t>
            </w:r>
            <w:r>
              <w:t>cumulative payout ratio approach. Some regard is also given to Lally's estimate for listed equity from financial reports of the 20 largest listed firms.</w:t>
            </w:r>
          </w:p>
        </w:tc>
      </w:tr>
      <w:tr w:rsidR="00437CA2" w:rsidTr="00437CA2">
        <w:trPr>
          <w:cnfStyle w:val="000000010000" w:firstRow="0" w:lastRow="0" w:firstColumn="0" w:lastColumn="0" w:oddVBand="0" w:evenVBand="0" w:oddHBand="0" w:evenHBand="1" w:firstRowFirstColumn="0" w:firstRowLastColumn="0" w:lastRowFirstColumn="0" w:lastRowLastColumn="0"/>
        </w:trPr>
        <w:tc>
          <w:tcPr>
            <w:tcW w:w="2518" w:type="dxa"/>
          </w:tcPr>
          <w:p w:rsidR="00437CA2" w:rsidRDefault="00437CA2" w:rsidP="00C52695">
            <w:pPr>
              <w:numPr>
                <w:ilvl w:val="0"/>
                <w:numId w:val="24"/>
              </w:numPr>
            </w:pPr>
            <w:r>
              <w:t>Utilisation rate (or theta)</w:t>
            </w:r>
          </w:p>
        </w:tc>
        <w:tc>
          <w:tcPr>
            <w:tcW w:w="2977" w:type="dxa"/>
          </w:tcPr>
          <w:p w:rsidR="00437CA2" w:rsidRDefault="00437CA2" w:rsidP="00C52695">
            <w:pPr>
              <w:numPr>
                <w:ilvl w:val="0"/>
                <w:numId w:val="24"/>
              </w:numPr>
            </w:pPr>
            <w:r>
              <w:t>T</w:t>
            </w:r>
            <w:r w:rsidRPr="004746B6">
              <w:t>he utilisation value to investors in the market per dollar of imputation credits distributed</w:t>
            </w:r>
            <w:r>
              <w:rPr>
                <w:rStyle w:val="FootnoteReference"/>
              </w:rPr>
              <w:footnoteReference w:id="13"/>
            </w:r>
          </w:p>
        </w:tc>
        <w:tc>
          <w:tcPr>
            <w:tcW w:w="3747" w:type="dxa"/>
          </w:tcPr>
          <w:p w:rsidR="00437CA2" w:rsidRDefault="00437CA2" w:rsidP="00C52695">
            <w:pPr>
              <w:numPr>
                <w:ilvl w:val="0"/>
                <w:numId w:val="24"/>
              </w:numPr>
            </w:pPr>
            <w:r>
              <w:t>A range of approaches, with due regard to the merit of each approach:</w:t>
            </w:r>
          </w:p>
          <w:p w:rsidR="00437CA2" w:rsidRPr="00437CA2" w:rsidRDefault="00437CA2" w:rsidP="00437CA2">
            <w:pPr>
              <w:pStyle w:val="AERbulletlistfirststyle"/>
            </w:pPr>
            <w:r>
              <w:t>equity ownership approach</w:t>
            </w:r>
          </w:p>
          <w:p w:rsidR="00437CA2" w:rsidRPr="00437CA2" w:rsidRDefault="00437CA2" w:rsidP="00437CA2">
            <w:pPr>
              <w:pStyle w:val="AERbulletlistfirststyle"/>
            </w:pPr>
            <w:r>
              <w:t>tax statistics</w:t>
            </w:r>
          </w:p>
          <w:p w:rsidR="00437CA2" w:rsidRPr="00437CA2" w:rsidRDefault="00437CA2" w:rsidP="00437CA2">
            <w:pPr>
              <w:pStyle w:val="AERbulletlistfirststyle"/>
            </w:pPr>
            <w:r>
              <w:t>implied market value studies</w:t>
            </w:r>
          </w:p>
        </w:tc>
      </w:tr>
    </w:tbl>
    <w:p w:rsidR="00437CA2" w:rsidRPr="00CA67C0" w:rsidRDefault="00437CA2" w:rsidP="00437CA2">
      <w:pPr>
        <w:pStyle w:val="AERtablesource"/>
      </w:pPr>
      <w:r>
        <w:t>Source:</w:t>
      </w:r>
      <w:r>
        <w:tab/>
        <w:t xml:space="preserve">AER analysis, see section </w:t>
      </w:r>
      <w:r w:rsidRPr="00CA67C0">
        <w:fldChar w:fldCharType="begin"/>
      </w:r>
      <w:r w:rsidRPr="00CA67C0">
        <w:instrText xml:space="preserve"> REF _Ref401133206 \r \h </w:instrText>
      </w:r>
      <w:r w:rsidRPr="00CA67C0">
        <w:fldChar w:fldCharType="separate"/>
      </w:r>
      <w:r w:rsidR="007E3457">
        <w:t>A.10</w:t>
      </w:r>
      <w:r w:rsidRPr="00CA67C0">
        <w:fldChar w:fldCharType="end"/>
      </w:r>
      <w:r w:rsidRPr="00CA67C0">
        <w:t xml:space="preserve">, </w:t>
      </w:r>
      <w:r w:rsidRPr="00CA67C0">
        <w:fldChar w:fldCharType="begin"/>
      </w:r>
      <w:r w:rsidRPr="00CA67C0">
        <w:instrText xml:space="preserve"> REF _Ref415049811 \r \h </w:instrText>
      </w:r>
      <w:r w:rsidRPr="00CA67C0">
        <w:fldChar w:fldCharType="separate"/>
      </w:r>
      <w:r w:rsidR="007E3457">
        <w:t>A.12</w:t>
      </w:r>
      <w:r w:rsidRPr="00CA67C0">
        <w:fldChar w:fldCharType="end"/>
      </w:r>
      <w:r w:rsidRPr="00CA67C0">
        <w:t xml:space="preserve">, </w:t>
      </w:r>
      <w:r w:rsidRPr="00CA67C0">
        <w:fldChar w:fldCharType="begin"/>
      </w:r>
      <w:r w:rsidRPr="00CA67C0">
        <w:instrText xml:space="preserve"> REF _Ref402179420 \r \h </w:instrText>
      </w:r>
      <w:r w:rsidRPr="00CA67C0">
        <w:fldChar w:fldCharType="separate"/>
      </w:r>
      <w:r w:rsidR="007E3457">
        <w:t>A.13</w:t>
      </w:r>
      <w:r w:rsidRPr="00CA67C0">
        <w:fldChar w:fldCharType="end"/>
      </w:r>
      <w:r w:rsidRPr="00CA67C0">
        <w:t xml:space="preserve"> and </w:t>
      </w:r>
      <w:r w:rsidRPr="00CA67C0">
        <w:fldChar w:fldCharType="begin"/>
      </w:r>
      <w:r w:rsidRPr="00CA67C0">
        <w:instrText xml:space="preserve"> REF _Ref451184082 \r \h </w:instrText>
      </w:r>
      <w:r w:rsidRPr="00CA67C0">
        <w:fldChar w:fldCharType="separate"/>
      </w:r>
      <w:r w:rsidR="007E3457">
        <w:t>A.15</w:t>
      </w:r>
      <w:r w:rsidRPr="00CA67C0">
        <w:fldChar w:fldCharType="end"/>
      </w:r>
      <w:r w:rsidRPr="00CA67C0">
        <w:t>.</w:t>
      </w:r>
    </w:p>
    <w:p w:rsidR="00437CA2" w:rsidRPr="00883125" w:rsidRDefault="00437CA2" w:rsidP="00C52695">
      <w:pPr>
        <w:numPr>
          <w:ilvl w:val="0"/>
          <w:numId w:val="24"/>
        </w:numPr>
      </w:pPr>
      <w:r w:rsidRPr="00883125">
        <w:t xml:space="preserve">Overall, </w:t>
      </w:r>
      <w:r>
        <w:t>the</w:t>
      </w:r>
      <w:r w:rsidRPr="00883125">
        <w:t xml:space="preserve"> evidence suggests a range of estimates for the value of imputation credits might be reasonable. With regard to the merits of the evidence before us, we choose a value of imputation credits of 0.4 from within a range of 0.3 to 0.5.</w:t>
      </w:r>
    </w:p>
    <w:p w:rsidR="00437CA2" w:rsidRDefault="00437CA2" w:rsidP="00437CA2">
      <w:r w:rsidRPr="00883125">
        <w:t xml:space="preserve">In considering the evidence on the distribution and utilisation rates, we have broadly maintained the approach set out in the </w:t>
      </w:r>
      <w:r>
        <w:t>R</w:t>
      </w:r>
      <w:r w:rsidRPr="00883125">
        <w:t xml:space="preserve">ate of </w:t>
      </w:r>
      <w:r>
        <w:t>R</w:t>
      </w:r>
      <w:r w:rsidRPr="00883125">
        <w:t xml:space="preserve">eturn </w:t>
      </w:r>
      <w:r>
        <w:t>G</w:t>
      </w:r>
      <w:r w:rsidRPr="00883125">
        <w:t>uideline (the Guideline), but have re-examined the relevant evidence and estimates. This re-examination, and new evidence and advice considered since the Guideline, led us to depart from the 0.5 value of imputation credits we proposed in the Guideline.</w:t>
      </w:r>
    </w:p>
    <w:p w:rsidR="008146B5" w:rsidRPr="00883125" w:rsidRDefault="008146B5" w:rsidP="007F6EED">
      <w:pPr>
        <w:pStyle w:val="HeadingBoldItalic"/>
      </w:pPr>
      <w:bookmarkStart w:id="20" w:name="_Toc480814854"/>
      <w:bookmarkStart w:id="21" w:name="_Toc481056642"/>
      <w:bookmarkStart w:id="22" w:name="_Toc481061436"/>
      <w:bookmarkStart w:id="23" w:name="_Toc456614271"/>
      <w:r>
        <w:t>Recent litigation</w:t>
      </w:r>
      <w:bookmarkEnd w:id="20"/>
      <w:bookmarkEnd w:id="21"/>
      <w:bookmarkEnd w:id="22"/>
    </w:p>
    <w:p w:rsidR="008146B5" w:rsidRDefault="008146B5" w:rsidP="008146B5">
      <w:pPr>
        <w:rPr>
          <w:rStyle w:val="AERbody"/>
        </w:rPr>
      </w:pPr>
      <w:r>
        <w:rPr>
          <w:rStyle w:val="AERbody"/>
        </w:rPr>
        <w:t xml:space="preserve">In February 2016 the </w:t>
      </w:r>
      <w:r w:rsidR="00F34CD4">
        <w:rPr>
          <w:rStyle w:val="AERbody"/>
        </w:rPr>
        <w:t xml:space="preserve">Australian Competition </w:t>
      </w:r>
      <w:r>
        <w:rPr>
          <w:rStyle w:val="AERbody"/>
        </w:rPr>
        <w:t>Tribunal (</w:t>
      </w:r>
      <w:r w:rsidR="00F34CD4">
        <w:rPr>
          <w:rStyle w:val="AERbody"/>
        </w:rPr>
        <w:t xml:space="preserve">the </w:t>
      </w:r>
      <w:r>
        <w:rPr>
          <w:rStyle w:val="AERbody"/>
        </w:rPr>
        <w:t xml:space="preserve">Ausgrid Tribunal) handed down its decision for </w:t>
      </w:r>
      <w:r w:rsidR="00913303">
        <w:rPr>
          <w:rStyle w:val="AERbody"/>
        </w:rPr>
        <w:t>ActewAGL</w:t>
      </w:r>
      <w:r w:rsidRPr="005942A6">
        <w:rPr>
          <w:rStyle w:val="AERbody"/>
        </w:rPr>
        <w:t xml:space="preserve"> Distribution, Ausgrid, Endeavour Energy, Essential Energy and Jemena Gas Networks</w:t>
      </w:r>
      <w:r>
        <w:rPr>
          <w:rStyle w:val="AERbody"/>
        </w:rPr>
        <w:t>.</w:t>
      </w:r>
      <w:r w:rsidR="00F34CD4">
        <w:rPr>
          <w:rStyle w:val="FootnoteReference"/>
        </w:rPr>
        <w:footnoteReference w:id="14"/>
      </w:r>
      <w:r>
        <w:rPr>
          <w:rStyle w:val="AERbody"/>
        </w:rPr>
        <w:t xml:space="preserve"> </w:t>
      </w:r>
      <w:r w:rsidRPr="005942A6">
        <w:rPr>
          <w:rStyle w:val="AERbody"/>
        </w:rPr>
        <w:t xml:space="preserve">The </w:t>
      </w:r>
      <w:r>
        <w:rPr>
          <w:rStyle w:val="AERbody"/>
        </w:rPr>
        <w:t xml:space="preserve">Ausgrid </w:t>
      </w:r>
      <w:r w:rsidRPr="005942A6">
        <w:rPr>
          <w:rStyle w:val="AERbody"/>
        </w:rPr>
        <w:t xml:space="preserve">Tribunal ordered the remittal of our final decisions for these service providers, with directions to remake our decision by reference to an estimated cost of corporate income tax based on a </w:t>
      </w:r>
      <w:r>
        <w:rPr>
          <w:rStyle w:val="AERbody"/>
        </w:rPr>
        <w:t xml:space="preserve">value of </w:t>
      </w:r>
      <w:r w:rsidRPr="005942A6">
        <w:rPr>
          <w:rStyle w:val="AERbody"/>
        </w:rPr>
        <w:t>gamma of 0.25.</w:t>
      </w:r>
    </w:p>
    <w:p w:rsidR="008146B5" w:rsidRDefault="008146B5" w:rsidP="008146B5">
      <w:pPr>
        <w:rPr>
          <w:rStyle w:val="AERbody"/>
        </w:rPr>
      </w:pPr>
      <w:r>
        <w:rPr>
          <w:rStyle w:val="AERbody"/>
        </w:rPr>
        <w:t xml:space="preserve">We </w:t>
      </w:r>
      <w:r w:rsidR="00CF58DD">
        <w:rPr>
          <w:rStyle w:val="AERbody"/>
        </w:rPr>
        <w:t xml:space="preserve">judicial </w:t>
      </w:r>
      <w:r>
        <w:rPr>
          <w:rStyle w:val="AERbody"/>
        </w:rPr>
        <w:t xml:space="preserve">sought review of the Ausgrid Tribunal's decision in the Full Federal Court and our </w:t>
      </w:r>
      <w:r w:rsidR="00CF58DD">
        <w:rPr>
          <w:rStyle w:val="AERbody"/>
        </w:rPr>
        <w:t>applications were</w:t>
      </w:r>
      <w:r>
        <w:rPr>
          <w:rStyle w:val="AERbody"/>
        </w:rPr>
        <w:t xml:space="preserve"> heard in October 2016. </w:t>
      </w:r>
      <w:r w:rsidR="009C1656">
        <w:rPr>
          <w:rStyle w:val="AERbody"/>
        </w:rPr>
        <w:t xml:space="preserve"> The decision </w:t>
      </w:r>
      <w:r w:rsidR="004B01DC">
        <w:rPr>
          <w:rStyle w:val="AERbody"/>
        </w:rPr>
        <w:t xml:space="preserve">of the Full Federal Court </w:t>
      </w:r>
      <w:r w:rsidR="009C1656">
        <w:rPr>
          <w:rStyle w:val="AERbody"/>
        </w:rPr>
        <w:t xml:space="preserve">was handed down </w:t>
      </w:r>
      <w:r w:rsidR="00BE354A">
        <w:rPr>
          <w:rStyle w:val="AERbody"/>
        </w:rPr>
        <w:t>on 24</w:t>
      </w:r>
      <w:r w:rsidR="009C1656">
        <w:rPr>
          <w:rStyle w:val="AERbody"/>
        </w:rPr>
        <w:t xml:space="preserve"> May 2017.</w:t>
      </w:r>
      <w:r w:rsidR="00D97EE4">
        <w:rPr>
          <w:rStyle w:val="FootnoteReference"/>
        </w:rPr>
        <w:footnoteReference w:id="15"/>
      </w:r>
      <w:r w:rsidR="009C1656">
        <w:rPr>
          <w:rStyle w:val="AERbody"/>
        </w:rPr>
        <w:t xml:space="preserve"> </w:t>
      </w:r>
      <w:r w:rsidR="00CF58DD">
        <w:t>The Court found</w:t>
      </w:r>
      <w:r w:rsidR="00397C86">
        <w:t xml:space="preserve"> it was </w:t>
      </w:r>
      <w:r w:rsidR="00484398">
        <w:t>not an error of construction</w:t>
      </w:r>
      <w:r w:rsidR="00397C86">
        <w:t xml:space="preserve"> for the AER </w:t>
      </w:r>
      <w:r w:rsidR="00FA1A9B">
        <w:t>to focus on utilisation</w:t>
      </w:r>
      <w:r w:rsidR="00CF58DD" w:rsidRPr="00CF58DD">
        <w:t xml:space="preserve"> rather than on implied market value</w:t>
      </w:r>
      <w:r w:rsidR="00397C86">
        <w:t>.</w:t>
      </w:r>
      <w:r w:rsidR="00484398">
        <w:rPr>
          <w:rStyle w:val="FootnoteReference"/>
        </w:rPr>
        <w:footnoteReference w:id="16"/>
      </w:r>
      <w:r w:rsidR="00FA1A9B">
        <w:t xml:space="preserve">. </w:t>
      </w:r>
      <w:r w:rsidR="00F8507B">
        <w:t>It accepted</w:t>
      </w:r>
      <w:r w:rsidR="00840BBE">
        <w:t xml:space="preserve"> the AER's submission that the Rules require consistency in the way the relevant building blocks interact</w:t>
      </w:r>
      <w:r w:rsidR="00CF58DD">
        <w:t>, that is,</w:t>
      </w:r>
      <w:r w:rsidR="00840BBE">
        <w:t xml:space="preserve"> on a post-company tax and pre-personal tax and personal costs basis.</w:t>
      </w:r>
      <w:r w:rsidR="00484398">
        <w:rPr>
          <w:rStyle w:val="FootnoteReference"/>
        </w:rPr>
        <w:footnoteReference w:id="17"/>
      </w:r>
      <w:r w:rsidR="00840BBE">
        <w:t xml:space="preserve"> </w:t>
      </w:r>
      <w:r w:rsidR="00C40C2B">
        <w:t xml:space="preserve">It </w:t>
      </w:r>
      <w:r w:rsidR="00D97EE4">
        <w:rPr>
          <w:rStyle w:val="AERbody"/>
        </w:rPr>
        <w:t xml:space="preserve">found the Tribunal erred in concluding that the value of gamma is </w:t>
      </w:r>
      <w:r w:rsidR="00484398">
        <w:rPr>
          <w:rStyle w:val="AERbody"/>
        </w:rPr>
        <w:t xml:space="preserve">(only) </w:t>
      </w:r>
      <w:r w:rsidR="00397C86">
        <w:rPr>
          <w:rStyle w:val="AERbody"/>
        </w:rPr>
        <w:t xml:space="preserve">the value </w:t>
      </w:r>
      <w:r w:rsidR="00D97EE4">
        <w:rPr>
          <w:rStyle w:val="AERbody"/>
        </w:rPr>
        <w:t>claimed or utilised as demonstrated by the behaviour of the shareholder recipients of the imputation credits.</w:t>
      </w:r>
      <w:r w:rsidR="00261C5F">
        <w:rPr>
          <w:rStyle w:val="FootnoteReference"/>
        </w:rPr>
        <w:footnoteReference w:id="18"/>
      </w:r>
      <w:r w:rsidR="00D97EE4">
        <w:rPr>
          <w:rStyle w:val="AERbody"/>
        </w:rPr>
        <w:t xml:space="preserve"> </w:t>
      </w:r>
      <w:r w:rsidR="00A566D0" w:rsidRPr="00A566D0">
        <w:rPr>
          <w:rStyle w:val="AERbody"/>
        </w:rPr>
        <w:t xml:space="preserve"> </w:t>
      </w:r>
      <w:r w:rsidR="00A566D0">
        <w:rPr>
          <w:rStyle w:val="AERbody"/>
        </w:rPr>
        <w:t>The Full Federal Courts decision on this point is consistent with the approach we have taken in all regulatory decision released since November 2014 and the approach we have taken in this draft decision.</w:t>
      </w:r>
    </w:p>
    <w:p w:rsidR="008146B5" w:rsidRPr="00BD61CE" w:rsidRDefault="008146B5" w:rsidP="008146B5">
      <w:pPr>
        <w:rPr>
          <w:rStyle w:val="AERbody"/>
        </w:rPr>
      </w:pPr>
      <w:r w:rsidRPr="00BD61CE">
        <w:rPr>
          <w:rStyle w:val="AERbody"/>
        </w:rPr>
        <w:t xml:space="preserve">In October 2016 the </w:t>
      </w:r>
      <w:r w:rsidR="00F34CD4">
        <w:rPr>
          <w:rStyle w:val="AERbody"/>
        </w:rPr>
        <w:t xml:space="preserve">Australian Competition </w:t>
      </w:r>
      <w:r w:rsidRPr="00BD61CE">
        <w:rPr>
          <w:rStyle w:val="AERbody"/>
        </w:rPr>
        <w:t>Tribunal (</w:t>
      </w:r>
      <w:r w:rsidR="00F34CD4">
        <w:rPr>
          <w:rStyle w:val="AERbody"/>
        </w:rPr>
        <w:t xml:space="preserve">the </w:t>
      </w:r>
      <w:r w:rsidRPr="00BD61CE">
        <w:rPr>
          <w:rStyle w:val="AERbody"/>
        </w:rPr>
        <w:t>SAPN Tribunal) handed down its decision for SA Power Networks.</w:t>
      </w:r>
      <w:r w:rsidR="00F34CD4">
        <w:rPr>
          <w:rStyle w:val="FootnoteReference"/>
        </w:rPr>
        <w:footnoteReference w:id="19"/>
      </w:r>
      <w:r w:rsidRPr="00BD61CE">
        <w:rPr>
          <w:rStyle w:val="AERbody"/>
        </w:rPr>
        <w:t xml:space="preserve"> </w:t>
      </w:r>
      <w:r>
        <w:rPr>
          <w:rStyle w:val="AERbody"/>
        </w:rPr>
        <w:t>T</w:t>
      </w:r>
      <w:r w:rsidRPr="00BD61CE">
        <w:rPr>
          <w:rStyle w:val="AERbody"/>
        </w:rPr>
        <w:t>he SAPN Tribunal upheld the AER's</w:t>
      </w:r>
      <w:r>
        <w:rPr>
          <w:rStyle w:val="AERbody"/>
        </w:rPr>
        <w:t xml:space="preserve"> d</w:t>
      </w:r>
      <w:r w:rsidR="00011740">
        <w:rPr>
          <w:rStyle w:val="AERbody"/>
        </w:rPr>
        <w:t xml:space="preserve">ecision to value gamma at 0.4. </w:t>
      </w:r>
      <w:r>
        <w:rPr>
          <w:rStyle w:val="AERbody"/>
        </w:rPr>
        <w:t>The SAPN Tribunal was invited to follow the decision and reasoning of the Ausgrid Tribunal but chose not to do so.</w:t>
      </w:r>
      <w:r w:rsidR="00011740">
        <w:rPr>
          <w:rStyle w:val="AERbody"/>
        </w:rPr>
        <w:t xml:space="preserve"> </w:t>
      </w:r>
      <w:r>
        <w:rPr>
          <w:rStyle w:val="AERbody"/>
        </w:rPr>
        <w:t>It found there was no error in the AER’s approach or conclusion.</w:t>
      </w:r>
    </w:p>
    <w:p w:rsidR="008146B5" w:rsidRDefault="008146B5" w:rsidP="008146B5">
      <w:pPr>
        <w:rPr>
          <w:rStyle w:val="AERbody"/>
        </w:rPr>
      </w:pPr>
      <w:r w:rsidRPr="00BD61CE">
        <w:rPr>
          <w:rStyle w:val="AERbody"/>
        </w:rPr>
        <w:t xml:space="preserve">SA Power Networks has subsequently </w:t>
      </w:r>
      <w:r>
        <w:rPr>
          <w:rStyle w:val="AERbody"/>
        </w:rPr>
        <w:t>sought review of</w:t>
      </w:r>
      <w:r w:rsidRPr="00BD61CE">
        <w:rPr>
          <w:rStyle w:val="AERbody"/>
        </w:rPr>
        <w:t xml:space="preserve"> the SAPN Tribunal's decision to the Full Federal Court and </w:t>
      </w:r>
      <w:r>
        <w:rPr>
          <w:rStyle w:val="AERbody"/>
        </w:rPr>
        <w:t xml:space="preserve">the </w:t>
      </w:r>
      <w:r w:rsidRPr="00BD61CE">
        <w:rPr>
          <w:rStyle w:val="AERbody"/>
        </w:rPr>
        <w:t>ma</w:t>
      </w:r>
      <w:r>
        <w:rPr>
          <w:rStyle w:val="AERbody"/>
        </w:rPr>
        <w:t xml:space="preserve">tter </w:t>
      </w:r>
      <w:r w:rsidR="007F0C93">
        <w:rPr>
          <w:rStyle w:val="AERbody"/>
        </w:rPr>
        <w:t xml:space="preserve">was </w:t>
      </w:r>
      <w:r>
        <w:rPr>
          <w:rStyle w:val="AERbody"/>
        </w:rPr>
        <w:t>heard in May 2017.</w:t>
      </w:r>
      <w:r w:rsidR="002C4A34">
        <w:rPr>
          <w:rStyle w:val="AERbody"/>
        </w:rPr>
        <w:t xml:space="preserve"> </w:t>
      </w:r>
      <w:r w:rsidR="00484398">
        <w:rPr>
          <w:rStyle w:val="AERbody"/>
        </w:rPr>
        <w:t>The Full Federal Court decision is currently reserved</w:t>
      </w:r>
      <w:r w:rsidR="00CF58DD">
        <w:rPr>
          <w:rStyle w:val="AERbody"/>
        </w:rPr>
        <w:t>.</w:t>
      </w:r>
    </w:p>
    <w:p w:rsidR="008146B5" w:rsidRDefault="008146B5" w:rsidP="008146B5">
      <w:pPr>
        <w:rPr>
          <w:rStyle w:val="AERbody"/>
        </w:rPr>
      </w:pPr>
      <w:r>
        <w:rPr>
          <w:rStyle w:val="AERbody"/>
        </w:rPr>
        <w:t>There are therefore conflicting decisions from two differently constituted Tribunals as to both the value of gamma and the approach to valuing gamma</w:t>
      </w:r>
      <w:r w:rsidR="00E14153">
        <w:rPr>
          <w:rStyle w:val="AERbody"/>
        </w:rPr>
        <w:t>. However,</w:t>
      </w:r>
      <w:r w:rsidR="00656863">
        <w:rPr>
          <w:rStyle w:val="AERbody"/>
        </w:rPr>
        <w:t xml:space="preserve"> </w:t>
      </w:r>
      <w:r w:rsidR="00C8459C">
        <w:rPr>
          <w:rStyle w:val="AERbody"/>
        </w:rPr>
        <w:t>in the review of the Ausgrid Tribunal's dec</w:t>
      </w:r>
      <w:r w:rsidR="00AE2B29">
        <w:rPr>
          <w:rStyle w:val="AERbody"/>
        </w:rPr>
        <w:t>i</w:t>
      </w:r>
      <w:r w:rsidR="00C8459C">
        <w:rPr>
          <w:rStyle w:val="AERbody"/>
        </w:rPr>
        <w:t>sion, the</w:t>
      </w:r>
      <w:r w:rsidR="00656863">
        <w:rPr>
          <w:rStyle w:val="AERbody"/>
        </w:rPr>
        <w:t xml:space="preserve"> Full Federal Court </w:t>
      </w:r>
      <w:r w:rsidR="00C8459C">
        <w:rPr>
          <w:rStyle w:val="AERbody"/>
        </w:rPr>
        <w:t>found the Ausgrid Tribunal erred in limiting attention to the word "value" and give it a meaning in isolation, it thereby misunderstood the function of imputation credits under the Rules in relation to the return on capital and the tax building block.</w:t>
      </w:r>
      <w:r w:rsidR="00261C5F">
        <w:rPr>
          <w:rStyle w:val="FootnoteReference"/>
        </w:rPr>
        <w:footnoteReference w:id="20"/>
      </w:r>
      <w:r w:rsidR="009F08EB">
        <w:rPr>
          <w:rStyle w:val="AERbody"/>
        </w:rPr>
        <w:t>.</w:t>
      </w:r>
    </w:p>
    <w:p w:rsidR="00F94F9F" w:rsidRDefault="00F94F9F" w:rsidP="008146B5">
      <w:pPr>
        <w:rPr>
          <w:rStyle w:val="AERbody"/>
        </w:rPr>
      </w:pPr>
      <w:r>
        <w:rPr>
          <w:rStyle w:val="AERbody"/>
        </w:rPr>
        <w:t>In May 2017</w:t>
      </w:r>
      <w:r w:rsidR="00AE2B29">
        <w:rPr>
          <w:rStyle w:val="AERbody"/>
        </w:rPr>
        <w:t>, before the NSW Full Federal Court handed down its decision,</w:t>
      </w:r>
      <w:r>
        <w:rPr>
          <w:rStyle w:val="AERbody"/>
        </w:rPr>
        <w:t xml:space="preserve"> AusNet Transmission sought review of the AER's final decision in respect to gamma being 0.4 rather than a value of imputation credits of 0.25 proposed in AusNet Transmission's proposal.</w:t>
      </w:r>
      <w:r w:rsidR="00AE2B29">
        <w:rPr>
          <w:rStyle w:val="AERbody"/>
        </w:rPr>
        <w:t xml:space="preserve"> </w:t>
      </w:r>
      <w:r w:rsidR="0050114F">
        <w:rPr>
          <w:rStyle w:val="AERbody"/>
        </w:rPr>
        <w:t xml:space="preserve">It submitted that the AER's gamma decision was based on an incorrect construction and application of the NER and thus the exercise of the AER's discretion was incorrect and/or its final decision </w:t>
      </w:r>
      <w:r w:rsidR="00B958AD">
        <w:rPr>
          <w:rStyle w:val="AERbody"/>
        </w:rPr>
        <w:t xml:space="preserve">is </w:t>
      </w:r>
      <w:r w:rsidR="0050114F">
        <w:rPr>
          <w:rStyle w:val="AERbody"/>
        </w:rPr>
        <w:t xml:space="preserve">unreasonable. </w:t>
      </w:r>
      <w:r w:rsidR="00A566D0">
        <w:rPr>
          <w:rStyle w:val="AERbody"/>
        </w:rPr>
        <w:t xml:space="preserve">At the time this draft </w:t>
      </w:r>
      <w:r w:rsidR="00A560AC">
        <w:rPr>
          <w:rStyle w:val="AERbody"/>
        </w:rPr>
        <w:t>decision</w:t>
      </w:r>
      <w:r w:rsidR="00A566D0">
        <w:rPr>
          <w:rStyle w:val="AERbody"/>
        </w:rPr>
        <w:t xml:space="preserve"> AusNet's application for review of the AER decision before the Australian Competition Tribunal remained on foot.</w:t>
      </w:r>
    </w:p>
    <w:p w:rsidR="001E6A60" w:rsidRPr="005F293C" w:rsidRDefault="001E6A60" w:rsidP="007F6EED">
      <w:pPr>
        <w:pStyle w:val="HeadingBoldItalic"/>
      </w:pPr>
      <w:bookmarkStart w:id="24" w:name="_Toc480814855"/>
      <w:bookmarkStart w:id="25" w:name="_Toc481056643"/>
      <w:bookmarkStart w:id="26" w:name="_Toc481061437"/>
      <w:r w:rsidRPr="005F293C">
        <w:t xml:space="preserve">Summary of </w:t>
      </w:r>
      <w:r>
        <w:t xml:space="preserve">our </w:t>
      </w:r>
      <w:r w:rsidRPr="005F293C">
        <w:t>conclusions</w:t>
      </w:r>
      <w:bookmarkEnd w:id="24"/>
      <w:bookmarkEnd w:id="25"/>
      <w:bookmarkEnd w:id="26"/>
    </w:p>
    <w:p w:rsidR="001E6A60" w:rsidRPr="005764F6" w:rsidRDefault="001E6A60" w:rsidP="001E6A60">
      <w:pPr>
        <w:rPr>
          <w:rStyle w:val="AERbody"/>
        </w:rPr>
      </w:pPr>
      <w:r>
        <w:rPr>
          <w:rStyle w:val="AERbody"/>
        </w:rPr>
        <w:t>W</w:t>
      </w:r>
      <w:r w:rsidRPr="005764F6">
        <w:rPr>
          <w:rStyle w:val="AERbody"/>
        </w:rPr>
        <w:t xml:space="preserve">e consider the use of a gamma of 0.4 is appropriate for the reasons set out in this decision. These reasons are substantively </w:t>
      </w:r>
      <w:r>
        <w:rPr>
          <w:rStyle w:val="AERbody"/>
        </w:rPr>
        <w:t>similar to</w:t>
      </w:r>
      <w:r w:rsidRPr="005764F6">
        <w:rPr>
          <w:rStyle w:val="AERbody"/>
        </w:rPr>
        <w:t xml:space="preserve"> the reasons we </w:t>
      </w:r>
      <w:r>
        <w:rPr>
          <w:rStyle w:val="AERbody"/>
        </w:rPr>
        <w:t xml:space="preserve">have </w:t>
      </w:r>
      <w:r w:rsidRPr="005764F6">
        <w:rPr>
          <w:rStyle w:val="AERbody"/>
        </w:rPr>
        <w:t xml:space="preserve">set out in prior decisions, but we have clarified our reasoning in response to issues </w:t>
      </w:r>
      <w:r>
        <w:rPr>
          <w:rStyle w:val="AERbody"/>
        </w:rPr>
        <w:t xml:space="preserve">that have been </w:t>
      </w:r>
      <w:r w:rsidRPr="005764F6">
        <w:rPr>
          <w:rStyle w:val="AERbody"/>
        </w:rPr>
        <w:t>raised</w:t>
      </w:r>
      <w:r>
        <w:rPr>
          <w:rStyle w:val="AERbody"/>
        </w:rPr>
        <w:t xml:space="preserve"> by the service providers, other stakeholders and</w:t>
      </w:r>
      <w:r w:rsidRPr="005764F6">
        <w:rPr>
          <w:rStyle w:val="AERbody"/>
        </w:rPr>
        <w:t xml:space="preserve"> in </w:t>
      </w:r>
      <w:r>
        <w:rPr>
          <w:rStyle w:val="AERbody"/>
        </w:rPr>
        <w:t>recent litigation.</w:t>
      </w:r>
    </w:p>
    <w:p w:rsidR="001E6A60" w:rsidRPr="001D37D5" w:rsidRDefault="001E6A60" w:rsidP="001E6A60">
      <w:pPr>
        <w:pStyle w:val="AERbulletlistfirststyle"/>
      </w:pPr>
      <w:r w:rsidRPr="005F293C">
        <w:t xml:space="preserve">We take the view </w:t>
      </w:r>
      <w:r>
        <w:t xml:space="preserve">that </w:t>
      </w:r>
      <w:r w:rsidRPr="00E44473">
        <w:t xml:space="preserve">there is no consensus amongst experts as to the best approach to estimating </w:t>
      </w:r>
      <w:r>
        <w:t xml:space="preserve">the value of </w:t>
      </w:r>
      <w:r w:rsidRPr="00E44473">
        <w:t>gamma</w:t>
      </w:r>
      <w:r>
        <w:t>, or to the correct value of gamma</w:t>
      </w:r>
      <w:r w:rsidR="00011740">
        <w:t xml:space="preserve">. </w:t>
      </w:r>
      <w:r>
        <w:t>We</w:t>
      </w:r>
      <w:r w:rsidRPr="001D37D5">
        <w:t xml:space="preserve"> must therefore choose an appropriate value for gamma </w:t>
      </w:r>
      <w:r>
        <w:t>based on our own assessment</w:t>
      </w:r>
      <w:r w:rsidR="00011740">
        <w:t xml:space="preserve"> of all the relevant evidence.</w:t>
      </w:r>
    </w:p>
    <w:p w:rsidR="001E6A60" w:rsidRDefault="001E6A60" w:rsidP="001E6A60">
      <w:pPr>
        <w:pStyle w:val="AERbulletlistfirststyle"/>
      </w:pPr>
      <w:r w:rsidRPr="005764F6">
        <w:t xml:space="preserve">Our conceptual approach considers the value of gamma </w:t>
      </w:r>
      <w:r>
        <w:t>as</w:t>
      </w:r>
      <w:r w:rsidRPr="005764F6">
        <w:t xml:space="preserve"> a post</w:t>
      </w:r>
      <w:r w:rsidR="00F34CD4">
        <w:t xml:space="preserve"> (company) </w:t>
      </w:r>
      <w:r w:rsidRPr="005764F6">
        <w:t>tax</w:t>
      </w:r>
      <w:r>
        <w:t xml:space="preserve"> </w:t>
      </w:r>
      <w:r w:rsidRPr="005764F6">
        <w:t xml:space="preserve">value before the impact of personal taxes and </w:t>
      </w:r>
      <w:r w:rsidR="007B2660">
        <w:t>personal</w:t>
      </w:r>
      <w:r w:rsidRPr="005764F6">
        <w:t xml:space="preserve"> costs. </w:t>
      </w:r>
      <w:r>
        <w:t>This is because we use a post-tax revenue model for revenue regulat</w:t>
      </w:r>
      <w:r w:rsidR="00011740">
        <w:t xml:space="preserve">ion for each regulated entity. </w:t>
      </w:r>
      <w:r>
        <w:t xml:space="preserve">The value of gamma has to be understood, and consistently estimated and applied, </w:t>
      </w:r>
      <w:r w:rsidR="00011740">
        <w:t>in that overall context.</w:t>
      </w:r>
    </w:p>
    <w:p w:rsidR="001E6A60" w:rsidRPr="001D37D5" w:rsidRDefault="001E6A60" w:rsidP="001E6A60">
      <w:pPr>
        <w:pStyle w:val="AERbulletlistfirststyle"/>
      </w:pPr>
      <w:r>
        <w:t xml:space="preserve">It follows that our estimate of the value of gamma should be </w:t>
      </w:r>
      <w:r w:rsidRPr="001D37D5">
        <w:t xml:space="preserve">consistent with </w:t>
      </w:r>
      <w:r>
        <w:t>each interrelated element of the regulatory scheme, such as the</w:t>
      </w:r>
      <w:r w:rsidRPr="001D37D5">
        <w:t xml:space="preserve"> allowed rate of return and allowed revenues. For example, the allowed rate of return is a post-company tax pre-personal tax weighted average cost of capital (WACC). We estimate the allowed revenue, including the corporate tax allowance (and the value of imputation credits), on the same basis. Moreover, when calculating the yield to maturity on debt (for the return on debt and risk free rate) and market risk premium (MRP), the face value of coupons/dividends are used (see section </w:t>
      </w:r>
      <w:r w:rsidRPr="001D37D5">
        <w:fldChar w:fldCharType="begin"/>
      </w:r>
      <w:r w:rsidRPr="001D37D5">
        <w:instrText xml:space="preserve"> REF _Ref450298425 \r \h  \* MERGEFORMAT </w:instrText>
      </w:r>
      <w:r w:rsidRPr="001D37D5">
        <w:fldChar w:fldCharType="separate"/>
      </w:r>
      <w:r w:rsidR="007E3457">
        <w:t>A.8.2</w:t>
      </w:r>
      <w:r w:rsidRPr="001D37D5">
        <w:fldChar w:fldCharType="end"/>
      </w:r>
      <w:r w:rsidRPr="001D37D5">
        <w:t xml:space="preserve">). Our interpretation of the post-tax framework in the NER/NGR is covered in section </w:t>
      </w:r>
      <w:r w:rsidRPr="001D37D5">
        <w:fldChar w:fldCharType="begin"/>
      </w:r>
      <w:r w:rsidRPr="001D37D5">
        <w:instrText xml:space="preserve"> REF _Ref400965182 \r \h  \* MERGEFORMAT </w:instrText>
      </w:r>
      <w:r w:rsidRPr="001D37D5">
        <w:fldChar w:fldCharType="separate"/>
      </w:r>
      <w:r w:rsidR="007E3457">
        <w:t>A.6</w:t>
      </w:r>
      <w:r w:rsidRPr="001D37D5">
        <w:fldChar w:fldCharType="end"/>
      </w:r>
      <w:r w:rsidRPr="001D37D5">
        <w:t xml:space="preserve">. </w:t>
      </w:r>
    </w:p>
    <w:p w:rsidR="001E6A60" w:rsidRPr="001D37D5" w:rsidRDefault="001E6A60" w:rsidP="001E6A60">
      <w:pPr>
        <w:pStyle w:val="AERbulletlistfirststyle"/>
      </w:pPr>
      <w:r w:rsidRPr="005764F6">
        <w:t xml:space="preserve">Our approach considers gamma to be equal to the product of the </w:t>
      </w:r>
      <w:r w:rsidRPr="001D37D5">
        <w:t xml:space="preserve">distribution rate multiplied by the utilisation value to investors in the market per dollar of imputation credits distributed (the utilisation rate). We consider the utilisation value reflects the weighted average, by wealth and risk aversion, of the utilisation rates of investors—some of whom will have a utilisation rate of 1 and others who will have utilisation rate of 0. This is covered in section </w:t>
      </w:r>
      <w:r w:rsidRPr="001D37D5">
        <w:fldChar w:fldCharType="begin"/>
      </w:r>
      <w:r w:rsidRPr="001D37D5">
        <w:instrText xml:space="preserve"> REF _Ref415144114 \r \h  \* MERGEFORMAT </w:instrText>
      </w:r>
      <w:r w:rsidRPr="001D37D5">
        <w:fldChar w:fldCharType="separate"/>
      </w:r>
      <w:r w:rsidR="007E3457">
        <w:t>A.5</w:t>
      </w:r>
      <w:r w:rsidRPr="001D37D5">
        <w:fldChar w:fldCharType="end"/>
      </w:r>
      <w:r w:rsidRPr="001D37D5">
        <w:t xml:space="preserve"> and </w:t>
      </w:r>
      <w:r w:rsidRPr="001D37D5">
        <w:fldChar w:fldCharType="begin"/>
      </w:r>
      <w:r w:rsidRPr="001D37D5">
        <w:instrText xml:space="preserve"> REF _Ref400965182 \r \h  \* MERGEFORMAT </w:instrText>
      </w:r>
      <w:r w:rsidRPr="001D37D5">
        <w:fldChar w:fldCharType="separate"/>
      </w:r>
      <w:r w:rsidR="007E3457">
        <w:t>A.6</w:t>
      </w:r>
      <w:r w:rsidRPr="001D37D5">
        <w:fldChar w:fldCharType="end"/>
      </w:r>
      <w:r w:rsidRPr="001D37D5">
        <w:t>.</w:t>
      </w:r>
    </w:p>
    <w:p w:rsidR="001E6A60" w:rsidRPr="001D37D5" w:rsidRDefault="001E6A60" w:rsidP="001E6A60">
      <w:pPr>
        <w:pStyle w:val="AERbulletlistfirststyle"/>
      </w:pPr>
      <w:r w:rsidRPr="005764F6">
        <w:t>We use a range of relevant evidence to estimate the utilisation</w:t>
      </w:r>
      <w:r w:rsidRPr="001D37D5">
        <w:t xml:space="preserve"> rate. We consider:</w:t>
      </w:r>
    </w:p>
    <w:p w:rsidR="001E6A60" w:rsidRPr="005764F6" w:rsidRDefault="001E6A60" w:rsidP="001E6A60">
      <w:pPr>
        <w:pStyle w:val="AERbulletlistsecondstyle"/>
      </w:pPr>
      <w:r w:rsidRPr="005764F6">
        <w:t xml:space="preserve">The equity ownership approach provides the best estimate of the utilisation value to investors in the market per dollar of imputation credits distributed (see section </w:t>
      </w:r>
      <w:r w:rsidRPr="005764F6">
        <w:fldChar w:fldCharType="begin"/>
      </w:r>
      <w:r w:rsidRPr="005764F6">
        <w:instrText xml:space="preserve"> REF _Ref415049811 \r \h  \* MERGEFORMAT </w:instrText>
      </w:r>
      <w:r w:rsidRPr="005764F6">
        <w:fldChar w:fldCharType="separate"/>
      </w:r>
      <w:r w:rsidR="007E3457">
        <w:t>A.12</w:t>
      </w:r>
      <w:r w:rsidRPr="005764F6">
        <w:fldChar w:fldCharType="end"/>
      </w:r>
      <w:r w:rsidRPr="005764F6">
        <w:t>).</w:t>
      </w:r>
      <w:r w:rsidRPr="00F07FE8">
        <w:t xml:space="preserve"> </w:t>
      </w:r>
      <w:r w:rsidRPr="005764F6">
        <w:t xml:space="preserve">There is no data to suggest the redemption of imputation credits is materially lower than the estimate of the utilisation rate derived from the equity ownership approach. In particular, there is no credible data on the impact of the 45 day holding rule. This is covered in section </w:t>
      </w:r>
      <w:r w:rsidRPr="005764F6">
        <w:fldChar w:fldCharType="begin"/>
      </w:r>
      <w:r w:rsidRPr="005764F6">
        <w:instrText xml:space="preserve"> REF _Ref414099389 \r \h  \* MERGEFORMAT </w:instrText>
      </w:r>
      <w:r w:rsidRPr="005764F6">
        <w:fldChar w:fldCharType="separate"/>
      </w:r>
      <w:r w:rsidR="007E3457">
        <w:t>A.8.3</w:t>
      </w:r>
      <w:r w:rsidRPr="005764F6">
        <w:fldChar w:fldCharType="end"/>
      </w:r>
      <w:r w:rsidRPr="005764F6">
        <w:t>.</w:t>
      </w:r>
      <w:r w:rsidRPr="00F07FE8">
        <w:t xml:space="preserve"> </w:t>
      </w:r>
      <w:r w:rsidRPr="005764F6">
        <w:t>Estimates of the gamma value from the equity ownership approach range from 0.28 to 0.47 if the ranges from both listed equity (0.28 to 0.41) and all equity (0.40 to 0.47) are considered and where estimates of gamma are based on matching cumulative distribution rate data. We use an estimate well below the top of the range for all equity.</w:t>
      </w:r>
    </w:p>
    <w:p w:rsidR="001E6A60" w:rsidRPr="005764F6" w:rsidRDefault="001E6A60" w:rsidP="001E6A60">
      <w:pPr>
        <w:pStyle w:val="AERbulletlistsecondstyle"/>
      </w:pPr>
      <w:r w:rsidRPr="005764F6">
        <w:t>Taxation statistics (tax statistics) can also provide a</w:t>
      </w:r>
      <w:r w:rsidR="00913303">
        <w:t>n</w:t>
      </w:r>
      <w:r w:rsidRPr="005764F6">
        <w:t xml:space="preserve"> estimate of the utilisation value to investors in the market per dollar of imputation credits distributed, if the data upon which those statistics are based is reliable. However, there are potential issues with the quality of the underlying taxation data. For example, Lally has advised that the taxation data is unreliable.</w:t>
      </w:r>
      <w:r w:rsidRPr="00E750F8">
        <w:rPr>
          <w:rStyle w:val="FootnoteReference"/>
        </w:rPr>
        <w:footnoteReference w:id="21"/>
      </w:r>
      <w:r w:rsidRPr="005764F6">
        <w:t xml:space="preserve"> Having regard to the potential data limitations and alternate estimates, the evidence from tax statistics is not inconsistent with the evidence from the equity ownership approach, but we pla</w:t>
      </w:r>
      <w:r w:rsidR="00F143A3">
        <w:t>ce less reliance upon it (s</w:t>
      </w:r>
      <w:r w:rsidRPr="005764F6">
        <w:t xml:space="preserve">ee section </w:t>
      </w:r>
      <w:r w:rsidRPr="005764F6">
        <w:fldChar w:fldCharType="begin"/>
      </w:r>
      <w:r w:rsidRPr="005764F6">
        <w:instrText xml:space="preserve"> REF _Ref402179420 \r \h  \* MERGEFORMAT </w:instrText>
      </w:r>
      <w:r w:rsidRPr="005764F6">
        <w:fldChar w:fldCharType="separate"/>
      </w:r>
      <w:r w:rsidR="007E3457">
        <w:t>A.13</w:t>
      </w:r>
      <w:r w:rsidRPr="005764F6">
        <w:fldChar w:fldCharType="end"/>
      </w:r>
      <w:r w:rsidRPr="005764F6">
        <w:t>).</w:t>
      </w:r>
      <w:r>
        <w:t xml:space="preserve"> One issue that has arisen during litigation about gamma is whether t</w:t>
      </w:r>
      <w:r w:rsidRPr="005764F6">
        <w:t xml:space="preserve">ax statistics </w:t>
      </w:r>
      <w:r w:rsidRPr="001D37D5">
        <w:t>provide an upper bound estimate for gamma</w:t>
      </w:r>
      <w:r w:rsidR="00011740">
        <w:t xml:space="preserve">. </w:t>
      </w:r>
      <w:r>
        <w:t>T</w:t>
      </w:r>
      <w:r w:rsidRPr="001D37D5">
        <w:t>he</w:t>
      </w:r>
      <w:r>
        <w:t xml:space="preserve"> Ausgrid</w:t>
      </w:r>
      <w:r w:rsidRPr="001D37D5">
        <w:t xml:space="preserve"> Tribunal found</w:t>
      </w:r>
      <w:r>
        <w:t xml:space="preserve"> that it did provide an upper bound</w:t>
      </w:r>
      <w:r w:rsidRPr="001D37D5">
        <w:t>.</w:t>
      </w:r>
      <w:r w:rsidRPr="00E750F8">
        <w:rPr>
          <w:rStyle w:val="FootnoteReference"/>
        </w:rPr>
        <w:footnoteReference w:id="22"/>
      </w:r>
      <w:r w:rsidRPr="001D37D5">
        <w:t xml:space="preserve"> </w:t>
      </w:r>
      <w:r>
        <w:t>In contrast, the SAPN Tribunal found that it did not.</w:t>
      </w:r>
      <w:r w:rsidR="00493F01" w:rsidRPr="0088743A">
        <w:rPr>
          <w:rStyle w:val="FootnoteReference"/>
        </w:rPr>
        <w:footnoteReference w:id="23"/>
      </w:r>
      <w:r w:rsidR="004576F7">
        <w:t xml:space="preserve"> </w:t>
      </w:r>
      <w:r>
        <w:t xml:space="preserve">A report we received from </w:t>
      </w:r>
      <w:r w:rsidRPr="001D37D5">
        <w:t>Lally</w:t>
      </w:r>
      <w:r>
        <w:t>, after we had made our Ausgrid and SAPN decisions</w:t>
      </w:r>
      <w:r w:rsidRPr="001D37D5">
        <w:t xml:space="preserve"> supports </w:t>
      </w:r>
      <w:r>
        <w:t>the</w:t>
      </w:r>
      <w:r w:rsidRPr="001D37D5">
        <w:t xml:space="preserve"> view</w:t>
      </w:r>
      <w:r>
        <w:t xml:space="preserve"> that tax statistics do not provide an upper bound to the value of gamma</w:t>
      </w:r>
      <w:r w:rsidRPr="001D37D5">
        <w:t>.</w:t>
      </w:r>
      <w:r w:rsidRPr="00E750F8">
        <w:rPr>
          <w:rStyle w:val="FootnoteReference"/>
        </w:rPr>
        <w:footnoteReference w:id="24"/>
      </w:r>
      <w:r w:rsidRPr="001D37D5">
        <w:t xml:space="preserve"> We consider tax statistics provide a point estimate of the utilisation rate</w:t>
      </w:r>
      <w:r w:rsidR="00913303">
        <w:t xml:space="preserve"> of questionable reliability</w:t>
      </w:r>
      <w:r w:rsidRPr="001D37D5">
        <w:t xml:space="preserve">. </w:t>
      </w:r>
    </w:p>
    <w:p w:rsidR="001E6A60" w:rsidRPr="005764F6" w:rsidRDefault="001E6A60" w:rsidP="001E6A60">
      <w:pPr>
        <w:pStyle w:val="AERbulletlistsecondstyle"/>
      </w:pPr>
      <w:r>
        <w:t>I</w:t>
      </w:r>
      <w:r w:rsidRPr="005764F6">
        <w:t>mplied market value studies are</w:t>
      </w:r>
      <w:r>
        <w:t xml:space="preserve"> another source of evidence but they are</w:t>
      </w:r>
      <w:r w:rsidRPr="005764F6">
        <w:t xml:space="preserve"> affected by factors such as differential personal taxation and </w:t>
      </w:r>
      <w:r w:rsidR="00F34CD4">
        <w:t xml:space="preserve">other </w:t>
      </w:r>
      <w:r w:rsidRPr="005764F6">
        <w:t xml:space="preserve">personal costs. This means they do not provide an estimate of the utilisation value to investors in the market per dollar of imputation credits distributed on a post-tax (pre-personal tax and costs basis). Therefore, they are inconsistent with the Officer framework unless they are adjusted. Even when adjusted, implied market value studies are subject to many limitations and do not clearly measure the value to the aggregate investors who provide long term capital to a benchmark efficient entity. Lally stated his views on dividend drop off studies are 'highly adverse' and considers it appropriate to place the lowest reliance on their results (see section </w:t>
      </w:r>
      <w:r w:rsidRPr="005764F6">
        <w:fldChar w:fldCharType="begin"/>
      </w:r>
      <w:r w:rsidRPr="005764F6">
        <w:instrText xml:space="preserve"> REF _Ref451186079 \r \h  \* MERGEFORMAT </w:instrText>
      </w:r>
      <w:r w:rsidRPr="005764F6">
        <w:fldChar w:fldCharType="separate"/>
      </w:r>
      <w:r w:rsidR="007E3457">
        <w:t>A.15</w:t>
      </w:r>
      <w:r w:rsidRPr="005764F6">
        <w:fldChar w:fldCharType="end"/>
      </w:r>
      <w:r w:rsidRPr="005764F6">
        <w:t>).</w:t>
      </w:r>
      <w:r w:rsidRPr="00583683">
        <w:rPr>
          <w:rStyle w:val="FootnoteReference"/>
        </w:rPr>
        <w:footnoteReference w:id="25"/>
      </w:r>
    </w:p>
    <w:p w:rsidR="001E6A60" w:rsidRPr="001D37D5" w:rsidRDefault="001E6A60" w:rsidP="001E6A60">
      <w:pPr>
        <w:pStyle w:val="AERbulletlistfirststyle"/>
      </w:pPr>
      <w:r>
        <w:t>We</w:t>
      </w:r>
      <w:r w:rsidRPr="005764F6">
        <w:t xml:space="preserve"> </w:t>
      </w:r>
      <w:r w:rsidRPr="001D37D5">
        <w:t>have regard to a listed equity measure of the distribution rate, which we consider is reasonably reflective of a benchmark efficient entity</w:t>
      </w:r>
      <w:r>
        <w:t>,</w:t>
      </w:r>
      <w:r w:rsidRPr="001D37D5">
        <w:t xml:space="preserve"> given the trade-offs associated with choosing an appropriate dataset (see section </w:t>
      </w:r>
      <w:r w:rsidRPr="001D37D5">
        <w:fldChar w:fldCharType="begin"/>
      </w:r>
      <w:r w:rsidRPr="001D37D5">
        <w:instrText xml:space="preserve"> REF _Ref401133206 \r \h  \* MERGEFORMAT </w:instrText>
      </w:r>
      <w:r w:rsidRPr="001D37D5">
        <w:fldChar w:fldCharType="separate"/>
      </w:r>
      <w:r w:rsidR="007E3457">
        <w:t>A.10</w:t>
      </w:r>
      <w:r w:rsidRPr="001D37D5">
        <w:fldChar w:fldCharType="end"/>
      </w:r>
      <w:r w:rsidRPr="001D37D5">
        <w:t>).</w:t>
      </w:r>
      <w:r w:rsidRPr="001D37D5">
        <w:rPr>
          <w:rStyle w:val="FootnoteReference"/>
        </w:rPr>
        <w:footnoteReference w:id="26"/>
      </w:r>
      <w:r w:rsidRPr="001D37D5">
        <w:t xml:space="preserve"> </w:t>
      </w:r>
      <w:r>
        <w:t xml:space="preserve">While our consultant's advice is that there is no necessity to combine </w:t>
      </w:r>
      <w:r w:rsidRPr="001D37D5">
        <w:t>estimates of the distribution rate and utilisation rate from the same dataset</w:t>
      </w:r>
      <w:r>
        <w:t xml:space="preserve"> and good reason not for not doing so, we have continued to principally match datasets.</w:t>
      </w:r>
      <w:r>
        <w:rPr>
          <w:rStyle w:val="FootnoteReference"/>
        </w:rPr>
        <w:footnoteReference w:id="27"/>
      </w:r>
      <w:r>
        <w:t xml:space="preserve"> Our approach leads to conservative estimate</w:t>
      </w:r>
      <w:r w:rsidR="00490FB7">
        <w:t xml:space="preserve"> (in favour of the service providers)</w:t>
      </w:r>
      <w:r>
        <w:t>, as Lally considers only listed firms should be used to determine the distribution rate and all equity should be used to estimate the utilisation value which results in a gamma estimate of 0.5. W</w:t>
      </w:r>
      <w:r w:rsidRPr="001D37D5">
        <w:t>hile we primarily maintain our previous approach in this decision, we also have some regard to Lally's preferred approach. This combines a distribution rate for listed equity from financial reports of the top 20 listed firms with an all equity utilisation rate from the equity ownership approach.</w:t>
      </w:r>
      <w:r w:rsidRPr="001D37D5">
        <w:rPr>
          <w:rStyle w:val="FootnoteReference"/>
        </w:rPr>
        <w:footnoteReference w:id="28"/>
      </w:r>
      <w:r w:rsidRPr="001D37D5">
        <w:t xml:space="preserve"> We also have some regard to a gamma estimate based on the utilisation rate from taxation statistics of 0.48 (consistent with FAB data used to calculate the cumulative payout ratio distribution rate) and Lally's preferred estimate of the distribution rate for a benchmark efficient entity of 0.83.</w:t>
      </w:r>
      <w:r w:rsidR="00011740">
        <w:t xml:space="preserve"> </w:t>
      </w:r>
      <w:r>
        <w:t>This additional evidence also supports a value of gamma of 0.4.</w:t>
      </w:r>
    </w:p>
    <w:p w:rsidR="00437CA2" w:rsidRPr="001D37D5" w:rsidRDefault="001E6A60">
      <w:pPr>
        <w:pStyle w:val="AERbulletlistfirststyle"/>
      </w:pPr>
      <w:r w:rsidRPr="00C64627">
        <w:t>Lally supports, among other things, our conceptual approach to estimating gamma and the relative reliance we place on different sources of evidence to estimate the utilisation rate.</w:t>
      </w:r>
      <w:r w:rsidRPr="00E750F8">
        <w:rPr>
          <w:rStyle w:val="FootnoteReference"/>
        </w:rPr>
        <w:footnoteReference w:id="29"/>
      </w:r>
      <w:r w:rsidRPr="00C64627">
        <w:t xml:space="preserve"> However, he recommended an estimate of the value of gamma of at least 0.5. This is higher than the estimate of 0.4 we adopt in this decision. </w:t>
      </w:r>
      <w:r>
        <w:t>Other expert reports, s</w:t>
      </w:r>
      <w:r w:rsidR="00E4542B">
        <w:t xml:space="preserve">uch as those provided by </w:t>
      </w:r>
      <w:r w:rsidR="00AF450C">
        <w:t>Multinet</w:t>
      </w:r>
      <w:r w:rsidR="00DB6F2B">
        <w:t>, AGN</w:t>
      </w:r>
      <w:r w:rsidR="009B6CBD">
        <w:t xml:space="preserve"> and </w:t>
      </w:r>
      <w:r w:rsidR="00E4542B">
        <w:t xml:space="preserve">AusNet Services </w:t>
      </w:r>
      <w:r>
        <w:t xml:space="preserve">in support of </w:t>
      </w:r>
      <w:r w:rsidR="009B6CBD">
        <w:t>their</w:t>
      </w:r>
      <w:r>
        <w:t xml:space="preserve"> proposal</w:t>
      </w:r>
      <w:r w:rsidR="009B6CBD">
        <w:t>s</w:t>
      </w:r>
      <w:r>
        <w:t xml:space="preserve">, argue for a lower value. </w:t>
      </w:r>
      <w:r w:rsidRPr="00C64627">
        <w:t xml:space="preserve">We maintain our approach </w:t>
      </w:r>
      <w:r>
        <w:t xml:space="preserve">in recent previous decisions to value gamma at 0.4 </w:t>
      </w:r>
      <w:r w:rsidRPr="00C64627">
        <w:t xml:space="preserve">because we consider </w:t>
      </w:r>
      <w:r>
        <w:t>a value of 0.4</w:t>
      </w:r>
      <w:r w:rsidRPr="00C64627">
        <w:t xml:space="preserve"> </w:t>
      </w:r>
      <w:r>
        <w:t>reflects our best j</w:t>
      </w:r>
      <w:r w:rsidR="00493F01">
        <w:t xml:space="preserve">udgement in the circumstances. </w:t>
      </w:r>
      <w:r>
        <w:t xml:space="preserve">It is based on our assessment of the available evidence having regard to </w:t>
      </w:r>
      <w:r w:rsidRPr="00C64627">
        <w:t>the requirements of the NER/NGR</w:t>
      </w:r>
      <w:r>
        <w:t>.</w:t>
      </w:r>
      <w:bookmarkEnd w:id="23"/>
    </w:p>
    <w:p w:rsidR="00437CA2" w:rsidRDefault="00437CA2" w:rsidP="007F6EED">
      <w:pPr>
        <w:pStyle w:val="HeadingBoldItalic"/>
      </w:pPr>
      <w:bookmarkStart w:id="27" w:name="_Toc456614272"/>
      <w:bookmarkStart w:id="28" w:name="_Toc480814856"/>
      <w:bookmarkStart w:id="29" w:name="_Toc481056644"/>
      <w:bookmarkStart w:id="30" w:name="_Toc481061438"/>
      <w:r>
        <w:t>The use of taxation statistics</w:t>
      </w:r>
      <w:bookmarkEnd w:id="27"/>
      <w:bookmarkEnd w:id="28"/>
      <w:bookmarkEnd w:id="29"/>
      <w:bookmarkEnd w:id="30"/>
    </w:p>
    <w:p w:rsidR="00437CA2" w:rsidRDefault="00437CA2" w:rsidP="00437CA2">
      <w:r>
        <w:t xml:space="preserve">In response to the </w:t>
      </w:r>
      <w:r w:rsidR="00910E36">
        <w:t>Ausgrid</w:t>
      </w:r>
      <w:r>
        <w:t xml:space="preserve"> Tribunal decisions, we have again considered the reliability of utilisation rate and gamma estimates based on tax statistics. We have also considered what can reasonably be concluded about the appropriate estimate of gamma for a benchmark efficient entity based on these statistics. This section briefly summarises our views on these matters. </w:t>
      </w:r>
    </w:p>
    <w:p w:rsidR="00437CA2" w:rsidRPr="00243100" w:rsidRDefault="00437CA2" w:rsidP="00437CA2">
      <w:r w:rsidRPr="00243100">
        <w:t xml:space="preserve">In this decision, </w:t>
      </w:r>
      <w:r>
        <w:t>we</w:t>
      </w:r>
      <w:r w:rsidRPr="00243100">
        <w:t xml:space="preserve"> consider there are </w:t>
      </w:r>
      <w:r>
        <w:t xml:space="preserve">potential </w:t>
      </w:r>
      <w:r w:rsidRPr="00243100">
        <w:t>underlying data issues with tax statistics and as a result</w:t>
      </w:r>
      <w:r>
        <w:t>,</w:t>
      </w:r>
      <w:r w:rsidRPr="00243100">
        <w:t xml:space="preserve"> the utilisation </w:t>
      </w:r>
      <w:r>
        <w:t>rate</w:t>
      </w:r>
      <w:r w:rsidRPr="00243100">
        <w:t xml:space="preserve"> cannot be estimated reliably f</w:t>
      </w:r>
      <w:r>
        <w:t>rom this data</w:t>
      </w:r>
      <w:r w:rsidRPr="00243100">
        <w:t xml:space="preserve">. As outlined by Lally, the data issues with tax statistics </w:t>
      </w:r>
      <w:r>
        <w:t>are</w:t>
      </w:r>
      <w:r w:rsidRPr="00243100">
        <w:t xml:space="preserve"> generally accepted by service providers, </w:t>
      </w:r>
      <w:r>
        <w:t>t</w:t>
      </w:r>
      <w:r w:rsidRPr="00243100">
        <w:t>he Tribunal, Hathaway, NERA</w:t>
      </w:r>
      <w:r w:rsidR="00910E36">
        <w:t xml:space="preserve"> and</w:t>
      </w:r>
      <w:r w:rsidRPr="00243100">
        <w:t xml:space="preserve"> Handley.</w:t>
      </w:r>
      <w:r>
        <w:rPr>
          <w:rStyle w:val="FootnoteReference"/>
        </w:rPr>
        <w:footnoteReference w:id="30"/>
      </w:r>
      <w:r>
        <w:t xml:space="preserve"> </w:t>
      </w:r>
      <w:r w:rsidR="00910E36">
        <w:t>Frontier has submitted that tax statistics can estimate gamma reliably as the ratio of imputation credits redeemed to imputation credit created.</w:t>
      </w:r>
      <w:r w:rsidR="00493F01">
        <w:rPr>
          <w:rStyle w:val="FootnoteReference"/>
        </w:rPr>
        <w:footnoteReference w:id="31"/>
      </w:r>
      <w:r w:rsidR="00910E36">
        <w:t xml:space="preserve"> However, </w:t>
      </w:r>
      <w:r w:rsidR="003575D8">
        <w:t xml:space="preserve">we are not convinced following our review of the Hathaway paper and our recent advice from Lally (see section </w:t>
      </w:r>
      <w:r w:rsidR="003575D8">
        <w:fldChar w:fldCharType="begin"/>
      </w:r>
      <w:r w:rsidR="003575D8">
        <w:instrText xml:space="preserve"> REF _Ref402179420 \n \h </w:instrText>
      </w:r>
      <w:r w:rsidR="003575D8">
        <w:fldChar w:fldCharType="separate"/>
      </w:r>
      <w:r w:rsidR="007E3457">
        <w:t>A.13</w:t>
      </w:r>
      <w:r w:rsidR="003575D8">
        <w:fldChar w:fldCharType="end"/>
      </w:r>
      <w:r w:rsidR="003575D8">
        <w:t xml:space="preserve">). </w:t>
      </w:r>
      <w:r>
        <w:t>For this reason, in this decision, we have placed limited weight on tax statistics.</w:t>
      </w:r>
    </w:p>
    <w:p w:rsidR="00437CA2" w:rsidRDefault="00437CA2" w:rsidP="00437CA2">
      <w:r w:rsidRPr="00243100">
        <w:t xml:space="preserve">Lally considers tax statistics </w:t>
      </w:r>
      <w:r>
        <w:t xml:space="preserve">do not provide a reliable </w:t>
      </w:r>
      <w:r w:rsidRPr="00243100">
        <w:t>estimate of the utilisation rate.</w:t>
      </w:r>
      <w:r>
        <w:rPr>
          <w:rStyle w:val="FootnoteReference"/>
        </w:rPr>
        <w:footnoteReference w:id="32"/>
      </w:r>
      <w:r w:rsidRPr="00243100">
        <w:t xml:space="preserve"> Lally </w:t>
      </w:r>
      <w:r>
        <w:t xml:space="preserve">also </w:t>
      </w:r>
      <w:r w:rsidRPr="00243100">
        <w:t>consider</w:t>
      </w:r>
      <w:r>
        <w:t>s</w:t>
      </w:r>
      <w:r w:rsidRPr="00243100">
        <w:t xml:space="preserve"> </w:t>
      </w:r>
      <w:r>
        <w:t>our</w:t>
      </w:r>
      <w:r w:rsidRPr="00243100">
        <w:t xml:space="preserve"> </w:t>
      </w:r>
      <w:r>
        <w:t xml:space="preserve">tax statistic </w:t>
      </w:r>
      <w:r w:rsidRPr="00243100">
        <w:t>estimate of 0.48 is</w:t>
      </w:r>
      <w:r>
        <w:t xml:space="preserve"> </w:t>
      </w:r>
      <w:r w:rsidRPr="005764F6">
        <w:rPr>
          <w:rStyle w:val="AERtextunderline"/>
        </w:rPr>
        <w:t>not</w:t>
      </w:r>
      <w:r w:rsidRPr="00243100">
        <w:t xml:space="preserve"> an upper bound</w:t>
      </w:r>
      <w:r>
        <w:t xml:space="preserve">. As </w:t>
      </w:r>
      <w:r w:rsidRPr="00243100">
        <w:t>Lally</w:t>
      </w:r>
      <w:r>
        <w:t xml:space="preserve"> explains,</w:t>
      </w:r>
      <w:r w:rsidRPr="00243100">
        <w:t xml:space="preserve"> the fact that Hathaway also considered 0.6</w:t>
      </w:r>
      <w:r>
        <w:t>2</w:t>
      </w:r>
      <w:r w:rsidRPr="00243100">
        <w:t xml:space="preserve"> </w:t>
      </w:r>
      <w:r>
        <w:t xml:space="preserve">a </w:t>
      </w:r>
      <w:r w:rsidRPr="00243100">
        <w:t>possible estimate of the utilisation rate</w:t>
      </w:r>
      <w:r>
        <w:t xml:space="preserve"> demonstrates </w:t>
      </w:r>
      <w:r w:rsidRPr="00243100">
        <w:t xml:space="preserve">the </w:t>
      </w:r>
      <w:r>
        <w:t xml:space="preserve">utilisation rate estimate of </w:t>
      </w:r>
      <w:r w:rsidRPr="00243100">
        <w:t>0.48 is not an upper bound.</w:t>
      </w:r>
      <w:r w:rsidRPr="00AB0B17">
        <w:rPr>
          <w:rStyle w:val="FootnoteReference"/>
        </w:rPr>
        <w:footnoteReference w:id="33"/>
      </w:r>
      <w:r>
        <w:t xml:space="preserve"> We consider that any uncertain estimate is not an upper bound.</w:t>
      </w:r>
    </w:p>
    <w:p w:rsidR="00437CA2" w:rsidRDefault="00437CA2" w:rsidP="00437CA2">
      <w:r w:rsidRPr="00243100">
        <w:t xml:space="preserve">Putting </w:t>
      </w:r>
      <w:r>
        <w:t>aside the data reliability issues with tax statistics, all the evidence before us on tax statistics does</w:t>
      </w:r>
      <w:r w:rsidRPr="00243100">
        <w:t xml:space="preserve"> not demonstrate </w:t>
      </w:r>
      <w:r>
        <w:t>our</w:t>
      </w:r>
      <w:r w:rsidRPr="00243100">
        <w:t xml:space="preserve"> gamma estimate for </w:t>
      </w:r>
      <w:r>
        <w:t>a</w:t>
      </w:r>
      <w:r w:rsidRPr="00243100">
        <w:t xml:space="preserve"> benchmark effi</w:t>
      </w:r>
      <w:r>
        <w:t xml:space="preserve">cient entity of 0.4 is too high. This is evident in </w:t>
      </w:r>
      <w:r>
        <w:fldChar w:fldCharType="begin"/>
      </w:r>
      <w:r>
        <w:instrText xml:space="preserve"> REF _Ref451627331 \h </w:instrText>
      </w:r>
      <w:r>
        <w:fldChar w:fldCharType="separate"/>
      </w:r>
      <w:r w:rsidR="007E3457" w:rsidRPr="00883125">
        <w:t xml:space="preserve">Table </w:t>
      </w:r>
      <w:r w:rsidR="007E3457">
        <w:rPr>
          <w:noProof/>
        </w:rPr>
        <w:t>4</w:t>
      </w:r>
      <w:r w:rsidR="007E3457">
        <w:noBreakHyphen/>
      </w:r>
      <w:r w:rsidR="007E3457">
        <w:rPr>
          <w:noProof/>
        </w:rPr>
        <w:t>2</w:t>
      </w:r>
      <w:r>
        <w:fldChar w:fldCharType="end"/>
      </w:r>
      <w:r>
        <w:t>.</w:t>
      </w:r>
    </w:p>
    <w:p w:rsidR="00437CA2" w:rsidRPr="00883125" w:rsidRDefault="00437CA2" w:rsidP="00437CA2">
      <w:pPr>
        <w:pStyle w:val="Caption"/>
      </w:pPr>
      <w:bookmarkStart w:id="31" w:name="_Ref451627331"/>
      <w:r w:rsidRPr="00883125">
        <w:t xml:space="preserve">Table </w:t>
      </w:r>
      <w:r w:rsidRPr="00962162">
        <w:fldChar w:fldCharType="begin"/>
      </w:r>
      <w:r>
        <w:instrText xml:space="preserve"> STYLEREF 1 \s </w:instrText>
      </w:r>
      <w:r w:rsidRPr="00962162">
        <w:fldChar w:fldCharType="separate"/>
      </w:r>
      <w:r w:rsidR="007E3457">
        <w:rPr>
          <w:noProof/>
        </w:rPr>
        <w:t>4</w:t>
      </w:r>
      <w:r w:rsidRPr="00962162">
        <w:fldChar w:fldCharType="end"/>
      </w:r>
      <w:r>
        <w:noBreakHyphen/>
      </w:r>
      <w:r w:rsidRPr="00962162">
        <w:fldChar w:fldCharType="begin"/>
      </w:r>
      <w:r>
        <w:instrText xml:space="preserve"> SEQ Table \* ARABIC \s 1 </w:instrText>
      </w:r>
      <w:r w:rsidRPr="00962162">
        <w:fldChar w:fldCharType="separate"/>
      </w:r>
      <w:r w:rsidR="007E3457">
        <w:rPr>
          <w:noProof/>
        </w:rPr>
        <w:t>2</w:t>
      </w:r>
      <w:r w:rsidRPr="00962162">
        <w:fldChar w:fldCharType="end"/>
      </w:r>
      <w:bookmarkEnd w:id="31"/>
      <w:r w:rsidRPr="00883125">
        <w:tab/>
        <w:t xml:space="preserve">Estimates of the value of imputation credits—evidence from </w:t>
      </w:r>
      <w:r>
        <w:t>taxation statistics</w:t>
      </w:r>
    </w:p>
    <w:tbl>
      <w:tblPr>
        <w:tblStyle w:val="AERtable-numbers"/>
        <w:tblW w:w="0" w:type="auto"/>
        <w:tblLook w:val="04A0" w:firstRow="1" w:lastRow="0" w:firstColumn="1" w:lastColumn="0" w:noHBand="0" w:noVBand="1"/>
      </w:tblPr>
      <w:tblGrid>
        <w:gridCol w:w="3085"/>
        <w:gridCol w:w="2052"/>
        <w:gridCol w:w="2052"/>
        <w:gridCol w:w="2053"/>
      </w:tblGrid>
      <w:tr w:rsidR="00437CA2" w:rsidTr="00437CA2">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085" w:type="dxa"/>
          </w:tcPr>
          <w:p w:rsidR="00437CA2" w:rsidRPr="00883125" w:rsidRDefault="00437CA2" w:rsidP="00C52695">
            <w:pPr>
              <w:numPr>
                <w:ilvl w:val="0"/>
                <w:numId w:val="24"/>
              </w:numPr>
            </w:pPr>
          </w:p>
        </w:tc>
        <w:tc>
          <w:tcPr>
            <w:tcW w:w="2052" w:type="dxa"/>
          </w:tcPr>
          <w:p w:rsidR="00437CA2" w:rsidRPr="00437CA2" w:rsidRDefault="00437CA2" w:rsidP="00437CA2">
            <w:pPr>
              <w:cnfStyle w:val="100000000000" w:firstRow="1" w:lastRow="0" w:firstColumn="0" w:lastColumn="0" w:oddVBand="0" w:evenVBand="0" w:oddHBand="0" w:evenHBand="0" w:firstRowFirstColumn="0" w:firstRowLastColumn="0" w:lastRowFirstColumn="0" w:lastRowLastColumn="0"/>
            </w:pPr>
            <w:r w:rsidRPr="00883125">
              <w:t xml:space="preserve">Utilisation </w:t>
            </w:r>
            <w:r w:rsidRPr="00437CA2">
              <w:t>rate</w:t>
            </w:r>
          </w:p>
        </w:tc>
        <w:tc>
          <w:tcPr>
            <w:tcW w:w="2052" w:type="dxa"/>
          </w:tcPr>
          <w:p w:rsidR="00437CA2" w:rsidRPr="00437CA2" w:rsidRDefault="00437CA2" w:rsidP="00437CA2">
            <w:pPr>
              <w:cnfStyle w:val="100000000000" w:firstRow="1" w:lastRow="0" w:firstColumn="0" w:lastColumn="0" w:oddVBand="0" w:evenVBand="0" w:oddHBand="0" w:evenHBand="0" w:firstRowFirstColumn="0" w:firstRowLastColumn="0" w:lastRowFirstColumn="0" w:lastRowLastColumn="0"/>
            </w:pPr>
            <w:r w:rsidRPr="00883125">
              <w:t>Distribution rate</w:t>
            </w:r>
          </w:p>
        </w:tc>
        <w:tc>
          <w:tcPr>
            <w:tcW w:w="2053" w:type="dxa"/>
          </w:tcPr>
          <w:p w:rsidR="00437CA2" w:rsidRPr="00437CA2" w:rsidRDefault="00437CA2" w:rsidP="00437CA2">
            <w:pPr>
              <w:cnfStyle w:val="100000000000" w:firstRow="1" w:lastRow="0" w:firstColumn="0" w:lastColumn="0" w:oddVBand="0" w:evenVBand="0" w:oddHBand="0" w:evenHBand="0" w:firstRowFirstColumn="0" w:firstRowLastColumn="0" w:lastRowFirstColumn="0" w:lastRowLastColumn="0"/>
            </w:pPr>
            <w:r w:rsidRPr="00883125">
              <w:t xml:space="preserve">Value of </w:t>
            </w:r>
            <w:r w:rsidRPr="00437CA2">
              <w:t>Imputation Credits</w:t>
            </w:r>
          </w:p>
        </w:tc>
      </w:tr>
      <w:tr w:rsidR="00437CA2" w:rsidTr="00437CA2">
        <w:trPr>
          <w:cantSplit/>
        </w:trPr>
        <w:tc>
          <w:tcPr>
            <w:cnfStyle w:val="001000000000" w:firstRow="0" w:lastRow="0" w:firstColumn="1" w:lastColumn="0" w:oddVBand="0" w:evenVBand="0" w:oddHBand="0" w:evenHBand="0" w:firstRowFirstColumn="0" w:firstRowLastColumn="0" w:lastRowFirstColumn="0" w:lastRowLastColumn="0"/>
            <w:tcW w:w="3085" w:type="dxa"/>
          </w:tcPr>
          <w:p w:rsidR="00437CA2" w:rsidRPr="00883125" w:rsidRDefault="00437CA2" w:rsidP="00C52695">
            <w:pPr>
              <w:numPr>
                <w:ilvl w:val="0"/>
                <w:numId w:val="24"/>
              </w:numPr>
            </w:pPr>
            <w:r>
              <w:t>All equity</w:t>
            </w:r>
          </w:p>
        </w:tc>
        <w:tc>
          <w:tcPr>
            <w:tcW w:w="2052" w:type="dxa"/>
          </w:tcPr>
          <w:p w:rsidR="00437CA2" w:rsidRPr="00437CA2" w:rsidRDefault="00437CA2" w:rsidP="00437CA2">
            <w:pPr>
              <w:cnfStyle w:val="000000000000" w:firstRow="0" w:lastRow="0" w:firstColumn="0" w:lastColumn="0" w:oddVBand="0" w:evenVBand="0" w:oddHBand="0" w:evenHBand="0" w:firstRowFirstColumn="0" w:firstRowLastColumn="0" w:lastRowFirstColumn="0" w:lastRowLastColumn="0"/>
            </w:pPr>
            <w:r w:rsidRPr="00883125">
              <w:t>0.</w:t>
            </w:r>
            <w:r w:rsidRPr="00437CA2">
              <w:t>48</w:t>
            </w:r>
          </w:p>
        </w:tc>
        <w:tc>
          <w:tcPr>
            <w:tcW w:w="2052" w:type="dxa"/>
          </w:tcPr>
          <w:p w:rsidR="00437CA2" w:rsidRPr="00883125" w:rsidRDefault="00437CA2" w:rsidP="00C52695">
            <w:pPr>
              <w:numPr>
                <w:ilvl w:val="0"/>
                <w:numId w:val="24"/>
              </w:numPr>
              <w:cnfStyle w:val="000000000000" w:firstRow="0" w:lastRow="0" w:firstColumn="0" w:lastColumn="0" w:oddVBand="0" w:evenVBand="0" w:oddHBand="0" w:evenHBand="0" w:firstRowFirstColumn="0" w:firstRowLastColumn="0" w:lastRowFirstColumn="0" w:lastRowLastColumn="0"/>
            </w:pPr>
            <w:r w:rsidRPr="00883125">
              <w:t>0.7</w:t>
            </w:r>
            <w:r>
              <w:rPr>
                <w:rStyle w:val="FootnoteReference"/>
              </w:rPr>
              <w:footnoteReference w:id="34"/>
            </w:r>
          </w:p>
        </w:tc>
        <w:tc>
          <w:tcPr>
            <w:tcW w:w="2053" w:type="dxa"/>
          </w:tcPr>
          <w:p w:rsidR="00437CA2" w:rsidRPr="00883125" w:rsidRDefault="00437CA2" w:rsidP="00C52695">
            <w:pPr>
              <w:numPr>
                <w:ilvl w:val="0"/>
                <w:numId w:val="24"/>
              </w:numPr>
              <w:cnfStyle w:val="000000000000" w:firstRow="0" w:lastRow="0" w:firstColumn="0" w:lastColumn="0" w:oddVBand="0" w:evenVBand="0" w:oddHBand="0" w:evenHBand="0" w:firstRowFirstColumn="0" w:firstRowLastColumn="0" w:lastRowFirstColumn="0" w:lastRowLastColumn="0"/>
            </w:pPr>
            <w:r>
              <w:t>0.34</w:t>
            </w:r>
          </w:p>
        </w:tc>
      </w:tr>
      <w:tr w:rsidR="00437CA2" w:rsidTr="00437CA2">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085" w:type="dxa"/>
          </w:tcPr>
          <w:p w:rsidR="00437CA2" w:rsidRPr="00883125" w:rsidRDefault="00437CA2" w:rsidP="00C52695">
            <w:pPr>
              <w:numPr>
                <w:ilvl w:val="0"/>
                <w:numId w:val="24"/>
              </w:numPr>
            </w:pPr>
            <w:r>
              <w:t>Listed equity</w:t>
            </w:r>
          </w:p>
        </w:tc>
        <w:tc>
          <w:tcPr>
            <w:tcW w:w="2052" w:type="dxa"/>
          </w:tcPr>
          <w:p w:rsidR="00437CA2" w:rsidRPr="00437CA2" w:rsidRDefault="00437CA2" w:rsidP="00437CA2">
            <w:pPr>
              <w:cnfStyle w:val="000000010000" w:firstRow="0" w:lastRow="0" w:firstColumn="0" w:lastColumn="0" w:oddVBand="0" w:evenVBand="0" w:oddHBand="0" w:evenHBand="1" w:firstRowFirstColumn="0" w:firstRowLastColumn="0" w:lastRowFirstColumn="0" w:lastRowLastColumn="0"/>
            </w:pPr>
            <w:r w:rsidRPr="00883125">
              <w:t>0.</w:t>
            </w:r>
            <w:r w:rsidRPr="00437CA2">
              <w:t>48</w:t>
            </w:r>
            <w:r w:rsidR="00CD04C8">
              <w:rPr>
                <w:rStyle w:val="FootnoteReference"/>
              </w:rPr>
              <w:footnoteReference w:id="35"/>
            </w:r>
          </w:p>
        </w:tc>
        <w:tc>
          <w:tcPr>
            <w:tcW w:w="2052" w:type="dxa"/>
          </w:tcPr>
          <w:p w:rsidR="00437CA2" w:rsidRPr="00437CA2" w:rsidRDefault="00437CA2" w:rsidP="00437CA2">
            <w:pPr>
              <w:cnfStyle w:val="000000010000" w:firstRow="0" w:lastRow="0" w:firstColumn="0" w:lastColumn="0" w:oddVBand="0" w:evenVBand="0" w:oddHBand="0" w:evenHBand="1" w:firstRowFirstColumn="0" w:firstRowLastColumn="0" w:lastRowFirstColumn="0" w:lastRowLastColumn="0"/>
            </w:pPr>
            <w:r w:rsidRPr="00883125">
              <w:t>0.7</w:t>
            </w:r>
            <w:r w:rsidRPr="00437CA2">
              <w:t>5</w:t>
            </w:r>
            <w:r w:rsidRPr="00437CA2">
              <w:rPr>
                <w:rStyle w:val="FootnoteReference"/>
              </w:rPr>
              <w:footnoteReference w:id="36"/>
            </w:r>
          </w:p>
        </w:tc>
        <w:tc>
          <w:tcPr>
            <w:tcW w:w="2053" w:type="dxa"/>
          </w:tcPr>
          <w:p w:rsidR="00437CA2" w:rsidRPr="00437CA2" w:rsidRDefault="00437CA2" w:rsidP="00437CA2">
            <w:pPr>
              <w:cnfStyle w:val="000000010000" w:firstRow="0" w:lastRow="0" w:firstColumn="0" w:lastColumn="0" w:oddVBand="0" w:evenVBand="0" w:oddHBand="0" w:evenHBand="1" w:firstRowFirstColumn="0" w:firstRowLastColumn="0" w:lastRowFirstColumn="0" w:lastRowLastColumn="0"/>
            </w:pPr>
            <w:r>
              <w:t>0.36</w:t>
            </w:r>
          </w:p>
        </w:tc>
      </w:tr>
      <w:tr w:rsidR="00437CA2" w:rsidTr="00437CA2">
        <w:trPr>
          <w:cantSplit/>
        </w:trPr>
        <w:tc>
          <w:tcPr>
            <w:cnfStyle w:val="001000000000" w:firstRow="0" w:lastRow="0" w:firstColumn="1" w:lastColumn="0" w:oddVBand="0" w:evenVBand="0" w:oddHBand="0" w:evenHBand="0" w:firstRowFirstColumn="0" w:firstRowLastColumn="0" w:lastRowFirstColumn="0" w:lastRowLastColumn="0"/>
            <w:tcW w:w="3085" w:type="dxa"/>
          </w:tcPr>
          <w:p w:rsidR="00437CA2" w:rsidRPr="00883125" w:rsidRDefault="00437CA2" w:rsidP="00C52695">
            <w:pPr>
              <w:numPr>
                <w:ilvl w:val="0"/>
                <w:numId w:val="24"/>
              </w:numPr>
            </w:pPr>
            <w:r>
              <w:t>Australian Securities Exchange (ASX) top 20 firms</w:t>
            </w:r>
          </w:p>
        </w:tc>
        <w:tc>
          <w:tcPr>
            <w:tcW w:w="2052" w:type="dxa"/>
          </w:tcPr>
          <w:p w:rsidR="00437CA2" w:rsidRPr="00437CA2" w:rsidRDefault="00437CA2" w:rsidP="00437CA2">
            <w:pPr>
              <w:cnfStyle w:val="000000000000" w:firstRow="0" w:lastRow="0" w:firstColumn="0" w:lastColumn="0" w:oddVBand="0" w:evenVBand="0" w:oddHBand="0" w:evenHBand="0" w:firstRowFirstColumn="0" w:firstRowLastColumn="0" w:lastRowFirstColumn="0" w:lastRowLastColumn="0"/>
            </w:pPr>
            <w:r w:rsidRPr="00883125">
              <w:t>0.</w:t>
            </w:r>
            <w:r w:rsidRPr="00437CA2">
              <w:t>48 to 0.62</w:t>
            </w:r>
            <w:r w:rsidR="00BC11CF">
              <w:rPr>
                <w:rStyle w:val="FootnoteReference"/>
              </w:rPr>
              <w:footnoteReference w:id="37"/>
            </w:r>
          </w:p>
        </w:tc>
        <w:tc>
          <w:tcPr>
            <w:tcW w:w="2052" w:type="dxa"/>
          </w:tcPr>
          <w:p w:rsidR="00437CA2" w:rsidRPr="00437CA2" w:rsidRDefault="00437CA2" w:rsidP="00437CA2">
            <w:pPr>
              <w:cnfStyle w:val="000000000000" w:firstRow="0" w:lastRow="0" w:firstColumn="0" w:lastColumn="0" w:oddVBand="0" w:evenVBand="0" w:oddHBand="0" w:evenHBand="0" w:firstRowFirstColumn="0" w:firstRowLastColumn="0" w:lastRowFirstColumn="0" w:lastRowLastColumn="0"/>
            </w:pPr>
            <w:r>
              <w:t>0.83</w:t>
            </w:r>
            <w:r w:rsidRPr="00437CA2">
              <w:rPr>
                <w:rStyle w:val="FootnoteReference"/>
              </w:rPr>
              <w:footnoteReference w:id="38"/>
            </w:r>
          </w:p>
        </w:tc>
        <w:tc>
          <w:tcPr>
            <w:tcW w:w="2053" w:type="dxa"/>
          </w:tcPr>
          <w:p w:rsidR="00437CA2" w:rsidRPr="00437CA2" w:rsidRDefault="00437CA2" w:rsidP="00437CA2">
            <w:pPr>
              <w:cnfStyle w:val="000000000000" w:firstRow="0" w:lastRow="0" w:firstColumn="0" w:lastColumn="0" w:oddVBand="0" w:evenVBand="0" w:oddHBand="0" w:evenHBand="0" w:firstRowFirstColumn="0" w:firstRowLastColumn="0" w:lastRowFirstColumn="0" w:lastRowLastColumn="0"/>
            </w:pPr>
            <w:r>
              <w:t>0.40</w:t>
            </w:r>
            <w:r w:rsidRPr="00437CA2">
              <w:t xml:space="preserve"> to 0.51</w:t>
            </w:r>
            <w:r w:rsidRPr="00437CA2">
              <w:rPr>
                <w:rStyle w:val="FootnoteReference"/>
              </w:rPr>
              <w:footnoteReference w:id="39"/>
            </w:r>
          </w:p>
        </w:tc>
      </w:tr>
    </w:tbl>
    <w:p w:rsidR="00437CA2" w:rsidRPr="00CA67C0" w:rsidRDefault="00437CA2" w:rsidP="00437CA2">
      <w:pPr>
        <w:pStyle w:val="AERtablesource"/>
      </w:pPr>
      <w:r w:rsidRPr="00883125">
        <w:t>Source:</w:t>
      </w:r>
      <w:r w:rsidRPr="00883125">
        <w:tab/>
        <w:t>AER analysis</w:t>
      </w:r>
      <w:r w:rsidRPr="00CA67C0">
        <w:t xml:space="preserve">; Lally, </w:t>
      </w:r>
      <w:r w:rsidRPr="00CA67C0">
        <w:rPr>
          <w:rStyle w:val="AERtextitalic"/>
        </w:rPr>
        <w:t>Gamma and the ACT Decision</w:t>
      </w:r>
      <w:r w:rsidRPr="00CA67C0">
        <w:t>, May 2016, p. 6.</w:t>
      </w:r>
    </w:p>
    <w:p w:rsidR="00437CA2" w:rsidRDefault="00437CA2" w:rsidP="00437CA2">
      <w:r>
        <w:t>Using different distribution rates, tax statistics can potentially provide a range for gamma of 0.34 to 0.51 for the benchmark efficient entity. When Lally's preferred distribution rate is used, this implies a gamma of at least 0.4.</w:t>
      </w:r>
    </w:p>
    <w:p w:rsidR="00437CA2" w:rsidRPr="00243100" w:rsidRDefault="00437CA2" w:rsidP="00437CA2">
      <w:r w:rsidRPr="00243100">
        <w:t xml:space="preserve">In earlier decisions </w:t>
      </w:r>
      <w:r>
        <w:t>we</w:t>
      </w:r>
      <w:r w:rsidRPr="00243100">
        <w:t xml:space="preserve"> did not </w:t>
      </w:r>
      <w:r>
        <w:t>rely on the 0.62</w:t>
      </w:r>
      <w:r w:rsidRPr="00243100">
        <w:t xml:space="preserve"> utilisation rate estimate in the Hathaway 2013 paper.</w:t>
      </w:r>
      <w:r>
        <w:rPr>
          <w:rStyle w:val="FootnoteReference"/>
        </w:rPr>
        <w:footnoteReference w:id="40"/>
      </w:r>
      <w:r w:rsidRPr="00243100">
        <w:t xml:space="preserve"> This is due to the two estimates in Hathaway reflecting two alternative measures of the value of credit</w:t>
      </w:r>
      <w:r>
        <w:t>s</w:t>
      </w:r>
      <w:r w:rsidRPr="00243100">
        <w:t xml:space="preserve"> distributed, which in turn imply two alternative estimate</w:t>
      </w:r>
      <w:r>
        <w:t>s</w:t>
      </w:r>
      <w:r w:rsidRPr="00243100">
        <w:t xml:space="preserve"> of the dist</w:t>
      </w:r>
      <w:r>
        <w:t>ribution rate. The 0.44 and 0.62</w:t>
      </w:r>
      <w:r w:rsidRPr="00243100">
        <w:t xml:space="preserve"> estimates of the utilisation rate correspond to estimates of the distribution rate of around 0.7 and 0.5 respectively.</w:t>
      </w:r>
      <w:r>
        <w:rPr>
          <w:rStyle w:val="FootnoteReference"/>
        </w:rPr>
        <w:footnoteReference w:id="41"/>
      </w:r>
      <w:r w:rsidRPr="00243100">
        <w:t xml:space="preserve"> Hence, since </w:t>
      </w:r>
      <w:r>
        <w:t>we</w:t>
      </w:r>
      <w:r w:rsidRPr="00243100">
        <w:t xml:space="preserve"> used a distribution rate of 0.7 </w:t>
      </w:r>
      <w:r>
        <w:t>for all equity we</w:t>
      </w:r>
      <w:r w:rsidRPr="00243100">
        <w:t xml:space="preserve"> considered it was appr</w:t>
      </w:r>
      <w:r>
        <w:t>opriate to use 0.44 and not 0.62</w:t>
      </w:r>
      <w:r w:rsidRPr="00243100">
        <w:t>. However, this limitation does not apply to Lally</w:t>
      </w:r>
      <w:r>
        <w:t>'s</w:t>
      </w:r>
      <w:r w:rsidRPr="00243100">
        <w:t xml:space="preserve"> analysis, given Lally does not use ATO data to determine the distribution rate. Rather, Lally uses financial statement data for the top 20 listed firm</w:t>
      </w:r>
      <w:r>
        <w:t>s</w:t>
      </w:r>
      <w:r w:rsidRPr="00243100">
        <w:t xml:space="preserve"> to determine </w:t>
      </w:r>
      <w:r>
        <w:t xml:space="preserve">an estimate of </w:t>
      </w:r>
      <w:r w:rsidRPr="00243100">
        <w:t>the distribution rate</w:t>
      </w:r>
      <w:r>
        <w:t xml:space="preserve"> for the benchmark efficient entity</w:t>
      </w:r>
      <w:r w:rsidRPr="00243100">
        <w:t>.</w:t>
      </w:r>
      <w:r w:rsidRPr="00AB0B17">
        <w:rPr>
          <w:rStyle w:val="FootnoteReference"/>
        </w:rPr>
        <w:footnoteReference w:id="42"/>
      </w:r>
      <w:r w:rsidRPr="00243100">
        <w:t xml:space="preserve"> Lally considers the data from financial statements is of high quality given it is audited</w:t>
      </w:r>
      <w:r>
        <w:t xml:space="preserve"> and subject to scrutiny in financial markets</w:t>
      </w:r>
      <w:r w:rsidRPr="00243100">
        <w:t>.</w:t>
      </w:r>
      <w:r w:rsidRPr="00FF4C1C">
        <w:rPr>
          <w:rStyle w:val="FootnoteReference"/>
        </w:rPr>
        <w:footnoteReference w:id="43"/>
      </w:r>
      <w:r w:rsidRPr="00243100">
        <w:t xml:space="preserve"> </w:t>
      </w:r>
      <w:r>
        <w:t>We</w:t>
      </w:r>
      <w:r w:rsidRPr="00243100">
        <w:t xml:space="preserve"> agree there is no inconsistency with combining Lally’s preferred estimate of the </w:t>
      </w:r>
      <w:r>
        <w:t>distribution rate</w:t>
      </w:r>
      <w:r w:rsidRPr="00243100">
        <w:t xml:space="preserve"> with </w:t>
      </w:r>
      <w:r>
        <w:t>an estimate of the</w:t>
      </w:r>
      <w:r w:rsidRPr="00243100">
        <w:t xml:space="preserve"> </w:t>
      </w:r>
      <w:r>
        <w:t>utilisation rates from tax statistics</w:t>
      </w:r>
      <w:r w:rsidRPr="00243100">
        <w:t>.</w:t>
      </w:r>
      <w:r>
        <w:t xml:space="preserve"> This implies the taxation data can support a gamma estimate of at least 0.4 based on Lally's preferred distribution rate estimate of 0.83 and the lower utilisation rate in Hathaway's 2013 paper (of 0.44) updated for current tax statistics to 0.48. Given the uncertainty with the utilisation rate estimate, we also do not consider the taxation statistics would be inconsistent with a higher estimate of gamma than 0.4 for the benchmark efficient entity.</w:t>
      </w:r>
    </w:p>
    <w:p w:rsidR="00492389" w:rsidRDefault="00437CA2" w:rsidP="00437CA2">
      <w:r>
        <w:t>For the reasons explained above (and in section</w:t>
      </w:r>
      <w:r w:rsidR="00AC44F5">
        <w:t xml:space="preserve"> </w:t>
      </w:r>
      <w:r w:rsidR="00AC44F5">
        <w:fldChar w:fldCharType="begin"/>
      </w:r>
      <w:r w:rsidR="00AC44F5">
        <w:instrText xml:space="preserve"> REF _Ref476520062 \r \h </w:instrText>
      </w:r>
      <w:r w:rsidR="00AC44F5">
        <w:fldChar w:fldCharType="separate"/>
      </w:r>
      <w:r w:rsidR="007E3457">
        <w:t>4.4</w:t>
      </w:r>
      <w:r w:rsidR="00AC44F5">
        <w:fldChar w:fldCharType="end"/>
      </w:r>
      <w:r>
        <w:t xml:space="preserve"> and section </w:t>
      </w:r>
      <w:r>
        <w:fldChar w:fldCharType="begin"/>
      </w:r>
      <w:r>
        <w:instrText xml:space="preserve"> REF _Ref402179420 \r \h </w:instrText>
      </w:r>
      <w:r>
        <w:fldChar w:fldCharType="separate"/>
      </w:r>
      <w:r w:rsidR="007E3457">
        <w:t>A.13</w:t>
      </w:r>
      <w:r>
        <w:fldChar w:fldCharType="end"/>
      </w:r>
      <w:r>
        <w:t>), we consider tax statistics do not demonstrate our gamma value of 0.4 is unreasonable.</w:t>
      </w:r>
    </w:p>
    <w:p w:rsidR="00882ECD" w:rsidRPr="00882ECD" w:rsidRDefault="00142226" w:rsidP="00882ECD">
      <w:pPr>
        <w:pStyle w:val="Heading2"/>
      </w:pPr>
      <w:bookmarkStart w:id="32" w:name="_Toc487014044"/>
      <w:bookmarkEnd w:id="18"/>
      <w:r w:rsidRPr="00142226">
        <w:t>Multinet's initial proposal</w:t>
      </w:r>
      <w:bookmarkEnd w:id="32"/>
      <w:r w:rsidRPr="00142226">
        <w:t xml:space="preserve"> </w:t>
      </w:r>
    </w:p>
    <w:p w:rsidR="00825724" w:rsidRDefault="00882ECD" w:rsidP="00B330EB">
      <w:pPr>
        <w:numPr>
          <w:ilvl w:val="0"/>
          <w:numId w:val="24"/>
        </w:numPr>
      </w:pPr>
      <w:r w:rsidRPr="00882ECD">
        <w:t>Multinet and other service providers have proposed a value of imputation credits of 0.25 in their proposals.</w:t>
      </w:r>
      <w:r w:rsidRPr="00882ECD">
        <w:rPr>
          <w:rStyle w:val="FootnoteReference"/>
        </w:rPr>
        <w:footnoteReference w:id="44"/>
      </w:r>
      <w:r w:rsidRPr="00882ECD" w:rsidDel="00D85A4C">
        <w:t xml:space="preserve"> </w:t>
      </w:r>
      <w:r w:rsidRPr="00882ECD">
        <w:t>This being the product of a distribution rate of 0.7 and a theta (utilisation value) of 0.35</w:t>
      </w:r>
      <w:r>
        <w:t>.</w:t>
      </w:r>
      <w:r>
        <w:rPr>
          <w:rStyle w:val="FootnoteReference"/>
        </w:rPr>
        <w:footnoteReference w:id="45"/>
      </w:r>
      <w:r>
        <w:t xml:space="preserve"> </w:t>
      </w:r>
      <w:r w:rsidR="00B330EB">
        <w:t xml:space="preserve"> While AGN proposed to adopt the AER's</w:t>
      </w:r>
      <w:r w:rsidR="00B1398E">
        <w:t xml:space="preserve"> previous</w:t>
      </w:r>
      <w:r w:rsidR="00B330EB">
        <w:t xml:space="preserve"> decision on gamma of 0.4 pending further information resolving current areas of uncertainty.</w:t>
      </w:r>
      <w:r w:rsidR="00B330EB">
        <w:rPr>
          <w:rStyle w:val="FootnoteReference"/>
        </w:rPr>
        <w:footnoteReference w:id="46"/>
      </w:r>
    </w:p>
    <w:p w:rsidR="00825724" w:rsidRDefault="00825724" w:rsidP="00825724">
      <w:pPr>
        <w:numPr>
          <w:ilvl w:val="0"/>
          <w:numId w:val="24"/>
        </w:numPr>
      </w:pPr>
      <w:r>
        <w:t>In making the draft decision for Multinet, we have taken the initial proposals of APTPPL, APA, AusNet, AGN and AusNet's revised electricity transmission proposal into consideration. For this reason, we consider it is necessary to include the material submitted by the service</w:t>
      </w:r>
      <w:r w:rsidRPr="00882ECD">
        <w:t xml:space="preserve"> </w:t>
      </w:r>
      <w:r>
        <w:t>providers into consideration.</w:t>
      </w:r>
    </w:p>
    <w:p w:rsidR="00882ECD" w:rsidRDefault="00882ECD" w:rsidP="00B330EB">
      <w:pPr>
        <w:numPr>
          <w:ilvl w:val="0"/>
          <w:numId w:val="24"/>
        </w:numPr>
      </w:pPr>
      <w:r w:rsidRPr="00882ECD">
        <w:t xml:space="preserve">Multinet </w:t>
      </w:r>
      <w:r w:rsidR="00B330EB">
        <w:t xml:space="preserve">and AusNet Gas Distribution </w:t>
      </w:r>
      <w:r w:rsidRPr="00882ECD">
        <w:t>argued that the AER's approach to estimating gamma which relies on the pre-personal tax and pre-personal costs value of imputation credits results in an overestimate of the 'value of imputation credits' to equity investors and the business will not be able to recover at least its efficient costs.</w:t>
      </w:r>
      <w:r w:rsidRPr="00882ECD">
        <w:rPr>
          <w:rStyle w:val="FootnoteReference"/>
        </w:rPr>
        <w:footnoteReference w:id="47"/>
      </w:r>
      <w:r w:rsidR="00ED14CF">
        <w:t xml:space="preserve"> </w:t>
      </w:r>
    </w:p>
    <w:p w:rsidR="00437CA2" w:rsidRDefault="00113F3B" w:rsidP="00E750F8">
      <w:pPr>
        <w:numPr>
          <w:ilvl w:val="0"/>
          <w:numId w:val="24"/>
        </w:numPr>
      </w:pPr>
      <w:r>
        <w:t>AusNet Service</w:t>
      </w:r>
      <w:r w:rsidR="003634DD">
        <w:t>s</w:t>
      </w:r>
      <w:r w:rsidR="0006499D">
        <w:t xml:space="preserve"> in its </w:t>
      </w:r>
      <w:r w:rsidR="005E11C0">
        <w:t xml:space="preserve">revised transmission </w:t>
      </w:r>
      <w:r w:rsidR="0006499D">
        <w:t>proposal</w:t>
      </w:r>
      <w:r w:rsidR="00D5616B">
        <w:t xml:space="preserve"> </w:t>
      </w:r>
      <w:r w:rsidR="005E11C0">
        <w:t xml:space="preserve">lodged last year </w:t>
      </w:r>
      <w:r w:rsidR="0006499D">
        <w:t>also</w:t>
      </w:r>
      <w:r w:rsidR="00D5616B">
        <w:t xml:space="preserve"> proposed a value of imputation credits of 0.25</w:t>
      </w:r>
      <w:r w:rsidR="0006499D">
        <w:t xml:space="preserve"> </w:t>
      </w:r>
      <w:r w:rsidR="0006499D" w:rsidRPr="0006499D">
        <w:t>(the product of a distribution rate of 0.7 and theta of 0.35)</w:t>
      </w:r>
      <w:r w:rsidR="00D5616B">
        <w:t>.</w:t>
      </w:r>
      <w:r w:rsidR="0006499D">
        <w:rPr>
          <w:rStyle w:val="FootnoteReference"/>
        </w:rPr>
        <w:footnoteReference w:id="48"/>
      </w:r>
      <w:r w:rsidR="00D85A4C">
        <w:t xml:space="preserve"> </w:t>
      </w:r>
      <w:r w:rsidR="00AC44F5">
        <w:t>AusNet Services submit</w:t>
      </w:r>
      <w:r w:rsidR="00AD585A">
        <w:t>ted</w:t>
      </w:r>
      <w:r w:rsidR="00AC44F5">
        <w:t xml:space="preserve"> this value has recently been upheld by the Australian Competition Tribunal for the second time and reflects the value implied by the most reliable evidence available.</w:t>
      </w:r>
      <w:r w:rsidR="00AC44F5">
        <w:rPr>
          <w:rStyle w:val="FootnoteReference"/>
        </w:rPr>
        <w:footnoteReference w:id="49"/>
      </w:r>
      <w:r w:rsidR="00AC44F5">
        <w:t xml:space="preserve"> AusNet Services consider</w:t>
      </w:r>
      <w:r w:rsidR="00AD35FD">
        <w:t>ed</w:t>
      </w:r>
      <w:r w:rsidR="00AC44F5">
        <w:t xml:space="preserve"> that regulatory certainty is not promoted by the AER continuing to use an approach for gamma which has found to be in error by the Tribunal.</w:t>
      </w:r>
      <w:r w:rsidR="00AC44F5">
        <w:rPr>
          <w:rStyle w:val="FootnoteReference"/>
        </w:rPr>
        <w:footnoteReference w:id="50"/>
      </w:r>
    </w:p>
    <w:p w:rsidR="003979E9" w:rsidRDefault="00437CA2" w:rsidP="00FE55BF">
      <w:r>
        <w:t xml:space="preserve">In support of its </w:t>
      </w:r>
      <w:r w:rsidR="005E11C0">
        <w:t>transmission proposal</w:t>
      </w:r>
      <w:r>
        <w:t xml:space="preserve"> </w:t>
      </w:r>
      <w:r w:rsidR="00D85A4C">
        <w:t xml:space="preserve">AusNet </w:t>
      </w:r>
      <w:r w:rsidR="003634DD">
        <w:t xml:space="preserve">Services </w:t>
      </w:r>
      <w:r w:rsidR="00D85A4C">
        <w:t>submitted two reports from Frontier Economic</w:t>
      </w:r>
      <w:r w:rsidR="00146239">
        <w:t xml:space="preserve"> which </w:t>
      </w:r>
      <w:r w:rsidR="003634DD">
        <w:t>concluded</w:t>
      </w:r>
      <w:r w:rsidR="00AD585A">
        <w:t>:</w:t>
      </w:r>
      <w:r w:rsidR="003979E9" w:rsidRPr="003979E9">
        <w:rPr>
          <w:rStyle w:val="FootnoteReference"/>
        </w:rPr>
        <w:t xml:space="preserve"> </w:t>
      </w:r>
      <w:r w:rsidR="003979E9">
        <w:rPr>
          <w:rStyle w:val="FootnoteReference"/>
        </w:rPr>
        <w:footnoteReference w:id="51"/>
      </w:r>
    </w:p>
    <w:p w:rsidR="003979E9" w:rsidRDefault="003634DD" w:rsidP="00E750F8">
      <w:pPr>
        <w:pStyle w:val="AERbulletlistfirststyle"/>
      </w:pPr>
      <w:r>
        <w:t>A</w:t>
      </w:r>
      <w:r w:rsidR="00146239">
        <w:t xml:space="preserve"> theta of 0.35 still remains appropriate when the SFG dividend drop off </w:t>
      </w:r>
      <w:r w:rsidR="00192B61">
        <w:t xml:space="preserve">study </w:t>
      </w:r>
      <w:r w:rsidR="00146239">
        <w:t>is updated for the most recent data.</w:t>
      </w:r>
      <w:r w:rsidR="00146239">
        <w:rPr>
          <w:rStyle w:val="FootnoteReference"/>
        </w:rPr>
        <w:footnoteReference w:id="52"/>
      </w:r>
    </w:p>
    <w:p w:rsidR="00146239" w:rsidRDefault="00146239" w:rsidP="00E750F8">
      <w:pPr>
        <w:pStyle w:val="AERbulletlistfirststyle"/>
      </w:pPr>
      <w:r>
        <w:t>The distribution rate should be set with reference to all equity and it is inappropriate to use a listed equity distribution rate. Frontier considers that the li</w:t>
      </w:r>
      <w:r w:rsidR="00E4542B">
        <w:t>sted equity distribution rate</w:t>
      </w:r>
      <w:r>
        <w:t xml:space="preserve"> does not reflect the BEE as it is </w:t>
      </w:r>
      <w:r w:rsidR="00E4542B">
        <w:t>impacted</w:t>
      </w:r>
      <w:r>
        <w:t xml:space="preserve"> by foreign income. Frontier does not agree with Lally's earlier analysis that </w:t>
      </w:r>
      <w:r w:rsidR="00192B61">
        <w:t xml:space="preserve">firms with higher </w:t>
      </w:r>
      <w:r>
        <w:t xml:space="preserve">foreign income </w:t>
      </w:r>
      <w:r w:rsidR="00192B61">
        <w:t>had</w:t>
      </w:r>
      <w:r>
        <w:t xml:space="preserve"> lower imputation distribution</w:t>
      </w:r>
      <w:r w:rsidR="003634DD">
        <w:t>.</w:t>
      </w:r>
      <w:r w:rsidR="003C692F" w:rsidRPr="003C692F">
        <w:rPr>
          <w:rStyle w:val="FootnoteReference"/>
        </w:rPr>
        <w:footnoteReference w:id="53"/>
      </w:r>
    </w:p>
    <w:p w:rsidR="003C692F" w:rsidRDefault="007D69CB" w:rsidP="00E750F8">
      <w:pPr>
        <w:pStyle w:val="AERbulletlistfirststyle"/>
      </w:pPr>
      <w:r>
        <w:t>Tax statistics produce a reliable estimate for gamma when measured as the ratio of credit redeemed to credits created.</w:t>
      </w:r>
      <w:r w:rsidRPr="007D69CB">
        <w:rPr>
          <w:rStyle w:val="FootnoteReference"/>
        </w:rPr>
        <w:footnoteReference w:id="54"/>
      </w:r>
    </w:p>
    <w:p w:rsidR="009B20EA" w:rsidRDefault="00A11A7C" w:rsidP="007A4EAF">
      <w:r>
        <w:t>In a late submission</w:t>
      </w:r>
      <w:r w:rsidR="005E11C0">
        <w:t xml:space="preserve"> to its transmision determination</w:t>
      </w:r>
      <w:r>
        <w:t>, AusNet S</w:t>
      </w:r>
      <w:r w:rsidR="00B12938">
        <w:t xml:space="preserve">ervices </w:t>
      </w:r>
      <w:r>
        <w:t>outline</w:t>
      </w:r>
      <w:r w:rsidR="00AD35FD">
        <w:t>d</w:t>
      </w:r>
      <w:r w:rsidR="00B12938">
        <w:t xml:space="preserve"> </w:t>
      </w:r>
      <w:r w:rsidR="005E2E6D">
        <w:t xml:space="preserve">that it is aware of the recent </w:t>
      </w:r>
      <w:r w:rsidR="003634DD">
        <w:t xml:space="preserve">SAPN </w:t>
      </w:r>
      <w:r w:rsidR="005E2E6D">
        <w:t>Tribunal decision. However, AusNet Services submit</w:t>
      </w:r>
      <w:r w:rsidR="00AD35FD">
        <w:t>ted</w:t>
      </w:r>
      <w:r w:rsidR="005E2E6D">
        <w:t xml:space="preserve"> that </w:t>
      </w:r>
      <w:r>
        <w:t xml:space="preserve">the SAPN </w:t>
      </w:r>
      <w:r w:rsidR="005E2E6D">
        <w:t xml:space="preserve">decision is the subject of a judicial review application, including on grounds that the </w:t>
      </w:r>
      <w:r w:rsidR="003634DD">
        <w:t xml:space="preserve">SAPN </w:t>
      </w:r>
      <w:r w:rsidR="005E2E6D">
        <w:t xml:space="preserve">Tribunal did not determine the correct question. Similarly, AusNet </w:t>
      </w:r>
      <w:r>
        <w:t xml:space="preserve">Services </w:t>
      </w:r>
      <w:r w:rsidR="005E2E6D">
        <w:t>recognise</w:t>
      </w:r>
      <w:r w:rsidR="00AD35FD">
        <w:t>d</w:t>
      </w:r>
      <w:r w:rsidR="005E2E6D">
        <w:t xml:space="preserve"> the judicial review application by the AER in respect to the </w:t>
      </w:r>
      <w:r w:rsidR="003634DD">
        <w:t xml:space="preserve">Ausgrid </w:t>
      </w:r>
      <w:r w:rsidR="005E2E6D">
        <w:t xml:space="preserve">Tribunal's decision </w:t>
      </w:r>
      <w:r w:rsidR="00840BBE">
        <w:t>was</w:t>
      </w:r>
      <w:r w:rsidR="005E2E6D">
        <w:t xml:space="preserve"> outstanding</w:t>
      </w:r>
      <w:r w:rsidR="00840BBE">
        <w:t xml:space="preserve"> at the time it submitted </w:t>
      </w:r>
      <w:r w:rsidR="009545AC">
        <w:t>its</w:t>
      </w:r>
      <w:r w:rsidR="00840BBE">
        <w:t xml:space="preserve"> proposal</w:t>
      </w:r>
      <w:r w:rsidR="005E2E6D">
        <w:t>.</w:t>
      </w:r>
      <w:r w:rsidR="004423C9">
        <w:rPr>
          <w:rStyle w:val="FootnoteReference"/>
        </w:rPr>
        <w:footnoteReference w:id="55"/>
      </w:r>
    </w:p>
    <w:p w:rsidR="00251EEB" w:rsidRPr="00251EEB" w:rsidRDefault="00882ECD" w:rsidP="002E5B8D">
      <w:pPr>
        <w:numPr>
          <w:ilvl w:val="0"/>
          <w:numId w:val="24"/>
        </w:numPr>
      </w:pPr>
      <w:r w:rsidRPr="00882ECD">
        <w:t xml:space="preserve">In addition to the two reports from Frontier submitted earlier by AusNet Services, </w:t>
      </w:r>
      <w:r w:rsidR="00825724">
        <w:t>some service providers</w:t>
      </w:r>
      <w:r w:rsidRPr="00882ECD">
        <w:t xml:space="preserve"> </w:t>
      </w:r>
      <w:r w:rsidR="00323FDA">
        <w:t xml:space="preserve">also </w:t>
      </w:r>
      <w:r w:rsidR="0006499D">
        <w:t xml:space="preserve">submitted </w:t>
      </w:r>
      <w:r w:rsidR="005E11C0">
        <w:t>a new report by</w:t>
      </w:r>
      <w:r w:rsidR="00F27213">
        <w:t xml:space="preserve"> </w:t>
      </w:r>
      <w:r w:rsidRPr="00882ECD">
        <w:t>Frontier on perspectives for the estimation of gamma to support its proposed value of gamma of 0.25.</w:t>
      </w:r>
      <w:r w:rsidRPr="00882ECD">
        <w:rPr>
          <w:rStyle w:val="FootnoteReference"/>
        </w:rPr>
        <w:footnoteReference w:id="56"/>
      </w:r>
      <w:r w:rsidRPr="00882ECD">
        <w:t xml:space="preserve"> </w:t>
      </w:r>
      <w:r w:rsidR="0006499D">
        <w:t>In t</w:t>
      </w:r>
      <w:r w:rsidR="00251EEB">
        <w:t>he</w:t>
      </w:r>
      <w:r w:rsidR="009545AC">
        <w:t xml:space="preserve"> new</w:t>
      </w:r>
      <w:r w:rsidR="0006499D">
        <w:t xml:space="preserve"> report, </w:t>
      </w:r>
    </w:p>
    <w:p w:rsidR="00717A85" w:rsidRDefault="00F3718A" w:rsidP="00DE1938">
      <w:pPr>
        <w:numPr>
          <w:ilvl w:val="0"/>
          <w:numId w:val="24"/>
        </w:numPr>
      </w:pPr>
      <w:r>
        <w:rPr>
          <w:rStyle w:val="AERbody"/>
        </w:rPr>
        <w:t xml:space="preserve">Frontier </w:t>
      </w:r>
      <w:r w:rsidR="00A343CA">
        <w:rPr>
          <w:rStyle w:val="AERbody"/>
        </w:rPr>
        <w:t xml:space="preserve">claims </w:t>
      </w:r>
      <w:r>
        <w:rPr>
          <w:rStyle w:val="AERbody"/>
        </w:rPr>
        <w:t>theta (</w:t>
      </w:r>
      <w:r w:rsidR="00A566D0">
        <w:rPr>
          <w:rStyle w:val="AERbody"/>
        </w:rPr>
        <w:t xml:space="preserve">or the </w:t>
      </w:r>
      <w:r>
        <w:rPr>
          <w:rStyle w:val="AERbody"/>
        </w:rPr>
        <w:t xml:space="preserve">utilisation rate) should be the market value of </w:t>
      </w:r>
      <w:r w:rsidR="00526F08">
        <w:rPr>
          <w:rStyle w:val="AERbody"/>
        </w:rPr>
        <w:t xml:space="preserve">$1 of </w:t>
      </w:r>
      <w:r>
        <w:rPr>
          <w:rStyle w:val="AERbody"/>
        </w:rPr>
        <w:t xml:space="preserve">imputation credits rather than the 'simple average' utilisation rate that the AER adopted. </w:t>
      </w:r>
      <w:r>
        <w:rPr>
          <w:rStyle w:val="FootnoteReference"/>
        </w:rPr>
        <w:footnoteReference w:id="57"/>
      </w:r>
      <w:r>
        <w:rPr>
          <w:rStyle w:val="AERbody"/>
        </w:rPr>
        <w:t xml:space="preserve"> We </w:t>
      </w:r>
      <w:r w:rsidR="00AE2B29">
        <w:rPr>
          <w:rStyle w:val="AERbody"/>
        </w:rPr>
        <w:t xml:space="preserve">have </w:t>
      </w:r>
      <w:r>
        <w:rPr>
          <w:rStyle w:val="AERbody"/>
        </w:rPr>
        <w:t>had our consultant consider the arguments put forward in Frontier's new report</w:t>
      </w:r>
      <w:r w:rsidR="0049781D">
        <w:rPr>
          <w:rStyle w:val="AERbody"/>
        </w:rPr>
        <w:t>.</w:t>
      </w:r>
      <w:r>
        <w:rPr>
          <w:rStyle w:val="AERbody"/>
        </w:rPr>
        <w:t xml:space="preserve"> </w:t>
      </w:r>
      <w:r w:rsidR="00173FC3">
        <w:rPr>
          <w:rStyle w:val="AERbody"/>
        </w:rPr>
        <w:t xml:space="preserve">Following this review </w:t>
      </w:r>
      <w:r w:rsidR="00173FC3">
        <w:t>o</w:t>
      </w:r>
      <w:r w:rsidR="005259C1" w:rsidRPr="005259C1">
        <w:t>ur consultant Dr Lally remains</w:t>
      </w:r>
      <w:r w:rsidR="00A566D0">
        <w:t xml:space="preserve"> of</w:t>
      </w:r>
      <w:r w:rsidR="005259C1" w:rsidRPr="005259C1">
        <w:t xml:space="preserve"> the view that</w:t>
      </w:r>
      <w:r w:rsidR="000238AD">
        <w:t xml:space="preserve"> the AER's focus upon</w:t>
      </w:r>
      <w:r w:rsidR="005259C1" w:rsidRPr="005259C1">
        <w:t xml:space="preserve"> the 'utilisation value' of the distributed credits (rather than the market value) is appropriate </w:t>
      </w:r>
      <w:r w:rsidR="005259C1">
        <w:t>and the AER's value of gamma of 0.4 is more than sufficient to contribute to a rate of return that meets the ARORO</w:t>
      </w:r>
      <w:r w:rsidR="005259C1" w:rsidRPr="005259C1">
        <w:t>.</w:t>
      </w:r>
      <w:r w:rsidR="005259C1">
        <w:rPr>
          <w:rStyle w:val="FootnoteReference"/>
        </w:rPr>
        <w:footnoteReference w:id="58"/>
      </w:r>
      <w:r w:rsidR="005259C1" w:rsidRPr="005259C1">
        <w:t xml:space="preserve"> </w:t>
      </w:r>
      <w:r w:rsidR="00E70737">
        <w:rPr>
          <w:rStyle w:val="AERbody"/>
        </w:rPr>
        <w:t>In light of our consultant's report and also the Full Federal Court decision released on 24 May 2017</w:t>
      </w:r>
      <w:r w:rsidR="00A566D0">
        <w:rPr>
          <w:rStyle w:val="AERbody"/>
        </w:rPr>
        <w:t xml:space="preserve"> that found our utilisation approach to theta to be legally </w:t>
      </w:r>
      <w:r w:rsidR="003217B7">
        <w:rPr>
          <w:rStyle w:val="AERbody"/>
        </w:rPr>
        <w:t>open to us</w:t>
      </w:r>
      <w:r w:rsidR="00E70737">
        <w:rPr>
          <w:rStyle w:val="AERbody"/>
        </w:rPr>
        <w:t xml:space="preserve">, </w:t>
      </w:r>
      <w:r w:rsidR="00E70737">
        <w:t>n</w:t>
      </w:r>
      <w:r w:rsidR="00A107D0">
        <w:t xml:space="preserve">othing in the new material submitted changes our views </w:t>
      </w:r>
      <w:r w:rsidR="00F21D44">
        <w:t xml:space="preserve">expressed above on how we estimate gamma. </w:t>
      </w:r>
      <w:r w:rsidR="0049781D">
        <w:t xml:space="preserve">Our responses to the specific criticisms of our approach are covered in </w:t>
      </w:r>
      <w:r w:rsidR="00041282">
        <w:t xml:space="preserve">Section </w:t>
      </w:r>
      <w:r w:rsidR="00041282">
        <w:fldChar w:fldCharType="begin"/>
      </w:r>
      <w:r w:rsidR="00041282">
        <w:instrText xml:space="preserve"> REF _Ref451240961 \r \h </w:instrText>
      </w:r>
      <w:r w:rsidR="00041282">
        <w:fldChar w:fldCharType="separate"/>
      </w:r>
      <w:r w:rsidR="007E3457">
        <w:t>4.4.2</w:t>
      </w:r>
      <w:r w:rsidR="00041282">
        <w:fldChar w:fldCharType="end"/>
      </w:r>
      <w:r w:rsidR="00041282">
        <w:t xml:space="preserve">. </w:t>
      </w:r>
      <w:r w:rsidR="00251EEB">
        <w:t>We note that other than the new report by Frontier, Multinet did not submit any other new material in its proposal</w:t>
      </w:r>
      <w:r w:rsidR="00BC4377">
        <w:t xml:space="preserve"> to the AER</w:t>
      </w:r>
      <w:r w:rsidR="00173FC3">
        <w:t xml:space="preserve"> that the AER has not previously considered</w:t>
      </w:r>
      <w:r w:rsidR="00BC4377">
        <w:t>.</w:t>
      </w:r>
      <w:r w:rsidR="00251EEB">
        <w:t xml:space="preserve"> </w:t>
      </w:r>
    </w:p>
    <w:p w:rsidR="00DE563D" w:rsidRDefault="00DE563D" w:rsidP="001754EE">
      <w:pPr>
        <w:pStyle w:val="Heading2"/>
      </w:pPr>
      <w:bookmarkStart w:id="33" w:name="_Toc486843653"/>
      <w:bookmarkStart w:id="34" w:name="_Toc403144138"/>
      <w:bookmarkStart w:id="35" w:name="_Toc487014045"/>
      <w:bookmarkEnd w:id="33"/>
      <w:r w:rsidRPr="001754EE">
        <w:t>AER’s</w:t>
      </w:r>
      <w:r>
        <w:t xml:space="preserve"> assessment approach</w:t>
      </w:r>
      <w:bookmarkEnd w:id="34"/>
      <w:bookmarkEnd w:id="35"/>
    </w:p>
    <w:p w:rsidR="00437CA2" w:rsidRPr="00883125" w:rsidRDefault="00437CA2" w:rsidP="00C52695">
      <w:pPr>
        <w:numPr>
          <w:ilvl w:val="0"/>
          <w:numId w:val="24"/>
        </w:numPr>
      </w:pPr>
      <w:r w:rsidRPr="00883125">
        <w:t>In this section we set out the approach we have taken to assessing proposals on the value of imputation credits. This approach includes consideration of:</w:t>
      </w:r>
    </w:p>
    <w:p w:rsidR="00437CA2" w:rsidRPr="00883125" w:rsidRDefault="00437CA2" w:rsidP="00437CA2">
      <w:pPr>
        <w:pStyle w:val="AERbulletlistfirststyle"/>
      </w:pPr>
      <w:r w:rsidRPr="00883125">
        <w:t>the requirements of the NEL/NGL and NER/NGR</w:t>
      </w:r>
    </w:p>
    <w:p w:rsidR="00437CA2" w:rsidRPr="00883125" w:rsidRDefault="00437CA2" w:rsidP="00437CA2">
      <w:pPr>
        <w:pStyle w:val="AERbulletlistfirststyle"/>
      </w:pPr>
      <w:r w:rsidRPr="00883125">
        <w:t>the Guideline</w:t>
      </w:r>
    </w:p>
    <w:p w:rsidR="00437CA2" w:rsidRPr="00883125" w:rsidRDefault="00437CA2" w:rsidP="00437CA2">
      <w:pPr>
        <w:pStyle w:val="AERbulletlistfirststyle"/>
      </w:pPr>
      <w:r w:rsidRPr="00883125">
        <w:t>our definition of the benchmark efficient entity</w:t>
      </w:r>
    </w:p>
    <w:p w:rsidR="00437CA2" w:rsidRPr="00883125" w:rsidRDefault="00437CA2" w:rsidP="00437CA2">
      <w:pPr>
        <w:pStyle w:val="AERbulletlistfirststyle"/>
      </w:pPr>
      <w:r w:rsidRPr="00883125">
        <w:t>interrelationships with other aspects of the decision</w:t>
      </w:r>
    </w:p>
    <w:p w:rsidR="00437CA2" w:rsidRPr="00883125" w:rsidRDefault="00437CA2" w:rsidP="00437CA2">
      <w:pPr>
        <w:pStyle w:val="AERbulletlistfirststyle"/>
      </w:pPr>
      <w:r w:rsidRPr="00883125">
        <w:t>expert reports</w:t>
      </w:r>
    </w:p>
    <w:p w:rsidR="00437CA2" w:rsidRPr="00883125" w:rsidRDefault="00437CA2" w:rsidP="00437CA2">
      <w:pPr>
        <w:pStyle w:val="AERbulletlistfirststyle"/>
      </w:pPr>
      <w:r w:rsidRPr="00883125">
        <w:t>our approach to determining the value of imputation credits.</w:t>
      </w:r>
    </w:p>
    <w:p w:rsidR="00437CA2" w:rsidRPr="00437CA2" w:rsidRDefault="00437CA2" w:rsidP="00437CA2">
      <w:pPr>
        <w:pStyle w:val="Heading3"/>
      </w:pPr>
      <w:bookmarkStart w:id="36" w:name="_Ref400272912"/>
      <w:bookmarkStart w:id="37" w:name="_Ref416802130"/>
      <w:bookmarkStart w:id="38" w:name="_Ref416802459"/>
      <w:bookmarkStart w:id="39" w:name="_Toc451842236"/>
      <w:bookmarkStart w:id="40" w:name="_Toc451938292"/>
      <w:bookmarkStart w:id="41" w:name="_Toc456614275"/>
      <w:bookmarkStart w:id="42" w:name="_Toc462823298"/>
      <w:bookmarkStart w:id="43" w:name="_Toc487014046"/>
      <w:r w:rsidRPr="00883125">
        <w:t xml:space="preserve">Requirements of the </w:t>
      </w:r>
      <w:bookmarkEnd w:id="36"/>
      <w:r w:rsidRPr="00883125">
        <w:t>NEL/NGL and NER/NGR</w:t>
      </w:r>
      <w:bookmarkEnd w:id="37"/>
      <w:bookmarkEnd w:id="38"/>
      <w:bookmarkEnd w:id="39"/>
      <w:bookmarkEnd w:id="40"/>
      <w:bookmarkEnd w:id="41"/>
      <w:bookmarkEnd w:id="42"/>
      <w:bookmarkEnd w:id="43"/>
    </w:p>
    <w:p w:rsidR="00437CA2" w:rsidRPr="00883125" w:rsidRDefault="00437CA2" w:rsidP="00C52695">
      <w:pPr>
        <w:numPr>
          <w:ilvl w:val="0"/>
          <w:numId w:val="24"/>
        </w:numPr>
      </w:pPr>
      <w:r w:rsidRPr="00883125">
        <w:t>The NER/NGR require that the estimated cost of corporate income tax of a service provider for each regulatory year (</w:t>
      </w:r>
      <w:bookmarkStart w:id="44" w:name="id2446ce28_fed1_4fcc_88c9_2398ab3976f9_b"/>
      <m:oMath>
        <m:sSub>
          <m:sSubPr>
            <m:ctrlPr>
              <w:rPr>
                <w:rFonts w:ascii="Cambria Math" w:hAnsi="Cambria Math"/>
              </w:rPr>
            </m:ctrlPr>
          </m:sSubPr>
          <m:e>
            <m:r>
              <w:rPr>
                <w:rFonts w:ascii="Cambria Math" w:hAnsi="Cambria Math"/>
              </w:rPr>
              <m:t>ETC</m:t>
            </m:r>
          </m:e>
          <m:sub>
            <m:r>
              <w:rPr>
                <w:rFonts w:ascii="Cambria Math" w:hAnsi="Cambria Math"/>
              </w:rPr>
              <m:t>t</m:t>
            </m:r>
          </m:sub>
        </m:sSub>
      </m:oMath>
      <w:bookmarkEnd w:id="44"/>
      <w:r w:rsidRPr="00883125">
        <w:t>) must be estimated in accordance with the following formula:</w:t>
      </w:r>
      <w:r>
        <w:rPr>
          <w:rStyle w:val="FootnoteReference"/>
        </w:rPr>
        <w:footnoteReference w:id="59"/>
      </w:r>
    </w:p>
    <w:p w:rsidR="00437CA2" w:rsidRPr="00883125" w:rsidRDefault="007E3457" w:rsidP="00C52695">
      <w:pPr>
        <w:numPr>
          <w:ilvl w:val="0"/>
          <w:numId w:val="24"/>
        </w:numPr>
      </w:pPr>
      <m:oMath>
        <m:sSub>
          <m:sSubPr>
            <m:ctrlPr>
              <w:rPr>
                <w:rFonts w:ascii="Cambria Math" w:hAnsi="Cambria Math"/>
              </w:rPr>
            </m:ctrlPr>
          </m:sSubPr>
          <m:e>
            <m:r>
              <w:rPr>
                <w:rFonts w:ascii="Cambria Math" w:hAnsi="Cambria Math"/>
              </w:rPr>
              <m:t>ETC</m:t>
            </m:r>
          </m:e>
          <m:sub>
            <m:r>
              <w:rPr>
                <w:rFonts w:ascii="Cambria Math" w:hAnsi="Cambria Math"/>
              </w:rPr>
              <m:t>t</m:t>
            </m:r>
          </m:sub>
        </m:sSub>
        <m:r>
          <w:rPr>
            <w:rFonts w:ascii="Cambria Math" w:hAnsi="Cambria Math"/>
          </w:rPr>
          <m:t>=</m:t>
        </m:r>
        <m:d>
          <m:dPr>
            <m:ctrlPr>
              <w:rPr>
                <w:rFonts w:ascii="Cambria Math" w:hAnsi="Cambria Math"/>
              </w:rPr>
            </m:ctrlPr>
          </m:dPr>
          <m:e>
            <m:sSub>
              <m:sSubPr>
                <m:ctrlPr>
                  <w:rPr>
                    <w:rFonts w:ascii="Cambria Math" w:hAnsi="Cambria Math"/>
                  </w:rPr>
                </m:ctrlPr>
              </m:sSubPr>
              <m:e>
                <m:r>
                  <w:rPr>
                    <w:rFonts w:ascii="Cambria Math" w:hAnsi="Cambria Math"/>
                  </w:rPr>
                  <m:t>ETI</m:t>
                </m:r>
              </m:e>
              <m:sub>
                <m:r>
                  <w:rPr>
                    <w:rFonts w:ascii="Cambria Math" w:hAnsi="Cambria Math"/>
                  </w:rPr>
                  <m:t>t</m:t>
                </m:r>
              </m:sub>
            </m:sSub>
            <m: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t</m:t>
                </m:r>
              </m:sub>
            </m:sSub>
          </m:e>
        </m:d>
        <m:d>
          <m:dPr>
            <m:ctrlPr>
              <w:rPr>
                <w:rFonts w:ascii="Cambria Math" w:hAnsi="Cambria Math"/>
              </w:rPr>
            </m:ctrlPr>
          </m:dPr>
          <m:e>
            <m:r>
              <w:rPr>
                <w:rFonts w:ascii="Cambria Math" w:hAnsi="Cambria Math"/>
              </w:rPr>
              <m:t>1-γ</m:t>
            </m:r>
          </m:e>
        </m:d>
      </m:oMath>
    </w:p>
    <w:p w:rsidR="00437CA2" w:rsidRPr="00883125" w:rsidRDefault="00437CA2" w:rsidP="00C52695">
      <w:pPr>
        <w:numPr>
          <w:ilvl w:val="0"/>
          <w:numId w:val="24"/>
        </w:numPr>
      </w:pPr>
      <w:r w:rsidRPr="00883125">
        <w:t>where:</w:t>
      </w:r>
    </w:p>
    <w:p w:rsidR="00437CA2" w:rsidRPr="001D37D5" w:rsidRDefault="007E3457" w:rsidP="00437CA2">
      <w:pPr>
        <w:pStyle w:val="AERbulletlistfirststyle"/>
      </w:pPr>
      <m:oMath>
        <m:sSub>
          <m:sSubPr>
            <m:ctrlPr>
              <w:rPr>
                <w:rFonts w:ascii="Cambria Math" w:hAnsi="Cambria Math"/>
              </w:rPr>
            </m:ctrlPr>
          </m:sSubPr>
          <m:e>
            <m:r>
              <w:rPr>
                <w:rFonts w:ascii="Cambria Math" w:hAnsi="Cambria Math"/>
              </w:rPr>
              <m:t>ETI</m:t>
            </m:r>
          </m:e>
          <m:sub>
            <m:r>
              <w:rPr>
                <w:rFonts w:ascii="Cambria Math" w:hAnsi="Cambria Math"/>
              </w:rPr>
              <m:t>t</m:t>
            </m:r>
          </m:sub>
        </m:sSub>
      </m:oMath>
      <w:r w:rsidR="00437CA2" w:rsidRPr="001D37D5">
        <w:t> is an estimate of the taxable income for that regulatory year that would be earned by a benchmark efficient entity as a result of the provision of regulated services if such an entity, rather than the service provider, operated the business of the service provider, such estimate being determined in accordance with the post-tax revenue model.</w:t>
      </w:r>
    </w:p>
    <w:p w:rsidR="00437CA2" w:rsidRPr="001D37D5" w:rsidRDefault="007E3457" w:rsidP="00437CA2">
      <w:pPr>
        <w:pStyle w:val="AERbulletlistfirststyle"/>
      </w:pPr>
      <m:oMath>
        <m:sSub>
          <m:sSubPr>
            <m:ctrlPr>
              <w:rPr>
                <w:rFonts w:ascii="Cambria Math" w:hAnsi="Cambria Math"/>
              </w:rPr>
            </m:ctrlPr>
          </m:sSubPr>
          <m:e>
            <m:r>
              <w:rPr>
                <w:rFonts w:ascii="Cambria Math" w:hAnsi="Cambria Math"/>
              </w:rPr>
              <m:t>r</m:t>
            </m:r>
          </m:e>
          <m:sub>
            <m:r>
              <w:rPr>
                <w:rFonts w:ascii="Cambria Math" w:hAnsi="Cambria Math"/>
              </w:rPr>
              <m:t>t</m:t>
            </m:r>
          </m:sub>
        </m:sSub>
      </m:oMath>
      <w:r w:rsidR="00437CA2" w:rsidRPr="001D37D5">
        <w:t> is the expected statutory income tax rate for that regulatory year as determined by the AER.</w:t>
      </w:r>
    </w:p>
    <w:p w:rsidR="00437CA2" w:rsidRPr="001D37D5" w:rsidRDefault="00437CA2" w:rsidP="00437CA2">
      <w:pPr>
        <w:pStyle w:val="AERbulletlistfirststyle"/>
      </w:pPr>
      <m:oMath>
        <m:r>
          <w:rPr>
            <w:rFonts w:ascii="Cambria Math" w:hAnsi="Cambria Math"/>
          </w:rPr>
          <m:t>γ</m:t>
        </m:r>
      </m:oMath>
      <w:r w:rsidRPr="001D37D5">
        <w:t> is the value of imputation credits.</w:t>
      </w:r>
    </w:p>
    <w:p w:rsidR="00437CA2" w:rsidRPr="00883125" w:rsidRDefault="00437CA2" w:rsidP="00C52695">
      <w:pPr>
        <w:numPr>
          <w:ilvl w:val="0"/>
          <w:numId w:val="24"/>
        </w:numPr>
      </w:pPr>
      <w:r w:rsidRPr="00883125">
        <w:t xml:space="preserve">Unlike many other aspects of the NER/NGR, there is no specific objective we must achieve for the value of imputation credits and no specific factors we must take into account in estimating it. The </w:t>
      </w:r>
      <w:r>
        <w:t xml:space="preserve">allowed </w:t>
      </w:r>
      <w:r w:rsidRPr="00883125">
        <w:t xml:space="preserve">rate of return objective does not specifically apply to the value of imputation credits. However, the rate of return must be determined on a nominal vanilla basis </w:t>
      </w:r>
      <w:r>
        <w:t xml:space="preserve">that is </w:t>
      </w:r>
      <w:r w:rsidRPr="00883125">
        <w:t xml:space="preserve">consistent with our </w:t>
      </w:r>
      <w:r>
        <w:t xml:space="preserve">estimate of the </w:t>
      </w:r>
      <w:r w:rsidRPr="00883125">
        <w:t>value of imputation credits.</w:t>
      </w:r>
      <w:r w:rsidRPr="00883125">
        <w:rPr>
          <w:rStyle w:val="FootnoteReference"/>
        </w:rPr>
        <w:footnoteReference w:id="60"/>
      </w:r>
    </w:p>
    <w:p w:rsidR="00437CA2" w:rsidRPr="00883125" w:rsidRDefault="00437CA2" w:rsidP="00C52695">
      <w:pPr>
        <w:numPr>
          <w:ilvl w:val="0"/>
          <w:numId w:val="24"/>
        </w:numPr>
      </w:pPr>
      <w:r w:rsidRPr="00883125">
        <w:t>In this context, the conceptual rate of return framework developed by Officer in a 1994 paper informs our approach to interpreting and estimating the value of imputation credits.</w:t>
      </w:r>
      <w:r w:rsidRPr="00883125">
        <w:rPr>
          <w:rStyle w:val="FootnoteReference"/>
        </w:rPr>
        <w:footnoteReference w:id="61"/>
      </w:r>
      <w:r w:rsidRPr="00883125">
        <w:t xml:space="preserve"> This is because:</w:t>
      </w:r>
    </w:p>
    <w:p w:rsidR="00437CA2" w:rsidRPr="001D37D5" w:rsidRDefault="00437CA2" w:rsidP="00437CA2">
      <w:pPr>
        <w:pStyle w:val="AERbulletlistfirststyle"/>
      </w:pPr>
      <w:r w:rsidRPr="00883125">
        <w:t>The NER/NGR's cost of corporate income tax formula (shown above) mirrors Officer's framework for the treatment of imputation credits, including through the use of the parameter denoted by the Greek letter 'gamma'.</w:t>
      </w:r>
      <w:r w:rsidRPr="001D37D5">
        <w:rPr>
          <w:rStyle w:val="FootnoteReference"/>
        </w:rPr>
        <w:footnoteReference w:id="62"/>
      </w:r>
    </w:p>
    <w:p w:rsidR="00437CA2" w:rsidRPr="001D37D5" w:rsidRDefault="00437CA2" w:rsidP="00437CA2">
      <w:pPr>
        <w:pStyle w:val="AERbulletlistfirststyle"/>
      </w:pPr>
      <w:r w:rsidRPr="00883125">
        <w:t>We have received expert advice that Officer's definition of the nominal vanilla rate of return provides the basis for the rate of return framework in the NER/NGR.</w:t>
      </w:r>
      <w:r w:rsidRPr="001D37D5">
        <w:rPr>
          <w:rStyle w:val="FootnoteReference"/>
        </w:rPr>
        <w:footnoteReference w:id="63"/>
      </w:r>
      <w:r w:rsidRPr="001D37D5">
        <w:t xml:space="preserve"> Previous statements by the consultant for the majority of the service providers', Gray, and their industry association appear to support this consideration:</w:t>
      </w:r>
    </w:p>
    <w:p w:rsidR="00437CA2" w:rsidRPr="00883125" w:rsidRDefault="00437CA2" w:rsidP="00437CA2">
      <w:pPr>
        <w:pStyle w:val="AERbulletlistsecondstyle"/>
      </w:pPr>
      <w:r w:rsidRPr="00883125">
        <w:t>During the AEMC's 2012 rule change process, Gray advised the AEMC that '…there are a number of different WACC formulas that can all be identified as post-tax nominal definitions of WACC. Officer (1994), in the paper that forms the basis for the regulatory rate of return framework, sets out four such definitions…'.</w:t>
      </w:r>
      <w:r w:rsidRPr="00883125">
        <w:rPr>
          <w:rStyle w:val="FootnoteReference"/>
        </w:rPr>
        <w:footnoteReference w:id="64"/>
      </w:r>
    </w:p>
    <w:p w:rsidR="00437CA2" w:rsidRPr="00883125" w:rsidRDefault="00437CA2" w:rsidP="00437CA2">
      <w:pPr>
        <w:pStyle w:val="AERbulletlistsecondstyle"/>
      </w:pPr>
      <w:r w:rsidRPr="00883125">
        <w:t>During the development of the Guideline, the Energy Networks Association (ENA) submitted '[t]he fundamental economic framework in relation to dividend imputation was set out by Officer (1994)…'.</w:t>
      </w:r>
      <w:r w:rsidRPr="00883125">
        <w:rPr>
          <w:rStyle w:val="FootnoteReference"/>
        </w:rPr>
        <w:footnoteReference w:id="65"/>
      </w:r>
      <w:r w:rsidRPr="00883125">
        <w:t xml:space="preserve"> </w:t>
      </w:r>
    </w:p>
    <w:p w:rsidR="00437CA2" w:rsidRPr="00883125" w:rsidRDefault="00437CA2" w:rsidP="00437CA2">
      <w:r w:rsidRPr="00883125">
        <w:t>The NER/NGR require that we determine the rate of return on a nominal vanilla basis that is consistent with our estimate of the value of imputation credits.</w:t>
      </w:r>
      <w:r w:rsidRPr="00883125">
        <w:rPr>
          <w:rStyle w:val="FootnoteReference"/>
        </w:rPr>
        <w:footnoteReference w:id="66"/>
      </w:r>
      <w:r w:rsidRPr="00883125">
        <w:t xml:space="preserve"> The Officer framework provides a means for doing this. It provides a consistent framework for determining the rate of return for a business, which takes into account the value that investors receive from imputation credits.</w:t>
      </w:r>
      <w:r w:rsidRPr="00883125">
        <w:rPr>
          <w:rStyle w:val="FootnoteReference"/>
        </w:rPr>
        <w:footnoteReference w:id="67"/>
      </w:r>
      <w:r w:rsidRPr="00883125">
        <w:t xml:space="preserve"> An important implication of this is that gamma is not a standalone concept or parameter. It is part of a broader framework, and should be interpreted and estimated accordingly.</w:t>
      </w:r>
    </w:p>
    <w:p w:rsidR="00437CA2" w:rsidRPr="00883125" w:rsidRDefault="00437CA2" w:rsidP="00C52695">
      <w:pPr>
        <w:numPr>
          <w:ilvl w:val="0"/>
          <w:numId w:val="24"/>
        </w:numPr>
      </w:pPr>
      <w:r w:rsidRPr="00883125">
        <w:t xml:space="preserve">Consistent with the expert advice we have received, we consider that the Officer framework provides the basis for the rate of return framework in the NER/NGR. We therefore also consider that estimating the value of imputation credits consistent with the Officer framework will best promote the </w:t>
      </w:r>
      <w:r>
        <w:t>National Electricity Objective/National Gas Objective (</w:t>
      </w:r>
      <w:r w:rsidRPr="00883125">
        <w:t>NEO/NGO</w:t>
      </w:r>
      <w:r>
        <w:t>)</w:t>
      </w:r>
      <w:r w:rsidRPr="00787306">
        <w:rPr>
          <w:rStyle w:val="FootnoteReference"/>
        </w:rPr>
        <w:t xml:space="preserve"> </w:t>
      </w:r>
      <w:r w:rsidRPr="00883125">
        <w:rPr>
          <w:rStyle w:val="FootnoteReference"/>
        </w:rPr>
        <w:footnoteReference w:id="68"/>
      </w:r>
      <w:r w:rsidRPr="00883125">
        <w:t xml:space="preserve"> and other requirements of the NER/NGR.</w:t>
      </w:r>
    </w:p>
    <w:p w:rsidR="00437CA2" w:rsidRPr="00883125" w:rsidRDefault="00437CA2" w:rsidP="00C52695">
      <w:pPr>
        <w:numPr>
          <w:ilvl w:val="0"/>
          <w:numId w:val="24"/>
        </w:numPr>
      </w:pPr>
      <w:r w:rsidRPr="00883125">
        <w:t xml:space="preserve">To this end, we have had regard to the differing expert opinions on the proper interpretation of the gamma parameter in the Officer framework. As discussed in section </w:t>
      </w:r>
      <w:r w:rsidRPr="00883125">
        <w:fldChar w:fldCharType="begin"/>
      </w:r>
      <w:r w:rsidRPr="00883125">
        <w:instrText xml:space="preserve"> REF _Ref414028398 \r \h </w:instrText>
      </w:r>
      <w:r w:rsidRPr="00883125">
        <w:fldChar w:fldCharType="separate"/>
      </w:r>
      <w:r w:rsidR="007E3457">
        <w:t>A.7.3</w:t>
      </w:r>
      <w:r w:rsidRPr="00883125">
        <w:fldChar w:fldCharType="end"/>
      </w:r>
      <w:r w:rsidRPr="00883125">
        <w:t>, we accept Handley's expert advice on the Officer framework. An important aspect of this advice is that the framework is on a 'before-personal-tax and before-personal-costs' basis.</w:t>
      </w:r>
      <w:r w:rsidRPr="00883125">
        <w:rPr>
          <w:rStyle w:val="FootnoteReference"/>
        </w:rPr>
        <w:footnoteReference w:id="69"/>
      </w:r>
      <w:r w:rsidRPr="00883125">
        <w:t xml:space="preserve"> That is, 'the per dollar value of an imputation credit </w:t>
      </w:r>
      <m:oMath>
        <m:r>
          <w:rPr>
            <w:rFonts w:ascii="Cambria Math" w:hAnsi="Cambria Math"/>
          </w:rPr>
          <m:t>γ</m:t>
        </m:r>
      </m:oMath>
      <w:r w:rsidRPr="00883125">
        <w:t xml:space="preserve"> gamma should be measured prior to any personal tax on the credit and prior to any personal costs associated with the receipt of the credit'.</w:t>
      </w:r>
      <w:r w:rsidRPr="00883125">
        <w:rPr>
          <w:rStyle w:val="FootnoteReference"/>
        </w:rPr>
        <w:footnoteReference w:id="70"/>
      </w:r>
    </w:p>
    <w:p w:rsidR="00437CA2" w:rsidRPr="00883125" w:rsidRDefault="00437CA2" w:rsidP="00C52695">
      <w:pPr>
        <w:numPr>
          <w:ilvl w:val="0"/>
          <w:numId w:val="24"/>
        </w:numPr>
      </w:pPr>
      <w:r w:rsidRPr="00883125">
        <w:t>By determining a value of imputation credits in a manner consistent with the Officer framework, we consider that we are making our decision in a manner that will or is likely to contribute to the achievement of the NEO/NGO.</w:t>
      </w:r>
      <w:r w:rsidRPr="00883125">
        <w:rPr>
          <w:rStyle w:val="FootnoteReference"/>
        </w:rPr>
        <w:footnoteReference w:id="71"/>
      </w:r>
      <w:r w:rsidRPr="00883125">
        <w:t xml:space="preserve"> Further, when exercising </w:t>
      </w:r>
      <w:r>
        <w:t>our</w:t>
      </w:r>
      <w:r w:rsidRPr="00883125">
        <w:t xml:space="preserve"> discretion in making the relevant parts of a decision, we must take into account the </w:t>
      </w:r>
      <w:r>
        <w:t>revenue and pricing principles (</w:t>
      </w:r>
      <w:r w:rsidRPr="00883125">
        <w:t>RPP</w:t>
      </w:r>
      <w:r>
        <w:t>)</w:t>
      </w:r>
      <w:r w:rsidRPr="00883125">
        <w:t>.</w:t>
      </w:r>
      <w:r w:rsidRPr="00883125">
        <w:rPr>
          <w:rStyle w:val="FootnoteReference"/>
        </w:rPr>
        <w:footnoteReference w:id="72"/>
      </w:r>
      <w:r w:rsidRPr="00883125">
        <w:t xml:space="preserve"> The RPP provide, amongst other things, that:</w:t>
      </w:r>
      <w:r w:rsidRPr="00883125">
        <w:rPr>
          <w:rStyle w:val="FootnoteReference"/>
        </w:rPr>
        <w:footnoteReference w:id="73"/>
      </w:r>
    </w:p>
    <w:p w:rsidR="00437CA2" w:rsidRPr="00883125" w:rsidRDefault="00437CA2" w:rsidP="00437CA2">
      <w:pPr>
        <w:pStyle w:val="AERbulletlistfirststyle"/>
      </w:pPr>
      <w:r w:rsidRPr="00883125">
        <w:t>a service provider should be provided with a reasonable opportunity to recover at least the efficient costs the operator incurs providing regulated services and complying with regulatory obligations</w:t>
      </w:r>
    </w:p>
    <w:p w:rsidR="00437CA2" w:rsidRPr="00883125" w:rsidRDefault="00437CA2" w:rsidP="00437CA2">
      <w:pPr>
        <w:pStyle w:val="AERbulletlistfirststyle"/>
      </w:pPr>
      <w:r w:rsidRPr="00883125">
        <w:t xml:space="preserve">a service provider should be provided with effective incentives in order to promote economic efficiency with respect to the regulated services it provides, and </w:t>
      </w:r>
    </w:p>
    <w:p w:rsidR="00437CA2" w:rsidRPr="00883125" w:rsidRDefault="00437CA2" w:rsidP="00437CA2">
      <w:pPr>
        <w:pStyle w:val="AERbulletlistfirststyle"/>
      </w:pPr>
      <w:r w:rsidRPr="00883125">
        <w:t xml:space="preserve">a price, charge or tariff for the provision of a regulated service should allow for a return commensurate with the regulatory and commercial risks involved in providing the regulated service. </w:t>
      </w:r>
    </w:p>
    <w:p w:rsidR="00437CA2" w:rsidRPr="00883125" w:rsidRDefault="00437CA2" w:rsidP="00C52695">
      <w:pPr>
        <w:numPr>
          <w:ilvl w:val="0"/>
          <w:numId w:val="24"/>
        </w:numPr>
      </w:pPr>
      <w:r w:rsidRPr="00883125">
        <w:t xml:space="preserve">Therefore, the value of imputation credits we adopt must ultimately promote the achievement of the NEO/NGO (via its application in the estimated cost of corporate income tax building block) and must take into account the RPP. </w:t>
      </w:r>
    </w:p>
    <w:p w:rsidR="00437CA2" w:rsidRPr="00883125" w:rsidRDefault="00437CA2" w:rsidP="00C52695">
      <w:pPr>
        <w:numPr>
          <w:ilvl w:val="0"/>
          <w:numId w:val="24"/>
        </w:numPr>
      </w:pPr>
      <w:r w:rsidRPr="00883125">
        <w:t>With reference to the language of the RPP, this requires the exercise of our discretion in determining a tax building block (including the exercise of our discretion in determining the adjustment for the value of imputation credits) that is:</w:t>
      </w:r>
    </w:p>
    <w:p w:rsidR="00437CA2" w:rsidRPr="00883125" w:rsidRDefault="00437CA2" w:rsidP="00437CA2">
      <w:pPr>
        <w:pStyle w:val="AERbulletlistfirststyle"/>
      </w:pPr>
      <w:r w:rsidRPr="00883125">
        <w:t>not too low, in that it contributes to providing a reasonable opportunity to recover at least efficient corporate tax costs</w:t>
      </w:r>
    </w:p>
    <w:p w:rsidR="00437CA2" w:rsidRPr="00883125" w:rsidRDefault="00437CA2" w:rsidP="00437CA2">
      <w:pPr>
        <w:pStyle w:val="AERbulletlistfirststyle"/>
      </w:pPr>
      <w:r w:rsidRPr="00883125">
        <w:t>not too high, in that it contributes to a return that is not excessive and is commensurate with the relevant risks.</w:t>
      </w:r>
    </w:p>
    <w:p w:rsidR="00437CA2" w:rsidRDefault="00437CA2" w:rsidP="00C52695">
      <w:pPr>
        <w:numPr>
          <w:ilvl w:val="0"/>
          <w:numId w:val="24"/>
        </w:numPr>
      </w:pPr>
      <w:r w:rsidRPr="00883125">
        <w:t>We consider that finding the right balance is best served by having regard to the merits of the full range of relevant evidence. We explain our consideration of, and reliance upon, the range of relevant evidence in this attachment. We have determined a value of imputation credits that we are satisfied achieves a balance between the opportunity for service providers to recover at least efficient costs but that is commensurate with relevant risks.</w:t>
      </w:r>
    </w:p>
    <w:p w:rsidR="00437CA2" w:rsidRPr="00437CA2" w:rsidRDefault="00437CA2" w:rsidP="00437CA2">
      <w:pPr>
        <w:pStyle w:val="Heading3"/>
      </w:pPr>
      <w:bookmarkStart w:id="45" w:name="_Toc486843656"/>
      <w:bookmarkStart w:id="46" w:name="_Ref401234016"/>
      <w:bookmarkStart w:id="47" w:name="_Toc451842237"/>
      <w:bookmarkStart w:id="48" w:name="_Toc451938293"/>
      <w:bookmarkStart w:id="49" w:name="_Toc456614276"/>
      <w:bookmarkStart w:id="50" w:name="_Toc462823299"/>
      <w:bookmarkStart w:id="51" w:name="_Toc487014047"/>
      <w:bookmarkEnd w:id="45"/>
      <w:r w:rsidRPr="00883125">
        <w:t>Rate of return Guideline</w:t>
      </w:r>
      <w:bookmarkEnd w:id="46"/>
      <w:bookmarkEnd w:id="47"/>
      <w:bookmarkEnd w:id="48"/>
      <w:bookmarkEnd w:id="49"/>
      <w:bookmarkEnd w:id="50"/>
      <w:bookmarkEnd w:id="51"/>
    </w:p>
    <w:p w:rsidR="00437CA2" w:rsidRPr="00883125" w:rsidRDefault="00437CA2" w:rsidP="00C52695">
      <w:pPr>
        <w:numPr>
          <w:ilvl w:val="0"/>
          <w:numId w:val="24"/>
        </w:numPr>
      </w:pPr>
      <w:r w:rsidRPr="00883125">
        <w:t>In December 2013, we published the Guideline which is available on our website.</w:t>
      </w:r>
      <w:r w:rsidRPr="00883125">
        <w:rPr>
          <w:rStyle w:val="FootnoteReference"/>
        </w:rPr>
        <w:footnoteReference w:id="74"/>
      </w:r>
      <w:r w:rsidRPr="00883125">
        <w:t xml:space="preserve"> Within it we specified:</w:t>
      </w:r>
      <w:r w:rsidRPr="00883125">
        <w:rPr>
          <w:rStyle w:val="FootnoteReference"/>
        </w:rPr>
        <w:footnoteReference w:id="75"/>
      </w:r>
    </w:p>
    <w:p w:rsidR="00437CA2" w:rsidRPr="001D37D5" w:rsidRDefault="00437CA2" w:rsidP="00437CA2">
      <w:pPr>
        <w:pStyle w:val="AERbulletlistfirststyle"/>
      </w:pPr>
      <w:r>
        <w:t>t</w:t>
      </w:r>
      <w:r w:rsidRPr="001D37D5">
        <w:t>he methodologies we propose to use to estimate the allowed rate of return (derived from the expected return on equity and the return on debt) for electricity and gas network service providers</w:t>
      </w:r>
    </w:p>
    <w:p w:rsidR="00437CA2" w:rsidRPr="001D37D5" w:rsidRDefault="00437CA2" w:rsidP="00437CA2">
      <w:pPr>
        <w:pStyle w:val="AERbulletlistfirststyle"/>
      </w:pPr>
      <w:r>
        <w:t>t</w:t>
      </w:r>
      <w:r w:rsidRPr="001D37D5">
        <w:t>he method we propose to use to estimate the value of imputation credits</w:t>
      </w:r>
    </w:p>
    <w:p w:rsidR="00437CA2" w:rsidRPr="001D37D5" w:rsidRDefault="00437CA2" w:rsidP="00437CA2">
      <w:pPr>
        <w:pStyle w:val="AERbulletlistfirststyle"/>
      </w:pPr>
      <w:r>
        <w:t>h</w:t>
      </w:r>
      <w:r w:rsidRPr="001D37D5">
        <w:t>ow these methods will result in an allowed return on equity and return on debt which we are satisfied achieve the allowed rate of return objective.</w:t>
      </w:r>
    </w:p>
    <w:p w:rsidR="00437CA2" w:rsidRPr="00883125" w:rsidRDefault="00437CA2" w:rsidP="00C52695">
      <w:pPr>
        <w:numPr>
          <w:ilvl w:val="0"/>
          <w:numId w:val="24"/>
        </w:numPr>
      </w:pPr>
      <w:r w:rsidRPr="00883125">
        <w:t>In the Guideline we also set out the estimation methods, financial models, market data and other evidence that we propose to take into account in estimating the expected return on equity, return on debt and the value of imputation credits.</w:t>
      </w:r>
      <w:r w:rsidRPr="00883125">
        <w:rPr>
          <w:rStyle w:val="FootnoteReference"/>
        </w:rPr>
        <w:footnoteReference w:id="76"/>
      </w:r>
      <w:r w:rsidRPr="00883125">
        <w:t xml:space="preserve"> We discuss our development of the Guideline in detail in </w:t>
      </w:r>
      <w:r w:rsidR="00F143A3">
        <w:t>attachment 3 of this decision.</w:t>
      </w:r>
    </w:p>
    <w:p w:rsidR="00437CA2" w:rsidRPr="00883125" w:rsidRDefault="00437CA2" w:rsidP="00C52695">
      <w:pPr>
        <w:numPr>
          <w:ilvl w:val="0"/>
          <w:numId w:val="24"/>
        </w:numPr>
      </w:pPr>
      <w:r w:rsidRPr="00883125">
        <w:t>The Guideline is not binding in determining the value of imputation credits. However, should we decide to depart from the Guideline we must provide reasons for doing so.</w:t>
      </w:r>
      <w:r w:rsidRPr="00883125">
        <w:rPr>
          <w:rStyle w:val="FootnoteReference"/>
        </w:rPr>
        <w:footnoteReference w:id="77"/>
      </w:r>
      <w:r w:rsidRPr="00883125">
        <w:t xml:space="preserve"> Equally, it is open to service providers to propose departures from the Guideline, so long as they provide reasons.</w:t>
      </w:r>
      <w:r w:rsidRPr="00883125">
        <w:rPr>
          <w:rStyle w:val="FootnoteReference"/>
        </w:rPr>
        <w:footnoteReference w:id="78"/>
      </w:r>
      <w:r w:rsidRPr="00883125">
        <w:t xml:space="preserve"> </w:t>
      </w:r>
    </w:p>
    <w:p w:rsidR="00437CA2" w:rsidRPr="00611EC0" w:rsidRDefault="00437CA2" w:rsidP="00611EC0">
      <w:pPr>
        <w:pStyle w:val="Heading3"/>
      </w:pPr>
      <w:bookmarkStart w:id="52" w:name="_Ref404065332"/>
      <w:bookmarkStart w:id="53" w:name="_Toc451842238"/>
      <w:bookmarkStart w:id="54" w:name="_Toc451938294"/>
      <w:bookmarkStart w:id="55" w:name="_Toc456614277"/>
      <w:bookmarkStart w:id="56" w:name="_Toc462823300"/>
      <w:bookmarkStart w:id="57" w:name="_Toc487014048"/>
      <w:r w:rsidRPr="00611EC0">
        <w:t>Definition of a benchmark efficient entity</w:t>
      </w:r>
      <w:bookmarkEnd w:id="52"/>
      <w:bookmarkEnd w:id="53"/>
      <w:bookmarkEnd w:id="54"/>
      <w:bookmarkEnd w:id="55"/>
      <w:bookmarkEnd w:id="56"/>
      <w:bookmarkEnd w:id="57"/>
    </w:p>
    <w:p w:rsidR="00437CA2" w:rsidRPr="00883125" w:rsidRDefault="00437CA2" w:rsidP="00C52695">
      <w:pPr>
        <w:numPr>
          <w:ilvl w:val="0"/>
          <w:numId w:val="24"/>
        </w:numPr>
      </w:pPr>
      <w:r w:rsidRPr="00883125">
        <w:t xml:space="preserve">As shown in section </w:t>
      </w:r>
      <w:r w:rsidRPr="00883125">
        <w:fldChar w:fldCharType="begin"/>
      </w:r>
      <w:r w:rsidRPr="00883125">
        <w:instrText xml:space="preserve"> REF _Ref400272912 \r \h </w:instrText>
      </w:r>
      <w:r w:rsidRPr="00883125">
        <w:fldChar w:fldCharType="separate"/>
      </w:r>
      <w:r w:rsidR="007E3457">
        <w:t>4.3.1</w:t>
      </w:r>
      <w:r w:rsidRPr="00883125">
        <w:fldChar w:fldCharType="end"/>
      </w:r>
      <w:r w:rsidRPr="00883125">
        <w:t xml:space="preserve">, the NER/NGR refer to a 'benchmark efficient entity'. </w:t>
      </w:r>
      <w:r>
        <w:t>W</w:t>
      </w:r>
      <w:r w:rsidRPr="00883125">
        <w:t>e have adopted:</w:t>
      </w:r>
    </w:p>
    <w:p w:rsidR="00437CA2" w:rsidRPr="00883125" w:rsidRDefault="00437CA2" w:rsidP="00437CA2">
      <w:pPr>
        <w:pStyle w:val="AERbulletlistfirststyle"/>
      </w:pPr>
      <w:r w:rsidRPr="00883125">
        <w:t>a single benchmark across gas, electricity, transmission and distribution</w:t>
      </w:r>
    </w:p>
    <w:p w:rsidR="00437CA2" w:rsidRPr="001D37D5" w:rsidRDefault="00437CA2" w:rsidP="00437CA2">
      <w:pPr>
        <w:pStyle w:val="AERbulletlistfirststyle"/>
      </w:pPr>
      <w:r w:rsidRPr="00883125">
        <w:t>a conceptual definition of the benchmark efficient entity as 'a 'pure play', regulated energy network business operating within Australia'.</w:t>
      </w:r>
      <w:r w:rsidRPr="001D37D5">
        <w:rPr>
          <w:rStyle w:val="FootnoteReference"/>
        </w:rPr>
        <w:footnoteReference w:id="79"/>
      </w:r>
    </w:p>
    <w:p w:rsidR="00437CA2" w:rsidRDefault="00437CA2" w:rsidP="00C52695">
      <w:pPr>
        <w:numPr>
          <w:ilvl w:val="0"/>
          <w:numId w:val="24"/>
        </w:numPr>
      </w:pPr>
      <w:r>
        <w:t>We provide a detailed discussion of our definition of a benchmark efficient entity in attachment 3 of this decision. This includes a response to service providers' submissions that a benchmark efficient entity should not be a regulated entity. The definition of a benchmark efficient entity we use for determining the rate of return is identical to the definition we use for determining the value of imputation credits in this decision.</w:t>
      </w:r>
    </w:p>
    <w:p w:rsidR="00437CA2" w:rsidRPr="00FF606F" w:rsidRDefault="00437CA2" w:rsidP="00437CA2">
      <w:r w:rsidRPr="00830E47">
        <w:t xml:space="preserve">However, we discuss one element of the definition in this attachment: 'operating within Australia'. We consider </w:t>
      </w:r>
      <w:r>
        <w:t>the</w:t>
      </w:r>
      <w:r w:rsidRPr="001806B7">
        <w:t xml:space="preserve"> rate of return should be estimated on a basis that is consistent with our estimate of gamma. The rate of return should also be commensurate with the efficient financing costs of a benchmark efficient entity with a similar degree of risk to the relevant service provider in the provision of its regulated services. The degree of risk a service provider faces in the provision of its services is significantly affected by location. This is because the location of a business determines the conditions under which the business operates. This includes the regulatory regime, tax laws, industry structure and broader economic environment that impact the risks faced by the service provider in its provision of regulated services. An additional consideration that is particularly relevant to the value of imputation credits is that we recognise that both domestic and foreign investors participate in the Australian market. That is, we consider that the defined market is an Australian domestic market that recognises the presence of foreign investors to the extent that they invest in the Australian market. This is important for determining a value of imputation credits because typically domestic investors are eligible to utilise imputation credits while foreign investors are not</w:t>
      </w:r>
      <w:r w:rsidRPr="00830E47">
        <w:t>.</w:t>
      </w:r>
    </w:p>
    <w:p w:rsidR="00437CA2" w:rsidRPr="00437CA2" w:rsidRDefault="00437CA2" w:rsidP="00437CA2">
      <w:pPr>
        <w:pStyle w:val="Heading3"/>
      </w:pPr>
      <w:bookmarkStart w:id="58" w:name="_Ref415070818"/>
      <w:bookmarkStart w:id="59" w:name="_Toc451842239"/>
      <w:bookmarkStart w:id="60" w:name="_Toc451938295"/>
      <w:bookmarkStart w:id="61" w:name="_Toc456614278"/>
      <w:bookmarkStart w:id="62" w:name="_Toc462823301"/>
      <w:bookmarkStart w:id="63" w:name="_Toc487014049"/>
      <w:r w:rsidRPr="00883125">
        <w:t>Interrelationships</w:t>
      </w:r>
      <w:bookmarkEnd w:id="58"/>
      <w:bookmarkEnd w:id="59"/>
      <w:bookmarkEnd w:id="60"/>
      <w:bookmarkEnd w:id="61"/>
      <w:bookmarkEnd w:id="62"/>
      <w:bookmarkEnd w:id="63"/>
    </w:p>
    <w:p w:rsidR="00437CA2" w:rsidRPr="00883125" w:rsidRDefault="00437CA2" w:rsidP="00437CA2">
      <w:r w:rsidRPr="00883125">
        <w:t>The NER/NGR recognise that a service provider's allowed revenue does not need to include the value of imputation credits. The NER/NGR adjust for the value of imputation credits via the revenue granted to a service provider to cover its expected tax liability. This form of adjustment recognises that it is the payment of corporate tax which is the source of the imputation credit return to investors.</w:t>
      </w:r>
    </w:p>
    <w:p w:rsidR="00437CA2" w:rsidRPr="00883125" w:rsidRDefault="00437CA2" w:rsidP="00437CA2">
      <w:r w:rsidRPr="00883125">
        <w:t>The CCP</w:t>
      </w:r>
      <w:r w:rsidR="007D69CB">
        <w:t xml:space="preserve"> for the NSW electricity distribution network</w:t>
      </w:r>
      <w:r w:rsidRPr="00883125">
        <w:t xml:space="preserve">'s view suggests that we should take into account the interrelationship with the corporate tax allowance when determining the value of imputation credits. The CCP </w:t>
      </w:r>
      <w:r w:rsidR="007D69CB">
        <w:t xml:space="preserve">for the NSW electricity network </w:t>
      </w:r>
      <w:r w:rsidRPr="00883125">
        <w:t>submitted evidence that our benchmark tax allowance was substantially higher than the corporate tax actually paid by service providers.</w:t>
      </w:r>
      <w:r w:rsidRPr="00883125">
        <w:rPr>
          <w:rStyle w:val="FootnoteReference"/>
        </w:rPr>
        <w:footnoteReference w:id="80"/>
      </w:r>
      <w:r w:rsidRPr="00883125">
        <w:t xml:space="preserve"> The CCP </w:t>
      </w:r>
      <w:r w:rsidR="007D69CB">
        <w:t xml:space="preserve">for the NSW electricity network </w:t>
      </w:r>
      <w:r w:rsidRPr="00883125">
        <w:t>then concluded:</w:t>
      </w:r>
      <w:r w:rsidRPr="00883125">
        <w:rPr>
          <w:rStyle w:val="FootnoteReference"/>
        </w:rPr>
        <w:footnoteReference w:id="81"/>
      </w:r>
    </w:p>
    <w:p w:rsidR="00437CA2" w:rsidRPr="00883125" w:rsidRDefault="00437CA2" w:rsidP="00437CA2">
      <w:pPr>
        <w:pStyle w:val="AERquote"/>
      </w:pPr>
      <w:r w:rsidRPr="00883125">
        <w:t>Regarding gamma, it is difficult for the CCP to support a gamma of 0.5 as being better or worse than 1 or 0 or any number in between, we simply do not know enough about the vagaries of such calculations.  Though the lack of tax paid would suggest a gamma nearer 1 than 0.</w:t>
      </w:r>
    </w:p>
    <w:p w:rsidR="00437CA2" w:rsidRPr="00883125" w:rsidRDefault="00437CA2" w:rsidP="00437CA2">
      <w:r w:rsidRPr="00883125">
        <w:t>We agree with the CCP</w:t>
      </w:r>
      <w:r w:rsidR="007D69CB">
        <w:t xml:space="preserve"> for the NSW electricity network</w:t>
      </w:r>
      <w:r w:rsidRPr="00883125">
        <w:t xml:space="preserve">'s suggestion that it would be reasonable to consider the tax building block as a whole when determining the value of imputation credits. Under this approach, a tendency toward a higher value of imputation credits (and therefore greater reduction in the tax building block) might be reasonable if the benchmark tax allowance is above the efficient cost of tax. However, in the Guideline and this </w:t>
      </w:r>
      <w:r w:rsidR="001568D8">
        <w:t>draft</w:t>
      </w:r>
      <w:r w:rsidR="001568D8" w:rsidRPr="00883125">
        <w:t xml:space="preserve"> </w:t>
      </w:r>
      <w:r w:rsidRPr="00883125">
        <w:t>decision our determination of the value of imputation credits is guided by</w:t>
      </w:r>
      <w:r w:rsidRPr="00883125" w:rsidDel="00AF1A4A">
        <w:t xml:space="preserve"> the relevant theoretical framework and </w:t>
      </w:r>
      <w:r w:rsidRPr="00883125">
        <w:t>associated</w:t>
      </w:r>
      <w:r w:rsidRPr="00883125" w:rsidDel="00AF1A4A">
        <w:t xml:space="preserve"> evidence.</w:t>
      </w:r>
    </w:p>
    <w:p w:rsidR="006E09A5" w:rsidRPr="006E09A5" w:rsidRDefault="00437CA2" w:rsidP="006E09A5">
      <w:r w:rsidRPr="00883125">
        <w:t xml:space="preserve">The value of imputation credits is also interrelated with the </w:t>
      </w:r>
      <w:r>
        <w:t>market risk premium (</w:t>
      </w:r>
      <w:r w:rsidRPr="00883125">
        <w:t>MRP</w:t>
      </w:r>
      <w:r>
        <w:t>)</w:t>
      </w:r>
      <w:r w:rsidRPr="00883125">
        <w:t>. As discussed in attachment 3, the definition of the MRP in the S</w:t>
      </w:r>
      <w:r>
        <w:t>harpe-</w:t>
      </w:r>
      <w:r w:rsidRPr="00883125">
        <w:t>L</w:t>
      </w:r>
      <w:r>
        <w:t>intner capital asset pricing model (</w:t>
      </w:r>
      <w:r w:rsidRPr="00883125">
        <w:t>CAPM</w:t>
      </w:r>
      <w:r>
        <w:t>)</w:t>
      </w:r>
      <w:r w:rsidRPr="00883125">
        <w:t xml:space="preserve"> should account for the capitalised value of imputation credits. Accordingly, in our determination of the return on equity in attachment 3 we adjust estimates of the MRP in a manner consistent with our determination of the value of imputation credits in this attachment. This is also required by the NER/NGR.</w:t>
      </w:r>
      <w:r w:rsidRPr="00883125">
        <w:rPr>
          <w:rStyle w:val="FootnoteReference"/>
        </w:rPr>
        <w:footnoteReference w:id="82"/>
      </w:r>
    </w:p>
    <w:p w:rsidR="00437CA2" w:rsidRPr="00437CA2" w:rsidRDefault="00437CA2" w:rsidP="00437CA2">
      <w:pPr>
        <w:pStyle w:val="Heading3"/>
      </w:pPr>
      <w:bookmarkStart w:id="64" w:name="_Toc451842240"/>
      <w:bookmarkStart w:id="65" w:name="_Toc451938296"/>
      <w:bookmarkStart w:id="66" w:name="_Toc456614279"/>
      <w:bookmarkStart w:id="67" w:name="_Toc462823302"/>
      <w:bookmarkStart w:id="68" w:name="_Toc487014050"/>
      <w:r w:rsidRPr="00883125">
        <w:t>Expert reports</w:t>
      </w:r>
      <w:bookmarkEnd w:id="64"/>
      <w:bookmarkEnd w:id="65"/>
      <w:bookmarkEnd w:id="66"/>
      <w:bookmarkEnd w:id="67"/>
      <w:bookmarkEnd w:id="68"/>
    </w:p>
    <w:p w:rsidR="00437CA2" w:rsidRPr="00883125" w:rsidRDefault="00437CA2" w:rsidP="00C52695">
      <w:pPr>
        <w:numPr>
          <w:ilvl w:val="0"/>
          <w:numId w:val="24"/>
        </w:numPr>
      </w:pPr>
      <w:r w:rsidRPr="00883125">
        <w:t>During the development of the Guideline, we commissioned expert advice on the value of imputation credits from Dr Martin Lally of the Victoria University of Wellington.</w:t>
      </w:r>
      <w:r w:rsidRPr="00883125">
        <w:rPr>
          <w:rStyle w:val="FootnoteReference"/>
        </w:rPr>
        <w:footnoteReference w:id="83"/>
      </w:r>
    </w:p>
    <w:p w:rsidR="00437CA2" w:rsidRPr="00883125" w:rsidRDefault="00437CA2" w:rsidP="00C52695">
      <w:pPr>
        <w:numPr>
          <w:ilvl w:val="0"/>
          <w:numId w:val="24"/>
        </w:numPr>
      </w:pPr>
      <w:r w:rsidRPr="00883125">
        <w:t>Since the Guideline, we commissioned further expert advice from Associate Professor John Handley of the University of Melbourne and Dr Martin Lally.</w:t>
      </w:r>
      <w:r w:rsidRPr="00883125">
        <w:rPr>
          <w:rStyle w:val="FootnoteReference"/>
        </w:rPr>
        <w:footnoteReference w:id="84"/>
      </w:r>
      <w:r w:rsidRPr="00883125">
        <w:t xml:space="preserve"> We have also had regard to, among other things:</w:t>
      </w:r>
    </w:p>
    <w:p w:rsidR="00437CA2" w:rsidRPr="001D37D5" w:rsidRDefault="00437CA2" w:rsidP="00437CA2">
      <w:pPr>
        <w:pStyle w:val="AERbulletlistfirststyle"/>
      </w:pPr>
      <w:r w:rsidRPr="00883125">
        <w:t>the May 2014, February 2015,</w:t>
      </w:r>
      <w:r w:rsidRPr="001D37D5">
        <w:t xml:space="preserve"> June 2015</w:t>
      </w:r>
      <w:r w:rsidR="00AD585A">
        <w:t>,</w:t>
      </w:r>
      <w:r w:rsidR="00AD585A" w:rsidRPr="001D37D5">
        <w:t xml:space="preserve"> January</w:t>
      </w:r>
      <w:r w:rsidRPr="001D37D5">
        <w:t xml:space="preserve"> 2016 </w:t>
      </w:r>
      <w:r w:rsidR="009C153C">
        <w:t xml:space="preserve">and September 2016 </w:t>
      </w:r>
      <w:r w:rsidRPr="001D37D5">
        <w:t>reports by Professor Stephen Gray that were commissioned by service providers.</w:t>
      </w:r>
      <w:r w:rsidRPr="001D37D5">
        <w:rPr>
          <w:rStyle w:val="FootnoteReference"/>
        </w:rPr>
        <w:footnoteReference w:id="85"/>
      </w:r>
    </w:p>
    <w:p w:rsidR="00437CA2" w:rsidRPr="001D37D5" w:rsidRDefault="00437CA2" w:rsidP="00437CA2">
      <w:pPr>
        <w:pStyle w:val="AERbulletlistfirststyle"/>
      </w:pPr>
      <w:r w:rsidRPr="00883125">
        <w:t>the March 2015, April 2015 and June 2015 reports by NERA Economic Consulting (NERA) that were commissioned by service providers.</w:t>
      </w:r>
      <w:r w:rsidRPr="001D37D5">
        <w:rPr>
          <w:rStyle w:val="FootnoteReference"/>
        </w:rPr>
        <w:footnoteReference w:id="86"/>
      </w:r>
    </w:p>
    <w:p w:rsidR="00437CA2" w:rsidRPr="001D37D5" w:rsidRDefault="00437CA2" w:rsidP="00437CA2">
      <w:pPr>
        <w:pStyle w:val="AERbulletlistfirststyle"/>
      </w:pPr>
      <w:r w:rsidRPr="00883125">
        <w:t>the November 2013 and March 2014 reports by Associate Professor Lally that were commissioned by the Queensland Competition Authority.</w:t>
      </w:r>
      <w:r w:rsidRPr="001D37D5">
        <w:rPr>
          <w:rStyle w:val="FootnoteReference"/>
        </w:rPr>
        <w:footnoteReference w:id="87"/>
      </w:r>
    </w:p>
    <w:p w:rsidR="00437CA2" w:rsidRPr="001D37D5" w:rsidRDefault="00437CA2" w:rsidP="00437CA2">
      <w:pPr>
        <w:pStyle w:val="AERbulletlistfirststyle"/>
      </w:pPr>
      <w:r w:rsidRPr="00883125">
        <w:t>an October 2013 review of a network rail access undertaking by Professor Michael McKenzie of the University of Liverpool and Associate Professor Graham Partington of the University of Sydney.</w:t>
      </w:r>
      <w:r w:rsidRPr="001D37D5">
        <w:rPr>
          <w:rStyle w:val="FootnoteReference"/>
        </w:rPr>
        <w:footnoteReference w:id="88"/>
      </w:r>
      <w:r w:rsidRPr="001D37D5">
        <w:t xml:space="preserve"> This review was commissioned by the Queensland Resources Council and submitted to the Queensland Competition Authority.</w:t>
      </w:r>
    </w:p>
    <w:p w:rsidR="00437CA2" w:rsidRPr="001D37D5" w:rsidRDefault="00437CA2" w:rsidP="00437CA2">
      <w:pPr>
        <w:pStyle w:val="AERbulletlistfirststyle"/>
      </w:pPr>
      <w:r w:rsidRPr="00883125">
        <w:t>a September 2013 report on tax statistics by Dr. Neville Hathaway that was commissioned by the Energy Networks Association.</w:t>
      </w:r>
      <w:r w:rsidRPr="001D37D5">
        <w:rPr>
          <w:rStyle w:val="FootnoteReference"/>
        </w:rPr>
        <w:footnoteReference w:id="89"/>
      </w:r>
    </w:p>
    <w:p w:rsidR="00437CA2" w:rsidRPr="001D37D5" w:rsidRDefault="00437CA2" w:rsidP="00437CA2">
      <w:pPr>
        <w:pStyle w:val="AERbulletlistfirststyle"/>
      </w:pPr>
      <w:r w:rsidRPr="00883125">
        <w:t>a June 2013 report on the distribution rate by NERA that was commissioned by the Energy Networks Association.</w:t>
      </w:r>
      <w:r w:rsidRPr="001D37D5">
        <w:rPr>
          <w:rStyle w:val="FootnoteReference"/>
        </w:rPr>
        <w:footnoteReference w:id="90"/>
      </w:r>
    </w:p>
    <w:p w:rsidR="00437CA2" w:rsidRPr="00437CA2" w:rsidRDefault="00437CA2" w:rsidP="00437CA2">
      <w:pPr>
        <w:pStyle w:val="Heading3"/>
      </w:pPr>
      <w:bookmarkStart w:id="69" w:name="_Ref415048973"/>
      <w:bookmarkStart w:id="70" w:name="_Toc451842241"/>
      <w:bookmarkStart w:id="71" w:name="_Toc451938297"/>
      <w:bookmarkStart w:id="72" w:name="_Toc456614280"/>
      <w:bookmarkStart w:id="73" w:name="_Toc462823303"/>
      <w:bookmarkStart w:id="74" w:name="_Toc487014051"/>
      <w:r w:rsidRPr="00883125">
        <w:t>Approach to determining the value of imputation credits</w:t>
      </w:r>
      <w:bookmarkEnd w:id="69"/>
      <w:bookmarkEnd w:id="70"/>
      <w:bookmarkEnd w:id="71"/>
      <w:bookmarkEnd w:id="72"/>
      <w:bookmarkEnd w:id="73"/>
      <w:bookmarkEnd w:id="74"/>
    </w:p>
    <w:p w:rsidR="00437CA2" w:rsidRPr="00883125" w:rsidRDefault="00437CA2" w:rsidP="00C52695">
      <w:pPr>
        <w:numPr>
          <w:ilvl w:val="0"/>
          <w:numId w:val="24"/>
        </w:numPr>
      </w:pPr>
      <w:r w:rsidRPr="00883125">
        <w:t>There is no consensus among experts or regulators on the value of imputation credits or the techniques to use to estimate it.</w:t>
      </w:r>
      <w:r w:rsidRPr="00883125">
        <w:rPr>
          <w:rStyle w:val="FootnoteReference"/>
        </w:rPr>
        <w:footnoteReference w:id="91"/>
      </w:r>
      <w:r w:rsidRPr="00883125">
        <w:t xml:space="preserve"> Our approach to determining the value of imputation credits is guided by:</w:t>
      </w:r>
    </w:p>
    <w:p w:rsidR="00437CA2" w:rsidRPr="001D37D5" w:rsidRDefault="00437CA2" w:rsidP="00437CA2">
      <w:pPr>
        <w:pStyle w:val="AERbulletlistfirststyle"/>
      </w:pPr>
      <w:r>
        <w:t>T</w:t>
      </w:r>
      <w:r w:rsidRPr="001D37D5">
        <w:t xml:space="preserve">he requirements of the NER/NGR—see section </w:t>
      </w:r>
      <w:r w:rsidRPr="001D37D5">
        <w:fldChar w:fldCharType="begin"/>
      </w:r>
      <w:r w:rsidRPr="001D37D5">
        <w:instrText xml:space="preserve"> REF _Ref400272912 \r \h </w:instrText>
      </w:r>
      <w:r w:rsidRPr="001D37D5">
        <w:fldChar w:fldCharType="separate"/>
      </w:r>
      <w:r w:rsidR="007E3457">
        <w:t>4.3.1</w:t>
      </w:r>
      <w:r w:rsidRPr="001D37D5">
        <w:fldChar w:fldCharType="end"/>
      </w:r>
      <w:r w:rsidRPr="001D37D5">
        <w:t>.</w:t>
      </w:r>
    </w:p>
    <w:p w:rsidR="00437CA2" w:rsidRPr="001D37D5" w:rsidRDefault="00437CA2" w:rsidP="00437CA2">
      <w:pPr>
        <w:pStyle w:val="AERbulletlistfirststyle"/>
      </w:pPr>
      <w:r>
        <w:t>T</w:t>
      </w:r>
      <w:r w:rsidRPr="001D37D5">
        <w:t>he role of the value of the imputation credits in the revenue building block framework—this suggests that the value of imputation credits is intended to reflect the value of imputation credits to investors in the benchmark efficient entity.</w:t>
      </w:r>
      <w:r w:rsidRPr="001D37D5">
        <w:rPr>
          <w:rStyle w:val="FootnoteReference"/>
        </w:rPr>
        <w:footnoteReference w:id="92"/>
      </w:r>
    </w:p>
    <w:p w:rsidR="00437CA2" w:rsidRPr="001D37D5" w:rsidRDefault="00437CA2" w:rsidP="00437CA2">
      <w:pPr>
        <w:pStyle w:val="AERbulletlistfirststyle"/>
      </w:pPr>
      <w:r>
        <w:t>R</w:t>
      </w:r>
      <w:r w:rsidRPr="001D37D5">
        <w:t>elevant academic literature (Officer)—the framework developed in a 1994 paper by Officer is widely recognised as providing the basis for the value of imputation credits in the building block framework.</w:t>
      </w:r>
      <w:r w:rsidRPr="001D37D5">
        <w:rPr>
          <w:rStyle w:val="FootnoteReference"/>
        </w:rPr>
        <w:footnoteReference w:id="93"/>
      </w:r>
      <w:r w:rsidRPr="001D37D5">
        <w:t xml:space="preserve"> A key implication of Officer's framework is that the value of imputation credits should be estimated on a before-personal-tax and before-personal-costs basis. This is consistent with a rate of return determined on a nominal vanilla (that is, a post-company tax pre-personal tax and costs) basis. Therefore, we view the value of imputation credits as the proportion of company tax returned to investors through the utilisation of imputation credits. </w:t>
      </w:r>
    </w:p>
    <w:p w:rsidR="00437CA2" w:rsidRPr="001D37D5" w:rsidRDefault="00437CA2" w:rsidP="00437CA2">
      <w:pPr>
        <w:pStyle w:val="AERbulletlistfirststyle"/>
      </w:pPr>
      <w:r>
        <w:t>Relevant academic literature (Monkhouse)—t</w:t>
      </w:r>
      <w:r w:rsidRPr="001D37D5">
        <w:t>he work of Monkhouse (and others) extends the Officer framework, and shows that the value of imputation credits can be estimated as the product of two parameters:</w:t>
      </w:r>
    </w:p>
    <w:p w:rsidR="00437CA2" w:rsidRPr="00883125" w:rsidRDefault="00437CA2" w:rsidP="00437CA2">
      <w:pPr>
        <w:pStyle w:val="AERbulletlistsecondstyle"/>
      </w:pPr>
      <w:r w:rsidRPr="00883125">
        <w:t xml:space="preserve">the proportion of imputation credits generated that is distributed to investors (the distribution rate) </w:t>
      </w:r>
    </w:p>
    <w:p w:rsidR="00437CA2" w:rsidRPr="00883125" w:rsidRDefault="00437CA2" w:rsidP="00437CA2">
      <w:pPr>
        <w:pStyle w:val="AERbulletlistsecondstyle"/>
      </w:pPr>
      <w:r w:rsidRPr="00883125">
        <w:t>the utilisation value to investors in the market per dollar of imputation credits distributed (the utilisation rate).</w:t>
      </w:r>
      <w:r w:rsidRPr="00883125">
        <w:rPr>
          <w:rStyle w:val="FootnoteReference"/>
        </w:rPr>
        <w:footnoteReference w:id="94"/>
      </w:r>
      <w:r w:rsidRPr="00883125">
        <w:t xml:space="preserve"> </w:t>
      </w:r>
    </w:p>
    <w:p w:rsidR="00437CA2" w:rsidRPr="00883125" w:rsidRDefault="00437CA2" w:rsidP="00437CA2">
      <w:pPr>
        <w:pStyle w:val="ListContinue"/>
      </w:pPr>
      <w:r w:rsidRPr="00883125">
        <w:t>Consistent with this literature, we determine the value of imputation credits as the product of these two parameters.</w:t>
      </w:r>
    </w:p>
    <w:p w:rsidR="00437CA2" w:rsidRPr="001D37D5" w:rsidRDefault="00437CA2" w:rsidP="00437CA2">
      <w:pPr>
        <w:pStyle w:val="AERbulletlistfirststyle"/>
      </w:pPr>
      <w:r>
        <w:t>A</w:t>
      </w:r>
      <w:r w:rsidRPr="001D37D5">
        <w:t xml:space="preserve"> wide range of relevant evidence—we use this range of evidence to estimate the distribution rate and utilisation rate. In particular:</w:t>
      </w:r>
    </w:p>
    <w:p w:rsidR="00437CA2" w:rsidRDefault="00437CA2" w:rsidP="00437CA2">
      <w:pPr>
        <w:pStyle w:val="AERbulletlistsecondstyle"/>
      </w:pPr>
      <w:r>
        <w:t>Distribution rate—</w:t>
      </w:r>
      <w:r w:rsidRPr="00AD105A">
        <w:t>we place primary reliance</w:t>
      </w:r>
      <w:r>
        <w:t xml:space="preserve"> on the</w:t>
      </w:r>
      <w:r w:rsidRPr="00883125">
        <w:t xml:space="preserve"> widely accepted approach to estimating the distribution rate</w:t>
      </w:r>
      <w:r>
        <w:t xml:space="preserve"> (that is,</w:t>
      </w:r>
      <w:r w:rsidRPr="00883125">
        <w:t xml:space="preserve"> the 'cumulative payout ratio approach'</w:t>
      </w:r>
      <w:r>
        <w:t>). We also have some regard</w:t>
      </w:r>
      <w:r w:rsidRPr="00AD105A">
        <w:t xml:space="preserve"> to Lally's estimate for listed equity from financial reports of the 20 largest listed firms.</w:t>
      </w:r>
      <w:r>
        <w:rPr>
          <w:rStyle w:val="FootnoteReference"/>
        </w:rPr>
        <w:footnoteReference w:id="95"/>
      </w:r>
    </w:p>
    <w:p w:rsidR="00437CA2" w:rsidRPr="00883125" w:rsidRDefault="00437CA2" w:rsidP="00437CA2">
      <w:pPr>
        <w:pStyle w:val="AERbulletlistsecondstyle"/>
      </w:pPr>
      <w:r>
        <w:t>Utilisation rate—unlike the distribution rate,</w:t>
      </w:r>
      <w:r w:rsidRPr="00883125">
        <w:t xml:space="preserve"> there is no single accepted approach to estimating the utilisation rate</w:t>
      </w:r>
      <w:r>
        <w:t>,</w:t>
      </w:r>
      <w:r w:rsidRPr="00883125">
        <w:t xml:space="preserve"> and there is a range of evidence relevant to the utilisation rate. This includes:</w:t>
      </w:r>
    </w:p>
    <w:p w:rsidR="00437CA2" w:rsidRPr="00883125" w:rsidRDefault="00437CA2" w:rsidP="00437CA2">
      <w:pPr>
        <w:pStyle w:val="AERbulletlistthirdstyle"/>
      </w:pPr>
      <w:r w:rsidRPr="00883125">
        <w:t>the proportion of Australian equity held by domestic investors (the 'equity ownership approach')</w:t>
      </w:r>
      <w:r>
        <w:rPr>
          <w:rStyle w:val="FootnoteReference"/>
        </w:rPr>
        <w:footnoteReference w:id="96"/>
      </w:r>
    </w:p>
    <w:p w:rsidR="00437CA2" w:rsidRPr="00883125" w:rsidRDefault="00437CA2" w:rsidP="00437CA2">
      <w:pPr>
        <w:pStyle w:val="AERbulletlistthirdstyle"/>
      </w:pPr>
      <w:r w:rsidRPr="00883125">
        <w:t>the reported value of credits utilised by investors in Australian Taxation Office (ATO) statistics ('tax statistics')</w:t>
      </w:r>
      <w:r>
        <w:rPr>
          <w:rStyle w:val="FootnoteReference"/>
        </w:rPr>
        <w:footnoteReference w:id="97"/>
      </w:r>
    </w:p>
    <w:p w:rsidR="00437CA2" w:rsidRDefault="00437CA2" w:rsidP="00437CA2">
      <w:pPr>
        <w:pStyle w:val="AERbulletlistthirdstyle"/>
      </w:pPr>
      <w:r w:rsidRPr="00883125">
        <w:t>studies that seek to infer from market prices the value to investors of distributed imputation credits ('implied market value studies')</w:t>
      </w:r>
      <w:r>
        <w:t>.</w:t>
      </w:r>
      <w:r>
        <w:rPr>
          <w:rStyle w:val="FootnoteReference"/>
        </w:rPr>
        <w:footnoteReference w:id="98"/>
      </w:r>
    </w:p>
    <w:p w:rsidR="00437CA2" w:rsidRDefault="00437CA2" w:rsidP="00437CA2">
      <w:pPr>
        <w:pStyle w:val="ListContinue3"/>
      </w:pPr>
      <w:r>
        <w:t>We place varying levels of reliance on these sources of evidence (which is supported by Lally).</w:t>
      </w:r>
      <w:r w:rsidRPr="00A316AD">
        <w:rPr>
          <w:rStyle w:val="FootnoteReference"/>
        </w:rPr>
        <w:footnoteReference w:id="99"/>
      </w:r>
      <w:r>
        <w:t xml:space="preserve"> That is:</w:t>
      </w:r>
    </w:p>
    <w:p w:rsidR="00437CA2" w:rsidRDefault="00437CA2" w:rsidP="00437CA2">
      <w:pPr>
        <w:pStyle w:val="AERbulletlistthirdstyle"/>
      </w:pPr>
      <w:r>
        <w:t>we place most reliance on the equity ownership approach because we consider it generates the best estimate of</w:t>
      </w:r>
      <w:r w:rsidRPr="001762B7">
        <w:t xml:space="preserve"> the </w:t>
      </w:r>
      <w:r w:rsidRPr="0005260B">
        <w:t>utilisation value to investors in the market per dollar of imputation credits distributed</w:t>
      </w:r>
    </w:p>
    <w:p w:rsidR="00437CA2" w:rsidRDefault="00437CA2" w:rsidP="00437CA2">
      <w:pPr>
        <w:pStyle w:val="AERbulletlistthirdstyle"/>
      </w:pPr>
      <w:r>
        <w:t>we place less reliance on tax statistics because</w:t>
      </w:r>
      <w:r w:rsidRPr="001762B7">
        <w:t xml:space="preserve"> the</w:t>
      </w:r>
      <w:r>
        <w:t xml:space="preserve"> underlying taxation data</w:t>
      </w:r>
      <w:r w:rsidRPr="001762B7">
        <w:t xml:space="preserve"> </w:t>
      </w:r>
      <w:r>
        <w:t>are unreliable</w:t>
      </w:r>
    </w:p>
    <w:p w:rsidR="00437CA2" w:rsidRDefault="00437CA2" w:rsidP="00437CA2">
      <w:pPr>
        <w:pStyle w:val="AERbulletlistthirdstyle"/>
      </w:pPr>
      <w:r>
        <w:t>we place even less reliance on implied market value studies because</w:t>
      </w:r>
      <w:r w:rsidRPr="00DE7959">
        <w:t xml:space="preserve"> </w:t>
      </w:r>
      <w:r>
        <w:t xml:space="preserve">we consider they have many limitations, including </w:t>
      </w:r>
      <w:r w:rsidRPr="00DE7959">
        <w:t>they do not measure the pre-personal tax and pre-personal cost value of distributed imputation credits</w:t>
      </w:r>
      <w:r>
        <w:t>.</w:t>
      </w:r>
      <w:r>
        <w:rPr>
          <w:rStyle w:val="FootnoteReference"/>
        </w:rPr>
        <w:footnoteReference w:id="100"/>
      </w:r>
      <w:r>
        <w:t xml:space="preserve"> </w:t>
      </w:r>
    </w:p>
    <w:p w:rsidR="00437CA2" w:rsidRDefault="00437CA2" w:rsidP="00437CA2">
      <w:pPr>
        <w:pStyle w:val="ListContinue"/>
      </w:pPr>
      <w:r>
        <w:t xml:space="preserve">Also, when estimating the distribution rate and the utilisation rate there is </w:t>
      </w:r>
      <w:r w:rsidRPr="00A90D90">
        <w:t>no consensus regarding whether evidence and data should be used on all companies and their investors (all equity) or just listed companies and their investors (</w:t>
      </w:r>
      <w:r>
        <w:t>only listed equity</w:t>
      </w:r>
      <w:r w:rsidRPr="00A90D90">
        <w:t>).</w:t>
      </w:r>
      <w:r w:rsidRPr="00A90D90">
        <w:rPr>
          <w:rStyle w:val="FootnoteReference"/>
        </w:rPr>
        <w:footnoteReference w:id="101"/>
      </w:r>
      <w:r w:rsidRPr="00A90D90">
        <w:t xml:space="preserve"> In determining the value of imputation credits, we rely on the results from both approaches.</w:t>
      </w:r>
    </w:p>
    <w:p w:rsidR="00437CA2" w:rsidRPr="00883125" w:rsidRDefault="00437CA2" w:rsidP="00437CA2">
      <w:pPr>
        <w:pStyle w:val="AERbulletlistfirststyle"/>
      </w:pPr>
      <w:r w:rsidRPr="00883125">
        <w:t>the views of experts—experts differ in their interpretations of the:</w:t>
      </w:r>
    </w:p>
    <w:p w:rsidR="00437CA2" w:rsidRPr="00883125" w:rsidRDefault="00437CA2" w:rsidP="00437CA2">
      <w:pPr>
        <w:pStyle w:val="AERbulletlistsecondstyle"/>
      </w:pPr>
      <w:r w:rsidRPr="00883125">
        <w:t>role of the value of imputation credits in the regulatory framework</w:t>
      </w:r>
    </w:p>
    <w:p w:rsidR="00437CA2" w:rsidRPr="00883125" w:rsidRDefault="00437CA2" w:rsidP="00437CA2">
      <w:pPr>
        <w:pStyle w:val="AERbulletlistsecondstyle"/>
      </w:pPr>
      <w:r w:rsidRPr="00883125">
        <w:t>underlying theory and academic literature</w:t>
      </w:r>
    </w:p>
    <w:p w:rsidR="000B321F" w:rsidRDefault="00437CA2" w:rsidP="002C233C">
      <w:pPr>
        <w:pStyle w:val="AERbulletlistsecondstyle"/>
      </w:pPr>
      <w:r w:rsidRPr="00883125">
        <w:t>relevance of different estimation techniques, particularly for the utilisation rate</w:t>
      </w:r>
      <w:r>
        <w:t>.</w:t>
      </w:r>
    </w:p>
    <w:p w:rsidR="00DE563D" w:rsidRPr="008A31CC" w:rsidRDefault="00DE563D" w:rsidP="008A31CC">
      <w:pPr>
        <w:pStyle w:val="Heading2"/>
      </w:pPr>
      <w:bookmarkStart w:id="75" w:name="_Toc403144140"/>
      <w:bookmarkStart w:id="76" w:name="_Ref475371808"/>
      <w:bookmarkStart w:id="77" w:name="_Ref475439085"/>
      <w:bookmarkStart w:id="78" w:name="_Ref475454898"/>
      <w:bookmarkStart w:id="79" w:name="_Ref475456919"/>
      <w:bookmarkStart w:id="80" w:name="_Ref475972971"/>
      <w:bookmarkStart w:id="81" w:name="_Ref476520062"/>
      <w:bookmarkStart w:id="82" w:name="_Ref476520189"/>
      <w:bookmarkStart w:id="83" w:name="_Ref476520204"/>
      <w:bookmarkStart w:id="84" w:name="_Ref476520210"/>
      <w:bookmarkStart w:id="85" w:name="_Ref476520604"/>
      <w:bookmarkStart w:id="86" w:name="_Ref476565842"/>
      <w:bookmarkStart w:id="87" w:name="_Ref476580949"/>
      <w:bookmarkStart w:id="88" w:name="_Ref476580960"/>
      <w:bookmarkStart w:id="89" w:name="_Ref476648777"/>
      <w:bookmarkStart w:id="90" w:name="_Ref476650811"/>
      <w:bookmarkStart w:id="91" w:name="_Ref477216695"/>
      <w:bookmarkStart w:id="92" w:name="_Ref477266198"/>
      <w:bookmarkStart w:id="93" w:name="_Ref477362088"/>
      <w:bookmarkStart w:id="94" w:name="_Ref479785023"/>
      <w:bookmarkStart w:id="95" w:name="_Ref479785029"/>
      <w:bookmarkStart w:id="96" w:name="_Toc487014052"/>
      <w:r w:rsidRPr="008A31CC">
        <w:t>Reasons</w:t>
      </w:r>
      <w:r w:rsidRPr="005271EF">
        <w:t xml:space="preserve"> for </w:t>
      </w:r>
      <w:r w:rsidR="007F089A">
        <w:t>draft</w:t>
      </w:r>
      <w:r w:rsidR="007F089A" w:rsidRPr="005F797E">
        <w:t xml:space="preserve"> </w:t>
      </w:r>
      <w:r w:rsidRPr="005F797E">
        <w:t>decision</w:t>
      </w:r>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r w:rsidRPr="005F797E">
        <w:t xml:space="preserve"> </w:t>
      </w:r>
    </w:p>
    <w:p w:rsidR="00C52695" w:rsidRPr="005764F6" w:rsidRDefault="00C52695" w:rsidP="00C52695">
      <w:pPr>
        <w:numPr>
          <w:ilvl w:val="0"/>
          <w:numId w:val="24"/>
        </w:numPr>
        <w:rPr>
          <w:rStyle w:val="AERbody"/>
        </w:rPr>
      </w:pPr>
      <w:r w:rsidRPr="005764F6">
        <w:rPr>
          <w:rStyle w:val="AERbody"/>
        </w:rPr>
        <w:t xml:space="preserve">In determining the value of imputation credits, we have considered the full range of evidence before us with regard to its merits (see section </w:t>
      </w:r>
      <w:r w:rsidRPr="005764F6">
        <w:rPr>
          <w:rStyle w:val="AERbody"/>
        </w:rPr>
        <w:fldChar w:fldCharType="begin"/>
      </w:r>
      <w:r w:rsidRPr="005764F6">
        <w:rPr>
          <w:rStyle w:val="AERbody"/>
        </w:rPr>
        <w:instrText xml:space="preserve"> REF _Ref415048973 \r \h  \* MERGEFORMAT </w:instrText>
      </w:r>
      <w:r w:rsidRPr="005764F6">
        <w:rPr>
          <w:rStyle w:val="AERbody"/>
        </w:rPr>
      </w:r>
      <w:r w:rsidRPr="005764F6">
        <w:rPr>
          <w:rStyle w:val="AERbody"/>
        </w:rPr>
        <w:fldChar w:fldCharType="separate"/>
      </w:r>
      <w:r w:rsidR="007E3457">
        <w:rPr>
          <w:rStyle w:val="AERbody"/>
        </w:rPr>
        <w:t>4.3.6</w:t>
      </w:r>
      <w:r w:rsidRPr="005764F6">
        <w:rPr>
          <w:rStyle w:val="AERbody"/>
        </w:rPr>
        <w:fldChar w:fldCharType="end"/>
      </w:r>
      <w:r w:rsidRPr="005764F6">
        <w:rPr>
          <w:rStyle w:val="AERbody"/>
        </w:rPr>
        <w:t xml:space="preserve"> for our approach). We consider that a value of imputation credits of 0.4, selected from within a range of 0.3 to 0.5, is reasonable because:</w:t>
      </w:r>
    </w:p>
    <w:p w:rsidR="00C52695" w:rsidRPr="001D37D5" w:rsidRDefault="00C52695" w:rsidP="00C52695">
      <w:pPr>
        <w:pStyle w:val="AERbulletlistfirststyle"/>
      </w:pPr>
      <w:r w:rsidRPr="005764F6">
        <w:t xml:space="preserve">It </w:t>
      </w:r>
      <w:r w:rsidRPr="001D37D5">
        <w:t>is within the range of values indicated by the evidence, and the relevance of the evidence is supported by the expert opinion of Handley, Lally, and McKenzie and Partington.</w:t>
      </w:r>
    </w:p>
    <w:p w:rsidR="00C52695" w:rsidRPr="001D37D5" w:rsidRDefault="00C52695" w:rsidP="00C52695">
      <w:pPr>
        <w:pStyle w:val="AERbulletlistfirststyle"/>
      </w:pPr>
      <w:r w:rsidRPr="005764F6">
        <w:t xml:space="preserve">It </w:t>
      </w:r>
      <w:r w:rsidRPr="001D37D5">
        <w:t>primarily reflects an estimate of the utilisation rate from the equity ownership approach. Handley considered this the most important approach to estimating the utilisation rate, relative to the alternatives of tax statistics and implied market value studies.</w:t>
      </w:r>
      <w:r w:rsidRPr="001D37D5">
        <w:rPr>
          <w:rStyle w:val="FootnoteReference"/>
        </w:rPr>
        <w:footnoteReference w:id="102"/>
      </w:r>
      <w:r w:rsidRPr="001D37D5">
        <w:t xml:space="preserve"> The equity ownership approach was Lally's second preference after his recommendation for a utilisation rate of 1.</w:t>
      </w:r>
      <w:r w:rsidRPr="001D37D5">
        <w:rPr>
          <w:rStyle w:val="FootnoteReference"/>
        </w:rPr>
        <w:footnoteReference w:id="103"/>
      </w:r>
    </w:p>
    <w:p w:rsidR="00C52695" w:rsidRPr="001D37D5" w:rsidRDefault="00C52695" w:rsidP="00C52695">
      <w:pPr>
        <w:pStyle w:val="AERbulletlistfirststyle"/>
      </w:pPr>
      <w:r w:rsidRPr="005764F6">
        <w:t xml:space="preserve">It </w:t>
      </w:r>
      <w:r w:rsidRPr="001D37D5">
        <w:t>is within the 'preferred' range for the value of imputation credits (0.4 to 0.5) in Handley's September 2014 advice.</w:t>
      </w:r>
      <w:r w:rsidRPr="001D37D5">
        <w:rPr>
          <w:rStyle w:val="FootnoteReference"/>
        </w:rPr>
        <w:footnoteReference w:id="104"/>
      </w:r>
    </w:p>
    <w:p w:rsidR="00C52695" w:rsidRPr="001D37D5" w:rsidRDefault="00C52695" w:rsidP="00C52695">
      <w:pPr>
        <w:pStyle w:val="AERbulletlistfirststyle"/>
      </w:pPr>
      <w:r w:rsidRPr="005764F6">
        <w:t xml:space="preserve">It is </w:t>
      </w:r>
      <w:r w:rsidRPr="001D37D5">
        <w:t>slightly below the Lally's recommended application of the equity ownership approach.</w:t>
      </w:r>
      <w:r w:rsidRPr="001D37D5">
        <w:rPr>
          <w:rStyle w:val="FootnoteReference"/>
        </w:rPr>
        <w:footnoteReference w:id="105"/>
      </w:r>
      <w:r w:rsidRPr="001D37D5">
        <w:t xml:space="preserve"> This suggests a gamma of at least 0.50 based on Lally's preferred estimate of the distribution rate and using the equity ownership data based on all equity (which Lally prefers). </w:t>
      </w:r>
    </w:p>
    <w:p w:rsidR="00C52695" w:rsidRPr="001D37D5" w:rsidRDefault="00C52695" w:rsidP="00C52695">
      <w:pPr>
        <w:pStyle w:val="AERbulletlistfirststyle"/>
      </w:pPr>
      <w:r w:rsidRPr="005764F6">
        <w:t>It is consistent with providing regulatory certainty given it is consistent with the value we used for all regulatory decisions released in 2015</w:t>
      </w:r>
      <w:r>
        <w:t xml:space="preserve"> and 2016.</w:t>
      </w:r>
    </w:p>
    <w:p w:rsidR="00C52695" w:rsidRPr="001D37D5" w:rsidRDefault="00C52695" w:rsidP="00C52695">
      <w:pPr>
        <w:pStyle w:val="AERbulletlistfirststyle"/>
      </w:pPr>
      <w:r w:rsidRPr="005764F6">
        <w:t xml:space="preserve">Based </w:t>
      </w:r>
      <w:r w:rsidRPr="001D37D5">
        <w:t>on the evidence before us at this time, adopting a value of imputation credits that is rounded to one decimal place appropriately reflects the uncertainty and imprecision associated with this parameter. This uncertainty is evident in the range of views and values that have been espoused by experts, and was recognised by Handley and McKenzie and Partington.</w:t>
      </w:r>
      <w:r w:rsidRPr="001D37D5">
        <w:rPr>
          <w:rStyle w:val="FootnoteReference"/>
        </w:rPr>
        <w:footnoteReference w:id="106"/>
      </w:r>
      <w:r w:rsidRPr="001D37D5">
        <w:t xml:space="preserve"> The imprecision of determining the value of imputation credits was emphasised by Handley.</w:t>
      </w:r>
      <w:r w:rsidRPr="001D37D5">
        <w:rPr>
          <w:rStyle w:val="FootnoteReference"/>
        </w:rPr>
        <w:footnoteReference w:id="107"/>
      </w:r>
    </w:p>
    <w:p w:rsidR="00C52695" w:rsidRPr="005764F6" w:rsidRDefault="00C52695" w:rsidP="00C52695">
      <w:pPr>
        <w:numPr>
          <w:ilvl w:val="0"/>
          <w:numId w:val="24"/>
        </w:numPr>
        <w:rPr>
          <w:rStyle w:val="AERbody"/>
        </w:rPr>
      </w:pPr>
      <w:r w:rsidRPr="005764F6">
        <w:rPr>
          <w:rStyle w:val="AERbody"/>
        </w:rPr>
        <w:t>In considering the evidence on the distribution and utilisation rates, we have broadly maintained the approach set out in the Guideline, but have re-examined the relevant evidence and estimates. This re-examination, and new evidence and advice considered since the Guideline, led us to depart from the Guideline value of imputation credits of 0.5. Departures from specific aspects of the Guideline are noted in the discussion of the distribution rate and utilisation rate below.</w:t>
      </w:r>
    </w:p>
    <w:p w:rsidR="00C52695" w:rsidRPr="005764F6" w:rsidRDefault="00C52695" w:rsidP="0049781D">
      <w:pPr>
        <w:numPr>
          <w:ilvl w:val="0"/>
          <w:numId w:val="24"/>
        </w:numPr>
        <w:rPr>
          <w:rStyle w:val="AERbody"/>
        </w:rPr>
      </w:pPr>
      <w:r w:rsidRPr="005764F6">
        <w:rPr>
          <w:rStyle w:val="AERbody"/>
        </w:rPr>
        <w:t xml:space="preserve">Further to the Guideline approach, in this </w:t>
      </w:r>
      <w:r w:rsidR="005C0A2B">
        <w:rPr>
          <w:rStyle w:val="AERbody"/>
        </w:rPr>
        <w:t>draft</w:t>
      </w:r>
      <w:r w:rsidR="00120638">
        <w:rPr>
          <w:rStyle w:val="AERbody"/>
        </w:rPr>
        <w:t xml:space="preserve"> </w:t>
      </w:r>
      <w:r w:rsidRPr="005764F6">
        <w:rPr>
          <w:rStyle w:val="AERbody"/>
        </w:rPr>
        <w:t xml:space="preserve">decision we consider we may have regard to evidence from all equity and/or only listed equity. Some experts advocate use of evidence on only listed companies and their investors because they consider it to be more reflective of the benchmark efficient entity and its investors, or because they consider this is consistent with the use of evidence from only listed companies when estimating the MRP. However, there is no consensus on this point. We discuss the issue further in sections </w:t>
      </w:r>
      <w:r w:rsidRPr="005764F6">
        <w:rPr>
          <w:rStyle w:val="AERbody"/>
        </w:rPr>
        <w:fldChar w:fldCharType="begin"/>
      </w:r>
      <w:r w:rsidRPr="005764F6">
        <w:rPr>
          <w:rStyle w:val="AERbody"/>
        </w:rPr>
        <w:instrText xml:space="preserve"> REF _Ref414623120 \r \h </w:instrText>
      </w:r>
      <w:r>
        <w:rPr>
          <w:rStyle w:val="AERbody"/>
        </w:rPr>
        <w:instrText xml:space="preserve"> \* MERGEFORMAT </w:instrText>
      </w:r>
      <w:r w:rsidRPr="005764F6">
        <w:rPr>
          <w:rStyle w:val="AERbody"/>
        </w:rPr>
      </w:r>
      <w:r w:rsidRPr="005764F6">
        <w:rPr>
          <w:rStyle w:val="AERbody"/>
        </w:rPr>
        <w:fldChar w:fldCharType="separate"/>
      </w:r>
      <w:r w:rsidR="007E3457">
        <w:rPr>
          <w:rStyle w:val="AERbody"/>
        </w:rPr>
        <w:t>A.8</w:t>
      </w:r>
      <w:r w:rsidRPr="005764F6">
        <w:rPr>
          <w:rStyle w:val="AERbody"/>
        </w:rPr>
        <w:fldChar w:fldCharType="end"/>
      </w:r>
      <w:r w:rsidRPr="005764F6">
        <w:rPr>
          <w:rStyle w:val="AERbody"/>
        </w:rPr>
        <w:t xml:space="preserve"> and </w:t>
      </w:r>
      <w:r w:rsidRPr="005764F6">
        <w:rPr>
          <w:rStyle w:val="AERbody"/>
        </w:rPr>
        <w:fldChar w:fldCharType="begin"/>
      </w:r>
      <w:r w:rsidRPr="005764F6">
        <w:rPr>
          <w:rStyle w:val="AERbody"/>
        </w:rPr>
        <w:instrText xml:space="preserve"> REF _Ref415068711 \r \h </w:instrText>
      </w:r>
      <w:r>
        <w:rPr>
          <w:rStyle w:val="AERbody"/>
        </w:rPr>
        <w:instrText xml:space="preserve"> \* MERGEFORMAT </w:instrText>
      </w:r>
      <w:r w:rsidRPr="005764F6">
        <w:rPr>
          <w:rStyle w:val="AERbody"/>
        </w:rPr>
      </w:r>
      <w:r w:rsidRPr="005764F6">
        <w:rPr>
          <w:rStyle w:val="AERbody"/>
        </w:rPr>
        <w:fldChar w:fldCharType="separate"/>
      </w:r>
      <w:r w:rsidR="007E3457">
        <w:rPr>
          <w:rStyle w:val="AERbody"/>
        </w:rPr>
        <w:t>A.8.5</w:t>
      </w:r>
      <w:r w:rsidRPr="005764F6">
        <w:rPr>
          <w:rStyle w:val="AERbody"/>
        </w:rPr>
        <w:fldChar w:fldCharType="end"/>
      </w:r>
      <w:r w:rsidRPr="005764F6">
        <w:rPr>
          <w:rStyle w:val="AERbody"/>
        </w:rPr>
        <w:t>. We did not consider this issue in the Guideline.</w:t>
      </w:r>
      <w:r w:rsidR="005C0A2B">
        <w:rPr>
          <w:rStyle w:val="AERbody"/>
        </w:rPr>
        <w:t xml:space="preserve"> </w:t>
      </w:r>
    </w:p>
    <w:p w:rsidR="00CF4EC3" w:rsidRPr="005764F6" w:rsidRDefault="00CF4EC3" w:rsidP="00DB09A8">
      <w:pPr>
        <w:pStyle w:val="ListParagraph"/>
        <w:numPr>
          <w:ilvl w:val="0"/>
          <w:numId w:val="24"/>
        </w:numPr>
        <w:rPr>
          <w:rStyle w:val="AERbody"/>
        </w:rPr>
      </w:pPr>
      <w:r w:rsidRPr="00CF4EC3">
        <w:t>Lally considered that there is no necessity to combine estimates of the distribution rate and utilisation rate from the same dataset and good reason not for not doing so.</w:t>
      </w:r>
      <w:r w:rsidRPr="00CF4EC3">
        <w:rPr>
          <w:rStyle w:val="FootnoteReference"/>
        </w:rPr>
        <w:footnoteReference w:id="108"/>
      </w:r>
      <w:r w:rsidRPr="00CF4EC3">
        <w:t xml:space="preserve"> </w:t>
      </w:r>
      <w:r w:rsidR="00452BA3">
        <w:t>However, we note given Lally's advice our approach appears to lead to a conservative gamma estimate (in favour of the service provider)</w:t>
      </w:r>
      <w:r w:rsidRPr="00CF4EC3">
        <w:t xml:space="preserve">, as Lally considered that only listed firms should be used to determine the distribution rate and all equity </w:t>
      </w:r>
      <w:r w:rsidR="00A11A7C">
        <w:t xml:space="preserve">firms </w:t>
      </w:r>
      <w:r w:rsidRPr="00CF4EC3">
        <w:t>should be used to estimate the utilisation value which result</w:t>
      </w:r>
      <w:r w:rsidR="00E4542B">
        <w:t>s</w:t>
      </w:r>
      <w:r w:rsidRPr="00CF4EC3">
        <w:t xml:space="preserve"> in a gamma estimate of 0.5</w:t>
      </w:r>
      <w:r>
        <w:t>.</w:t>
      </w:r>
      <w:r w:rsidR="00490FB7">
        <w:t xml:space="preserve"> </w:t>
      </w:r>
      <w:r w:rsidR="00C52695" w:rsidRPr="005764F6">
        <w:rPr>
          <w:rStyle w:val="AERbody"/>
        </w:rPr>
        <w:t xml:space="preserve">Following </w:t>
      </w:r>
      <w:r w:rsidR="00452BA3">
        <w:rPr>
          <w:rStyle w:val="AERbody"/>
        </w:rPr>
        <w:t>Lally's most recent advice</w:t>
      </w:r>
      <w:r w:rsidR="00C52695" w:rsidRPr="005764F6">
        <w:rPr>
          <w:rStyle w:val="AERbody"/>
        </w:rPr>
        <w:t xml:space="preserve"> we </w:t>
      </w:r>
      <w:r w:rsidR="00452BA3">
        <w:rPr>
          <w:rStyle w:val="AERbody"/>
        </w:rPr>
        <w:t>remain of the view</w:t>
      </w:r>
      <w:r w:rsidR="00C52695" w:rsidRPr="005764F6">
        <w:rPr>
          <w:rStyle w:val="AERbody"/>
        </w:rPr>
        <w:t xml:space="preserve"> it </w:t>
      </w:r>
      <w:r w:rsidR="00C52695">
        <w:rPr>
          <w:rStyle w:val="AERbody"/>
        </w:rPr>
        <w:t>is</w:t>
      </w:r>
      <w:r w:rsidR="00C52695" w:rsidRPr="005764F6">
        <w:rPr>
          <w:rStyle w:val="AERbody"/>
        </w:rPr>
        <w:t xml:space="preserve"> not necessary to </w:t>
      </w:r>
      <w:r w:rsidR="00C52695">
        <w:rPr>
          <w:rStyle w:val="AERbody"/>
        </w:rPr>
        <w:t>'</w:t>
      </w:r>
      <w:r w:rsidR="00C52695" w:rsidRPr="005764F6">
        <w:rPr>
          <w:rStyle w:val="AERbody"/>
        </w:rPr>
        <w:t>match</w:t>
      </w:r>
      <w:r w:rsidR="00C52695">
        <w:rPr>
          <w:rStyle w:val="AERbody"/>
        </w:rPr>
        <w:t>'</w:t>
      </w:r>
      <w:r w:rsidR="00C52695" w:rsidRPr="005764F6">
        <w:rPr>
          <w:rStyle w:val="AERbody"/>
        </w:rPr>
        <w:t xml:space="preserve"> estimates of distribution rates and utilisation rates based on the dataset used</w:t>
      </w:r>
      <w:r w:rsidR="00C52695">
        <w:rPr>
          <w:rStyle w:val="AERbody"/>
        </w:rPr>
        <w:t xml:space="preserve">; although we </w:t>
      </w:r>
      <w:r w:rsidR="00452BA3">
        <w:rPr>
          <w:rStyle w:val="AERbody"/>
        </w:rPr>
        <w:t>still consider</w:t>
      </w:r>
      <w:r w:rsidR="00C52695">
        <w:rPr>
          <w:rStyle w:val="AERbody"/>
        </w:rPr>
        <w:t xml:space="preserve"> the choice is open to us</w:t>
      </w:r>
      <w:r w:rsidR="00C52695" w:rsidRPr="005764F6">
        <w:rPr>
          <w:rStyle w:val="AERbody"/>
        </w:rPr>
        <w:t xml:space="preserve">. We discuss this further in section 4.4.1 and </w:t>
      </w:r>
      <w:r w:rsidR="00C52695" w:rsidRPr="005764F6">
        <w:rPr>
          <w:rStyle w:val="AERbody"/>
        </w:rPr>
        <w:fldChar w:fldCharType="begin"/>
      </w:r>
      <w:r w:rsidR="00C52695" w:rsidRPr="005764F6">
        <w:rPr>
          <w:rStyle w:val="AERbody"/>
        </w:rPr>
        <w:instrText xml:space="preserve"> REF _Ref403481194 \r \h  \* MERGEFORMAT </w:instrText>
      </w:r>
      <w:r w:rsidR="00C52695" w:rsidRPr="005764F6">
        <w:rPr>
          <w:rStyle w:val="AERbody"/>
        </w:rPr>
      </w:r>
      <w:r w:rsidR="00C52695" w:rsidRPr="005764F6">
        <w:rPr>
          <w:rStyle w:val="AERbody"/>
        </w:rPr>
        <w:fldChar w:fldCharType="separate"/>
      </w:r>
      <w:r w:rsidR="007E3457">
        <w:rPr>
          <w:rStyle w:val="AERbody"/>
        </w:rPr>
        <w:t>A.9.2</w:t>
      </w:r>
      <w:r w:rsidR="00C52695" w:rsidRPr="005764F6">
        <w:rPr>
          <w:rStyle w:val="AERbody"/>
        </w:rPr>
        <w:fldChar w:fldCharType="end"/>
      </w:r>
      <w:r w:rsidR="00C52695" w:rsidRPr="005764F6">
        <w:rPr>
          <w:rStyle w:val="AERbody"/>
        </w:rPr>
        <w:t>.</w:t>
      </w:r>
    </w:p>
    <w:p w:rsidR="00C52695" w:rsidRPr="005764F6" w:rsidRDefault="00C52695" w:rsidP="00C52695">
      <w:pPr>
        <w:rPr>
          <w:rStyle w:val="AERbody"/>
        </w:rPr>
      </w:pPr>
      <w:r w:rsidRPr="005764F6">
        <w:rPr>
          <w:rStyle w:val="AERbody"/>
        </w:rPr>
        <w:t xml:space="preserve">We </w:t>
      </w:r>
      <w:r>
        <w:rPr>
          <w:rStyle w:val="AERbody"/>
        </w:rPr>
        <w:t xml:space="preserve">also </w:t>
      </w:r>
      <w:r w:rsidRPr="005764F6">
        <w:rPr>
          <w:rStyle w:val="AERbody"/>
        </w:rPr>
        <w:t>note that, following his advice, Lally recommended pairing an estimate of the utilisation rate</w:t>
      </w:r>
      <w:r>
        <w:rPr>
          <w:rStyle w:val="AERbody"/>
        </w:rPr>
        <w:t xml:space="preserve"> for all equity</w:t>
      </w:r>
      <w:r w:rsidRPr="005764F6">
        <w:rPr>
          <w:rStyle w:val="AERbody"/>
        </w:rPr>
        <w:t xml:space="preserve"> from the equity ownership approach</w:t>
      </w:r>
      <w:r>
        <w:rPr>
          <w:rStyle w:val="AERbody"/>
        </w:rPr>
        <w:t>,</w:t>
      </w:r>
      <w:r w:rsidRPr="005764F6">
        <w:rPr>
          <w:rStyle w:val="AERbody"/>
        </w:rPr>
        <w:t xml:space="preserve"> with a distribution rate </w:t>
      </w:r>
      <w:r>
        <w:rPr>
          <w:rStyle w:val="AERbody"/>
        </w:rPr>
        <w:t xml:space="preserve">for listed equity </w:t>
      </w:r>
      <w:r w:rsidRPr="005764F6">
        <w:rPr>
          <w:rStyle w:val="AERbody"/>
        </w:rPr>
        <w:t>estimated from the financial statements of the top 20 listed firms (which he considered likely to best reflect the distribution rate of a benchmark efficient entity).</w:t>
      </w:r>
      <w:r w:rsidRPr="005942A6">
        <w:rPr>
          <w:rStyle w:val="FootnoteReference"/>
        </w:rPr>
        <w:footnoteReference w:id="109"/>
      </w:r>
      <w:r w:rsidRPr="005764F6">
        <w:rPr>
          <w:rStyle w:val="AERbody"/>
        </w:rPr>
        <w:t xml:space="preserve"> </w:t>
      </w:r>
    </w:p>
    <w:p w:rsidR="00C52695" w:rsidRPr="005764F6" w:rsidRDefault="00C52695" w:rsidP="00C52695">
      <w:pPr>
        <w:numPr>
          <w:ilvl w:val="0"/>
          <w:numId w:val="24"/>
        </w:numPr>
        <w:rPr>
          <w:rStyle w:val="AERbody"/>
        </w:rPr>
      </w:pPr>
      <w:r w:rsidRPr="005764F6">
        <w:rPr>
          <w:rStyle w:val="AERbody"/>
        </w:rPr>
        <w:t xml:space="preserve">Recognising these considerations, </w:t>
      </w:r>
      <w:r w:rsidRPr="005764F6">
        <w:rPr>
          <w:rStyle w:val="AERbody"/>
        </w:rPr>
        <w:fldChar w:fldCharType="begin"/>
      </w:r>
      <w:r w:rsidRPr="005764F6">
        <w:rPr>
          <w:rStyle w:val="AERbody"/>
        </w:rPr>
        <w:instrText xml:space="preserve"> REF  _Ref400900366 \* Lower \h  \* MERGEFORMAT </w:instrText>
      </w:r>
      <w:r w:rsidRPr="005764F6">
        <w:rPr>
          <w:rStyle w:val="AERbody"/>
        </w:rPr>
      </w:r>
      <w:r w:rsidRPr="005764F6">
        <w:rPr>
          <w:rStyle w:val="AERbody"/>
        </w:rPr>
        <w:fldChar w:fldCharType="separate"/>
      </w:r>
      <w:r w:rsidR="007E3457" w:rsidRPr="007E3457">
        <w:rPr>
          <w:rStyle w:val="AERbody"/>
        </w:rPr>
        <w:t>table 4</w:t>
      </w:r>
      <w:r w:rsidR="007E3457" w:rsidRPr="007E3457">
        <w:rPr>
          <w:rStyle w:val="AERbody"/>
        </w:rPr>
        <w:noBreakHyphen/>
        <w:t>3</w:t>
      </w:r>
      <w:r w:rsidRPr="005764F6">
        <w:rPr>
          <w:rStyle w:val="AERbody"/>
        </w:rPr>
        <w:fldChar w:fldCharType="end"/>
      </w:r>
      <w:r w:rsidRPr="005764F6">
        <w:rPr>
          <w:rStyle w:val="AERbody"/>
        </w:rPr>
        <w:t xml:space="preserve"> and </w:t>
      </w:r>
      <w:r w:rsidRPr="005764F6">
        <w:rPr>
          <w:rStyle w:val="AERbody"/>
        </w:rPr>
        <w:fldChar w:fldCharType="begin"/>
      </w:r>
      <w:r w:rsidRPr="005764F6">
        <w:rPr>
          <w:rStyle w:val="AERbody"/>
        </w:rPr>
        <w:instrText xml:space="preserve"> REF  _Ref404072148 \* Lower \h  \* MERGEFORMAT </w:instrText>
      </w:r>
      <w:r w:rsidRPr="005764F6">
        <w:rPr>
          <w:rStyle w:val="AERbody"/>
        </w:rPr>
      </w:r>
      <w:r w:rsidRPr="005764F6">
        <w:rPr>
          <w:rStyle w:val="AERbody"/>
        </w:rPr>
        <w:fldChar w:fldCharType="separate"/>
      </w:r>
      <w:r w:rsidR="007E3457" w:rsidRPr="007E3457">
        <w:rPr>
          <w:rStyle w:val="AERbody"/>
        </w:rPr>
        <w:t>table 4</w:t>
      </w:r>
      <w:r w:rsidR="007E3457" w:rsidRPr="007E3457">
        <w:rPr>
          <w:rStyle w:val="AERbody"/>
        </w:rPr>
        <w:noBreakHyphen/>
        <w:t>4</w:t>
      </w:r>
      <w:r w:rsidRPr="005764F6">
        <w:rPr>
          <w:rStyle w:val="AERbody"/>
        </w:rPr>
        <w:fldChar w:fldCharType="end"/>
      </w:r>
      <w:r w:rsidRPr="005764F6">
        <w:rPr>
          <w:rStyle w:val="AERbody"/>
        </w:rPr>
        <w:t xml:space="preserve"> show estimates of the value of imputation credits that arise from internally consistent evidence from all equity and only listed equity.</w:t>
      </w:r>
      <w:r w:rsidRPr="005942A6">
        <w:rPr>
          <w:rStyle w:val="FootnoteReference"/>
        </w:rPr>
        <w:footnoteReference w:id="110"/>
      </w:r>
      <w:r w:rsidRPr="005764F6">
        <w:rPr>
          <w:rStyle w:val="AERbody"/>
        </w:rPr>
        <w:t xml:space="preserve"> It also shows the estimated value of imputation credits from Lally's </w:t>
      </w:r>
      <w:r>
        <w:rPr>
          <w:rStyle w:val="AERbody"/>
        </w:rPr>
        <w:t>recommended</w:t>
      </w:r>
      <w:r w:rsidRPr="005764F6">
        <w:rPr>
          <w:rStyle w:val="AERbody"/>
        </w:rPr>
        <w:t xml:space="preserve"> approach </w:t>
      </w:r>
      <w:r>
        <w:rPr>
          <w:rStyle w:val="AERbody"/>
        </w:rPr>
        <w:t>(see above)</w:t>
      </w:r>
      <w:r w:rsidRPr="005764F6">
        <w:rPr>
          <w:rStyle w:val="AERbody"/>
        </w:rPr>
        <w:t>. These individual sources of evidence allow us to present estimates to two decimal places. However, we consider it reasonable to determine a value of imputation credits to only one decimal place when determining a single value from across this evidence.</w:t>
      </w:r>
    </w:p>
    <w:p w:rsidR="00C52695" w:rsidRPr="00883125" w:rsidRDefault="00C52695" w:rsidP="00C52695">
      <w:pPr>
        <w:pStyle w:val="Caption"/>
      </w:pPr>
      <w:bookmarkStart w:id="97" w:name="_Ref400900366"/>
      <w:bookmarkStart w:id="98" w:name="_Ref400900335"/>
      <w:r w:rsidRPr="00883125">
        <w:t xml:space="preserve">Table </w:t>
      </w:r>
      <w:r w:rsidRPr="001D37D5">
        <w:fldChar w:fldCharType="begin"/>
      </w:r>
      <w:r>
        <w:instrText xml:space="preserve"> STYLEREF 1 \s </w:instrText>
      </w:r>
      <w:r w:rsidRPr="001D37D5">
        <w:fldChar w:fldCharType="separate"/>
      </w:r>
      <w:r w:rsidR="007E3457">
        <w:rPr>
          <w:noProof/>
        </w:rPr>
        <w:t>4</w:t>
      </w:r>
      <w:r w:rsidRPr="001D37D5">
        <w:fldChar w:fldCharType="end"/>
      </w:r>
      <w:r>
        <w:noBreakHyphen/>
      </w:r>
      <w:r w:rsidRPr="001D37D5">
        <w:fldChar w:fldCharType="begin"/>
      </w:r>
      <w:r>
        <w:instrText xml:space="preserve"> SEQ Table \* ARABIC \s 1 </w:instrText>
      </w:r>
      <w:r w:rsidRPr="001D37D5">
        <w:fldChar w:fldCharType="separate"/>
      </w:r>
      <w:r w:rsidR="007E3457">
        <w:rPr>
          <w:noProof/>
        </w:rPr>
        <w:t>3</w:t>
      </w:r>
      <w:r w:rsidRPr="001D37D5">
        <w:fldChar w:fldCharType="end"/>
      </w:r>
      <w:bookmarkEnd w:id="97"/>
      <w:r w:rsidRPr="00883125">
        <w:tab/>
        <w:t>Estimates of the value of imputation credits—evidence from all equity</w:t>
      </w:r>
      <w:bookmarkEnd w:id="98"/>
    </w:p>
    <w:tbl>
      <w:tblPr>
        <w:tblStyle w:val="AERtable-numbers"/>
        <w:tblW w:w="0" w:type="auto"/>
        <w:tblLook w:val="04A0" w:firstRow="1" w:lastRow="0" w:firstColumn="1" w:lastColumn="0" w:noHBand="0" w:noVBand="1"/>
      </w:tblPr>
      <w:tblGrid>
        <w:gridCol w:w="3085"/>
        <w:gridCol w:w="2052"/>
        <w:gridCol w:w="2052"/>
        <w:gridCol w:w="2053"/>
      </w:tblGrid>
      <w:tr w:rsidR="00C52695" w:rsidTr="006425B8">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085" w:type="dxa"/>
          </w:tcPr>
          <w:p w:rsidR="00C52695" w:rsidRPr="00883125" w:rsidRDefault="00C52695" w:rsidP="00C52695">
            <w:pPr>
              <w:numPr>
                <w:ilvl w:val="0"/>
                <w:numId w:val="24"/>
              </w:numPr>
            </w:pPr>
            <w:r w:rsidRPr="00883125">
              <w:t xml:space="preserve">Evidence on utilisation </w:t>
            </w:r>
            <w:r>
              <w:t>rate</w:t>
            </w:r>
          </w:p>
        </w:tc>
        <w:tc>
          <w:tcPr>
            <w:tcW w:w="2052" w:type="dxa"/>
          </w:tcPr>
          <w:p w:rsidR="00C52695" w:rsidRPr="00C52695" w:rsidRDefault="00C52695" w:rsidP="00C52695">
            <w:pPr>
              <w:cnfStyle w:val="100000000000" w:firstRow="1" w:lastRow="0" w:firstColumn="0" w:lastColumn="0" w:oddVBand="0" w:evenVBand="0" w:oddHBand="0" w:evenHBand="0" w:firstRowFirstColumn="0" w:firstRowLastColumn="0" w:lastRowFirstColumn="0" w:lastRowLastColumn="0"/>
            </w:pPr>
            <w:r w:rsidRPr="00883125">
              <w:t xml:space="preserve">Utilisation </w:t>
            </w:r>
            <w:r w:rsidRPr="00C52695">
              <w:t>rate</w:t>
            </w:r>
          </w:p>
        </w:tc>
        <w:tc>
          <w:tcPr>
            <w:tcW w:w="2052" w:type="dxa"/>
          </w:tcPr>
          <w:p w:rsidR="00C52695" w:rsidRPr="00C52695" w:rsidRDefault="00C52695" w:rsidP="00C52695">
            <w:pPr>
              <w:cnfStyle w:val="100000000000" w:firstRow="1" w:lastRow="0" w:firstColumn="0" w:lastColumn="0" w:oddVBand="0" w:evenVBand="0" w:oddHBand="0" w:evenHBand="0" w:firstRowFirstColumn="0" w:firstRowLastColumn="0" w:lastRowFirstColumn="0" w:lastRowLastColumn="0"/>
            </w:pPr>
            <w:r w:rsidRPr="00883125">
              <w:t>Distribution</w:t>
            </w:r>
            <w:r w:rsidRPr="00C52695">
              <w:t xml:space="preserve"> rate</w:t>
            </w:r>
          </w:p>
        </w:tc>
        <w:tc>
          <w:tcPr>
            <w:tcW w:w="2053" w:type="dxa"/>
          </w:tcPr>
          <w:p w:rsidR="00C52695" w:rsidRPr="00C52695" w:rsidRDefault="00C52695" w:rsidP="00C52695">
            <w:pPr>
              <w:cnfStyle w:val="100000000000" w:firstRow="1" w:lastRow="0" w:firstColumn="0" w:lastColumn="0" w:oddVBand="0" w:evenVBand="0" w:oddHBand="0" w:evenHBand="0" w:firstRowFirstColumn="0" w:firstRowLastColumn="0" w:lastRowFirstColumn="0" w:lastRowLastColumn="0"/>
            </w:pPr>
            <w:r w:rsidRPr="00883125">
              <w:t>Value of Imputation Credits</w:t>
            </w:r>
          </w:p>
        </w:tc>
      </w:tr>
      <w:tr w:rsidR="00C52695" w:rsidTr="006425B8">
        <w:trPr>
          <w:cantSplit/>
        </w:trPr>
        <w:tc>
          <w:tcPr>
            <w:cnfStyle w:val="001000000000" w:firstRow="0" w:lastRow="0" w:firstColumn="1" w:lastColumn="0" w:oddVBand="0" w:evenVBand="0" w:oddHBand="0" w:evenHBand="0" w:firstRowFirstColumn="0" w:firstRowLastColumn="0" w:lastRowFirstColumn="0" w:lastRowLastColumn="0"/>
            <w:tcW w:w="3085" w:type="dxa"/>
          </w:tcPr>
          <w:p w:rsidR="00C52695" w:rsidRPr="00883125" w:rsidRDefault="00C52695" w:rsidP="00C52695">
            <w:pPr>
              <w:numPr>
                <w:ilvl w:val="0"/>
                <w:numId w:val="24"/>
              </w:numPr>
            </w:pPr>
            <w:r w:rsidRPr="00883125">
              <w:t>Equity ownership approach</w:t>
            </w:r>
          </w:p>
        </w:tc>
        <w:tc>
          <w:tcPr>
            <w:tcW w:w="2052" w:type="dxa"/>
          </w:tcPr>
          <w:p w:rsidR="00C52695" w:rsidRPr="00C52695" w:rsidRDefault="00C52695" w:rsidP="00C52695">
            <w:pPr>
              <w:cnfStyle w:val="000000000000" w:firstRow="0" w:lastRow="0" w:firstColumn="0" w:lastColumn="0" w:oddVBand="0" w:evenVBand="0" w:oddHBand="0" w:evenHBand="0" w:firstRowFirstColumn="0" w:firstRowLastColumn="0" w:lastRowFirstColumn="0" w:lastRowLastColumn="0"/>
            </w:pPr>
            <w:r w:rsidRPr="00883125">
              <w:t>0.56 to 0.68</w:t>
            </w:r>
          </w:p>
        </w:tc>
        <w:tc>
          <w:tcPr>
            <w:tcW w:w="2052" w:type="dxa"/>
          </w:tcPr>
          <w:p w:rsidR="00C52695" w:rsidRPr="00883125" w:rsidRDefault="00C52695" w:rsidP="00C52695">
            <w:pPr>
              <w:numPr>
                <w:ilvl w:val="0"/>
                <w:numId w:val="24"/>
              </w:numPr>
              <w:cnfStyle w:val="000000000000" w:firstRow="0" w:lastRow="0" w:firstColumn="0" w:lastColumn="0" w:oddVBand="0" w:evenVBand="0" w:oddHBand="0" w:evenHBand="0" w:firstRowFirstColumn="0" w:firstRowLastColumn="0" w:lastRowFirstColumn="0" w:lastRowLastColumn="0"/>
            </w:pPr>
            <w:r w:rsidRPr="00883125">
              <w:t>0.7</w:t>
            </w:r>
          </w:p>
        </w:tc>
        <w:tc>
          <w:tcPr>
            <w:tcW w:w="2053" w:type="dxa"/>
          </w:tcPr>
          <w:p w:rsidR="00C52695" w:rsidRPr="00883125" w:rsidRDefault="00C52695" w:rsidP="00C52695">
            <w:pPr>
              <w:numPr>
                <w:ilvl w:val="0"/>
                <w:numId w:val="24"/>
              </w:numPr>
              <w:cnfStyle w:val="000000000000" w:firstRow="0" w:lastRow="0" w:firstColumn="0" w:lastColumn="0" w:oddVBand="0" w:evenVBand="0" w:oddHBand="0" w:evenHBand="0" w:firstRowFirstColumn="0" w:firstRowLastColumn="0" w:lastRowFirstColumn="0" w:lastRowLastColumn="0"/>
            </w:pPr>
            <w:r w:rsidRPr="00883125">
              <w:t>0.40 to 0.47</w:t>
            </w:r>
          </w:p>
        </w:tc>
      </w:tr>
      <w:tr w:rsidR="00C52695" w:rsidTr="006425B8">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085" w:type="dxa"/>
          </w:tcPr>
          <w:p w:rsidR="00C52695" w:rsidRPr="00C52695" w:rsidRDefault="00C52695" w:rsidP="00C52695">
            <w:r w:rsidRPr="000C3267">
              <w:t xml:space="preserve">Equity ownership approach (Lally recommended distribution </w:t>
            </w:r>
            <w:r w:rsidRPr="00C52695">
              <w:t>rate)</w:t>
            </w:r>
          </w:p>
        </w:tc>
        <w:tc>
          <w:tcPr>
            <w:tcW w:w="2052" w:type="dxa"/>
          </w:tcPr>
          <w:p w:rsidR="00C52695" w:rsidRPr="00C52695" w:rsidRDefault="00C52695" w:rsidP="00C52695">
            <w:pPr>
              <w:cnfStyle w:val="000000010000" w:firstRow="0" w:lastRow="0" w:firstColumn="0" w:lastColumn="0" w:oddVBand="0" w:evenVBand="0" w:oddHBand="0" w:evenHBand="1" w:firstRowFirstColumn="0" w:firstRowLastColumn="0" w:lastRowFirstColumn="0" w:lastRowLastColumn="0"/>
            </w:pPr>
            <w:r w:rsidRPr="000C3267">
              <w:t>0.56 to 0.68</w:t>
            </w:r>
            <w:r w:rsidR="00BC11CF">
              <w:rPr>
                <w:rStyle w:val="FootnoteReference"/>
              </w:rPr>
              <w:footnoteReference w:id="111"/>
            </w:r>
          </w:p>
        </w:tc>
        <w:tc>
          <w:tcPr>
            <w:tcW w:w="2052" w:type="dxa"/>
          </w:tcPr>
          <w:p w:rsidR="00C52695" w:rsidRPr="00C52695" w:rsidRDefault="00C52695" w:rsidP="00C52695">
            <w:pPr>
              <w:cnfStyle w:val="000000010000" w:firstRow="0" w:lastRow="0" w:firstColumn="0" w:lastColumn="0" w:oddVBand="0" w:evenVBand="0" w:oddHBand="0" w:evenHBand="1" w:firstRowFirstColumn="0" w:firstRowLastColumn="0" w:lastRowFirstColumn="0" w:lastRowLastColumn="0"/>
            </w:pPr>
            <w:r w:rsidRPr="000C3267">
              <w:t>0.8</w:t>
            </w:r>
            <w:r w:rsidRPr="00C52695">
              <w:t>3</w:t>
            </w:r>
          </w:p>
        </w:tc>
        <w:tc>
          <w:tcPr>
            <w:tcW w:w="2053" w:type="dxa"/>
          </w:tcPr>
          <w:p w:rsidR="00C52695" w:rsidRPr="00C52695" w:rsidRDefault="00C52695" w:rsidP="00C52695">
            <w:pPr>
              <w:cnfStyle w:val="000000010000" w:firstRow="0" w:lastRow="0" w:firstColumn="0" w:lastColumn="0" w:oddVBand="0" w:evenVBand="0" w:oddHBand="0" w:evenHBand="1" w:firstRowFirstColumn="0" w:firstRowLastColumn="0" w:lastRowFirstColumn="0" w:lastRowLastColumn="0"/>
            </w:pPr>
            <w:r w:rsidRPr="000C3267">
              <w:t>0.4</w:t>
            </w:r>
            <w:r w:rsidRPr="00C52695">
              <w:t>6 to 0.56</w:t>
            </w:r>
            <w:r w:rsidRPr="00C52695">
              <w:rPr>
                <w:rStyle w:val="FootnoteReference"/>
              </w:rPr>
              <w:footnoteReference w:id="112"/>
            </w:r>
          </w:p>
        </w:tc>
      </w:tr>
      <w:tr w:rsidR="00C52695" w:rsidTr="006425B8">
        <w:trPr>
          <w:cantSplit/>
        </w:trPr>
        <w:tc>
          <w:tcPr>
            <w:cnfStyle w:val="001000000000" w:firstRow="0" w:lastRow="0" w:firstColumn="1" w:lastColumn="0" w:oddVBand="0" w:evenVBand="0" w:oddHBand="0" w:evenHBand="0" w:firstRowFirstColumn="0" w:firstRowLastColumn="0" w:lastRowFirstColumn="0" w:lastRowLastColumn="0"/>
            <w:tcW w:w="3085" w:type="dxa"/>
          </w:tcPr>
          <w:p w:rsidR="00C52695" w:rsidRPr="00883125" w:rsidRDefault="00C52695" w:rsidP="00C52695">
            <w:pPr>
              <w:numPr>
                <w:ilvl w:val="0"/>
                <w:numId w:val="24"/>
              </w:numPr>
            </w:pPr>
            <w:r w:rsidRPr="00883125">
              <w:t>Tax statistics</w:t>
            </w:r>
          </w:p>
        </w:tc>
        <w:tc>
          <w:tcPr>
            <w:tcW w:w="2052" w:type="dxa"/>
          </w:tcPr>
          <w:p w:rsidR="00C52695" w:rsidRPr="00C52695" w:rsidRDefault="00C52695" w:rsidP="00C52695">
            <w:pPr>
              <w:cnfStyle w:val="000000000000" w:firstRow="0" w:lastRow="0" w:firstColumn="0" w:lastColumn="0" w:oddVBand="0" w:evenVBand="0" w:oddHBand="0" w:evenHBand="0" w:firstRowFirstColumn="0" w:firstRowLastColumn="0" w:lastRowFirstColumn="0" w:lastRowLastColumn="0"/>
            </w:pPr>
            <w:r w:rsidRPr="00883125">
              <w:t>0.48</w:t>
            </w:r>
          </w:p>
        </w:tc>
        <w:tc>
          <w:tcPr>
            <w:tcW w:w="2052" w:type="dxa"/>
          </w:tcPr>
          <w:p w:rsidR="00C52695" w:rsidRPr="00C52695" w:rsidRDefault="00C52695" w:rsidP="00C52695">
            <w:pPr>
              <w:cnfStyle w:val="000000000000" w:firstRow="0" w:lastRow="0" w:firstColumn="0" w:lastColumn="0" w:oddVBand="0" w:evenVBand="0" w:oddHBand="0" w:evenHBand="0" w:firstRowFirstColumn="0" w:firstRowLastColumn="0" w:lastRowFirstColumn="0" w:lastRowLastColumn="0"/>
            </w:pPr>
            <w:r w:rsidRPr="00883125">
              <w:t>0.7</w:t>
            </w:r>
          </w:p>
        </w:tc>
        <w:tc>
          <w:tcPr>
            <w:tcW w:w="2053" w:type="dxa"/>
          </w:tcPr>
          <w:p w:rsidR="00C52695" w:rsidRPr="00C52695" w:rsidRDefault="00C52695" w:rsidP="00C52695">
            <w:pPr>
              <w:cnfStyle w:val="000000000000" w:firstRow="0" w:lastRow="0" w:firstColumn="0" w:lastColumn="0" w:oddVBand="0" w:evenVBand="0" w:oddHBand="0" w:evenHBand="0" w:firstRowFirstColumn="0" w:firstRowLastColumn="0" w:lastRowFirstColumn="0" w:lastRowLastColumn="0"/>
            </w:pPr>
            <w:r w:rsidRPr="00883125">
              <w:t>0.34</w:t>
            </w:r>
          </w:p>
        </w:tc>
      </w:tr>
      <w:tr w:rsidR="00C52695" w:rsidTr="006425B8">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085" w:type="dxa"/>
          </w:tcPr>
          <w:p w:rsidR="00C52695" w:rsidRPr="00883125" w:rsidRDefault="00C52695" w:rsidP="00C52695">
            <w:pPr>
              <w:numPr>
                <w:ilvl w:val="0"/>
                <w:numId w:val="24"/>
              </w:numPr>
            </w:pPr>
            <w:r w:rsidRPr="00883125">
              <w:t>Tax statistics</w:t>
            </w:r>
            <w:r>
              <w:t xml:space="preserve"> (Lally recommended distribution rate)</w:t>
            </w:r>
          </w:p>
        </w:tc>
        <w:tc>
          <w:tcPr>
            <w:tcW w:w="2052" w:type="dxa"/>
          </w:tcPr>
          <w:p w:rsidR="00C52695" w:rsidRPr="00C52695" w:rsidRDefault="00C52695" w:rsidP="00C52695">
            <w:pPr>
              <w:cnfStyle w:val="000000010000" w:firstRow="0" w:lastRow="0" w:firstColumn="0" w:lastColumn="0" w:oddVBand="0" w:evenVBand="0" w:oddHBand="0" w:evenHBand="1" w:firstRowFirstColumn="0" w:firstRowLastColumn="0" w:lastRowFirstColumn="0" w:lastRowLastColumn="0"/>
            </w:pPr>
            <w:r w:rsidRPr="00883125">
              <w:t>0.48</w:t>
            </w:r>
          </w:p>
        </w:tc>
        <w:tc>
          <w:tcPr>
            <w:tcW w:w="2052" w:type="dxa"/>
          </w:tcPr>
          <w:p w:rsidR="00C52695" w:rsidRPr="00C52695" w:rsidRDefault="00C52695" w:rsidP="00C52695">
            <w:pPr>
              <w:cnfStyle w:val="000000010000" w:firstRow="0" w:lastRow="0" w:firstColumn="0" w:lastColumn="0" w:oddVBand="0" w:evenVBand="0" w:oddHBand="0" w:evenHBand="1" w:firstRowFirstColumn="0" w:firstRowLastColumn="0" w:lastRowFirstColumn="0" w:lastRowLastColumn="0"/>
            </w:pPr>
            <w:r>
              <w:t>0.83</w:t>
            </w:r>
          </w:p>
        </w:tc>
        <w:tc>
          <w:tcPr>
            <w:tcW w:w="2053" w:type="dxa"/>
          </w:tcPr>
          <w:p w:rsidR="00C52695" w:rsidRPr="00C52695" w:rsidRDefault="00C52695" w:rsidP="00C52695">
            <w:pPr>
              <w:cnfStyle w:val="000000010000" w:firstRow="0" w:lastRow="0" w:firstColumn="0" w:lastColumn="0" w:oddVBand="0" w:evenVBand="0" w:oddHBand="0" w:evenHBand="1" w:firstRowFirstColumn="0" w:firstRowLastColumn="0" w:lastRowFirstColumn="0" w:lastRowLastColumn="0"/>
            </w:pPr>
            <w:r>
              <w:t>0.40</w:t>
            </w:r>
          </w:p>
        </w:tc>
      </w:tr>
    </w:tbl>
    <w:p w:rsidR="00C52695" w:rsidRPr="00883125" w:rsidRDefault="00C52695" w:rsidP="00C52695">
      <w:pPr>
        <w:pStyle w:val="AERtablesource"/>
      </w:pPr>
      <w:r w:rsidRPr="00883125">
        <w:t>Source:</w:t>
      </w:r>
      <w:r w:rsidRPr="00883125">
        <w:tab/>
        <w:t>AER analysis</w:t>
      </w:r>
      <w:r>
        <w:t xml:space="preserve">; </w:t>
      </w:r>
      <w:r w:rsidRPr="00712BC2">
        <w:t xml:space="preserve">Lally, </w:t>
      </w:r>
      <w:r>
        <w:rPr>
          <w:rStyle w:val="AERtextitalic"/>
        </w:rPr>
        <w:t>Gamma and the ACT Decision</w:t>
      </w:r>
      <w:r>
        <w:t>, May 2016, p. 6</w:t>
      </w:r>
      <w:r w:rsidRPr="00883125">
        <w:t>.</w:t>
      </w:r>
      <w:bookmarkStart w:id="99" w:name="_Ref400900373"/>
    </w:p>
    <w:p w:rsidR="00C52695" w:rsidRPr="00883125" w:rsidRDefault="00C52695" w:rsidP="00C52695">
      <w:pPr>
        <w:pStyle w:val="Caption"/>
      </w:pPr>
      <w:bookmarkStart w:id="100" w:name="_Ref404072148"/>
      <w:r w:rsidRPr="00883125">
        <w:t xml:space="preserve">Table </w:t>
      </w:r>
      <w:r w:rsidRPr="001D37D5">
        <w:fldChar w:fldCharType="begin"/>
      </w:r>
      <w:r>
        <w:instrText xml:space="preserve"> STYLEREF 1 \s </w:instrText>
      </w:r>
      <w:r w:rsidRPr="001D37D5">
        <w:fldChar w:fldCharType="separate"/>
      </w:r>
      <w:r w:rsidR="007E3457">
        <w:rPr>
          <w:noProof/>
        </w:rPr>
        <w:t>4</w:t>
      </w:r>
      <w:r w:rsidRPr="001D37D5">
        <w:fldChar w:fldCharType="end"/>
      </w:r>
      <w:r>
        <w:noBreakHyphen/>
      </w:r>
      <w:r w:rsidRPr="001D37D5">
        <w:fldChar w:fldCharType="begin"/>
      </w:r>
      <w:r>
        <w:instrText xml:space="preserve"> SEQ Table \* ARABIC \s 1 </w:instrText>
      </w:r>
      <w:r w:rsidRPr="001D37D5">
        <w:fldChar w:fldCharType="separate"/>
      </w:r>
      <w:r w:rsidR="007E3457">
        <w:rPr>
          <w:noProof/>
        </w:rPr>
        <w:t>4</w:t>
      </w:r>
      <w:r w:rsidRPr="001D37D5">
        <w:fldChar w:fldCharType="end"/>
      </w:r>
      <w:bookmarkEnd w:id="99"/>
      <w:bookmarkEnd w:id="100"/>
      <w:r w:rsidRPr="00883125">
        <w:tab/>
        <w:t>Estimates of the value of imputation credits—evidence from listed equity</w:t>
      </w:r>
    </w:p>
    <w:tbl>
      <w:tblPr>
        <w:tblStyle w:val="AERtable-numbers"/>
        <w:tblW w:w="0" w:type="auto"/>
        <w:tblLook w:val="04A0" w:firstRow="1" w:lastRow="0" w:firstColumn="1" w:lastColumn="0" w:noHBand="0" w:noVBand="1"/>
      </w:tblPr>
      <w:tblGrid>
        <w:gridCol w:w="2802"/>
        <w:gridCol w:w="2146"/>
        <w:gridCol w:w="2147"/>
        <w:gridCol w:w="2147"/>
      </w:tblGrid>
      <w:tr w:rsidR="00C52695" w:rsidTr="006425B8">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802" w:type="dxa"/>
          </w:tcPr>
          <w:p w:rsidR="00C52695" w:rsidRPr="00883125" w:rsidRDefault="00C52695" w:rsidP="00C52695">
            <w:pPr>
              <w:numPr>
                <w:ilvl w:val="0"/>
                <w:numId w:val="24"/>
              </w:numPr>
            </w:pPr>
            <w:r w:rsidRPr="00883125">
              <w:t xml:space="preserve">Evidence on utilisation </w:t>
            </w:r>
            <w:r>
              <w:t>rate</w:t>
            </w:r>
          </w:p>
        </w:tc>
        <w:tc>
          <w:tcPr>
            <w:tcW w:w="2146" w:type="dxa"/>
          </w:tcPr>
          <w:p w:rsidR="00C52695" w:rsidRPr="00883125" w:rsidRDefault="00C52695" w:rsidP="00C52695">
            <w:pPr>
              <w:numPr>
                <w:ilvl w:val="0"/>
                <w:numId w:val="24"/>
              </w:numPr>
              <w:cnfStyle w:val="100000000000" w:firstRow="1" w:lastRow="0" w:firstColumn="0" w:lastColumn="0" w:oddVBand="0" w:evenVBand="0" w:oddHBand="0" w:evenHBand="0" w:firstRowFirstColumn="0" w:firstRowLastColumn="0" w:lastRowFirstColumn="0" w:lastRowLastColumn="0"/>
            </w:pPr>
            <w:r w:rsidRPr="00883125">
              <w:t xml:space="preserve">Utilisation </w:t>
            </w:r>
            <w:r>
              <w:t>rate</w:t>
            </w:r>
          </w:p>
        </w:tc>
        <w:tc>
          <w:tcPr>
            <w:tcW w:w="2147" w:type="dxa"/>
          </w:tcPr>
          <w:p w:rsidR="00C52695" w:rsidRPr="00883125" w:rsidRDefault="00C52695" w:rsidP="00C52695">
            <w:pPr>
              <w:numPr>
                <w:ilvl w:val="0"/>
                <w:numId w:val="24"/>
              </w:numPr>
              <w:cnfStyle w:val="100000000000" w:firstRow="1" w:lastRow="0" w:firstColumn="0" w:lastColumn="0" w:oddVBand="0" w:evenVBand="0" w:oddHBand="0" w:evenHBand="0" w:firstRowFirstColumn="0" w:firstRowLastColumn="0" w:lastRowFirstColumn="0" w:lastRowLastColumn="0"/>
            </w:pPr>
            <w:r w:rsidRPr="00883125">
              <w:t>Distribution rate</w:t>
            </w:r>
          </w:p>
        </w:tc>
        <w:tc>
          <w:tcPr>
            <w:tcW w:w="2147" w:type="dxa"/>
          </w:tcPr>
          <w:p w:rsidR="00C52695" w:rsidRPr="00883125" w:rsidRDefault="00C52695" w:rsidP="00C52695">
            <w:pPr>
              <w:numPr>
                <w:ilvl w:val="0"/>
                <w:numId w:val="24"/>
              </w:numPr>
              <w:cnfStyle w:val="100000000000" w:firstRow="1" w:lastRow="0" w:firstColumn="0" w:lastColumn="0" w:oddVBand="0" w:evenVBand="0" w:oddHBand="0" w:evenHBand="0" w:firstRowFirstColumn="0" w:firstRowLastColumn="0" w:lastRowFirstColumn="0" w:lastRowLastColumn="0"/>
            </w:pPr>
            <w:r w:rsidRPr="00883125">
              <w:t>Value of Imputation Credits</w:t>
            </w:r>
          </w:p>
        </w:tc>
      </w:tr>
      <w:tr w:rsidR="00C52695" w:rsidTr="006425B8">
        <w:trPr>
          <w:cantSplit/>
        </w:trPr>
        <w:tc>
          <w:tcPr>
            <w:cnfStyle w:val="001000000000" w:firstRow="0" w:lastRow="0" w:firstColumn="1" w:lastColumn="0" w:oddVBand="0" w:evenVBand="0" w:oddHBand="0" w:evenHBand="0" w:firstRowFirstColumn="0" w:firstRowLastColumn="0" w:lastRowFirstColumn="0" w:lastRowLastColumn="0"/>
            <w:tcW w:w="2802" w:type="dxa"/>
          </w:tcPr>
          <w:p w:rsidR="00C52695" w:rsidRPr="00883125" w:rsidRDefault="00C52695" w:rsidP="00C52695">
            <w:pPr>
              <w:numPr>
                <w:ilvl w:val="0"/>
                <w:numId w:val="24"/>
              </w:numPr>
            </w:pPr>
            <w:r w:rsidRPr="00883125">
              <w:t>Equity ownership approach</w:t>
            </w:r>
          </w:p>
        </w:tc>
        <w:tc>
          <w:tcPr>
            <w:tcW w:w="2146" w:type="dxa"/>
          </w:tcPr>
          <w:p w:rsidR="00C52695" w:rsidRPr="00883125" w:rsidRDefault="00C52695" w:rsidP="00C52695">
            <w:pPr>
              <w:numPr>
                <w:ilvl w:val="0"/>
                <w:numId w:val="24"/>
              </w:numPr>
              <w:cnfStyle w:val="000000000000" w:firstRow="0" w:lastRow="0" w:firstColumn="0" w:lastColumn="0" w:oddVBand="0" w:evenVBand="0" w:oddHBand="0" w:evenHBand="0" w:firstRowFirstColumn="0" w:firstRowLastColumn="0" w:lastRowFirstColumn="0" w:lastRowLastColumn="0"/>
            </w:pPr>
            <w:r w:rsidRPr="00883125">
              <w:t>0.38 to 0.55</w:t>
            </w:r>
          </w:p>
        </w:tc>
        <w:tc>
          <w:tcPr>
            <w:tcW w:w="2147" w:type="dxa"/>
          </w:tcPr>
          <w:p w:rsidR="00C52695" w:rsidRPr="00C52695" w:rsidRDefault="00C52695" w:rsidP="00C52695">
            <w:pPr>
              <w:cnfStyle w:val="000000000000" w:firstRow="0" w:lastRow="0" w:firstColumn="0" w:lastColumn="0" w:oddVBand="0" w:evenVBand="0" w:oddHBand="0" w:evenHBand="0" w:firstRowFirstColumn="0" w:firstRowLastColumn="0" w:lastRowFirstColumn="0" w:lastRowLastColumn="0"/>
            </w:pPr>
            <w:r w:rsidRPr="00883125">
              <w:t>0.75</w:t>
            </w:r>
          </w:p>
        </w:tc>
        <w:tc>
          <w:tcPr>
            <w:tcW w:w="2147" w:type="dxa"/>
          </w:tcPr>
          <w:p w:rsidR="00C52695" w:rsidRPr="00883125" w:rsidRDefault="00C52695" w:rsidP="00C52695">
            <w:pPr>
              <w:numPr>
                <w:ilvl w:val="0"/>
                <w:numId w:val="24"/>
              </w:numPr>
              <w:cnfStyle w:val="000000000000" w:firstRow="0" w:lastRow="0" w:firstColumn="0" w:lastColumn="0" w:oddVBand="0" w:evenVBand="0" w:oddHBand="0" w:evenHBand="0" w:firstRowFirstColumn="0" w:firstRowLastColumn="0" w:lastRowFirstColumn="0" w:lastRowLastColumn="0"/>
            </w:pPr>
            <w:r w:rsidRPr="00883125">
              <w:t>0.28 to 0.41</w:t>
            </w:r>
            <w:r>
              <w:rPr>
                <w:rStyle w:val="AERsuperscript"/>
              </w:rPr>
              <w:t xml:space="preserve"> (a</w:t>
            </w:r>
            <w:r w:rsidRPr="00883125">
              <w:rPr>
                <w:rStyle w:val="AERsuperscript"/>
              </w:rPr>
              <w:t>)</w:t>
            </w:r>
          </w:p>
        </w:tc>
      </w:tr>
      <w:tr w:rsidR="00C52695" w:rsidTr="006425B8">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802" w:type="dxa"/>
            <w:vAlign w:val="top"/>
          </w:tcPr>
          <w:p w:rsidR="00C52695" w:rsidRPr="00C52695" w:rsidRDefault="00C52695" w:rsidP="00C52695">
            <w:r w:rsidRPr="00883125">
              <w:t>Implied market value studies</w:t>
            </w:r>
          </w:p>
          <w:p w:rsidR="00C52695" w:rsidRPr="00C52695" w:rsidRDefault="00C52695" w:rsidP="00C52695">
            <w:pPr>
              <w:rPr>
                <w:rStyle w:val="AERtextitalic"/>
              </w:rPr>
            </w:pPr>
            <w:r w:rsidRPr="00883125">
              <w:rPr>
                <w:rStyle w:val="AERtextitalic"/>
              </w:rPr>
              <w:t>SFG dividend drop off study</w:t>
            </w:r>
          </w:p>
        </w:tc>
        <w:tc>
          <w:tcPr>
            <w:tcW w:w="2146" w:type="dxa"/>
            <w:vAlign w:val="top"/>
          </w:tcPr>
          <w:p w:rsidR="00C52695" w:rsidRPr="00C52695" w:rsidRDefault="00C52695" w:rsidP="00C52695">
            <w:pPr>
              <w:cnfStyle w:val="000000010000" w:firstRow="0" w:lastRow="0" w:firstColumn="0" w:lastColumn="0" w:oddVBand="0" w:evenVBand="0" w:oddHBand="0" w:evenHBand="1" w:firstRowFirstColumn="0" w:firstRowLastColumn="0" w:lastRowFirstColumn="0" w:lastRowLastColumn="0"/>
            </w:pPr>
            <w:r w:rsidRPr="00883125">
              <w:t>0 to 1</w:t>
            </w:r>
          </w:p>
          <w:p w:rsidR="00C52695" w:rsidRPr="00C52695" w:rsidRDefault="00C52695" w:rsidP="00C52695">
            <w:pPr>
              <w:cnfStyle w:val="000000010000" w:firstRow="0" w:lastRow="0" w:firstColumn="0" w:lastColumn="0" w:oddVBand="0" w:evenVBand="0" w:oddHBand="0" w:evenHBand="1" w:firstRowFirstColumn="0" w:firstRowLastColumn="0" w:lastRowFirstColumn="0" w:lastRowLastColumn="0"/>
            </w:pPr>
            <w:r w:rsidRPr="00883125">
              <w:rPr>
                <w:rStyle w:val="AERtextitalic"/>
              </w:rPr>
              <w:t>0.35 (0.4)</w:t>
            </w:r>
            <w:r w:rsidRPr="00C52695">
              <w:rPr>
                <w:rStyle w:val="AERsuperscript"/>
              </w:rPr>
              <w:t>(a)</w:t>
            </w:r>
          </w:p>
        </w:tc>
        <w:tc>
          <w:tcPr>
            <w:tcW w:w="2147" w:type="dxa"/>
            <w:vAlign w:val="top"/>
          </w:tcPr>
          <w:p w:rsidR="00C52695" w:rsidRPr="00C52695" w:rsidRDefault="00C52695" w:rsidP="00C52695">
            <w:pPr>
              <w:cnfStyle w:val="000000010000" w:firstRow="0" w:lastRow="0" w:firstColumn="0" w:lastColumn="0" w:oddVBand="0" w:evenVBand="0" w:oddHBand="0" w:evenHBand="1" w:firstRowFirstColumn="0" w:firstRowLastColumn="0" w:lastRowFirstColumn="0" w:lastRowLastColumn="0"/>
            </w:pPr>
            <w:r w:rsidRPr="00883125">
              <w:t>0.75</w:t>
            </w:r>
          </w:p>
        </w:tc>
        <w:tc>
          <w:tcPr>
            <w:tcW w:w="2147" w:type="dxa"/>
            <w:vAlign w:val="top"/>
          </w:tcPr>
          <w:p w:rsidR="00C52695" w:rsidRPr="00C52695" w:rsidRDefault="00C52695" w:rsidP="00C52695">
            <w:pPr>
              <w:cnfStyle w:val="000000010000" w:firstRow="0" w:lastRow="0" w:firstColumn="0" w:lastColumn="0" w:oddVBand="0" w:evenVBand="0" w:oddHBand="0" w:evenHBand="1" w:firstRowFirstColumn="0" w:firstRowLastColumn="0" w:lastRowFirstColumn="0" w:lastRowLastColumn="0"/>
            </w:pPr>
            <w:r w:rsidRPr="00883125">
              <w:t>0 to 0.75</w:t>
            </w:r>
          </w:p>
          <w:p w:rsidR="00C52695" w:rsidRPr="00C52695" w:rsidRDefault="00C52695" w:rsidP="00C52695">
            <w:pPr>
              <w:cnfStyle w:val="000000010000" w:firstRow="0" w:lastRow="0" w:firstColumn="0" w:lastColumn="0" w:oddVBand="0" w:evenVBand="0" w:oddHBand="0" w:evenHBand="1" w:firstRowFirstColumn="0" w:firstRowLastColumn="0" w:lastRowFirstColumn="0" w:lastRowLastColumn="0"/>
            </w:pPr>
            <w:r w:rsidRPr="00883125">
              <w:rPr>
                <w:rStyle w:val="AERtextitalic"/>
              </w:rPr>
              <w:t xml:space="preserve">0.26 </w:t>
            </w:r>
            <w:r w:rsidRPr="00C52695">
              <w:rPr>
                <w:rStyle w:val="AERtextitalic"/>
              </w:rPr>
              <w:t>(0.30)</w:t>
            </w:r>
            <w:r w:rsidRPr="00C52695">
              <w:rPr>
                <w:rStyle w:val="AERsuperscript"/>
              </w:rPr>
              <w:t>(b)</w:t>
            </w:r>
          </w:p>
        </w:tc>
      </w:tr>
    </w:tbl>
    <w:p w:rsidR="00C52695" w:rsidRPr="00883125" w:rsidRDefault="00C52695" w:rsidP="00C52695">
      <w:pPr>
        <w:pStyle w:val="AERtablesource"/>
      </w:pPr>
      <w:r w:rsidRPr="00883125">
        <w:t>Source:</w:t>
      </w:r>
      <w:r w:rsidRPr="00883125">
        <w:tab/>
        <w:t>AER analysis.</w:t>
      </w:r>
    </w:p>
    <w:p w:rsidR="00C52695" w:rsidRDefault="00C52695" w:rsidP="00C52695">
      <w:pPr>
        <w:pStyle w:val="AERtablesource"/>
      </w:pPr>
      <w:r>
        <w:t>(a)</w:t>
      </w:r>
      <w:r>
        <w:tab/>
        <w:t>We note Lally recommends the utilisation rate from all equity over the utilisation rate from listed equity. However, if his preferred distribution rate was paired with the utilisation rate for listed equity it would give a range for the value of imputation credits of 0.31 to 0.46.</w:t>
      </w:r>
    </w:p>
    <w:p w:rsidR="00C52695" w:rsidRPr="00883125" w:rsidRDefault="00C52695" w:rsidP="00C52695">
      <w:pPr>
        <w:pStyle w:val="AERtablesource"/>
      </w:pPr>
      <w:r w:rsidRPr="00883125">
        <w:t>(</w:t>
      </w:r>
      <w:r>
        <w:t>b</w:t>
      </w:r>
      <w:r w:rsidRPr="00883125">
        <w:t>):</w:t>
      </w:r>
      <w:r w:rsidRPr="00883125">
        <w:tab/>
        <w:t xml:space="preserve">Following the adjustment proposed by Handley and Lally. This adjustment is discussed further in section </w:t>
      </w:r>
      <w:r>
        <w:fldChar w:fldCharType="begin"/>
      </w:r>
      <w:r>
        <w:instrText xml:space="preserve"> REF _Ref415065117 \r \h </w:instrText>
      </w:r>
      <w:r>
        <w:fldChar w:fldCharType="separate"/>
      </w:r>
      <w:r w:rsidR="007E3457">
        <w:t>A.15.4</w:t>
      </w:r>
      <w:r>
        <w:fldChar w:fldCharType="end"/>
      </w:r>
      <w:r w:rsidRPr="00883125">
        <w:t xml:space="preserve">. </w:t>
      </w:r>
    </w:p>
    <w:p w:rsidR="00C52695" w:rsidRPr="005764F6" w:rsidRDefault="00C52695" w:rsidP="00C52695">
      <w:pPr>
        <w:rPr>
          <w:rStyle w:val="AERbody"/>
        </w:rPr>
      </w:pPr>
      <w:r w:rsidRPr="005764F6">
        <w:rPr>
          <w:rStyle w:val="AERbody"/>
        </w:rPr>
        <w:t>Overall, the evidence suggests that a reasonable estimate of the value of imputation credits is within the range 0.3 to 0.5.</w:t>
      </w:r>
      <w:r w:rsidRPr="006D590A">
        <w:rPr>
          <w:rStyle w:val="FootnoteReference"/>
        </w:rPr>
        <w:footnoteReference w:id="113"/>
      </w:r>
      <w:r w:rsidRPr="005764F6">
        <w:rPr>
          <w:rStyle w:val="AERbody"/>
        </w:rPr>
        <w:t xml:space="preserve"> From within these possible ranges, we choose a value for gamma of 0.4 based on the following considerations: </w:t>
      </w:r>
    </w:p>
    <w:p w:rsidR="00C52695" w:rsidRPr="001D37D5" w:rsidRDefault="00C52695" w:rsidP="00C52695">
      <w:pPr>
        <w:pStyle w:val="AERbulletlistfirststyle"/>
      </w:pPr>
      <w:r w:rsidRPr="005764F6">
        <w:t>T</w:t>
      </w:r>
      <w:r w:rsidRPr="001D37D5">
        <w:t>he equity ownership approach, on which we place the most reliance, suggests a value between 0.28 to 0.47 using 'matched' distribution and utilisation rates for all equity and for all listed equity, respectively. This is based on a range of 0.40 and 0.47 when applied to all equity and 0.28 and 0.41 when applied to only all listed equity. The overlap of the different evidence from the equity ownership approach using these 'matched' distribution and utilisation rates suggests a value between 0.40 and 0.41. We also have regard to Lally's recommended approach, which combines the use of an all equity utilisation rate from the equity ownership approach with a distribution rate for listed equity from financial reports of the top 20 listed firms.</w:t>
      </w:r>
    </w:p>
    <w:p w:rsidR="00C52695" w:rsidRPr="001D37D5" w:rsidRDefault="00C52695" w:rsidP="00C52695">
      <w:pPr>
        <w:pStyle w:val="AERbulletlistfirststyle"/>
      </w:pPr>
      <w:r w:rsidRPr="005764F6">
        <w:t>T</w:t>
      </w:r>
      <w:r w:rsidRPr="001D37D5">
        <w:t>he evidence from tax statistics, on which we place less reliance, suggests a value around 0.34 based on a utilisation rate of 0.48 and an economy wide distribution rate of 0.70. This is within the equity ownership approach range of 0.28 to 0.47 using 'matched' data and below the overlap of estimates from listed and all equity of 0.40 to 0.41. The taxation data also suggests a value around 0.40 based on a utilisation rate of 0.48 and Lally's preferred distribution rate for a benchmark efficient entity of 0.83.</w:t>
      </w:r>
    </w:p>
    <w:p w:rsidR="00C52695" w:rsidRPr="001D37D5" w:rsidRDefault="00C52695" w:rsidP="00C52695">
      <w:pPr>
        <w:pStyle w:val="AERbulletlistfirststyle"/>
      </w:pPr>
      <w:r w:rsidRPr="005764F6">
        <w:t>The evidence from implied market value studies, on which we place even less reliance, suggests a value between 0 and 0.75. In particular, SFG's dividend drop off study</w:t>
      </w:r>
      <w:r w:rsidRPr="001D37D5" w:rsidDel="000467B0">
        <w:t xml:space="preserve"> </w:t>
      </w:r>
      <w:r w:rsidRPr="001D37D5">
        <w:t>suggests a value of 0.26 or 0.30. This is around the bottom end of the 'matched' equity ownership approach range of 0.28 to 0.47, below the overlap of 0.40 to 0.41, and well below Lally's recommended gamma estimate of at least 0.5. Evidence from implied market value studies more generally suggests the value could be higher than 0.5 or lower than 0.28.</w:t>
      </w:r>
    </w:p>
    <w:p w:rsidR="00C52695" w:rsidRPr="005764F6" w:rsidRDefault="00C52695" w:rsidP="00C52695">
      <w:pPr>
        <w:rPr>
          <w:rStyle w:val="AERbody"/>
        </w:rPr>
      </w:pPr>
      <w:r w:rsidRPr="005764F6">
        <w:rPr>
          <w:rStyle w:val="AERbody"/>
        </w:rPr>
        <w:t xml:space="preserve">On balance, we have considered it appropriate to continue to apply a value of imputation credits of 0.4 in this </w:t>
      </w:r>
      <w:r w:rsidR="00AB2F1E">
        <w:rPr>
          <w:rStyle w:val="AERbody"/>
        </w:rPr>
        <w:t>draft</w:t>
      </w:r>
      <w:r w:rsidR="00C4634F">
        <w:rPr>
          <w:rStyle w:val="AERbody"/>
        </w:rPr>
        <w:t xml:space="preserve"> </w:t>
      </w:r>
      <w:r w:rsidRPr="005764F6">
        <w:rPr>
          <w:rStyle w:val="AERbody"/>
        </w:rPr>
        <w:t>decision. We note this is within the range of the overlap if 'matched' utilisation rates and distribution rates for all equity and all listed equity are used (0.40 to 0.41). This is also at the bottom of the range for the paired values from all equity using a distribution rate of 0.7 (range of 0.40 to 0.47). We consider this estimate satisfies the requirements in the NER/NGR.</w:t>
      </w:r>
    </w:p>
    <w:p w:rsidR="00C52695" w:rsidRPr="005764F6" w:rsidRDefault="00C52695" w:rsidP="00C52695">
      <w:pPr>
        <w:rPr>
          <w:rStyle w:val="AERbody"/>
        </w:rPr>
      </w:pPr>
      <w:r w:rsidRPr="005764F6">
        <w:rPr>
          <w:rStyle w:val="AERbody"/>
        </w:rPr>
        <w:t>We consider a gamma value of 0.4 remains appropriate despite Lally's recent advice indicating this might be too low an</w:t>
      </w:r>
      <w:r w:rsidRPr="009C7A7F">
        <w:rPr>
          <w:rStyle w:val="AERbody"/>
        </w:rPr>
        <w:t>d recommending a value of a</w:t>
      </w:r>
      <w:r>
        <w:rPr>
          <w:rStyle w:val="AERbody"/>
        </w:rPr>
        <w:t>t least</w:t>
      </w:r>
      <w:r w:rsidRPr="005764F6">
        <w:rPr>
          <w:rStyle w:val="AERbody"/>
        </w:rPr>
        <w:t xml:space="preserve"> 0.5.</w:t>
      </w:r>
      <w:r w:rsidR="00C4634F">
        <w:rPr>
          <w:rStyle w:val="FootnoteReference"/>
        </w:rPr>
        <w:footnoteReference w:id="114"/>
      </w:r>
      <w:r w:rsidRPr="005764F6">
        <w:rPr>
          <w:rStyle w:val="AERbody"/>
        </w:rPr>
        <w:t xml:space="preserve"> In maintaining the use of a gamma value of 0.4 we have given particular consideration to the desirability of regulatory certainty and predictability. We also note we have used a value of 0.4 for all decisions released in 2015 and </w:t>
      </w:r>
      <w:r>
        <w:rPr>
          <w:rStyle w:val="AERbody"/>
        </w:rPr>
        <w:t>2016</w:t>
      </w:r>
      <w:r w:rsidRPr="005764F6">
        <w:rPr>
          <w:rStyle w:val="AERbody"/>
        </w:rPr>
        <w:t xml:space="preserve">. Given these considerations, we would be reluctant to depart from the value of 0.4 used in our </w:t>
      </w:r>
      <w:r>
        <w:rPr>
          <w:rStyle w:val="AERbody"/>
        </w:rPr>
        <w:t>recent</w:t>
      </w:r>
      <w:r w:rsidRPr="005764F6">
        <w:rPr>
          <w:rStyle w:val="AERbody"/>
        </w:rPr>
        <w:t xml:space="preserve"> decision</w:t>
      </w:r>
      <w:r>
        <w:rPr>
          <w:rStyle w:val="AERbody"/>
        </w:rPr>
        <w:t>s</w:t>
      </w:r>
      <w:r w:rsidRPr="005764F6">
        <w:rPr>
          <w:rStyle w:val="AERbody"/>
        </w:rPr>
        <w:t xml:space="preserve"> without broad stakeholder consultation. We also </w:t>
      </w:r>
      <w:r w:rsidR="008D6237">
        <w:rPr>
          <w:rStyle w:val="AERbody"/>
        </w:rPr>
        <w:t>remain of the view</w:t>
      </w:r>
      <w:r w:rsidRPr="005764F6">
        <w:rPr>
          <w:rStyle w:val="AERbody"/>
        </w:rPr>
        <w:t xml:space="preserve"> Lally's </w:t>
      </w:r>
      <w:r w:rsidR="008D6237">
        <w:rPr>
          <w:rStyle w:val="AERbody"/>
        </w:rPr>
        <w:t>advice does not indicate</w:t>
      </w:r>
      <w:r w:rsidRPr="005764F6">
        <w:rPr>
          <w:rStyle w:val="AERbody"/>
        </w:rPr>
        <w:t xml:space="preserve"> 0.4 is not open to us to choose when exercising our regulatory discretion.</w:t>
      </w:r>
    </w:p>
    <w:p w:rsidR="00C52695" w:rsidRPr="005764F6" w:rsidRDefault="00C52695" w:rsidP="00C52695">
      <w:pPr>
        <w:rPr>
          <w:rStyle w:val="AERbody"/>
        </w:rPr>
      </w:pPr>
      <w:r w:rsidRPr="005764F6">
        <w:rPr>
          <w:rStyle w:val="AERbody"/>
        </w:rPr>
        <w:t>Therefore, we remain of the view that our choice of 0.4 gives appropriate regard to the relative merits of the equity ownership approach, tax statistics and implied market value studies (in particular, SFG’s evidence).</w:t>
      </w:r>
    </w:p>
    <w:p w:rsidR="00C52695" w:rsidRPr="005764F6" w:rsidRDefault="00C52695" w:rsidP="00C52695">
      <w:pPr>
        <w:rPr>
          <w:rStyle w:val="AERbody"/>
        </w:rPr>
      </w:pPr>
      <w:r w:rsidRPr="005764F6">
        <w:rPr>
          <w:rStyle w:val="AERbody"/>
        </w:rPr>
        <w:t xml:space="preserve">In section </w:t>
      </w:r>
      <w:r w:rsidRPr="005764F6">
        <w:rPr>
          <w:rStyle w:val="AERbody"/>
        </w:rPr>
        <w:fldChar w:fldCharType="begin"/>
      </w:r>
      <w:r w:rsidRPr="005764F6">
        <w:rPr>
          <w:rStyle w:val="AERbody"/>
        </w:rPr>
        <w:instrText xml:space="preserve"> REF _Ref415048973 \r \h </w:instrText>
      </w:r>
      <w:r>
        <w:rPr>
          <w:rStyle w:val="AERbody"/>
        </w:rPr>
        <w:instrText xml:space="preserve"> \* MERGEFORMAT </w:instrText>
      </w:r>
      <w:r w:rsidRPr="005764F6">
        <w:rPr>
          <w:rStyle w:val="AERbody"/>
        </w:rPr>
      </w:r>
      <w:r w:rsidRPr="005764F6">
        <w:rPr>
          <w:rStyle w:val="AERbody"/>
        </w:rPr>
        <w:fldChar w:fldCharType="separate"/>
      </w:r>
      <w:r w:rsidR="007E3457">
        <w:rPr>
          <w:rStyle w:val="AERbody"/>
        </w:rPr>
        <w:t>4.3.6</w:t>
      </w:r>
      <w:r w:rsidRPr="005764F6">
        <w:rPr>
          <w:rStyle w:val="AERbody"/>
        </w:rPr>
        <w:fldChar w:fldCharType="end"/>
      </w:r>
      <w:r w:rsidRPr="005764F6">
        <w:rPr>
          <w:rStyle w:val="AERbody"/>
        </w:rPr>
        <w:t xml:space="preserve"> (and in appendix A), we describe the sources of the estimates in </w:t>
      </w:r>
      <w:r w:rsidRPr="005764F6">
        <w:rPr>
          <w:rStyle w:val="AERbody"/>
        </w:rPr>
        <w:fldChar w:fldCharType="begin"/>
      </w:r>
      <w:r w:rsidRPr="005764F6">
        <w:rPr>
          <w:rStyle w:val="AERbody"/>
        </w:rPr>
        <w:instrText xml:space="preserve"> REF  _Ref400900366 \* Lower \h  \* MERGEFORMAT </w:instrText>
      </w:r>
      <w:r w:rsidRPr="005764F6">
        <w:rPr>
          <w:rStyle w:val="AERbody"/>
        </w:rPr>
      </w:r>
      <w:r w:rsidRPr="005764F6">
        <w:rPr>
          <w:rStyle w:val="AERbody"/>
        </w:rPr>
        <w:fldChar w:fldCharType="separate"/>
      </w:r>
      <w:r w:rsidR="007E3457" w:rsidRPr="007E3457">
        <w:rPr>
          <w:rStyle w:val="AERbody"/>
        </w:rPr>
        <w:t>table 4</w:t>
      </w:r>
      <w:r w:rsidR="007E3457" w:rsidRPr="007E3457">
        <w:rPr>
          <w:rStyle w:val="AERbody"/>
        </w:rPr>
        <w:noBreakHyphen/>
        <w:t>3</w:t>
      </w:r>
      <w:r w:rsidRPr="005764F6">
        <w:rPr>
          <w:rStyle w:val="AERbody"/>
        </w:rPr>
        <w:fldChar w:fldCharType="end"/>
      </w:r>
      <w:r w:rsidRPr="005764F6">
        <w:rPr>
          <w:rStyle w:val="AERbody"/>
        </w:rPr>
        <w:t xml:space="preserve"> and </w:t>
      </w:r>
      <w:r w:rsidRPr="005764F6">
        <w:rPr>
          <w:rStyle w:val="AERbody"/>
        </w:rPr>
        <w:fldChar w:fldCharType="begin"/>
      </w:r>
      <w:r w:rsidRPr="005764F6">
        <w:rPr>
          <w:rStyle w:val="AERbody"/>
        </w:rPr>
        <w:instrText xml:space="preserve"> REF  _Ref404072148 \* Lower \h  \* MERGEFORMAT </w:instrText>
      </w:r>
      <w:r w:rsidRPr="005764F6">
        <w:rPr>
          <w:rStyle w:val="AERbody"/>
        </w:rPr>
      </w:r>
      <w:r w:rsidRPr="005764F6">
        <w:rPr>
          <w:rStyle w:val="AERbody"/>
        </w:rPr>
        <w:fldChar w:fldCharType="separate"/>
      </w:r>
      <w:r w:rsidR="007E3457" w:rsidRPr="007E3457">
        <w:rPr>
          <w:rStyle w:val="AERbody"/>
        </w:rPr>
        <w:t>table 4</w:t>
      </w:r>
      <w:r w:rsidR="007E3457" w:rsidRPr="007E3457">
        <w:rPr>
          <w:rStyle w:val="AERbody"/>
        </w:rPr>
        <w:noBreakHyphen/>
        <w:t>4</w:t>
      </w:r>
      <w:r w:rsidRPr="005764F6">
        <w:rPr>
          <w:rStyle w:val="AERbody"/>
        </w:rPr>
        <w:fldChar w:fldCharType="end"/>
      </w:r>
      <w:r w:rsidRPr="005764F6">
        <w:rPr>
          <w:rStyle w:val="AERbody"/>
        </w:rPr>
        <w:t>, and present our assessment of the underlying evidence. This includes reasons for the relative levels of reliance we place on the underlying sources of evidence.</w:t>
      </w:r>
    </w:p>
    <w:p w:rsidR="00C52695" w:rsidRPr="000C3267" w:rsidRDefault="00DB68C3" w:rsidP="00C52695">
      <w:pPr>
        <w:rPr>
          <w:rStyle w:val="AERbody"/>
        </w:rPr>
      </w:pPr>
      <w:r w:rsidRPr="00DB68C3">
        <w:t>We do not accept the service providers' proposed value of imputation credits of 0.25, calculated as the product of a distribution rate of 0.7 and a utilisati</w:t>
      </w:r>
      <w:r>
        <w:t xml:space="preserve">on </w:t>
      </w:r>
      <w:r w:rsidR="0010651C">
        <w:t>rate</w:t>
      </w:r>
      <w:r>
        <w:t xml:space="preserve"> of 0.35 (see section </w:t>
      </w:r>
      <w:r>
        <w:fldChar w:fldCharType="begin"/>
      </w:r>
      <w:r>
        <w:instrText xml:space="preserve"> REF _Ref477201690 \n \h </w:instrText>
      </w:r>
      <w:r>
        <w:fldChar w:fldCharType="separate"/>
      </w:r>
      <w:r w:rsidR="007E3457">
        <w:rPr>
          <w:b/>
          <w:bCs/>
          <w:lang w:val="en-US"/>
        </w:rPr>
        <w:t>Error! Reference source not found.</w:t>
      </w:r>
      <w:r>
        <w:fldChar w:fldCharType="end"/>
      </w:r>
      <w:r w:rsidRPr="00DB68C3">
        <w:t xml:space="preserve">). </w:t>
      </w:r>
      <w:r w:rsidR="00C52695" w:rsidRPr="005764F6">
        <w:rPr>
          <w:rStyle w:val="AERbody"/>
        </w:rPr>
        <w:t xml:space="preserve">Specifically, we do not accept </w:t>
      </w:r>
      <w:r w:rsidR="00C52695">
        <w:rPr>
          <w:rStyle w:val="AERbody"/>
        </w:rPr>
        <w:t xml:space="preserve">the recent </w:t>
      </w:r>
      <w:r>
        <w:rPr>
          <w:rStyle w:val="AERbody"/>
        </w:rPr>
        <w:t xml:space="preserve">Ausgrid </w:t>
      </w:r>
      <w:r w:rsidR="00C52695">
        <w:rPr>
          <w:rStyle w:val="AERbody"/>
        </w:rPr>
        <w:t xml:space="preserve">Tribunals decision that </w:t>
      </w:r>
      <w:r w:rsidR="00C52695" w:rsidRPr="005764F6">
        <w:rPr>
          <w:rStyle w:val="AERbody"/>
        </w:rPr>
        <w:t>the</w:t>
      </w:r>
      <w:r w:rsidR="00C52695">
        <w:rPr>
          <w:rStyle w:val="AERbody"/>
        </w:rPr>
        <w:t xml:space="preserve"> estimated</w:t>
      </w:r>
      <w:r w:rsidR="00C52695" w:rsidRPr="005764F6">
        <w:rPr>
          <w:rStyle w:val="AERbody"/>
        </w:rPr>
        <w:t xml:space="preserve"> utilisation rate of 0.35</w:t>
      </w:r>
      <w:r w:rsidR="00C52695">
        <w:rPr>
          <w:rStyle w:val="AERbody"/>
        </w:rPr>
        <w:t xml:space="preserve"> from the SFG dividend drop off study should be used to estimate gamma</w:t>
      </w:r>
      <w:r w:rsidR="00C52695" w:rsidRPr="005764F6">
        <w:rPr>
          <w:rStyle w:val="AERbody"/>
        </w:rPr>
        <w:t>. This is because we do not consider it appropriate to rely exclusively on implied market value studies (or SFG's single dividend drop off study). This position is supported by a number of experts.</w:t>
      </w:r>
      <w:r w:rsidR="00C52695" w:rsidRPr="006D590A">
        <w:rPr>
          <w:rStyle w:val="FootnoteReference"/>
        </w:rPr>
        <w:footnoteReference w:id="115"/>
      </w:r>
      <w:r w:rsidR="00C52695" w:rsidRPr="000C3267">
        <w:rPr>
          <w:rStyle w:val="AERbody"/>
        </w:rPr>
        <w:t xml:space="preserve"> The South Australian Centre for Economic Studies suggested that dividend drop off studies be disregarded entirely.</w:t>
      </w:r>
      <w:r w:rsidR="00C52695" w:rsidRPr="006D590A">
        <w:rPr>
          <w:rStyle w:val="FootnoteReference"/>
        </w:rPr>
        <w:footnoteReference w:id="116"/>
      </w:r>
      <w:r w:rsidR="00C52695" w:rsidRPr="000C3267">
        <w:rPr>
          <w:rStyle w:val="AERbody"/>
        </w:rPr>
        <w:t xml:space="preserve"> </w:t>
      </w:r>
    </w:p>
    <w:p w:rsidR="00C52695" w:rsidRPr="00883125" w:rsidRDefault="00C52695" w:rsidP="00C52695">
      <w:pPr>
        <w:numPr>
          <w:ilvl w:val="0"/>
          <w:numId w:val="24"/>
        </w:numPr>
      </w:pPr>
      <w:r w:rsidRPr="00883125">
        <w:t>Even if we were to rely solely on the estimate of the utilisation rate of 0.35 from SFG's study, we consider that a value of imputation credits of 0.25 is unreasonable. This is because:</w:t>
      </w:r>
    </w:p>
    <w:p w:rsidR="00C52695" w:rsidRPr="001D37D5" w:rsidRDefault="00C52695" w:rsidP="00C52695">
      <w:pPr>
        <w:pStyle w:val="AERbulletlistfirststyle"/>
      </w:pPr>
      <w:r w:rsidRPr="005764F6">
        <w:t>Handley and Lally advised that the proper use of this estimate of the utilisation rate requires its adjustment to 0.4. We agree with this adjustment which is required to correct for the incorrect post</w:t>
      </w:r>
      <w:r>
        <w:t>-company pre-personal</w:t>
      </w:r>
      <w:r w:rsidRPr="001D37D5">
        <w:t xml:space="preserve"> tax valuation of cash dividends from SFG's study, which will also be expected to be reflected in the estimated utilisation rate. In the post-tax Officer framework underlying the NER/NGR, one dollar of dividends distributed to the investor is worth one dollar to investors post (company) tax</w:t>
      </w:r>
      <w:r>
        <w:t xml:space="preserve"> (pre-personal tax)</w:t>
      </w:r>
      <w:r w:rsidRPr="001D37D5">
        <w:t>. This is clear from Officer's definition of after tax net cash flows consistent with the post-tax vanilla WACC in formula (12) of his 1994 paper.</w:t>
      </w:r>
      <w:r w:rsidRPr="001D37D5">
        <w:rPr>
          <w:rStyle w:val="FootnoteReference"/>
        </w:rPr>
        <w:footnoteReference w:id="117"/>
      </w:r>
      <w:r w:rsidRPr="001D37D5">
        <w:t xml:space="preserve"> The incorrect post </w:t>
      </w:r>
      <w:r>
        <w:t xml:space="preserve">(company) </w:t>
      </w:r>
      <w:r w:rsidRPr="001D37D5">
        <w:t>tax</w:t>
      </w:r>
      <w:r>
        <w:t xml:space="preserve"> (pre-personal tax)</w:t>
      </w:r>
      <w:r w:rsidRPr="001D37D5">
        <w:t xml:space="preserve"> valuation of dividends (that will also be reflected in the estimated utilisation rate) is most likely due to differential personal taxes on dividends and capital gains which impact dividend drop off studies.</w:t>
      </w:r>
    </w:p>
    <w:p w:rsidR="00C52695" w:rsidRPr="001D37D5" w:rsidRDefault="00C52695" w:rsidP="00C52695">
      <w:pPr>
        <w:pStyle w:val="AERbulletlistfirststyle"/>
      </w:pPr>
      <w:r w:rsidRPr="00883125">
        <w:t xml:space="preserve">This is an estimate of the utilisation rate of investors in only listed equity, and therefore </w:t>
      </w:r>
      <w:r w:rsidRPr="001D37D5">
        <w:t>we remain of the view it should be paired with either an estimate of the distribution rate from only listed equity using the cumulative payout approach (that is, 0.75); or Lally's estimate for only listed equity estimated using the top 2</w:t>
      </w:r>
      <w:r w:rsidR="00DD0283">
        <w:t>0 listed firms (that is, 0.83).</w:t>
      </w:r>
    </w:p>
    <w:p w:rsidR="00C52695" w:rsidRDefault="00C52695" w:rsidP="00C52695">
      <w:pPr>
        <w:numPr>
          <w:ilvl w:val="0"/>
          <w:numId w:val="24"/>
        </w:numPr>
      </w:pPr>
      <w:r w:rsidRPr="00883125">
        <w:t>Therefore, even if</w:t>
      </w:r>
      <w:r>
        <w:t xml:space="preserve"> dividend drop off studies can be used to determine the utilisation rate</w:t>
      </w:r>
      <w:r w:rsidRPr="00883125">
        <w:t xml:space="preserve">, it yields a value of imputation credits of </w:t>
      </w:r>
      <w:r>
        <w:t xml:space="preserve">at least </w:t>
      </w:r>
      <w:r w:rsidRPr="00883125">
        <w:t>0.30 (0.4 x 0.75) rather than 0.25. However, with regard to the discussion above, our estimated value of imputation credits is higher than 0.30.</w:t>
      </w:r>
      <w:r>
        <w:t xml:space="preserve"> We also note we do not consider even the adjusted value from SFG's dividend drop off study is a reliable estimate of the utilisation rate for the reasons discussed in this decision (see section </w:t>
      </w:r>
      <w:r>
        <w:fldChar w:fldCharType="begin"/>
      </w:r>
      <w:r>
        <w:instrText xml:space="preserve"> REF _Ref450761230 \r \h </w:instrText>
      </w:r>
      <w:r>
        <w:fldChar w:fldCharType="separate"/>
      </w:r>
      <w:r w:rsidR="007E3457">
        <w:t>4.4.1</w:t>
      </w:r>
      <w:r>
        <w:fldChar w:fldCharType="end"/>
      </w:r>
      <w:r>
        <w:t>).</w:t>
      </w:r>
    </w:p>
    <w:p w:rsidR="00C52695" w:rsidRPr="000C3267" w:rsidRDefault="00C52695" w:rsidP="00C52695">
      <w:pPr>
        <w:numPr>
          <w:ilvl w:val="0"/>
          <w:numId w:val="24"/>
        </w:numPr>
        <w:rPr>
          <w:rStyle w:val="AERbody"/>
        </w:rPr>
      </w:pPr>
      <w:r w:rsidRPr="000C3267">
        <w:rPr>
          <w:rStyle w:val="AERbody"/>
        </w:rPr>
        <w:t>We remain of the view that limited reliance should be placed on market based studies. These studies are influenced by differential personal taxes and are determined by the marginal investor that is trading around the ex-dividend date. We consider market based studies are unlikely to provide an appropriate estimate for the utilisation rate. Therefore, given the data reliability issues with tax statistics, we consider the equity ownership approach provides the best estimate for the proportion of distributed imputation credits that are expected to be used to offset investor personal tax (that is, the utilisation rate). This is due to local investors effectively fully valuing distributed imputation credit at their face value on a</w:t>
      </w:r>
      <w:r>
        <w:rPr>
          <w:rStyle w:val="AERbody"/>
        </w:rPr>
        <w:t xml:space="preserve"> post-company</w:t>
      </w:r>
      <w:r w:rsidRPr="000C3267">
        <w:rPr>
          <w:rStyle w:val="AERbody"/>
        </w:rPr>
        <w:t xml:space="preserve"> pre-personal tax and pre-personal costs basis.</w:t>
      </w:r>
      <w:r w:rsidRPr="005764F6">
        <w:rPr>
          <w:rStyle w:val="FootnoteReference"/>
        </w:rPr>
        <w:footnoteReference w:id="118"/>
      </w:r>
      <w:r w:rsidRPr="000C3267">
        <w:rPr>
          <w:rStyle w:val="AERbody"/>
        </w:rPr>
        <w:t xml:space="preserve"> We remain of the view the 45 day holding rule does not be have a material impact on the utilisation of imputation credits by otherwise eligible (that is, domestic) investors.</w:t>
      </w:r>
    </w:p>
    <w:p w:rsidR="00C52695" w:rsidRPr="00E43EA2" w:rsidRDefault="00490FB7" w:rsidP="00D979B2">
      <w:r>
        <w:t xml:space="preserve">In </w:t>
      </w:r>
      <w:r w:rsidR="00C52695" w:rsidRPr="00E43EA2">
        <w:t xml:space="preserve">section </w:t>
      </w:r>
      <w:r w:rsidR="00C52695" w:rsidRPr="00E43EA2">
        <w:fldChar w:fldCharType="begin"/>
      </w:r>
      <w:r w:rsidR="00C52695" w:rsidRPr="00E43EA2">
        <w:instrText xml:space="preserve"> REF _Ref451240961 \r \h </w:instrText>
      </w:r>
      <w:r w:rsidR="00C52695" w:rsidRPr="00E43EA2">
        <w:fldChar w:fldCharType="separate"/>
      </w:r>
      <w:r w:rsidR="007E3457">
        <w:t>4.4.2</w:t>
      </w:r>
      <w:r w:rsidR="00C52695" w:rsidRPr="00E43EA2">
        <w:fldChar w:fldCharType="end"/>
      </w:r>
      <w:r w:rsidR="00C52695" w:rsidRPr="00E43EA2">
        <w:t xml:space="preserve"> (and appendix A) we </w:t>
      </w:r>
      <w:r w:rsidR="00C52695">
        <w:t>address</w:t>
      </w:r>
      <w:r w:rsidR="00C52695" w:rsidRPr="00E43EA2">
        <w:t xml:space="preserve"> </w:t>
      </w:r>
      <w:r w:rsidR="00041282">
        <w:t>Multinet's proposal</w:t>
      </w:r>
      <w:r w:rsidR="00E926F4">
        <w:t xml:space="preserve"> and Frontier's new report</w:t>
      </w:r>
      <w:r w:rsidR="00323FDA">
        <w:t xml:space="preserve"> in more detail. We include</w:t>
      </w:r>
      <w:r w:rsidR="00041282">
        <w:t xml:space="preserve"> our response to the material submitted by </w:t>
      </w:r>
      <w:r w:rsidR="00AE6459">
        <w:t>AusNet Services</w:t>
      </w:r>
      <w:r w:rsidR="00041282">
        <w:t xml:space="preserve"> given </w:t>
      </w:r>
      <w:r w:rsidR="00323FDA">
        <w:t xml:space="preserve">Multinet has also submitted the two Frontier's reports that were previously submitted by AusNet Services and </w:t>
      </w:r>
      <w:r w:rsidR="00041282">
        <w:t xml:space="preserve">we have considered </w:t>
      </w:r>
      <w:r w:rsidR="006A7DA8">
        <w:t>them</w:t>
      </w:r>
      <w:r w:rsidR="00041282">
        <w:t xml:space="preserve"> in reaching o</w:t>
      </w:r>
      <w:r w:rsidR="003D5C36">
        <w:t>ur draft decision for Multinet</w:t>
      </w:r>
      <w:r w:rsidR="00C52695" w:rsidRPr="00E43EA2">
        <w:t xml:space="preserve">. We also </w:t>
      </w:r>
      <w:r w:rsidR="00C52695">
        <w:t>address</w:t>
      </w:r>
      <w:r w:rsidR="00C52695" w:rsidRPr="00E43EA2">
        <w:t xml:space="preserve"> other service providers</w:t>
      </w:r>
      <w:r w:rsidR="00C52695">
        <w:t>'</w:t>
      </w:r>
      <w:r w:rsidR="00C52695" w:rsidRPr="00E43EA2">
        <w:t xml:space="preserve"> proposals</w:t>
      </w:r>
      <w:r w:rsidR="00AE6459">
        <w:t xml:space="preserve"> submitted prior to </w:t>
      </w:r>
      <w:r w:rsidR="00041282">
        <w:t xml:space="preserve">Multinet's </w:t>
      </w:r>
      <w:r w:rsidR="00AE6459">
        <w:t>proposal and at the same time</w:t>
      </w:r>
      <w:r w:rsidR="00041282">
        <w:t xml:space="preserve"> Multinet</w:t>
      </w:r>
      <w:r w:rsidR="00AE6459">
        <w:t xml:space="preserve"> submitted its proposal.</w:t>
      </w:r>
    </w:p>
    <w:p w:rsidR="00C52695" w:rsidRPr="00C52695" w:rsidRDefault="00C52695" w:rsidP="00C52695">
      <w:pPr>
        <w:pStyle w:val="Heading3"/>
      </w:pPr>
      <w:bookmarkStart w:id="101" w:name="_Ref450761230"/>
      <w:bookmarkStart w:id="102" w:name="_Toc451842243"/>
      <w:bookmarkStart w:id="103" w:name="_Toc451938299"/>
      <w:bookmarkStart w:id="104" w:name="_Toc456614282"/>
      <w:bookmarkStart w:id="105" w:name="_Toc462823305"/>
      <w:bookmarkStart w:id="106" w:name="_Toc487014053"/>
      <w:r>
        <w:t>Evidence underlying our estimate of the value of imputation credits</w:t>
      </w:r>
      <w:bookmarkEnd w:id="101"/>
      <w:bookmarkEnd w:id="102"/>
      <w:bookmarkEnd w:id="103"/>
      <w:bookmarkEnd w:id="104"/>
      <w:bookmarkEnd w:id="105"/>
      <w:bookmarkEnd w:id="106"/>
    </w:p>
    <w:p w:rsidR="00C52695" w:rsidRDefault="00C52695" w:rsidP="00C52695">
      <w:r>
        <w:t>This section discusses the distribution rate and utilisation rate (or value) in more detail. More specifically, it describes our approach to estimating these sub-parameters of the value of imputation credits. This includes reasons for the relative levels of reliance we place on the underlying sources of evidence (for the utilisation rate in particular).</w:t>
      </w:r>
    </w:p>
    <w:p w:rsidR="00C52695" w:rsidRDefault="00C52695" w:rsidP="007F6EED">
      <w:pPr>
        <w:pStyle w:val="HeadingBoldItalic"/>
      </w:pPr>
      <w:bookmarkStart w:id="107" w:name="_Toc456614283"/>
      <w:bookmarkStart w:id="108" w:name="_Toc481056655"/>
      <w:bookmarkStart w:id="109" w:name="_Toc481061449"/>
      <w:r>
        <w:t>The distribution rate</w:t>
      </w:r>
      <w:bookmarkEnd w:id="107"/>
      <w:bookmarkEnd w:id="108"/>
      <w:bookmarkEnd w:id="109"/>
    </w:p>
    <w:p w:rsidR="00C52695" w:rsidRDefault="00C52695" w:rsidP="00C52695">
      <w:r w:rsidRPr="00883125">
        <w:t>The distribution rate is the proportion of imputation credits generated by the benchmark efficient entity that is distributed to investors.</w:t>
      </w:r>
      <w:r w:rsidRPr="00883125">
        <w:rPr>
          <w:rStyle w:val="FootnoteReference"/>
        </w:rPr>
        <w:footnoteReference w:id="119"/>
      </w:r>
      <w:r w:rsidRPr="00883125">
        <w:t xml:space="preserve"> We consider</w:t>
      </w:r>
      <w:r>
        <w:t>:</w:t>
      </w:r>
    </w:p>
    <w:p w:rsidR="00C52695" w:rsidRPr="001D37D5" w:rsidRDefault="00C52695" w:rsidP="00C52695">
      <w:pPr>
        <w:pStyle w:val="AERbulletlistfirststyle"/>
      </w:pPr>
      <w:r w:rsidRPr="00856171">
        <w:t xml:space="preserve">an estimate of 0.75 for the distribution rate is </w:t>
      </w:r>
      <w:r w:rsidRPr="001D37D5">
        <w:t>reasonable when considering estimates of the utilisation rate tha</w:t>
      </w:r>
      <w:r w:rsidR="00DD0283">
        <w:t>t relate to only listed equity.</w:t>
      </w:r>
    </w:p>
    <w:p w:rsidR="00C52695" w:rsidRPr="001D37D5" w:rsidRDefault="00C52695" w:rsidP="00C52695">
      <w:pPr>
        <w:pStyle w:val="AERbulletlistfirststyle"/>
      </w:pPr>
      <w:r w:rsidRPr="00856171">
        <w:t xml:space="preserve">an estimate of 0.7 for the distribution rate is </w:t>
      </w:r>
      <w:r w:rsidRPr="001D37D5">
        <w:t xml:space="preserve">reasonable when considering estimates of the utilisation </w:t>
      </w:r>
      <w:r w:rsidR="00DD0283">
        <w:t>rate that relate to all equity.</w:t>
      </w:r>
    </w:p>
    <w:p w:rsidR="00C52695" w:rsidRDefault="00C52695" w:rsidP="00C52695">
      <w:pPr>
        <w:numPr>
          <w:ilvl w:val="0"/>
          <w:numId w:val="24"/>
        </w:numPr>
      </w:pPr>
      <w:r>
        <w:t>Whether an estimate of the distribution rate will result in a reasonable estimate of the gamma value for a benchmark efficient entity depends on what is considered the best estimate of the utilisation rate (and if this should be based on all equity or a subset) and what is considered the best estimate of the distribution rate for a benchmark efficient entity. We note Lally effectively considers both 'matched' estimates will be too low given what he considers to be the best estimate of the market wide utilisation rate (of around 0.6) and the appropriate (firm specific) estimate of the distribution rate for a benchmark efficient entity (of 0.83).</w:t>
      </w:r>
      <w:r>
        <w:rPr>
          <w:rStyle w:val="FootnoteReference"/>
        </w:rPr>
        <w:footnoteReference w:id="120"/>
      </w:r>
    </w:p>
    <w:p w:rsidR="00C52695" w:rsidRPr="00883125" w:rsidRDefault="00C52695" w:rsidP="00C52695">
      <w:pPr>
        <w:numPr>
          <w:ilvl w:val="0"/>
          <w:numId w:val="24"/>
        </w:numPr>
      </w:pPr>
      <w:r w:rsidRPr="00883125">
        <w:t>Consistent with the Guideline, we estimate the distribution rate using the 'cumulative payout ratio approach', which uses data from the ATO on the accounts used by companies to track their stocks of imputation credits ('franking account balances').</w:t>
      </w:r>
      <w:r w:rsidRPr="00AE6B35">
        <w:rPr>
          <w:rStyle w:val="FootnoteReference"/>
        </w:rPr>
        <w:footnoteReference w:id="121"/>
      </w:r>
      <w:r w:rsidRPr="00AE6B35">
        <w:t xml:space="preserve"> </w:t>
      </w:r>
      <w:r w:rsidRPr="00883125">
        <w:t>We use the cumulative payout ratio approach because it:</w:t>
      </w:r>
    </w:p>
    <w:p w:rsidR="00C52695" w:rsidRPr="00883125" w:rsidRDefault="00C52695" w:rsidP="00C52695">
      <w:pPr>
        <w:pStyle w:val="AERbulletlistfirststyle"/>
      </w:pPr>
      <w:r w:rsidRPr="00883125">
        <w:t>uses long-term, published data</w:t>
      </w:r>
    </w:p>
    <w:p w:rsidR="00C52695" w:rsidRPr="001D37D5" w:rsidRDefault="00C52695" w:rsidP="00C52695">
      <w:pPr>
        <w:pStyle w:val="AERbulletlistfirststyle"/>
      </w:pPr>
      <w:r w:rsidRPr="00883125">
        <w:t>is supported by the service providers, Gray (for SFG), Handley, and McKenzie and Partington</w:t>
      </w:r>
      <w:r w:rsidRPr="001D37D5">
        <w:rPr>
          <w:rStyle w:val="FootnoteReference"/>
        </w:rPr>
        <w:footnoteReference w:id="122"/>
      </w:r>
    </w:p>
    <w:p w:rsidR="00C52695" w:rsidRPr="00883125" w:rsidRDefault="00C52695" w:rsidP="00C52695">
      <w:pPr>
        <w:pStyle w:val="AERbulletlistfirststyle"/>
      </w:pPr>
      <w:r w:rsidRPr="00883125">
        <w:t>is simple and intuitive.</w:t>
      </w:r>
    </w:p>
    <w:p w:rsidR="00C52695" w:rsidRPr="00856171" w:rsidRDefault="00C52695" w:rsidP="00C52695">
      <w:r w:rsidRPr="00AE6B35">
        <w:t xml:space="preserve">Using this approach, NERA estimated a distribution rate across </w:t>
      </w:r>
      <w:r w:rsidRPr="00E82D06">
        <w:rPr>
          <w:rStyle w:val="AERtextunderline"/>
        </w:rPr>
        <w:t>all equity</w:t>
      </w:r>
      <w:r w:rsidRPr="00856171">
        <w:t xml:space="preserve"> of 0.7 for the period 1987 to 2011.</w:t>
      </w:r>
      <w:r w:rsidRPr="00856171">
        <w:rPr>
          <w:rStyle w:val="FootnoteReference"/>
        </w:rPr>
        <w:footnoteReference w:id="123"/>
      </w:r>
      <w:r w:rsidRPr="00856171">
        <w:t xml:space="preserve"> Hathaway found a similar estimate for the period 2004 to 2011.</w:t>
      </w:r>
      <w:r w:rsidRPr="00856171">
        <w:rPr>
          <w:rStyle w:val="FootnoteReference"/>
        </w:rPr>
        <w:footnoteReference w:id="124"/>
      </w:r>
      <w:r w:rsidRPr="00856171">
        <w:t xml:space="preserve"> We relied on these estimates in the Guideline and the decisions released in 2014. We consider that updated analysis of the ATO data to the 2012 tax year by NERA and Handley indicates that 0.7 remains a reasonable estimate of the distribution rate over all equity.</w:t>
      </w:r>
      <w:r w:rsidRPr="00856171">
        <w:rPr>
          <w:rStyle w:val="FootnoteReference"/>
        </w:rPr>
        <w:footnoteReference w:id="125"/>
      </w:r>
      <w:r w:rsidRPr="00856171">
        <w:t xml:space="preserve"> </w:t>
      </w:r>
    </w:p>
    <w:p w:rsidR="00C52695" w:rsidRPr="00856171" w:rsidRDefault="00C52695" w:rsidP="00C52695">
      <w:r w:rsidRPr="00883125">
        <w:t xml:space="preserve">Gray </w:t>
      </w:r>
      <w:r w:rsidRPr="00856171">
        <w:t xml:space="preserve">(for Frontier) updated the ATO data up to 2012-13 and found that the payout ratio for all equity latest year is </w:t>
      </w:r>
      <w:r w:rsidR="00490FB7">
        <w:t>0.64</w:t>
      </w:r>
      <w:r w:rsidRPr="00856171">
        <w:t xml:space="preserve"> and the cumulative ratio is </w:t>
      </w:r>
      <w:r w:rsidR="00490FB7">
        <w:t>0.67</w:t>
      </w:r>
      <w:r w:rsidRPr="00856171">
        <w:t>.</w:t>
      </w:r>
      <w:r w:rsidRPr="00856171">
        <w:rPr>
          <w:rStyle w:val="FootnoteReference"/>
        </w:rPr>
        <w:footnoteReference w:id="126"/>
      </w:r>
      <w:r w:rsidRPr="00856171">
        <w:t xml:space="preserve"> However, recognising the volatility in the data Frontier considered that 0.7 distribution rate still remained appropriate for all equity.</w:t>
      </w:r>
      <w:r w:rsidRPr="00856171">
        <w:rPr>
          <w:rStyle w:val="FootnoteReference"/>
        </w:rPr>
        <w:footnoteReference w:id="127"/>
      </w:r>
      <w:r w:rsidRPr="00856171">
        <w:t xml:space="preserve"> We have updated this data to 2014 and find the cumulative payout ratio for listed equity is 0.75 and for all equity is 0.68. However, we remain of the view that a distribution rate of 0.7 is appropriate for all equity.</w:t>
      </w:r>
    </w:p>
    <w:p w:rsidR="00C52695" w:rsidRPr="00883125" w:rsidRDefault="00C52695" w:rsidP="00C52695">
      <w:pPr>
        <w:numPr>
          <w:ilvl w:val="0"/>
          <w:numId w:val="24"/>
        </w:numPr>
      </w:pPr>
      <w:r w:rsidRPr="00883125">
        <w:t xml:space="preserve">Also using this approach, Handley estimated a distribution rate across only </w:t>
      </w:r>
      <w:r w:rsidRPr="00E82D06">
        <w:rPr>
          <w:rStyle w:val="AERtextunderline"/>
        </w:rPr>
        <w:t>listed equity</w:t>
      </w:r>
      <w:r w:rsidRPr="00883125">
        <w:t xml:space="preserve"> of 0.8 for the period 1987 to 2011.</w:t>
      </w:r>
      <w:r w:rsidRPr="00883125">
        <w:rPr>
          <w:rStyle w:val="FootnoteReference"/>
        </w:rPr>
        <w:footnoteReference w:id="128"/>
      </w:r>
      <w:r w:rsidRPr="00883125">
        <w:t xml:space="preserve"> We found a similar estimate for the period 2004 to 2011.</w:t>
      </w:r>
      <w:r w:rsidRPr="00883125">
        <w:rPr>
          <w:rStyle w:val="FootnoteReference"/>
        </w:rPr>
        <w:footnoteReference w:id="129"/>
      </w:r>
      <w:r w:rsidRPr="00883125">
        <w:t xml:space="preserve"> We relied on these estimates in the decisions we released in November 2014 and April 2015. Updated analysis of the ATO data to the 2012 tax year by NERA and Handley indicates that the distribution rate over only listed equity has fallen slightly.</w:t>
      </w:r>
      <w:r w:rsidRPr="00883125">
        <w:rPr>
          <w:rStyle w:val="FootnoteReference"/>
        </w:rPr>
        <w:footnoteReference w:id="130"/>
      </w:r>
      <w:r w:rsidRPr="00883125">
        <w:t xml:space="preserve"> In this </w:t>
      </w:r>
      <w:r w:rsidR="00862855">
        <w:t xml:space="preserve">draft </w:t>
      </w:r>
      <w:r w:rsidRPr="00883125">
        <w:t xml:space="preserve">decision following a further update incorporating 2013 and 2014 data we consider an appropriate estimate of the distribution rate over only listed equity is 0.75. This is slightly lower than the value of 0.77 we used in </w:t>
      </w:r>
      <w:r>
        <w:t xml:space="preserve">our </w:t>
      </w:r>
      <w:r w:rsidRPr="00883125">
        <w:t>October and November 2015 decisions.</w:t>
      </w:r>
    </w:p>
    <w:p w:rsidR="00C52695" w:rsidRDefault="00C52695" w:rsidP="00C52695">
      <w:pPr>
        <w:pStyle w:val="AERbulletlistfirststyle"/>
        <w:numPr>
          <w:ilvl w:val="0"/>
          <w:numId w:val="24"/>
        </w:numPr>
      </w:pPr>
      <w:r w:rsidRPr="00883125">
        <w:t>A distribution rate across only listed equity was not presented in the Guideline. However, as set out above, we now consider</w:t>
      </w:r>
      <w:r>
        <w:t xml:space="preserve"> i</w:t>
      </w:r>
      <w:r w:rsidRPr="00883125">
        <w:t>t is open to us to have regard to evidence from all equity and/or only listed equity</w:t>
      </w:r>
      <w:r>
        <w:t xml:space="preserve"> (see section </w:t>
      </w:r>
      <w:r>
        <w:fldChar w:fldCharType="begin"/>
      </w:r>
      <w:r>
        <w:instrText xml:space="preserve"> REF _Ref450765039 \r \h </w:instrText>
      </w:r>
      <w:r>
        <w:fldChar w:fldCharType="separate"/>
      </w:r>
      <w:r w:rsidR="007E3457">
        <w:t>A.9.2</w:t>
      </w:r>
      <w:r>
        <w:fldChar w:fldCharType="end"/>
      </w:r>
      <w:r>
        <w:t>)</w:t>
      </w:r>
      <w:r w:rsidRPr="00883125">
        <w:t>.</w:t>
      </w:r>
      <w:r>
        <w:t xml:space="preserve"> We consider estimates of the distribution rate from listed equity and all equity are reasonably consistent with a benchmark efficient entity given the difficulties associated with choosing a representative dataset (see section </w:t>
      </w:r>
      <w:r>
        <w:fldChar w:fldCharType="begin"/>
      </w:r>
      <w:r>
        <w:instrText xml:space="preserve"> REF _Ref401133206 \r \h </w:instrText>
      </w:r>
      <w:r>
        <w:fldChar w:fldCharType="separate"/>
      </w:r>
      <w:r w:rsidR="007E3457">
        <w:t>A.10</w:t>
      </w:r>
      <w:r>
        <w:fldChar w:fldCharType="end"/>
      </w:r>
      <w:r>
        <w:t>).</w:t>
      </w:r>
      <w:r>
        <w:rPr>
          <w:rStyle w:val="FootnoteReference"/>
        </w:rPr>
        <w:footnoteReference w:id="131"/>
      </w:r>
      <w:r>
        <w:t xml:space="preserve"> </w:t>
      </w:r>
    </w:p>
    <w:p w:rsidR="00C52695" w:rsidRDefault="00C52695" w:rsidP="00C52695">
      <w:pPr>
        <w:pStyle w:val="AERbulletlistfirststyle"/>
        <w:numPr>
          <w:ilvl w:val="0"/>
          <w:numId w:val="24"/>
        </w:numPr>
      </w:pPr>
      <w:r>
        <w:t>Lally agrees that when estimating the distribution rate for a benchmark efficient entity, practical</w:t>
      </w:r>
      <w:r w:rsidRPr="000E7689">
        <w:t xml:space="preserve"> considerations </w:t>
      </w:r>
      <w:r>
        <w:t>indicate</w:t>
      </w:r>
      <w:r w:rsidRPr="000E7689">
        <w:t xml:space="preserve"> the use of sector-wide data.</w:t>
      </w:r>
      <w:r>
        <w:t xml:space="preserve"> He recommends a listed equity distribution rate estimated from financial statements of the top 20 listed firms, stating that:</w:t>
      </w:r>
      <w:r>
        <w:rPr>
          <w:rStyle w:val="FootnoteReference"/>
        </w:rPr>
        <w:footnoteReference w:id="132"/>
      </w:r>
    </w:p>
    <w:p w:rsidR="00C52695" w:rsidRPr="001D37D5" w:rsidRDefault="00C52695" w:rsidP="00C52695">
      <w:pPr>
        <w:pStyle w:val="AERquote"/>
      </w:pPr>
      <w:r w:rsidRPr="00A660BD">
        <w:t>Furthermore, since privately-owned regulated businesses in Australia are typically listed firms or subsidiaries of listed firms, the appropriate set of firms to use to estimate the distribution rate of regulated businesses would seem to be listed firms.</w:t>
      </w:r>
    </w:p>
    <w:p w:rsidR="00C52695" w:rsidRPr="00663AD0" w:rsidRDefault="00C52695" w:rsidP="00C52695">
      <w:pPr>
        <w:pStyle w:val="AERbulletlistfirststyle"/>
        <w:numPr>
          <w:ilvl w:val="0"/>
          <w:numId w:val="24"/>
        </w:numPr>
        <w:rPr>
          <w:rStyle w:val="AERtexthighlight"/>
        </w:rPr>
      </w:pPr>
      <w:r>
        <w:t xml:space="preserve">Lally also </w:t>
      </w:r>
      <w:r w:rsidRPr="005764F6">
        <w:t xml:space="preserve">considered </w:t>
      </w:r>
      <w:r w:rsidR="00CF4EC3">
        <w:t xml:space="preserve">that there is no necessity to combine </w:t>
      </w:r>
      <w:r w:rsidR="00CF4EC3" w:rsidRPr="001D37D5">
        <w:t>estimates of the distribution rate and utilisation rate from the same dataset</w:t>
      </w:r>
      <w:r w:rsidR="00CF4EC3">
        <w:t xml:space="preserve"> and good reason not for not doing so</w:t>
      </w:r>
      <w:r w:rsidRPr="005764F6">
        <w:t>.</w:t>
      </w:r>
      <w:r w:rsidR="00CF4EC3">
        <w:rPr>
          <w:rStyle w:val="FootnoteReference"/>
        </w:rPr>
        <w:footnoteReference w:id="133"/>
      </w:r>
      <w:r w:rsidRPr="005764F6">
        <w:t xml:space="preserve"> This is because, even though the distribution rate may be estimated using market-wide data, it is, in principle, a firm-specific parameter. On the other hand, the utilisation rate is a market-wide parameter.</w:t>
      </w:r>
      <w:r w:rsidRPr="00757350">
        <w:rPr>
          <w:rStyle w:val="FootnoteReference"/>
        </w:rPr>
        <w:footnoteReference w:id="134"/>
      </w:r>
      <w:r w:rsidRPr="005764F6">
        <w:t xml:space="preserve"> Following this, </w:t>
      </w:r>
      <w:r w:rsidR="009A643F">
        <w:t xml:space="preserve">Lally's most recent advice </w:t>
      </w:r>
      <w:r w:rsidRPr="005764F6">
        <w:t xml:space="preserve">we </w:t>
      </w:r>
      <w:r w:rsidR="009A643F">
        <w:t xml:space="preserve">remain of the view </w:t>
      </w:r>
      <w:r w:rsidRPr="005764F6">
        <w:t>it is not necessary to 'match' estimates of distribution rates and utilisation rates based on the dataset used</w:t>
      </w:r>
      <w:r>
        <w:rPr>
          <w:rStyle w:val="AERbody"/>
        </w:rPr>
        <w:t xml:space="preserve">; although we </w:t>
      </w:r>
      <w:r w:rsidR="009A643F">
        <w:rPr>
          <w:rStyle w:val="AERbody"/>
        </w:rPr>
        <w:t xml:space="preserve">still consider </w:t>
      </w:r>
      <w:r>
        <w:rPr>
          <w:rStyle w:val="AERbody"/>
        </w:rPr>
        <w:t>the choice is open to us</w:t>
      </w:r>
      <w:r w:rsidRPr="00E64E9B">
        <w:rPr>
          <w:rStyle w:val="AERbody"/>
        </w:rPr>
        <w:t>.</w:t>
      </w:r>
      <w:r>
        <w:t xml:space="preserve"> While we principally maintain our previous approach (as is open to us), we also have some regard to </w:t>
      </w:r>
      <w:r w:rsidRPr="005764F6">
        <w:t>Lally</w:t>
      </w:r>
      <w:r>
        <w:t>'s preferred approach</w:t>
      </w:r>
      <w:r w:rsidRPr="005764F6">
        <w:t xml:space="preserve"> (which </w:t>
      </w:r>
      <w:r>
        <w:t>combines an all equity utilisation rate from the equity ownership approach with a distribution rate for listed equity from financial reports of the top 20 listed firms</w:t>
      </w:r>
      <w:r w:rsidRPr="005764F6">
        <w:t>).</w:t>
      </w:r>
      <w:r w:rsidRPr="00757350">
        <w:rPr>
          <w:rStyle w:val="FootnoteReference"/>
        </w:rPr>
        <w:footnoteReference w:id="135"/>
      </w:r>
      <w:r w:rsidR="00B428E3">
        <w:t xml:space="preserve"> We note that using Lally's preferred approach results in a significantly higher gamma estimate than 0.4.</w:t>
      </w:r>
      <w:r w:rsidR="00CF4EC3">
        <w:rPr>
          <w:rStyle w:val="FootnoteReference"/>
        </w:rPr>
        <w:footnoteReference w:id="136"/>
      </w:r>
      <w:r w:rsidR="00B428E3">
        <w:t xml:space="preserve"> While we have given this limited weight, Lally's advice does provide further support for our view that our use of gamma value of 0.4 should result in an overall return (inclusive of the value of imputation credits) that is (at least) sufficient to compensate </w:t>
      </w:r>
      <w:r w:rsidR="00862855">
        <w:t xml:space="preserve">Multinet's </w:t>
      </w:r>
      <w:r w:rsidR="00B428E3">
        <w:t>investors.</w:t>
      </w:r>
      <w:r w:rsidRPr="00663AD0">
        <w:rPr>
          <w:rStyle w:val="AERtexthighlight"/>
        </w:rPr>
        <w:t xml:space="preserve"> </w:t>
      </w:r>
    </w:p>
    <w:p w:rsidR="00C52695" w:rsidRDefault="00C52695" w:rsidP="00C52695">
      <w:r w:rsidRPr="00883125">
        <w:t>We discuss our approach to estimating the distribution rate further in section</w:t>
      </w:r>
      <w:r>
        <w:t>s</w:t>
      </w:r>
      <w:r w:rsidRPr="00883125">
        <w:t xml:space="preserve"> </w:t>
      </w:r>
      <w:r>
        <w:fldChar w:fldCharType="begin"/>
      </w:r>
      <w:r>
        <w:instrText xml:space="preserve"> REF _Ref414623120 \r \h </w:instrText>
      </w:r>
      <w:r>
        <w:fldChar w:fldCharType="separate"/>
      </w:r>
      <w:r w:rsidR="007E3457">
        <w:t>A.8</w:t>
      </w:r>
      <w:r>
        <w:fldChar w:fldCharType="end"/>
      </w:r>
      <w:r>
        <w:t xml:space="preserve"> and </w:t>
      </w:r>
      <w:r>
        <w:fldChar w:fldCharType="begin"/>
      </w:r>
      <w:r>
        <w:instrText xml:space="preserve"> REF _Ref415068711 \r \h </w:instrText>
      </w:r>
      <w:r>
        <w:fldChar w:fldCharType="separate"/>
      </w:r>
      <w:r w:rsidR="007E3457">
        <w:t>A.8.5</w:t>
      </w:r>
      <w:r>
        <w:fldChar w:fldCharType="end"/>
      </w:r>
      <w:r w:rsidRPr="00883125">
        <w:t>.</w:t>
      </w:r>
    </w:p>
    <w:p w:rsidR="00C52695" w:rsidRPr="00856171" w:rsidRDefault="00C52695" w:rsidP="007F6EED">
      <w:pPr>
        <w:pStyle w:val="HeadingBoldItalic"/>
      </w:pPr>
      <w:bookmarkStart w:id="110" w:name="_Toc456614284"/>
      <w:bookmarkStart w:id="111" w:name="_Toc481056656"/>
      <w:bookmarkStart w:id="112" w:name="_Toc481061450"/>
      <w:r>
        <w:t>The utilisation</w:t>
      </w:r>
      <w:r w:rsidRPr="00856171">
        <w:t xml:space="preserve"> rate</w:t>
      </w:r>
      <w:bookmarkEnd w:id="110"/>
      <w:bookmarkEnd w:id="111"/>
      <w:bookmarkEnd w:id="112"/>
      <w:r w:rsidRPr="00856171">
        <w:t xml:space="preserve"> </w:t>
      </w:r>
    </w:p>
    <w:p w:rsidR="00C52695" w:rsidRPr="00883125" w:rsidRDefault="00C52695" w:rsidP="00C52695">
      <w:pPr>
        <w:numPr>
          <w:ilvl w:val="0"/>
          <w:numId w:val="24"/>
        </w:numPr>
      </w:pPr>
      <w:r w:rsidRPr="00883125">
        <w:t>We understand the utilisation rate to be the utilisation value to investors in the market per dollar of imputation credits distributed.</w:t>
      </w:r>
      <w:r>
        <w:rPr>
          <w:rStyle w:val="FootnoteReference"/>
        </w:rPr>
        <w:footnoteReference w:id="137"/>
      </w:r>
      <w:r w:rsidRPr="00883125">
        <w:t xml:space="preserve"> In the Monkhouse framework, the utilisation rate is equal to the weighted average, by wealth and risk aversion, of the utilisation rates of individual investors. For an ‘eligible’ investor, each dollar of imputation credit received can be fully returned to the investor in the form of a reduction in tax payable or a refund.</w:t>
      </w:r>
      <w:r w:rsidRPr="00883125">
        <w:rPr>
          <w:rStyle w:val="FootnoteReference"/>
        </w:rPr>
        <w:footnoteReference w:id="138"/>
      </w:r>
      <w:r w:rsidRPr="00883125">
        <w:t xml:space="preserve"> Therefore, we consider that eligible investors have a utilisation rate of 1. Conversely, ‘ineligible’ investors cannot utilise imputation credits and have a utilisation rate of 0. It follows that the utilisation rate reflects the extent to which investors can utilise the imputation credits they receive to reduce their tax or obtain a refund. </w:t>
      </w:r>
    </w:p>
    <w:p w:rsidR="00C52695" w:rsidRPr="00883125" w:rsidRDefault="00C52695" w:rsidP="00C52695">
      <w:pPr>
        <w:pStyle w:val="AERbulletlistfirststyle"/>
        <w:numPr>
          <w:ilvl w:val="0"/>
          <w:numId w:val="24"/>
        </w:numPr>
      </w:pPr>
      <w:r>
        <w:t>This means</w:t>
      </w:r>
      <w:r w:rsidRPr="00883125">
        <w:t xml:space="preserve"> imputation credits expected to be utilised should be valued at full face value on a</w:t>
      </w:r>
      <w:r>
        <w:t xml:space="preserve"> post-company</w:t>
      </w:r>
      <w:r w:rsidRPr="00883125">
        <w:t xml:space="preserve"> pre-personal tax basis. Valuing imputation credits at face value is consistent with how all inputs into the allowed rate of return are estimated. For example, the yield on debt is calculated where the face value of coupon payments and face value of the principal is used to determine the yield to maturity. Similarly, the face value of dividends are used to calculate the MRP under the historical average approach and in the dividend growth model. </w:t>
      </w:r>
    </w:p>
    <w:p w:rsidR="00C52695" w:rsidRPr="00883125" w:rsidRDefault="00C52695" w:rsidP="00C52695">
      <w:pPr>
        <w:numPr>
          <w:ilvl w:val="0"/>
          <w:numId w:val="24"/>
        </w:numPr>
      </w:pPr>
      <w:r>
        <w:t>The</w:t>
      </w:r>
      <w:r w:rsidRPr="00856171">
        <w:t xml:space="preserve"> </w:t>
      </w:r>
      <w:r>
        <w:t xml:space="preserve">implied </w:t>
      </w:r>
      <w:r w:rsidRPr="00856171">
        <w:t xml:space="preserve">market </w:t>
      </w:r>
      <w:r>
        <w:t xml:space="preserve">value </w:t>
      </w:r>
      <w:r w:rsidRPr="00856171">
        <w:t>studies that value dividends and imputation credits around the ex-dividend date are influenced by different personal tax treatment of capital gains and dividend income. These estimates are neither pre- nor post- personal tax estimates</w:t>
      </w:r>
      <w:r w:rsidR="000421CC">
        <w:t xml:space="preserve"> due to differential taxes</w:t>
      </w:r>
      <w:r w:rsidRPr="00856171">
        <w:t xml:space="preserve">. </w:t>
      </w:r>
      <w:r w:rsidR="000421CC">
        <w:t>Our consultant supports that market value studies need to be adjusted to correct for the biases in the estimates (likely to be principally driven by differential taxation).</w:t>
      </w:r>
      <w:r w:rsidR="0010651C">
        <w:rPr>
          <w:rStyle w:val="FootnoteReference"/>
        </w:rPr>
        <w:footnoteReference w:id="139"/>
      </w:r>
      <w:r w:rsidR="000421CC">
        <w:t xml:space="preserve"> As a result, w</w:t>
      </w:r>
      <w:r w:rsidR="000421CC" w:rsidRPr="00856171">
        <w:t xml:space="preserve">e </w:t>
      </w:r>
      <w:r w:rsidRPr="00856171">
        <w:t xml:space="preserve">do not consider this is appropriate </w:t>
      </w:r>
      <w:r w:rsidR="000421CC">
        <w:t xml:space="preserve">to use implied market value studies to estimate the utilisation value </w:t>
      </w:r>
      <w:r w:rsidRPr="00856171">
        <w:t>given our post (corporate) tax regulatory framework based on Officer 1994.</w:t>
      </w:r>
      <w:r w:rsidRPr="00856171">
        <w:rPr>
          <w:rStyle w:val="FootnoteReference"/>
        </w:rPr>
        <w:footnoteReference w:id="140"/>
      </w:r>
      <w:r w:rsidRPr="00856171">
        <w:t xml:space="preserve"> What is relevant is the cost that is imposed on a benchmark efficient entity. This is the cost before personal taxes and personal transaction costs are incurred. The face value of the imputation credit is the pre-personal tax value and personal tax is levied on this estimate.</w:t>
      </w:r>
      <w:r>
        <w:rPr>
          <w:rStyle w:val="FootnoteReference"/>
        </w:rPr>
        <w:footnoteReference w:id="141"/>
      </w:r>
    </w:p>
    <w:p w:rsidR="00C52695" w:rsidRPr="00883125" w:rsidRDefault="00C52695" w:rsidP="00C52695">
      <w:pPr>
        <w:numPr>
          <w:ilvl w:val="0"/>
          <w:numId w:val="24"/>
        </w:numPr>
      </w:pPr>
      <w:r w:rsidRPr="00883125">
        <w:t>Consistent with the Guideline, when estimating the utilisation rate we place:</w:t>
      </w:r>
    </w:p>
    <w:p w:rsidR="00C52695" w:rsidRPr="00883125" w:rsidRDefault="00C52695" w:rsidP="00C52695">
      <w:pPr>
        <w:pStyle w:val="AERbulletlistfirststyle"/>
      </w:pPr>
      <w:r w:rsidRPr="00883125">
        <w:t>significant reliance upon the equity ownership approach</w:t>
      </w:r>
    </w:p>
    <w:p w:rsidR="00C52695" w:rsidRPr="00883125" w:rsidRDefault="00C52695" w:rsidP="00C52695">
      <w:pPr>
        <w:pStyle w:val="AERbulletlistfirststyle"/>
      </w:pPr>
      <w:r w:rsidRPr="00883125">
        <w:t>some reliance upon tax statistics</w:t>
      </w:r>
    </w:p>
    <w:p w:rsidR="00C52695" w:rsidRPr="001D37D5" w:rsidRDefault="00C52695" w:rsidP="00C52695">
      <w:pPr>
        <w:pStyle w:val="AERbulletlistfirststyle"/>
      </w:pPr>
      <w:r w:rsidRPr="00883125">
        <w:t>less reliance upon implied market value studies.</w:t>
      </w:r>
    </w:p>
    <w:p w:rsidR="00C52695" w:rsidRPr="00883125" w:rsidRDefault="00C52695" w:rsidP="00C52695">
      <w:r>
        <w:t>This weighting is supported by Lally.</w:t>
      </w:r>
      <w:r>
        <w:rPr>
          <w:rStyle w:val="FootnoteReference"/>
        </w:rPr>
        <w:footnoteReference w:id="142"/>
      </w:r>
      <w:r w:rsidR="000421CC">
        <w:t xml:space="preserve"> The SAPN Tribunal also considered the AER did not err, nor was it unreasonable, in giving most weight to the "utilisation" approach.</w:t>
      </w:r>
      <w:r w:rsidR="00254FC7">
        <w:rPr>
          <w:rStyle w:val="FootnoteReference"/>
        </w:rPr>
        <w:footnoteReference w:id="143"/>
      </w:r>
    </w:p>
    <w:p w:rsidR="00C52695" w:rsidRDefault="00C52695" w:rsidP="00C52695">
      <w:pPr>
        <w:numPr>
          <w:ilvl w:val="0"/>
          <w:numId w:val="24"/>
        </w:numPr>
      </w:pPr>
      <w:r w:rsidRPr="00883125">
        <w:t>The results from th</w:t>
      </w:r>
      <w:r>
        <w:t>e</w:t>
      </w:r>
      <w:r w:rsidRPr="00883125">
        <w:t xml:space="preserve">se classes of evidence are summarised in </w:t>
      </w:r>
      <w:r w:rsidRPr="00883125">
        <w:fldChar w:fldCharType="begin"/>
      </w:r>
      <w:r w:rsidRPr="00883125">
        <w:instrText xml:space="preserve"> REF  _Ref400900366 \* Lower \h </w:instrText>
      </w:r>
      <w:r w:rsidRPr="00883125">
        <w:fldChar w:fldCharType="separate"/>
      </w:r>
      <w:r w:rsidR="007E3457" w:rsidRPr="00883125">
        <w:t xml:space="preserve">table </w:t>
      </w:r>
      <w:r w:rsidR="007E3457">
        <w:rPr>
          <w:noProof/>
        </w:rPr>
        <w:t>4</w:t>
      </w:r>
      <w:r w:rsidR="007E3457">
        <w:noBreakHyphen/>
      </w:r>
      <w:r w:rsidR="007E3457">
        <w:rPr>
          <w:noProof/>
        </w:rPr>
        <w:t>3</w:t>
      </w:r>
      <w:r w:rsidRPr="00883125">
        <w:fldChar w:fldCharType="end"/>
      </w:r>
      <w:r w:rsidRPr="00883125">
        <w:t xml:space="preserve"> and </w:t>
      </w:r>
      <w:r w:rsidRPr="00883125">
        <w:fldChar w:fldCharType="begin"/>
      </w:r>
      <w:r w:rsidRPr="00883125">
        <w:instrText xml:space="preserve"> REF  _Ref404072148 \* Lower \h </w:instrText>
      </w:r>
      <w:r w:rsidRPr="00883125">
        <w:fldChar w:fldCharType="separate"/>
      </w:r>
      <w:r w:rsidR="007E3457" w:rsidRPr="00883125">
        <w:t xml:space="preserve">table </w:t>
      </w:r>
      <w:r w:rsidR="007E3457">
        <w:rPr>
          <w:noProof/>
        </w:rPr>
        <w:t>4</w:t>
      </w:r>
      <w:r w:rsidR="007E3457">
        <w:noBreakHyphen/>
      </w:r>
      <w:r w:rsidR="007E3457">
        <w:rPr>
          <w:noProof/>
        </w:rPr>
        <w:t>4</w:t>
      </w:r>
      <w:r w:rsidRPr="00883125">
        <w:fldChar w:fldCharType="end"/>
      </w:r>
      <w:r w:rsidRPr="00883125">
        <w:t>.</w:t>
      </w:r>
      <w:r>
        <w:t xml:space="preserve"> </w:t>
      </w:r>
      <w:r w:rsidRPr="00883125">
        <w:t>The relative importance that we assign to each approach is supported by Handley and Lally, while McKenzie and Partington's report for the Queensland Resources Council suggested that having regard to all of these approaches is reasonable.</w:t>
      </w:r>
      <w:r w:rsidRPr="00883125">
        <w:rPr>
          <w:rStyle w:val="FootnoteReference"/>
        </w:rPr>
        <w:footnoteReference w:id="144"/>
      </w:r>
      <w:r w:rsidRPr="00883125">
        <w:t xml:space="preserve"> We discuss each approach in the sections below.</w:t>
      </w:r>
      <w:r w:rsidRPr="00883125">
        <w:rPr>
          <w:rStyle w:val="FootnoteReference"/>
        </w:rPr>
        <w:footnoteReference w:id="145"/>
      </w:r>
      <w:r w:rsidRPr="00883125">
        <w:t xml:space="preserve"> We depart from the Guideline by not relying upon the 'conceptual goalposts approach'.</w:t>
      </w:r>
    </w:p>
    <w:p w:rsidR="00C52695" w:rsidRDefault="00C52695" w:rsidP="00C52695">
      <w:pPr>
        <w:numPr>
          <w:ilvl w:val="0"/>
          <w:numId w:val="24"/>
        </w:numPr>
      </w:pPr>
      <w:r w:rsidRPr="00883125">
        <w:t xml:space="preserve">We discuss our interpretation and definition of the utilisation rate further in sections </w:t>
      </w:r>
      <w:r w:rsidRPr="00883125">
        <w:fldChar w:fldCharType="begin"/>
      </w:r>
      <w:r w:rsidRPr="00883125">
        <w:instrText xml:space="preserve"> REF _Ref400965182 \r \h </w:instrText>
      </w:r>
      <w:r w:rsidRPr="00883125">
        <w:fldChar w:fldCharType="separate"/>
      </w:r>
      <w:r w:rsidR="007E3457">
        <w:t>A.6</w:t>
      </w:r>
      <w:r w:rsidRPr="00883125">
        <w:fldChar w:fldCharType="end"/>
      </w:r>
      <w:r w:rsidRPr="00883125">
        <w:t xml:space="preserve"> and </w:t>
      </w:r>
      <w:r w:rsidRPr="00883125">
        <w:fldChar w:fldCharType="begin"/>
      </w:r>
      <w:r w:rsidRPr="00883125">
        <w:instrText xml:space="preserve"> REF _Ref414623120 \r \h </w:instrText>
      </w:r>
      <w:r w:rsidRPr="00883125">
        <w:fldChar w:fldCharType="separate"/>
      </w:r>
      <w:r w:rsidR="007E3457">
        <w:t>A.8</w:t>
      </w:r>
      <w:r w:rsidRPr="00883125">
        <w:fldChar w:fldCharType="end"/>
      </w:r>
      <w:r w:rsidRPr="00883125">
        <w:t xml:space="preserve">. </w:t>
      </w:r>
    </w:p>
    <w:p w:rsidR="00C52695" w:rsidRPr="00856171" w:rsidRDefault="00C52695" w:rsidP="00C52695">
      <w:pPr>
        <w:pStyle w:val="HeadingBoldItalic"/>
      </w:pPr>
      <w:bookmarkStart w:id="113" w:name="_Toc456614285"/>
      <w:bookmarkStart w:id="114" w:name="_Toc481056657"/>
      <w:bookmarkStart w:id="115" w:name="_Toc481061451"/>
      <w:r>
        <w:t>The equity ownership approach</w:t>
      </w:r>
      <w:bookmarkEnd w:id="113"/>
      <w:bookmarkEnd w:id="114"/>
      <w:bookmarkEnd w:id="115"/>
    </w:p>
    <w:p w:rsidR="00C52695" w:rsidRPr="00883125" w:rsidRDefault="00C52695" w:rsidP="00C52695">
      <w:pPr>
        <w:numPr>
          <w:ilvl w:val="0"/>
          <w:numId w:val="24"/>
        </w:numPr>
      </w:pPr>
      <w:r w:rsidRPr="00883125">
        <w:t>We consider that the value-weighted proportion of domestic investors in the Australian equity market is a reasonable estimate of the utilisation rate. This is because, in general, domestic investors are eligible to utilise imputation credits and foreign investors are not. Moreover, as discussed above, we consider that eligible investors have a utilisation rate of 1 because each dollar of imputation credit received by these investors can be fully returned to them in the form of a reduction in tax payable or a refund. On a pre-personal tax basis</w:t>
      </w:r>
      <w:r>
        <w:t>,</w:t>
      </w:r>
      <w:r w:rsidRPr="00883125">
        <w:t xml:space="preserve"> one dollar of imputation credits reduces an eligible investor's tax bill by one dollar. We refer to this approach as the 'equity ownership approach', and we use data from the National Accounts of the Australian Bureau of Statistics (ABS) to estimate the domestic ownership share.</w:t>
      </w:r>
      <w:r w:rsidRPr="00883125">
        <w:rPr>
          <w:rStyle w:val="FootnoteReference"/>
        </w:rPr>
        <w:footnoteReference w:id="146"/>
      </w:r>
    </w:p>
    <w:p w:rsidR="00C52695" w:rsidRPr="00883125" w:rsidRDefault="00C52695" w:rsidP="00C52695">
      <w:pPr>
        <w:numPr>
          <w:ilvl w:val="0"/>
          <w:numId w:val="24"/>
        </w:numPr>
      </w:pPr>
      <w:r w:rsidRPr="00883125">
        <w:t>We place significant reliance upon the equity ownership approach when considering estimates of the utilisation rate. This is because:</w:t>
      </w:r>
    </w:p>
    <w:p w:rsidR="00C52695" w:rsidRPr="00883125" w:rsidRDefault="00C52695" w:rsidP="00C52695">
      <w:pPr>
        <w:pStyle w:val="AERbulletlistfirststyle"/>
      </w:pPr>
      <w:r w:rsidRPr="00883125">
        <w:t>it is well aligned with the definition of the utilisation rate in the Monkhouse framework</w:t>
      </w:r>
    </w:p>
    <w:p w:rsidR="00C52695" w:rsidRPr="00883125" w:rsidRDefault="00C52695" w:rsidP="00C52695">
      <w:pPr>
        <w:pStyle w:val="AERbulletlistfirststyle"/>
      </w:pPr>
      <w:r w:rsidRPr="00883125">
        <w:t>it employs a relatively simple and intuitive methodology</w:t>
      </w:r>
    </w:p>
    <w:p w:rsidR="00C52695" w:rsidRPr="00883125" w:rsidRDefault="00C52695" w:rsidP="00C52695">
      <w:pPr>
        <w:pStyle w:val="AERbulletlistfirststyle"/>
      </w:pPr>
      <w:r w:rsidRPr="00883125">
        <w:t>it uses a reliable and transparent source of data</w:t>
      </w:r>
    </w:p>
    <w:p w:rsidR="00C52695" w:rsidRPr="001D37D5" w:rsidRDefault="00C52695" w:rsidP="00C52695">
      <w:pPr>
        <w:pStyle w:val="AERbulletlistfirststyle"/>
      </w:pPr>
      <w:r w:rsidRPr="00883125">
        <w:t>it provides estimates of the utilisation rate for investors in both all equity and only listed equity</w:t>
      </w:r>
      <w:r w:rsidR="00AD35FD">
        <w:t>.</w:t>
      </w:r>
    </w:p>
    <w:p w:rsidR="00C52695" w:rsidRDefault="00C52695" w:rsidP="00C52695">
      <w:r>
        <w:t>We recognise</w:t>
      </w:r>
      <w:r w:rsidRPr="00883125">
        <w:t xml:space="preserve"> the equity ownership approach </w:t>
      </w:r>
      <w:r>
        <w:t>does not take into account</w:t>
      </w:r>
      <w:r w:rsidRPr="00883125">
        <w:t xml:space="preserve"> </w:t>
      </w:r>
      <w:r>
        <w:t>the existence of</w:t>
      </w:r>
      <w:r w:rsidRPr="00883125">
        <w:t xml:space="preserve"> some </w:t>
      </w:r>
      <w:r>
        <w:t>domestic</w:t>
      </w:r>
      <w:r w:rsidRPr="00883125">
        <w:t xml:space="preserve"> investors </w:t>
      </w:r>
      <w:r>
        <w:t>that</w:t>
      </w:r>
      <w:r w:rsidRPr="00883125">
        <w:t xml:space="preserve"> do not hold their shares for 45 days at risk over the ex-dividend date</w:t>
      </w:r>
      <w:r>
        <w:t xml:space="preserve"> (the 45 day rule)</w:t>
      </w:r>
      <w:r w:rsidRPr="00883125">
        <w:t>.</w:t>
      </w:r>
      <w:r w:rsidRPr="00883125">
        <w:rPr>
          <w:rStyle w:val="FootnoteReference"/>
        </w:rPr>
        <w:footnoteReference w:id="147"/>
      </w:r>
      <w:r w:rsidRPr="00883125">
        <w:t xml:space="preserve"> </w:t>
      </w:r>
      <w:r>
        <w:t xml:space="preserve">However, we consider it is unlikely </w:t>
      </w:r>
      <w:r w:rsidRPr="00883125">
        <w:t>to have a material impact on the utilisation of imputation credits</w:t>
      </w:r>
      <w:r>
        <w:t xml:space="preserve"> by domestic</w:t>
      </w:r>
      <w:r w:rsidRPr="00883125">
        <w:t xml:space="preserve"> investors</w:t>
      </w:r>
      <w:r>
        <w:t xml:space="preserve">. Importantly, </w:t>
      </w:r>
      <w:r w:rsidRPr="00883125">
        <w:t xml:space="preserve">no data has been presented that </w:t>
      </w:r>
      <w:r>
        <w:t>demonstrates a material impact</w:t>
      </w:r>
      <w:r w:rsidRPr="00883125">
        <w:t>.</w:t>
      </w:r>
    </w:p>
    <w:p w:rsidR="00C52695" w:rsidRDefault="00C52695" w:rsidP="00C52695">
      <w:r>
        <w:t xml:space="preserve">We also recognise the equity ownership approach produces a range of estimates of the utilisation rate, and the upper end of this range is higher than the estimate produced from tax statistics (see discussion under 'Tax statistics' below). However, we do not consider this means the equity ownership approach is incorrect. This is because tax statistics, like the equity ownership approach, produce an estimate of the utilisation rate. These estimates are uncertain and dependent on the quality of the underlying data (this is a particular issue for tax statistics). As such, </w:t>
      </w:r>
      <w:r w:rsidRPr="00883125">
        <w:t>the true (unknown) value could be higher or lower.</w:t>
      </w:r>
      <w:r>
        <w:t xml:space="preserve"> Following this, we do not consider </w:t>
      </w:r>
      <w:r w:rsidRPr="00883125">
        <w:t xml:space="preserve">the 45 day rule explains the difference in utilisation </w:t>
      </w:r>
      <w:r>
        <w:t>rate</w:t>
      </w:r>
      <w:r w:rsidRPr="00883125">
        <w:t xml:space="preserve"> </w:t>
      </w:r>
      <w:r>
        <w:t>estimates between</w:t>
      </w:r>
      <w:r w:rsidRPr="00883125">
        <w:t xml:space="preserve"> tax statistics and the equity ownership approach.</w:t>
      </w:r>
      <w:r w:rsidRPr="00E92A90">
        <w:t xml:space="preserve"> </w:t>
      </w:r>
      <w:r w:rsidRPr="00883125">
        <w:t>We consider the difference is likely drive</w:t>
      </w:r>
      <w:r>
        <w:t>n</w:t>
      </w:r>
      <w:r w:rsidRPr="00883125">
        <w:t xml:space="preserve"> by estimation error in the taxation data</w:t>
      </w:r>
      <w:r>
        <w:t>. This view is supported by Lally.</w:t>
      </w:r>
      <w:r>
        <w:rPr>
          <w:rStyle w:val="FootnoteReference"/>
        </w:rPr>
        <w:footnoteReference w:id="148"/>
      </w:r>
      <w:r w:rsidRPr="004F21F7">
        <w:t xml:space="preserve"> </w:t>
      </w:r>
      <w:r>
        <w:t>We also note Lally's statement that:</w:t>
      </w:r>
      <w:r>
        <w:rPr>
          <w:rStyle w:val="FootnoteReference"/>
        </w:rPr>
        <w:footnoteReference w:id="149"/>
      </w:r>
    </w:p>
    <w:p w:rsidR="00C52695" w:rsidRPr="00883125" w:rsidRDefault="00C52695" w:rsidP="00C52695">
      <w:pPr>
        <w:pStyle w:val="AERquote"/>
      </w:pPr>
      <w:r w:rsidRPr="004F21F7">
        <w:t>Thus, if foreign investors are recognized and absent any information on the terms other than the value weights on the RHS of equation (8), the equity ownership approach is not an upper bound on theta but an unbiased estimate.</w:t>
      </w:r>
    </w:p>
    <w:p w:rsidR="00C52695" w:rsidRPr="00883125" w:rsidRDefault="00C52695" w:rsidP="00C52695">
      <w:pPr>
        <w:numPr>
          <w:ilvl w:val="0"/>
          <w:numId w:val="24"/>
        </w:numPr>
      </w:pPr>
      <w:r w:rsidRPr="00883125">
        <w:t>We consider that a reasonable estimate for the utilisation rate from the equity ownership approach is between:</w:t>
      </w:r>
    </w:p>
    <w:p w:rsidR="00C52695" w:rsidRPr="00883125" w:rsidRDefault="00C52695" w:rsidP="00C52695">
      <w:pPr>
        <w:pStyle w:val="AERbulletlistfirststyle"/>
      </w:pPr>
      <w:r w:rsidRPr="00883125">
        <w:t>0.56 and 0.68, if all equity is considered</w:t>
      </w:r>
    </w:p>
    <w:p w:rsidR="00C52695" w:rsidRPr="00883125" w:rsidRDefault="00C52695" w:rsidP="00C52695">
      <w:pPr>
        <w:pStyle w:val="AERbulletlistfirststyle"/>
      </w:pPr>
      <w:r w:rsidRPr="00883125">
        <w:t>0.38 and 0.55, if only listed equity is considered.</w:t>
      </w:r>
    </w:p>
    <w:p w:rsidR="00C52695" w:rsidRDefault="00C52695" w:rsidP="00C52695">
      <w:r w:rsidRPr="00883125">
        <w:t xml:space="preserve">This differs from the Guideline. In the Guideline, we considered that the equity ownership approach supported a utilisation rate between 0.7 and 0.8. Since the Guideline's publication, we have examined more closely the relevant data from the National Accounts. This has allowed us to update and refine our estimates. </w:t>
      </w:r>
    </w:p>
    <w:p w:rsidR="00C52695" w:rsidRDefault="00C52695" w:rsidP="00C52695">
      <w:r w:rsidRPr="00883125">
        <w:t xml:space="preserve">We describe our application of the equity ownership approach and our re-examination of this source of evidence since the Guideline in detail in section </w:t>
      </w:r>
      <w:r w:rsidRPr="00883125">
        <w:fldChar w:fldCharType="begin"/>
      </w:r>
      <w:r w:rsidRPr="00883125">
        <w:instrText xml:space="preserve"> REF _Ref415049811 \r \h </w:instrText>
      </w:r>
      <w:r w:rsidRPr="00883125">
        <w:fldChar w:fldCharType="separate"/>
      </w:r>
      <w:r w:rsidR="007E3457">
        <w:t>A.12</w:t>
      </w:r>
      <w:r w:rsidRPr="00883125">
        <w:fldChar w:fldCharType="end"/>
      </w:r>
      <w:r w:rsidRPr="00883125">
        <w:t>.</w:t>
      </w:r>
    </w:p>
    <w:p w:rsidR="00C52695" w:rsidRPr="00856171" w:rsidRDefault="00C52695" w:rsidP="00C52695">
      <w:pPr>
        <w:pStyle w:val="HeadingBoldItalic"/>
      </w:pPr>
      <w:bookmarkStart w:id="116" w:name="_Toc456614286"/>
      <w:bookmarkStart w:id="117" w:name="_Toc481056658"/>
      <w:bookmarkStart w:id="118" w:name="_Toc481061452"/>
      <w:r>
        <w:t>Tax statistics</w:t>
      </w:r>
      <w:bookmarkEnd w:id="116"/>
      <w:bookmarkEnd w:id="117"/>
      <w:bookmarkEnd w:id="118"/>
    </w:p>
    <w:p w:rsidR="00C52695" w:rsidRPr="00883125" w:rsidRDefault="00C52695" w:rsidP="00C52695">
      <w:pPr>
        <w:numPr>
          <w:ilvl w:val="0"/>
          <w:numId w:val="24"/>
        </w:numPr>
      </w:pPr>
      <w:r w:rsidRPr="00883125">
        <w:t>The ATO publishes aggregate statistics on the tax returns submitted by individuals, superannuation funds and companies, as well as on the imputation credits refunded to certain income tax exempt entities (for example, charities).</w:t>
      </w:r>
      <w:r w:rsidRPr="00883125">
        <w:rPr>
          <w:rStyle w:val="FootnoteReference"/>
        </w:rPr>
        <w:footnoteReference w:id="150"/>
      </w:r>
      <w:r w:rsidRPr="00883125">
        <w:t xml:space="preserve"> In theory, these statistics can be used to derive a measure of the total amount of imputation credits utilised by eligible investors to offset tax or to be refunded. As discussed in relation to the distribution rate, ATO statistics also provide estimates of the amount of imputation credits distributed. We consider the reported value of credits utilised divided by the reported value of credits distributed is an estimate of the utilisation rate</w:t>
      </w:r>
      <w:r>
        <w:t>.</w:t>
      </w:r>
    </w:p>
    <w:p w:rsidR="00C52695" w:rsidRDefault="00C52695" w:rsidP="00C52695">
      <w:pPr>
        <w:numPr>
          <w:ilvl w:val="0"/>
          <w:numId w:val="24"/>
        </w:numPr>
      </w:pPr>
      <w:r w:rsidRPr="00883125">
        <w:t>We have had regard to tax statistics when considering estimates of the utilisation rate. We place a degree of reliance upon tax statistics that is less than that placed upon the equity ownership approach, but which is more than that placed on implied market value studies. Our position on tax statistics is consistent with the advice from Handley and Lally. Handley considered tax statistics to be the second most important approach to estimating the utilisation rate after the equity ownership approach.</w:t>
      </w:r>
      <w:r w:rsidRPr="00883125">
        <w:rPr>
          <w:rStyle w:val="FootnoteReference"/>
        </w:rPr>
        <w:footnoteReference w:id="151"/>
      </w:r>
      <w:r w:rsidRPr="00883125">
        <w:t xml:space="preserve"> Lally considered that the tax statistics approach lacks precision, and he did not prefer it to the equity ownership approach.</w:t>
      </w:r>
      <w:r w:rsidRPr="00883125">
        <w:rPr>
          <w:rStyle w:val="FootnoteReference"/>
        </w:rPr>
        <w:footnoteReference w:id="152"/>
      </w:r>
      <w:r w:rsidRPr="00883125">
        <w:t xml:space="preserve"> However, Lally still preferred tax statistics to implied market value studies.</w:t>
      </w:r>
      <w:r w:rsidRPr="00883125">
        <w:rPr>
          <w:rStyle w:val="FootnoteReference"/>
        </w:rPr>
        <w:footnoteReference w:id="153"/>
      </w:r>
    </w:p>
    <w:p w:rsidR="00C52695" w:rsidRPr="00883125" w:rsidRDefault="00C52695" w:rsidP="00C52695">
      <w:pPr>
        <w:numPr>
          <w:ilvl w:val="0"/>
          <w:numId w:val="24"/>
        </w:numPr>
      </w:pPr>
      <w:r w:rsidRPr="00883125">
        <w:t>We have placed less reliance upon tax statistics compared with the equity ownership approach because we consider that tax statistics have a number of limitations:</w:t>
      </w:r>
    </w:p>
    <w:p w:rsidR="00C52695" w:rsidRPr="001D37D5" w:rsidRDefault="00C52695" w:rsidP="00C52695">
      <w:pPr>
        <w:pStyle w:val="AERbulletlistfirststyle"/>
      </w:pPr>
      <w:r w:rsidRPr="00883125">
        <w:t>There are residual concerns regarding the data. While Hathaway considered that the amounts of tax paid and credits utilised can be concluded ‘with some confidence’ and that they are ‘unlikely to be in major error’</w:t>
      </w:r>
      <w:r w:rsidRPr="001D37D5">
        <w:t>. Hathaway also identified a significant discrepancy associated with the tracking of imputation credits in the data that led him to 'urge all caution in using ATO statistics for any estimates of parameters concerned with [imputation] credits'.</w:t>
      </w:r>
      <w:r w:rsidRPr="001D37D5">
        <w:rPr>
          <w:rStyle w:val="FootnoteReference"/>
        </w:rPr>
        <w:footnoteReference w:id="154"/>
      </w:r>
    </w:p>
    <w:p w:rsidR="00C52695" w:rsidRPr="00883125" w:rsidRDefault="00C52695" w:rsidP="00C52695">
      <w:pPr>
        <w:pStyle w:val="AERbulletlistfirststyle"/>
      </w:pPr>
      <w:r w:rsidRPr="00883125">
        <w:t>They do not reflect the amount of credits refunded to individuals that do not have to fill out a tax return.</w:t>
      </w:r>
    </w:p>
    <w:p w:rsidR="00C52695" w:rsidRPr="001D37D5" w:rsidRDefault="00C52695" w:rsidP="00C52695">
      <w:pPr>
        <w:pStyle w:val="AERbulletlistfirststyle"/>
      </w:pPr>
      <w:r w:rsidRPr="00883125">
        <w:t>They might not reflect the amount of credits refunded to certain types of entities.</w:t>
      </w:r>
      <w:r w:rsidRPr="001D37D5">
        <w:rPr>
          <w:rStyle w:val="FootnoteReference"/>
        </w:rPr>
        <w:footnoteReference w:id="155"/>
      </w:r>
      <w:r w:rsidRPr="001D37D5">
        <w:t xml:space="preserve"> </w:t>
      </w:r>
    </w:p>
    <w:p w:rsidR="00C52695" w:rsidRPr="001D37D5" w:rsidRDefault="00C52695" w:rsidP="00C52695">
      <w:pPr>
        <w:pStyle w:val="AERbulletlistfirststyle"/>
      </w:pPr>
      <w:r w:rsidRPr="00883125">
        <w:t>They do not provide estimates of the utilisation rate for investors in only listed equity. Handley suggested that evidence from listed equity is more relevant to the benchmark efficient entity.</w:t>
      </w:r>
      <w:r w:rsidRPr="001D37D5">
        <w:rPr>
          <w:rStyle w:val="FootnoteReference"/>
        </w:rPr>
        <w:footnoteReference w:id="156"/>
      </w:r>
    </w:p>
    <w:p w:rsidR="00C52695" w:rsidRPr="001D37D5" w:rsidRDefault="00C52695" w:rsidP="00C52695">
      <w:pPr>
        <w:pStyle w:val="AERbulletlistfirststyle"/>
      </w:pPr>
      <w:r w:rsidRPr="005764F6">
        <w:t>Lally</w:t>
      </w:r>
      <w:r w:rsidR="008802AB">
        <w:t xml:space="preserve"> </w:t>
      </w:r>
      <w:r w:rsidRPr="005764F6">
        <w:t xml:space="preserve">considered tax statistics </w:t>
      </w:r>
      <w:r w:rsidRPr="001D37D5">
        <w:t>based estimates of the utilisation rate are unreliable and potentially biased.</w:t>
      </w:r>
      <w:r w:rsidRPr="001D37D5">
        <w:rPr>
          <w:rStyle w:val="FootnoteReference"/>
        </w:rPr>
        <w:footnoteReference w:id="157"/>
      </w:r>
    </w:p>
    <w:p w:rsidR="00C52695" w:rsidRPr="00883125" w:rsidRDefault="00C52695" w:rsidP="00C52695">
      <w:pPr>
        <w:numPr>
          <w:ilvl w:val="0"/>
          <w:numId w:val="24"/>
        </w:numPr>
      </w:pPr>
      <w:r w:rsidRPr="00883125">
        <w:t>With regard to Hathaway's analysis, in the draft decisions released in 2014 we considered that tax statistics supported an estimate of the utilisation rate between 0.4 and 0.6.</w:t>
      </w:r>
      <w:r w:rsidRPr="00883125">
        <w:rPr>
          <w:rStyle w:val="FootnoteReference"/>
        </w:rPr>
        <w:footnoteReference w:id="158"/>
      </w:r>
      <w:r w:rsidRPr="00883125">
        <w:t xml:space="preserve"> However, we also recognised in the draft decisions </w:t>
      </w:r>
      <w:r>
        <w:t xml:space="preserve">released in 2014 </w:t>
      </w:r>
      <w:r w:rsidRPr="00883125">
        <w:t>that our estimate of the distribution rate (0.7) implied that we should adopt a utilisation rate of around 0.43 from within this range for consistency. This differs from the Guideline, in which we considered that tax statistics supported an estimate of the utilisation rate between 0.4 and 0.8.</w:t>
      </w:r>
    </w:p>
    <w:p w:rsidR="00C52695" w:rsidRPr="00883125" w:rsidRDefault="00C52695" w:rsidP="00C52695">
      <w:pPr>
        <w:numPr>
          <w:ilvl w:val="0"/>
          <w:numId w:val="24"/>
        </w:numPr>
      </w:pPr>
      <w:r w:rsidRPr="00883125">
        <w:t>Since the Guideline, we have continued to examine this evidence. We now consider that greater reliance should be placed upon estimates that are:</w:t>
      </w:r>
    </w:p>
    <w:p w:rsidR="00C52695" w:rsidRPr="001D37D5" w:rsidRDefault="00C52695" w:rsidP="00C52695">
      <w:pPr>
        <w:pStyle w:val="AERbulletlistfirststyle"/>
      </w:pPr>
      <w:r w:rsidRPr="00883125">
        <w:t>derived from post-2004 data, consistent with Hathaway's findings that the ATO statistics are subject to a number of issues prior to 2004</w:t>
      </w:r>
      <w:r w:rsidRPr="001D37D5">
        <w:rPr>
          <w:rStyle w:val="FootnoteReference"/>
        </w:rPr>
        <w:footnoteReference w:id="159"/>
      </w:r>
    </w:p>
    <w:p w:rsidR="00C52695" w:rsidRPr="001D37D5" w:rsidRDefault="00C52695" w:rsidP="00C52695">
      <w:pPr>
        <w:pStyle w:val="AERbulletlistfirststyle"/>
      </w:pPr>
      <w:r w:rsidRPr="00883125">
        <w:t>consistent with our estimates of the distribution rate</w:t>
      </w:r>
      <w:r w:rsidRPr="001D37D5">
        <w:t xml:space="preserve"> using cumulative distribution rate data. However, we note this consistency principle does not preclude the combination of a utilisation rate estimated based on this principle with a higher estimate of the distribution rate for the benchmark efficient entity based on Lally's latest advice.</w:t>
      </w:r>
      <w:r w:rsidRPr="001D37D5">
        <w:rPr>
          <w:rStyle w:val="FootnoteReference"/>
        </w:rPr>
        <w:footnoteReference w:id="160"/>
      </w:r>
      <w:r w:rsidRPr="001D37D5">
        <w:t xml:space="preserve"> </w:t>
      </w:r>
    </w:p>
    <w:p w:rsidR="00C52695" w:rsidRPr="00856171" w:rsidRDefault="00C52695" w:rsidP="00C52695">
      <w:r w:rsidRPr="00883125">
        <w:t xml:space="preserve">In this </w:t>
      </w:r>
      <w:r w:rsidR="00F37A59">
        <w:t>draft</w:t>
      </w:r>
      <w:r w:rsidR="00AB2F1E">
        <w:t xml:space="preserve"> </w:t>
      </w:r>
      <w:r w:rsidRPr="00856171">
        <w:t>decision, we have regard to NERA's updated analysis of the ATO data to the 2012 tax year.</w:t>
      </w:r>
      <w:r w:rsidRPr="00856171">
        <w:rPr>
          <w:rStyle w:val="FootnoteReference"/>
        </w:rPr>
        <w:footnoteReference w:id="161"/>
      </w:r>
      <w:r w:rsidRPr="00856171">
        <w:t xml:space="preserve"> This analysis supports a distribution rate of 0.7 and a utilisation rate of 0.45. Using updated ATO data to the 2012-13 year, Gray (for Frontier) has estimated a slightly higher utilisation rate of 0.46 for the period 2004 to 2013. Our analysis uses updated ATO data up to 2013-14 and estimates a slightly higher utilisation rate of 0.48 for the period 2004 to 2014.</w:t>
      </w:r>
    </w:p>
    <w:p w:rsidR="00651429" w:rsidRDefault="00C52695" w:rsidP="00C52695">
      <w:r>
        <w:t>We consider</w:t>
      </w:r>
      <w:r w:rsidRPr="00856171">
        <w:t xml:space="preserve"> tax statistics are a valid method for estimating a point estimate of the utilisation </w:t>
      </w:r>
      <w:r>
        <w:t>rate</w:t>
      </w:r>
      <w:r w:rsidRPr="00856171">
        <w:t xml:space="preserve">. However, we consider it provides a less reliable estimate of the utilisation </w:t>
      </w:r>
      <w:r>
        <w:t>rate</w:t>
      </w:r>
      <w:r w:rsidRPr="00856171">
        <w:t xml:space="preserve"> than the equity ownership approach (see discussion under 'Equity ownership approach' above). This is because there are issues with the underlying taxation data. As explained above, we consider the</w:t>
      </w:r>
      <w:r>
        <w:t>re are issues with the</w:t>
      </w:r>
      <w:r w:rsidRPr="00856171">
        <w:t xml:space="preserve"> </w:t>
      </w:r>
      <w:r>
        <w:t xml:space="preserve">underlying taxation data </w:t>
      </w:r>
      <w:r w:rsidRPr="00856171">
        <w:t xml:space="preserve">and experts </w:t>
      </w:r>
      <w:r>
        <w:t>consider it to be unreliable</w:t>
      </w:r>
      <w:r w:rsidRPr="00856171">
        <w:t>.</w:t>
      </w:r>
      <w:r w:rsidRPr="00F17E04">
        <w:t xml:space="preserve"> </w:t>
      </w:r>
      <w:r w:rsidR="00651429">
        <w:t>We note that Frontier has submitted that gamma can be estimate reliably from tax statistics as the ratio of credits redeemed to credit credits created.</w:t>
      </w:r>
      <w:r w:rsidR="0010651C">
        <w:rPr>
          <w:rStyle w:val="FootnoteReference"/>
        </w:rPr>
        <w:footnoteReference w:id="162"/>
      </w:r>
      <w:r w:rsidR="00651429">
        <w:t xml:space="preserve"> However, after </w:t>
      </w:r>
      <w:r w:rsidR="006418BE">
        <w:t>reviewing</w:t>
      </w:r>
      <w:r w:rsidR="00651429">
        <w:t xml:space="preserve"> the Hathaway paper and </w:t>
      </w:r>
      <w:r w:rsidR="00447949">
        <w:t xml:space="preserve">Lally's </w:t>
      </w:r>
      <w:r w:rsidR="00651429">
        <w:t xml:space="preserve">advice, we are not convinced. This is further discussed in section </w:t>
      </w:r>
      <w:r w:rsidR="00651429">
        <w:fldChar w:fldCharType="begin"/>
      </w:r>
      <w:r w:rsidR="00651429">
        <w:instrText xml:space="preserve"> REF _Ref402179420 \r \h </w:instrText>
      </w:r>
      <w:r w:rsidR="00651429">
        <w:fldChar w:fldCharType="separate"/>
      </w:r>
      <w:r w:rsidR="007E3457">
        <w:t>A.13</w:t>
      </w:r>
      <w:r w:rsidR="00651429">
        <w:fldChar w:fldCharType="end"/>
      </w:r>
      <w:r w:rsidR="00651429">
        <w:t>.</w:t>
      </w:r>
    </w:p>
    <w:p w:rsidR="00C52695" w:rsidRPr="00856171" w:rsidRDefault="00C52695" w:rsidP="00C52695">
      <w:r>
        <w:t>Nevertheless, h</w:t>
      </w:r>
      <w:r w:rsidRPr="00F17E04">
        <w:t>aving regard to the potential data limitations and alternate estimates, the evidence from tax statistics is not inconsistent with the evidence from the equity ownership approach. We also note</w:t>
      </w:r>
      <w:r>
        <w:t xml:space="preserve"> that </w:t>
      </w:r>
      <w:r w:rsidRPr="00F17E04">
        <w:t>an estimate of gamma of approximately 0.4 is obtained when combining a utilisation rate of 0.48 (</w:t>
      </w:r>
      <w:r>
        <w:t>consistent with</w:t>
      </w:r>
      <w:r w:rsidRPr="00F17E04">
        <w:t xml:space="preserve"> FAB data) with Lally's preferred estimate of the distribution rate for a benchmark efficient entity of 0.83</w:t>
      </w:r>
      <w:r>
        <w:t>.</w:t>
      </w:r>
    </w:p>
    <w:p w:rsidR="00C52695" w:rsidRDefault="00C52695" w:rsidP="00C52695">
      <w:r w:rsidRPr="00883125">
        <w:t xml:space="preserve">We discuss our revised </w:t>
      </w:r>
      <w:r>
        <w:t xml:space="preserve">(post-Guideline) </w:t>
      </w:r>
      <w:r w:rsidRPr="00883125">
        <w:t xml:space="preserve">consideration of tax statistics in more detail in section </w:t>
      </w:r>
      <w:r w:rsidRPr="00883125">
        <w:fldChar w:fldCharType="begin"/>
      </w:r>
      <w:r w:rsidRPr="00883125">
        <w:instrText xml:space="preserve"> REF _Ref402179420 \r \h </w:instrText>
      </w:r>
      <w:r w:rsidRPr="00883125">
        <w:fldChar w:fldCharType="separate"/>
      </w:r>
      <w:r w:rsidR="007E3457">
        <w:t>A.13</w:t>
      </w:r>
      <w:r w:rsidRPr="00883125">
        <w:fldChar w:fldCharType="end"/>
      </w:r>
      <w:r w:rsidRPr="00883125">
        <w:t>.</w:t>
      </w:r>
    </w:p>
    <w:p w:rsidR="00C52695" w:rsidRPr="00856171" w:rsidRDefault="00C52695" w:rsidP="00C52695">
      <w:pPr>
        <w:pStyle w:val="HeadingBoldItalic"/>
      </w:pPr>
      <w:bookmarkStart w:id="119" w:name="_Toc456614287"/>
      <w:bookmarkStart w:id="120" w:name="_Toc481056659"/>
      <w:bookmarkStart w:id="121" w:name="_Toc481061453"/>
      <w:r>
        <w:t>Implied market value studies</w:t>
      </w:r>
      <w:bookmarkEnd w:id="119"/>
      <w:bookmarkEnd w:id="120"/>
      <w:bookmarkEnd w:id="121"/>
    </w:p>
    <w:p w:rsidR="00C52695" w:rsidRPr="00883125" w:rsidRDefault="00C52695" w:rsidP="00C52695">
      <w:pPr>
        <w:numPr>
          <w:ilvl w:val="0"/>
          <w:numId w:val="24"/>
        </w:numPr>
      </w:pPr>
      <w:r w:rsidRPr="00883125">
        <w:t xml:space="preserve">Implied market value studies seek to infer from market prices the value of distributed imputation credits. A wide range of such studies have been conducted over time, employing a variety of techniques. A common type of implied market value study are dividend drop off studies. These studies compare the price of a security with and without the entitlement to a dividend. Econometric techniques are then used to infer the value of the imputation credits attached to these dividends. We discuss the different types of implied market value study in section </w:t>
      </w:r>
      <w:r w:rsidRPr="00883125">
        <w:fldChar w:fldCharType="begin"/>
      </w:r>
      <w:r w:rsidRPr="00883125">
        <w:instrText xml:space="preserve"> REF _Ref402791521 \r \h </w:instrText>
      </w:r>
      <w:r w:rsidRPr="00883125">
        <w:fldChar w:fldCharType="separate"/>
      </w:r>
      <w:r w:rsidR="007E3457">
        <w:t>A.15.1</w:t>
      </w:r>
      <w:r w:rsidRPr="00883125">
        <w:fldChar w:fldCharType="end"/>
      </w:r>
      <w:r w:rsidRPr="00883125">
        <w:t>.</w:t>
      </w:r>
    </w:p>
    <w:p w:rsidR="004B6A76" w:rsidRPr="004B6A76" w:rsidRDefault="00C52695" w:rsidP="004B6A76">
      <w:pPr>
        <w:numPr>
          <w:ilvl w:val="0"/>
          <w:numId w:val="24"/>
        </w:numPr>
      </w:pPr>
      <w:r w:rsidRPr="00883125">
        <w:t>We consider that the equity ownership approach and tax statistics provide more direct and simpler evidence on the utilisation rate than implied market value studies. Handley supported this view; he noted that dividend drop off studies are the most relevant class of implied market value study, but considered them less important to estimating the utilisation rate than the equity ownership approach and tax statistics.</w:t>
      </w:r>
      <w:r w:rsidRPr="00883125">
        <w:rPr>
          <w:rStyle w:val="FootnoteReference"/>
        </w:rPr>
        <w:footnoteReference w:id="163"/>
      </w:r>
      <w:r w:rsidRPr="00883125">
        <w:t xml:space="preserve"> Lally identified a number of issues with using market prices to estimate the utilisation rate and, therefore, preferred the equity ownership approach.</w:t>
      </w:r>
      <w:r w:rsidRPr="00883125">
        <w:rPr>
          <w:rStyle w:val="FootnoteReference"/>
        </w:rPr>
        <w:footnoteReference w:id="164"/>
      </w:r>
      <w:r>
        <w:t xml:space="preserve"> Lally preferred both the equity ownership approach and tax statistics to dividend drop off studies.</w:t>
      </w:r>
      <w:r>
        <w:rPr>
          <w:rStyle w:val="FootnoteReference"/>
        </w:rPr>
        <w:footnoteReference w:id="165"/>
      </w:r>
      <w:r w:rsidR="00C87BA0">
        <w:t xml:space="preserve"> The </w:t>
      </w:r>
      <w:r w:rsidR="00173FC3">
        <w:t xml:space="preserve">May 2017 decision of the </w:t>
      </w:r>
      <w:r w:rsidR="00C87BA0">
        <w:t xml:space="preserve">Full Federal Court </w:t>
      </w:r>
      <w:r w:rsidR="004B6A76">
        <w:t>stated</w:t>
      </w:r>
      <w:r w:rsidR="00C87BA0">
        <w:t xml:space="preserve"> that </w:t>
      </w:r>
      <w:r w:rsidR="00BD6803">
        <w:t>the expression "the value of imputation credits" is to be construed as a whole rather than limiting attention to the word "value" and</w:t>
      </w:r>
      <w:r w:rsidR="004B6A76" w:rsidRPr="004B6A76">
        <w:t xml:space="preserve"> </w:t>
      </w:r>
      <w:r w:rsidR="004B6A76">
        <w:t>give it a meaning in isolation</w:t>
      </w:r>
      <w:r w:rsidR="00BD6803">
        <w:t>.</w:t>
      </w:r>
      <w:r w:rsidR="00173FC3">
        <w:rPr>
          <w:rStyle w:val="FootnoteReference"/>
        </w:rPr>
        <w:footnoteReference w:id="166"/>
      </w:r>
      <w:r w:rsidR="00BD6803">
        <w:t xml:space="preserve"> </w:t>
      </w:r>
      <w:r w:rsidR="004B6A76" w:rsidRPr="004B6A76">
        <w:t>The Court found that the Tribunal was distracted by the apparent simplicity of the concept of market studies and data into mistaking what was to be estimated as real in a market rather than as estimates within a model</w:t>
      </w:r>
      <w:r w:rsidR="004B6A76">
        <w:t>.</w:t>
      </w:r>
      <w:r w:rsidR="004B6A76">
        <w:rPr>
          <w:rStyle w:val="FootnoteReference"/>
        </w:rPr>
        <w:footnoteReference w:id="167"/>
      </w:r>
    </w:p>
    <w:p w:rsidR="00C52695" w:rsidRPr="00883125" w:rsidRDefault="00C52695" w:rsidP="004B6A76">
      <w:pPr>
        <w:numPr>
          <w:ilvl w:val="0"/>
          <w:numId w:val="24"/>
        </w:numPr>
      </w:pPr>
      <w:r w:rsidRPr="00883125">
        <w:t>We also consider that these studies can be subject to a number of limitations. The limitations of implied market value studies can include:</w:t>
      </w:r>
    </w:p>
    <w:p w:rsidR="00C52695" w:rsidRPr="00883125" w:rsidRDefault="00C52695" w:rsidP="00C52695">
      <w:pPr>
        <w:pStyle w:val="AERbulletlistfirststyle"/>
      </w:pPr>
      <w:r w:rsidRPr="00883125">
        <w:t>These studies can produce nonsensical estimates of the utilisation rate; that is, greater than one or less than zero.</w:t>
      </w:r>
    </w:p>
    <w:p w:rsidR="00C52695" w:rsidRPr="00883125" w:rsidRDefault="00C52695" w:rsidP="00C52695">
      <w:pPr>
        <w:pStyle w:val="AERbulletlistfirststyle"/>
      </w:pPr>
      <w:r w:rsidRPr="00883125">
        <w:t xml:space="preserve">The results of these studies can be influenced by factors, such as differential personal taxes and risk, which are not relevant to the utilisation rate. The utilisation rate should be estimated on a </w:t>
      </w:r>
      <w:r>
        <w:t xml:space="preserve">post-company </w:t>
      </w:r>
      <w:r w:rsidRPr="00883125">
        <w:t>pre-personal tax basis consistent with the allowed rate of return parameters and the post (corporate) tax framework in the NER/NGR.</w:t>
      </w:r>
      <w:r w:rsidR="00BD6803">
        <w:t xml:space="preserve"> This is supported by the </w:t>
      </w:r>
      <w:r w:rsidR="00173FC3">
        <w:t xml:space="preserve">May 2017 </w:t>
      </w:r>
      <w:r w:rsidR="00BD6803">
        <w:t>Full Federal Court decision</w:t>
      </w:r>
      <w:r w:rsidR="00173FC3">
        <w:t xml:space="preserve"> where the court found</w:t>
      </w:r>
      <w:r w:rsidR="00BD6803">
        <w:t xml:space="preserve"> that the Rules require consistency in the way the relevant building blocks interact</w:t>
      </w:r>
      <w:r w:rsidR="00A2267E">
        <w:t>, that is,</w:t>
      </w:r>
      <w:r w:rsidR="00BD6803">
        <w:t xml:space="preserve"> on a post-company tax and pre-personal tax and personal costs basis.</w:t>
      </w:r>
      <w:r w:rsidR="00173FC3">
        <w:rPr>
          <w:rStyle w:val="FootnoteReference"/>
        </w:rPr>
        <w:footnoteReference w:id="168"/>
      </w:r>
      <w:r w:rsidR="00BD6803">
        <w:t xml:space="preserve">  </w:t>
      </w:r>
    </w:p>
    <w:p w:rsidR="00C52695" w:rsidRPr="001D37D5" w:rsidRDefault="00C52695" w:rsidP="00C52695">
      <w:pPr>
        <w:pStyle w:val="AERbulletlistfirststyle"/>
      </w:pPr>
      <w:r w:rsidRPr="00883125">
        <w:t>The results of these studies might not be reflective of the value of imputation credits to investors in the market as a whole. For instance, in dividend drop off studies the value of imputation credits is determined by the marginal investor that trade around the ex-dividend date.</w:t>
      </w:r>
      <w:r w:rsidRPr="001D37D5">
        <w:rPr>
          <w:rStyle w:val="FootnoteReference"/>
        </w:rPr>
        <w:footnoteReference w:id="169"/>
      </w:r>
      <w:r w:rsidRPr="001D37D5">
        <w:t xml:space="preserve"> </w:t>
      </w:r>
      <w:r w:rsidR="003200DF">
        <w:t xml:space="preserve"> </w:t>
      </w:r>
      <w:r w:rsidR="00A2267E" w:rsidRPr="001D37D5" w:rsidDel="00EF56D7">
        <w:t xml:space="preserve"> </w:t>
      </w:r>
      <w:r w:rsidR="00A2267E">
        <w:t>T</w:t>
      </w:r>
      <w:r w:rsidRPr="001D37D5">
        <w:t>here is no reason to assume this reflects the value that long term investors who provide capital to a benchmark efficient entity place on imputation credits in aggregate. There is also no reason to assume this value will show what proportion of company tax is a prepayment of personal tax.</w:t>
      </w:r>
      <w:r w:rsidRPr="001D37D5">
        <w:rPr>
          <w:rStyle w:val="FootnoteReference"/>
        </w:rPr>
        <w:footnoteReference w:id="170"/>
      </w:r>
    </w:p>
    <w:p w:rsidR="00C52695" w:rsidRPr="00883125" w:rsidRDefault="00C52695" w:rsidP="00C52695">
      <w:pPr>
        <w:pStyle w:val="AERbulletlistfirststyle"/>
      </w:pPr>
      <w:r w:rsidRPr="00883125">
        <w:t>These studies can be data intensive and employ complex and sometimes problematic estimation methodologies.</w:t>
      </w:r>
    </w:p>
    <w:p w:rsidR="00C52695" w:rsidRPr="00883125" w:rsidRDefault="00C52695" w:rsidP="00C52695">
      <w:pPr>
        <w:pStyle w:val="AERbulletlistfirststyle"/>
      </w:pPr>
      <w:r w:rsidRPr="00883125">
        <w:t>Regarding dividend drop off studies, it is only the value of the combined package of dividends and imputation credits that can be observed in the market. However, there is no consensus among experts on how to separate the value to the market of dividends from the value to the market of imputation credits (this is referred to as the 'allocation problem').</w:t>
      </w:r>
    </w:p>
    <w:p w:rsidR="00DA5171" w:rsidRDefault="00AA7999" w:rsidP="00DA5171">
      <w:pPr>
        <w:numPr>
          <w:ilvl w:val="0"/>
          <w:numId w:val="24"/>
        </w:numPr>
      </w:pPr>
      <w:r>
        <w:t>Lally</w:t>
      </w:r>
      <w:r w:rsidR="00682278">
        <w:t>,</w:t>
      </w:r>
      <w:r>
        <w:t xml:space="preserve"> in </w:t>
      </w:r>
      <w:r w:rsidR="001F59A2">
        <w:t>a</w:t>
      </w:r>
      <w:r>
        <w:t xml:space="preserve">recent </w:t>
      </w:r>
      <w:r w:rsidR="00682278">
        <w:t>report,</w:t>
      </w:r>
      <w:r>
        <w:t xml:space="preserve"> has outlined eleven concerns with the SFG dividend drop off study and many of these concerns </w:t>
      </w:r>
      <w:r w:rsidR="00254FC7">
        <w:t>generally apply to all dividend-</w:t>
      </w:r>
      <w:r>
        <w:t>drop off studies.</w:t>
      </w:r>
      <w:r>
        <w:rPr>
          <w:rStyle w:val="FootnoteReference"/>
        </w:rPr>
        <w:footnoteReference w:id="171"/>
      </w:r>
    </w:p>
    <w:p w:rsidR="00C52695" w:rsidRDefault="00C52695" w:rsidP="00C52695">
      <w:pPr>
        <w:numPr>
          <w:ilvl w:val="0"/>
          <w:numId w:val="24"/>
        </w:numPr>
      </w:pPr>
      <w:r w:rsidRPr="00883125">
        <w:t xml:space="preserve">The limitations of dividend drop off studies are discussed in more detail in section </w:t>
      </w:r>
      <w:r>
        <w:fldChar w:fldCharType="begin"/>
      </w:r>
      <w:r>
        <w:instrText xml:space="preserve"> REF _Ref451242641 \r \h </w:instrText>
      </w:r>
      <w:r>
        <w:fldChar w:fldCharType="separate"/>
      </w:r>
      <w:r w:rsidR="007E3457">
        <w:t>A.15</w:t>
      </w:r>
      <w:r>
        <w:fldChar w:fldCharType="end"/>
      </w:r>
      <w:r w:rsidRPr="00883125">
        <w:t>.</w:t>
      </w:r>
      <w:r w:rsidRPr="00375E4D">
        <w:t xml:space="preserve"> </w:t>
      </w:r>
      <w:r>
        <w:t>However, we note here the following statement from Lally:</w:t>
      </w:r>
      <w:r>
        <w:rPr>
          <w:rStyle w:val="FootnoteReference"/>
        </w:rPr>
        <w:footnoteReference w:id="172"/>
      </w:r>
    </w:p>
    <w:p w:rsidR="00C52695" w:rsidRPr="00883125" w:rsidRDefault="00C52695" w:rsidP="00C52695">
      <w:pPr>
        <w:pStyle w:val="AERquote"/>
      </w:pPr>
      <w:r w:rsidRPr="00375E4D">
        <w:t>In respect of dividend drop-off studies, my views on the merits of this approach appear in Lally (2013, section 3.5) and they are highly adverse.  In particular, the results from such studies are subject to considerable statistical uncertainty, to the tax positions and transactions costs incurred by arbitrageurs who may be quite unrepresentative of investors in general, the contentious question of which model to use, data filtering rules, deletion of outliers, the choice of the “tuning constant” in robust regression models, the wide divergence in results from other types of studies using market evidence, the wide range of evidence on anomalous behaviour around ex-days, and the need to correct the estimated coefficient on imputation credits for the difference in the tax rate on capital gains and dividends.</w:t>
      </w:r>
    </w:p>
    <w:p w:rsidR="00C52695" w:rsidRPr="00883125" w:rsidRDefault="00C52695" w:rsidP="00C52695">
      <w:pPr>
        <w:numPr>
          <w:ilvl w:val="0"/>
          <w:numId w:val="24"/>
        </w:numPr>
      </w:pPr>
      <w:r>
        <w:t>I</w:t>
      </w:r>
      <w:r w:rsidRPr="00883125">
        <w:t xml:space="preserve">n section </w:t>
      </w:r>
      <w:r w:rsidRPr="00883125">
        <w:fldChar w:fldCharType="begin"/>
      </w:r>
      <w:r w:rsidRPr="00883125">
        <w:instrText xml:space="preserve"> REF _Ref403482459 \r \h </w:instrText>
      </w:r>
      <w:r w:rsidRPr="00883125">
        <w:fldChar w:fldCharType="separate"/>
      </w:r>
      <w:r w:rsidR="007E3457">
        <w:t>A.15.2</w:t>
      </w:r>
      <w:r w:rsidRPr="00883125">
        <w:fldChar w:fldCharType="end"/>
      </w:r>
      <w:r>
        <w:t>, w</w:t>
      </w:r>
      <w:r w:rsidRPr="00883125">
        <w:t xml:space="preserve">e summarise the available </w:t>
      </w:r>
      <w:r>
        <w:t xml:space="preserve">implied market value </w:t>
      </w:r>
      <w:r w:rsidRPr="00883125">
        <w:t>studies and their results. Opinion on the merits of the various studies differs:</w:t>
      </w:r>
    </w:p>
    <w:p w:rsidR="00C52695" w:rsidRPr="001D37D5" w:rsidRDefault="00C52695" w:rsidP="00C52695">
      <w:pPr>
        <w:pStyle w:val="AERbulletlistfirststyle"/>
      </w:pPr>
      <w:r w:rsidRPr="00883125">
        <w:t>Gray (for SFG) considered that implied market value studies should be relied upon exclusively when estimating the (after-personal-tax and after-personal-costs) utilisation rate. Moreover, he considered that dividend drop off studies should be preferred to alternative market studies. In Gray's view, there is no reasonable basis for adopting an estimate from dividend drop off analysis above the 0.35 estimate from SFG's study.</w:t>
      </w:r>
      <w:r w:rsidRPr="001D37D5">
        <w:rPr>
          <w:rStyle w:val="FootnoteReference"/>
        </w:rPr>
        <w:footnoteReference w:id="173"/>
      </w:r>
    </w:p>
    <w:p w:rsidR="00C52695" w:rsidRPr="001D37D5" w:rsidRDefault="00C52695" w:rsidP="00C52695">
      <w:pPr>
        <w:pStyle w:val="AERbulletlistfirststyle"/>
      </w:pPr>
      <w:r w:rsidRPr="00883125">
        <w:t>The Economic Regulation Authority of Western Australia (ERA) conducted its own dividend drop off study and concluded that a reasonable estimate is between 0.35 and 0.55.</w:t>
      </w:r>
      <w:r w:rsidRPr="001D37D5">
        <w:rPr>
          <w:rStyle w:val="FootnoteReference"/>
        </w:rPr>
        <w:footnoteReference w:id="174"/>
      </w:r>
    </w:p>
    <w:p w:rsidR="00C52695" w:rsidRPr="001D37D5" w:rsidRDefault="00C52695" w:rsidP="00C52695">
      <w:pPr>
        <w:pStyle w:val="AERbulletlistfirststyle"/>
      </w:pPr>
      <w:r w:rsidRPr="00883125">
        <w:t>Lally concurred with the view that implied market value studies 'warrant low weight', but suggested that some studies are more useful than others based on their characteristics.</w:t>
      </w:r>
      <w:r w:rsidRPr="001D37D5">
        <w:rPr>
          <w:rStyle w:val="FootnoteReference"/>
        </w:rPr>
        <w:footnoteReference w:id="175"/>
      </w:r>
      <w:r w:rsidRPr="001D37D5">
        <w:t xml:space="preserve"> Lally also raised a number of issues in relation to SFG's dividend drop off study.</w:t>
      </w:r>
      <w:r w:rsidRPr="001D37D5">
        <w:rPr>
          <w:rStyle w:val="FootnoteReference"/>
        </w:rPr>
        <w:footnoteReference w:id="176"/>
      </w:r>
      <w:r w:rsidRPr="001D37D5">
        <w:t xml:space="preserve"> Lally </w:t>
      </w:r>
      <w:r w:rsidR="00682278">
        <w:t>considers</w:t>
      </w:r>
      <w:r w:rsidRPr="001D37D5">
        <w:t xml:space="preserve"> that 'minimal weight' should be placed on dividend drop off studies.</w:t>
      </w:r>
      <w:r w:rsidRPr="001D37D5">
        <w:rPr>
          <w:rStyle w:val="FootnoteReference"/>
        </w:rPr>
        <w:footnoteReference w:id="177"/>
      </w:r>
    </w:p>
    <w:p w:rsidR="00C52695" w:rsidRPr="001D37D5" w:rsidRDefault="00C52695" w:rsidP="00C52695">
      <w:pPr>
        <w:pStyle w:val="AERbulletlistfirststyle"/>
      </w:pPr>
      <w:r w:rsidRPr="00883125">
        <w:t>McKenzie and Partington considered that there is no obvious manner in which to weigh the results from various studies based on their characteristics. They observed that a simple average of the results from a reasonably comprehensive sample of studies suggests an estimate of the utilisation rate of 0.53. They also noted that their own studies suggest a significantly higher estimate of 0.83.</w:t>
      </w:r>
      <w:r w:rsidRPr="001D37D5">
        <w:rPr>
          <w:rStyle w:val="FootnoteReference"/>
        </w:rPr>
        <w:footnoteReference w:id="178"/>
      </w:r>
    </w:p>
    <w:p w:rsidR="00C52695" w:rsidRPr="001D37D5" w:rsidRDefault="00C52695" w:rsidP="00C52695">
      <w:pPr>
        <w:pStyle w:val="AERbulletlistfirststyle"/>
      </w:pPr>
      <w:r w:rsidRPr="00883125">
        <w:t>Gray (for Frontier) expressed concerns that the reintroduction of pre-2000 and low quality studies is an error, and that it is also an error to assume all market value studies are of uniform relevance and quality.</w:t>
      </w:r>
      <w:r w:rsidRPr="001D37D5">
        <w:rPr>
          <w:rStyle w:val="FootnoteReference"/>
        </w:rPr>
        <w:footnoteReference w:id="179"/>
      </w:r>
    </w:p>
    <w:p w:rsidR="00C52695" w:rsidRPr="005764F6" w:rsidRDefault="00C52695" w:rsidP="00C52695">
      <w:pPr>
        <w:rPr>
          <w:rStyle w:val="AERbody"/>
        </w:rPr>
      </w:pPr>
      <w:r w:rsidRPr="005764F6">
        <w:rPr>
          <w:rStyle w:val="AERbody"/>
        </w:rPr>
        <w:t xml:space="preserve">A further issue regarding implied market value studies is the appropriate interpretation of their results. Handley and Lally both advised that in the rate of return framework investors are assumed to value one dollar of dividends at one dollar (on a </w:t>
      </w:r>
      <w:r>
        <w:rPr>
          <w:rStyle w:val="AERbody"/>
        </w:rPr>
        <w:t xml:space="preserve">post-company </w:t>
      </w:r>
      <w:r w:rsidRPr="005764F6">
        <w:rPr>
          <w:rStyle w:val="AERbody"/>
        </w:rPr>
        <w:t>pre-personal-tax basis). This is certainly true of how the MRP is estimated, where the face value of historically distributed dividends and historical capital gains are used. However, the results of implied market value studies can reflect certain factors that suggest that investors value one dollar of dividends at less than one dollar (such as differential personal taxes on dividends and capital gains). Moreover, any such factors will affect these studies' results for investors' valuation of imputation credits. Handley and Lally advised that the desired estimate of the utilisation rate should exclude the effect of these factors.</w:t>
      </w:r>
      <w:r w:rsidRPr="00CC0A37">
        <w:rPr>
          <w:rStyle w:val="FootnoteReference"/>
        </w:rPr>
        <w:footnoteReference w:id="180"/>
      </w:r>
      <w:r w:rsidRPr="005764F6">
        <w:rPr>
          <w:rStyle w:val="AERbody"/>
        </w:rPr>
        <w:t xml:space="preserve"> To remove the effect, they advised that the estimate of the utilisation rate from a given study can be divided by investors' estimated valuation of dividends from the same study.</w:t>
      </w:r>
      <w:r w:rsidRPr="00CC0A37">
        <w:rPr>
          <w:rStyle w:val="FootnoteReference"/>
        </w:rPr>
        <w:footnoteReference w:id="181"/>
      </w:r>
      <w:r w:rsidRPr="005764F6">
        <w:rPr>
          <w:rStyle w:val="AERbody"/>
        </w:rPr>
        <w:t xml:space="preserve"> Therefore, Handley and Lally advised that the 0.35 estimate from SFG's dividend drop off study should in fact be interpreted as an estimate of around 0.4.</w:t>
      </w:r>
    </w:p>
    <w:p w:rsidR="00C52695" w:rsidRDefault="00C52695" w:rsidP="00C52695">
      <w:pPr>
        <w:numPr>
          <w:ilvl w:val="0"/>
          <w:numId w:val="24"/>
        </w:numPr>
      </w:pPr>
      <w:r>
        <w:t>In light of this, we consider</w:t>
      </w:r>
      <w:r w:rsidRPr="00883125">
        <w:t xml:space="preserve"> </w:t>
      </w:r>
      <w:r>
        <w:t>implied market value</w:t>
      </w:r>
      <w:r w:rsidRPr="00883125">
        <w:t xml:space="preserve"> studies</w:t>
      </w:r>
      <w:r>
        <w:t>, if they are to be used at all,</w:t>
      </w:r>
      <w:r w:rsidRPr="00883125">
        <w:t xml:space="preserve"> need to be adjusted for the incorrect estimates of the </w:t>
      </w:r>
      <w:r>
        <w:t xml:space="preserve">post-company pre-personal tax </w:t>
      </w:r>
      <w:r w:rsidRPr="00883125">
        <w:t>value of cash dividends which would expect to also result in an incorrect estimate of the value of imputation credits. This is likely correcting for the effect on the observed drop of</w:t>
      </w:r>
      <w:r>
        <w:t>f</w:t>
      </w:r>
      <w:r w:rsidRPr="00883125">
        <w:t xml:space="preserve"> ratio of differential personal taxes between income and capital gains</w:t>
      </w:r>
      <w:r>
        <w:t xml:space="preserve"> (see section </w:t>
      </w:r>
      <w:r>
        <w:fldChar w:fldCharType="begin"/>
      </w:r>
      <w:r>
        <w:instrText xml:space="preserve"> REF _Ref435171205 \r \h </w:instrText>
      </w:r>
      <w:r>
        <w:fldChar w:fldCharType="separate"/>
      </w:r>
      <w:r w:rsidR="007E3457">
        <w:t>A.15.3</w:t>
      </w:r>
      <w:r>
        <w:fldChar w:fldCharType="end"/>
      </w:r>
      <w:r>
        <w:t>)</w:t>
      </w:r>
      <w:r w:rsidRPr="00883125">
        <w:t>. This limitation does not apply to other market parameters in the allowed rate of return framework.</w:t>
      </w:r>
      <w:r>
        <w:t xml:space="preserve"> We also consider that, even when adjusted, we should place limited reliance on estimates of the utilisation rate from implied market value studies because of </w:t>
      </w:r>
      <w:r w:rsidRPr="00883125">
        <w:t>residual concerns about these studies and what they are measuring.</w:t>
      </w:r>
    </w:p>
    <w:p w:rsidR="00C52695" w:rsidRPr="00883125" w:rsidRDefault="00C52695" w:rsidP="00C52695">
      <w:pPr>
        <w:numPr>
          <w:ilvl w:val="0"/>
          <w:numId w:val="24"/>
        </w:numPr>
      </w:pPr>
      <w:r w:rsidRPr="00883125">
        <w:t>In light of the differing views on these studies and the range of estimates they produce, we consider that implied market value studies provide limited guidance. In the Guideline, we considered that implied market value studies supported an estimate of the utilisation rate between 0 and 0.5. This range was determined with regard to a range of studies, with higher regard given to those studies that:</w:t>
      </w:r>
    </w:p>
    <w:p w:rsidR="00C52695" w:rsidRPr="00883125" w:rsidRDefault="00C52695" w:rsidP="00C52695">
      <w:pPr>
        <w:pStyle w:val="AERbulletlistfirststyle"/>
      </w:pPr>
      <w:r w:rsidRPr="00883125">
        <w:t>used longer data periods</w:t>
      </w:r>
    </w:p>
    <w:p w:rsidR="00C52695" w:rsidRPr="00883125" w:rsidRDefault="00C52695" w:rsidP="00C52695">
      <w:pPr>
        <w:pStyle w:val="AERbulletlistfirststyle"/>
      </w:pPr>
      <w:r w:rsidRPr="00883125">
        <w:t>used data since 2000, when the change in tax law entitled eligible investors to a refund of credits that exceeded their tax liability</w:t>
      </w:r>
    </w:p>
    <w:p w:rsidR="00C52695" w:rsidRPr="00883125" w:rsidRDefault="00C52695" w:rsidP="00C52695">
      <w:pPr>
        <w:pStyle w:val="AERbulletlistfirststyle"/>
      </w:pPr>
      <w:r w:rsidRPr="00883125">
        <w:t>encompassed the breadth of the market instead of just selected firms, and</w:t>
      </w:r>
    </w:p>
    <w:p w:rsidR="00C52695" w:rsidRPr="00883125" w:rsidRDefault="00C52695" w:rsidP="00C52695">
      <w:pPr>
        <w:pStyle w:val="AERbulletlistfirststyle"/>
      </w:pPr>
      <w:r w:rsidRPr="00883125">
        <w:t>appeared to use more reasonable and robust econometric treatments.</w:t>
      </w:r>
    </w:p>
    <w:p w:rsidR="00C52695" w:rsidRPr="00883125" w:rsidRDefault="00C52695" w:rsidP="00C52695">
      <w:pPr>
        <w:numPr>
          <w:ilvl w:val="0"/>
          <w:numId w:val="24"/>
        </w:numPr>
      </w:pPr>
      <w:r w:rsidRPr="00883125">
        <w:t xml:space="preserve">However, in this </w:t>
      </w:r>
      <w:r w:rsidR="00A01BA1">
        <w:t xml:space="preserve">draft </w:t>
      </w:r>
      <w:r w:rsidRPr="00883125">
        <w:t>decision we recognise that experts advocate both broader and narrower assessments of the evidence from implied market value studies. McKenzie and Partington considered it reasonable to have regard to a range of studies, including those that produced estimates above 0.5.</w:t>
      </w:r>
      <w:r w:rsidRPr="00883125">
        <w:rPr>
          <w:rStyle w:val="FootnoteReference"/>
        </w:rPr>
        <w:footnoteReference w:id="182"/>
      </w:r>
      <w:r w:rsidRPr="00883125">
        <w:t xml:space="preserve"> In Gray's view (for SFG), there is no reasonable basis for adopting an estimate from dividend drop off analysis above the 0.35 estimate from SFG's study.</w:t>
      </w:r>
      <w:r w:rsidRPr="00883125">
        <w:rPr>
          <w:rStyle w:val="FootnoteReference"/>
        </w:rPr>
        <w:footnoteReference w:id="183"/>
      </w:r>
      <w:r w:rsidRPr="00883125">
        <w:t xml:space="preserve"> It appears that Gray (for Frontier) continues to hold this view.</w:t>
      </w:r>
      <w:r w:rsidRPr="00883125">
        <w:rPr>
          <w:rStyle w:val="FootnoteReference"/>
        </w:rPr>
        <w:footnoteReference w:id="184"/>
      </w:r>
    </w:p>
    <w:p w:rsidR="00C52695" w:rsidRPr="00883125" w:rsidRDefault="00C52695" w:rsidP="00C52695">
      <w:pPr>
        <w:numPr>
          <w:ilvl w:val="0"/>
          <w:numId w:val="24"/>
        </w:numPr>
      </w:pPr>
      <w:r w:rsidRPr="00883125">
        <w:t xml:space="preserve">Ultimately, as discussed in section </w:t>
      </w:r>
      <w:r w:rsidRPr="00883125">
        <w:fldChar w:fldCharType="begin"/>
      </w:r>
      <w:r w:rsidRPr="00883125">
        <w:instrText xml:space="preserve"> REF _Ref414624721 \r \h </w:instrText>
      </w:r>
      <w:r w:rsidRPr="00883125">
        <w:fldChar w:fldCharType="separate"/>
      </w:r>
      <w:r w:rsidR="007E3457">
        <w:t>A.15.5</w:t>
      </w:r>
      <w:r w:rsidRPr="00883125">
        <w:fldChar w:fldCharType="end"/>
      </w:r>
      <w:r>
        <w:t>,</w:t>
      </w:r>
      <w:r w:rsidRPr="00883125">
        <w:t xml:space="preserve"> estimates from implied market value studies and the level of reliance we place on them (including SFG's dividend drop off study) do not give us cause to move from the estimate of the value of imputation credits that we determine with regard to evidence from the equity ownership approach and tax statistics. In response to Gray's comments (for Frontier) on our consideration of "pre-2000 and low-quality studies"</w:t>
      </w:r>
      <w:r w:rsidRPr="00883125">
        <w:rPr>
          <w:rStyle w:val="FootnoteReference"/>
        </w:rPr>
        <w:footnoteReference w:id="185"/>
      </w:r>
      <w:r>
        <w:t xml:space="preserve"> </w:t>
      </w:r>
      <w:r w:rsidRPr="00883125">
        <w:t>we note that our having regard to more studies since the Guideline, including those that use pre 2000 data and those that estimate a value for theta between 0.5 and 1, was not material to our decision to set gamma at 0.4, and that we have had particular regard to SFG's dividend drop of</w:t>
      </w:r>
      <w:r w:rsidR="00DD0283">
        <w:t>f study in making our decision.</w:t>
      </w:r>
    </w:p>
    <w:p w:rsidR="00C52695" w:rsidRDefault="00C52695" w:rsidP="00C52695">
      <w:r>
        <w:t>We discuss our consideration of implied market value studies in detail in section A.15.</w:t>
      </w:r>
    </w:p>
    <w:p w:rsidR="00C52695" w:rsidRPr="00C52695" w:rsidRDefault="00C52695" w:rsidP="00C52695">
      <w:pPr>
        <w:pStyle w:val="Heading3"/>
      </w:pPr>
      <w:bookmarkStart w:id="122" w:name="_Ref451240961"/>
      <w:bookmarkStart w:id="123" w:name="_Ref451816460"/>
      <w:bookmarkStart w:id="124" w:name="_Toc451842244"/>
      <w:bookmarkStart w:id="125" w:name="_Toc451938300"/>
      <w:bookmarkStart w:id="126" w:name="_Toc456614288"/>
      <w:bookmarkStart w:id="127" w:name="_Toc462823306"/>
      <w:bookmarkStart w:id="128" w:name="_Toc487014054"/>
      <w:r>
        <w:t>Response to submissions by stakeholders</w:t>
      </w:r>
      <w:bookmarkEnd w:id="122"/>
      <w:bookmarkEnd w:id="123"/>
      <w:bookmarkEnd w:id="124"/>
      <w:bookmarkEnd w:id="125"/>
      <w:bookmarkEnd w:id="126"/>
      <w:bookmarkEnd w:id="127"/>
      <w:bookmarkEnd w:id="128"/>
    </w:p>
    <w:p w:rsidR="00C52695" w:rsidRDefault="00C52695" w:rsidP="00C52695">
      <w:r>
        <w:t xml:space="preserve">In section </w:t>
      </w:r>
      <w:r>
        <w:fldChar w:fldCharType="begin"/>
      </w:r>
      <w:r>
        <w:instrText xml:space="preserve"> REF _Ref415070393 \r \h </w:instrText>
      </w:r>
      <w:r>
        <w:fldChar w:fldCharType="separate"/>
      </w:r>
      <w:r w:rsidR="007E3457">
        <w:t>A.4</w:t>
      </w:r>
      <w:r>
        <w:fldChar w:fldCharType="end"/>
      </w:r>
      <w:r>
        <w:t>, we set out the key issues raised by</w:t>
      </w:r>
      <w:r w:rsidR="00A01BA1">
        <w:t xml:space="preserve"> Multinet</w:t>
      </w:r>
      <w:r>
        <w:t xml:space="preserve">, as well as the key issues raised by other service providers we have assessed recently (post-Guideline). The key issues raised are broadly consistent across the service providers. </w:t>
      </w:r>
    </w:p>
    <w:p w:rsidR="00C52695" w:rsidRPr="00E43EA2" w:rsidRDefault="00C52695" w:rsidP="00C52695">
      <w:pPr>
        <w:pStyle w:val="ListParagraph"/>
        <w:numPr>
          <w:ilvl w:val="0"/>
          <w:numId w:val="24"/>
        </w:numPr>
      </w:pPr>
      <w:r w:rsidRPr="00E43EA2">
        <w:fldChar w:fldCharType="begin"/>
      </w:r>
      <w:r w:rsidRPr="00E43EA2">
        <w:instrText xml:space="preserve"> REF _Ref450761546 \h </w:instrText>
      </w:r>
      <w:r w:rsidRPr="00E43EA2">
        <w:fldChar w:fldCharType="separate"/>
      </w:r>
      <w:r w:rsidR="007E3457">
        <w:t xml:space="preserve">Table </w:t>
      </w:r>
      <w:r w:rsidR="007E3457">
        <w:rPr>
          <w:noProof/>
        </w:rPr>
        <w:t>4</w:t>
      </w:r>
      <w:r w:rsidR="007E3457" w:rsidRPr="00856171">
        <w:noBreakHyphen/>
      </w:r>
      <w:r w:rsidR="007E3457">
        <w:rPr>
          <w:noProof/>
        </w:rPr>
        <w:t>5</w:t>
      </w:r>
      <w:r w:rsidRPr="00E43EA2">
        <w:fldChar w:fldCharType="end"/>
      </w:r>
      <w:r w:rsidRPr="00E43EA2">
        <w:t xml:space="preserve"> sets out the key issues raised by</w:t>
      </w:r>
      <w:r w:rsidR="00113F4C">
        <w:t xml:space="preserve"> Multinet</w:t>
      </w:r>
      <w:r w:rsidR="007C2BD7">
        <w:t>, AusNet</w:t>
      </w:r>
      <w:r w:rsidR="005F224E">
        <w:t xml:space="preserve"> </w:t>
      </w:r>
      <w:r>
        <w:t>and other</w:t>
      </w:r>
      <w:r w:rsidRPr="00E43EA2">
        <w:t xml:space="preserve"> service providers in their recent proposals. We also provide a summary of our response and a reference</w:t>
      </w:r>
      <w:r w:rsidR="00DD0283">
        <w:t xml:space="preserve"> to our more detailed response.</w:t>
      </w:r>
    </w:p>
    <w:p w:rsidR="00C52695" w:rsidRPr="00856171" w:rsidRDefault="00C52695" w:rsidP="00C52695">
      <w:pPr>
        <w:pStyle w:val="Caption"/>
      </w:pPr>
      <w:bookmarkStart w:id="129" w:name="_Ref450761546"/>
      <w:r>
        <w:t xml:space="preserve">Table </w:t>
      </w:r>
      <w:r w:rsidRPr="001D37D5">
        <w:fldChar w:fldCharType="begin"/>
      </w:r>
      <w:r>
        <w:instrText xml:space="preserve"> STYLEREF 1 \s </w:instrText>
      </w:r>
      <w:r w:rsidRPr="001D37D5">
        <w:fldChar w:fldCharType="separate"/>
      </w:r>
      <w:r w:rsidR="007E3457">
        <w:rPr>
          <w:noProof/>
        </w:rPr>
        <w:t>4</w:t>
      </w:r>
      <w:r w:rsidRPr="001D37D5">
        <w:fldChar w:fldCharType="end"/>
      </w:r>
      <w:r w:rsidRPr="00856171">
        <w:noBreakHyphen/>
      </w:r>
      <w:r w:rsidRPr="001D37D5">
        <w:fldChar w:fldCharType="begin"/>
      </w:r>
      <w:r>
        <w:instrText xml:space="preserve"> SEQ Table \* ARABIC \s 1 </w:instrText>
      </w:r>
      <w:r w:rsidRPr="001D37D5">
        <w:fldChar w:fldCharType="separate"/>
      </w:r>
      <w:r w:rsidR="007E3457">
        <w:rPr>
          <w:noProof/>
        </w:rPr>
        <w:t>5</w:t>
      </w:r>
      <w:r w:rsidRPr="001D37D5">
        <w:fldChar w:fldCharType="end"/>
      </w:r>
      <w:bookmarkEnd w:id="129"/>
      <w:r w:rsidRPr="00856171">
        <w:tab/>
        <w:t>Key issues raised by service providers</w:t>
      </w:r>
    </w:p>
    <w:tbl>
      <w:tblPr>
        <w:tblStyle w:val="AERtable-text0"/>
        <w:tblW w:w="0" w:type="auto"/>
        <w:tblLook w:val="04A0" w:firstRow="1" w:lastRow="0" w:firstColumn="1" w:lastColumn="0" w:noHBand="0" w:noVBand="1"/>
      </w:tblPr>
      <w:tblGrid>
        <w:gridCol w:w="3652"/>
        <w:gridCol w:w="4394"/>
        <w:gridCol w:w="851"/>
      </w:tblGrid>
      <w:tr w:rsidR="00C52695" w:rsidTr="006425B8">
        <w:trPr>
          <w:cnfStyle w:val="100000000000" w:firstRow="1" w:lastRow="0" w:firstColumn="0" w:lastColumn="0" w:oddVBand="0" w:evenVBand="0" w:oddHBand="0" w:evenHBand="0" w:firstRowFirstColumn="0" w:firstRowLastColumn="0" w:lastRowFirstColumn="0" w:lastRowLastColumn="0"/>
          <w:tblHeader/>
        </w:trPr>
        <w:tc>
          <w:tcPr>
            <w:tcW w:w="3652" w:type="dxa"/>
          </w:tcPr>
          <w:p w:rsidR="00C52695" w:rsidRPr="00C52695" w:rsidRDefault="00C52695" w:rsidP="00C52695">
            <w:r>
              <w:t>Issue</w:t>
            </w:r>
          </w:p>
        </w:tc>
        <w:tc>
          <w:tcPr>
            <w:tcW w:w="4394" w:type="dxa"/>
          </w:tcPr>
          <w:p w:rsidR="00C52695" w:rsidRPr="00C52695" w:rsidRDefault="00C52695" w:rsidP="00C52695">
            <w:r>
              <w:t>Summary of response</w:t>
            </w:r>
          </w:p>
        </w:tc>
        <w:tc>
          <w:tcPr>
            <w:tcW w:w="851" w:type="dxa"/>
          </w:tcPr>
          <w:p w:rsidR="00C52695" w:rsidRPr="00C52695" w:rsidRDefault="00C52695" w:rsidP="00C52695">
            <w:r>
              <w:t>S</w:t>
            </w:r>
            <w:r w:rsidRPr="00C52695">
              <w:t>ection</w:t>
            </w:r>
          </w:p>
        </w:tc>
      </w:tr>
      <w:tr w:rsidR="00C52695" w:rsidTr="006425B8">
        <w:tc>
          <w:tcPr>
            <w:tcW w:w="3652" w:type="dxa"/>
          </w:tcPr>
          <w:p w:rsidR="00C52695" w:rsidRPr="00C52695" w:rsidRDefault="00C52695" w:rsidP="00C52695">
            <w:pPr>
              <w:rPr>
                <w:rStyle w:val="Strong"/>
              </w:rPr>
            </w:pPr>
            <w:r w:rsidRPr="00E82D06">
              <w:rPr>
                <w:rStyle w:val="Strong"/>
              </w:rPr>
              <w:t xml:space="preserve">Conceptual </w:t>
            </w:r>
            <w:r w:rsidRPr="00C52695">
              <w:rPr>
                <w:rStyle w:val="Strong"/>
              </w:rPr>
              <w:t>framework</w:t>
            </w:r>
          </w:p>
        </w:tc>
        <w:tc>
          <w:tcPr>
            <w:tcW w:w="4394" w:type="dxa"/>
          </w:tcPr>
          <w:p w:rsidR="00C52695" w:rsidRDefault="00C52695" w:rsidP="00C52695"/>
        </w:tc>
        <w:tc>
          <w:tcPr>
            <w:tcW w:w="851" w:type="dxa"/>
          </w:tcPr>
          <w:p w:rsidR="00C52695" w:rsidRDefault="00C52695" w:rsidP="00C52695"/>
        </w:tc>
      </w:tr>
      <w:tr w:rsidR="00C52695" w:rsidTr="006425B8">
        <w:trPr>
          <w:cnfStyle w:val="000000010000" w:firstRow="0" w:lastRow="0" w:firstColumn="0" w:lastColumn="0" w:oddVBand="0" w:evenVBand="0" w:oddHBand="0" w:evenHBand="1" w:firstRowFirstColumn="0" w:firstRowLastColumn="0" w:lastRowFirstColumn="0" w:lastRowLastColumn="0"/>
        </w:trPr>
        <w:tc>
          <w:tcPr>
            <w:tcW w:w="3652" w:type="dxa"/>
          </w:tcPr>
          <w:p w:rsidR="00C52695" w:rsidRPr="00C52695" w:rsidRDefault="00C52695" w:rsidP="00C52695">
            <w:r>
              <w:t xml:space="preserve">Our </w:t>
            </w:r>
            <w:r w:rsidRPr="00C52695">
              <w:t>conceptual approach to gamma, redefining it as the value of imputation credits that are available for redemption, is inconsistent with the concept of gamma in the Officer framework for the WACC and inconsistent with the requirements of the NGR/NER and the NGO/NEO. It is also inconsistent with the objective of ensuring a market rate of return on equity.</w:t>
            </w:r>
            <w:r w:rsidRPr="00C52695">
              <w:rPr>
                <w:rStyle w:val="FootnoteReference"/>
              </w:rPr>
              <w:footnoteReference w:id="186"/>
            </w:r>
            <w:r w:rsidRPr="00C52695">
              <w:t xml:space="preserve"> Frontier considers that theta should be measured as value and not the utilisation of imputation credits.</w:t>
            </w:r>
            <w:r w:rsidRPr="00C52695">
              <w:rPr>
                <w:rStyle w:val="FootnoteReference"/>
              </w:rPr>
              <w:footnoteReference w:id="187"/>
            </w:r>
            <w:r w:rsidRPr="00C52695">
              <w:t xml:space="preserve"> Frontier considers that if gamma is set anything other than value of imputation credits to investors, investors will be either over or under compensated.</w:t>
            </w:r>
            <w:r w:rsidRPr="00C52695">
              <w:rPr>
                <w:rStyle w:val="FootnoteReference"/>
              </w:rPr>
              <w:footnoteReference w:id="188"/>
            </w:r>
          </w:p>
          <w:p w:rsidR="00C52695" w:rsidRPr="00C52695" w:rsidRDefault="00C52695" w:rsidP="00C52695">
            <w:r>
              <w:t xml:space="preserve">The </w:t>
            </w:r>
            <w:r w:rsidR="00C062AF">
              <w:t xml:space="preserve">Ausgrid </w:t>
            </w:r>
            <w:r>
              <w:t>Tribunal considered</w:t>
            </w:r>
            <w:r w:rsidRPr="00C52695">
              <w:t xml:space="preserve"> the equity ownership and tax statistics approaches to estimating the utilisation rate ignore factors which reduce the value of imputation credits to shareholders below the face value. As a result, it considered these approaches are inconsistent with a proper interpretation of the Officer framework.</w:t>
            </w:r>
            <w:r w:rsidRPr="00C52695">
              <w:rPr>
                <w:rStyle w:val="FootnoteReference"/>
              </w:rPr>
              <w:footnoteReference w:id="189"/>
            </w:r>
          </w:p>
        </w:tc>
        <w:tc>
          <w:tcPr>
            <w:tcW w:w="4394" w:type="dxa"/>
          </w:tcPr>
          <w:p w:rsidR="00C52695" w:rsidRPr="00C52695" w:rsidRDefault="00C52695" w:rsidP="00C52695">
            <w:r w:rsidRPr="00365D40">
              <w:t xml:space="preserve">We have not redefined gamma as the value of imputation credits available for redemption. Rather, our conceptual approach considers </w:t>
            </w:r>
            <w:r w:rsidRPr="00C52695">
              <w:t xml:space="preserve">imputation credits should be valued on a post-company tax basis, before the impact of personal taxes and transaction costs. This corresponds to valuing imputation credits utilised by eligible investors at their face value and is consistent with the Officer framework. Based on this, we consider gamma to be equal to the product of the distribution rate and the utilisation rate to investors in the market per dollar of credits distributed (the 'utilisation rate'). </w:t>
            </w:r>
          </w:p>
          <w:p w:rsidR="00C52695" w:rsidRPr="00C52695" w:rsidRDefault="00C52695" w:rsidP="00C52695">
            <w:r>
              <w:t xml:space="preserve">The equity ownership approach and tax statistics are consistent with our conceptual approach. They value </w:t>
            </w:r>
            <w:r w:rsidRPr="00C52695">
              <w:t>imputation credits expected to be utilised (the utilisation rate) at full face value on a pre-personal tax and costs basis. Conversely, estimates of the utilisation rate from implied market value studies are influenced by different personal tax treatment of capital gains and dividend income.</w:t>
            </w:r>
          </w:p>
          <w:p w:rsidR="00C52695" w:rsidRPr="00C52695" w:rsidRDefault="00C52695" w:rsidP="00C52695">
            <w:r>
              <w:t>Also, v</w:t>
            </w:r>
            <w:r w:rsidRPr="00C52695">
              <w:t>aluing imputation credits at face value is consistent with how all inputs into the allowed rate of return are estimated.</w:t>
            </w:r>
          </w:p>
          <w:p w:rsidR="00C52695" w:rsidRPr="00C52695" w:rsidRDefault="00C52695" w:rsidP="00C52695">
            <w:r>
              <w:t>In regards to the 'factors', w</w:t>
            </w:r>
            <w:r w:rsidRPr="00C52695">
              <w:t>e have received advice from Handley on these factors. We consider such factors are either immaterial or should not be accounted for when estimating the properly defined utilisation rate.</w:t>
            </w:r>
          </w:p>
        </w:tc>
        <w:tc>
          <w:tcPr>
            <w:tcW w:w="851" w:type="dxa"/>
          </w:tcPr>
          <w:p w:rsidR="005E2393" w:rsidRDefault="00DC1EEF" w:rsidP="00C52695">
            <w:r>
              <w:fldChar w:fldCharType="begin"/>
            </w:r>
            <w:r>
              <w:instrText xml:space="preserve"> REF _Ref476564330 \r \h </w:instrText>
            </w:r>
            <w:r>
              <w:fldChar w:fldCharType="separate"/>
            </w:r>
            <w:r w:rsidR="007E3457">
              <w:t>4.1</w:t>
            </w:r>
            <w:r>
              <w:fldChar w:fldCharType="end"/>
            </w:r>
          </w:p>
          <w:p w:rsidR="00C52695" w:rsidRPr="00C52695" w:rsidRDefault="00C52695" w:rsidP="00C52695">
            <w:r w:rsidRPr="00C52695">
              <w:fldChar w:fldCharType="begin"/>
            </w:r>
            <w:r w:rsidRPr="00C52695">
              <w:instrText xml:space="preserve"> REF _Ref416802130 \r \h </w:instrText>
            </w:r>
            <w:r w:rsidRPr="00C52695">
              <w:fldChar w:fldCharType="separate"/>
            </w:r>
            <w:r w:rsidR="007E3457">
              <w:t>4.3.1</w:t>
            </w:r>
            <w:r w:rsidRPr="00C52695">
              <w:fldChar w:fldCharType="end"/>
            </w:r>
          </w:p>
          <w:p w:rsidR="00C52695" w:rsidRPr="00C52695" w:rsidRDefault="00C52695" w:rsidP="00C52695">
            <w:r w:rsidRPr="00C52695">
              <w:fldChar w:fldCharType="begin"/>
            </w:r>
            <w:r w:rsidRPr="00C52695">
              <w:instrText xml:space="preserve"> REF _Ref415144114 \r \h </w:instrText>
            </w:r>
            <w:r w:rsidRPr="00C52695">
              <w:fldChar w:fldCharType="separate"/>
            </w:r>
            <w:r w:rsidR="007E3457">
              <w:t>A.5</w:t>
            </w:r>
            <w:r w:rsidRPr="00C52695">
              <w:fldChar w:fldCharType="end"/>
            </w:r>
          </w:p>
          <w:p w:rsidR="00C52695" w:rsidRPr="00C52695" w:rsidRDefault="00C52695" w:rsidP="00C52695">
            <w:r w:rsidRPr="00C52695">
              <w:fldChar w:fldCharType="begin"/>
            </w:r>
            <w:r w:rsidRPr="00C52695">
              <w:instrText xml:space="preserve"> REF _Ref400965182 \r \h </w:instrText>
            </w:r>
            <w:r w:rsidRPr="00C52695">
              <w:fldChar w:fldCharType="separate"/>
            </w:r>
            <w:r w:rsidR="007E3457">
              <w:t>A.6</w:t>
            </w:r>
            <w:r w:rsidRPr="00C52695">
              <w:fldChar w:fldCharType="end"/>
            </w:r>
          </w:p>
          <w:p w:rsidR="00C52695" w:rsidRPr="00C52695" w:rsidRDefault="00C52695" w:rsidP="00C52695">
            <w:r w:rsidRPr="00C52695">
              <w:fldChar w:fldCharType="begin"/>
            </w:r>
            <w:r w:rsidRPr="00C52695">
              <w:instrText xml:space="preserve"> REF _Ref451789926 \r \h </w:instrText>
            </w:r>
            <w:r w:rsidRPr="00C52695">
              <w:fldChar w:fldCharType="separate"/>
            </w:r>
            <w:r w:rsidR="007E3457">
              <w:t>A.7</w:t>
            </w:r>
            <w:r w:rsidRPr="00C52695">
              <w:fldChar w:fldCharType="end"/>
            </w:r>
          </w:p>
          <w:p w:rsidR="00C52695" w:rsidRPr="00C52695" w:rsidRDefault="00C52695" w:rsidP="00C52695">
            <w:r w:rsidRPr="00C52695">
              <w:fldChar w:fldCharType="begin"/>
            </w:r>
            <w:r w:rsidRPr="00C52695">
              <w:instrText xml:space="preserve"> REF _Ref414623120 \r \h </w:instrText>
            </w:r>
            <w:r w:rsidRPr="00C52695">
              <w:fldChar w:fldCharType="separate"/>
            </w:r>
            <w:r w:rsidR="007E3457">
              <w:t>A.8</w:t>
            </w:r>
            <w:r w:rsidRPr="00C52695">
              <w:fldChar w:fldCharType="end"/>
            </w:r>
          </w:p>
        </w:tc>
      </w:tr>
      <w:tr w:rsidR="00C52695" w:rsidTr="006425B8">
        <w:tc>
          <w:tcPr>
            <w:tcW w:w="3652" w:type="dxa"/>
          </w:tcPr>
          <w:p w:rsidR="00C52695" w:rsidRPr="00C52695" w:rsidRDefault="00C52695" w:rsidP="00C52695">
            <w:pPr>
              <w:rPr>
                <w:rStyle w:val="Strong"/>
              </w:rPr>
            </w:pPr>
            <w:r w:rsidRPr="00E82D06">
              <w:rPr>
                <w:rStyle w:val="Strong"/>
              </w:rPr>
              <w:t>Distribution rate</w:t>
            </w:r>
          </w:p>
        </w:tc>
        <w:tc>
          <w:tcPr>
            <w:tcW w:w="4394" w:type="dxa"/>
          </w:tcPr>
          <w:p w:rsidR="00C52695" w:rsidRDefault="00C52695" w:rsidP="00C52695"/>
        </w:tc>
        <w:tc>
          <w:tcPr>
            <w:tcW w:w="851" w:type="dxa"/>
          </w:tcPr>
          <w:p w:rsidR="00C52695" w:rsidRDefault="00C52695" w:rsidP="00C52695"/>
        </w:tc>
      </w:tr>
      <w:tr w:rsidR="00C52695" w:rsidTr="006425B8">
        <w:trPr>
          <w:cnfStyle w:val="000000010000" w:firstRow="0" w:lastRow="0" w:firstColumn="0" w:lastColumn="0" w:oddVBand="0" w:evenVBand="0" w:oddHBand="0" w:evenHBand="1" w:firstRowFirstColumn="0" w:firstRowLastColumn="0" w:lastRowFirstColumn="0" w:lastRowLastColumn="0"/>
        </w:trPr>
        <w:tc>
          <w:tcPr>
            <w:tcW w:w="3652" w:type="dxa"/>
          </w:tcPr>
          <w:p w:rsidR="00C52695" w:rsidRPr="00C52695" w:rsidRDefault="00C52695" w:rsidP="00C52695">
            <w:r>
              <w:t>It is appropriate to use an all equity based estimate of the distribution rate.</w:t>
            </w:r>
            <w:r w:rsidRPr="00C52695">
              <w:rPr>
                <w:rStyle w:val="FootnoteReference"/>
              </w:rPr>
              <w:footnoteReference w:id="190"/>
            </w:r>
            <w:r w:rsidRPr="00C52695">
              <w:t xml:space="preserve"> The distribution rate for listed equity is likely to be a poor proxy for a benchmark efficient entity.</w:t>
            </w:r>
            <w:r w:rsidRPr="00C52695">
              <w:rPr>
                <w:rStyle w:val="FootnoteReference"/>
              </w:rPr>
              <w:footnoteReference w:id="191"/>
            </w:r>
          </w:p>
          <w:p w:rsidR="00C52695" w:rsidRPr="00C52695" w:rsidRDefault="00C52695" w:rsidP="00C52695">
            <w:r w:rsidRPr="00692B72">
              <w:t xml:space="preserve">The </w:t>
            </w:r>
            <w:r w:rsidR="008F4235">
              <w:t xml:space="preserve">Ausgrid </w:t>
            </w:r>
            <w:r w:rsidRPr="00692B72">
              <w:t>Tribunal considered we provided insufficient</w:t>
            </w:r>
            <w:r w:rsidRPr="00C52695">
              <w:t xml:space="preserve"> reasoning for introducing listed equity distribution rate.</w:t>
            </w:r>
            <w:r w:rsidRPr="00C52695">
              <w:rPr>
                <w:rStyle w:val="FootnoteReference"/>
              </w:rPr>
              <w:footnoteReference w:id="192"/>
            </w:r>
          </w:p>
        </w:tc>
        <w:tc>
          <w:tcPr>
            <w:tcW w:w="4394" w:type="dxa"/>
          </w:tcPr>
          <w:p w:rsidR="00C52695" w:rsidRPr="00C52695" w:rsidRDefault="00C52695" w:rsidP="00C52695">
            <w:r>
              <w:t xml:space="preserve">We consider the use of a </w:t>
            </w:r>
            <w:r w:rsidRPr="00C52695">
              <w:t>distribution rate for listed equity is open to us and reasonably reflective of a benchmark efficient entity given the difficulties associated with choosing a representative dataset. Lally also recommends distribution rate based on listed equity for a benchmark efficient entity, although he estimates this using financial statements of the top 20 listed firms.</w:t>
            </w:r>
          </w:p>
          <w:p w:rsidR="00C52695" w:rsidRPr="00C52695" w:rsidRDefault="00C52695" w:rsidP="00C52695">
            <w:r>
              <w:t>Further, w</w:t>
            </w:r>
            <w:r w:rsidRPr="00C52695">
              <w:t xml:space="preserve">e consider it is inappropriate to focus on individual elements of a benchmark efficient entity, such as foreign income and foreign ownership. Instead, we consider a benchmark efficient entity should be assessed holistically. When determining gamma for a benchmark efficient entity, what is relevant is how it generates and distributes imputation credits. We also note that if we estimated a distribution rate strictly in accordance with our benchmark definition we would use only the firms we regulate, or an observable set of similar firms. </w:t>
            </w:r>
          </w:p>
          <w:p w:rsidR="00C52695" w:rsidRPr="00C52695" w:rsidRDefault="00C52695" w:rsidP="00C52695">
            <w:r w:rsidRPr="000076F2">
              <w:t>Finally, it is not clear that foreign income results in a higher imputation payout ratio. In fact, Lally's analysis suggests the opposite.</w:t>
            </w:r>
          </w:p>
        </w:tc>
        <w:tc>
          <w:tcPr>
            <w:tcW w:w="851" w:type="dxa"/>
          </w:tcPr>
          <w:p w:rsidR="00C52695" w:rsidRPr="00C52695" w:rsidRDefault="00C52695" w:rsidP="00C52695">
            <w:r w:rsidRPr="00C52695">
              <w:fldChar w:fldCharType="begin"/>
            </w:r>
            <w:r w:rsidRPr="00C52695">
              <w:instrText xml:space="preserve"> REF _Ref450761230 \r \h </w:instrText>
            </w:r>
            <w:r w:rsidRPr="00C52695">
              <w:fldChar w:fldCharType="separate"/>
            </w:r>
            <w:r w:rsidR="007E3457">
              <w:t>4.4.1</w:t>
            </w:r>
            <w:r w:rsidRPr="00C52695">
              <w:fldChar w:fldCharType="end"/>
            </w:r>
          </w:p>
          <w:p w:rsidR="00C52695" w:rsidRPr="00C52695" w:rsidRDefault="00C52695" w:rsidP="00C52695">
            <w:r w:rsidRPr="00C52695">
              <w:fldChar w:fldCharType="begin"/>
            </w:r>
            <w:r w:rsidRPr="00C52695">
              <w:instrText xml:space="preserve"> REF _Ref401133206 \r \h </w:instrText>
            </w:r>
            <w:r w:rsidRPr="00C52695">
              <w:fldChar w:fldCharType="separate"/>
            </w:r>
            <w:r w:rsidR="007E3457">
              <w:t>A.10</w:t>
            </w:r>
            <w:r w:rsidRPr="00C52695">
              <w:fldChar w:fldCharType="end"/>
            </w:r>
          </w:p>
        </w:tc>
      </w:tr>
      <w:tr w:rsidR="00C52695" w:rsidTr="006425B8">
        <w:tc>
          <w:tcPr>
            <w:tcW w:w="3652" w:type="dxa"/>
          </w:tcPr>
          <w:p w:rsidR="00C52695" w:rsidRPr="00C52695" w:rsidRDefault="00C52695" w:rsidP="00C52695">
            <w:r>
              <w:t>Estimates of the utilisation rate from listed equity (all equity) do not have to be paired with estimates of the distribution rate from listed equity (all equity).</w:t>
            </w:r>
            <w:r w:rsidRPr="00C52695">
              <w:rPr>
                <w:rStyle w:val="FootnoteReference"/>
              </w:rPr>
              <w:footnoteReference w:id="193"/>
            </w:r>
            <w:r w:rsidRPr="00C52695">
              <w:t xml:space="preserve"> </w:t>
            </w:r>
          </w:p>
        </w:tc>
        <w:tc>
          <w:tcPr>
            <w:tcW w:w="4394" w:type="dxa"/>
          </w:tcPr>
          <w:p w:rsidR="00C52695" w:rsidRPr="00C52695" w:rsidRDefault="002110F5" w:rsidP="00357F78">
            <w:r>
              <w:t>W</w:t>
            </w:r>
            <w:r w:rsidR="00C52695" w:rsidRPr="00C52695">
              <w:t>e consider it is not essential to 'match' estimates of distribution rates and utilisation rates based on the dataset used; although we note the choice is open to us. While we primarily rely on 'matched' estimates, we also have regard to Lally's preferred estimate based on an all equity utilisation rate from the equity ownership approach and a distribution rate for listed equity from financial reports of the top 20 listed firms.</w:t>
            </w:r>
            <w:r>
              <w:t xml:space="preserve"> Lally considered there is good reason not to match datasets.</w:t>
            </w:r>
            <w:r w:rsidR="003B47A6">
              <w:rPr>
                <w:rStyle w:val="FootnoteReference"/>
              </w:rPr>
              <w:footnoteReference w:id="194"/>
            </w:r>
            <w:r>
              <w:t xml:space="preserve"> However</w:t>
            </w:r>
            <w:r w:rsidR="00357F78">
              <w:t xml:space="preserve">, we note given Lally's advice our approach appears to lead to a conservative gamma estimate (in favour of the service provider), as Lally's </w:t>
            </w:r>
            <w:r>
              <w:t xml:space="preserve">preferred gamma estimate </w:t>
            </w:r>
            <w:r w:rsidR="00357F78">
              <w:t>is</w:t>
            </w:r>
            <w:r>
              <w:t xml:space="preserve"> 0.5.</w:t>
            </w:r>
            <w:r w:rsidR="00CC480F">
              <w:rPr>
                <w:rStyle w:val="FootnoteReference"/>
              </w:rPr>
              <w:footnoteReference w:id="195"/>
            </w:r>
          </w:p>
        </w:tc>
        <w:tc>
          <w:tcPr>
            <w:tcW w:w="851" w:type="dxa"/>
          </w:tcPr>
          <w:p w:rsidR="00C52695" w:rsidRPr="00C52695" w:rsidRDefault="00C52695" w:rsidP="00C52695">
            <w:r w:rsidRPr="00C52695">
              <w:fldChar w:fldCharType="begin"/>
            </w:r>
            <w:r w:rsidRPr="00C52695">
              <w:instrText xml:space="preserve"> REF _Ref450761230 \r \h </w:instrText>
            </w:r>
            <w:r w:rsidRPr="00C52695">
              <w:fldChar w:fldCharType="separate"/>
            </w:r>
            <w:r w:rsidR="007E3457">
              <w:t>4.4.1</w:t>
            </w:r>
            <w:r w:rsidRPr="00C52695">
              <w:fldChar w:fldCharType="end"/>
            </w:r>
          </w:p>
          <w:p w:rsidR="00C52695" w:rsidRPr="00C52695" w:rsidRDefault="00C52695" w:rsidP="00C52695">
            <w:r w:rsidRPr="00C52695">
              <w:fldChar w:fldCharType="begin"/>
            </w:r>
            <w:r w:rsidRPr="00C52695">
              <w:instrText xml:space="preserve"> REF _Ref451790065 \r \h </w:instrText>
            </w:r>
            <w:r w:rsidRPr="00C52695">
              <w:fldChar w:fldCharType="separate"/>
            </w:r>
            <w:r w:rsidR="007E3457">
              <w:t>A.9</w:t>
            </w:r>
            <w:r w:rsidRPr="00C52695">
              <w:fldChar w:fldCharType="end"/>
            </w:r>
          </w:p>
        </w:tc>
      </w:tr>
      <w:tr w:rsidR="00C52695" w:rsidTr="006425B8">
        <w:trPr>
          <w:cnfStyle w:val="000000010000" w:firstRow="0" w:lastRow="0" w:firstColumn="0" w:lastColumn="0" w:oddVBand="0" w:evenVBand="0" w:oddHBand="0" w:evenHBand="1" w:firstRowFirstColumn="0" w:firstRowLastColumn="0" w:lastRowFirstColumn="0" w:lastRowLastColumn="0"/>
        </w:trPr>
        <w:tc>
          <w:tcPr>
            <w:tcW w:w="3652" w:type="dxa"/>
          </w:tcPr>
          <w:p w:rsidR="00C52695" w:rsidRPr="00C52695" w:rsidRDefault="00C52695" w:rsidP="00C52695">
            <w:pPr>
              <w:rPr>
                <w:rStyle w:val="Strong"/>
              </w:rPr>
            </w:pPr>
            <w:r w:rsidRPr="00E82D06">
              <w:rPr>
                <w:rStyle w:val="Strong"/>
              </w:rPr>
              <w:t>Utilisation rate</w:t>
            </w:r>
          </w:p>
        </w:tc>
        <w:tc>
          <w:tcPr>
            <w:tcW w:w="4394" w:type="dxa"/>
          </w:tcPr>
          <w:p w:rsidR="00C52695" w:rsidRDefault="00C52695" w:rsidP="00C52695"/>
        </w:tc>
        <w:tc>
          <w:tcPr>
            <w:tcW w:w="851" w:type="dxa"/>
          </w:tcPr>
          <w:p w:rsidR="00C52695" w:rsidRDefault="00C52695" w:rsidP="00C52695"/>
        </w:tc>
      </w:tr>
      <w:tr w:rsidR="00C52695" w:rsidTr="006425B8">
        <w:tc>
          <w:tcPr>
            <w:tcW w:w="3652" w:type="dxa"/>
          </w:tcPr>
          <w:p w:rsidR="00C52695" w:rsidRPr="00C52695" w:rsidRDefault="00C52695" w:rsidP="00C52695">
            <w:r w:rsidRPr="006B5C23">
              <w:rPr>
                <w:rStyle w:val="AERtextitalic"/>
              </w:rPr>
              <w:t>Equity ownership approach</w:t>
            </w:r>
          </w:p>
        </w:tc>
        <w:tc>
          <w:tcPr>
            <w:tcW w:w="4394" w:type="dxa"/>
          </w:tcPr>
          <w:p w:rsidR="00C52695" w:rsidRDefault="00C52695" w:rsidP="00C52695"/>
        </w:tc>
        <w:tc>
          <w:tcPr>
            <w:tcW w:w="851" w:type="dxa"/>
          </w:tcPr>
          <w:p w:rsidR="00C52695" w:rsidRDefault="00C52695" w:rsidP="00C52695"/>
        </w:tc>
      </w:tr>
      <w:tr w:rsidR="00C52695" w:rsidTr="006425B8">
        <w:trPr>
          <w:cnfStyle w:val="000000010000" w:firstRow="0" w:lastRow="0" w:firstColumn="0" w:lastColumn="0" w:oddVBand="0" w:evenVBand="0" w:oddHBand="0" w:evenHBand="1" w:firstRowFirstColumn="0" w:firstRowLastColumn="0" w:lastRowFirstColumn="0" w:lastRowLastColumn="0"/>
        </w:trPr>
        <w:tc>
          <w:tcPr>
            <w:tcW w:w="3652" w:type="dxa"/>
          </w:tcPr>
          <w:p w:rsidR="00C52695" w:rsidRPr="00C52695" w:rsidRDefault="00C52695" w:rsidP="00C52695">
            <w:r>
              <w:t>The equity ownership approach overstates the utilisation rate (</w:t>
            </w:r>
            <w:r w:rsidRPr="00C52695">
              <w:t>relative to an upper bound based on tax statistics).</w:t>
            </w:r>
            <w:r w:rsidRPr="00C52695">
              <w:rPr>
                <w:rStyle w:val="FootnoteReference"/>
              </w:rPr>
              <w:footnoteReference w:id="196"/>
            </w:r>
            <w:r w:rsidRPr="00C52695">
              <w:t xml:space="preserve"> </w:t>
            </w:r>
          </w:p>
          <w:p w:rsidR="00C52695" w:rsidRPr="00C52695" w:rsidRDefault="00C52695" w:rsidP="00C52695">
            <w:pPr>
              <w:rPr>
                <w:rStyle w:val="AERtextitalic"/>
              </w:rPr>
            </w:pPr>
            <w:r>
              <w:t>The</w:t>
            </w:r>
            <w:r w:rsidR="008F4235">
              <w:t xml:space="preserve"> Ausgrid</w:t>
            </w:r>
            <w:r>
              <w:t xml:space="preserve"> Tribunal consider</w:t>
            </w:r>
            <w:r w:rsidRPr="00C52695">
              <w:t>ed this shows there are investors who we assume are eligible to redeem imputation credits but, for whatever reasons, either cannot redeem them or attribute so little value to the credits that they do not utilise them. In particular, there are investors who hold shares for less than 45 days.</w:t>
            </w:r>
            <w:r w:rsidRPr="00C52695">
              <w:rPr>
                <w:rStyle w:val="FootnoteReference"/>
              </w:rPr>
              <w:footnoteReference w:id="197"/>
            </w:r>
          </w:p>
        </w:tc>
        <w:tc>
          <w:tcPr>
            <w:tcW w:w="4394" w:type="dxa"/>
          </w:tcPr>
          <w:p w:rsidR="00C52695" w:rsidRPr="00C52695" w:rsidRDefault="00C52695" w:rsidP="00C52695">
            <w:r>
              <w:t xml:space="preserve">We do not consider the estimate of the utilisation rate from tax statistics is an upper bound (see </w:t>
            </w:r>
            <w:r w:rsidRPr="00C52695">
              <w:t xml:space="preserve">response under 'Tax statistics'). </w:t>
            </w:r>
          </w:p>
          <w:p w:rsidR="00C52695" w:rsidRPr="00C52695" w:rsidRDefault="00C52695" w:rsidP="00C52695">
            <w:r>
              <w:t>We consider the 45 day rule</w:t>
            </w:r>
            <w:r w:rsidRPr="00C52695">
              <w:t xml:space="preserve"> is unlikely to have a material impact on the utilisation of imputation credits by domestic investors, and no data has been presented that demonstrates a material impact. As such, we do not consider the 45 day rule explains the difference in utilisation rate estimates between tax statistics and the equity ownership approach. We consider the difference is likely driven by estimation error in the taxation data. Lally considers the most obvious explanation for the difference is the estimate of the redemption rate from tax statistics used by the AER is too low.</w:t>
            </w:r>
            <w:r w:rsidRPr="00C52695">
              <w:rPr>
                <w:rStyle w:val="FootnoteReference"/>
              </w:rPr>
              <w:footnoteReference w:id="198"/>
            </w:r>
          </w:p>
          <w:p w:rsidR="00C52695" w:rsidRPr="00C52695" w:rsidRDefault="00C52695" w:rsidP="00C52695">
            <w:r>
              <w:t>We use an estimate of the utilisation rate below the top of the range from the equity ownership approach.</w:t>
            </w:r>
          </w:p>
        </w:tc>
        <w:tc>
          <w:tcPr>
            <w:tcW w:w="851" w:type="dxa"/>
          </w:tcPr>
          <w:p w:rsidR="00C52695" w:rsidRPr="00C52695" w:rsidRDefault="00C52695" w:rsidP="00C52695">
            <w:r w:rsidRPr="00C52695">
              <w:fldChar w:fldCharType="begin"/>
            </w:r>
            <w:r w:rsidRPr="00C52695">
              <w:instrText xml:space="preserve"> REF _Ref450761230 \r \h </w:instrText>
            </w:r>
            <w:r w:rsidRPr="00C52695">
              <w:fldChar w:fldCharType="separate"/>
            </w:r>
            <w:r w:rsidR="007E3457">
              <w:t>4.4.1</w:t>
            </w:r>
            <w:r w:rsidRPr="00C52695">
              <w:fldChar w:fldCharType="end"/>
            </w:r>
          </w:p>
          <w:p w:rsidR="00C52695" w:rsidRPr="00C52695" w:rsidRDefault="00C52695" w:rsidP="00C52695">
            <w:r w:rsidRPr="00C52695">
              <w:fldChar w:fldCharType="begin"/>
            </w:r>
            <w:r w:rsidRPr="00C52695">
              <w:instrText xml:space="preserve"> REF _Ref415049811 \r \h </w:instrText>
            </w:r>
            <w:r w:rsidRPr="00C52695">
              <w:fldChar w:fldCharType="separate"/>
            </w:r>
            <w:r w:rsidR="007E3457">
              <w:t>A.12</w:t>
            </w:r>
            <w:r w:rsidRPr="00C52695">
              <w:fldChar w:fldCharType="end"/>
            </w:r>
          </w:p>
          <w:p w:rsidR="00C52695" w:rsidRPr="00C52695" w:rsidRDefault="00C52695" w:rsidP="00C52695">
            <w:r w:rsidRPr="00C52695">
              <w:fldChar w:fldCharType="begin"/>
            </w:r>
            <w:r w:rsidRPr="00C52695">
              <w:instrText xml:space="preserve"> REF _Ref450298682 \r \h </w:instrText>
            </w:r>
            <w:r w:rsidRPr="00C52695">
              <w:fldChar w:fldCharType="separate"/>
            </w:r>
            <w:r w:rsidR="007E3457">
              <w:t>A.14</w:t>
            </w:r>
            <w:r w:rsidRPr="00C52695">
              <w:fldChar w:fldCharType="end"/>
            </w:r>
          </w:p>
          <w:p w:rsidR="00C52695" w:rsidRPr="00C52695" w:rsidRDefault="00C52695" w:rsidP="00C52695">
            <w:r w:rsidRPr="00C52695">
              <w:fldChar w:fldCharType="begin"/>
            </w:r>
            <w:r w:rsidRPr="00C52695">
              <w:instrText xml:space="preserve"> REF _Ref414099389 \r \h </w:instrText>
            </w:r>
            <w:r w:rsidRPr="00C52695">
              <w:fldChar w:fldCharType="separate"/>
            </w:r>
            <w:r w:rsidR="007E3457">
              <w:t>A.8.3</w:t>
            </w:r>
            <w:r w:rsidRPr="00C52695">
              <w:fldChar w:fldCharType="end"/>
            </w:r>
          </w:p>
        </w:tc>
      </w:tr>
      <w:tr w:rsidR="00C52695" w:rsidTr="006425B8">
        <w:tc>
          <w:tcPr>
            <w:tcW w:w="3652" w:type="dxa"/>
          </w:tcPr>
          <w:p w:rsidR="00C52695" w:rsidRPr="00C52695" w:rsidRDefault="00C52695" w:rsidP="00C52695">
            <w:r>
              <w:t>T</w:t>
            </w:r>
            <w:r w:rsidRPr="00C52695">
              <w:t>he equity ownership approach is inconsistent with the proper interpretation of the Officer framework.</w:t>
            </w:r>
            <w:r w:rsidRPr="00C52695">
              <w:rPr>
                <w:rStyle w:val="FootnoteReference"/>
              </w:rPr>
              <w:footnoteReference w:id="199"/>
            </w:r>
          </w:p>
          <w:p w:rsidR="00C52695" w:rsidRPr="00C52695" w:rsidRDefault="00C52695" w:rsidP="00C52695">
            <w:r>
              <w:t xml:space="preserve">The equity ownership approach does not </w:t>
            </w:r>
            <w:r w:rsidRPr="00C52695">
              <w:t>reflect factors which affect investors' valuation of imputation credits (below their full face value).</w:t>
            </w:r>
            <w:r w:rsidRPr="00C52695">
              <w:rPr>
                <w:rStyle w:val="FootnoteReference"/>
              </w:rPr>
              <w:footnoteReference w:id="200"/>
            </w:r>
          </w:p>
        </w:tc>
        <w:tc>
          <w:tcPr>
            <w:tcW w:w="4394" w:type="dxa"/>
          </w:tcPr>
          <w:p w:rsidR="00C52695" w:rsidRPr="00C52695" w:rsidRDefault="00C52695" w:rsidP="00C52695">
            <w:r>
              <w:t>See response under 'Conceptual framework'</w:t>
            </w:r>
            <w:r w:rsidRPr="00C52695">
              <w:t xml:space="preserve">. </w:t>
            </w:r>
          </w:p>
        </w:tc>
        <w:tc>
          <w:tcPr>
            <w:tcW w:w="851" w:type="dxa"/>
          </w:tcPr>
          <w:p w:rsidR="00C52695" w:rsidRPr="00C52695" w:rsidRDefault="00C52695" w:rsidP="00C52695">
            <w:r w:rsidRPr="00C52695">
              <w:fldChar w:fldCharType="begin"/>
            </w:r>
            <w:r w:rsidRPr="00C52695">
              <w:instrText xml:space="preserve"> REF _Ref414099389 \r \h </w:instrText>
            </w:r>
            <w:r w:rsidRPr="00C52695">
              <w:fldChar w:fldCharType="separate"/>
            </w:r>
            <w:r w:rsidR="007E3457">
              <w:t>A.8.3</w:t>
            </w:r>
            <w:r w:rsidRPr="00C52695">
              <w:fldChar w:fldCharType="end"/>
            </w:r>
          </w:p>
          <w:p w:rsidR="00C52695" w:rsidRPr="00C52695" w:rsidRDefault="00C52695" w:rsidP="00C52695">
            <w:r w:rsidRPr="00C52695">
              <w:fldChar w:fldCharType="begin"/>
            </w:r>
            <w:r w:rsidRPr="00C52695">
              <w:instrText xml:space="preserve"> REF _Ref415049811 \r \h </w:instrText>
            </w:r>
            <w:r w:rsidRPr="00C52695">
              <w:fldChar w:fldCharType="separate"/>
            </w:r>
            <w:r w:rsidR="007E3457">
              <w:t>A.12</w:t>
            </w:r>
            <w:r w:rsidRPr="00C52695">
              <w:fldChar w:fldCharType="end"/>
            </w:r>
          </w:p>
        </w:tc>
      </w:tr>
      <w:tr w:rsidR="00C52695" w:rsidTr="006425B8">
        <w:trPr>
          <w:cnfStyle w:val="000000010000" w:firstRow="0" w:lastRow="0" w:firstColumn="0" w:lastColumn="0" w:oddVBand="0" w:evenVBand="0" w:oddHBand="0" w:evenHBand="1" w:firstRowFirstColumn="0" w:firstRowLastColumn="0" w:lastRowFirstColumn="0" w:lastRowLastColumn="0"/>
        </w:trPr>
        <w:tc>
          <w:tcPr>
            <w:tcW w:w="3652" w:type="dxa"/>
          </w:tcPr>
          <w:p w:rsidR="00C52695" w:rsidRPr="00C52695" w:rsidRDefault="00C52695" w:rsidP="00C52695">
            <w:r>
              <w:t>The equity ownership approach can only be used informatively</w:t>
            </w:r>
            <w:r w:rsidRPr="00C52695">
              <w:t xml:space="preserve"> as an upper bound or as a check on other estimates (like tax statistics).</w:t>
            </w:r>
            <w:r w:rsidRPr="00C52695">
              <w:rPr>
                <w:rStyle w:val="FootnoteReference"/>
              </w:rPr>
              <w:footnoteReference w:id="201"/>
            </w:r>
          </w:p>
        </w:tc>
        <w:tc>
          <w:tcPr>
            <w:tcW w:w="4394" w:type="dxa"/>
          </w:tcPr>
          <w:p w:rsidR="00C52695" w:rsidRPr="00C52695" w:rsidRDefault="00C52695" w:rsidP="00C52695">
            <w:r>
              <w:t>The equity ownership approach (and tax statistics) can</w:t>
            </w:r>
            <w:r w:rsidRPr="00C52695">
              <w:t xml:space="preserve"> used to generate a point estimate of the utilisation rate.</w:t>
            </w:r>
            <w:r w:rsidRPr="00C52695">
              <w:tab/>
            </w:r>
          </w:p>
        </w:tc>
        <w:tc>
          <w:tcPr>
            <w:tcW w:w="851" w:type="dxa"/>
          </w:tcPr>
          <w:p w:rsidR="005E2393" w:rsidRDefault="00F07197" w:rsidP="00C52695">
            <w:r>
              <w:fldChar w:fldCharType="begin"/>
            </w:r>
            <w:r>
              <w:instrText xml:space="preserve"> REF _Ref476520604 \r \h </w:instrText>
            </w:r>
            <w:r>
              <w:fldChar w:fldCharType="separate"/>
            </w:r>
            <w:r w:rsidR="007E3457">
              <w:t>4.4</w:t>
            </w:r>
            <w:r>
              <w:fldChar w:fldCharType="end"/>
            </w:r>
          </w:p>
          <w:p w:rsidR="00C52695" w:rsidRPr="00C52695" w:rsidRDefault="00C52695" w:rsidP="00C52695">
            <w:r w:rsidRPr="00C52695">
              <w:fldChar w:fldCharType="begin"/>
            </w:r>
            <w:r w:rsidRPr="00C52695">
              <w:instrText xml:space="preserve"> REF _Ref415049811 \r \h </w:instrText>
            </w:r>
            <w:r w:rsidRPr="00C52695">
              <w:fldChar w:fldCharType="separate"/>
            </w:r>
            <w:r w:rsidR="007E3457">
              <w:t>A.12</w:t>
            </w:r>
            <w:r w:rsidRPr="00C52695">
              <w:fldChar w:fldCharType="end"/>
            </w:r>
          </w:p>
        </w:tc>
      </w:tr>
      <w:tr w:rsidR="00C52695" w:rsidTr="006425B8">
        <w:tc>
          <w:tcPr>
            <w:tcW w:w="3652" w:type="dxa"/>
          </w:tcPr>
          <w:p w:rsidR="00C52695" w:rsidRPr="00C52695" w:rsidRDefault="00C52695" w:rsidP="00C52695">
            <w:r>
              <w:t>The equity ownership approach estimate of the utilisation rate should be based on listed equity</w:t>
            </w:r>
            <w:r w:rsidRPr="00C52695">
              <w:t>.</w:t>
            </w:r>
            <w:r w:rsidRPr="00C52695">
              <w:rPr>
                <w:rStyle w:val="FootnoteReference"/>
              </w:rPr>
              <w:footnoteReference w:id="202"/>
            </w:r>
          </w:p>
        </w:tc>
        <w:tc>
          <w:tcPr>
            <w:tcW w:w="4394" w:type="dxa"/>
          </w:tcPr>
          <w:p w:rsidR="00C52695" w:rsidRPr="00C52695" w:rsidRDefault="00C52695" w:rsidP="00C52695">
            <w:r>
              <w:t>We consider utilisation rates from the equity ownership approach based on listed equity and all equity.</w:t>
            </w:r>
          </w:p>
        </w:tc>
        <w:tc>
          <w:tcPr>
            <w:tcW w:w="851" w:type="dxa"/>
          </w:tcPr>
          <w:p w:rsidR="00C52695" w:rsidRPr="00C52695" w:rsidRDefault="00C52695" w:rsidP="00C52695">
            <w:r w:rsidRPr="00C52695">
              <w:fldChar w:fldCharType="begin"/>
            </w:r>
            <w:r w:rsidRPr="00C52695">
              <w:instrText xml:space="preserve"> REF _Ref401048631 \r \h </w:instrText>
            </w:r>
            <w:r w:rsidRPr="00C52695">
              <w:fldChar w:fldCharType="separate"/>
            </w:r>
            <w:r w:rsidR="007E3457">
              <w:t>A.9.1</w:t>
            </w:r>
            <w:r w:rsidRPr="00C52695">
              <w:fldChar w:fldCharType="end"/>
            </w:r>
          </w:p>
          <w:p w:rsidR="00C52695" w:rsidRPr="00C52695" w:rsidRDefault="00C52695" w:rsidP="00C52695">
            <w:r w:rsidRPr="00C52695">
              <w:fldChar w:fldCharType="begin"/>
            </w:r>
            <w:r w:rsidRPr="00C52695">
              <w:instrText xml:space="preserve"> REF _Ref415049811 \r \h </w:instrText>
            </w:r>
            <w:r w:rsidRPr="00C52695">
              <w:fldChar w:fldCharType="separate"/>
            </w:r>
            <w:r w:rsidR="007E3457">
              <w:t>A.12</w:t>
            </w:r>
            <w:r w:rsidRPr="00C52695">
              <w:fldChar w:fldCharType="end"/>
            </w:r>
          </w:p>
        </w:tc>
      </w:tr>
      <w:tr w:rsidR="00C52695" w:rsidTr="006425B8">
        <w:trPr>
          <w:cnfStyle w:val="000000010000" w:firstRow="0" w:lastRow="0" w:firstColumn="0" w:lastColumn="0" w:oddVBand="0" w:evenVBand="0" w:oddHBand="0" w:evenHBand="1" w:firstRowFirstColumn="0" w:firstRowLastColumn="0" w:lastRowFirstColumn="0" w:lastRowLastColumn="0"/>
        </w:trPr>
        <w:tc>
          <w:tcPr>
            <w:tcW w:w="3652" w:type="dxa"/>
          </w:tcPr>
          <w:p w:rsidR="00C52695" w:rsidRPr="00C52695" w:rsidRDefault="00C52695" w:rsidP="00C52695">
            <w:r>
              <w:t>O</w:t>
            </w:r>
            <w:r w:rsidRPr="00C52695">
              <w:t>nly the most recent point estimates of the equity ownership share are relevant.</w:t>
            </w:r>
            <w:r w:rsidRPr="00C52695">
              <w:rPr>
                <w:rStyle w:val="FootnoteReference"/>
              </w:rPr>
              <w:footnoteReference w:id="203"/>
            </w:r>
          </w:p>
        </w:tc>
        <w:tc>
          <w:tcPr>
            <w:tcW w:w="4394" w:type="dxa"/>
          </w:tcPr>
          <w:p w:rsidR="00C52695" w:rsidRPr="00C52695" w:rsidRDefault="00C52695" w:rsidP="00C52695">
            <w:r w:rsidRPr="005B650B">
              <w:t xml:space="preserve">We disagree. Given that the series exhibits considerable volatility, we </w:t>
            </w:r>
            <w:r w:rsidRPr="00C52695">
              <w:t xml:space="preserve">consider it is reasonable to not rely solely on the most recent point estimate. Similarly, we estimate an MRP (for the return on equity) that reflects prevailing market conditions using a historical series of excess returns. </w:t>
            </w:r>
          </w:p>
        </w:tc>
        <w:tc>
          <w:tcPr>
            <w:tcW w:w="851" w:type="dxa"/>
          </w:tcPr>
          <w:p w:rsidR="00C52695" w:rsidRPr="00C52695" w:rsidRDefault="00C52695" w:rsidP="00C52695">
            <w:r w:rsidRPr="00C52695">
              <w:fldChar w:fldCharType="begin"/>
            </w:r>
            <w:r w:rsidRPr="00C52695">
              <w:instrText xml:space="preserve"> REF _Ref415049811 \r \h </w:instrText>
            </w:r>
            <w:r w:rsidRPr="00C52695">
              <w:fldChar w:fldCharType="separate"/>
            </w:r>
            <w:r w:rsidR="007E3457">
              <w:t>A.12</w:t>
            </w:r>
            <w:r w:rsidRPr="00C52695">
              <w:fldChar w:fldCharType="end"/>
            </w:r>
          </w:p>
        </w:tc>
      </w:tr>
      <w:tr w:rsidR="00C52695" w:rsidTr="006425B8">
        <w:tc>
          <w:tcPr>
            <w:tcW w:w="3652" w:type="dxa"/>
          </w:tcPr>
          <w:p w:rsidR="00C52695" w:rsidRPr="00C52695" w:rsidRDefault="00C52695" w:rsidP="00C52695">
            <w:r w:rsidRPr="006B5C23">
              <w:rPr>
                <w:rStyle w:val="AERtextitalic"/>
              </w:rPr>
              <w:t>Tax statistics</w:t>
            </w:r>
          </w:p>
        </w:tc>
        <w:tc>
          <w:tcPr>
            <w:tcW w:w="4394" w:type="dxa"/>
          </w:tcPr>
          <w:p w:rsidR="00C52695" w:rsidRDefault="00C52695" w:rsidP="00C52695"/>
        </w:tc>
        <w:tc>
          <w:tcPr>
            <w:tcW w:w="851" w:type="dxa"/>
          </w:tcPr>
          <w:p w:rsidR="00C52695" w:rsidRDefault="00C52695" w:rsidP="00C52695"/>
        </w:tc>
      </w:tr>
      <w:tr w:rsidR="00C52695" w:rsidTr="006425B8">
        <w:trPr>
          <w:cnfStyle w:val="000000010000" w:firstRow="0" w:lastRow="0" w:firstColumn="0" w:lastColumn="0" w:oddVBand="0" w:evenVBand="0" w:oddHBand="0" w:evenHBand="1" w:firstRowFirstColumn="0" w:firstRowLastColumn="0" w:lastRowFirstColumn="0" w:lastRowLastColumn="0"/>
        </w:trPr>
        <w:tc>
          <w:tcPr>
            <w:tcW w:w="3652" w:type="dxa"/>
          </w:tcPr>
          <w:p w:rsidR="00C52695" w:rsidRPr="00C52695" w:rsidRDefault="00C52695" w:rsidP="00C52695">
            <w:r>
              <w:t xml:space="preserve">Tax statistics are inconsistent with the </w:t>
            </w:r>
            <w:r w:rsidRPr="00C52695">
              <w:t>proper interpretation of the Officer framework</w:t>
            </w:r>
            <w:r w:rsidRPr="00C52695">
              <w:rPr>
                <w:rStyle w:val="FootnoteReference"/>
              </w:rPr>
              <w:footnoteReference w:id="204"/>
            </w:r>
          </w:p>
          <w:p w:rsidR="00C52695" w:rsidRPr="00C52695" w:rsidRDefault="00C52695" w:rsidP="00C52695">
            <w:r>
              <w:t>Tax statistics do</w:t>
            </w:r>
            <w:r w:rsidRPr="00C52695">
              <w:t xml:space="preserve"> not reflect factors which affect investors' valuation of imputation credits (below their full face value).</w:t>
            </w:r>
            <w:r w:rsidRPr="00C52695">
              <w:rPr>
                <w:rStyle w:val="FootnoteReference"/>
              </w:rPr>
              <w:footnoteReference w:id="205"/>
            </w:r>
          </w:p>
        </w:tc>
        <w:tc>
          <w:tcPr>
            <w:tcW w:w="4394" w:type="dxa"/>
          </w:tcPr>
          <w:p w:rsidR="00C52695" w:rsidRPr="00C52695" w:rsidRDefault="00C52695" w:rsidP="00C52695">
            <w:r>
              <w:t xml:space="preserve">See </w:t>
            </w:r>
            <w:r w:rsidRPr="00C52695">
              <w:t>response under 'Conceptual framework'.</w:t>
            </w:r>
          </w:p>
        </w:tc>
        <w:tc>
          <w:tcPr>
            <w:tcW w:w="851" w:type="dxa"/>
          </w:tcPr>
          <w:p w:rsidR="005E2393" w:rsidRDefault="002D1212" w:rsidP="00C52695">
            <w:r>
              <w:fldChar w:fldCharType="begin"/>
            </w:r>
            <w:r>
              <w:instrText xml:space="preserve"> REF _Ref476324220 \r \h </w:instrText>
            </w:r>
            <w:r>
              <w:fldChar w:fldCharType="separate"/>
            </w:r>
            <w:r w:rsidR="007E3457">
              <w:t>4.1</w:t>
            </w:r>
            <w:r>
              <w:fldChar w:fldCharType="end"/>
            </w:r>
          </w:p>
          <w:p w:rsidR="00C52695" w:rsidRPr="00C52695" w:rsidRDefault="00C52695" w:rsidP="00C52695">
            <w:r w:rsidRPr="00C52695">
              <w:fldChar w:fldCharType="begin"/>
            </w:r>
            <w:r w:rsidRPr="00C52695">
              <w:instrText xml:space="preserve"> REF _Ref414099389 \r \h </w:instrText>
            </w:r>
            <w:r w:rsidRPr="00C52695">
              <w:fldChar w:fldCharType="separate"/>
            </w:r>
            <w:r w:rsidR="007E3457">
              <w:t>A.8.3</w:t>
            </w:r>
            <w:r w:rsidRPr="00C52695">
              <w:fldChar w:fldCharType="end"/>
            </w:r>
          </w:p>
          <w:p w:rsidR="00C52695" w:rsidRPr="00C52695" w:rsidRDefault="00C52695" w:rsidP="00C52695">
            <w:r w:rsidRPr="00C52695">
              <w:fldChar w:fldCharType="begin"/>
            </w:r>
            <w:r w:rsidRPr="00C52695">
              <w:instrText xml:space="preserve"> REF _Ref402179420 \r \h </w:instrText>
            </w:r>
            <w:r w:rsidRPr="00C52695">
              <w:fldChar w:fldCharType="separate"/>
            </w:r>
            <w:r w:rsidR="007E3457">
              <w:t>A.13</w:t>
            </w:r>
            <w:r w:rsidRPr="00C52695">
              <w:fldChar w:fldCharType="end"/>
            </w:r>
          </w:p>
        </w:tc>
      </w:tr>
      <w:tr w:rsidR="00C52695" w:rsidTr="006425B8">
        <w:tc>
          <w:tcPr>
            <w:tcW w:w="3652" w:type="dxa"/>
          </w:tcPr>
          <w:p w:rsidR="00C52695" w:rsidRPr="00C52695" w:rsidRDefault="00C52695" w:rsidP="00C52695">
            <w:pPr>
              <w:rPr>
                <w:rStyle w:val="AERtextitalic"/>
              </w:rPr>
            </w:pPr>
            <w:r>
              <w:t>Tax statistics can only provide an upper bound for the estimate of</w:t>
            </w:r>
            <w:r w:rsidRPr="00C52695">
              <w:t xml:space="preserve"> the utilisation rate.</w:t>
            </w:r>
            <w:r w:rsidRPr="00C52695">
              <w:rPr>
                <w:rStyle w:val="FootnoteReference"/>
              </w:rPr>
              <w:footnoteReference w:id="206"/>
            </w:r>
          </w:p>
        </w:tc>
        <w:tc>
          <w:tcPr>
            <w:tcW w:w="4394" w:type="dxa"/>
          </w:tcPr>
          <w:p w:rsidR="00C52695" w:rsidRPr="00C52695" w:rsidRDefault="00C52695" w:rsidP="00C52695">
            <w:r>
              <w:t>We do not consider t</w:t>
            </w:r>
            <w:r w:rsidRPr="00C52695">
              <w:t>ax statistics provide an upper bound estimate. An upper bound is a value above which the true value cannot exceed.</w:t>
            </w:r>
            <w:r w:rsidRPr="00C52695">
              <w:rPr>
                <w:rStyle w:val="FootnoteReference"/>
              </w:rPr>
              <w:footnoteReference w:id="207"/>
            </w:r>
          </w:p>
          <w:p w:rsidR="00C52695" w:rsidRPr="00C52695" w:rsidRDefault="00C52695" w:rsidP="00C52695">
            <w:r w:rsidRPr="00C70506">
              <w:t xml:space="preserve">Rather, tax statistics provide one point estimate for the </w:t>
            </w:r>
            <w:r w:rsidRPr="00C52695">
              <w:t>utilisation rate. This estimate is, by definition, uncertain and dependant on the quality of the underlying data. As such, the true (unknown) value could be higher or lower. Importantly, the quality of the underlying taxation data is poor and experts consider it to be unreliable. Lally considers the tax statistic used by us is not an upper bound.</w:t>
            </w:r>
            <w:r w:rsidRPr="00C52695">
              <w:rPr>
                <w:rStyle w:val="FootnoteReference"/>
              </w:rPr>
              <w:footnoteReference w:id="208"/>
            </w:r>
          </w:p>
        </w:tc>
        <w:tc>
          <w:tcPr>
            <w:tcW w:w="851" w:type="dxa"/>
          </w:tcPr>
          <w:p w:rsidR="00C52695" w:rsidRPr="00C52695" w:rsidRDefault="00C52695" w:rsidP="00C52695">
            <w:r w:rsidRPr="00C52695">
              <w:fldChar w:fldCharType="begin"/>
            </w:r>
            <w:r w:rsidRPr="00C52695">
              <w:instrText xml:space="preserve"> REF _Ref450761230 \r \h </w:instrText>
            </w:r>
            <w:r w:rsidRPr="00C52695">
              <w:fldChar w:fldCharType="separate"/>
            </w:r>
            <w:r w:rsidR="007E3457">
              <w:t>4.4.1</w:t>
            </w:r>
            <w:r w:rsidRPr="00C52695">
              <w:fldChar w:fldCharType="end"/>
            </w:r>
          </w:p>
          <w:p w:rsidR="00C52695" w:rsidRPr="00C52695" w:rsidRDefault="00C52695" w:rsidP="00C52695">
            <w:r w:rsidRPr="00C52695">
              <w:fldChar w:fldCharType="begin"/>
            </w:r>
            <w:r w:rsidRPr="00C52695">
              <w:instrText xml:space="preserve"> REF _Ref402179420 \r \h </w:instrText>
            </w:r>
            <w:r w:rsidRPr="00C52695">
              <w:fldChar w:fldCharType="separate"/>
            </w:r>
            <w:r w:rsidR="007E3457">
              <w:t>A.13</w:t>
            </w:r>
            <w:r w:rsidRPr="00C52695">
              <w:fldChar w:fldCharType="end"/>
            </w:r>
          </w:p>
        </w:tc>
      </w:tr>
      <w:tr w:rsidR="004E5CF9" w:rsidTr="006425B8">
        <w:trPr>
          <w:cnfStyle w:val="000000010000" w:firstRow="0" w:lastRow="0" w:firstColumn="0" w:lastColumn="0" w:oddVBand="0" w:evenVBand="0" w:oddHBand="0" w:evenHBand="1" w:firstRowFirstColumn="0" w:firstRowLastColumn="0" w:lastRowFirstColumn="0" w:lastRowLastColumn="0"/>
        </w:trPr>
        <w:tc>
          <w:tcPr>
            <w:tcW w:w="3652" w:type="dxa"/>
          </w:tcPr>
          <w:p w:rsidR="004E5CF9" w:rsidRDefault="0010651C" w:rsidP="0010651C">
            <w:r>
              <w:t>T</w:t>
            </w:r>
            <w:r w:rsidR="004E5CF9">
              <w:t xml:space="preserve">ax statistics </w:t>
            </w:r>
            <w:r>
              <w:t xml:space="preserve">can estimate </w:t>
            </w:r>
            <w:r w:rsidR="004E5CF9">
              <w:t xml:space="preserve">gamma </w:t>
            </w:r>
            <w:r>
              <w:t>reliably as</w:t>
            </w:r>
            <w:r w:rsidR="004E5CF9">
              <w:t xml:space="preserve"> the ratio of credits redeemed to credits created.</w:t>
            </w:r>
            <w:r w:rsidR="00094970">
              <w:rPr>
                <w:rStyle w:val="FootnoteReference"/>
              </w:rPr>
              <w:footnoteReference w:id="209"/>
            </w:r>
          </w:p>
        </w:tc>
        <w:tc>
          <w:tcPr>
            <w:tcW w:w="4394" w:type="dxa"/>
          </w:tcPr>
          <w:p w:rsidR="004E5CF9" w:rsidRDefault="00094970" w:rsidP="00CC480F">
            <w:r>
              <w:t xml:space="preserve">We do not agree and consistent with Hathaway's </w:t>
            </w:r>
            <w:r w:rsidR="00CC480F">
              <w:t>paper,</w:t>
            </w:r>
            <w:r>
              <w:t xml:space="preserve"> </w:t>
            </w:r>
            <w:r w:rsidR="00F45579">
              <w:t xml:space="preserve">we consider </w:t>
            </w:r>
            <w:r>
              <w:t xml:space="preserve">that caution should be exercised </w:t>
            </w:r>
            <w:r w:rsidR="00F45579">
              <w:t>when</w:t>
            </w:r>
            <w:r>
              <w:t xml:space="preserve"> using ATO statistics </w:t>
            </w:r>
            <w:r w:rsidR="00F45579">
              <w:t xml:space="preserve">to estimate </w:t>
            </w:r>
            <w:r>
              <w:t xml:space="preserve">any </w:t>
            </w:r>
            <w:r w:rsidR="00F45579">
              <w:t>parameter</w:t>
            </w:r>
            <w:r>
              <w:t xml:space="preserve"> </w:t>
            </w:r>
            <w:r w:rsidR="00F45579">
              <w:t>associated</w:t>
            </w:r>
            <w:r>
              <w:t xml:space="preserve"> with franking credits.</w:t>
            </w:r>
          </w:p>
        </w:tc>
        <w:tc>
          <w:tcPr>
            <w:tcW w:w="851" w:type="dxa"/>
          </w:tcPr>
          <w:p w:rsidR="004E5CF9" w:rsidRPr="00C52695" w:rsidRDefault="004E5CF9" w:rsidP="00C52695">
            <w:r w:rsidRPr="004E5CF9">
              <w:fldChar w:fldCharType="begin"/>
            </w:r>
            <w:r w:rsidRPr="004E5CF9">
              <w:instrText xml:space="preserve"> REF _Ref402179420 \r \h </w:instrText>
            </w:r>
            <w:r w:rsidRPr="004E5CF9">
              <w:fldChar w:fldCharType="separate"/>
            </w:r>
            <w:r w:rsidR="007E3457">
              <w:t>A.13</w:t>
            </w:r>
            <w:r w:rsidRPr="004E5CF9">
              <w:fldChar w:fldCharType="end"/>
            </w:r>
          </w:p>
        </w:tc>
      </w:tr>
      <w:tr w:rsidR="00C52695" w:rsidTr="006425B8">
        <w:tc>
          <w:tcPr>
            <w:tcW w:w="3652" w:type="dxa"/>
          </w:tcPr>
          <w:p w:rsidR="00C52695" w:rsidRPr="00C52695" w:rsidRDefault="00C52695" w:rsidP="00C52695">
            <w:r w:rsidRPr="006B5C23">
              <w:rPr>
                <w:rStyle w:val="AERtextitalic"/>
              </w:rPr>
              <w:t>Implied market value studies</w:t>
            </w:r>
          </w:p>
        </w:tc>
        <w:tc>
          <w:tcPr>
            <w:tcW w:w="4394" w:type="dxa"/>
          </w:tcPr>
          <w:p w:rsidR="00C52695" w:rsidRDefault="00C52695" w:rsidP="00C52695"/>
        </w:tc>
        <w:tc>
          <w:tcPr>
            <w:tcW w:w="851" w:type="dxa"/>
          </w:tcPr>
          <w:p w:rsidR="00C52695" w:rsidRDefault="00C52695" w:rsidP="00C52695"/>
        </w:tc>
      </w:tr>
      <w:tr w:rsidR="00C52695" w:rsidTr="006425B8">
        <w:trPr>
          <w:cnfStyle w:val="000000010000" w:firstRow="0" w:lastRow="0" w:firstColumn="0" w:lastColumn="0" w:oddVBand="0" w:evenVBand="0" w:oddHBand="0" w:evenHBand="1" w:firstRowFirstColumn="0" w:firstRowLastColumn="0" w:lastRowFirstColumn="0" w:lastRowLastColumn="0"/>
        </w:trPr>
        <w:tc>
          <w:tcPr>
            <w:tcW w:w="3652" w:type="dxa"/>
          </w:tcPr>
          <w:p w:rsidR="00C52695" w:rsidRPr="00C52695" w:rsidRDefault="00C52695" w:rsidP="00C52695">
            <w:r>
              <w:t>W</w:t>
            </w:r>
            <w:r w:rsidRPr="00C52695">
              <w:t>e should rely more on estimates of the utilisation rate from implied market value studies as they are direct evidence on the value of imputation credits to investors.</w:t>
            </w:r>
            <w:r w:rsidRPr="00C52695">
              <w:rPr>
                <w:rStyle w:val="FootnoteReference"/>
              </w:rPr>
              <w:footnoteReference w:id="210"/>
            </w:r>
            <w:r w:rsidRPr="00C52695">
              <w:t xml:space="preserve"> </w:t>
            </w:r>
            <w:r w:rsidR="002A5A14">
              <w:t>I</w:t>
            </w:r>
            <w:r w:rsidR="002A5A14" w:rsidRPr="00C52695">
              <w:t xml:space="preserve">f </w:t>
            </w:r>
            <w:r w:rsidRPr="00C52695">
              <w:t>the value interpretation is adopted, gamma must be estimated with a market based approach.</w:t>
            </w:r>
            <w:r w:rsidRPr="00C52695">
              <w:rPr>
                <w:rStyle w:val="FootnoteReference"/>
              </w:rPr>
              <w:footnoteReference w:id="211"/>
            </w:r>
          </w:p>
          <w:p w:rsidR="00C52695" w:rsidRPr="00C52695" w:rsidRDefault="00C52695" w:rsidP="00C52695">
            <w:pPr>
              <w:rPr>
                <w:rStyle w:val="AERtextitalic"/>
              </w:rPr>
            </w:pPr>
            <w:r>
              <w:t>T</w:t>
            </w:r>
            <w:r w:rsidRPr="00C52695">
              <w:t xml:space="preserve">he </w:t>
            </w:r>
            <w:r w:rsidR="00001B62">
              <w:t xml:space="preserve">Ausgrid </w:t>
            </w:r>
            <w:r w:rsidRPr="00C52695">
              <w:t>Tribunal considered implied market value studies are best placed to capture the considerations investors make in determining the utilisation rate (or the worth of imputation credits to them).</w:t>
            </w:r>
            <w:r w:rsidRPr="00C52695">
              <w:rPr>
                <w:rStyle w:val="FootnoteReference"/>
              </w:rPr>
              <w:footnoteReference w:id="212"/>
            </w:r>
          </w:p>
        </w:tc>
        <w:tc>
          <w:tcPr>
            <w:tcW w:w="4394" w:type="dxa"/>
          </w:tcPr>
          <w:p w:rsidR="00C52695" w:rsidRPr="00C52695" w:rsidRDefault="00C52695" w:rsidP="00C52695">
            <w:r>
              <w:t xml:space="preserve">See </w:t>
            </w:r>
            <w:r w:rsidRPr="00C52695">
              <w:t>response under 'Conceptual framework'.</w:t>
            </w:r>
          </w:p>
          <w:p w:rsidR="00C52695" w:rsidRPr="00C52695" w:rsidRDefault="00C52695" w:rsidP="00C52695">
            <w:r>
              <w:t>E</w:t>
            </w:r>
            <w:r w:rsidRPr="00C52695">
              <w:t>ven when adjusted for the impacts of differential personal taxation, we consider limited reliance should be placed on the results of these studies. This is because these studies have a range of limitations, including that they do not clearly measure the utilisation value to long term investors.</w:t>
            </w:r>
          </w:p>
          <w:p w:rsidR="00C52695" w:rsidRPr="00C52695" w:rsidRDefault="00C52695" w:rsidP="00C52695">
            <w:r>
              <w:t>We consider m</w:t>
            </w:r>
            <w:r w:rsidRPr="00C52695">
              <w:t>arket value studies do not provide a post-company pre-personal tax estimate of the utilisation rate unless they are corrected for the impact of differential personal taxation on capital gains and dividend income. Without this adjustment they are inconsistent with the Officer framework.</w:t>
            </w:r>
          </w:p>
          <w:p w:rsidR="00C52695" w:rsidRDefault="00C52695" w:rsidP="00C52695"/>
        </w:tc>
        <w:tc>
          <w:tcPr>
            <w:tcW w:w="851" w:type="dxa"/>
          </w:tcPr>
          <w:p w:rsidR="00C52695" w:rsidRPr="00C52695" w:rsidRDefault="00C52695" w:rsidP="00C52695">
            <w:r w:rsidRPr="00C52695">
              <w:fldChar w:fldCharType="begin"/>
            </w:r>
            <w:r w:rsidRPr="00C52695">
              <w:instrText xml:space="preserve"> REF _Ref450761230 \r \h </w:instrText>
            </w:r>
            <w:r w:rsidRPr="00C52695">
              <w:fldChar w:fldCharType="separate"/>
            </w:r>
            <w:r w:rsidR="007E3457">
              <w:t>4.4.1</w:t>
            </w:r>
            <w:r w:rsidRPr="00C52695">
              <w:fldChar w:fldCharType="end"/>
            </w:r>
          </w:p>
          <w:p w:rsidR="00C52695" w:rsidRPr="00C52695" w:rsidRDefault="00C52695" w:rsidP="00C52695">
            <w:r>
              <w:t>A.15</w:t>
            </w:r>
          </w:p>
        </w:tc>
      </w:tr>
      <w:tr w:rsidR="00C52695" w:rsidTr="006425B8">
        <w:tc>
          <w:tcPr>
            <w:tcW w:w="3652" w:type="dxa"/>
          </w:tcPr>
          <w:p w:rsidR="00C52695" w:rsidRPr="00C52695" w:rsidRDefault="005A67B5" w:rsidP="00C52695">
            <w:r>
              <w:t>We</w:t>
            </w:r>
            <w:r w:rsidR="00C52695" w:rsidRPr="00C52695">
              <w:t xml:space="preserve"> should exclusively rely on SFG's study, which suggests a best estimate of 0.35 for the utilisation rate.</w:t>
            </w:r>
            <w:r w:rsidR="00C52695" w:rsidRPr="00C52695">
              <w:rPr>
                <w:rStyle w:val="FootnoteReference"/>
              </w:rPr>
              <w:footnoteReference w:id="213"/>
            </w:r>
          </w:p>
        </w:tc>
        <w:tc>
          <w:tcPr>
            <w:tcW w:w="4394" w:type="dxa"/>
          </w:tcPr>
          <w:p w:rsidR="00C52695" w:rsidRPr="00C52695" w:rsidRDefault="00C52695" w:rsidP="00C52695">
            <w:r>
              <w:t>See response to '</w:t>
            </w:r>
            <w:r w:rsidRPr="00C52695">
              <w:t>We should rely more on estimates of the utilisation rate from implied market value studies'.</w:t>
            </w:r>
          </w:p>
          <w:p w:rsidR="00C52695" w:rsidRPr="00C52695" w:rsidRDefault="00C52695" w:rsidP="00C52695">
            <w:r>
              <w:t>W</w:t>
            </w:r>
            <w:r w:rsidRPr="00C52695">
              <w:t xml:space="preserve">e do not consider it appropriate to rely exclusively on implied market value studies (or SFG's single dividend drop off study). Even if we were to rely solely on SFG's study, we consider it does not support a gamma of 0.25. This is because the estimate of the utilisation rate requires an adjustment for factors that suggest investors value a dollar of dividends at less than one dollar. </w:t>
            </w:r>
          </w:p>
        </w:tc>
        <w:tc>
          <w:tcPr>
            <w:tcW w:w="851" w:type="dxa"/>
          </w:tcPr>
          <w:p w:rsidR="00C52695" w:rsidRPr="00C52695" w:rsidRDefault="00C52695" w:rsidP="00C52695">
            <w:r>
              <w:t>4.4</w:t>
            </w:r>
          </w:p>
          <w:p w:rsidR="00C52695" w:rsidRPr="00C52695" w:rsidRDefault="00C52695" w:rsidP="00C52695">
            <w:r>
              <w:t>4.4.1</w:t>
            </w:r>
          </w:p>
        </w:tc>
      </w:tr>
      <w:tr w:rsidR="00C52695" w:rsidTr="006425B8">
        <w:trPr>
          <w:cnfStyle w:val="000000010000" w:firstRow="0" w:lastRow="0" w:firstColumn="0" w:lastColumn="0" w:oddVBand="0" w:evenVBand="0" w:oddHBand="0" w:evenHBand="1" w:firstRowFirstColumn="0" w:firstRowLastColumn="0" w:lastRowFirstColumn="0" w:lastRowLastColumn="0"/>
        </w:trPr>
        <w:tc>
          <w:tcPr>
            <w:tcW w:w="3652" w:type="dxa"/>
          </w:tcPr>
          <w:p w:rsidR="00C52695" w:rsidRPr="00C52695" w:rsidRDefault="00C52695" w:rsidP="00C52695">
            <w:r>
              <w:t>T</w:t>
            </w:r>
            <w:r w:rsidRPr="00C52695">
              <w:t>he use of implied market value studies to estimate the utilisation rate (and thus gamma) is consistent with the approach to estimating other rate of return parameters.</w:t>
            </w:r>
            <w:r w:rsidRPr="00C52695">
              <w:rPr>
                <w:rStyle w:val="FootnoteReference"/>
              </w:rPr>
              <w:footnoteReference w:id="214"/>
            </w:r>
          </w:p>
        </w:tc>
        <w:tc>
          <w:tcPr>
            <w:tcW w:w="4394" w:type="dxa"/>
          </w:tcPr>
          <w:p w:rsidR="00C52695" w:rsidRPr="00C52695" w:rsidRDefault="00C52695" w:rsidP="00C52695">
            <w:r>
              <w:t xml:space="preserve">We disagree. See </w:t>
            </w:r>
            <w:r w:rsidRPr="00C52695">
              <w:t>response under 'Conceptual framework'.</w:t>
            </w:r>
          </w:p>
        </w:tc>
        <w:tc>
          <w:tcPr>
            <w:tcW w:w="851" w:type="dxa"/>
          </w:tcPr>
          <w:p w:rsidR="00C52695" w:rsidRPr="00C52695" w:rsidRDefault="00C52695" w:rsidP="00C52695">
            <w:r w:rsidRPr="00C52695">
              <w:fldChar w:fldCharType="begin"/>
            </w:r>
            <w:r w:rsidRPr="00C52695">
              <w:instrText xml:space="preserve"> REF _Ref450298425 \r \h </w:instrText>
            </w:r>
            <w:r w:rsidRPr="00C52695">
              <w:fldChar w:fldCharType="separate"/>
            </w:r>
            <w:r w:rsidR="007E3457">
              <w:t>A.8.2</w:t>
            </w:r>
            <w:r w:rsidRPr="00C52695">
              <w:fldChar w:fldCharType="end"/>
            </w:r>
          </w:p>
          <w:p w:rsidR="00C52695" w:rsidRPr="00C52695" w:rsidRDefault="00C52695" w:rsidP="00C52695">
            <w:r>
              <w:t>A.15</w:t>
            </w:r>
          </w:p>
        </w:tc>
      </w:tr>
      <w:tr w:rsidR="00C52695" w:rsidTr="006425B8">
        <w:tc>
          <w:tcPr>
            <w:tcW w:w="3652" w:type="dxa"/>
          </w:tcPr>
          <w:p w:rsidR="00C52695" w:rsidRPr="00C52695" w:rsidRDefault="00C52695" w:rsidP="00C52695">
            <w:r>
              <w:t xml:space="preserve">Under our conceptual approach to gamma, the appropriate adjustment to </w:t>
            </w:r>
            <w:r w:rsidRPr="00C52695">
              <w:t>the results of SFG's study results in a gamma of 0.3. However, this adjustment is not necessary because our conceptual approach is incorrect.</w:t>
            </w:r>
            <w:r w:rsidRPr="00C52695">
              <w:rPr>
                <w:rStyle w:val="FootnoteReference"/>
              </w:rPr>
              <w:footnoteReference w:id="215"/>
            </w:r>
          </w:p>
        </w:tc>
        <w:tc>
          <w:tcPr>
            <w:tcW w:w="4394" w:type="dxa"/>
          </w:tcPr>
          <w:p w:rsidR="00C52695" w:rsidRPr="00C52695" w:rsidRDefault="00C52695" w:rsidP="00C52695">
            <w:r>
              <w:t xml:space="preserve">See </w:t>
            </w:r>
            <w:r w:rsidRPr="00C52695">
              <w:t>response under 'Conceptual framework'.</w:t>
            </w:r>
          </w:p>
          <w:p w:rsidR="00C52695" w:rsidRPr="00C52695" w:rsidRDefault="00C52695" w:rsidP="00C52695">
            <w:r>
              <w:t xml:space="preserve">We </w:t>
            </w:r>
            <w:r w:rsidRPr="00C52695">
              <w:t>disagree and consider the Handley/Lally adjustment is necessary.</w:t>
            </w:r>
          </w:p>
        </w:tc>
        <w:tc>
          <w:tcPr>
            <w:tcW w:w="851" w:type="dxa"/>
          </w:tcPr>
          <w:p w:rsidR="00C52695" w:rsidRPr="00C52695" w:rsidRDefault="00C52695" w:rsidP="00C52695">
            <w:r w:rsidRPr="00C52695">
              <w:fldChar w:fldCharType="begin"/>
            </w:r>
            <w:r w:rsidRPr="00C52695">
              <w:instrText xml:space="preserve"> REF _Ref450761230 \r \h </w:instrText>
            </w:r>
            <w:r w:rsidRPr="00C52695">
              <w:fldChar w:fldCharType="separate"/>
            </w:r>
            <w:r w:rsidR="007E3457">
              <w:t>4.4.1</w:t>
            </w:r>
            <w:r w:rsidRPr="00C52695">
              <w:fldChar w:fldCharType="end"/>
            </w:r>
          </w:p>
          <w:p w:rsidR="00C52695" w:rsidRPr="00C52695" w:rsidRDefault="00C52695" w:rsidP="00C52695">
            <w:r>
              <w:t>A.15</w:t>
            </w:r>
          </w:p>
        </w:tc>
      </w:tr>
      <w:tr w:rsidR="00C52695" w:rsidTr="006425B8">
        <w:trPr>
          <w:cnfStyle w:val="000000010000" w:firstRow="0" w:lastRow="0" w:firstColumn="0" w:lastColumn="0" w:oddVBand="0" w:evenVBand="0" w:oddHBand="0" w:evenHBand="1" w:firstRowFirstColumn="0" w:firstRowLastColumn="0" w:lastRowFirstColumn="0" w:lastRowLastColumn="0"/>
        </w:trPr>
        <w:tc>
          <w:tcPr>
            <w:tcW w:w="3652" w:type="dxa"/>
          </w:tcPr>
          <w:p w:rsidR="00C52695" w:rsidRPr="00C52695" w:rsidRDefault="00C52695" w:rsidP="00C52695">
            <w:r>
              <w:t>S</w:t>
            </w:r>
            <w:r w:rsidRPr="00C52695">
              <w:t>everal of the limitations that we have identified as applying to implied market value studies do not apply to SFG's study, which has not been assessed individually on its merits.</w:t>
            </w:r>
            <w:r w:rsidRPr="00C52695">
              <w:rPr>
                <w:rStyle w:val="FootnoteReference"/>
              </w:rPr>
              <w:footnoteReference w:id="216"/>
            </w:r>
          </w:p>
        </w:tc>
        <w:tc>
          <w:tcPr>
            <w:tcW w:w="4394" w:type="dxa"/>
          </w:tcPr>
          <w:p w:rsidR="00C52695" w:rsidRPr="00C52695" w:rsidRDefault="00C52695" w:rsidP="00C52695">
            <w:r>
              <w:t>We consider the key limitations that apply to implied market value studies also apply to SFG's study.</w:t>
            </w:r>
          </w:p>
        </w:tc>
        <w:tc>
          <w:tcPr>
            <w:tcW w:w="851" w:type="dxa"/>
          </w:tcPr>
          <w:p w:rsidR="00C52695" w:rsidRPr="00C52695" w:rsidRDefault="00C52695" w:rsidP="00C52695">
            <w:r>
              <w:t>A.15</w:t>
            </w:r>
          </w:p>
        </w:tc>
      </w:tr>
      <w:tr w:rsidR="00C52695" w:rsidTr="006425B8">
        <w:tc>
          <w:tcPr>
            <w:tcW w:w="3652" w:type="dxa"/>
          </w:tcPr>
          <w:p w:rsidR="00C52695" w:rsidRPr="00C52695" w:rsidRDefault="00C52695" w:rsidP="00C52695">
            <w:r>
              <w:t xml:space="preserve">Instead of adjusting the estimate of the utilisation rate (theta) to correct for </w:t>
            </w:r>
            <w:r w:rsidRPr="00C52695">
              <w:t>the apparent incorrect valuation of cash dividends, the appropriate response is not to adjust the theta estimate. Rather it is to adjust the allowed return on equity.</w:t>
            </w:r>
            <w:r w:rsidRPr="00C52695">
              <w:rPr>
                <w:rStyle w:val="FootnoteReference"/>
              </w:rPr>
              <w:footnoteReference w:id="217"/>
            </w:r>
          </w:p>
        </w:tc>
        <w:tc>
          <w:tcPr>
            <w:tcW w:w="4394" w:type="dxa"/>
          </w:tcPr>
          <w:p w:rsidR="00001B62" w:rsidRDefault="00C52695" w:rsidP="00C52695">
            <w:r w:rsidRPr="00C80AFF">
              <w:t>We consider that such an adjustment to the allowed return on equity would not be appropriate. The post-co</w:t>
            </w:r>
            <w:r w:rsidRPr="00C52695">
              <w:t>mpany tax and pre-personal tax required return on the equities market is reflective of the face value of dividends paid in the market, not a higher amount. We also note the equities market sets equilibrium prices based on the expected post-company pre-personal tax returns to shareholders (post-tax dividends, post-tax capital gains and post-tax imputation credits).</w:t>
            </w:r>
          </w:p>
          <w:p w:rsidR="00C52695" w:rsidRPr="00C52695" w:rsidRDefault="00001B62" w:rsidP="00001B62">
            <w:r>
              <w:t>Lally considers that if dividend drop</w:t>
            </w:r>
            <w:r w:rsidR="007B3CAB">
              <w:t>-</w:t>
            </w:r>
            <w:r>
              <w:t>off studies produce an estimate of cash dividends of less than one</w:t>
            </w:r>
            <w:r w:rsidR="001A0EE0">
              <w:t>,</w:t>
            </w:r>
            <w:r>
              <w:t xml:space="preserve"> this implies that shareholders do not value dividends as highly as capital gain and this does not suggest that revenue should be increased.</w:t>
            </w:r>
            <w:r w:rsidRPr="00BF2DCE">
              <w:rPr>
                <w:rStyle w:val="FootnoteReference"/>
              </w:rPr>
              <w:footnoteReference w:id="218"/>
            </w:r>
          </w:p>
        </w:tc>
        <w:tc>
          <w:tcPr>
            <w:tcW w:w="851" w:type="dxa"/>
          </w:tcPr>
          <w:p w:rsidR="00C52695" w:rsidRDefault="00001B62" w:rsidP="00C52695">
            <w:r w:rsidRPr="00001B62">
              <w:fldChar w:fldCharType="begin"/>
            </w:r>
            <w:r w:rsidRPr="00001B62">
              <w:instrText xml:space="preserve"> REF _Ref435171205 \r \h </w:instrText>
            </w:r>
            <w:r w:rsidRPr="00001B62">
              <w:fldChar w:fldCharType="separate"/>
            </w:r>
            <w:r w:rsidR="007E3457">
              <w:t>A.15.3</w:t>
            </w:r>
            <w:r w:rsidRPr="00001B62">
              <w:fldChar w:fldCharType="end"/>
            </w:r>
          </w:p>
        </w:tc>
      </w:tr>
      <w:tr w:rsidR="00C52695" w:rsidTr="006425B8">
        <w:trPr>
          <w:cnfStyle w:val="000000010000" w:firstRow="0" w:lastRow="0" w:firstColumn="0" w:lastColumn="0" w:oddVBand="0" w:evenVBand="0" w:oddHBand="0" w:evenHBand="1" w:firstRowFirstColumn="0" w:firstRowLastColumn="0" w:lastRowFirstColumn="0" w:lastRowLastColumn="0"/>
        </w:trPr>
        <w:tc>
          <w:tcPr>
            <w:tcW w:w="3652" w:type="dxa"/>
          </w:tcPr>
          <w:p w:rsidR="00C52695" w:rsidRPr="00C52695" w:rsidRDefault="00C52695" w:rsidP="00C52695">
            <w:r w:rsidRPr="006B5C23">
              <w:rPr>
                <w:rStyle w:val="Strong"/>
              </w:rPr>
              <w:t>Other</w:t>
            </w:r>
          </w:p>
        </w:tc>
        <w:tc>
          <w:tcPr>
            <w:tcW w:w="4394" w:type="dxa"/>
          </w:tcPr>
          <w:p w:rsidR="00C52695" w:rsidRDefault="00C52695" w:rsidP="00C52695"/>
        </w:tc>
        <w:tc>
          <w:tcPr>
            <w:tcW w:w="851" w:type="dxa"/>
          </w:tcPr>
          <w:p w:rsidR="00C52695" w:rsidRDefault="00C52695" w:rsidP="00C52695"/>
        </w:tc>
      </w:tr>
      <w:tr w:rsidR="00C52695" w:rsidTr="006425B8">
        <w:tc>
          <w:tcPr>
            <w:tcW w:w="3652" w:type="dxa"/>
          </w:tcPr>
          <w:p w:rsidR="00C52695" w:rsidRPr="00C52695" w:rsidRDefault="00C52695" w:rsidP="00C52695">
            <w:r w:rsidRPr="00E82D06">
              <w:t>There is an inconsistency between the corporate income tax and the allowed rate of return.</w:t>
            </w:r>
            <w:r w:rsidRPr="00C52695">
              <w:rPr>
                <w:rStyle w:val="FootnoteReference"/>
              </w:rPr>
              <w:footnoteReference w:id="219"/>
            </w:r>
          </w:p>
        </w:tc>
        <w:tc>
          <w:tcPr>
            <w:tcW w:w="4394" w:type="dxa"/>
          </w:tcPr>
          <w:p w:rsidR="00C52695" w:rsidRPr="00C52695" w:rsidRDefault="00C52695" w:rsidP="00C52695">
            <w:r>
              <w:t>We disagree. We discuss this</w:t>
            </w:r>
            <w:r w:rsidRPr="00C52695">
              <w:t xml:space="preserve"> in detail in section C.6 of Attachment 3.</w:t>
            </w:r>
          </w:p>
        </w:tc>
        <w:tc>
          <w:tcPr>
            <w:tcW w:w="851" w:type="dxa"/>
          </w:tcPr>
          <w:p w:rsidR="00C52695" w:rsidRDefault="00C52695" w:rsidP="00C52695"/>
        </w:tc>
      </w:tr>
    </w:tbl>
    <w:p w:rsidR="00C52695" w:rsidRDefault="00C52695" w:rsidP="00C52695">
      <w:pPr>
        <w:pStyle w:val="AERtablesource"/>
      </w:pPr>
      <w:r>
        <w:t>Source:</w:t>
      </w:r>
      <w:r>
        <w:tab/>
        <w:t>AER analysis; service providers' initial and revised proposals; Tribunal decisions.</w:t>
      </w:r>
    </w:p>
    <w:p w:rsidR="00C52695" w:rsidRPr="00883125" w:rsidRDefault="00C52695" w:rsidP="00C52695">
      <w:r>
        <w:t>We have also received a number of submissions on gamma from consumer representatives. These are</w:t>
      </w:r>
      <w:r w:rsidRPr="00031E20">
        <w:t xml:space="preserve"> </w:t>
      </w:r>
      <w:r w:rsidRPr="00883125">
        <w:t>summarised below:</w:t>
      </w:r>
    </w:p>
    <w:p w:rsidR="00C52695" w:rsidRPr="001D37D5" w:rsidRDefault="00C52695" w:rsidP="00C52695">
      <w:pPr>
        <w:pStyle w:val="AERbulletlistfirststyle"/>
      </w:pPr>
      <w:r w:rsidRPr="00883125">
        <w:t xml:space="preserve">The CCP </w:t>
      </w:r>
      <w:r w:rsidR="007D69CB">
        <w:t xml:space="preserve">for the NSW electricity networks </w:t>
      </w:r>
      <w:r w:rsidRPr="00883125">
        <w:t>expressed a view that suggests we should take into account the interrelationship with the corporate tax allowance when determining the value of imputation credits.</w:t>
      </w:r>
      <w:r w:rsidRPr="001D37D5">
        <w:rPr>
          <w:rStyle w:val="FootnoteReference"/>
        </w:rPr>
        <w:footnoteReference w:id="220"/>
      </w:r>
      <w:r w:rsidRPr="001D37D5">
        <w:t xml:space="preserve"> We address this in section </w:t>
      </w:r>
      <w:r w:rsidRPr="001D37D5">
        <w:fldChar w:fldCharType="begin"/>
      </w:r>
      <w:r w:rsidRPr="001D37D5">
        <w:instrText xml:space="preserve"> REF _Ref415070818 \r \h </w:instrText>
      </w:r>
      <w:r w:rsidRPr="001D37D5">
        <w:fldChar w:fldCharType="separate"/>
      </w:r>
      <w:r w:rsidR="007E3457">
        <w:t>4.3.4</w:t>
      </w:r>
      <w:r w:rsidRPr="001D37D5">
        <w:fldChar w:fldCharType="end"/>
      </w:r>
      <w:r w:rsidRPr="001D37D5">
        <w:t>.</w:t>
      </w:r>
    </w:p>
    <w:p w:rsidR="00C52695" w:rsidRPr="001D37D5" w:rsidRDefault="00C52695" w:rsidP="00C52695">
      <w:pPr>
        <w:pStyle w:val="AERbulletlistfirststyle"/>
      </w:pPr>
      <w:r w:rsidRPr="00883125">
        <w:t>The Public Interest Advocacy Centre (PIAC) submitted that the Australian Competition Tribunal's decision in 2011 to rely on an estimate of the utilisation rate from the 2011 version of SFG's dividend drop off study should not be viewed as permanently determinative.</w:t>
      </w:r>
      <w:r w:rsidRPr="001D37D5">
        <w:rPr>
          <w:rStyle w:val="FootnoteReference"/>
        </w:rPr>
        <w:footnoteReference w:id="221"/>
      </w:r>
      <w:r w:rsidRPr="001D37D5">
        <w:t xml:space="preserve"> We agree with these comments in light of the Tribunal's finding that:</w:t>
      </w:r>
      <w:r w:rsidRPr="001D37D5">
        <w:rPr>
          <w:rStyle w:val="FootnoteReference"/>
        </w:rPr>
        <w:footnoteReference w:id="222"/>
      </w:r>
    </w:p>
    <w:p w:rsidR="00C52695" w:rsidRPr="00883125" w:rsidRDefault="00C52695" w:rsidP="00C52695">
      <w:pPr>
        <w:pStyle w:val="AERquote"/>
      </w:pPr>
      <w:r w:rsidRPr="00883125">
        <w:t>Further, the Tribunal notes that estimation of a parameter such as gamma [the value of imputation credits] is necessarily, and desirably, an ongoing intellectual and empirical endeavour. Its decision in these proceedings is based on the material before it.</w:t>
      </w:r>
    </w:p>
    <w:p w:rsidR="00C52695" w:rsidRPr="001D37D5" w:rsidRDefault="00C52695" w:rsidP="00C52695">
      <w:pPr>
        <w:pStyle w:val="AERbulletlistfirststyle"/>
      </w:pPr>
      <w:r w:rsidRPr="00883125">
        <w:t>PIAC also submitted that our draft decisions adequately set out the reasons for departing from the value of imputation credits in the Guideline.</w:t>
      </w:r>
      <w:r w:rsidRPr="001D37D5">
        <w:rPr>
          <w:rStyle w:val="FootnoteReference"/>
        </w:rPr>
        <w:footnoteReference w:id="223"/>
      </w:r>
    </w:p>
    <w:p w:rsidR="00C52695" w:rsidRPr="001D37D5" w:rsidRDefault="00C52695" w:rsidP="00C52695">
      <w:pPr>
        <w:pStyle w:val="AERbulletlistfirststyle"/>
      </w:pPr>
      <w:r w:rsidRPr="00883125">
        <w:t>The Energy Markets Reform Forum (EMRF) submitted that our estimates of the utilisation and distribution rates are lower (and, therefore more favourable to service providers) than those relevant to a pure play energy network (which is the benchmark efficient entity for setting the rate of return).</w:t>
      </w:r>
      <w:r w:rsidRPr="001D37D5">
        <w:rPr>
          <w:rStyle w:val="FootnoteReference"/>
        </w:rPr>
        <w:footnoteReference w:id="224"/>
      </w:r>
      <w:r w:rsidRPr="001D37D5">
        <w:t xml:space="preserve"> The EMRF also submitted that we should consider actual industry practices when determining the value of imputation credits—for example, the EMRF submitted that none of APA Group, Envestra Limited (pre-sale) or JGN's parent company had balances in their franking accounts.</w:t>
      </w:r>
      <w:r w:rsidRPr="001D37D5">
        <w:rPr>
          <w:rStyle w:val="FootnoteReference"/>
        </w:rPr>
        <w:footnoteReference w:id="225"/>
      </w:r>
      <w:r w:rsidRPr="001D37D5">
        <w:t xml:space="preserve"> To clarify, we have interpreted and estimated the value of imputation credits consistently with Officer's 1994 paper and related literature, such as Monkhouse. Under this literature, the utilisation rate is a market-wide parameter and the distribution rate is a firm specific parameter. We estimate the utilisation rate on a market-wide basis. Although the distribution rate is a firm specific parameter, we estimate it on a market-wide basis also and our reasons for doing so are set out in the Guideline.</w:t>
      </w:r>
      <w:r w:rsidRPr="001D37D5">
        <w:rPr>
          <w:rStyle w:val="FootnoteReference"/>
        </w:rPr>
        <w:footnoteReference w:id="226"/>
      </w:r>
    </w:p>
    <w:p w:rsidR="00C52695" w:rsidRPr="001D37D5" w:rsidRDefault="00C52695" w:rsidP="00C52695">
      <w:pPr>
        <w:pStyle w:val="AERbulletlistfirststyle"/>
      </w:pPr>
      <w:r w:rsidRPr="00883125">
        <w:t>The South Australian Council of Social Service (SACOSS) submitted, based on advice received from the South Australian Centre for Economic Studies that evidence was emerging for a value of imputation credits lower than the 0.5 in the Guideline.</w:t>
      </w:r>
      <w:r w:rsidRPr="001D37D5">
        <w:rPr>
          <w:rStyle w:val="FootnoteReference"/>
        </w:rPr>
        <w:footnoteReference w:id="227"/>
      </w:r>
      <w:r w:rsidRPr="001D37D5">
        <w:t xml:space="preserve"> SACOSS supported a value of imputation credits of at least 0.4. In a subsequent submission on the AER's preliminary decision for SA Power Networks</w:t>
      </w:r>
      <w:r w:rsidR="00DD0283">
        <w:t>,</w:t>
      </w:r>
      <w:r w:rsidRPr="001D37D5">
        <w:t xml:space="preserve"> SACOSS supported the AER's decision to use the lower estimate of gamma than in the rate of return guideline, although noting its preferred estimate was for a gamma of 0.36. However, given the AER is reporting gamma to one decimal place SACOSS acknowledged that its preferred estimate of 0.36 concurs with the AER's estimate of 0.4 to one decimal place.</w:t>
      </w:r>
      <w:r w:rsidRPr="001D37D5">
        <w:rPr>
          <w:rStyle w:val="FootnoteReference"/>
        </w:rPr>
        <w:footnoteReference w:id="228"/>
      </w:r>
    </w:p>
    <w:p w:rsidR="00C52695" w:rsidRPr="001D37D5" w:rsidRDefault="00C52695" w:rsidP="00C52695">
      <w:pPr>
        <w:pStyle w:val="AERbulletlistfirststyle"/>
      </w:pPr>
      <w:r w:rsidRPr="00883125">
        <w:t>The Energy Consumers Coalition of South Australia (ECCSA) considered that the service providers (who had submitted regulatory proposals to us in 2014) submitted no new evidence to change our conclusions in the Guideline regarding the value of imputation credits.</w:t>
      </w:r>
      <w:r w:rsidRPr="001D37D5">
        <w:rPr>
          <w:rStyle w:val="FootnoteReference"/>
        </w:rPr>
        <w:footnoteReference w:id="229"/>
      </w:r>
      <w:r w:rsidRPr="001D37D5">
        <w:t xml:space="preserve"> We set out in this decision how and why we have departed from the Guideline. In a subsequent submission on the AER's preliminary decision the ECCSA submitted that 'the AER has moved to a conservative position on the issue of gamma to the detriment of consumers' and it appeared 'the AER has based its assessment on lower utilisation and distribution rates than would otherwise be the case for a pure play energy network which is the benchmark entity for setting the WACC.</w:t>
      </w:r>
      <w:r w:rsidRPr="001D37D5">
        <w:rPr>
          <w:rStyle w:val="FootnoteReference"/>
        </w:rPr>
        <w:footnoteReference w:id="230"/>
      </w:r>
    </w:p>
    <w:p w:rsidR="00C52695" w:rsidRPr="001D37D5" w:rsidRDefault="00C52695" w:rsidP="00C52695">
      <w:pPr>
        <w:pStyle w:val="AERbulletlistfirststyle"/>
      </w:pPr>
      <w:r w:rsidRPr="00883125">
        <w:t xml:space="preserve">In a submission on </w:t>
      </w:r>
      <w:r w:rsidRPr="001D37D5">
        <w:t>our draft decision for Australian Gas Networks, the ECCSA consider that imposing an assumption that the benchmark entity would frank its dividend to the market average is a conservative assumption.</w:t>
      </w:r>
      <w:r w:rsidRPr="001D37D5">
        <w:rPr>
          <w:rStyle w:val="FootnoteReference"/>
        </w:rPr>
        <w:footnoteReference w:id="231"/>
      </w:r>
      <w:r w:rsidRPr="001D37D5">
        <w:t xml:space="preserve"> The AER considers that the benchmark selected to estimate gamma is appropriate. In section </w:t>
      </w:r>
      <w:r w:rsidRPr="001D37D5">
        <w:fldChar w:fldCharType="begin"/>
      </w:r>
      <w:r w:rsidRPr="001D37D5">
        <w:instrText xml:space="preserve"> REF _Ref403481194 \r \h </w:instrText>
      </w:r>
      <w:r w:rsidRPr="001D37D5">
        <w:fldChar w:fldCharType="separate"/>
      </w:r>
      <w:r w:rsidR="007E3457">
        <w:t>A.9.2</w:t>
      </w:r>
      <w:r w:rsidRPr="001D37D5">
        <w:fldChar w:fldCharType="end"/>
      </w:r>
      <w:r w:rsidRPr="001D37D5">
        <w:t xml:space="preserve"> and section </w:t>
      </w:r>
      <w:r w:rsidRPr="001D37D5">
        <w:fldChar w:fldCharType="begin"/>
      </w:r>
      <w:r w:rsidRPr="001D37D5">
        <w:instrText xml:space="preserve"> REF _Ref414289334 \r \h </w:instrText>
      </w:r>
      <w:r w:rsidRPr="001D37D5">
        <w:fldChar w:fldCharType="separate"/>
      </w:r>
      <w:r w:rsidR="007E3457">
        <w:t>A.10.1</w:t>
      </w:r>
      <w:r w:rsidRPr="001D37D5">
        <w:fldChar w:fldCharType="end"/>
      </w:r>
      <w:r w:rsidRPr="001D37D5">
        <w:t>, the AER considers that benchmark should be assessed holistically. Further, the ECCSA stated that it is inappropriate to reward offshore investors in energy networks by providing extra revenue when they have made a conscious decision to invest even though they gain no benefit from imputation.</w:t>
      </w:r>
      <w:r w:rsidRPr="001D37D5">
        <w:rPr>
          <w:rStyle w:val="FootnoteReference"/>
        </w:rPr>
        <w:footnoteReference w:id="232"/>
      </w:r>
      <w:r w:rsidRPr="001D37D5">
        <w:t xml:space="preserve"> In response, the AER considers that gamma and the return on equity are estimated on a consistent basis.</w:t>
      </w:r>
    </w:p>
    <w:p w:rsidR="00C52695" w:rsidRPr="001D37D5" w:rsidRDefault="00C52695" w:rsidP="00C52695">
      <w:pPr>
        <w:pStyle w:val="AERbulletlistfirststyle"/>
      </w:pPr>
      <w:r w:rsidRPr="00883125">
        <w:t>The Queensland Council of Social Service (QCOSS) submitted a 'more even-handed and consistent approach' would be a value of imputation credits of 0.5 as per the Guideline.</w:t>
      </w:r>
      <w:r w:rsidRPr="001D37D5">
        <w:rPr>
          <w:rStyle w:val="FootnoteReference"/>
        </w:rPr>
        <w:footnoteReference w:id="233"/>
      </w:r>
      <w:r w:rsidRPr="001D37D5">
        <w:t xml:space="preserve"> QCOSS had regard to a recent decision by the Queensland Competition Authority for a value of 0.47. We set out in this decision why we consider 0.4 to be the best estimate from within the range 0.3 to 0.5.</w:t>
      </w:r>
    </w:p>
    <w:p w:rsidR="00C52695" w:rsidRPr="001D37D5" w:rsidRDefault="00C52695" w:rsidP="00C52695">
      <w:pPr>
        <w:pStyle w:val="AERbulletlistfirststyle"/>
      </w:pPr>
      <w:r w:rsidRPr="00883125">
        <w:t>The Alliance of Electricity Consumers (the Alliance) employed a value of imputation credits of 0.25 in its estimation of an efficient rate of return.</w:t>
      </w:r>
      <w:r w:rsidRPr="001D37D5">
        <w:rPr>
          <w:rStyle w:val="FootnoteReference"/>
        </w:rPr>
        <w:footnoteReference w:id="234"/>
      </w:r>
      <w:r w:rsidRPr="001D37D5">
        <w:t xml:space="preserve"> However, the Alliance provided no discussion or justification for the use of this estimate. Regardless, the Alliance submitted that the appropriate rate of return was 3.76 per cent, which is less than half the rate of return typically proposed by the service providers.</w:t>
      </w:r>
    </w:p>
    <w:p w:rsidR="00C52695" w:rsidRDefault="00C52695" w:rsidP="00C52695">
      <w:pPr>
        <w:pStyle w:val="AERbulletlistfirststyle"/>
      </w:pPr>
      <w:r w:rsidRPr="00883125">
        <w:t>UnitingCare Australia supported our value for gamma, if a value for gamma is necessary.</w:t>
      </w:r>
      <w:r w:rsidRPr="001D37D5">
        <w:rPr>
          <w:rStyle w:val="FootnoteReference"/>
        </w:rPr>
        <w:footnoteReference w:id="235"/>
      </w:r>
      <w:bookmarkStart w:id="130" w:name="_Toc450119234"/>
      <w:bookmarkStart w:id="131" w:name="_Toc450119396"/>
      <w:bookmarkStart w:id="132" w:name="_Toc450119236"/>
      <w:bookmarkStart w:id="133" w:name="_Toc450119398"/>
      <w:bookmarkStart w:id="134" w:name="_Toc450119239"/>
      <w:bookmarkStart w:id="135" w:name="_Toc450119401"/>
      <w:bookmarkEnd w:id="130"/>
      <w:bookmarkEnd w:id="131"/>
      <w:bookmarkEnd w:id="132"/>
      <w:bookmarkEnd w:id="133"/>
      <w:bookmarkEnd w:id="134"/>
      <w:bookmarkEnd w:id="135"/>
    </w:p>
    <w:p w:rsidR="00C52695" w:rsidRDefault="00C52695" w:rsidP="00C52695">
      <w:pPr>
        <w:pStyle w:val="AERbulletlistfirststyle"/>
      </w:pPr>
      <w:r>
        <w:t xml:space="preserve">The CCP </w:t>
      </w:r>
      <w:r w:rsidR="003B47A6">
        <w:t xml:space="preserve">for AusNet Service Transmission </w:t>
      </w:r>
      <w:r>
        <w:t>sees no clear reason for a further downward departure from the guideline gamma estimate of 0.5.</w:t>
      </w:r>
      <w:r>
        <w:rPr>
          <w:rStyle w:val="FootnoteReference"/>
        </w:rPr>
        <w:footnoteReference w:id="236"/>
      </w:r>
      <w:r>
        <w:t xml:space="preserve"> Their view is that gamma should be at least 0.5 because a higher gamma better meets the NEO and given the imprecision around estimating this input in the revenue calculation.</w:t>
      </w:r>
      <w:r>
        <w:rPr>
          <w:rStyle w:val="FootnoteReference"/>
        </w:rPr>
        <w:footnoteReference w:id="237"/>
      </w:r>
      <w:r>
        <w:t xml:space="preserve"> We agree that estimating gamma is an imprecise exercise. However, we consider that a gamma estimate of 0.4 meets the requirement of the NEO.</w:t>
      </w:r>
    </w:p>
    <w:p w:rsidR="00C52695" w:rsidRPr="007E0D5C" w:rsidRDefault="00C52695" w:rsidP="00C52695">
      <w:pPr>
        <w:pStyle w:val="AERbulletlistfirststyle"/>
      </w:pPr>
      <w:r w:rsidRPr="007E0D5C">
        <w:t xml:space="preserve">Tasmanian Counsel of Social Service (TasCOSS) </w:t>
      </w:r>
      <w:r w:rsidR="00DD0283">
        <w:t>believes</w:t>
      </w:r>
      <w:r w:rsidRPr="007E0D5C">
        <w:t xml:space="preserve"> </w:t>
      </w:r>
      <w:r>
        <w:t xml:space="preserve">that gamma should be set consistently with </w:t>
      </w:r>
      <w:r w:rsidRPr="007E0D5C">
        <w:t>the AER's rate of return guideline which was developed by the independent regulator after broad consultation and consideration.</w:t>
      </w:r>
      <w:r w:rsidRPr="007E0D5C">
        <w:rPr>
          <w:rStyle w:val="FootnoteReference"/>
        </w:rPr>
        <w:footnoteReference w:id="238"/>
      </w:r>
      <w:r w:rsidRPr="007E0D5C">
        <w:t xml:space="preserve"> Further, the Tasmanian Small Business Council has strong reservations about the AER's decision to depart from its own guideline in moving </w:t>
      </w:r>
      <w:r w:rsidRPr="00A96789">
        <w:t xml:space="preserve">its gamma estimate </w:t>
      </w:r>
      <w:r w:rsidRPr="007E0D5C">
        <w:t xml:space="preserve">down to 0.4 from </w:t>
      </w:r>
      <w:r>
        <w:t xml:space="preserve">the </w:t>
      </w:r>
      <w:r w:rsidRPr="007E0D5C">
        <w:t xml:space="preserve">0.5 </w:t>
      </w:r>
      <w:r>
        <w:t xml:space="preserve">value </w:t>
      </w:r>
      <w:r w:rsidRPr="007E0D5C">
        <w:t>it originally set.</w:t>
      </w:r>
      <w:r w:rsidRPr="007E0D5C">
        <w:rPr>
          <w:rStyle w:val="FootnoteReference"/>
        </w:rPr>
        <w:footnoteReference w:id="239"/>
      </w:r>
      <w:r w:rsidRPr="007E0D5C">
        <w:t xml:space="preserve"> However, the AER considers there is persuasive evidence to move away from the 0.5 gamma estimate in the rate of return guideline</w:t>
      </w:r>
      <w:r>
        <w:t>, as set out in this chapter</w:t>
      </w:r>
      <w:r w:rsidRPr="007E0D5C">
        <w:t>. The AER considers that a gamma of 0.4 is currently appropriate.</w:t>
      </w:r>
    </w:p>
    <w:p w:rsidR="00C52695" w:rsidRPr="00C52695" w:rsidRDefault="00C52695" w:rsidP="00C52695">
      <w:pPr>
        <w:pStyle w:val="AERbulletlistfirststyle"/>
      </w:pPr>
      <w:r w:rsidRPr="007E0D5C">
        <w:t>The CCP</w:t>
      </w:r>
      <w:r w:rsidR="005E2393">
        <w:t>4</w:t>
      </w:r>
      <w:r w:rsidRPr="007E0D5C">
        <w:t xml:space="preserve"> </w:t>
      </w:r>
      <w:r w:rsidR="007D69CB">
        <w:t xml:space="preserve">for TasNetworks </w:t>
      </w:r>
      <w:r w:rsidR="00DD0283">
        <w:t>considered</w:t>
      </w:r>
      <w:r w:rsidRPr="007E0D5C">
        <w:t xml:space="preserve"> the AER guideline </w:t>
      </w:r>
      <w:r w:rsidRPr="00C52695">
        <w:t>should be applied in respect to gamma, especially as gamma only has value where there are shareholders subject to the Commonwealth tax on business profits. For regulated businesses that are government owned and not subject to this tax, setting gamma at a level lower than unity merely increases the revenue to these businesses with little legitimate basis and therefore this is an unnecessary cost that is being transferred to consumers.</w:t>
      </w:r>
      <w:r w:rsidRPr="00C52695">
        <w:rPr>
          <w:rStyle w:val="FootnoteReference"/>
        </w:rPr>
        <w:footnoteReference w:id="240"/>
      </w:r>
      <w:r w:rsidRPr="00C52695">
        <w:t xml:space="preserve"> </w:t>
      </w:r>
      <w:r w:rsidR="00452BA3">
        <w:t>I</w:t>
      </w:r>
      <w:r w:rsidR="00CC480F">
        <w:t xml:space="preserve">n </w:t>
      </w:r>
      <w:r w:rsidR="00452BA3">
        <w:t>its</w:t>
      </w:r>
      <w:r w:rsidR="00CC480F">
        <w:t xml:space="preserve"> submission on the AER draft decision and TasNetworks revised proposal, the CCP</w:t>
      </w:r>
      <w:r w:rsidR="005E2393">
        <w:t>4</w:t>
      </w:r>
      <w:r w:rsidR="00CC480F">
        <w:t xml:space="preserve"> for TasNetworks continues to hold this view.</w:t>
      </w:r>
      <w:r w:rsidR="00CC480F">
        <w:rPr>
          <w:rStyle w:val="FootnoteReference"/>
        </w:rPr>
        <w:footnoteReference w:id="241"/>
      </w:r>
      <w:r w:rsidR="00CC480F">
        <w:t xml:space="preserve"> </w:t>
      </w:r>
      <w:r w:rsidRPr="00C52695">
        <w:t>The AER does not agree and considers there should a single benchmark for the rate of return for the reasons set out in Attachment 3 to this decision. The requirement to estimate gamma consistently with the rate of return means gamma should be determined based on the same single benchmark.</w:t>
      </w:r>
    </w:p>
    <w:p w:rsidR="001A13F8" w:rsidRDefault="001A13F8" w:rsidP="00B01A20">
      <w:pPr>
        <w:pStyle w:val="AERbulletlistfirststyle"/>
      </w:pPr>
      <w:r>
        <w:t xml:space="preserve">The CCP for AusNet Services' Transmission considers there is no correct value for gamma and there is </w:t>
      </w:r>
      <w:r w:rsidR="000E71C3">
        <w:t>considerable</w:t>
      </w:r>
      <w:r>
        <w:t xml:space="preserve"> </w:t>
      </w:r>
      <w:r w:rsidR="000E71C3">
        <w:t xml:space="preserve">imprecision around estimating </w:t>
      </w:r>
      <w:r w:rsidR="00EE209C">
        <w:t>it</w:t>
      </w:r>
      <w:r w:rsidR="000E71C3">
        <w:t xml:space="preserve">. The CCP for AusNet Services' </w:t>
      </w:r>
      <w:r w:rsidR="00EE209C">
        <w:t xml:space="preserve">Transmission </w:t>
      </w:r>
      <w:r w:rsidR="000E71C3">
        <w:t>considers the AER's approach is more robust than the methodology sought by the regulated businesses and that the AER should not buy into technical arguments from the regulated businesses that contain many debateable assumptions.</w:t>
      </w:r>
      <w:r w:rsidR="000E71C3">
        <w:rPr>
          <w:rStyle w:val="FootnoteReference"/>
        </w:rPr>
        <w:footnoteReference w:id="242"/>
      </w:r>
      <w:r w:rsidR="000E71C3">
        <w:t xml:space="preserve"> </w:t>
      </w:r>
      <w:r w:rsidR="00EE209C">
        <w:t>We agree</w:t>
      </w:r>
      <w:r w:rsidR="000E71C3">
        <w:t xml:space="preserve"> that gamma is a parameter that is imprecise to measure. </w:t>
      </w:r>
      <w:r w:rsidR="00EE209C">
        <w:t>We have</w:t>
      </w:r>
      <w:r w:rsidR="000E71C3">
        <w:t xml:space="preserve"> assesse</w:t>
      </w:r>
      <w:r w:rsidR="00C4561A">
        <w:t>d</w:t>
      </w:r>
      <w:r w:rsidR="000E71C3">
        <w:t xml:space="preserve"> the regulated businesses submission</w:t>
      </w:r>
      <w:r w:rsidR="009528C0">
        <w:t>s and overall consider</w:t>
      </w:r>
      <w:r w:rsidR="000E71C3">
        <w:t xml:space="preserve"> a gamma estimate of 0.4 </w:t>
      </w:r>
      <w:r w:rsidR="001A0EE0">
        <w:t xml:space="preserve">still </w:t>
      </w:r>
      <w:r w:rsidR="000E71C3">
        <w:t>remains appropriate</w:t>
      </w:r>
      <w:r w:rsidR="00B01A20">
        <w:t>.</w:t>
      </w:r>
    </w:p>
    <w:p w:rsidR="00B01A20" w:rsidRDefault="00C43D62" w:rsidP="00B01A20">
      <w:pPr>
        <w:pStyle w:val="AERbulletlistfirststyle"/>
      </w:pPr>
      <w:r>
        <w:t xml:space="preserve">The CCP4 (Headberry) for TasNetworks considers that the AER's gamma estimate is conservative and it </w:t>
      </w:r>
      <w:r w:rsidR="00116542">
        <w:t>should be reassessed in the next guideline review in the next 2 years. Given this</w:t>
      </w:r>
      <w:r w:rsidR="00850EA5">
        <w:t>,</w:t>
      </w:r>
      <w:r w:rsidR="00116542">
        <w:t xml:space="preserve"> the current guideline estimate should apply to TasNetworks.</w:t>
      </w:r>
      <w:r w:rsidR="00116542">
        <w:rPr>
          <w:rStyle w:val="FootnoteReference"/>
        </w:rPr>
        <w:footnoteReference w:id="243"/>
      </w:r>
      <w:r w:rsidR="00116542">
        <w:t xml:space="preserve"> We do not agree as we have moved away from the guidelines gamma estimate of 0.5. Reassessing the evidence before us since the guideline review, we consider a gamma estimate of 0.4 is appropriate.</w:t>
      </w:r>
    </w:p>
    <w:p w:rsidR="00857430" w:rsidRDefault="00857430" w:rsidP="00B01A20">
      <w:pPr>
        <w:pStyle w:val="AERbulletlistfirststyle"/>
      </w:pPr>
      <w:r>
        <w:t xml:space="preserve">The </w:t>
      </w:r>
      <w:r w:rsidR="00452BA3" w:rsidRPr="007E0D5C">
        <w:t xml:space="preserve">Tasmanian Small Business Council </w:t>
      </w:r>
      <w:r>
        <w:t>supports the AER's gamma estimate of 0.4, and notes that this value has been set with extensive and wide ranging consultation. It believes the 0.4 gamma value should stand unless it is overturned by the eventual outcome of the appeals process.</w:t>
      </w:r>
      <w:r>
        <w:rPr>
          <w:rStyle w:val="FootnoteReference"/>
        </w:rPr>
        <w:footnoteReference w:id="244"/>
      </w:r>
      <w:r>
        <w:t xml:space="preserve"> The CCP</w:t>
      </w:r>
      <w:r w:rsidR="005E2393">
        <w:t>4</w:t>
      </w:r>
      <w:r>
        <w:t xml:space="preserve"> (Headberry) </w:t>
      </w:r>
      <w:r w:rsidR="005E2393">
        <w:t xml:space="preserve">for Powerlink </w:t>
      </w:r>
      <w:r>
        <w:t>notes that despite the SAPN Tribunal upholding the 0.</w:t>
      </w:r>
      <w:r w:rsidR="00452BA3">
        <w:t>4</w:t>
      </w:r>
      <w:r>
        <w:t xml:space="preserve"> gamma estimate, Powerlink expresses a desire to benefit from a lower gamma estimate if this is the result of the Full Federal Court.</w:t>
      </w:r>
      <w:r w:rsidR="00F439A9">
        <w:rPr>
          <w:rStyle w:val="FootnoteReference"/>
        </w:rPr>
        <w:footnoteReference w:id="245"/>
      </w:r>
      <w:r>
        <w:t xml:space="preserve"> At the time </w:t>
      </w:r>
      <w:r w:rsidR="00BF378B">
        <w:t>we released</w:t>
      </w:r>
      <w:r w:rsidR="00F97D14">
        <w:t xml:space="preserve"> </w:t>
      </w:r>
      <w:r w:rsidR="00EE66C0">
        <w:t>the</w:t>
      </w:r>
      <w:r w:rsidR="00BF378B">
        <w:t xml:space="preserve"> final decision</w:t>
      </w:r>
      <w:r w:rsidR="00EE66C0">
        <w:t xml:space="preserve"> for Powerlink</w:t>
      </w:r>
      <w:r w:rsidR="00BF378B">
        <w:t>, the outcome of both Full Federal Court decisions was unknown. As a result, we ha</w:t>
      </w:r>
      <w:r w:rsidR="00EE66C0">
        <w:t>d</w:t>
      </w:r>
      <w:r w:rsidR="00BF378B">
        <w:t xml:space="preserve"> been unable to incorporate the Full Federal Court</w:t>
      </w:r>
      <w:r w:rsidR="00922C6D">
        <w:t>'</w:t>
      </w:r>
      <w:r w:rsidR="00BF378B">
        <w:t xml:space="preserve">s decision in </w:t>
      </w:r>
      <w:r w:rsidR="00EE66C0">
        <w:t>the final</w:t>
      </w:r>
      <w:r w:rsidR="00BF378B">
        <w:t xml:space="preserve"> decision. Further, we </w:t>
      </w:r>
      <w:r w:rsidR="00913303">
        <w:t>consider</w:t>
      </w:r>
      <w:r w:rsidR="00894933">
        <w:t>ed</w:t>
      </w:r>
      <w:r w:rsidR="00BF378B">
        <w:t xml:space="preserve"> it </w:t>
      </w:r>
      <w:r w:rsidR="00894933">
        <w:t>wa</w:t>
      </w:r>
      <w:r w:rsidR="00BF378B">
        <w:t xml:space="preserve">s inappropriate to adjust the total revenue for the service providers within the access arrangement (either via cost pass through or x-factor mechanism) for the </w:t>
      </w:r>
      <w:r w:rsidR="00664394">
        <w:t>outcome of the Full Federal Court decision on gamma.</w:t>
      </w:r>
      <w:r w:rsidR="00EE66C0">
        <w:t xml:space="preserve"> </w:t>
      </w:r>
      <w:r w:rsidR="001F59A2">
        <w:t>Subsequent to these</w:t>
      </w:r>
      <w:r w:rsidR="00894933">
        <w:t xml:space="preserve"> earlier AER</w:t>
      </w:r>
      <w:r w:rsidR="001F59A2">
        <w:t xml:space="preserve"> decisions</w:t>
      </w:r>
      <w:r w:rsidR="00EE66C0">
        <w:t xml:space="preserve"> the Full Federal Court </w:t>
      </w:r>
      <w:r w:rsidR="00894933">
        <w:t xml:space="preserve">has now </w:t>
      </w:r>
      <w:r w:rsidR="00EE66C0">
        <w:t xml:space="preserve">handed down </w:t>
      </w:r>
      <w:r w:rsidR="00894933">
        <w:t xml:space="preserve">its decision </w:t>
      </w:r>
      <w:r w:rsidR="006A7DA8">
        <w:t>on 24</w:t>
      </w:r>
      <w:r w:rsidR="00EE66C0">
        <w:t xml:space="preserve"> May 2017</w:t>
      </w:r>
      <w:r w:rsidR="001F59A2">
        <w:t xml:space="preserve"> </w:t>
      </w:r>
      <w:r w:rsidR="00894933">
        <w:t xml:space="preserve">and </w:t>
      </w:r>
      <w:r w:rsidR="001F59A2">
        <w:t>found error in the Tribunal's decision on the value of imputation credits</w:t>
      </w:r>
      <w:r w:rsidR="002E5B8D">
        <w:t xml:space="preserve">. This decision </w:t>
      </w:r>
      <w:r w:rsidR="001F59A2">
        <w:t xml:space="preserve">has not resulted in a change in our approach </w:t>
      </w:r>
      <w:r w:rsidR="00894933">
        <w:t xml:space="preserve">to estimating gamma </w:t>
      </w:r>
      <w:r w:rsidR="001F59A2">
        <w:t xml:space="preserve">or </w:t>
      </w:r>
      <w:r w:rsidR="00894933">
        <w:t xml:space="preserve">our point </w:t>
      </w:r>
      <w:r w:rsidR="001F59A2">
        <w:t>estimate of</w:t>
      </w:r>
      <w:r w:rsidR="00894933">
        <w:t xml:space="preserve"> the value</w:t>
      </w:r>
      <w:r w:rsidR="001F59A2">
        <w:t>.</w:t>
      </w:r>
      <w:r w:rsidR="00EE66C0">
        <w:t xml:space="preserve"> </w:t>
      </w:r>
    </w:p>
    <w:p w:rsidR="00B63B14" w:rsidRDefault="00B63B14" w:rsidP="00B01A20">
      <w:pPr>
        <w:pStyle w:val="AERbulletlistfirststyle"/>
      </w:pPr>
      <w:r>
        <w:t>Origin Energy supports AGN's stance of adopting the AER's gamma estimate of 0.4, but understands each business will interpret the parameter according to its own independent advice and review.</w:t>
      </w:r>
      <w:r>
        <w:rPr>
          <w:rStyle w:val="FootnoteReference"/>
        </w:rPr>
        <w:footnoteReference w:id="246"/>
      </w:r>
    </w:p>
    <w:p w:rsidR="00C52695" w:rsidRPr="00021F98" w:rsidRDefault="00C52695" w:rsidP="00021F98">
      <w:pPr>
        <w:pStyle w:val="Heading7"/>
      </w:pPr>
      <w:bookmarkStart w:id="136" w:name="_Toc436049441"/>
      <w:bookmarkStart w:id="137" w:name="_Toc451842245"/>
      <w:bookmarkStart w:id="138" w:name="_Toc451938301"/>
      <w:bookmarkStart w:id="139" w:name="_Toc456614289"/>
      <w:bookmarkStart w:id="140" w:name="_Toc462823307"/>
      <w:bookmarkStart w:id="141" w:name="_Toc487014055"/>
      <w:r w:rsidRPr="00021F98">
        <w:t>Value of imputation credits: Detailed analysis</w:t>
      </w:r>
      <w:bookmarkEnd w:id="136"/>
      <w:bookmarkEnd w:id="137"/>
      <w:bookmarkEnd w:id="138"/>
      <w:bookmarkEnd w:id="139"/>
      <w:bookmarkEnd w:id="140"/>
      <w:bookmarkEnd w:id="141"/>
    </w:p>
    <w:p w:rsidR="00C52695" w:rsidRPr="00883125" w:rsidRDefault="00C52695" w:rsidP="00C52695">
      <w:r w:rsidRPr="00883125">
        <w:t>In attachment 4, we set out our decision on the value of imputation credits</w:t>
      </w:r>
      <w:r>
        <w:t xml:space="preserve"> (gamma)</w:t>
      </w:r>
      <w:r w:rsidRPr="00883125">
        <w:t>—which is to adopt a value of 0.4—and our key reasons for that view. We also indicated the position submitted to us by the service providers and briefly set out our consideration of that position. In this appendix, we set out further supporting material for our decision on the value of imputation credits. We also respond in more detail to the position submitted to us by the service providers.</w:t>
      </w:r>
    </w:p>
    <w:p w:rsidR="00C52695" w:rsidRDefault="0043393C" w:rsidP="00C52695">
      <w:r>
        <w:t xml:space="preserve">Multinet </w:t>
      </w:r>
      <w:r w:rsidR="007B1E9A">
        <w:t xml:space="preserve">and some other service providers </w:t>
      </w:r>
      <w:r w:rsidR="00001B62">
        <w:t>ha</w:t>
      </w:r>
      <w:r w:rsidR="007B1E9A">
        <w:t>ve</w:t>
      </w:r>
      <w:r w:rsidR="00001B62">
        <w:t xml:space="preserve"> proposed a value of imputation credits of 0.25.</w:t>
      </w:r>
      <w:r w:rsidR="00001B62">
        <w:rPr>
          <w:rStyle w:val="FootnoteReference"/>
        </w:rPr>
        <w:footnoteReference w:id="247"/>
      </w:r>
      <w:r w:rsidR="00001B62" w:rsidDel="00D85A4C">
        <w:t xml:space="preserve"> </w:t>
      </w:r>
      <w:r w:rsidR="00001B62">
        <w:t xml:space="preserve">This being the product of </w:t>
      </w:r>
      <w:r w:rsidR="001A0EE0">
        <w:t>a</w:t>
      </w:r>
      <w:r w:rsidR="00001B62">
        <w:t xml:space="preserve"> distribution rate of 0.7 and </w:t>
      </w:r>
      <w:r w:rsidR="00F45579">
        <w:t xml:space="preserve">a </w:t>
      </w:r>
      <w:r w:rsidR="00001B62">
        <w:t>theta (utilisation value) of 0.35.</w:t>
      </w:r>
      <w:r w:rsidR="00001B62">
        <w:rPr>
          <w:rStyle w:val="FootnoteReference"/>
        </w:rPr>
        <w:footnoteReference w:id="248"/>
      </w:r>
      <w:r w:rsidR="00815596">
        <w:t xml:space="preserve"> </w:t>
      </w:r>
      <w:r w:rsidR="006623F7">
        <w:t xml:space="preserve">While </w:t>
      </w:r>
      <w:r w:rsidR="007B1E9A" w:rsidRPr="007B1E9A">
        <w:t xml:space="preserve">AGN proposed to adopt the AER's </w:t>
      </w:r>
      <w:r w:rsidR="00480144">
        <w:t xml:space="preserve">previous </w:t>
      </w:r>
      <w:r w:rsidR="007B1E9A" w:rsidRPr="007B1E9A">
        <w:t>decision on gamma of 0.4 pending further information resolving current areas of uncertainty.</w:t>
      </w:r>
      <w:r w:rsidR="007B1E9A" w:rsidRPr="007B1E9A">
        <w:rPr>
          <w:rStyle w:val="FootnoteReference"/>
        </w:rPr>
        <w:footnoteReference w:id="249"/>
      </w:r>
      <w:r w:rsidR="007B1E9A" w:rsidRPr="007B1E9A">
        <w:t xml:space="preserve"> </w:t>
      </w:r>
      <w:r w:rsidR="000F2EAB">
        <w:t>Multinet stated in its proposal that the estimate is based on the post personal tax and personal cost market value of imputation credits to shareholders, consistent with the correct interpretation of the Nationa</w:t>
      </w:r>
      <w:r w:rsidR="00720626">
        <w:t>l</w:t>
      </w:r>
      <w:r w:rsidR="000F2EAB">
        <w:t xml:space="preserve"> Gas Rules and the most up to date and best estimate of the value of imputation credits.</w:t>
      </w:r>
      <w:r w:rsidR="000F2EAB">
        <w:rPr>
          <w:rStyle w:val="FootnoteReference"/>
        </w:rPr>
        <w:footnoteReference w:id="250"/>
      </w:r>
      <w:r w:rsidR="000F2EAB">
        <w:t xml:space="preserve"> </w:t>
      </w:r>
      <w:r w:rsidR="008D06D8">
        <w:t>However, w</w:t>
      </w:r>
      <w:r w:rsidR="008D06D8" w:rsidRPr="008D06D8">
        <w:t xml:space="preserve">e note that </w:t>
      </w:r>
      <w:r w:rsidR="008D06D8">
        <w:t>consistent with AER's Guid</w:t>
      </w:r>
      <w:r w:rsidR="00E54575">
        <w:t>e</w:t>
      </w:r>
      <w:r w:rsidR="008D06D8">
        <w:t xml:space="preserve">line and this draft decision, </w:t>
      </w:r>
      <w:r w:rsidR="008D06D8" w:rsidRPr="008D06D8">
        <w:t xml:space="preserve">the Full Federal Court </w:t>
      </w:r>
      <w:r w:rsidR="008D06D8">
        <w:t>in its May 2017</w:t>
      </w:r>
      <w:r w:rsidR="008D06D8" w:rsidRPr="008D06D8">
        <w:t xml:space="preserve"> decision </w:t>
      </w:r>
      <w:r w:rsidR="00196AEF">
        <w:t>found</w:t>
      </w:r>
      <w:r w:rsidR="008D06D8" w:rsidRPr="008D06D8">
        <w:t xml:space="preserve"> that the Rule require</w:t>
      </w:r>
      <w:r w:rsidR="00196AEF">
        <w:t>s</w:t>
      </w:r>
      <w:r w:rsidR="008D06D8" w:rsidRPr="008D06D8">
        <w:t xml:space="preserve"> the estimate to be based on a post-company tax and pre-personal tax and personal costs basis.</w:t>
      </w:r>
      <w:r w:rsidR="00196AEF">
        <w:rPr>
          <w:rStyle w:val="FootnoteReference"/>
        </w:rPr>
        <w:footnoteReference w:id="251"/>
      </w:r>
      <w:r w:rsidR="008D06D8">
        <w:t xml:space="preserve"> </w:t>
      </w:r>
      <w:r w:rsidR="000F2EAB">
        <w:t>Along with its proposal, Multinet has submitted a new consulting report from Frontier Economics.</w:t>
      </w:r>
      <w:r w:rsidR="000F2EAB">
        <w:rPr>
          <w:rStyle w:val="FootnoteReference"/>
        </w:rPr>
        <w:footnoteReference w:id="252"/>
      </w:r>
      <w:r w:rsidR="000F2EAB">
        <w:t xml:space="preserve"> </w:t>
      </w:r>
      <w:r w:rsidR="008D06D8">
        <w:t xml:space="preserve"> It also relied on two Frontier's consulting reports that were previously submitted by AusNet Services to support its proposed value for gam</w:t>
      </w:r>
      <w:r w:rsidR="009F10AE">
        <w:t>ma of 0.25.</w:t>
      </w:r>
      <w:r w:rsidR="009F10AE">
        <w:rPr>
          <w:rStyle w:val="FootnoteReference"/>
        </w:rPr>
        <w:footnoteReference w:id="253"/>
      </w:r>
      <w:r w:rsidR="009F10AE">
        <w:t xml:space="preserve"> For completeness, w</w:t>
      </w:r>
      <w:r w:rsidR="00512695">
        <w:t xml:space="preserve">e </w:t>
      </w:r>
      <w:r w:rsidR="009F10AE">
        <w:t xml:space="preserve">also </w:t>
      </w:r>
      <w:r w:rsidR="00BE2C3C" w:rsidRPr="00BE2C3C">
        <w:t>incl</w:t>
      </w:r>
      <w:r w:rsidR="009F10AE">
        <w:t>ude our response to the two Frontier's reports</w:t>
      </w:r>
      <w:r w:rsidR="00BE2C3C" w:rsidRPr="00BE2C3C">
        <w:t xml:space="preserve"> </w:t>
      </w:r>
      <w:r w:rsidR="00A53C3A">
        <w:t xml:space="preserve">previously </w:t>
      </w:r>
      <w:r w:rsidR="00BE2C3C" w:rsidRPr="00BE2C3C">
        <w:t xml:space="preserve">submitted by AusNet </w:t>
      </w:r>
      <w:r w:rsidR="00512695">
        <w:t xml:space="preserve">Services </w:t>
      </w:r>
      <w:r w:rsidR="002E5B8D">
        <w:t xml:space="preserve">in support of its transmission proposal </w:t>
      </w:r>
      <w:r w:rsidR="00BE2C3C" w:rsidRPr="00BE2C3C">
        <w:t xml:space="preserve">in this draft decision given we have considered </w:t>
      </w:r>
      <w:r w:rsidR="002E5B8D">
        <w:t>these</w:t>
      </w:r>
      <w:r w:rsidR="00BE2C3C" w:rsidRPr="00BE2C3C">
        <w:t xml:space="preserve"> in reaching th</w:t>
      </w:r>
      <w:r w:rsidR="00196AEF">
        <w:t>is</w:t>
      </w:r>
      <w:r w:rsidR="00BE2C3C" w:rsidRPr="00BE2C3C">
        <w:t xml:space="preserve"> decision. </w:t>
      </w:r>
      <w:r w:rsidR="00C52695" w:rsidRPr="00883125">
        <w:t xml:space="preserve">Consistent with our </w:t>
      </w:r>
      <w:r w:rsidR="00C52695">
        <w:t>2016</w:t>
      </w:r>
      <w:r w:rsidR="00C52695" w:rsidRPr="00883125">
        <w:t xml:space="preserve"> decision</w:t>
      </w:r>
      <w:r w:rsidR="00C52695">
        <w:t>s</w:t>
      </w:r>
      <w:r>
        <w:t xml:space="preserve"> and recent April 2017 decisions</w:t>
      </w:r>
      <w:r w:rsidR="00C52695" w:rsidRPr="00883125">
        <w:t xml:space="preserve"> in </w:t>
      </w:r>
      <w:r w:rsidR="00180C78">
        <w:t xml:space="preserve">this </w:t>
      </w:r>
      <w:r>
        <w:t>draft</w:t>
      </w:r>
      <w:r w:rsidR="00332BB9" w:rsidRPr="00883125">
        <w:t xml:space="preserve"> </w:t>
      </w:r>
      <w:r w:rsidR="00C52695" w:rsidRPr="00883125">
        <w:t>decision we have adopted a value of 0.4 for gamma. We remain of the view 0.4 is appropriate having given careful consideration</w:t>
      </w:r>
      <w:r w:rsidR="001453E4">
        <w:t xml:space="preserve"> to all the material before us.</w:t>
      </w:r>
      <w:r w:rsidR="000F2EAB">
        <w:t xml:space="preserve"> </w:t>
      </w:r>
      <w:r w:rsidR="00C52695">
        <w:t>This appendix is structured under the following headings:</w:t>
      </w:r>
    </w:p>
    <w:p w:rsidR="00C52695" w:rsidRPr="001D37D5" w:rsidRDefault="00C52695" w:rsidP="00C52695">
      <w:pPr>
        <w:pStyle w:val="AERbulletlistfirststyle"/>
      </w:pPr>
      <w:r>
        <w:t>expert views</w:t>
      </w:r>
      <w:r w:rsidRPr="001D37D5">
        <w:t xml:space="preserve"> on the value of imputation credits</w:t>
      </w:r>
      <w:r w:rsidRPr="001D37D5" w:rsidDel="00BD4879">
        <w:t xml:space="preserve"> </w:t>
      </w:r>
    </w:p>
    <w:p w:rsidR="00C52695" w:rsidRPr="001D37D5" w:rsidRDefault="00C52695" w:rsidP="00C52695">
      <w:pPr>
        <w:pStyle w:val="AERbulletlistfirststyle"/>
      </w:pPr>
      <w:r>
        <w:t xml:space="preserve">the </w:t>
      </w:r>
      <w:r w:rsidRPr="001D37D5">
        <w:t>value of imputation credits used by other regulators</w:t>
      </w:r>
      <w:r w:rsidRPr="001D37D5" w:rsidDel="00BD4879">
        <w:t xml:space="preserve"> </w:t>
      </w:r>
    </w:p>
    <w:p w:rsidR="00C52695" w:rsidRPr="001D37D5" w:rsidRDefault="00C52695" w:rsidP="00C52695">
      <w:pPr>
        <w:pStyle w:val="AERbulletlistfirststyle"/>
      </w:pPr>
      <w:r>
        <w:t xml:space="preserve">previous </w:t>
      </w:r>
      <w:r w:rsidRPr="001D37D5">
        <w:t>Australian Competition Tribunal (Tribunal) considerations</w:t>
      </w:r>
    </w:p>
    <w:p w:rsidR="00C52695" w:rsidRPr="001D37D5" w:rsidRDefault="00C52695" w:rsidP="00C52695">
      <w:pPr>
        <w:pStyle w:val="AERbulletlistfirststyle"/>
      </w:pPr>
      <w:r>
        <w:t>key</w:t>
      </w:r>
      <w:r w:rsidRPr="001D37D5" w:rsidDel="00BD4879">
        <w:t xml:space="preserve"> </w:t>
      </w:r>
      <w:r w:rsidRPr="001D37D5">
        <w:t>concerns of the service providers</w:t>
      </w:r>
      <w:r w:rsidRPr="001D37D5" w:rsidDel="00BD4879">
        <w:t xml:space="preserve"> </w:t>
      </w:r>
    </w:p>
    <w:p w:rsidR="00C52695" w:rsidRPr="001D37D5" w:rsidRDefault="00C52695" w:rsidP="00C52695">
      <w:pPr>
        <w:pStyle w:val="AERbulletlistfirststyle"/>
      </w:pPr>
      <w:r>
        <w:t xml:space="preserve">the </w:t>
      </w:r>
      <w:r w:rsidRPr="001D37D5">
        <w:t>role of the value of imputation credits in the regulatory framework</w:t>
      </w:r>
      <w:r w:rsidRPr="001D37D5" w:rsidDel="00BD4879">
        <w:t xml:space="preserve"> </w:t>
      </w:r>
    </w:p>
    <w:p w:rsidR="00C52695" w:rsidRPr="001D37D5" w:rsidRDefault="00C52695" w:rsidP="00C52695">
      <w:pPr>
        <w:pStyle w:val="AERbulletlistfirststyle"/>
      </w:pPr>
      <w:r>
        <w:t xml:space="preserve">the </w:t>
      </w:r>
      <w:r w:rsidRPr="001D37D5">
        <w:t>conceptual framework for the value of imputation credits</w:t>
      </w:r>
      <w:r w:rsidRPr="001D37D5" w:rsidDel="00BD4879">
        <w:t xml:space="preserve"> </w:t>
      </w:r>
    </w:p>
    <w:p w:rsidR="00C52695" w:rsidRPr="001D37D5" w:rsidRDefault="00C52695" w:rsidP="00C52695">
      <w:pPr>
        <w:pStyle w:val="AERbulletlistfirststyle"/>
      </w:pPr>
      <w:r>
        <w:t xml:space="preserve">Professor Stephen Gray's (Gray's) </w:t>
      </w:r>
      <w:r w:rsidRPr="001D37D5">
        <w:t>comments on the conceptual framework</w:t>
      </w:r>
    </w:p>
    <w:p w:rsidR="00C52695" w:rsidRPr="001D37D5" w:rsidRDefault="00C52695" w:rsidP="00C52695">
      <w:pPr>
        <w:pStyle w:val="AERbulletlistfirststyle"/>
      </w:pPr>
      <w:r>
        <w:t>further</w:t>
      </w:r>
      <w:r w:rsidRPr="001D37D5" w:rsidDel="00BD4879">
        <w:t xml:space="preserve"> </w:t>
      </w:r>
      <w:r w:rsidRPr="001D37D5">
        <w:t>issues relating to the utilisation rate</w:t>
      </w:r>
      <w:r w:rsidRPr="001D37D5" w:rsidDel="00BD4879">
        <w:t xml:space="preserve"> </w:t>
      </w:r>
    </w:p>
    <w:p w:rsidR="00C52695" w:rsidRPr="001D37D5" w:rsidRDefault="00C52695" w:rsidP="00C52695">
      <w:pPr>
        <w:pStyle w:val="AERbulletlistfirststyle"/>
      </w:pPr>
      <w:r>
        <w:t xml:space="preserve">estimation </w:t>
      </w:r>
      <w:r w:rsidRPr="001D37D5">
        <w:t>approach considerations</w:t>
      </w:r>
      <w:r w:rsidRPr="001D37D5" w:rsidDel="00BD4879">
        <w:t xml:space="preserve"> </w:t>
      </w:r>
    </w:p>
    <w:p w:rsidR="00C52695" w:rsidRPr="001D37D5" w:rsidRDefault="00C52695" w:rsidP="00C52695">
      <w:pPr>
        <w:pStyle w:val="AERbulletlistfirststyle"/>
      </w:pPr>
      <w:r>
        <w:t xml:space="preserve">estimating </w:t>
      </w:r>
      <w:r w:rsidRPr="001D37D5">
        <w:t>the distribution rate</w:t>
      </w:r>
    </w:p>
    <w:p w:rsidR="00C52695" w:rsidRPr="001D37D5" w:rsidRDefault="00C52695" w:rsidP="00C52695">
      <w:pPr>
        <w:pStyle w:val="AERbulletlistfirststyle"/>
      </w:pPr>
      <w:r>
        <w:t xml:space="preserve">application </w:t>
      </w:r>
      <w:r w:rsidRPr="001D37D5">
        <w:t>of rate of return criteria to evidence on the utilisation rate</w:t>
      </w:r>
    </w:p>
    <w:p w:rsidR="00C52695" w:rsidRPr="001D37D5" w:rsidRDefault="00C52695" w:rsidP="00C52695">
      <w:pPr>
        <w:pStyle w:val="AERbulletlistfirststyle"/>
      </w:pPr>
      <w:r>
        <w:t xml:space="preserve">the </w:t>
      </w:r>
      <w:r w:rsidRPr="001D37D5">
        <w:t>equity ownership approach</w:t>
      </w:r>
    </w:p>
    <w:p w:rsidR="00C52695" w:rsidRPr="001D37D5" w:rsidRDefault="00C52695" w:rsidP="00C52695">
      <w:pPr>
        <w:pStyle w:val="AERbulletlistfirststyle"/>
      </w:pPr>
      <w:r>
        <w:t>tax statistics</w:t>
      </w:r>
    </w:p>
    <w:p w:rsidR="00C52695" w:rsidRPr="001D37D5" w:rsidRDefault="00C52695" w:rsidP="00C52695">
      <w:pPr>
        <w:pStyle w:val="AERbulletlistfirststyle"/>
      </w:pPr>
      <w:r>
        <w:t xml:space="preserve">the </w:t>
      </w:r>
      <w:r w:rsidRPr="001D37D5">
        <w:t>difference between equity ownership approach and tax statistics</w:t>
      </w:r>
    </w:p>
    <w:p w:rsidR="00C52695" w:rsidRDefault="00C52695" w:rsidP="00C52695">
      <w:pPr>
        <w:pStyle w:val="AERbulletlistfirststyle"/>
      </w:pPr>
      <w:r w:rsidRPr="00B27BE5">
        <w:t>implied market value studies</w:t>
      </w:r>
    </w:p>
    <w:p w:rsidR="00547DB6" w:rsidRPr="00B27BE5" w:rsidRDefault="00AD35FD" w:rsidP="00C52695">
      <w:pPr>
        <w:pStyle w:val="AERbulletlistfirststyle"/>
      </w:pPr>
      <w:r>
        <w:t>r</w:t>
      </w:r>
      <w:r w:rsidR="00547DB6">
        <w:t>evised consideration of the conceptual goalposts approach</w:t>
      </w:r>
      <w:r>
        <w:t>.</w:t>
      </w:r>
    </w:p>
    <w:p w:rsidR="00C52695" w:rsidRPr="00883125" w:rsidRDefault="00C52695" w:rsidP="00C52695">
      <w:pPr>
        <w:pStyle w:val="Heading8"/>
      </w:pPr>
      <w:bookmarkStart w:id="142" w:name="_Ref414621676"/>
      <w:bookmarkStart w:id="143" w:name="_Toc436049442"/>
      <w:bookmarkStart w:id="144" w:name="_Toc451842246"/>
      <w:bookmarkStart w:id="145" w:name="_Toc451938302"/>
      <w:bookmarkStart w:id="146" w:name="_Toc456614290"/>
      <w:bookmarkStart w:id="147" w:name="_Toc462823308"/>
      <w:bookmarkStart w:id="148" w:name="_Toc487014056"/>
      <w:r w:rsidRPr="00883125">
        <w:t>Expert views on the value of imputation credits</w:t>
      </w:r>
      <w:bookmarkEnd w:id="142"/>
      <w:bookmarkEnd w:id="143"/>
      <w:bookmarkEnd w:id="144"/>
      <w:bookmarkEnd w:id="145"/>
      <w:bookmarkEnd w:id="146"/>
      <w:bookmarkEnd w:id="147"/>
      <w:bookmarkEnd w:id="148"/>
    </w:p>
    <w:p w:rsidR="00C52695" w:rsidRDefault="00C52695" w:rsidP="00C52695">
      <w:r w:rsidRPr="00883125">
        <w:t xml:space="preserve">We, other regulators, service providers and consumer representatives have commissioned expert advice on the value of imputation credits from a range of experts in the context of a number of regulatory processes. These expert reports demonstrate that there is no consensus among experts on either the value of imputation credits (particularly for the utilisation rate parameter), nor on the techniques to estimate it. </w:t>
      </w:r>
      <w:r w:rsidRPr="00883125">
        <w:fldChar w:fldCharType="begin"/>
      </w:r>
      <w:r w:rsidRPr="00883125">
        <w:instrText xml:space="preserve"> REF _Ref400609043 \h </w:instrText>
      </w:r>
      <w:r w:rsidRPr="00883125">
        <w:fldChar w:fldCharType="separate"/>
      </w:r>
      <w:r w:rsidR="007E3457" w:rsidRPr="00883125">
        <w:t xml:space="preserve">Table </w:t>
      </w:r>
      <w:r w:rsidR="007E3457">
        <w:rPr>
          <w:noProof/>
        </w:rPr>
        <w:t>4</w:t>
      </w:r>
      <w:r w:rsidR="007E3457">
        <w:noBreakHyphen/>
      </w:r>
      <w:r w:rsidR="007E3457">
        <w:rPr>
          <w:noProof/>
        </w:rPr>
        <w:t>6</w:t>
      </w:r>
      <w:r w:rsidRPr="00883125">
        <w:fldChar w:fldCharType="end"/>
      </w:r>
      <w:r w:rsidRPr="00883125">
        <w:t xml:space="preserve"> summarises recent expert advice of which we are aware. We have considered the advice from each of these experts in forming our position on the value of imputation credits. For this decision </w:t>
      </w:r>
      <w:r>
        <w:t>we have</w:t>
      </w:r>
      <w:r w:rsidRPr="00883125">
        <w:t xml:space="preserve"> considered the new expert report </w:t>
      </w:r>
      <w:r>
        <w:t>submitted by several</w:t>
      </w:r>
      <w:r w:rsidRPr="00883125">
        <w:t xml:space="preserve"> </w:t>
      </w:r>
      <w:r>
        <w:t>service provider</w:t>
      </w:r>
      <w:r w:rsidRPr="00883125">
        <w:t>s</w:t>
      </w:r>
      <w:r>
        <w:t xml:space="preserve"> in</w:t>
      </w:r>
      <w:r w:rsidR="00160A89">
        <w:t xml:space="preserve"> December 2016</w:t>
      </w:r>
      <w:r w:rsidR="00D577C3">
        <w:t>.</w:t>
      </w:r>
      <w:r w:rsidR="00D577C3">
        <w:rPr>
          <w:rStyle w:val="FootnoteReference"/>
        </w:rPr>
        <w:footnoteReference w:id="254"/>
      </w:r>
      <w:r w:rsidR="00D577C3">
        <w:t xml:space="preserve">  We</w:t>
      </w:r>
      <w:r w:rsidR="00160A89">
        <w:t xml:space="preserve"> also</w:t>
      </w:r>
      <w:r w:rsidR="00D577C3">
        <w:t xml:space="preserve"> include</w:t>
      </w:r>
      <w:r w:rsidR="00160A89">
        <w:t xml:space="preserve"> </w:t>
      </w:r>
      <w:r w:rsidR="00D51D81">
        <w:t>the expert reports</w:t>
      </w:r>
      <w:r w:rsidR="00D577C3">
        <w:t xml:space="preserve"> submitted by service providers</w:t>
      </w:r>
      <w:r w:rsidR="00D51D81">
        <w:t xml:space="preserve"> </w:t>
      </w:r>
      <w:r w:rsidR="00160A89">
        <w:t xml:space="preserve">in </w:t>
      </w:r>
      <w:r>
        <w:t xml:space="preserve">January 2016 and </w:t>
      </w:r>
      <w:r w:rsidR="0036034D">
        <w:t>September 2016</w:t>
      </w:r>
      <w:r>
        <w:t>.</w:t>
      </w:r>
      <w:r>
        <w:rPr>
          <w:rStyle w:val="FootnoteReference"/>
        </w:rPr>
        <w:footnoteReference w:id="255"/>
      </w:r>
      <w:r>
        <w:t xml:space="preserve"> We</w:t>
      </w:r>
      <w:r w:rsidRPr="00883125">
        <w:t xml:space="preserve"> </w:t>
      </w:r>
      <w:r>
        <w:t>have</w:t>
      </w:r>
      <w:r w:rsidRPr="00883125">
        <w:t xml:space="preserve"> </w:t>
      </w:r>
      <w:r>
        <w:t xml:space="preserve">also </w:t>
      </w:r>
      <w:r w:rsidRPr="00883125">
        <w:t>commissioned expert advice</w:t>
      </w:r>
      <w:r>
        <w:t xml:space="preserve"> from Lally</w:t>
      </w:r>
      <w:r w:rsidRPr="00883125">
        <w:t>.</w:t>
      </w:r>
      <w:r>
        <w:rPr>
          <w:rStyle w:val="FootnoteReference"/>
        </w:rPr>
        <w:footnoteReference w:id="256"/>
      </w:r>
      <w:r w:rsidRPr="00883125">
        <w:t xml:space="preserve"> We consider the new expert report do not provide new evidence to justify a departure from the position we adopted in the decisions we released in </w:t>
      </w:r>
      <w:r w:rsidR="00332BB9">
        <w:t>2016</w:t>
      </w:r>
      <w:r w:rsidR="00D577C3">
        <w:t xml:space="preserve"> and April 2017</w:t>
      </w:r>
      <w:r w:rsidRPr="00883125">
        <w:t>.</w:t>
      </w:r>
    </w:p>
    <w:p w:rsidR="00AD35FD" w:rsidRPr="00883125" w:rsidRDefault="00AD35FD" w:rsidP="00C52695"/>
    <w:p w:rsidR="00C52695" w:rsidRPr="00883125" w:rsidRDefault="00C52695" w:rsidP="00C52695">
      <w:pPr>
        <w:pStyle w:val="Caption"/>
      </w:pPr>
      <w:bookmarkStart w:id="149" w:name="_Ref400609043"/>
      <w:r w:rsidRPr="00883125">
        <w:t xml:space="preserve">Table </w:t>
      </w:r>
      <w:r w:rsidRPr="001D37D5">
        <w:fldChar w:fldCharType="begin"/>
      </w:r>
      <w:r>
        <w:instrText xml:space="preserve"> STYLEREF 1 \s </w:instrText>
      </w:r>
      <w:r w:rsidRPr="001D37D5">
        <w:fldChar w:fldCharType="separate"/>
      </w:r>
      <w:r w:rsidR="007E3457">
        <w:rPr>
          <w:noProof/>
        </w:rPr>
        <w:t>4</w:t>
      </w:r>
      <w:r w:rsidRPr="001D37D5">
        <w:fldChar w:fldCharType="end"/>
      </w:r>
      <w:r>
        <w:noBreakHyphen/>
      </w:r>
      <w:r w:rsidRPr="001D37D5">
        <w:fldChar w:fldCharType="begin"/>
      </w:r>
      <w:r>
        <w:instrText xml:space="preserve"> SEQ Table \* ARABIC \s 1 </w:instrText>
      </w:r>
      <w:r w:rsidRPr="001D37D5">
        <w:fldChar w:fldCharType="separate"/>
      </w:r>
      <w:r w:rsidR="007E3457">
        <w:rPr>
          <w:noProof/>
        </w:rPr>
        <w:t>6</w:t>
      </w:r>
      <w:r w:rsidRPr="001D37D5">
        <w:fldChar w:fldCharType="end"/>
      </w:r>
      <w:bookmarkEnd w:id="149"/>
      <w:r w:rsidRPr="00883125">
        <w:tab/>
        <w:t>Summary of expert views on the value of imputation credits</w:t>
      </w:r>
    </w:p>
    <w:tbl>
      <w:tblPr>
        <w:tblStyle w:val="AERtable-text0"/>
        <w:tblW w:w="0" w:type="auto"/>
        <w:tblLook w:val="04A0" w:firstRow="1" w:lastRow="0" w:firstColumn="1" w:lastColumn="0" w:noHBand="0" w:noVBand="1"/>
      </w:tblPr>
      <w:tblGrid>
        <w:gridCol w:w="1562"/>
        <w:gridCol w:w="2560"/>
        <w:gridCol w:w="2560"/>
        <w:gridCol w:w="2560"/>
      </w:tblGrid>
      <w:tr w:rsidR="00C52695" w:rsidTr="006425B8">
        <w:trPr>
          <w:cnfStyle w:val="100000000000" w:firstRow="1" w:lastRow="0" w:firstColumn="0" w:lastColumn="0" w:oddVBand="0" w:evenVBand="0" w:oddHBand="0" w:evenHBand="0" w:firstRowFirstColumn="0" w:firstRowLastColumn="0" w:lastRowFirstColumn="0" w:lastRowLastColumn="0"/>
          <w:cantSplit/>
          <w:tblHeader/>
        </w:trPr>
        <w:tc>
          <w:tcPr>
            <w:tcW w:w="1562" w:type="dxa"/>
          </w:tcPr>
          <w:p w:rsidR="00C52695" w:rsidRPr="00883125" w:rsidRDefault="00C52695" w:rsidP="00C52695">
            <w:pPr>
              <w:numPr>
                <w:ilvl w:val="0"/>
                <w:numId w:val="24"/>
              </w:numPr>
            </w:pPr>
            <w:r w:rsidRPr="00883125">
              <w:t>Expert</w:t>
            </w:r>
          </w:p>
        </w:tc>
        <w:tc>
          <w:tcPr>
            <w:tcW w:w="2560" w:type="dxa"/>
          </w:tcPr>
          <w:p w:rsidR="00C52695" w:rsidRPr="00883125" w:rsidRDefault="00C52695" w:rsidP="00C52695">
            <w:pPr>
              <w:numPr>
                <w:ilvl w:val="0"/>
                <w:numId w:val="24"/>
              </w:numPr>
            </w:pPr>
            <w:r w:rsidRPr="00883125">
              <w:t>Distribution rate</w:t>
            </w:r>
          </w:p>
        </w:tc>
        <w:tc>
          <w:tcPr>
            <w:tcW w:w="2560" w:type="dxa"/>
          </w:tcPr>
          <w:p w:rsidR="00C52695" w:rsidRPr="00883125" w:rsidRDefault="00C52695" w:rsidP="00C52695">
            <w:pPr>
              <w:numPr>
                <w:ilvl w:val="0"/>
                <w:numId w:val="24"/>
              </w:numPr>
            </w:pPr>
            <w:r w:rsidRPr="00883125">
              <w:t>Utilisation rate</w:t>
            </w:r>
          </w:p>
        </w:tc>
        <w:tc>
          <w:tcPr>
            <w:tcW w:w="2560" w:type="dxa"/>
          </w:tcPr>
          <w:p w:rsidR="00C52695" w:rsidRPr="00883125" w:rsidRDefault="00C52695" w:rsidP="00C52695">
            <w:pPr>
              <w:numPr>
                <w:ilvl w:val="0"/>
                <w:numId w:val="24"/>
              </w:numPr>
            </w:pPr>
            <w:r w:rsidRPr="00883125">
              <w:t>Value of imputation credits</w:t>
            </w:r>
          </w:p>
        </w:tc>
      </w:tr>
      <w:tr w:rsidR="00C52695" w:rsidTr="006425B8">
        <w:trPr>
          <w:cantSplit/>
        </w:trPr>
        <w:tc>
          <w:tcPr>
            <w:tcW w:w="1562" w:type="dxa"/>
          </w:tcPr>
          <w:p w:rsidR="00C52695" w:rsidRPr="00883125" w:rsidRDefault="00C52695" w:rsidP="00C52695">
            <w:pPr>
              <w:numPr>
                <w:ilvl w:val="0"/>
                <w:numId w:val="24"/>
              </w:numPr>
            </w:pPr>
            <w:r>
              <w:t>Lally (2016</w:t>
            </w:r>
            <w:r w:rsidR="0036034D">
              <w:t>a, 2017</w:t>
            </w:r>
            <w:r>
              <w:t>)</w:t>
            </w:r>
            <w:r>
              <w:rPr>
                <w:rStyle w:val="FootnoteReference"/>
              </w:rPr>
              <w:footnoteReference w:id="257"/>
            </w:r>
          </w:p>
        </w:tc>
        <w:tc>
          <w:tcPr>
            <w:tcW w:w="2560" w:type="dxa"/>
          </w:tcPr>
          <w:p w:rsidR="00C52695" w:rsidRPr="00883125" w:rsidRDefault="00C52695" w:rsidP="00C52695">
            <w:pPr>
              <w:numPr>
                <w:ilvl w:val="0"/>
                <w:numId w:val="24"/>
              </w:numPr>
              <w:rPr>
                <w:rStyle w:val="Strong"/>
              </w:rPr>
            </w:pPr>
            <w:r>
              <w:rPr>
                <w:rStyle w:val="Strong"/>
              </w:rPr>
              <w:t xml:space="preserve">At least </w:t>
            </w:r>
            <w:r w:rsidRPr="00883125">
              <w:rPr>
                <w:rStyle w:val="Strong"/>
              </w:rPr>
              <w:t>0.8</w:t>
            </w:r>
            <w:r>
              <w:rPr>
                <w:rStyle w:val="Strong"/>
              </w:rPr>
              <w:t>3</w:t>
            </w:r>
            <w:r w:rsidRPr="00883125">
              <w:t xml:space="preserve"> using the financial statements of 20 largest ASX-listed companies</w:t>
            </w:r>
          </w:p>
        </w:tc>
        <w:tc>
          <w:tcPr>
            <w:tcW w:w="2560" w:type="dxa"/>
          </w:tcPr>
          <w:p w:rsidR="00C52695" w:rsidRPr="00883125" w:rsidRDefault="00C52695" w:rsidP="00C52695">
            <w:pPr>
              <w:numPr>
                <w:ilvl w:val="0"/>
                <w:numId w:val="24"/>
              </w:numPr>
              <w:rPr>
                <w:rStyle w:val="Strong"/>
              </w:rPr>
            </w:pPr>
            <w:r>
              <w:rPr>
                <w:rStyle w:val="Strong"/>
              </w:rPr>
              <w:t>At least 0</w:t>
            </w:r>
            <w:r w:rsidRPr="00883125">
              <w:rPr>
                <w:rStyle w:val="Strong"/>
              </w:rPr>
              <w:t>.</w:t>
            </w:r>
            <w:r>
              <w:rPr>
                <w:rStyle w:val="Strong"/>
              </w:rPr>
              <w:t>6</w:t>
            </w:r>
            <w:r w:rsidRPr="00883125">
              <w:t xml:space="preserve">, </w:t>
            </w:r>
            <w:r>
              <w:t xml:space="preserve">using the all equity estimate of local equity ownership </w:t>
            </w:r>
          </w:p>
        </w:tc>
        <w:tc>
          <w:tcPr>
            <w:tcW w:w="2560" w:type="dxa"/>
          </w:tcPr>
          <w:p w:rsidR="00C52695" w:rsidRPr="00C52695" w:rsidRDefault="00C52695" w:rsidP="00C52695">
            <w:pPr>
              <w:rPr>
                <w:rStyle w:val="Strong"/>
              </w:rPr>
            </w:pPr>
            <w:r>
              <w:rPr>
                <w:rStyle w:val="Strong"/>
              </w:rPr>
              <w:t>At least 0.5</w:t>
            </w:r>
          </w:p>
        </w:tc>
      </w:tr>
      <w:tr w:rsidR="00C52695" w:rsidTr="006425B8">
        <w:trPr>
          <w:cnfStyle w:val="000000010000" w:firstRow="0" w:lastRow="0" w:firstColumn="0" w:lastColumn="0" w:oddVBand="0" w:evenVBand="0" w:oddHBand="0" w:evenHBand="1" w:firstRowFirstColumn="0" w:firstRowLastColumn="0" w:lastRowFirstColumn="0" w:lastRowLastColumn="0"/>
          <w:cantSplit/>
        </w:trPr>
        <w:tc>
          <w:tcPr>
            <w:tcW w:w="1562" w:type="dxa"/>
          </w:tcPr>
          <w:p w:rsidR="00C52695" w:rsidRPr="00883125" w:rsidRDefault="00C52695" w:rsidP="00C52695">
            <w:pPr>
              <w:numPr>
                <w:ilvl w:val="0"/>
                <w:numId w:val="24"/>
              </w:numPr>
            </w:pPr>
            <w:r w:rsidRPr="00883125">
              <w:t>Lally (2013a, 2013b, 2014)</w:t>
            </w:r>
            <w:r w:rsidRPr="00883125">
              <w:rPr>
                <w:rStyle w:val="FootnoteReference"/>
              </w:rPr>
              <w:footnoteReference w:id="258"/>
            </w:r>
          </w:p>
        </w:tc>
        <w:tc>
          <w:tcPr>
            <w:tcW w:w="2560" w:type="dxa"/>
          </w:tcPr>
          <w:p w:rsidR="00C52695" w:rsidRPr="00883125" w:rsidRDefault="00C52695" w:rsidP="00C52695">
            <w:pPr>
              <w:numPr>
                <w:ilvl w:val="0"/>
                <w:numId w:val="24"/>
              </w:numPr>
            </w:pPr>
            <w:r w:rsidRPr="00883125">
              <w:rPr>
                <w:rStyle w:val="Strong"/>
              </w:rPr>
              <w:t>0.84</w:t>
            </w:r>
            <w:r w:rsidRPr="00883125">
              <w:t xml:space="preserve"> using the financial statements of 20 largest ASX-listed companies</w:t>
            </w:r>
          </w:p>
        </w:tc>
        <w:tc>
          <w:tcPr>
            <w:tcW w:w="2560" w:type="dxa"/>
          </w:tcPr>
          <w:p w:rsidR="00C52695" w:rsidRPr="00883125" w:rsidRDefault="00C52695" w:rsidP="00C52695">
            <w:pPr>
              <w:numPr>
                <w:ilvl w:val="0"/>
                <w:numId w:val="24"/>
              </w:numPr>
            </w:pPr>
            <w:r w:rsidRPr="00883125">
              <w:rPr>
                <w:rStyle w:val="Strong"/>
              </w:rPr>
              <w:t>1.0</w:t>
            </w:r>
            <w:r w:rsidRPr="00883125">
              <w:t>, based on assumption that all investors in the Officer CAPM are domestic investors</w:t>
            </w:r>
          </w:p>
          <w:p w:rsidR="00C52695" w:rsidRPr="00883125" w:rsidRDefault="00C52695" w:rsidP="00C52695">
            <w:pPr>
              <w:numPr>
                <w:ilvl w:val="0"/>
                <w:numId w:val="24"/>
              </w:numPr>
            </w:pPr>
            <w:r w:rsidRPr="00883125">
              <w:t>0.54 to 0.7, using equity ownership as second preference</w:t>
            </w:r>
          </w:p>
        </w:tc>
        <w:tc>
          <w:tcPr>
            <w:tcW w:w="2560" w:type="dxa"/>
          </w:tcPr>
          <w:p w:rsidR="00C52695" w:rsidRPr="00C52695" w:rsidRDefault="00C52695" w:rsidP="00C52695">
            <w:pPr>
              <w:rPr>
                <w:rStyle w:val="Strong"/>
              </w:rPr>
            </w:pPr>
            <w:r w:rsidRPr="00883125">
              <w:rPr>
                <w:rStyle w:val="Strong"/>
              </w:rPr>
              <w:t>0.84</w:t>
            </w:r>
          </w:p>
          <w:p w:rsidR="00C52695" w:rsidRPr="00C52695" w:rsidRDefault="00C52695" w:rsidP="00C52695">
            <w:pPr>
              <w:rPr>
                <w:rStyle w:val="Strong"/>
              </w:rPr>
            </w:pPr>
            <w:r w:rsidRPr="00883125">
              <w:t xml:space="preserve">0.45 to 0.59 using second preference utilisation </w:t>
            </w:r>
            <w:r w:rsidRPr="00C52695">
              <w:t>rate</w:t>
            </w:r>
          </w:p>
        </w:tc>
      </w:tr>
      <w:tr w:rsidR="00C52695" w:rsidTr="006425B8">
        <w:trPr>
          <w:cantSplit/>
        </w:trPr>
        <w:tc>
          <w:tcPr>
            <w:tcW w:w="1562" w:type="dxa"/>
          </w:tcPr>
          <w:p w:rsidR="00C52695" w:rsidRPr="00883125" w:rsidRDefault="00C52695" w:rsidP="00C52695">
            <w:pPr>
              <w:numPr>
                <w:ilvl w:val="0"/>
                <w:numId w:val="24"/>
              </w:numPr>
            </w:pPr>
            <w:r w:rsidRPr="00883125">
              <w:t>McKenzie and Partington (2013)</w:t>
            </w:r>
            <w:r w:rsidRPr="00883125">
              <w:rPr>
                <w:rStyle w:val="FootnoteReference"/>
              </w:rPr>
              <w:footnoteReference w:id="259"/>
            </w:r>
          </w:p>
        </w:tc>
        <w:tc>
          <w:tcPr>
            <w:tcW w:w="2560" w:type="dxa"/>
          </w:tcPr>
          <w:p w:rsidR="00C52695" w:rsidRPr="00883125" w:rsidRDefault="00C52695" w:rsidP="00C52695">
            <w:pPr>
              <w:numPr>
                <w:ilvl w:val="0"/>
                <w:numId w:val="24"/>
              </w:numPr>
            </w:pPr>
            <w:r w:rsidRPr="00883125">
              <w:rPr>
                <w:rStyle w:val="Strong"/>
              </w:rPr>
              <w:t>0.7</w:t>
            </w:r>
            <w:r w:rsidRPr="00883125">
              <w:t>, using cumulative payout ratio approach over all equity</w:t>
            </w:r>
          </w:p>
        </w:tc>
        <w:tc>
          <w:tcPr>
            <w:tcW w:w="2560" w:type="dxa"/>
          </w:tcPr>
          <w:p w:rsidR="00C52695" w:rsidRPr="00883125" w:rsidRDefault="00C52695" w:rsidP="00C52695">
            <w:pPr>
              <w:numPr>
                <w:ilvl w:val="0"/>
                <w:numId w:val="24"/>
              </w:numPr>
            </w:pPr>
            <w:r w:rsidRPr="00883125">
              <w:rPr>
                <w:rStyle w:val="Strong"/>
              </w:rPr>
              <w:t>None recommended</w:t>
            </w:r>
            <w:r w:rsidRPr="00883125">
              <w:t>, although estimates considered included 0.7 from AER draft rate of return Guideline approach, 0.53 from average of implied market value studies and 0.83 from average of McKenzie and Partington's implied market value studies</w:t>
            </w:r>
          </w:p>
        </w:tc>
        <w:tc>
          <w:tcPr>
            <w:tcW w:w="2560" w:type="dxa"/>
          </w:tcPr>
          <w:p w:rsidR="00C52695" w:rsidRPr="00C52695" w:rsidRDefault="00C52695" w:rsidP="00C52695">
            <w:pPr>
              <w:rPr>
                <w:rStyle w:val="Strong"/>
              </w:rPr>
            </w:pPr>
            <w:r w:rsidRPr="001A60DE">
              <w:t>Evidence not compelling enough to depart from</w:t>
            </w:r>
            <w:r w:rsidRPr="00C52695">
              <w:rPr>
                <w:rStyle w:val="Strong"/>
              </w:rPr>
              <w:t xml:space="preserve"> 0.5</w:t>
            </w:r>
          </w:p>
        </w:tc>
      </w:tr>
      <w:tr w:rsidR="00C52695" w:rsidTr="006425B8">
        <w:trPr>
          <w:cnfStyle w:val="000000010000" w:firstRow="0" w:lastRow="0" w:firstColumn="0" w:lastColumn="0" w:oddVBand="0" w:evenVBand="0" w:oddHBand="0" w:evenHBand="1" w:firstRowFirstColumn="0" w:firstRowLastColumn="0" w:lastRowFirstColumn="0" w:lastRowLastColumn="0"/>
          <w:cantSplit/>
        </w:trPr>
        <w:tc>
          <w:tcPr>
            <w:tcW w:w="1562" w:type="dxa"/>
          </w:tcPr>
          <w:p w:rsidR="00C52695" w:rsidRPr="00883125" w:rsidRDefault="00C52695" w:rsidP="00C52695">
            <w:pPr>
              <w:numPr>
                <w:ilvl w:val="0"/>
                <w:numId w:val="24"/>
              </w:numPr>
            </w:pPr>
            <w:r w:rsidRPr="00883125">
              <w:t>Handley (2014)</w:t>
            </w:r>
            <w:r w:rsidRPr="00883125">
              <w:rPr>
                <w:rStyle w:val="FootnoteReference"/>
              </w:rPr>
              <w:footnoteReference w:id="260"/>
            </w:r>
          </w:p>
        </w:tc>
        <w:tc>
          <w:tcPr>
            <w:tcW w:w="2560" w:type="dxa"/>
          </w:tcPr>
          <w:p w:rsidR="00C52695" w:rsidRPr="00883125" w:rsidRDefault="00C52695" w:rsidP="00C52695">
            <w:pPr>
              <w:numPr>
                <w:ilvl w:val="0"/>
                <w:numId w:val="24"/>
              </w:numPr>
            </w:pPr>
            <w:r w:rsidRPr="00883125">
              <w:rPr>
                <w:rStyle w:val="Strong"/>
              </w:rPr>
              <w:t>0.8</w:t>
            </w:r>
            <w:r w:rsidRPr="00883125">
              <w:t xml:space="preserve">, using cumulative payout ratio approach over only listed equity </w:t>
            </w:r>
          </w:p>
        </w:tc>
        <w:tc>
          <w:tcPr>
            <w:tcW w:w="2560" w:type="dxa"/>
          </w:tcPr>
          <w:p w:rsidR="00C52695" w:rsidRPr="00883125" w:rsidRDefault="00C52695" w:rsidP="00C52695">
            <w:pPr>
              <w:numPr>
                <w:ilvl w:val="0"/>
                <w:numId w:val="24"/>
              </w:numPr>
            </w:pPr>
            <w:r w:rsidRPr="00883125">
              <w:rPr>
                <w:rStyle w:val="Strong"/>
              </w:rPr>
              <w:t>0.5 to 0.6</w:t>
            </w:r>
            <w:r w:rsidRPr="00883125">
              <w:t>, with regard to (in order of importance) equity ownership approach, tax statistics and dividend drop off studies</w:t>
            </w:r>
          </w:p>
        </w:tc>
        <w:tc>
          <w:tcPr>
            <w:tcW w:w="2560" w:type="dxa"/>
          </w:tcPr>
          <w:p w:rsidR="00C52695" w:rsidRPr="00883125" w:rsidRDefault="00C52695" w:rsidP="00C52695">
            <w:pPr>
              <w:numPr>
                <w:ilvl w:val="0"/>
                <w:numId w:val="24"/>
              </w:numPr>
              <w:rPr>
                <w:rStyle w:val="Strong"/>
              </w:rPr>
            </w:pPr>
            <w:r w:rsidRPr="00883125">
              <w:rPr>
                <w:rStyle w:val="Strong"/>
              </w:rPr>
              <w:t>0.4 to 0.5</w:t>
            </w:r>
          </w:p>
        </w:tc>
      </w:tr>
      <w:tr w:rsidR="00C52695" w:rsidTr="006425B8">
        <w:trPr>
          <w:cantSplit/>
        </w:trPr>
        <w:tc>
          <w:tcPr>
            <w:tcW w:w="1562" w:type="dxa"/>
          </w:tcPr>
          <w:p w:rsidR="00C52695" w:rsidRPr="00883125" w:rsidRDefault="00C52695" w:rsidP="00C52695">
            <w:pPr>
              <w:numPr>
                <w:ilvl w:val="0"/>
                <w:numId w:val="24"/>
              </w:numPr>
            </w:pPr>
            <w:r w:rsidRPr="00883125">
              <w:t>SACES (2015)</w:t>
            </w:r>
            <w:r w:rsidRPr="00883125">
              <w:rPr>
                <w:rStyle w:val="FootnoteReference"/>
              </w:rPr>
              <w:footnoteReference w:id="261"/>
            </w:r>
          </w:p>
        </w:tc>
        <w:tc>
          <w:tcPr>
            <w:tcW w:w="2560" w:type="dxa"/>
          </w:tcPr>
          <w:p w:rsidR="00C52695" w:rsidRPr="00C52695" w:rsidRDefault="00C52695" w:rsidP="00C52695">
            <w:pPr>
              <w:rPr>
                <w:rStyle w:val="Strong"/>
              </w:rPr>
            </w:pPr>
            <w:r w:rsidRPr="00883125">
              <w:rPr>
                <w:rStyle w:val="Strong"/>
              </w:rPr>
              <w:t>0.8</w:t>
            </w:r>
            <w:r w:rsidRPr="00C52695">
              <w:t>, using cumulative payout ratio approach over only listed equity</w:t>
            </w:r>
          </w:p>
        </w:tc>
        <w:tc>
          <w:tcPr>
            <w:tcW w:w="2560" w:type="dxa"/>
          </w:tcPr>
          <w:p w:rsidR="00C52695" w:rsidRPr="00883125" w:rsidRDefault="00C52695" w:rsidP="00C52695">
            <w:pPr>
              <w:numPr>
                <w:ilvl w:val="0"/>
                <w:numId w:val="24"/>
              </w:numPr>
              <w:rPr>
                <w:rStyle w:val="Strong"/>
              </w:rPr>
            </w:pPr>
            <w:r w:rsidRPr="00883125">
              <w:rPr>
                <w:rStyle w:val="Strong"/>
              </w:rPr>
              <w:t>0.45</w:t>
            </w:r>
            <w:r w:rsidRPr="00883125">
              <w:t>, using the average of the estimate from tax statistics (0.43) and the refined domestic ownership share of only listed equity (0.46)</w:t>
            </w:r>
          </w:p>
        </w:tc>
        <w:tc>
          <w:tcPr>
            <w:tcW w:w="2560" w:type="dxa"/>
          </w:tcPr>
          <w:p w:rsidR="00C52695" w:rsidRPr="00883125" w:rsidRDefault="00C52695" w:rsidP="00C52695">
            <w:pPr>
              <w:numPr>
                <w:ilvl w:val="0"/>
                <w:numId w:val="24"/>
              </w:numPr>
              <w:rPr>
                <w:rStyle w:val="Strong"/>
              </w:rPr>
            </w:pPr>
            <w:r w:rsidRPr="00883125">
              <w:rPr>
                <w:rStyle w:val="Strong"/>
              </w:rPr>
              <w:t>0.36</w:t>
            </w:r>
          </w:p>
        </w:tc>
      </w:tr>
      <w:tr w:rsidR="00C52695" w:rsidTr="006425B8">
        <w:trPr>
          <w:cnfStyle w:val="000000010000" w:firstRow="0" w:lastRow="0" w:firstColumn="0" w:lastColumn="0" w:oddVBand="0" w:evenVBand="0" w:oddHBand="0" w:evenHBand="1" w:firstRowFirstColumn="0" w:firstRowLastColumn="0" w:lastRowFirstColumn="0" w:lastRowLastColumn="0"/>
          <w:cantSplit/>
        </w:trPr>
        <w:tc>
          <w:tcPr>
            <w:tcW w:w="1562" w:type="dxa"/>
          </w:tcPr>
          <w:p w:rsidR="00C52695" w:rsidRPr="00883125" w:rsidRDefault="00C52695" w:rsidP="00C52695">
            <w:pPr>
              <w:numPr>
                <w:ilvl w:val="0"/>
                <w:numId w:val="24"/>
              </w:numPr>
            </w:pPr>
            <w:r w:rsidRPr="00883125">
              <w:t>CEG (2014)</w:t>
            </w:r>
            <w:r w:rsidRPr="00883125">
              <w:rPr>
                <w:rStyle w:val="FootnoteReference"/>
              </w:rPr>
              <w:footnoteReference w:id="262"/>
            </w:r>
          </w:p>
        </w:tc>
        <w:tc>
          <w:tcPr>
            <w:tcW w:w="2560" w:type="dxa"/>
          </w:tcPr>
          <w:p w:rsidR="00C52695" w:rsidRPr="00883125" w:rsidRDefault="00C52695" w:rsidP="00C52695">
            <w:pPr>
              <w:numPr>
                <w:ilvl w:val="0"/>
                <w:numId w:val="24"/>
              </w:numPr>
            </w:pPr>
            <w:r w:rsidRPr="00883125">
              <w:rPr>
                <w:rStyle w:val="Strong"/>
              </w:rPr>
              <w:t>0.7</w:t>
            </w:r>
            <w:r w:rsidRPr="00883125">
              <w:t>, using cumulative payout ratio approach over all equity</w:t>
            </w:r>
          </w:p>
        </w:tc>
        <w:tc>
          <w:tcPr>
            <w:tcW w:w="2560" w:type="dxa"/>
          </w:tcPr>
          <w:p w:rsidR="00C52695" w:rsidRPr="00883125" w:rsidRDefault="00C52695" w:rsidP="00C52695">
            <w:pPr>
              <w:numPr>
                <w:ilvl w:val="0"/>
                <w:numId w:val="24"/>
              </w:numPr>
            </w:pPr>
            <w:r w:rsidRPr="00883125">
              <w:rPr>
                <w:rStyle w:val="Strong"/>
              </w:rPr>
              <w:t>0.35</w:t>
            </w:r>
            <w:r w:rsidRPr="00883125">
              <w:t>, based on SFG's dividend drop off study</w:t>
            </w:r>
          </w:p>
        </w:tc>
        <w:tc>
          <w:tcPr>
            <w:tcW w:w="2560" w:type="dxa"/>
          </w:tcPr>
          <w:p w:rsidR="00C52695" w:rsidRPr="00883125" w:rsidRDefault="00C52695" w:rsidP="00C52695">
            <w:pPr>
              <w:numPr>
                <w:ilvl w:val="0"/>
                <w:numId w:val="24"/>
              </w:numPr>
              <w:rPr>
                <w:rStyle w:val="Strong"/>
              </w:rPr>
            </w:pPr>
            <w:r w:rsidRPr="00883125">
              <w:rPr>
                <w:rStyle w:val="Strong"/>
              </w:rPr>
              <w:t>0.25</w:t>
            </w:r>
          </w:p>
        </w:tc>
      </w:tr>
      <w:tr w:rsidR="00C52695" w:rsidTr="006425B8">
        <w:trPr>
          <w:cantSplit/>
        </w:trPr>
        <w:tc>
          <w:tcPr>
            <w:tcW w:w="1562" w:type="dxa"/>
          </w:tcPr>
          <w:p w:rsidR="00C52695" w:rsidRPr="00883125" w:rsidRDefault="00C52695" w:rsidP="00C52695">
            <w:pPr>
              <w:numPr>
                <w:ilvl w:val="0"/>
                <w:numId w:val="24"/>
              </w:numPr>
            </w:pPr>
            <w:r w:rsidRPr="00883125">
              <w:t>Gray (for SFG) (2015)</w:t>
            </w:r>
            <w:r w:rsidRPr="00883125">
              <w:rPr>
                <w:rStyle w:val="FootnoteReference"/>
              </w:rPr>
              <w:footnoteReference w:id="263"/>
            </w:r>
          </w:p>
        </w:tc>
        <w:tc>
          <w:tcPr>
            <w:tcW w:w="2560" w:type="dxa"/>
          </w:tcPr>
          <w:p w:rsidR="00C52695" w:rsidRPr="00883125" w:rsidRDefault="00C52695" w:rsidP="00C52695">
            <w:pPr>
              <w:numPr>
                <w:ilvl w:val="0"/>
                <w:numId w:val="24"/>
              </w:numPr>
            </w:pPr>
            <w:r w:rsidRPr="00883125">
              <w:rPr>
                <w:rStyle w:val="Strong"/>
              </w:rPr>
              <w:t>0.7</w:t>
            </w:r>
            <w:r w:rsidRPr="00883125">
              <w:t>, using cumulative payout ratio approach over all equity</w:t>
            </w:r>
          </w:p>
        </w:tc>
        <w:tc>
          <w:tcPr>
            <w:tcW w:w="2560" w:type="dxa"/>
          </w:tcPr>
          <w:p w:rsidR="00C52695" w:rsidRPr="00883125" w:rsidRDefault="00C52695" w:rsidP="00C52695">
            <w:pPr>
              <w:numPr>
                <w:ilvl w:val="0"/>
                <w:numId w:val="24"/>
              </w:numPr>
            </w:pPr>
            <w:r w:rsidRPr="00883125">
              <w:rPr>
                <w:rStyle w:val="Strong"/>
              </w:rPr>
              <w:t>0.35</w:t>
            </w:r>
            <w:r w:rsidRPr="00883125">
              <w:t>, based on SFG's dividend drop off study</w:t>
            </w:r>
          </w:p>
        </w:tc>
        <w:tc>
          <w:tcPr>
            <w:tcW w:w="2560" w:type="dxa"/>
          </w:tcPr>
          <w:p w:rsidR="00C52695" w:rsidRPr="00883125" w:rsidRDefault="00C52695" w:rsidP="00C52695">
            <w:pPr>
              <w:numPr>
                <w:ilvl w:val="0"/>
                <w:numId w:val="24"/>
              </w:numPr>
              <w:rPr>
                <w:rStyle w:val="Strong"/>
              </w:rPr>
            </w:pPr>
            <w:r w:rsidRPr="00883125">
              <w:rPr>
                <w:rStyle w:val="Strong"/>
              </w:rPr>
              <w:t>0.25</w:t>
            </w:r>
          </w:p>
        </w:tc>
      </w:tr>
      <w:tr w:rsidR="00C52695" w:rsidTr="006425B8">
        <w:trPr>
          <w:cnfStyle w:val="000000010000" w:firstRow="0" w:lastRow="0" w:firstColumn="0" w:lastColumn="0" w:oddVBand="0" w:evenVBand="0" w:oddHBand="0" w:evenHBand="1" w:firstRowFirstColumn="0" w:firstRowLastColumn="0" w:lastRowFirstColumn="0" w:lastRowLastColumn="0"/>
          <w:cantSplit/>
        </w:trPr>
        <w:tc>
          <w:tcPr>
            <w:tcW w:w="1562" w:type="dxa"/>
          </w:tcPr>
          <w:p w:rsidR="00C52695" w:rsidRPr="00883125" w:rsidRDefault="00C52695" w:rsidP="00C52695">
            <w:pPr>
              <w:numPr>
                <w:ilvl w:val="0"/>
                <w:numId w:val="24"/>
              </w:numPr>
            </w:pPr>
            <w:r w:rsidRPr="00883125">
              <w:t>Gray (for Frontier) (2015</w:t>
            </w:r>
            <w:r w:rsidR="00BB2B15">
              <w:t>, 2016</w:t>
            </w:r>
            <w:r w:rsidRPr="00883125">
              <w:t>)</w:t>
            </w:r>
            <w:r w:rsidRPr="00883125">
              <w:rPr>
                <w:rStyle w:val="FootnoteReference"/>
              </w:rPr>
              <w:footnoteReference w:id="264"/>
            </w:r>
          </w:p>
        </w:tc>
        <w:tc>
          <w:tcPr>
            <w:tcW w:w="2560" w:type="dxa"/>
          </w:tcPr>
          <w:p w:rsidR="00C52695" w:rsidRPr="00C52695" w:rsidRDefault="00C52695" w:rsidP="00C52695">
            <w:pPr>
              <w:rPr>
                <w:rStyle w:val="Strong"/>
              </w:rPr>
            </w:pPr>
            <w:r w:rsidRPr="00883125">
              <w:rPr>
                <w:rStyle w:val="Strong"/>
              </w:rPr>
              <w:t>0.7</w:t>
            </w:r>
            <w:r w:rsidRPr="00C52695">
              <w:t>, using cumulative payout ratio approach over all equity, or alternatively using an estimate of the payout ratio for listed equity excluding the 20 largest firms.</w:t>
            </w:r>
          </w:p>
        </w:tc>
        <w:tc>
          <w:tcPr>
            <w:tcW w:w="2560" w:type="dxa"/>
          </w:tcPr>
          <w:p w:rsidR="00C52695" w:rsidRPr="00C52695" w:rsidRDefault="00C52695" w:rsidP="00C52695">
            <w:pPr>
              <w:rPr>
                <w:rStyle w:val="Strong"/>
              </w:rPr>
            </w:pPr>
            <w:r w:rsidRPr="00883125">
              <w:rPr>
                <w:rStyle w:val="Strong"/>
              </w:rPr>
              <w:t>0.35</w:t>
            </w:r>
            <w:r w:rsidRPr="00C52695">
              <w:t>, based on SFG's dividend drop off study</w:t>
            </w:r>
          </w:p>
        </w:tc>
        <w:tc>
          <w:tcPr>
            <w:tcW w:w="2560" w:type="dxa"/>
          </w:tcPr>
          <w:p w:rsidR="00C52695" w:rsidRPr="00883125" w:rsidRDefault="00C52695" w:rsidP="00C52695">
            <w:pPr>
              <w:numPr>
                <w:ilvl w:val="0"/>
                <w:numId w:val="24"/>
              </w:numPr>
              <w:rPr>
                <w:rStyle w:val="Strong"/>
              </w:rPr>
            </w:pPr>
            <w:r w:rsidRPr="00883125">
              <w:rPr>
                <w:rStyle w:val="Strong"/>
              </w:rPr>
              <w:t>0.25</w:t>
            </w:r>
          </w:p>
        </w:tc>
      </w:tr>
    </w:tbl>
    <w:p w:rsidR="00C52695" w:rsidRPr="00883125" w:rsidRDefault="00C52695" w:rsidP="00C52695">
      <w:pPr>
        <w:pStyle w:val="AERtablesource"/>
      </w:pPr>
      <w:r w:rsidRPr="00883125">
        <w:t>Source:</w:t>
      </w:r>
      <w:r w:rsidRPr="00883125">
        <w:tab/>
        <w:t>As specified in table.</w:t>
      </w:r>
    </w:p>
    <w:p w:rsidR="00C52695" w:rsidRPr="00883125" w:rsidRDefault="00C52695" w:rsidP="00C52695">
      <w:pPr>
        <w:numPr>
          <w:ilvl w:val="0"/>
          <w:numId w:val="24"/>
        </w:numPr>
      </w:pPr>
      <w:r w:rsidRPr="00883125">
        <w:t xml:space="preserve">In summary: </w:t>
      </w:r>
    </w:p>
    <w:p w:rsidR="00C52695" w:rsidRPr="001D37D5" w:rsidRDefault="00C52695" w:rsidP="00187D9E">
      <w:pPr>
        <w:pStyle w:val="AERbulletlistfirststyle"/>
      </w:pPr>
      <w:r w:rsidRPr="00883125">
        <w:t xml:space="preserve">A distribution rate of 0.7 estimated using the cumulative payout ratio approach is most commonly accepted. We describe this approach in section </w:t>
      </w:r>
      <w:r w:rsidRPr="001D37D5">
        <w:fldChar w:fldCharType="begin"/>
      </w:r>
      <w:r w:rsidRPr="001D37D5">
        <w:instrText xml:space="preserve"> REF _Ref415126827 \r \h </w:instrText>
      </w:r>
      <w:r w:rsidRPr="001D37D5">
        <w:fldChar w:fldCharType="separate"/>
      </w:r>
      <w:r w:rsidR="007E3457">
        <w:t>A.10.2</w:t>
      </w:r>
      <w:r w:rsidRPr="001D37D5">
        <w:fldChar w:fldCharType="end"/>
      </w:r>
      <w:r w:rsidRPr="001D37D5">
        <w:t xml:space="preserve">. However, Handley considers that this approach should be applied to only listed equity, and this produces a higher estimate of the distribution rate. The South Australian Centre for Economic Studies (SACES) accepts Handley's approach. Lally </w:t>
      </w:r>
      <w:r w:rsidR="00187D9E">
        <w:t xml:space="preserve">considers </w:t>
      </w:r>
      <w:r w:rsidR="008919F2">
        <w:t xml:space="preserve">there is no necessity to combine </w:t>
      </w:r>
      <w:r w:rsidR="008919F2" w:rsidRPr="001D37D5">
        <w:t>estimates of the distribution rate and utilisation rate from the same dataset</w:t>
      </w:r>
      <w:r w:rsidR="008919F2">
        <w:t xml:space="preserve"> and good reason not for not doing so.</w:t>
      </w:r>
      <w:r w:rsidR="008919F2">
        <w:rPr>
          <w:rStyle w:val="FootnoteReference"/>
        </w:rPr>
        <w:footnoteReference w:id="265"/>
      </w:r>
      <w:r w:rsidR="008919F2">
        <w:t xml:space="preserve"> </w:t>
      </w:r>
      <w:r w:rsidR="00452BA3">
        <w:t>However, we note given Lally's advice our approach appears to lead to a conservative gamma estimate (in favour of the service provider)</w:t>
      </w:r>
      <w:r w:rsidR="00187D9E">
        <w:t>, as</w:t>
      </w:r>
      <w:r w:rsidR="00452BA3" w:rsidRPr="00CF4EC3">
        <w:t xml:space="preserve"> Lally considered that only listed firms should be used to determine the distribution rate and all equity </w:t>
      </w:r>
      <w:r w:rsidR="00452BA3">
        <w:t xml:space="preserve">firms </w:t>
      </w:r>
      <w:r w:rsidR="00452BA3" w:rsidRPr="00CF4EC3">
        <w:t>should be used to estimate the utilisation value which result</w:t>
      </w:r>
      <w:r w:rsidR="00452BA3">
        <w:t>s</w:t>
      </w:r>
      <w:r w:rsidR="00452BA3" w:rsidRPr="00CF4EC3">
        <w:t xml:space="preserve"> in a gamma estimate of 0.5</w:t>
      </w:r>
      <w:r w:rsidR="00452BA3">
        <w:t>.</w:t>
      </w:r>
      <w:r w:rsidR="00922C6D">
        <w:t xml:space="preserve"> </w:t>
      </w:r>
      <w:r w:rsidRPr="001D37D5">
        <w:t>Lally considers the best estimate of the distribution rate for a benchmark efficient entity is 0.83, calculated using the financial statements of the 20 largest ASX-listed companies.</w:t>
      </w:r>
    </w:p>
    <w:p w:rsidR="00C52695" w:rsidRPr="001D37D5" w:rsidRDefault="00C52695" w:rsidP="00C52695">
      <w:pPr>
        <w:pStyle w:val="AERbulletlistfirststyle"/>
      </w:pPr>
      <w:r w:rsidRPr="00883125">
        <w:t>There is no widely accepted utilisation rate or method for estimating it. The recommended values for the utilisation rate range from 0.35 to 1</w:t>
      </w:r>
      <w:r w:rsidRPr="001D37D5">
        <w:t xml:space="preserve">.0. </w:t>
      </w:r>
    </w:p>
    <w:p w:rsidR="00C52695" w:rsidRPr="00883125" w:rsidRDefault="00C52695" w:rsidP="00C52695">
      <w:pPr>
        <w:pStyle w:val="AERbulletlistfirststyle"/>
      </w:pPr>
      <w:r w:rsidRPr="00883125">
        <w:t>Only CEG, SFG, and Gray (for SFG and Frontier), rely exclusively on the SFG dividend drop off study when estimating the utilisation rate. Handley and McKenzie and Partington rely on a range of evidence. SACES gives equal weight to the equity ownership approach and tax statistics. Lally prefers a conceptual approach, but his second preference is the equity ownership approach.</w:t>
      </w:r>
    </w:p>
    <w:p w:rsidR="00C52695" w:rsidRPr="001D37D5" w:rsidRDefault="00C52695" w:rsidP="00C52695">
      <w:pPr>
        <w:pStyle w:val="AERbulletlistfirststyle"/>
      </w:pPr>
      <w:r w:rsidRPr="00883125">
        <w:t>As a result of the differing approaches, particularly to the utilisation rate, the range of estimates of the value of imputation credits is 0.25 to 0.8</w:t>
      </w:r>
      <w:r w:rsidRPr="001D37D5">
        <w:t>3.</w:t>
      </w:r>
    </w:p>
    <w:p w:rsidR="00C52695" w:rsidRPr="00883125" w:rsidRDefault="00C52695" w:rsidP="00C52695">
      <w:r w:rsidRPr="00883125">
        <w:t>Conceptually, the value of imputation credits must be between 0 and 1. Accordingly</w:t>
      </w:r>
      <w:r>
        <w:t>,</w:t>
      </w:r>
      <w:r w:rsidRPr="00883125">
        <w:t xml:space="preserve"> the range of recommended estimates from 0.25 to 0.8</w:t>
      </w:r>
      <w:r>
        <w:t>3</w:t>
      </w:r>
      <w:r w:rsidRPr="00883125">
        <w:t xml:space="preserve">, which spans most of the possible range for the value of imputation credits, highlights the lack of consensus among experts. Our </w:t>
      </w:r>
      <w:r w:rsidR="00D577C3">
        <w:t>draft</w:t>
      </w:r>
      <w:r w:rsidR="00D577C3" w:rsidRPr="00883125">
        <w:t xml:space="preserve"> </w:t>
      </w:r>
      <w:r w:rsidRPr="00883125">
        <w:t>decision value of imputation credits of 0.4 sits in the lower half of the range recommended by experts, which is more favourable to service providers.</w:t>
      </w:r>
    </w:p>
    <w:p w:rsidR="00C52695" w:rsidRPr="00883125" w:rsidRDefault="00C52695" w:rsidP="00C52695">
      <w:pPr>
        <w:pStyle w:val="Heading8"/>
      </w:pPr>
      <w:bookmarkStart w:id="150" w:name="_Toc450119245"/>
      <w:bookmarkStart w:id="151" w:name="_Toc450119407"/>
      <w:bookmarkStart w:id="152" w:name="_Ref414621875"/>
      <w:bookmarkStart w:id="153" w:name="_Toc436049443"/>
      <w:bookmarkStart w:id="154" w:name="_Toc451842247"/>
      <w:bookmarkStart w:id="155" w:name="_Toc451938303"/>
      <w:bookmarkStart w:id="156" w:name="_Toc456614291"/>
      <w:bookmarkStart w:id="157" w:name="_Toc462823309"/>
      <w:bookmarkStart w:id="158" w:name="_Toc487014057"/>
      <w:bookmarkEnd w:id="150"/>
      <w:bookmarkEnd w:id="151"/>
      <w:r w:rsidRPr="00883125">
        <w:t>The value of imputation credits used by other regulators</w:t>
      </w:r>
      <w:bookmarkEnd w:id="152"/>
      <w:bookmarkEnd w:id="153"/>
      <w:bookmarkEnd w:id="154"/>
      <w:bookmarkEnd w:id="155"/>
      <w:bookmarkEnd w:id="156"/>
      <w:bookmarkEnd w:id="157"/>
      <w:bookmarkEnd w:id="158"/>
    </w:p>
    <w:p w:rsidR="00DB750D" w:rsidRDefault="00C52695" w:rsidP="00C52695">
      <w:r w:rsidRPr="00883125">
        <w:t>Australian regulators have applied a wide range of approaches to estimate the value of imputation credits, resulting in varied outcomes.</w:t>
      </w:r>
      <w:r w:rsidR="00DB750D">
        <w:t xml:space="preserve"> </w:t>
      </w:r>
      <w:r w:rsidR="00DB750D">
        <w:fldChar w:fldCharType="begin"/>
      </w:r>
      <w:r w:rsidR="00DB750D">
        <w:instrText xml:space="preserve"> REF _Ref477212377 \h </w:instrText>
      </w:r>
      <w:r w:rsidR="00DB750D">
        <w:fldChar w:fldCharType="separate"/>
      </w:r>
      <w:r w:rsidR="007E3457" w:rsidRPr="00883125">
        <w:t xml:space="preserve">Table </w:t>
      </w:r>
      <w:r w:rsidR="007E3457">
        <w:rPr>
          <w:noProof/>
        </w:rPr>
        <w:t>4</w:t>
      </w:r>
      <w:r w:rsidR="007E3457">
        <w:noBreakHyphen/>
      </w:r>
      <w:r w:rsidR="007E3457">
        <w:rPr>
          <w:noProof/>
        </w:rPr>
        <w:t>7</w:t>
      </w:r>
      <w:r w:rsidR="00DB750D">
        <w:fldChar w:fldCharType="end"/>
      </w:r>
      <w:r w:rsidRPr="00883125">
        <w:t xml:space="preserve"> summarises some recent regulatory decisions on the value of imputation credits. While these decisions have not directly informed our position on the value of imputation credits, they indicate that there is no conceptual or practical consensus amongst Australian regulators.</w:t>
      </w:r>
      <w:bookmarkStart w:id="159" w:name="_Ref401082422"/>
    </w:p>
    <w:p w:rsidR="00C52695" w:rsidRPr="00883125" w:rsidRDefault="00C52695" w:rsidP="001C216D">
      <w:pPr>
        <w:pStyle w:val="Caption"/>
      </w:pPr>
      <w:bookmarkStart w:id="160" w:name="_Ref477212377"/>
      <w:r w:rsidRPr="00883125">
        <w:t xml:space="preserve">Table </w:t>
      </w:r>
      <w:r w:rsidRPr="001D37D5">
        <w:fldChar w:fldCharType="begin"/>
      </w:r>
      <w:r>
        <w:instrText xml:space="preserve"> STYLEREF 1 \s </w:instrText>
      </w:r>
      <w:r w:rsidRPr="001D37D5">
        <w:fldChar w:fldCharType="separate"/>
      </w:r>
      <w:r w:rsidR="007E3457">
        <w:rPr>
          <w:noProof/>
        </w:rPr>
        <w:t>4</w:t>
      </w:r>
      <w:r w:rsidRPr="001D37D5">
        <w:fldChar w:fldCharType="end"/>
      </w:r>
      <w:r>
        <w:noBreakHyphen/>
      </w:r>
      <w:r w:rsidRPr="001D37D5">
        <w:fldChar w:fldCharType="begin"/>
      </w:r>
      <w:r>
        <w:instrText xml:space="preserve"> SEQ Table \* ARABIC \s 1 </w:instrText>
      </w:r>
      <w:r w:rsidRPr="001D37D5">
        <w:fldChar w:fldCharType="separate"/>
      </w:r>
      <w:r w:rsidR="007E3457">
        <w:rPr>
          <w:noProof/>
        </w:rPr>
        <w:t>7</w:t>
      </w:r>
      <w:r w:rsidRPr="001D37D5">
        <w:fldChar w:fldCharType="end"/>
      </w:r>
      <w:bookmarkEnd w:id="159"/>
      <w:bookmarkEnd w:id="160"/>
      <w:r w:rsidRPr="00883125">
        <w:tab/>
        <w:t>Australian regulators' approaches to the value of imputation credits</w:t>
      </w:r>
    </w:p>
    <w:tbl>
      <w:tblPr>
        <w:tblStyle w:val="AERtable-numbers"/>
        <w:tblW w:w="9242" w:type="dxa"/>
        <w:tblLayout w:type="fixed"/>
        <w:tblLook w:val="04A0" w:firstRow="1" w:lastRow="0" w:firstColumn="1" w:lastColumn="0" w:noHBand="0" w:noVBand="1"/>
      </w:tblPr>
      <w:tblGrid>
        <w:gridCol w:w="1101"/>
        <w:gridCol w:w="1842"/>
        <w:gridCol w:w="709"/>
        <w:gridCol w:w="1768"/>
        <w:gridCol w:w="1911"/>
        <w:gridCol w:w="1911"/>
      </w:tblGrid>
      <w:tr w:rsidR="00C52695" w:rsidTr="006425B8">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101" w:type="dxa"/>
          </w:tcPr>
          <w:p w:rsidR="00C52695" w:rsidRPr="00883125" w:rsidRDefault="00C52695" w:rsidP="008B1CA1">
            <w:pPr>
              <w:keepNext/>
              <w:numPr>
                <w:ilvl w:val="0"/>
                <w:numId w:val="24"/>
              </w:numPr>
              <w:rPr>
                <w:rFonts w:eastAsiaTheme="minorHAnsi" w:cstheme="minorBidi"/>
                <w:b w:val="0"/>
                <w:color w:val="auto"/>
                <w:sz w:val="22"/>
                <w:szCs w:val="22"/>
                <w:lang w:eastAsia="en-US"/>
              </w:rPr>
            </w:pPr>
            <w:r w:rsidRPr="00883125">
              <w:t>Regulator</w:t>
            </w:r>
          </w:p>
        </w:tc>
        <w:tc>
          <w:tcPr>
            <w:tcW w:w="1842" w:type="dxa"/>
          </w:tcPr>
          <w:p w:rsidR="00C52695" w:rsidRPr="00883125" w:rsidRDefault="00C52695" w:rsidP="008B1CA1">
            <w:pPr>
              <w:keepNext/>
              <w:numPr>
                <w:ilvl w:val="0"/>
                <w:numId w:val="24"/>
              </w:numPr>
              <w:cnfStyle w:val="100000000000" w:firstRow="1" w:lastRow="0" w:firstColumn="0" w:lastColumn="0" w:oddVBand="0" w:evenVBand="0" w:oddHBand="0" w:evenHBand="0" w:firstRowFirstColumn="0" w:firstRowLastColumn="0" w:lastRowFirstColumn="0" w:lastRowLastColumn="0"/>
              <w:rPr>
                <w:rFonts w:eastAsiaTheme="minorHAnsi" w:cstheme="minorBidi"/>
                <w:b w:val="0"/>
                <w:color w:val="auto"/>
                <w:sz w:val="22"/>
                <w:szCs w:val="22"/>
                <w:lang w:eastAsia="en-US"/>
              </w:rPr>
            </w:pPr>
            <w:r w:rsidRPr="00883125">
              <w:t>Form of adoption</w:t>
            </w:r>
          </w:p>
        </w:tc>
        <w:tc>
          <w:tcPr>
            <w:tcW w:w="709" w:type="dxa"/>
          </w:tcPr>
          <w:p w:rsidR="00C52695" w:rsidRPr="00883125" w:rsidRDefault="00C52695" w:rsidP="008B1CA1">
            <w:pPr>
              <w:keepNext/>
              <w:numPr>
                <w:ilvl w:val="0"/>
                <w:numId w:val="24"/>
              </w:numPr>
              <w:cnfStyle w:val="100000000000" w:firstRow="1" w:lastRow="0" w:firstColumn="0" w:lastColumn="0" w:oddVBand="0" w:evenVBand="0" w:oddHBand="0" w:evenHBand="0" w:firstRowFirstColumn="0" w:firstRowLastColumn="0" w:lastRowFirstColumn="0" w:lastRowLastColumn="0"/>
              <w:rPr>
                <w:rFonts w:eastAsiaTheme="minorHAnsi" w:cstheme="minorBidi"/>
                <w:b w:val="0"/>
                <w:color w:val="auto"/>
                <w:sz w:val="22"/>
                <w:szCs w:val="22"/>
                <w:lang w:eastAsia="en-US"/>
              </w:rPr>
            </w:pPr>
            <w:r w:rsidRPr="00883125">
              <w:t>Year</w:t>
            </w:r>
          </w:p>
        </w:tc>
        <w:tc>
          <w:tcPr>
            <w:tcW w:w="1768" w:type="dxa"/>
          </w:tcPr>
          <w:p w:rsidR="00C52695" w:rsidRPr="00883125" w:rsidRDefault="00C52695" w:rsidP="008B1CA1">
            <w:pPr>
              <w:keepNext/>
              <w:numPr>
                <w:ilvl w:val="0"/>
                <w:numId w:val="24"/>
              </w:numPr>
              <w:cnfStyle w:val="100000000000" w:firstRow="1" w:lastRow="0" w:firstColumn="0" w:lastColumn="0" w:oddVBand="0" w:evenVBand="0" w:oddHBand="0" w:evenHBand="0" w:firstRowFirstColumn="0" w:firstRowLastColumn="0" w:lastRowFirstColumn="0" w:lastRowLastColumn="0"/>
              <w:rPr>
                <w:rFonts w:eastAsiaTheme="minorHAnsi" w:cstheme="minorBidi"/>
                <w:b w:val="0"/>
                <w:color w:val="auto"/>
                <w:sz w:val="22"/>
                <w:szCs w:val="22"/>
                <w:lang w:eastAsia="en-US"/>
              </w:rPr>
            </w:pPr>
            <w:r w:rsidRPr="00883125">
              <w:t>Distribution rate</w:t>
            </w:r>
          </w:p>
        </w:tc>
        <w:tc>
          <w:tcPr>
            <w:tcW w:w="1911" w:type="dxa"/>
          </w:tcPr>
          <w:p w:rsidR="00C52695" w:rsidRPr="00883125" w:rsidRDefault="00C52695" w:rsidP="008B1CA1">
            <w:pPr>
              <w:keepNext/>
              <w:numPr>
                <w:ilvl w:val="0"/>
                <w:numId w:val="24"/>
              </w:numPr>
              <w:cnfStyle w:val="100000000000" w:firstRow="1" w:lastRow="0" w:firstColumn="0" w:lastColumn="0" w:oddVBand="0" w:evenVBand="0" w:oddHBand="0" w:evenHBand="0" w:firstRowFirstColumn="0" w:firstRowLastColumn="0" w:lastRowFirstColumn="0" w:lastRowLastColumn="0"/>
              <w:rPr>
                <w:rFonts w:eastAsiaTheme="minorHAnsi" w:cstheme="minorBidi"/>
                <w:b w:val="0"/>
                <w:color w:val="auto"/>
                <w:sz w:val="22"/>
                <w:szCs w:val="22"/>
                <w:lang w:eastAsia="en-US"/>
              </w:rPr>
            </w:pPr>
            <w:r w:rsidRPr="00883125">
              <w:t>Utilisation rate</w:t>
            </w:r>
          </w:p>
        </w:tc>
        <w:tc>
          <w:tcPr>
            <w:tcW w:w="1911" w:type="dxa"/>
          </w:tcPr>
          <w:p w:rsidR="00C52695" w:rsidRPr="00883125" w:rsidRDefault="00C52695" w:rsidP="008B1CA1">
            <w:pPr>
              <w:keepNext/>
              <w:numPr>
                <w:ilvl w:val="0"/>
                <w:numId w:val="24"/>
              </w:numPr>
              <w:cnfStyle w:val="100000000000" w:firstRow="1" w:lastRow="0" w:firstColumn="0" w:lastColumn="0" w:oddVBand="0" w:evenVBand="0" w:oddHBand="0" w:evenHBand="0" w:firstRowFirstColumn="0" w:firstRowLastColumn="0" w:lastRowFirstColumn="0" w:lastRowLastColumn="0"/>
              <w:rPr>
                <w:rFonts w:eastAsiaTheme="minorHAnsi" w:cstheme="minorBidi"/>
                <w:b w:val="0"/>
                <w:color w:val="auto"/>
                <w:sz w:val="22"/>
                <w:szCs w:val="22"/>
                <w:lang w:eastAsia="en-US"/>
              </w:rPr>
            </w:pPr>
            <w:r w:rsidRPr="00883125">
              <w:t>Value of imputation credits</w:t>
            </w:r>
          </w:p>
        </w:tc>
      </w:tr>
      <w:tr w:rsidR="00C52695" w:rsidTr="006425B8">
        <w:trPr>
          <w:cantSplit/>
        </w:trPr>
        <w:tc>
          <w:tcPr>
            <w:cnfStyle w:val="001000000000" w:firstRow="0" w:lastRow="0" w:firstColumn="1" w:lastColumn="0" w:oddVBand="0" w:evenVBand="0" w:oddHBand="0" w:evenHBand="0" w:firstRowFirstColumn="0" w:firstRowLastColumn="0" w:lastRowFirstColumn="0" w:lastRowLastColumn="0"/>
            <w:tcW w:w="1101" w:type="dxa"/>
          </w:tcPr>
          <w:p w:rsidR="00C52695" w:rsidRPr="00C52695" w:rsidRDefault="00C52695" w:rsidP="008B1CA1">
            <w:pPr>
              <w:keepNext/>
              <w:rPr>
                <w:rFonts w:eastAsiaTheme="minorHAnsi" w:cstheme="minorBidi"/>
                <w:sz w:val="22"/>
                <w:szCs w:val="22"/>
                <w:lang w:eastAsia="en-US"/>
              </w:rPr>
            </w:pPr>
            <w:r w:rsidRPr="00883125">
              <w:t>IPART</w:t>
            </w:r>
            <w:r w:rsidRPr="00C52695">
              <w:rPr>
                <w:rStyle w:val="FootnoteReference"/>
              </w:rPr>
              <w:footnoteReference w:id="266"/>
            </w:r>
          </w:p>
        </w:tc>
        <w:tc>
          <w:tcPr>
            <w:tcW w:w="1842" w:type="dxa"/>
          </w:tcPr>
          <w:p w:rsidR="00C52695" w:rsidRPr="00883125" w:rsidRDefault="00664394" w:rsidP="008B1CA1">
            <w:pPr>
              <w:keepNext/>
              <w:numPr>
                <w:ilvl w:val="0"/>
                <w:numId w:val="24"/>
              </w:numPr>
              <w:cnfStyle w:val="000000000000" w:firstRow="0" w:lastRow="0" w:firstColumn="0" w:lastColumn="0" w:oddVBand="0" w:evenVBand="0" w:oddHBand="0" w:evenHBand="0" w:firstRowFirstColumn="0" w:firstRowLastColumn="0" w:lastRowFirstColumn="0" w:lastRowLastColumn="0"/>
              <w:rPr>
                <w:rFonts w:eastAsiaTheme="minorHAnsi" w:cstheme="minorBidi"/>
                <w:sz w:val="22"/>
                <w:szCs w:val="22"/>
                <w:lang w:eastAsia="en-US"/>
              </w:rPr>
            </w:pPr>
            <w:r>
              <w:t>Sydney Desalination Plant Review of Prices</w:t>
            </w:r>
          </w:p>
        </w:tc>
        <w:tc>
          <w:tcPr>
            <w:tcW w:w="709" w:type="dxa"/>
          </w:tcPr>
          <w:p w:rsidR="00C52695" w:rsidRPr="00883125" w:rsidRDefault="00664394" w:rsidP="008B1CA1">
            <w:pPr>
              <w:keepNext/>
              <w:numPr>
                <w:ilvl w:val="0"/>
                <w:numId w:val="24"/>
              </w:numPr>
              <w:cnfStyle w:val="000000000000" w:firstRow="0" w:lastRow="0" w:firstColumn="0" w:lastColumn="0" w:oddVBand="0" w:evenVBand="0" w:oddHBand="0" w:evenHBand="0" w:firstRowFirstColumn="0" w:firstRowLastColumn="0" w:lastRowFirstColumn="0" w:lastRowLastColumn="0"/>
              <w:rPr>
                <w:rFonts w:eastAsiaTheme="minorHAnsi" w:cstheme="minorBidi"/>
                <w:sz w:val="22"/>
                <w:szCs w:val="22"/>
                <w:lang w:eastAsia="en-US"/>
              </w:rPr>
            </w:pPr>
            <w:r w:rsidRPr="00883125">
              <w:t>201</w:t>
            </w:r>
            <w:r>
              <w:t>7</w:t>
            </w:r>
          </w:p>
        </w:tc>
        <w:tc>
          <w:tcPr>
            <w:tcW w:w="1768" w:type="dxa"/>
          </w:tcPr>
          <w:p w:rsidR="00C52695" w:rsidRPr="00883125" w:rsidRDefault="00C52695" w:rsidP="008B1CA1">
            <w:pPr>
              <w:keepNext/>
              <w:numPr>
                <w:ilvl w:val="0"/>
                <w:numId w:val="24"/>
              </w:numPr>
              <w:cnfStyle w:val="000000000000" w:firstRow="0" w:lastRow="0" w:firstColumn="0" w:lastColumn="0" w:oddVBand="0" w:evenVBand="0" w:oddHBand="0" w:evenHBand="0" w:firstRowFirstColumn="0" w:firstRowLastColumn="0" w:lastRowFirstColumn="0" w:lastRowLastColumn="0"/>
              <w:rPr>
                <w:rFonts w:eastAsiaTheme="minorHAnsi" w:cstheme="minorBidi"/>
                <w:sz w:val="22"/>
                <w:szCs w:val="22"/>
                <w:lang w:eastAsia="en-US"/>
              </w:rPr>
            </w:pPr>
            <w:r w:rsidRPr="00883125">
              <w:rPr>
                <w:rStyle w:val="Strong"/>
              </w:rPr>
              <w:t>0.7</w:t>
            </w:r>
            <w:r w:rsidRPr="00883125">
              <w:t>, using cumulative payout ratio approach</w:t>
            </w:r>
          </w:p>
        </w:tc>
        <w:tc>
          <w:tcPr>
            <w:tcW w:w="1911" w:type="dxa"/>
          </w:tcPr>
          <w:p w:rsidR="00C52695" w:rsidRPr="00883125" w:rsidRDefault="00C52695" w:rsidP="008B1CA1">
            <w:pPr>
              <w:keepNext/>
              <w:numPr>
                <w:ilvl w:val="0"/>
                <w:numId w:val="24"/>
              </w:numPr>
              <w:cnfStyle w:val="000000000000" w:firstRow="0" w:lastRow="0" w:firstColumn="0" w:lastColumn="0" w:oddVBand="0" w:evenVBand="0" w:oddHBand="0" w:evenHBand="0" w:firstRowFirstColumn="0" w:firstRowLastColumn="0" w:lastRowFirstColumn="0" w:lastRowLastColumn="0"/>
              <w:rPr>
                <w:rFonts w:eastAsiaTheme="minorHAnsi" w:cstheme="minorBidi"/>
                <w:sz w:val="22"/>
                <w:szCs w:val="22"/>
                <w:lang w:eastAsia="en-US"/>
              </w:rPr>
            </w:pPr>
            <w:r w:rsidRPr="00883125">
              <w:rPr>
                <w:rStyle w:val="Strong"/>
              </w:rPr>
              <w:t>0.35</w:t>
            </w:r>
            <w:r w:rsidRPr="00883125">
              <w:t>, using 2011 version of SFG dividend drop off study</w:t>
            </w:r>
          </w:p>
        </w:tc>
        <w:tc>
          <w:tcPr>
            <w:tcW w:w="1911" w:type="dxa"/>
          </w:tcPr>
          <w:p w:rsidR="00C52695" w:rsidRPr="00883125" w:rsidRDefault="00C52695" w:rsidP="008B1CA1">
            <w:pPr>
              <w:keepNext/>
              <w:numPr>
                <w:ilvl w:val="0"/>
                <w:numId w:val="24"/>
              </w:numPr>
              <w:cnfStyle w:val="000000000000" w:firstRow="0" w:lastRow="0" w:firstColumn="0" w:lastColumn="0" w:oddVBand="0" w:evenVBand="0" w:oddHBand="0" w:evenHBand="0" w:firstRowFirstColumn="0" w:firstRowLastColumn="0" w:lastRowFirstColumn="0" w:lastRowLastColumn="0"/>
              <w:rPr>
                <w:rStyle w:val="Strong"/>
                <w:rFonts w:eastAsiaTheme="minorHAnsi" w:cstheme="minorBidi"/>
                <w:sz w:val="22"/>
                <w:szCs w:val="22"/>
                <w:lang w:eastAsia="en-US"/>
              </w:rPr>
            </w:pPr>
            <w:r w:rsidRPr="00883125">
              <w:rPr>
                <w:rStyle w:val="Strong"/>
              </w:rPr>
              <w:t>0.25</w:t>
            </w:r>
          </w:p>
        </w:tc>
      </w:tr>
      <w:tr w:rsidR="00C52695" w:rsidTr="006425B8">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01" w:type="dxa"/>
          </w:tcPr>
          <w:p w:rsidR="00C52695" w:rsidRPr="00C52695" w:rsidRDefault="00C52695" w:rsidP="008B1CA1">
            <w:pPr>
              <w:keepNext/>
              <w:rPr>
                <w:rFonts w:eastAsiaTheme="minorHAnsi" w:cstheme="minorBidi"/>
                <w:b/>
                <w:bCs/>
                <w:sz w:val="22"/>
                <w:szCs w:val="22"/>
                <w:lang w:eastAsia="en-US"/>
              </w:rPr>
            </w:pPr>
            <w:r w:rsidRPr="00883125">
              <w:t>ESC</w:t>
            </w:r>
            <w:r w:rsidRPr="00C52695">
              <w:rPr>
                <w:rStyle w:val="AERsuperscript"/>
              </w:rPr>
              <w:footnoteReference w:id="267"/>
            </w:r>
          </w:p>
        </w:tc>
        <w:tc>
          <w:tcPr>
            <w:tcW w:w="1842" w:type="dxa"/>
          </w:tcPr>
          <w:p w:rsidR="00C52695" w:rsidRPr="00883125" w:rsidRDefault="006D36C8" w:rsidP="008B1CA1">
            <w:pPr>
              <w:keepNext/>
              <w:numPr>
                <w:ilvl w:val="0"/>
                <w:numId w:val="24"/>
              </w:numPr>
              <w:cnfStyle w:val="000000010000" w:firstRow="0" w:lastRow="0" w:firstColumn="0" w:lastColumn="0" w:oddVBand="0" w:evenVBand="0" w:oddHBand="0" w:evenHBand="1" w:firstRowFirstColumn="0" w:firstRowLastColumn="0" w:lastRowFirstColumn="0" w:lastRowLastColumn="0"/>
              <w:rPr>
                <w:rFonts w:eastAsiaTheme="minorHAnsi" w:cstheme="minorBidi"/>
                <w:sz w:val="22"/>
                <w:szCs w:val="22"/>
                <w:lang w:eastAsia="en-US"/>
              </w:rPr>
            </w:pPr>
            <w:r>
              <w:t>Melbourne Water 2016-17</w:t>
            </w:r>
          </w:p>
        </w:tc>
        <w:tc>
          <w:tcPr>
            <w:tcW w:w="709" w:type="dxa"/>
          </w:tcPr>
          <w:p w:rsidR="00C52695" w:rsidRPr="00883125" w:rsidRDefault="00C52695" w:rsidP="008B1CA1">
            <w:pPr>
              <w:keepNext/>
              <w:numPr>
                <w:ilvl w:val="0"/>
                <w:numId w:val="24"/>
              </w:numPr>
              <w:cnfStyle w:val="000000010000" w:firstRow="0" w:lastRow="0" w:firstColumn="0" w:lastColumn="0" w:oddVBand="0" w:evenVBand="0" w:oddHBand="0" w:evenHBand="1" w:firstRowFirstColumn="0" w:firstRowLastColumn="0" w:lastRowFirstColumn="0" w:lastRowLastColumn="0"/>
              <w:rPr>
                <w:rFonts w:eastAsiaTheme="minorHAnsi" w:cstheme="minorBidi"/>
                <w:sz w:val="22"/>
                <w:szCs w:val="22"/>
                <w:lang w:eastAsia="en-US"/>
              </w:rPr>
            </w:pPr>
            <w:r w:rsidRPr="00883125">
              <w:t>201</w:t>
            </w:r>
            <w:r>
              <w:t>6</w:t>
            </w:r>
          </w:p>
        </w:tc>
        <w:tc>
          <w:tcPr>
            <w:tcW w:w="1768" w:type="dxa"/>
          </w:tcPr>
          <w:p w:rsidR="00C52695" w:rsidRPr="00883125" w:rsidRDefault="00C52695" w:rsidP="008B1CA1">
            <w:pPr>
              <w:keepNext/>
              <w:numPr>
                <w:ilvl w:val="0"/>
                <w:numId w:val="24"/>
              </w:numPr>
              <w:cnfStyle w:val="000000010000" w:firstRow="0" w:lastRow="0" w:firstColumn="0" w:lastColumn="0" w:oddVBand="0" w:evenVBand="0" w:oddHBand="0" w:evenHBand="1" w:firstRowFirstColumn="0" w:firstRowLastColumn="0" w:lastRowFirstColumn="0" w:lastRowLastColumn="0"/>
              <w:rPr>
                <w:rStyle w:val="Strong"/>
                <w:rFonts w:eastAsiaTheme="minorHAnsi" w:cstheme="minorBidi"/>
                <w:sz w:val="22"/>
                <w:szCs w:val="22"/>
                <w:lang w:eastAsia="en-US"/>
              </w:rPr>
            </w:pPr>
            <w:r w:rsidRPr="00883125">
              <w:t>N/A</w:t>
            </w:r>
          </w:p>
        </w:tc>
        <w:tc>
          <w:tcPr>
            <w:tcW w:w="1911" w:type="dxa"/>
          </w:tcPr>
          <w:p w:rsidR="00C52695" w:rsidRPr="00883125" w:rsidRDefault="00C52695" w:rsidP="008B1CA1">
            <w:pPr>
              <w:keepNext/>
              <w:numPr>
                <w:ilvl w:val="0"/>
                <w:numId w:val="24"/>
              </w:numPr>
              <w:cnfStyle w:val="000000010000" w:firstRow="0" w:lastRow="0" w:firstColumn="0" w:lastColumn="0" w:oddVBand="0" w:evenVBand="0" w:oddHBand="0" w:evenHBand="1" w:firstRowFirstColumn="0" w:firstRowLastColumn="0" w:lastRowFirstColumn="0" w:lastRowLastColumn="0"/>
              <w:rPr>
                <w:rStyle w:val="Strong"/>
                <w:rFonts w:eastAsiaTheme="minorHAnsi" w:cstheme="minorBidi"/>
                <w:sz w:val="22"/>
                <w:szCs w:val="22"/>
                <w:lang w:eastAsia="en-US"/>
              </w:rPr>
            </w:pPr>
            <w:r w:rsidRPr="00883125">
              <w:t>N/A</w:t>
            </w:r>
          </w:p>
        </w:tc>
        <w:tc>
          <w:tcPr>
            <w:tcW w:w="1911" w:type="dxa"/>
          </w:tcPr>
          <w:p w:rsidR="00C52695" w:rsidRPr="00883125" w:rsidRDefault="00C52695" w:rsidP="008B1CA1">
            <w:pPr>
              <w:keepNext/>
              <w:numPr>
                <w:ilvl w:val="0"/>
                <w:numId w:val="24"/>
              </w:numPr>
              <w:cnfStyle w:val="000000010000" w:firstRow="0" w:lastRow="0" w:firstColumn="0" w:lastColumn="0" w:oddVBand="0" w:evenVBand="0" w:oddHBand="0" w:evenHBand="1" w:firstRowFirstColumn="0" w:firstRowLastColumn="0" w:lastRowFirstColumn="0" w:lastRowLastColumn="0"/>
              <w:rPr>
                <w:rStyle w:val="Strong"/>
                <w:rFonts w:eastAsiaTheme="minorHAnsi" w:cstheme="minorBidi"/>
                <w:sz w:val="22"/>
                <w:szCs w:val="22"/>
                <w:lang w:eastAsia="en-US"/>
              </w:rPr>
            </w:pPr>
            <w:r w:rsidRPr="00883125">
              <w:rPr>
                <w:rStyle w:val="Strong"/>
              </w:rPr>
              <w:t>0.5</w:t>
            </w:r>
          </w:p>
        </w:tc>
      </w:tr>
      <w:tr w:rsidR="00C52695" w:rsidTr="006425B8">
        <w:trPr>
          <w:cantSplit/>
        </w:trPr>
        <w:tc>
          <w:tcPr>
            <w:cnfStyle w:val="001000000000" w:firstRow="0" w:lastRow="0" w:firstColumn="1" w:lastColumn="0" w:oddVBand="0" w:evenVBand="0" w:oddHBand="0" w:evenHBand="0" w:firstRowFirstColumn="0" w:firstRowLastColumn="0" w:lastRowFirstColumn="0" w:lastRowLastColumn="0"/>
            <w:tcW w:w="1101" w:type="dxa"/>
          </w:tcPr>
          <w:p w:rsidR="00C52695" w:rsidRPr="00C52695" w:rsidRDefault="00C52695" w:rsidP="008B1CA1">
            <w:pPr>
              <w:keepNext/>
              <w:rPr>
                <w:rFonts w:eastAsiaTheme="minorHAnsi" w:cstheme="minorBidi"/>
                <w:b/>
                <w:bCs/>
                <w:sz w:val="22"/>
                <w:szCs w:val="22"/>
                <w:lang w:eastAsia="en-US"/>
              </w:rPr>
            </w:pPr>
            <w:r w:rsidRPr="00883125">
              <w:t>QCA</w:t>
            </w:r>
            <w:r w:rsidRPr="00C52695">
              <w:rPr>
                <w:rStyle w:val="FootnoteReference"/>
              </w:rPr>
              <w:footnoteReference w:id="268"/>
            </w:r>
            <w:r w:rsidRPr="00C52695">
              <w:t xml:space="preserve">  </w:t>
            </w:r>
          </w:p>
        </w:tc>
        <w:tc>
          <w:tcPr>
            <w:tcW w:w="1842" w:type="dxa"/>
          </w:tcPr>
          <w:p w:rsidR="00C52695" w:rsidRPr="00883125" w:rsidRDefault="009A78E0" w:rsidP="008B1CA1">
            <w:pPr>
              <w:keepNext/>
              <w:numPr>
                <w:ilvl w:val="0"/>
                <w:numId w:val="24"/>
              </w:numPr>
              <w:cnfStyle w:val="000000000000" w:firstRow="0" w:lastRow="0" w:firstColumn="0" w:lastColumn="0" w:oddVBand="0" w:evenVBand="0" w:oddHBand="0" w:evenHBand="0" w:firstRowFirstColumn="0" w:firstRowLastColumn="0" w:lastRowFirstColumn="0" w:lastRowLastColumn="0"/>
              <w:rPr>
                <w:rFonts w:eastAsiaTheme="minorHAnsi" w:cstheme="minorBidi"/>
                <w:sz w:val="22"/>
                <w:szCs w:val="22"/>
                <w:lang w:eastAsia="en-US"/>
              </w:rPr>
            </w:pPr>
            <w:r>
              <w:t xml:space="preserve">Dalrymple Bay Coal Terminal access undertaking </w:t>
            </w:r>
          </w:p>
        </w:tc>
        <w:tc>
          <w:tcPr>
            <w:tcW w:w="709" w:type="dxa"/>
          </w:tcPr>
          <w:p w:rsidR="00C52695" w:rsidRPr="00883125" w:rsidRDefault="00C52695" w:rsidP="008B1CA1">
            <w:pPr>
              <w:keepNext/>
              <w:numPr>
                <w:ilvl w:val="0"/>
                <w:numId w:val="24"/>
              </w:numPr>
              <w:cnfStyle w:val="000000000000" w:firstRow="0" w:lastRow="0" w:firstColumn="0" w:lastColumn="0" w:oddVBand="0" w:evenVBand="0" w:oddHBand="0" w:evenHBand="0" w:firstRowFirstColumn="0" w:firstRowLastColumn="0" w:lastRowFirstColumn="0" w:lastRowLastColumn="0"/>
              <w:rPr>
                <w:rFonts w:eastAsiaTheme="minorHAnsi" w:cstheme="minorBidi"/>
                <w:sz w:val="22"/>
                <w:szCs w:val="22"/>
                <w:lang w:eastAsia="en-US"/>
              </w:rPr>
            </w:pPr>
            <w:r w:rsidRPr="00883125">
              <w:t>201</w:t>
            </w:r>
            <w:r>
              <w:t>6</w:t>
            </w:r>
          </w:p>
        </w:tc>
        <w:tc>
          <w:tcPr>
            <w:tcW w:w="1768" w:type="dxa"/>
          </w:tcPr>
          <w:p w:rsidR="00C52695" w:rsidRPr="00883125" w:rsidRDefault="00C52695" w:rsidP="008B1CA1">
            <w:pPr>
              <w:keepNext/>
              <w:numPr>
                <w:ilvl w:val="0"/>
                <w:numId w:val="24"/>
              </w:numPr>
              <w:cnfStyle w:val="000000000000" w:firstRow="0" w:lastRow="0" w:firstColumn="0" w:lastColumn="0" w:oddVBand="0" w:evenVBand="0" w:oddHBand="0" w:evenHBand="0" w:firstRowFirstColumn="0" w:firstRowLastColumn="0" w:lastRowFirstColumn="0" w:lastRowLastColumn="0"/>
              <w:rPr>
                <w:rFonts w:eastAsiaTheme="minorHAnsi" w:cstheme="minorBidi"/>
                <w:sz w:val="22"/>
                <w:szCs w:val="22"/>
                <w:lang w:eastAsia="en-US"/>
              </w:rPr>
            </w:pPr>
            <w:r w:rsidRPr="00883125">
              <w:rPr>
                <w:rStyle w:val="Strong"/>
              </w:rPr>
              <w:t>0.84</w:t>
            </w:r>
            <w:r w:rsidRPr="00883125">
              <w:t>, using</w:t>
            </w:r>
            <w:r>
              <w:t xml:space="preserve"> Lally's approach of using data sourced directly from companies' financial statements in their annual reports</w:t>
            </w:r>
          </w:p>
        </w:tc>
        <w:tc>
          <w:tcPr>
            <w:tcW w:w="1911" w:type="dxa"/>
          </w:tcPr>
          <w:p w:rsidR="00C52695" w:rsidRPr="00883125" w:rsidRDefault="00C52695" w:rsidP="008B1CA1">
            <w:pPr>
              <w:keepNext/>
              <w:numPr>
                <w:ilvl w:val="0"/>
                <w:numId w:val="24"/>
              </w:numPr>
              <w:cnfStyle w:val="000000000000" w:firstRow="0" w:lastRow="0" w:firstColumn="0" w:lastColumn="0" w:oddVBand="0" w:evenVBand="0" w:oddHBand="0" w:evenHBand="0" w:firstRowFirstColumn="0" w:firstRowLastColumn="0" w:lastRowFirstColumn="0" w:lastRowLastColumn="0"/>
              <w:rPr>
                <w:rFonts w:eastAsiaTheme="minorHAnsi" w:cstheme="minorBidi"/>
                <w:sz w:val="22"/>
                <w:szCs w:val="22"/>
                <w:lang w:eastAsia="en-US"/>
              </w:rPr>
            </w:pPr>
            <w:r w:rsidRPr="00883125">
              <w:rPr>
                <w:rStyle w:val="Strong"/>
              </w:rPr>
              <w:t>0.56</w:t>
            </w:r>
            <w:r w:rsidRPr="00883125">
              <w:t>, based primarily on the domestic ownership share of listed equity</w:t>
            </w:r>
          </w:p>
        </w:tc>
        <w:tc>
          <w:tcPr>
            <w:tcW w:w="1911" w:type="dxa"/>
          </w:tcPr>
          <w:p w:rsidR="00C52695" w:rsidRPr="00883125" w:rsidRDefault="00C52695" w:rsidP="008B1CA1">
            <w:pPr>
              <w:keepNext/>
              <w:numPr>
                <w:ilvl w:val="0"/>
                <w:numId w:val="24"/>
              </w:numPr>
              <w:cnfStyle w:val="000000000000" w:firstRow="0" w:lastRow="0" w:firstColumn="0" w:lastColumn="0" w:oddVBand="0" w:evenVBand="0" w:oddHBand="0" w:evenHBand="0" w:firstRowFirstColumn="0" w:firstRowLastColumn="0" w:lastRowFirstColumn="0" w:lastRowLastColumn="0"/>
              <w:rPr>
                <w:rStyle w:val="Strong"/>
                <w:rFonts w:eastAsiaTheme="minorHAnsi" w:cstheme="minorBidi"/>
                <w:sz w:val="22"/>
                <w:szCs w:val="22"/>
                <w:lang w:eastAsia="en-US"/>
              </w:rPr>
            </w:pPr>
            <w:r w:rsidRPr="00883125">
              <w:rPr>
                <w:rStyle w:val="Strong"/>
              </w:rPr>
              <w:t>0.47</w:t>
            </w:r>
          </w:p>
        </w:tc>
      </w:tr>
      <w:tr w:rsidR="00C52695" w:rsidTr="006425B8">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01" w:type="dxa"/>
          </w:tcPr>
          <w:p w:rsidR="00C52695" w:rsidRPr="00883125" w:rsidRDefault="00C52695" w:rsidP="008B1CA1">
            <w:pPr>
              <w:keepNext/>
              <w:numPr>
                <w:ilvl w:val="0"/>
                <w:numId w:val="24"/>
              </w:numPr>
              <w:rPr>
                <w:rFonts w:eastAsiaTheme="minorHAnsi" w:cstheme="minorBidi"/>
                <w:b/>
                <w:bCs/>
                <w:sz w:val="22"/>
                <w:szCs w:val="22"/>
                <w:lang w:eastAsia="en-US"/>
              </w:rPr>
            </w:pPr>
            <w:r w:rsidRPr="00883125">
              <w:t>ERA</w:t>
            </w:r>
            <w:r w:rsidRPr="00883125">
              <w:rPr>
                <w:rStyle w:val="FootnoteReference"/>
              </w:rPr>
              <w:footnoteReference w:id="269"/>
            </w:r>
            <w:r w:rsidRPr="00883125">
              <w:t xml:space="preserve">  </w:t>
            </w:r>
          </w:p>
        </w:tc>
        <w:tc>
          <w:tcPr>
            <w:tcW w:w="1842" w:type="dxa"/>
          </w:tcPr>
          <w:p w:rsidR="00C52695" w:rsidRPr="00883125" w:rsidRDefault="00C52695" w:rsidP="008B1CA1">
            <w:pPr>
              <w:keepNext/>
              <w:numPr>
                <w:ilvl w:val="0"/>
                <w:numId w:val="24"/>
              </w:numPr>
              <w:cnfStyle w:val="000000010000" w:firstRow="0" w:lastRow="0" w:firstColumn="0" w:lastColumn="0" w:oddVBand="0" w:evenVBand="0" w:oddHBand="0" w:evenHBand="1" w:firstRowFirstColumn="0" w:firstRowLastColumn="0" w:lastRowFirstColumn="0" w:lastRowLastColumn="0"/>
              <w:rPr>
                <w:rFonts w:eastAsiaTheme="minorHAnsi" w:cstheme="minorBidi"/>
                <w:sz w:val="22"/>
                <w:szCs w:val="22"/>
                <w:lang w:eastAsia="en-US"/>
              </w:rPr>
            </w:pPr>
            <w:r>
              <w:t>Proposed Revisions to the Access Arrangement for the Dampier to Bunbury National Gas Pipeline 2016-30, final decision</w:t>
            </w:r>
            <w:r w:rsidRPr="00883125">
              <w:t xml:space="preserve"> </w:t>
            </w:r>
          </w:p>
        </w:tc>
        <w:tc>
          <w:tcPr>
            <w:tcW w:w="709" w:type="dxa"/>
          </w:tcPr>
          <w:p w:rsidR="00C52695" w:rsidRPr="00883125" w:rsidRDefault="00C52695" w:rsidP="008B1CA1">
            <w:pPr>
              <w:keepNext/>
              <w:numPr>
                <w:ilvl w:val="0"/>
                <w:numId w:val="24"/>
              </w:numPr>
              <w:cnfStyle w:val="000000010000" w:firstRow="0" w:lastRow="0" w:firstColumn="0" w:lastColumn="0" w:oddVBand="0" w:evenVBand="0" w:oddHBand="0" w:evenHBand="1" w:firstRowFirstColumn="0" w:firstRowLastColumn="0" w:lastRowFirstColumn="0" w:lastRowLastColumn="0"/>
              <w:rPr>
                <w:rFonts w:eastAsiaTheme="minorHAnsi" w:cstheme="minorBidi"/>
                <w:sz w:val="22"/>
                <w:szCs w:val="22"/>
                <w:lang w:eastAsia="en-US"/>
              </w:rPr>
            </w:pPr>
            <w:r w:rsidRPr="00883125">
              <w:t>201</w:t>
            </w:r>
            <w:r>
              <w:t>6</w:t>
            </w:r>
          </w:p>
        </w:tc>
        <w:tc>
          <w:tcPr>
            <w:tcW w:w="1768" w:type="dxa"/>
          </w:tcPr>
          <w:p w:rsidR="00C52695" w:rsidRPr="00883125" w:rsidRDefault="00C52695" w:rsidP="008B1CA1">
            <w:pPr>
              <w:keepNext/>
              <w:numPr>
                <w:ilvl w:val="0"/>
                <w:numId w:val="24"/>
              </w:numPr>
              <w:cnfStyle w:val="000000010000" w:firstRow="0" w:lastRow="0" w:firstColumn="0" w:lastColumn="0" w:oddVBand="0" w:evenVBand="0" w:oddHBand="0" w:evenHBand="1" w:firstRowFirstColumn="0" w:firstRowLastColumn="0" w:lastRowFirstColumn="0" w:lastRowLastColumn="0"/>
              <w:rPr>
                <w:rFonts w:eastAsiaTheme="minorHAnsi" w:cstheme="minorBidi"/>
                <w:sz w:val="22"/>
                <w:szCs w:val="22"/>
                <w:lang w:eastAsia="en-US"/>
              </w:rPr>
            </w:pPr>
            <w:r w:rsidRPr="00883125">
              <w:rPr>
                <w:rStyle w:val="Strong"/>
              </w:rPr>
              <w:t>0.</w:t>
            </w:r>
            <w:r>
              <w:rPr>
                <w:rStyle w:val="Strong"/>
              </w:rPr>
              <w:t>7 to 0.8</w:t>
            </w:r>
          </w:p>
        </w:tc>
        <w:tc>
          <w:tcPr>
            <w:tcW w:w="1911" w:type="dxa"/>
          </w:tcPr>
          <w:p w:rsidR="00C52695" w:rsidRPr="00883125" w:rsidRDefault="00C52695" w:rsidP="008B1CA1">
            <w:pPr>
              <w:keepNext/>
              <w:numPr>
                <w:ilvl w:val="0"/>
                <w:numId w:val="24"/>
              </w:numPr>
              <w:cnfStyle w:val="000000010000" w:firstRow="0" w:lastRow="0" w:firstColumn="0" w:lastColumn="0" w:oddVBand="0" w:evenVBand="0" w:oddHBand="0" w:evenHBand="1" w:firstRowFirstColumn="0" w:firstRowLastColumn="0" w:lastRowFirstColumn="0" w:lastRowLastColumn="0"/>
              <w:rPr>
                <w:rFonts w:eastAsiaTheme="minorHAnsi" w:cstheme="minorBidi"/>
                <w:sz w:val="22"/>
                <w:szCs w:val="22"/>
                <w:lang w:eastAsia="en-US"/>
              </w:rPr>
            </w:pPr>
            <w:r w:rsidRPr="00883125">
              <w:rPr>
                <w:rStyle w:val="Strong"/>
              </w:rPr>
              <w:t>0.</w:t>
            </w:r>
            <w:r>
              <w:rPr>
                <w:rStyle w:val="Strong"/>
              </w:rPr>
              <w:t>35 to 0.69</w:t>
            </w:r>
            <w:r w:rsidRPr="00883125">
              <w:t>, most weight</w:t>
            </w:r>
            <w:r>
              <w:t xml:space="preserve"> placed on the equity ownership approach which supports a utilisation rate of 0.47 to 0.59 and gamma estimate of 0.38 to 0.41</w:t>
            </w:r>
          </w:p>
        </w:tc>
        <w:tc>
          <w:tcPr>
            <w:tcW w:w="1911" w:type="dxa"/>
          </w:tcPr>
          <w:p w:rsidR="00C52695" w:rsidRPr="00883125" w:rsidRDefault="00C52695" w:rsidP="008B1CA1">
            <w:pPr>
              <w:keepNext/>
              <w:numPr>
                <w:ilvl w:val="0"/>
                <w:numId w:val="24"/>
              </w:numPr>
              <w:cnfStyle w:val="000000010000" w:firstRow="0" w:lastRow="0" w:firstColumn="0" w:lastColumn="0" w:oddVBand="0" w:evenVBand="0" w:oddHBand="0" w:evenHBand="1" w:firstRowFirstColumn="0" w:firstRowLastColumn="0" w:lastRowFirstColumn="0" w:lastRowLastColumn="0"/>
              <w:rPr>
                <w:rFonts w:eastAsiaTheme="minorHAnsi" w:cstheme="minorBidi"/>
                <w:sz w:val="22"/>
                <w:szCs w:val="22"/>
                <w:lang w:eastAsia="en-US"/>
              </w:rPr>
            </w:pPr>
            <w:r w:rsidRPr="00883125">
              <w:rPr>
                <w:rStyle w:val="Strong"/>
              </w:rPr>
              <w:t>0.</w:t>
            </w:r>
            <w:r>
              <w:rPr>
                <w:rStyle w:val="Strong"/>
              </w:rPr>
              <w:t>4</w:t>
            </w:r>
          </w:p>
        </w:tc>
      </w:tr>
      <w:tr w:rsidR="00C52695" w:rsidTr="006425B8">
        <w:trPr>
          <w:cantSplit/>
        </w:trPr>
        <w:tc>
          <w:tcPr>
            <w:cnfStyle w:val="001000000000" w:firstRow="0" w:lastRow="0" w:firstColumn="1" w:lastColumn="0" w:oddVBand="0" w:evenVBand="0" w:oddHBand="0" w:evenHBand="0" w:firstRowFirstColumn="0" w:firstRowLastColumn="0" w:lastRowFirstColumn="0" w:lastRowLastColumn="0"/>
            <w:tcW w:w="1101" w:type="dxa"/>
          </w:tcPr>
          <w:p w:rsidR="00C52695" w:rsidRPr="00883125" w:rsidRDefault="00C52695" w:rsidP="008B1CA1">
            <w:pPr>
              <w:keepNext/>
              <w:numPr>
                <w:ilvl w:val="0"/>
                <w:numId w:val="24"/>
              </w:numPr>
              <w:rPr>
                <w:rFonts w:eastAsiaTheme="minorHAnsi" w:cstheme="minorBidi"/>
                <w:b/>
                <w:bCs/>
                <w:sz w:val="22"/>
                <w:szCs w:val="22"/>
                <w:lang w:eastAsia="en-US"/>
              </w:rPr>
            </w:pPr>
            <w:r w:rsidRPr="00883125">
              <w:t>ACCC</w:t>
            </w:r>
            <w:r w:rsidRPr="00883125">
              <w:rPr>
                <w:rStyle w:val="FootnoteReference"/>
              </w:rPr>
              <w:footnoteReference w:id="270"/>
            </w:r>
            <w:r w:rsidRPr="00883125">
              <w:t xml:space="preserve"> </w:t>
            </w:r>
          </w:p>
        </w:tc>
        <w:tc>
          <w:tcPr>
            <w:tcW w:w="1842" w:type="dxa"/>
          </w:tcPr>
          <w:p w:rsidR="00C52695" w:rsidRPr="00883125" w:rsidRDefault="00C52695" w:rsidP="008B1CA1">
            <w:pPr>
              <w:keepNext/>
              <w:numPr>
                <w:ilvl w:val="0"/>
                <w:numId w:val="24"/>
              </w:numPr>
              <w:cnfStyle w:val="000000000000" w:firstRow="0" w:lastRow="0" w:firstColumn="0" w:lastColumn="0" w:oddVBand="0" w:evenVBand="0" w:oddHBand="0" w:evenHBand="0" w:firstRowFirstColumn="0" w:firstRowLastColumn="0" w:lastRowFirstColumn="0" w:lastRowLastColumn="0"/>
              <w:rPr>
                <w:rFonts w:eastAsiaTheme="minorHAnsi" w:cstheme="minorBidi"/>
                <w:sz w:val="22"/>
                <w:szCs w:val="22"/>
                <w:lang w:eastAsia="en-US"/>
              </w:rPr>
            </w:pPr>
            <w:r>
              <w:t>Australian Postal Corporation 2015 Price Notification</w:t>
            </w:r>
          </w:p>
        </w:tc>
        <w:tc>
          <w:tcPr>
            <w:tcW w:w="709" w:type="dxa"/>
          </w:tcPr>
          <w:p w:rsidR="00C52695" w:rsidRPr="00883125" w:rsidRDefault="00C52695" w:rsidP="008B1CA1">
            <w:pPr>
              <w:keepNext/>
              <w:numPr>
                <w:ilvl w:val="0"/>
                <w:numId w:val="24"/>
              </w:numPr>
              <w:cnfStyle w:val="000000000000" w:firstRow="0" w:lastRow="0" w:firstColumn="0" w:lastColumn="0" w:oddVBand="0" w:evenVBand="0" w:oddHBand="0" w:evenHBand="0" w:firstRowFirstColumn="0" w:firstRowLastColumn="0" w:lastRowFirstColumn="0" w:lastRowLastColumn="0"/>
              <w:rPr>
                <w:rFonts w:eastAsiaTheme="minorHAnsi" w:cstheme="minorBidi"/>
                <w:sz w:val="22"/>
                <w:szCs w:val="22"/>
                <w:lang w:eastAsia="en-US"/>
              </w:rPr>
            </w:pPr>
            <w:r w:rsidRPr="00883125">
              <w:t>2015</w:t>
            </w:r>
          </w:p>
        </w:tc>
        <w:tc>
          <w:tcPr>
            <w:tcW w:w="1768" w:type="dxa"/>
          </w:tcPr>
          <w:p w:rsidR="00C52695" w:rsidRPr="00883125" w:rsidRDefault="00C52695" w:rsidP="008B1CA1">
            <w:pPr>
              <w:keepNext/>
              <w:numPr>
                <w:ilvl w:val="0"/>
                <w:numId w:val="24"/>
              </w:numPr>
              <w:cnfStyle w:val="000000000000" w:firstRow="0" w:lastRow="0" w:firstColumn="0" w:lastColumn="0" w:oddVBand="0" w:evenVBand="0" w:oddHBand="0" w:evenHBand="0" w:firstRowFirstColumn="0" w:firstRowLastColumn="0" w:lastRowFirstColumn="0" w:lastRowLastColumn="0"/>
              <w:rPr>
                <w:rFonts w:eastAsiaTheme="minorHAnsi" w:cstheme="minorBidi"/>
                <w:sz w:val="22"/>
                <w:szCs w:val="22"/>
                <w:lang w:eastAsia="en-US"/>
              </w:rPr>
            </w:pPr>
            <w:r w:rsidRPr="00883125">
              <w:t>N/A</w:t>
            </w:r>
          </w:p>
        </w:tc>
        <w:tc>
          <w:tcPr>
            <w:tcW w:w="1911" w:type="dxa"/>
          </w:tcPr>
          <w:p w:rsidR="00C52695" w:rsidRPr="00883125" w:rsidRDefault="00C52695" w:rsidP="008B1CA1">
            <w:pPr>
              <w:keepNext/>
              <w:numPr>
                <w:ilvl w:val="0"/>
                <w:numId w:val="24"/>
              </w:numPr>
              <w:cnfStyle w:val="000000000000" w:firstRow="0" w:lastRow="0" w:firstColumn="0" w:lastColumn="0" w:oddVBand="0" w:evenVBand="0" w:oddHBand="0" w:evenHBand="0" w:firstRowFirstColumn="0" w:firstRowLastColumn="0" w:lastRowFirstColumn="0" w:lastRowLastColumn="0"/>
              <w:rPr>
                <w:rFonts w:eastAsiaTheme="minorHAnsi" w:cstheme="minorBidi"/>
                <w:sz w:val="22"/>
                <w:szCs w:val="22"/>
                <w:lang w:eastAsia="en-US"/>
              </w:rPr>
            </w:pPr>
            <w:r w:rsidRPr="00883125">
              <w:t>N/A</w:t>
            </w:r>
          </w:p>
        </w:tc>
        <w:tc>
          <w:tcPr>
            <w:tcW w:w="1911" w:type="dxa"/>
          </w:tcPr>
          <w:p w:rsidR="00C52695" w:rsidRPr="00883125" w:rsidRDefault="00C52695" w:rsidP="008B1CA1">
            <w:pPr>
              <w:keepNext/>
              <w:numPr>
                <w:ilvl w:val="0"/>
                <w:numId w:val="24"/>
              </w:numPr>
              <w:cnfStyle w:val="000000000000" w:firstRow="0" w:lastRow="0" w:firstColumn="0" w:lastColumn="0" w:oddVBand="0" w:evenVBand="0" w:oddHBand="0" w:evenHBand="0" w:firstRowFirstColumn="0" w:firstRowLastColumn="0" w:lastRowFirstColumn="0" w:lastRowLastColumn="0"/>
              <w:rPr>
                <w:rFonts w:eastAsiaTheme="minorHAnsi" w:cstheme="minorBidi"/>
                <w:sz w:val="22"/>
                <w:szCs w:val="22"/>
                <w:lang w:eastAsia="en-US"/>
              </w:rPr>
            </w:pPr>
            <w:r w:rsidRPr="00883125">
              <w:rPr>
                <w:rStyle w:val="Strong"/>
              </w:rPr>
              <w:t>0.4</w:t>
            </w:r>
            <w:r w:rsidRPr="00883125">
              <w:t>, set for consistency with previous ACCC</w:t>
            </w:r>
            <w:r>
              <w:t xml:space="preserve"> and AER </w:t>
            </w:r>
            <w:r w:rsidRPr="00883125">
              <w:t>decisions</w:t>
            </w:r>
          </w:p>
        </w:tc>
      </w:tr>
    </w:tbl>
    <w:p w:rsidR="00C52695" w:rsidRPr="00883125" w:rsidRDefault="00C52695" w:rsidP="008B1CA1">
      <w:pPr>
        <w:pStyle w:val="AERtablesource"/>
        <w:keepNext/>
      </w:pPr>
      <w:r w:rsidRPr="00883125">
        <w:t>Source:</w:t>
      </w:r>
      <w:r w:rsidRPr="00883125">
        <w:tab/>
        <w:t>As specified in table.</w:t>
      </w:r>
    </w:p>
    <w:p w:rsidR="00C52695" w:rsidRPr="00883125" w:rsidRDefault="00C52695" w:rsidP="00C52695">
      <w:r w:rsidRPr="00883125">
        <w:t xml:space="preserve">Conceptually, the value of imputation credits must be between 0 and 1. The range of values adopted by Australian regulators is from 0.25 to 0.5. This range is narrower than the range of estimates recommended by experts (from 0.25 to 0.84), but it is still quite wide. This highlights the lack of consensus among regulators on the value of imputation credits. Given the lack of consensus among experts, this is perhaps not surprising. Our </w:t>
      </w:r>
      <w:r w:rsidR="00D577C3">
        <w:t xml:space="preserve">draft </w:t>
      </w:r>
      <w:r w:rsidRPr="00883125">
        <w:t>decision value of imputation credits of 0.4 sits within the range adopted by regulators.</w:t>
      </w:r>
    </w:p>
    <w:p w:rsidR="00C52695" w:rsidRPr="00883125" w:rsidRDefault="00C52695" w:rsidP="00C52695">
      <w:pPr>
        <w:pStyle w:val="Heading8"/>
      </w:pPr>
      <w:bookmarkStart w:id="161" w:name="_Toc436049444"/>
      <w:bookmarkStart w:id="162" w:name="_Toc451842248"/>
      <w:bookmarkStart w:id="163" w:name="_Toc451938304"/>
      <w:bookmarkStart w:id="164" w:name="_Toc456614292"/>
      <w:bookmarkStart w:id="165" w:name="_Toc462823310"/>
      <w:bookmarkStart w:id="166" w:name="_Toc487014058"/>
      <w:r w:rsidRPr="00883125">
        <w:t>Previous Australian Competition Tribunal considerations</w:t>
      </w:r>
      <w:bookmarkEnd w:id="161"/>
      <w:bookmarkEnd w:id="162"/>
      <w:bookmarkEnd w:id="163"/>
      <w:bookmarkEnd w:id="164"/>
      <w:bookmarkEnd w:id="165"/>
      <w:bookmarkEnd w:id="166"/>
    </w:p>
    <w:p w:rsidR="00C52695" w:rsidRPr="00883125" w:rsidRDefault="00C52695" w:rsidP="00C52695">
      <w:pPr>
        <w:numPr>
          <w:ilvl w:val="0"/>
          <w:numId w:val="24"/>
        </w:numPr>
      </w:pPr>
      <w:r w:rsidRPr="00883125">
        <w:t xml:space="preserve">The Australian Competition Tribunal has considered in detail the value of imputation credits (gamma) in </w:t>
      </w:r>
      <w:r w:rsidR="006425B8">
        <w:t>five</w:t>
      </w:r>
      <w:r w:rsidR="006425B8" w:rsidRPr="00883125">
        <w:t xml:space="preserve"> </w:t>
      </w:r>
      <w:r w:rsidRPr="00883125">
        <w:t>proceedings since 2010, relating to applications by:</w:t>
      </w:r>
    </w:p>
    <w:p w:rsidR="006425B8" w:rsidRDefault="00F7230D" w:rsidP="006425B8">
      <w:pPr>
        <w:pStyle w:val="AERbulletlistfirststyle"/>
      </w:pPr>
      <w:r>
        <w:t>SA Power Networks</w:t>
      </w:r>
    </w:p>
    <w:p w:rsidR="00C52695" w:rsidRPr="00F7230D" w:rsidRDefault="00C52695" w:rsidP="006425B8">
      <w:pPr>
        <w:pStyle w:val="AERbulletlistfirststyle"/>
        <w:rPr>
          <w:rStyle w:val="CommentReference"/>
          <w:sz w:val="22"/>
          <w:szCs w:val="22"/>
        </w:rPr>
      </w:pPr>
      <w:r w:rsidRPr="002614DB">
        <w:t xml:space="preserve">ActewAGL Distribution, Ausgrid, Endeavour Energy, Essential Energy and Jemena Gas </w:t>
      </w:r>
      <w:r w:rsidRPr="006425B8">
        <w:t>Networks</w:t>
      </w:r>
      <w:r w:rsidRPr="00C52695" w:rsidDel="00C2259D">
        <w:rPr>
          <w:rStyle w:val="CommentReference"/>
        </w:rPr>
        <w:t xml:space="preserve"> </w:t>
      </w:r>
    </w:p>
    <w:p w:rsidR="00C52695" w:rsidRPr="00883125" w:rsidRDefault="00C52695" w:rsidP="00C52695">
      <w:pPr>
        <w:pStyle w:val="AERbulletlistfirststyle"/>
      </w:pPr>
      <w:r w:rsidRPr="00883125">
        <w:t>Energex Limited</w:t>
      </w:r>
    </w:p>
    <w:p w:rsidR="00C52695" w:rsidRPr="00883125" w:rsidRDefault="00C52695" w:rsidP="00C52695">
      <w:pPr>
        <w:pStyle w:val="AERbulletlistfirststyle"/>
      </w:pPr>
      <w:r w:rsidRPr="00883125">
        <w:t>DBNGP (WA) Transmission Pty Ltd, and</w:t>
      </w:r>
    </w:p>
    <w:p w:rsidR="00C52695" w:rsidRPr="00883125" w:rsidRDefault="00C52695" w:rsidP="00C52695">
      <w:pPr>
        <w:pStyle w:val="AERbulletlistfirststyle"/>
      </w:pPr>
      <w:r w:rsidRPr="00883125">
        <w:t>WA Gas Networks Pty Ltd.</w:t>
      </w:r>
    </w:p>
    <w:p w:rsidR="00C52695" w:rsidRDefault="00C52695" w:rsidP="00C52695">
      <w:pPr>
        <w:numPr>
          <w:ilvl w:val="0"/>
          <w:numId w:val="24"/>
        </w:numPr>
      </w:pPr>
      <w:r w:rsidRPr="00883125">
        <w:t>The Tribunal's comments in each case referred to the lack of expert consensus regarding the value of imputation credits and the scope that existed for future assessments of the evidence. We discuss these comments further in the sections below.</w:t>
      </w:r>
    </w:p>
    <w:p w:rsidR="00F7230D" w:rsidRPr="00883125" w:rsidRDefault="00F7230D" w:rsidP="00F7230D">
      <w:pPr>
        <w:pStyle w:val="Heading9"/>
      </w:pPr>
      <w:bookmarkStart w:id="167" w:name="_Toc487014059"/>
      <w:r>
        <w:t>SA Power Networks</w:t>
      </w:r>
      <w:bookmarkEnd w:id="167"/>
    </w:p>
    <w:p w:rsidR="00893A37" w:rsidRDefault="00EE4781" w:rsidP="004B237A">
      <w:r w:rsidRPr="00883125">
        <w:t xml:space="preserve">In </w:t>
      </w:r>
      <w:r>
        <w:t>October</w:t>
      </w:r>
      <w:r w:rsidRPr="00883125">
        <w:t xml:space="preserve"> 2015 we released our final decisions for </w:t>
      </w:r>
      <w:r>
        <w:t>SA Power Networks</w:t>
      </w:r>
      <w:r w:rsidR="006B645D">
        <w:t xml:space="preserve">, where </w:t>
      </w:r>
      <w:r w:rsidRPr="00883125">
        <w:t>we adopted a gamma estimate of 0.4.</w:t>
      </w:r>
      <w:r w:rsidR="006B645D">
        <w:t xml:space="preserve"> The </w:t>
      </w:r>
      <w:r w:rsidR="00096A14">
        <w:t xml:space="preserve">SAPN </w:t>
      </w:r>
      <w:r w:rsidR="006B645D">
        <w:t>Tribunal upheld the AER's decision</w:t>
      </w:r>
      <w:r w:rsidR="00EC7124">
        <w:t>.</w:t>
      </w:r>
      <w:r w:rsidR="006B645D">
        <w:t xml:space="preserve"> </w:t>
      </w:r>
      <w:r w:rsidR="001E0C22" w:rsidRPr="008F5D24">
        <w:t xml:space="preserve">In reaching its position, the </w:t>
      </w:r>
      <w:r w:rsidR="00096A14">
        <w:t xml:space="preserve">SAPN </w:t>
      </w:r>
      <w:r w:rsidR="001E0C22" w:rsidRPr="008F5D24">
        <w:t xml:space="preserve">Tribunal expressed views on the important factors in its decision. The </w:t>
      </w:r>
      <w:r w:rsidR="00096A14">
        <w:t xml:space="preserve">SAPN </w:t>
      </w:r>
      <w:r w:rsidR="001E0C22" w:rsidRPr="008F5D24">
        <w:t>Tribunal</w:t>
      </w:r>
      <w:r w:rsidR="00913303">
        <w:t>'</w:t>
      </w:r>
      <w:r w:rsidR="001E0C22" w:rsidRPr="008F5D24">
        <w:t xml:space="preserve">s views </w:t>
      </w:r>
      <w:r w:rsidR="009528C0">
        <w:t>are</w:t>
      </w:r>
      <w:r w:rsidR="001E0C22" w:rsidRPr="008F5D24">
        <w:t xml:space="preserve"> summarised in </w:t>
      </w:r>
      <w:r w:rsidR="001E0C22" w:rsidRPr="001E0C22">
        <w:fldChar w:fldCharType="begin"/>
      </w:r>
      <w:r w:rsidR="001E0C22" w:rsidRPr="001E0C22">
        <w:instrText xml:space="preserve"> REF  _Ref450040370 \* Lower \h  \* MERGEFORMAT </w:instrText>
      </w:r>
      <w:r w:rsidR="001E0C22" w:rsidRPr="001E0C22">
        <w:fldChar w:fldCharType="separate"/>
      </w:r>
      <w:r w:rsidR="007E3457" w:rsidRPr="005764F6">
        <w:t xml:space="preserve">table </w:t>
      </w:r>
      <w:r w:rsidR="007E3457">
        <w:t>4</w:t>
      </w:r>
      <w:r w:rsidR="007E3457" w:rsidRPr="005764F6">
        <w:noBreakHyphen/>
      </w:r>
      <w:r w:rsidR="007E3457">
        <w:t>9</w:t>
      </w:r>
      <w:r w:rsidR="001E0C22" w:rsidRPr="001E0C22">
        <w:fldChar w:fldCharType="end"/>
      </w:r>
      <w:r w:rsidR="00AB2A83">
        <w:t xml:space="preserve"> below.</w:t>
      </w:r>
    </w:p>
    <w:p w:rsidR="00893A37" w:rsidRPr="00883125" w:rsidRDefault="00893A37" w:rsidP="00BB71EE"/>
    <w:p w:rsidR="00BB71EE" w:rsidRPr="00883125" w:rsidRDefault="00BB71EE" w:rsidP="00BB71EE">
      <w:pPr>
        <w:sectPr w:rsidR="00BB71EE" w:rsidRPr="00883125" w:rsidSect="006425B8">
          <w:footerReference w:type="even" r:id="rId14"/>
          <w:footerReference w:type="default" r:id="rId15"/>
          <w:pgSz w:w="11906" w:h="16838"/>
          <w:pgMar w:top="1440" w:right="1440" w:bottom="1440" w:left="1440" w:header="708" w:footer="708" w:gutter="0"/>
          <w:pgNumType w:chapStyle="1"/>
          <w:cols w:space="708"/>
          <w:docGrid w:linePitch="360"/>
        </w:sectPr>
      </w:pPr>
    </w:p>
    <w:p w:rsidR="00E05498" w:rsidRPr="005764F6" w:rsidRDefault="00E05498" w:rsidP="00E05498">
      <w:pPr>
        <w:pStyle w:val="Tabletitle"/>
      </w:pPr>
      <w:bookmarkStart w:id="168" w:name="_Ref478471962"/>
      <w:r w:rsidRPr="005764F6">
        <w:t xml:space="preserve">Table </w:t>
      </w:r>
      <w:r w:rsidRPr="00CA67C0">
        <w:fldChar w:fldCharType="begin"/>
      </w:r>
      <w:r>
        <w:instrText xml:space="preserve"> STYLEREF 1 \s </w:instrText>
      </w:r>
      <w:r w:rsidRPr="00CA67C0">
        <w:fldChar w:fldCharType="separate"/>
      </w:r>
      <w:r w:rsidR="007E3457">
        <w:rPr>
          <w:noProof/>
        </w:rPr>
        <w:t>4</w:t>
      </w:r>
      <w:r w:rsidRPr="00CA67C0">
        <w:fldChar w:fldCharType="end"/>
      </w:r>
      <w:r w:rsidRPr="005764F6">
        <w:noBreakHyphen/>
      </w:r>
      <w:r w:rsidRPr="00CA67C0">
        <w:fldChar w:fldCharType="begin"/>
      </w:r>
      <w:r>
        <w:instrText xml:space="preserve"> SEQ Table \* ARABIC \s 1 </w:instrText>
      </w:r>
      <w:r w:rsidRPr="00CA67C0">
        <w:fldChar w:fldCharType="separate"/>
      </w:r>
      <w:r w:rsidR="007E3457">
        <w:rPr>
          <w:noProof/>
        </w:rPr>
        <w:t>8</w:t>
      </w:r>
      <w:r w:rsidRPr="00CA67C0">
        <w:fldChar w:fldCharType="end"/>
      </w:r>
      <w:bookmarkEnd w:id="168"/>
      <w:r w:rsidRPr="005764F6">
        <w:tab/>
        <w:t xml:space="preserve">Australian Competition Tribunal's observations on imputation credits in </w:t>
      </w:r>
      <w:r>
        <w:t xml:space="preserve">SA Power Networks </w:t>
      </w:r>
      <w:r w:rsidRPr="005764F6">
        <w:t>matter</w:t>
      </w:r>
    </w:p>
    <w:tbl>
      <w:tblPr>
        <w:tblStyle w:val="AERtable-text0"/>
        <w:tblW w:w="5000" w:type="pct"/>
        <w:tblLook w:val="04A0" w:firstRow="1" w:lastRow="0" w:firstColumn="1" w:lastColumn="0" w:noHBand="0" w:noVBand="1"/>
      </w:tblPr>
      <w:tblGrid>
        <w:gridCol w:w="2205"/>
        <w:gridCol w:w="11969"/>
      </w:tblGrid>
      <w:tr w:rsidR="0055269A" w:rsidTr="00E750F8">
        <w:trPr>
          <w:cnfStyle w:val="100000000000" w:firstRow="1" w:lastRow="0" w:firstColumn="0" w:lastColumn="0" w:oddVBand="0" w:evenVBand="0" w:oddHBand="0" w:evenHBand="0" w:firstRowFirstColumn="0" w:firstRowLastColumn="0" w:lastRowFirstColumn="0" w:lastRowLastColumn="0"/>
          <w:tblHeader/>
        </w:trPr>
        <w:tc>
          <w:tcPr>
            <w:tcW w:w="778" w:type="pct"/>
          </w:tcPr>
          <w:p w:rsidR="0055269A" w:rsidRPr="00E05498" w:rsidRDefault="0055269A" w:rsidP="00E05498">
            <w:r w:rsidRPr="00883125">
              <w:t>Issue</w:t>
            </w:r>
          </w:p>
        </w:tc>
        <w:tc>
          <w:tcPr>
            <w:tcW w:w="4222" w:type="pct"/>
          </w:tcPr>
          <w:p w:rsidR="0055269A" w:rsidRPr="00E05498" w:rsidRDefault="0055269A" w:rsidP="00E05498">
            <w:r w:rsidRPr="00883125">
              <w:t>Tribunal comments</w:t>
            </w:r>
          </w:p>
        </w:tc>
      </w:tr>
      <w:tr w:rsidR="0055269A" w:rsidTr="00E750F8">
        <w:tc>
          <w:tcPr>
            <w:tcW w:w="778" w:type="pct"/>
          </w:tcPr>
          <w:p w:rsidR="0055269A" w:rsidRPr="00883125" w:rsidRDefault="0055269A" w:rsidP="00E05498">
            <w:r>
              <w:t>Transaction costs</w:t>
            </w:r>
          </w:p>
        </w:tc>
        <w:tc>
          <w:tcPr>
            <w:tcW w:w="4222" w:type="pct"/>
          </w:tcPr>
          <w:p w:rsidR="0055269A" w:rsidRPr="006C6D7F" w:rsidRDefault="005A64FC" w:rsidP="006C6D7F">
            <w:r>
              <w:t>T</w:t>
            </w:r>
            <w:r w:rsidR="0055269A" w:rsidRPr="006C6D7F">
              <w:t>ime value of money</w:t>
            </w:r>
            <w:r>
              <w:t>:</w:t>
            </w:r>
            <w:r w:rsidR="0055269A" w:rsidRPr="006C6D7F">
              <w:t xml:space="preserve"> the Tribunal considered that it might hold for some investors, but would appear to imply logically that such investors will also discount the tax costs associated with any taxes yet to be paid on dividends.</w:t>
            </w:r>
            <w:r w:rsidR="0055269A" w:rsidRPr="006C6D7F">
              <w:rPr>
                <w:rStyle w:val="FootnoteReference"/>
              </w:rPr>
              <w:footnoteReference w:id="271"/>
            </w:r>
            <w:r w:rsidR="0055269A" w:rsidRPr="006C6D7F">
              <w:t xml:space="preserve"> In any case, the Tribunal considered that the relatively short time lags and the current low discount rates would suggest the time value of money effect is likely to be small.</w:t>
            </w:r>
            <w:r w:rsidR="0055269A" w:rsidRPr="006C6D7F">
              <w:rPr>
                <w:rStyle w:val="FootnoteReference"/>
              </w:rPr>
              <w:t xml:space="preserve"> </w:t>
            </w:r>
            <w:r w:rsidR="0055269A" w:rsidRPr="006C6D7F">
              <w:rPr>
                <w:rStyle w:val="FootnoteReference"/>
              </w:rPr>
              <w:footnoteReference w:id="272"/>
            </w:r>
            <w:r w:rsidR="0055269A" w:rsidRPr="006C6D7F">
              <w:t xml:space="preserve"> </w:t>
            </w:r>
          </w:p>
          <w:p w:rsidR="0055269A" w:rsidRPr="006C6D7F" w:rsidRDefault="005A64FC" w:rsidP="006C6D7F">
            <w:r>
              <w:t xml:space="preserve">45 day rule: </w:t>
            </w:r>
            <w:r w:rsidR="0055269A" w:rsidRPr="006C6D7F">
              <w:t>the Tribunal considered that the evidence presented to it about the reliability of tax statistics suggested the materiality of this point is hard to judge</w:t>
            </w:r>
            <w:r w:rsidR="009528C0">
              <w:t>.</w:t>
            </w:r>
            <w:r w:rsidR="0055269A" w:rsidRPr="006C6D7F">
              <w:rPr>
                <w:rStyle w:val="FootnoteReference"/>
              </w:rPr>
              <w:t xml:space="preserve"> </w:t>
            </w:r>
            <w:r w:rsidR="0055269A" w:rsidRPr="006C6D7F">
              <w:rPr>
                <w:rStyle w:val="FootnoteReference"/>
              </w:rPr>
              <w:footnoteReference w:id="273"/>
            </w:r>
            <w:r w:rsidR="0055269A" w:rsidRPr="006C6D7F">
              <w:t xml:space="preserve"> </w:t>
            </w:r>
          </w:p>
          <w:p w:rsidR="0055269A" w:rsidRPr="007B43C4" w:rsidRDefault="005A64FC" w:rsidP="007B43C4">
            <w:r>
              <w:t>P</w:t>
            </w:r>
            <w:r w:rsidR="0055269A" w:rsidRPr="007B43C4">
              <w:t>ortfolio effects</w:t>
            </w:r>
            <w:r>
              <w:t>:</w:t>
            </w:r>
            <w:r w:rsidR="0055269A" w:rsidRPr="007B43C4">
              <w:t xml:space="preserve"> the Tribunal considered that there is a well-documented “home-bias” in investor portfolios (found internationally generally regardless of tax systems), implying incomplete diversification benefits, the extent to which this is an additional factor of significant materiality is unclear.</w:t>
            </w:r>
            <w:r w:rsidR="0055269A" w:rsidRPr="007B43C4">
              <w:rPr>
                <w:rStyle w:val="FootnoteReference"/>
              </w:rPr>
              <w:footnoteReference w:id="274"/>
            </w:r>
          </w:p>
          <w:p w:rsidR="0055269A" w:rsidRPr="00E05498" w:rsidRDefault="005A64FC" w:rsidP="005A64FC">
            <w:r>
              <w:t>P</w:t>
            </w:r>
            <w:r w:rsidR="0055269A" w:rsidRPr="00ED4EF3">
              <w:t>ersonal costs</w:t>
            </w:r>
            <w:r>
              <w:t>:</w:t>
            </w:r>
            <w:r w:rsidR="0055269A" w:rsidRPr="00ED4EF3">
              <w:t xml:space="preserve"> the Tribunal </w:t>
            </w:r>
            <w:r w:rsidR="0055269A" w:rsidRPr="00424391">
              <w:t>is of the view that while some investors do experience investor level (personal) costs in dealing in equities, these can vary substa</w:t>
            </w:r>
            <w:r w:rsidR="0055269A">
              <w:t>ntially across investor groups.</w:t>
            </w:r>
            <w:r w:rsidR="0055269A" w:rsidRPr="00424391">
              <w:t xml:space="preserve"> It is thus not clear what effect such costs will have on equity market prices or on the need to adjust estimates for implied values of franking credits drawn from shareholder distribution or tax statistics.</w:t>
            </w:r>
            <w:r w:rsidR="0055269A" w:rsidRPr="007B43C4">
              <w:rPr>
                <w:rStyle w:val="FootnoteReference"/>
              </w:rPr>
              <w:footnoteReference w:id="275"/>
            </w:r>
          </w:p>
        </w:tc>
      </w:tr>
      <w:tr w:rsidR="0055269A" w:rsidTr="00E750F8">
        <w:trPr>
          <w:cnfStyle w:val="000000010000" w:firstRow="0" w:lastRow="0" w:firstColumn="0" w:lastColumn="0" w:oddVBand="0" w:evenVBand="0" w:oddHBand="0" w:evenHBand="1" w:firstRowFirstColumn="0" w:firstRowLastColumn="0" w:lastRowFirstColumn="0" w:lastRowLastColumn="0"/>
        </w:trPr>
        <w:tc>
          <w:tcPr>
            <w:tcW w:w="778" w:type="pct"/>
          </w:tcPr>
          <w:p w:rsidR="0055269A" w:rsidRPr="00E05498" w:rsidRDefault="0055269A" w:rsidP="00E05498">
            <w:r w:rsidRPr="00883125">
              <w:t>Equity ownership approach</w:t>
            </w:r>
          </w:p>
        </w:tc>
        <w:tc>
          <w:tcPr>
            <w:tcW w:w="4222" w:type="pct"/>
          </w:tcPr>
          <w:p w:rsidR="0055269A" w:rsidRPr="001F50E5" w:rsidRDefault="0055269A" w:rsidP="001F50E5">
            <w:r w:rsidRPr="007A336C">
              <w:t>The</w:t>
            </w:r>
            <w:r w:rsidRPr="001F50E5">
              <w:t xml:space="preserve"> equity ownership approach does not produce an upper bound if it is believed that stock prices are determined by some marginal investor.</w:t>
            </w:r>
            <w:r w:rsidRPr="001F50E5">
              <w:rPr>
                <w:rStyle w:val="FootnoteReference"/>
              </w:rPr>
              <w:footnoteReference w:id="276"/>
            </w:r>
            <w:r w:rsidRPr="001F50E5">
              <w:t xml:space="preserve"> Even if the average investor perspective is taken, there may be other relevant factors, not adequately captured in theoretical models, which preclude an interpretation as an upper bound.</w:t>
            </w:r>
            <w:r w:rsidRPr="001F50E5">
              <w:rPr>
                <w:rStyle w:val="FootnoteReference"/>
              </w:rPr>
              <w:footnoteReference w:id="277"/>
            </w:r>
          </w:p>
          <w:p w:rsidR="0055269A" w:rsidRPr="001F50E5" w:rsidRDefault="0055269A" w:rsidP="001F50E5">
            <w:r w:rsidRPr="007A336C">
              <w:t xml:space="preserve">While the </w:t>
            </w:r>
            <w:r w:rsidRPr="001F50E5">
              <w:t xml:space="preserve">Tribunal recognises the need for analysis of historical data to reduce uncertainty surrounding current figures, it would expect that sound reasons would be provided for using figures significantly different from the current value given that </w:t>
            </w:r>
            <w:r w:rsidR="00E119AC">
              <w:t>current value</w:t>
            </w:r>
            <w:r w:rsidRPr="001F50E5">
              <w:t xml:space="preserve"> is c</w:t>
            </w:r>
            <w:r>
              <w:t>lose to the historical average</w:t>
            </w:r>
            <w:r w:rsidRPr="001F50E5">
              <w:t>.</w:t>
            </w:r>
            <w:r w:rsidRPr="001F50E5">
              <w:rPr>
                <w:rStyle w:val="FootnoteReference"/>
              </w:rPr>
              <w:footnoteReference w:id="278"/>
            </w:r>
          </w:p>
          <w:p w:rsidR="0055269A" w:rsidRPr="00E05498" w:rsidRDefault="0055269A" w:rsidP="00942BBE">
            <w:r w:rsidRPr="006D64E7">
              <w:t xml:space="preserve">The Tribunal </w:t>
            </w:r>
            <w:r w:rsidRPr="00942BBE">
              <w:t>does not find that the AER erred or that its decision was unreasonable in considering historical data on domestic equity ownership shares for both listed and all companies.</w:t>
            </w:r>
            <w:r w:rsidRPr="00942BBE">
              <w:rPr>
                <w:rStyle w:val="FootnoteReference"/>
              </w:rPr>
              <w:footnoteReference w:id="279"/>
            </w:r>
          </w:p>
        </w:tc>
      </w:tr>
      <w:tr w:rsidR="0055269A" w:rsidRPr="00B45BDD" w:rsidTr="00E750F8">
        <w:tc>
          <w:tcPr>
            <w:tcW w:w="778" w:type="pct"/>
          </w:tcPr>
          <w:p w:rsidR="0055269A" w:rsidRPr="00E05498" w:rsidRDefault="0055269A" w:rsidP="00E05498">
            <w:r w:rsidRPr="00883125">
              <w:t>Tax statistic estimates</w:t>
            </w:r>
          </w:p>
        </w:tc>
        <w:tc>
          <w:tcPr>
            <w:tcW w:w="4222" w:type="pct"/>
          </w:tcPr>
          <w:p w:rsidR="0055269A" w:rsidRPr="0088743A" w:rsidRDefault="0055269A" w:rsidP="0088743A">
            <w:r w:rsidRPr="00FF0F25">
              <w:t>T</w:t>
            </w:r>
            <w:r w:rsidRPr="0088743A">
              <w:t>he Tribunal considered that if a marginal price-setting investor perspective is taken, the average utilisation rate implies nothing about va</w:t>
            </w:r>
            <w:r>
              <w:t>luation by a marginal investor.</w:t>
            </w:r>
            <w:r w:rsidR="00E119AC">
              <w:t xml:space="preserve"> However, i</w:t>
            </w:r>
            <w:r w:rsidRPr="0088743A">
              <w:t xml:space="preserve">f an average investor perspective is taken, </w:t>
            </w:r>
            <w:r w:rsidR="00E119AC" w:rsidRPr="0088743A">
              <w:t>the redemption rate figure from tax statistics is not an upper bound for the utilisation rate, but rather a noisy estimate.</w:t>
            </w:r>
            <w:r w:rsidR="00E119AC" w:rsidRPr="00E119AC">
              <w:rPr>
                <w:rStyle w:val="FootnoteReference"/>
              </w:rPr>
              <w:footnoteReference w:id="280"/>
            </w:r>
          </w:p>
          <w:p w:rsidR="0055269A" w:rsidRPr="00E05498" w:rsidRDefault="0055269A" w:rsidP="00112F3A">
            <w:r w:rsidRPr="00C96FA2">
              <w:t>In regards to whether redemption rates reflect the value of imputation credits to investors, the Tribunal has noted that experts are dividend on the issue and had found no reason to accept that the interpretation by the AER is incorrect.</w:t>
            </w:r>
            <w:r w:rsidRPr="0088743A">
              <w:rPr>
                <w:rStyle w:val="FootnoteReference"/>
              </w:rPr>
              <w:footnoteReference w:id="281"/>
            </w:r>
          </w:p>
        </w:tc>
      </w:tr>
      <w:tr w:rsidR="0055269A" w:rsidRPr="00B45BDD" w:rsidTr="00E750F8">
        <w:trPr>
          <w:cnfStyle w:val="000000010000" w:firstRow="0" w:lastRow="0" w:firstColumn="0" w:lastColumn="0" w:oddVBand="0" w:evenVBand="0" w:oddHBand="0" w:evenHBand="1" w:firstRowFirstColumn="0" w:firstRowLastColumn="0" w:lastRowFirstColumn="0" w:lastRowLastColumn="0"/>
        </w:trPr>
        <w:tc>
          <w:tcPr>
            <w:tcW w:w="778" w:type="pct"/>
          </w:tcPr>
          <w:p w:rsidR="0055269A" w:rsidRPr="00E05498" w:rsidRDefault="0055269A" w:rsidP="00E05498">
            <w:r w:rsidRPr="00883125">
              <w:t>The conceptual basis for dividend drop off studies</w:t>
            </w:r>
          </w:p>
        </w:tc>
        <w:tc>
          <w:tcPr>
            <w:tcW w:w="4222" w:type="pct"/>
          </w:tcPr>
          <w:p w:rsidR="0055269A" w:rsidRDefault="0055269A" w:rsidP="00246DAF">
            <w:pPr>
              <w:rPr>
                <w:highlight w:val="cyan"/>
              </w:rPr>
            </w:pPr>
            <w:r w:rsidRPr="00C96FA2">
              <w:t>The Tribunal is of the view that while dividend drop-off studies may convey some information about tax parameters and valuation of their consequences for the set(s) of investors determining stock prices around the ex-div date, there are too many other confounding factors to place sole, or even, major weight on such studies for the estimation of the value of franking credits in the context of the PTRM</w:t>
            </w:r>
            <w:r>
              <w:t>.</w:t>
            </w:r>
            <w:r w:rsidRPr="0088743A">
              <w:rPr>
                <w:rStyle w:val="FootnoteReference"/>
              </w:rPr>
              <w:footnoteReference w:id="282"/>
            </w:r>
          </w:p>
          <w:p w:rsidR="0055269A" w:rsidRPr="00D65957" w:rsidRDefault="0055269A" w:rsidP="00D65957">
            <w:r w:rsidRPr="00122670">
              <w:t xml:space="preserve">However, </w:t>
            </w:r>
            <w:r w:rsidRPr="00D65957">
              <w:t>the fundamental issue is whether valid tax related valuation parameters can be reliably inferred f</w:t>
            </w:r>
            <w:r w:rsidR="004B0B95">
              <w:t xml:space="preserve">rom such statistical results. </w:t>
            </w:r>
            <w:r w:rsidRPr="00D65957">
              <w:t>Because of the weight of expert evidence questioning that such inferences can be reliably drawn, and the AER reliance on that evidence in forming a judgement, the Tribunal does not believe it needs to address those other crit</w:t>
            </w:r>
            <w:r w:rsidR="004B0B95">
              <w:t xml:space="preserve">icisms. </w:t>
            </w:r>
            <w:r w:rsidRPr="00D65957">
              <w:t>The uncertainty associated with drawing conclusions about the value of imputation credits from any existing drop-off study (no matter how well specified and conducted) was sufficient for the AER to make a judgement to accord limited weight to this</w:t>
            </w:r>
            <w:r w:rsidR="004B0B95">
              <w:t xml:space="preserve"> type of evidence.</w:t>
            </w:r>
            <w:r w:rsidRPr="00D65957">
              <w:t xml:space="preserve"> Consequently, the Tribunal does not agree that the AER erred or was unreasonable in placing less weight on dividend drop-off studies in the estimation of the value of gamma.</w:t>
            </w:r>
            <w:r w:rsidRPr="00D65957">
              <w:rPr>
                <w:rStyle w:val="FootnoteReference"/>
              </w:rPr>
              <w:footnoteReference w:id="283"/>
            </w:r>
          </w:p>
          <w:p w:rsidR="0055269A" w:rsidRPr="00E05498" w:rsidRDefault="0055269A" w:rsidP="00D65957">
            <w:r w:rsidRPr="00122670">
              <w:t>The Tribunal also questions whether the existence of the 45-day rule (which voids imputation credits from short-term trading around the ex-div date) impedes the ability of dividend drop-off studies to inform on the value of imputation credits.</w:t>
            </w:r>
            <w:r w:rsidRPr="00D65957">
              <w:rPr>
                <w:rStyle w:val="FootnoteReference"/>
              </w:rPr>
              <w:footnoteReference w:id="284"/>
            </w:r>
          </w:p>
        </w:tc>
      </w:tr>
      <w:tr w:rsidR="0055269A" w:rsidRPr="00B45BDD" w:rsidTr="00E750F8">
        <w:tc>
          <w:tcPr>
            <w:tcW w:w="778" w:type="pct"/>
          </w:tcPr>
          <w:p w:rsidR="0055269A" w:rsidRPr="00883125" w:rsidRDefault="0055269A" w:rsidP="0060460E">
            <w:r>
              <w:t>Weighting different approaches</w:t>
            </w:r>
          </w:p>
        </w:tc>
        <w:tc>
          <w:tcPr>
            <w:tcW w:w="4222" w:type="pct"/>
          </w:tcPr>
          <w:p w:rsidR="0055269A" w:rsidRPr="00D65957" w:rsidRDefault="0055269A" w:rsidP="00D65957">
            <w:r w:rsidRPr="00122670">
              <w:t xml:space="preserve">The Tribunal </w:t>
            </w:r>
            <w:r w:rsidRPr="00D65957">
              <w:t>considers that different theoretical models, all of which are simplifications of reality, with different strengths and weaknesses, and with different degrees of support among experts, may</w:t>
            </w:r>
            <w:r w:rsidR="004B0B95">
              <w:t xml:space="preserve"> suggest differing approaches. </w:t>
            </w:r>
            <w:r w:rsidRPr="00D65957">
              <w:t>Judgement about the weight to be given to alternative approaches would then be required, with resulting consequences for judgements about the subsequent issues.</w:t>
            </w:r>
            <w:r w:rsidRPr="00D65957">
              <w:rPr>
                <w:rStyle w:val="FootnoteReference"/>
              </w:rPr>
              <w:footnoteReference w:id="285"/>
            </w:r>
          </w:p>
          <w:p w:rsidR="0055269A" w:rsidRPr="00332686" w:rsidRDefault="0055269A" w:rsidP="00332686">
            <w:r w:rsidRPr="00350A7B">
              <w:t>T</w:t>
            </w:r>
            <w:r w:rsidRPr="00332686">
              <w:t xml:space="preserve">he Tribunal is of the view that the AER did not err, nor was unreasonable, in giving most weight </w:t>
            </w:r>
            <w:r w:rsidR="004B0B95">
              <w:t xml:space="preserve">to the “utilisation” approach. </w:t>
            </w:r>
            <w:r w:rsidRPr="00332686">
              <w:t>It considered the range of alternative approaches, recognised the diversity of views of experts on their merits (both theoretical and empirica</w:t>
            </w:r>
            <w:r w:rsidR="004B0B95">
              <w:t xml:space="preserve">l), and made a judgement call. </w:t>
            </w:r>
            <w:r w:rsidRPr="00332686">
              <w:t>In doing so, it demonstrated responsiveness to the empirical evidence in lowering its estimate of gamma from 0.5 as proposed in its ROR Guidelines to a value of 0.4.</w:t>
            </w:r>
            <w:r w:rsidRPr="00332686">
              <w:rPr>
                <w:rStyle w:val="FootnoteReference"/>
              </w:rPr>
              <w:footnoteReference w:id="286"/>
            </w:r>
          </w:p>
          <w:p w:rsidR="0055269A" w:rsidRPr="00E05498" w:rsidRDefault="0055269A" w:rsidP="003F3CEB">
            <w:r w:rsidRPr="000831E2">
              <w:t xml:space="preserve">In the face of significant uncertainty, the approach by the AER of considering a range of approaches to estimating gamma and applying different weights to those approaches is, the Tribunal believes, </w:t>
            </w:r>
            <w:r w:rsidR="004B0B95">
              <w:t xml:space="preserve">appropriate. </w:t>
            </w:r>
            <w:r w:rsidRPr="000831E2">
              <w:t>It is clear that some experts would apply different weights to the alternative types of evidence, and that some support the AER’s relative</w:t>
            </w:r>
            <w:r w:rsidR="004B0B95">
              <w:t xml:space="preserve"> ranking while others disagree.</w:t>
            </w:r>
            <w:r w:rsidRPr="000831E2">
              <w:t xml:space="preserve"> In particular, some would accord much higher weight to results of divid</w:t>
            </w:r>
            <w:r w:rsidR="004B0B95">
              <w:t>end drop-off studies.</w:t>
            </w:r>
            <w:r w:rsidRPr="000831E2">
              <w:t xml:space="preserve"> The Tribunal has noted the arguments about the problems of deriving reliable tax-related parameters such as investor valuation of imputation credits from drop-off parameters, and is of the view that the AER did not err in forming the judgement it did regarding weight to give to different forms of evidence.</w:t>
            </w:r>
            <w:r w:rsidRPr="000831E2">
              <w:rPr>
                <w:rStyle w:val="FootnoteReference"/>
              </w:rPr>
              <w:footnoteReference w:id="287"/>
            </w:r>
          </w:p>
        </w:tc>
      </w:tr>
      <w:tr w:rsidR="0055269A" w:rsidTr="00E750F8">
        <w:trPr>
          <w:cnfStyle w:val="000000010000" w:firstRow="0" w:lastRow="0" w:firstColumn="0" w:lastColumn="0" w:oddVBand="0" w:evenVBand="0" w:oddHBand="0" w:evenHBand="1" w:firstRowFirstColumn="0" w:firstRowLastColumn="0" w:lastRowFirstColumn="0" w:lastRowLastColumn="0"/>
        </w:trPr>
        <w:tc>
          <w:tcPr>
            <w:tcW w:w="778" w:type="pct"/>
          </w:tcPr>
          <w:p w:rsidR="0055269A" w:rsidRDefault="0055269A" w:rsidP="00E05498">
            <w:r>
              <w:t>Listed equity vs. all equity measures</w:t>
            </w:r>
          </w:p>
        </w:tc>
        <w:tc>
          <w:tcPr>
            <w:tcW w:w="4222" w:type="pct"/>
          </w:tcPr>
          <w:p w:rsidR="0055269A" w:rsidRPr="004D6623" w:rsidRDefault="0055269A" w:rsidP="004D6623">
            <w:pPr>
              <w:rPr>
                <w:highlight w:val="yellow"/>
              </w:rPr>
            </w:pPr>
            <w:r w:rsidRPr="007B51E6">
              <w:t>There is no compelling reason which has been advanced to believe that the “average” unlisted company is any better or worse than the “average” listed c</w:t>
            </w:r>
            <w:r w:rsidR="004B0B95">
              <w:t xml:space="preserve">ompany as a proxy for the BEE. </w:t>
            </w:r>
            <w:r w:rsidRPr="007B51E6">
              <w:t>Consequently the Tribunal does not believe that the AER made an error or was unreasonable or incorrectly exercised its discretion in considering estimates of distribution rates for listed entities.</w:t>
            </w:r>
            <w:r w:rsidRPr="000831E2">
              <w:rPr>
                <w:rStyle w:val="FootnoteReference"/>
              </w:rPr>
              <w:footnoteReference w:id="288"/>
            </w:r>
          </w:p>
          <w:p w:rsidR="0055269A" w:rsidRPr="008648BF" w:rsidRDefault="0055269A" w:rsidP="00582254">
            <w:pPr>
              <w:rPr>
                <w:highlight w:val="cyan"/>
              </w:rPr>
            </w:pPr>
            <w:r w:rsidRPr="002E14E7">
              <w:t>The Tribunal is willing to accept that there might be different proxies better suited to estimation of different characteri</w:t>
            </w:r>
            <w:r w:rsidR="004B0B95">
              <w:t xml:space="preserve">stics of the hypothetical BEE. </w:t>
            </w:r>
            <w:r w:rsidRPr="002E14E7">
              <w:t>Nevertheless, the Tribunal has not been presented with convincing evidence that the listed equity data should not have been considered by the AER.</w:t>
            </w:r>
            <w:r w:rsidRPr="000831E2">
              <w:rPr>
                <w:rStyle w:val="FootnoteReference"/>
              </w:rPr>
              <w:footnoteReference w:id="289"/>
            </w:r>
          </w:p>
        </w:tc>
      </w:tr>
      <w:tr w:rsidR="0055269A" w:rsidTr="00E750F8">
        <w:tc>
          <w:tcPr>
            <w:tcW w:w="778" w:type="pct"/>
          </w:tcPr>
          <w:p w:rsidR="0055269A" w:rsidRPr="00883125" w:rsidRDefault="0055269A" w:rsidP="00E05498">
            <w:r>
              <w:t>Marginal investor vs. average investor</w:t>
            </w:r>
          </w:p>
        </w:tc>
        <w:tc>
          <w:tcPr>
            <w:tcW w:w="4222" w:type="pct"/>
          </w:tcPr>
          <w:p w:rsidR="0055269A" w:rsidRPr="001E51E2" w:rsidRDefault="0055269A" w:rsidP="001E51E2">
            <w:r w:rsidRPr="00FC66FD">
              <w:t>The marginal investor is not the</w:t>
            </w:r>
            <w:r w:rsidR="004B0B95">
              <w:t xml:space="preserve"> same as the average investor. </w:t>
            </w:r>
            <w:r w:rsidRPr="00FC66FD">
              <w:t>The proportion of tax credits used in aggregate (i.e. the average utilisation) provides no information about the value of tax cre</w:t>
            </w:r>
            <w:r w:rsidR="004B0B95">
              <w:t xml:space="preserve">dits to the marginal investor. </w:t>
            </w:r>
            <w:r w:rsidRPr="001E51E2">
              <w:t>Hence, contrary to the arguments advanced, the usage of tax credits is not an upper bound on the market value of tax credits – if that is set by some “marginal investor”.</w:t>
            </w:r>
            <w:r w:rsidRPr="001E51E2">
              <w:rPr>
                <w:rStyle w:val="FootnoteReference"/>
              </w:rPr>
              <w:footnoteReference w:id="290"/>
            </w:r>
          </w:p>
          <w:p w:rsidR="0055269A" w:rsidRDefault="0055269A" w:rsidP="001E51E2">
            <w:r w:rsidRPr="00FC66FD">
              <w:t>Alternatively, if the market value is set by some “average” investor, an estimate for the average investor of the tax payment consequences of imputation credits distributed has relevance.  As argued by SAPN, the value estimated in this way may be an upper bound due to a number of value-red</w:t>
            </w:r>
            <w:r w:rsidRPr="001E51E2">
              <w:t>ucing factors.</w:t>
            </w:r>
            <w:r w:rsidRPr="001E51E2">
              <w:rPr>
                <w:rStyle w:val="FootnoteReference"/>
              </w:rPr>
              <w:footnoteReference w:id="291"/>
            </w:r>
          </w:p>
        </w:tc>
      </w:tr>
      <w:tr w:rsidR="0055269A" w:rsidTr="00E750F8">
        <w:trPr>
          <w:cnfStyle w:val="000000010000" w:firstRow="0" w:lastRow="0" w:firstColumn="0" w:lastColumn="0" w:oddVBand="0" w:evenVBand="0" w:oddHBand="0" w:evenHBand="1" w:firstRowFirstColumn="0" w:firstRowLastColumn="0" w:lastRowFirstColumn="0" w:lastRowLastColumn="0"/>
        </w:trPr>
        <w:tc>
          <w:tcPr>
            <w:tcW w:w="778" w:type="pct"/>
          </w:tcPr>
          <w:p w:rsidR="0055269A" w:rsidRPr="00E05498" w:rsidRDefault="0055269A" w:rsidP="00E05498">
            <w:r w:rsidRPr="00883125">
              <w:t>The need to re-evaluate gamma</w:t>
            </w:r>
          </w:p>
        </w:tc>
        <w:tc>
          <w:tcPr>
            <w:tcW w:w="4222" w:type="pct"/>
          </w:tcPr>
          <w:p w:rsidR="0055269A" w:rsidRPr="00716BBE" w:rsidRDefault="0055269A" w:rsidP="00716BBE">
            <w:pPr>
              <w:rPr>
                <w:highlight w:val="cyan"/>
              </w:rPr>
            </w:pPr>
            <w:r w:rsidRPr="0025548E">
              <w:t xml:space="preserve">This Tribunal determined that despite the </w:t>
            </w:r>
            <w:r w:rsidRPr="00716BBE">
              <w:t>AER seeking a review of the Ausgrid Tribunal decision to the Full Federal Court, it was appropriate for it to hear the SAPN review rather than leave the matter to be determined conditional on the outcome of the hearing of the F</w:t>
            </w:r>
            <w:r w:rsidR="00642B2F">
              <w:t>ull Court of the Federal Court.</w:t>
            </w:r>
            <w:r w:rsidRPr="00716BBE">
              <w:t xml:space="preserve"> The Tribunal has a legislative responsibility to hear and determine the review (within a statutorily delineated period of time), and should proceed accordingly.</w:t>
            </w:r>
            <w:r w:rsidRPr="00716BBE">
              <w:rPr>
                <w:rStyle w:val="FootnoteReference"/>
              </w:rPr>
              <w:footnoteReference w:id="292"/>
            </w:r>
          </w:p>
          <w:p w:rsidR="0055269A" w:rsidRPr="00716BBE" w:rsidRDefault="0055269A" w:rsidP="00716BBE">
            <w:r w:rsidRPr="0025548E">
              <w:t>T</w:t>
            </w:r>
            <w:r w:rsidRPr="00716BBE">
              <w:t>he function of the Tribunal is a reviewer of decisions, and is</w:t>
            </w:r>
            <w:r w:rsidR="00642B2F">
              <w:t xml:space="preserve"> not a primary decision-maker. </w:t>
            </w:r>
            <w:r w:rsidRPr="00716BBE">
              <w:t>The Tribunal has a responsibility to determine individual cases based upon the evidence and arguments put before it.</w:t>
            </w:r>
            <w:r w:rsidRPr="00716BBE">
              <w:rPr>
                <w:rStyle w:val="FootnoteReference"/>
              </w:rPr>
              <w:t xml:space="preserve"> </w:t>
            </w:r>
            <w:r w:rsidRPr="00716BBE">
              <w:rPr>
                <w:rStyle w:val="FootnoteReference"/>
              </w:rPr>
              <w:footnoteReference w:id="293"/>
            </w:r>
          </w:p>
          <w:p w:rsidR="0055269A" w:rsidRPr="002E14E7" w:rsidRDefault="0055269A" w:rsidP="00716BBE">
            <w:r w:rsidRPr="0025548E">
              <w:t>The Tribunal recognises that this decision is the converse of that made by a differently constitute</w:t>
            </w:r>
            <w:r w:rsidR="00642B2F">
              <w:t>d Tribunal in the Ausgrid case.</w:t>
            </w:r>
            <w:r w:rsidRPr="0025548E">
              <w:t xml:space="preserve"> The reason f</w:t>
            </w:r>
            <w:r w:rsidR="00642B2F">
              <w:t xml:space="preserve">or this difference is </w:t>
            </w:r>
            <w:r w:rsidR="00922C6D">
              <w:t>twofold</w:t>
            </w:r>
            <w:r w:rsidR="00642B2F">
              <w:t xml:space="preserve">. </w:t>
            </w:r>
            <w:r w:rsidRPr="0025548E">
              <w:t>First, submissions in this hearing gave greater attention to the theoretical underpinnings of the PTRM and “vanilla WACC” framework.</w:t>
            </w:r>
            <w:r w:rsidR="00642B2F">
              <w:t xml:space="preserve"> </w:t>
            </w:r>
            <w:r w:rsidRPr="0025548E">
              <w:t>Secondly, this Tribunal is of the view that the dividend drop-off evidence should be viewed in the context of the theoretical model underpinning it, and that there are significant uncertainties associated with extracting reliable evidence about tax-related parameters (such as gamma) from such studies.</w:t>
            </w:r>
            <w:r w:rsidRPr="0025548E">
              <w:rPr>
                <w:rStyle w:val="FootnoteReference"/>
              </w:rPr>
              <w:footnoteReference w:id="294"/>
            </w:r>
          </w:p>
          <w:p w:rsidR="0055269A" w:rsidRPr="00E05498" w:rsidRDefault="0055269A" w:rsidP="00716BBE"/>
        </w:tc>
      </w:tr>
    </w:tbl>
    <w:p w:rsidR="00E05498" w:rsidRPr="00883125" w:rsidRDefault="00E05498" w:rsidP="00E05498">
      <w:pPr>
        <w:pStyle w:val="AERtablesource"/>
      </w:pPr>
      <w:r w:rsidRPr="00883125">
        <w:t xml:space="preserve">Source: </w:t>
      </w:r>
      <w:r w:rsidRPr="00883125">
        <w:tab/>
        <w:t>As specified in table.</w:t>
      </w:r>
    </w:p>
    <w:p w:rsidR="00747591" w:rsidRDefault="00747591" w:rsidP="00716BBE"/>
    <w:p w:rsidR="00747591" w:rsidRDefault="00747591" w:rsidP="00716BBE">
      <w:pPr>
        <w:sectPr w:rsidR="00747591" w:rsidSect="00E47334">
          <w:footerReference w:type="even" r:id="rId16"/>
          <w:footerReference w:type="default" r:id="rId17"/>
          <w:pgSz w:w="16838" w:h="11906" w:orient="landscape"/>
          <w:pgMar w:top="1440" w:right="1440" w:bottom="1440" w:left="1440" w:header="709" w:footer="709" w:gutter="0"/>
          <w:pgNumType w:chapStyle="1"/>
          <w:cols w:space="708"/>
          <w:docGrid w:linePitch="360"/>
        </w:sectPr>
      </w:pPr>
    </w:p>
    <w:p w:rsidR="00716BBE" w:rsidRDefault="00716BBE" w:rsidP="00716BBE">
      <w:r>
        <w:t xml:space="preserve">We note that SA Power Networks has </w:t>
      </w:r>
      <w:r w:rsidR="0009187D">
        <w:t xml:space="preserve">sought judicial review of </w:t>
      </w:r>
      <w:r>
        <w:t xml:space="preserve">the </w:t>
      </w:r>
      <w:r w:rsidR="00096A14">
        <w:t xml:space="preserve">SAPN </w:t>
      </w:r>
      <w:r>
        <w:t xml:space="preserve">Tribunal's decision </w:t>
      </w:r>
      <w:r w:rsidR="0009187D">
        <w:t>in</w:t>
      </w:r>
      <w:r>
        <w:t xml:space="preserve"> the Full Federal Court on </w:t>
      </w:r>
      <w:r w:rsidR="003C5E38">
        <w:t xml:space="preserve">a range of </w:t>
      </w:r>
      <w:r w:rsidR="000D7F98">
        <w:t>grounds</w:t>
      </w:r>
      <w:r w:rsidR="0009187D">
        <w:t>,</w:t>
      </w:r>
      <w:r w:rsidR="000D7F98">
        <w:t xml:space="preserve"> </w:t>
      </w:r>
      <w:r w:rsidR="0009187D">
        <w:t>in relation to gamma.</w:t>
      </w:r>
      <w:r w:rsidR="00C84AEE">
        <w:t xml:space="preserve">The SAPN Full Federal Court </w:t>
      </w:r>
      <w:r w:rsidR="00934207">
        <w:t xml:space="preserve">judicial review </w:t>
      </w:r>
      <w:r w:rsidR="00C84AEE">
        <w:t xml:space="preserve"> </w:t>
      </w:r>
      <w:r w:rsidR="00FC179B" w:rsidRPr="00FC179B">
        <w:t xml:space="preserve">was heard in May 2017. </w:t>
      </w:r>
      <w:r w:rsidR="00934207">
        <w:t>The Court's decision is currently reserved.</w:t>
      </w:r>
      <w:r w:rsidR="00481AB4">
        <w:t xml:space="preserve"> </w:t>
      </w:r>
      <w:r w:rsidR="003128F2">
        <w:t>However,</w:t>
      </w:r>
      <w:r w:rsidR="00481AB4">
        <w:t xml:space="preserve"> the</w:t>
      </w:r>
      <w:r w:rsidR="00BF6311">
        <w:t xml:space="preserve"> Full Federal Court</w:t>
      </w:r>
      <w:r w:rsidR="003128F2">
        <w:t xml:space="preserve"> has</w:t>
      </w:r>
      <w:r w:rsidR="00BF6311">
        <w:t xml:space="preserve"> released its </w:t>
      </w:r>
      <w:r w:rsidR="003128F2">
        <w:t>decision on</w:t>
      </w:r>
      <w:r w:rsidR="00BF6311">
        <w:t xml:space="preserve"> the </w:t>
      </w:r>
      <w:r w:rsidR="003128F2">
        <w:t xml:space="preserve">AER's application for </w:t>
      </w:r>
      <w:r w:rsidR="00BF6311">
        <w:t xml:space="preserve">review </w:t>
      </w:r>
      <w:r w:rsidR="003128F2">
        <w:t>of</w:t>
      </w:r>
      <w:r w:rsidR="00BF6311">
        <w:t xml:space="preserve"> the Ausgrid Tribunal's</w:t>
      </w:r>
      <w:r w:rsidR="00481AB4">
        <w:t xml:space="preserve"> deci</w:t>
      </w:r>
      <w:r w:rsidR="003128F2">
        <w:t>s</w:t>
      </w:r>
      <w:r w:rsidR="00481AB4">
        <w:t>ion. It</w:t>
      </w:r>
      <w:r w:rsidR="003B59F5">
        <w:t xml:space="preserve"> </w:t>
      </w:r>
      <w:r w:rsidR="00934207">
        <w:t>found it was not an error of construction for the AER to focus on a utilisation value in its approach to theta</w:t>
      </w:r>
      <w:r w:rsidR="00BF6311">
        <w:t>.</w:t>
      </w:r>
      <w:r w:rsidR="007C109E">
        <w:rPr>
          <w:rStyle w:val="FootnoteReference"/>
        </w:rPr>
        <w:footnoteReference w:id="295"/>
      </w:r>
      <w:r w:rsidR="00BF6311">
        <w:t xml:space="preserve">  </w:t>
      </w:r>
    </w:p>
    <w:p w:rsidR="00747591" w:rsidRPr="00E750F8" w:rsidRDefault="00E8071F" w:rsidP="00E8071F">
      <w:pPr>
        <w:rPr>
          <w:rStyle w:val="AERtexthighlight"/>
        </w:rPr>
      </w:pPr>
      <w:r>
        <w:t>The SAPN Tribunal's key finding was the AER was not in error. This applied to all key areas of the gamma decision as noted in the table above.</w:t>
      </w:r>
    </w:p>
    <w:p w:rsidR="00C52695" w:rsidRPr="00883125" w:rsidRDefault="00C52695" w:rsidP="00C52695">
      <w:pPr>
        <w:pStyle w:val="Heading9"/>
      </w:pPr>
      <w:bookmarkStart w:id="169" w:name="_Ref451813952"/>
      <w:bookmarkStart w:id="170" w:name="_Toc456614293"/>
      <w:bookmarkStart w:id="171" w:name="_Toc462823311"/>
      <w:bookmarkStart w:id="172" w:name="_Toc487014060"/>
      <w:r w:rsidRPr="00883125">
        <w:t>ActewAGL Distribution, Ausgrid, Endeavour Energy, Essential Energy and Jemena Gas Networks</w:t>
      </w:r>
      <w:bookmarkEnd w:id="169"/>
      <w:bookmarkEnd w:id="170"/>
      <w:bookmarkEnd w:id="171"/>
      <w:bookmarkEnd w:id="172"/>
      <w:r w:rsidRPr="00883125">
        <w:t xml:space="preserve"> </w:t>
      </w:r>
    </w:p>
    <w:p w:rsidR="00C52695" w:rsidRPr="00883125" w:rsidRDefault="00C52695" w:rsidP="00C52695">
      <w:r w:rsidRPr="00883125">
        <w:t>In April and June 2015 we released our final decisions for ActewAGL Distribution, Ausgrid, Endeavour Energy, Essential Energy and Jemena Gas Networks. In these decisions, we adopted a gamma estimate of 0.4.</w:t>
      </w:r>
    </w:p>
    <w:p w:rsidR="00C52695" w:rsidRPr="00B27BE5" w:rsidRDefault="00C52695" w:rsidP="00C52695">
      <w:r w:rsidRPr="00883125">
        <w:t xml:space="preserve">ActewAGL Distribution, Ausgrid, Endeavour Energy, Essential Energy and Jemena Gas Networks </w:t>
      </w:r>
      <w:r w:rsidRPr="00B27BE5">
        <w:t>successfully sought review of these final decisions by the Australian Competition Tribunal.</w:t>
      </w:r>
      <w:r>
        <w:rPr>
          <w:rStyle w:val="FootnoteReference"/>
        </w:rPr>
        <w:footnoteReference w:id="296"/>
      </w:r>
      <w:r w:rsidRPr="00B27BE5">
        <w:t xml:space="preserve"> The</w:t>
      </w:r>
      <w:r w:rsidR="00C25A56">
        <w:t xml:space="preserve"> Ausgrid</w:t>
      </w:r>
      <w:r w:rsidRPr="00B27BE5">
        <w:t xml:space="preserve"> Tribunal set aside </w:t>
      </w:r>
      <w:r>
        <w:t>our</w:t>
      </w:r>
      <w:r w:rsidRPr="00B27BE5">
        <w:t xml:space="preserve"> decision</w:t>
      </w:r>
      <w:r>
        <w:t>s</w:t>
      </w:r>
      <w:r w:rsidRPr="00B27BE5">
        <w:t xml:space="preserve"> and </w:t>
      </w:r>
      <w:r>
        <w:t>has</w:t>
      </w:r>
      <w:r w:rsidRPr="00B27BE5">
        <w:t xml:space="preserve"> remitted the matter back to </w:t>
      </w:r>
      <w:r>
        <w:t>us</w:t>
      </w:r>
      <w:r w:rsidRPr="00B27BE5">
        <w:t xml:space="preserve"> to remake the decision using a gamma value of 0.25. </w:t>
      </w:r>
      <w:r>
        <w:t>T</w:t>
      </w:r>
      <w:r w:rsidRPr="00B27BE5">
        <w:t xml:space="preserve">he </w:t>
      </w:r>
      <w:r w:rsidR="00C25A56">
        <w:t xml:space="preserve">Ausgrid </w:t>
      </w:r>
      <w:r>
        <w:t>T</w:t>
      </w:r>
      <w:r w:rsidRPr="00B27BE5">
        <w:t>ribunal considered the appropriate distribution rate to use is 0.7 based on a value from all equity</w:t>
      </w:r>
      <w:r>
        <w:t>. It also</w:t>
      </w:r>
      <w:r w:rsidRPr="00B27BE5">
        <w:t xml:space="preserve"> considered it was appropriate to use market based studies to solely estimate the value of distributed imputation credits (</w:t>
      </w:r>
      <w:r>
        <w:t xml:space="preserve">also known as the utilisation rate, </w:t>
      </w:r>
      <w:r w:rsidRPr="00B27BE5">
        <w:t>or theta).</w:t>
      </w:r>
    </w:p>
    <w:p w:rsidR="001C216D" w:rsidRDefault="00C52695" w:rsidP="00C52695">
      <w:pPr>
        <w:sectPr w:rsidR="001C216D" w:rsidSect="008B1CA1">
          <w:pgSz w:w="11906" w:h="16838"/>
          <w:pgMar w:top="1440" w:right="1440" w:bottom="1440" w:left="1440" w:header="709" w:footer="709" w:gutter="0"/>
          <w:pgNumType w:chapStyle="1"/>
          <w:cols w:space="708"/>
          <w:docGrid w:linePitch="360"/>
        </w:sectPr>
      </w:pPr>
      <w:r w:rsidRPr="008F5D24">
        <w:t xml:space="preserve">In reaching its position, the </w:t>
      </w:r>
      <w:r w:rsidR="00C25A56">
        <w:t xml:space="preserve">Ausgrid </w:t>
      </w:r>
      <w:r w:rsidRPr="008F5D24">
        <w:t>Tribunal expressed views on the important factors in its decisions. The</w:t>
      </w:r>
      <w:r w:rsidR="00C25A56">
        <w:t xml:space="preserve"> Ausgrid</w:t>
      </w:r>
      <w:r w:rsidRPr="008F5D24">
        <w:t xml:space="preserve"> Tribunals views and our initial response is summarised in </w:t>
      </w:r>
      <w:r w:rsidRPr="00C43CF0">
        <w:fldChar w:fldCharType="begin"/>
      </w:r>
      <w:r w:rsidRPr="008F5D24">
        <w:instrText xml:space="preserve"> REF  _Ref450040370 \* Lower \h  \* MERGEFORMAT </w:instrText>
      </w:r>
      <w:r w:rsidRPr="00C43CF0">
        <w:fldChar w:fldCharType="separate"/>
      </w:r>
      <w:r w:rsidR="007E3457" w:rsidRPr="005764F6">
        <w:t xml:space="preserve">table </w:t>
      </w:r>
      <w:r w:rsidR="007E3457">
        <w:t>4</w:t>
      </w:r>
      <w:r w:rsidR="007E3457" w:rsidRPr="005764F6">
        <w:noBreakHyphen/>
      </w:r>
      <w:r w:rsidR="007E3457">
        <w:t>9</w:t>
      </w:r>
      <w:r w:rsidRPr="00C43CF0">
        <w:fldChar w:fldCharType="end"/>
      </w:r>
      <w:r w:rsidRPr="008F5D24">
        <w:t xml:space="preserve"> below. </w:t>
      </w:r>
      <w:r w:rsidR="00BF6311">
        <w:t xml:space="preserve">The </w:t>
      </w:r>
      <w:r w:rsidR="007C109E">
        <w:t xml:space="preserve">AER's </w:t>
      </w:r>
      <w:r w:rsidR="00934207">
        <w:t xml:space="preserve">applications for judicial review of the Ausgrid Tribunal decision were </w:t>
      </w:r>
      <w:r w:rsidR="00BF6311">
        <w:t xml:space="preserve">heard in October 2016 and the decision was handed down </w:t>
      </w:r>
      <w:r w:rsidR="007C109E">
        <w:t>on 24</w:t>
      </w:r>
      <w:r w:rsidR="00BF6311">
        <w:t xml:space="preserve"> May 2017.</w:t>
      </w:r>
      <w:r w:rsidR="007C109E">
        <w:rPr>
          <w:rStyle w:val="FootnoteReference"/>
        </w:rPr>
        <w:footnoteReference w:id="297"/>
      </w:r>
      <w:r w:rsidR="00BF6311">
        <w:t xml:space="preserve"> </w:t>
      </w:r>
      <w:r w:rsidR="006A34E1">
        <w:t>As note earlier, t</w:t>
      </w:r>
      <w:r w:rsidR="00BF6311">
        <w:t xml:space="preserve">he Full Federal Court </w:t>
      </w:r>
      <w:r w:rsidR="00934207">
        <w:t>found it was not an error of construction for the the AER to focuse on utilisation in its approach to theta.</w:t>
      </w:r>
      <w:r w:rsidR="00934207">
        <w:rPr>
          <w:rStyle w:val="FootnoteReference"/>
        </w:rPr>
        <w:footnoteReference w:id="298"/>
      </w:r>
    </w:p>
    <w:p w:rsidR="00C52695" w:rsidRPr="005764F6" w:rsidRDefault="00C52695" w:rsidP="00C52695">
      <w:pPr>
        <w:pStyle w:val="Tabletitle"/>
      </w:pPr>
      <w:bookmarkStart w:id="173" w:name="_Ref450040370"/>
      <w:r w:rsidRPr="005764F6">
        <w:t xml:space="preserve">Table </w:t>
      </w:r>
      <w:r w:rsidRPr="00CA67C0">
        <w:fldChar w:fldCharType="begin"/>
      </w:r>
      <w:r>
        <w:instrText xml:space="preserve"> STYLEREF 1 \s </w:instrText>
      </w:r>
      <w:r w:rsidRPr="00CA67C0">
        <w:fldChar w:fldCharType="separate"/>
      </w:r>
      <w:r w:rsidR="007E3457">
        <w:rPr>
          <w:noProof/>
        </w:rPr>
        <w:t>4</w:t>
      </w:r>
      <w:r w:rsidRPr="00CA67C0">
        <w:fldChar w:fldCharType="end"/>
      </w:r>
      <w:r w:rsidRPr="005764F6">
        <w:noBreakHyphen/>
      </w:r>
      <w:r w:rsidRPr="00CA67C0">
        <w:fldChar w:fldCharType="begin"/>
      </w:r>
      <w:r>
        <w:instrText xml:space="preserve"> SEQ Table \* ARABIC \s 1 </w:instrText>
      </w:r>
      <w:r w:rsidRPr="00CA67C0">
        <w:fldChar w:fldCharType="separate"/>
      </w:r>
      <w:r w:rsidR="007E3457">
        <w:rPr>
          <w:noProof/>
        </w:rPr>
        <w:t>9</w:t>
      </w:r>
      <w:r w:rsidRPr="00CA67C0">
        <w:fldChar w:fldCharType="end"/>
      </w:r>
      <w:bookmarkEnd w:id="173"/>
      <w:r w:rsidRPr="005764F6">
        <w:tab/>
        <w:t>Australian Competition Tribunal's observations on imputation credits in ActewAGL Distribution, Ausgrid, Endeavour Energy, Essential Energy and Jemena Gas Networks matter</w:t>
      </w:r>
    </w:p>
    <w:tbl>
      <w:tblPr>
        <w:tblStyle w:val="AERtable-text0"/>
        <w:tblW w:w="5000" w:type="pct"/>
        <w:tblLook w:val="04A0" w:firstRow="1" w:lastRow="0" w:firstColumn="1" w:lastColumn="0" w:noHBand="0" w:noVBand="1"/>
      </w:tblPr>
      <w:tblGrid>
        <w:gridCol w:w="2222"/>
        <w:gridCol w:w="6438"/>
        <w:gridCol w:w="5514"/>
      </w:tblGrid>
      <w:tr w:rsidR="00C52695" w:rsidTr="006425B8">
        <w:trPr>
          <w:cnfStyle w:val="100000000000" w:firstRow="1" w:lastRow="0" w:firstColumn="0" w:lastColumn="0" w:oddVBand="0" w:evenVBand="0" w:oddHBand="0" w:evenHBand="0" w:firstRowFirstColumn="0" w:firstRowLastColumn="0" w:lastRowFirstColumn="0" w:lastRowLastColumn="0"/>
          <w:tblHeader/>
        </w:trPr>
        <w:tc>
          <w:tcPr>
            <w:tcW w:w="784" w:type="pct"/>
          </w:tcPr>
          <w:p w:rsidR="00C52695" w:rsidRPr="00C52695" w:rsidRDefault="00C52695" w:rsidP="00C52695">
            <w:r w:rsidRPr="00883125">
              <w:t>Issue</w:t>
            </w:r>
          </w:p>
        </w:tc>
        <w:tc>
          <w:tcPr>
            <w:tcW w:w="2271" w:type="pct"/>
          </w:tcPr>
          <w:p w:rsidR="00C52695" w:rsidRPr="00C52695" w:rsidRDefault="00C52695" w:rsidP="00C52695">
            <w:r w:rsidRPr="00883125">
              <w:t>Tribunal comments</w:t>
            </w:r>
          </w:p>
        </w:tc>
        <w:tc>
          <w:tcPr>
            <w:tcW w:w="1945" w:type="pct"/>
          </w:tcPr>
          <w:p w:rsidR="00C52695" w:rsidRPr="00C52695" w:rsidRDefault="00C52695" w:rsidP="00C52695">
            <w:r w:rsidRPr="00883125">
              <w:t xml:space="preserve">AER </w:t>
            </w:r>
            <w:r w:rsidRPr="00C52695">
              <w:t>initial comments</w:t>
            </w:r>
          </w:p>
        </w:tc>
      </w:tr>
      <w:tr w:rsidR="00C52695" w:rsidTr="006425B8">
        <w:tc>
          <w:tcPr>
            <w:tcW w:w="784" w:type="pct"/>
          </w:tcPr>
          <w:p w:rsidR="00C52695" w:rsidRPr="00C52695" w:rsidRDefault="00C52695" w:rsidP="00C52695">
            <w:r w:rsidRPr="00883125">
              <w:t>The conceptual framework for gamma</w:t>
            </w:r>
          </w:p>
        </w:tc>
        <w:tc>
          <w:tcPr>
            <w:tcW w:w="2271" w:type="pct"/>
          </w:tcPr>
          <w:p w:rsidR="00C52695" w:rsidRPr="00C52695" w:rsidRDefault="00C52695" w:rsidP="00C52695">
            <w:r w:rsidRPr="00883125">
              <w:t xml:space="preserve">By placing </w:t>
            </w:r>
            <w:r w:rsidRPr="00C52695">
              <w:t>most reliance on the equity ownership approach and effectively defining the utilisation value as the proportion of distributed imputation credits available for redemption, the AER has adopted a conceptual approach to gamma that redefines it as the value of imputation credits that are available for redemption.</w:t>
            </w:r>
            <w:r w:rsidRPr="00C52695">
              <w:rPr>
                <w:rStyle w:val="FootnoteReference"/>
              </w:rPr>
              <w:footnoteReference w:id="299"/>
            </w:r>
            <w:r w:rsidRPr="00C52695">
              <w:t xml:space="preserve"> This is inconsistent with the concept of gamma in the Officer Framework for the WACC which underlines the Rules, and with the objective of ensuring a market rate of return on equity by making an adjustment to the revenue allowance for taxation to account for imputation credits.</w:t>
            </w:r>
            <w:r w:rsidRPr="00C52695">
              <w:rPr>
                <w:rStyle w:val="FootnoteReference"/>
              </w:rPr>
              <w:footnoteReference w:id="300"/>
            </w:r>
          </w:p>
          <w:p w:rsidR="00C52695" w:rsidRPr="00C52695" w:rsidRDefault="00C52695" w:rsidP="00C52695">
            <w:r w:rsidRPr="00883125">
              <w:t xml:space="preserve">It </w:t>
            </w:r>
            <w:r w:rsidRPr="00C52695">
              <w:t>did not accept the AER's approach that imputation credits are values at their claimable amount or face value. The value is not what can be claimed or utilised, but what is claimed or utilised as demonstrated by the behaviour of the shareholder recipients of the imputation credits.</w:t>
            </w:r>
            <w:r w:rsidRPr="00C52695">
              <w:rPr>
                <w:rStyle w:val="FootnoteReference"/>
              </w:rPr>
              <w:footnoteReference w:id="301"/>
            </w:r>
          </w:p>
          <w:p w:rsidR="00C52695" w:rsidRPr="00C52695" w:rsidRDefault="00C52695" w:rsidP="00C52695">
            <w:r w:rsidRPr="00883125">
              <w:t xml:space="preserve">Handley's extension of the Officer Framework does not appear to present an empirically robust and internally consistent explanation for the link </w:t>
            </w:r>
            <w:r w:rsidRPr="00C52695">
              <w:t>between the existence of imputation credits and the applicability of the vanilla WACC.</w:t>
            </w:r>
            <w:r w:rsidRPr="00C52695">
              <w:rPr>
                <w:rStyle w:val="FootnoteReference"/>
              </w:rPr>
              <w:footnoteReference w:id="302"/>
            </w:r>
          </w:p>
        </w:tc>
        <w:tc>
          <w:tcPr>
            <w:tcW w:w="1945" w:type="pct"/>
          </w:tcPr>
          <w:p w:rsidR="00C52695" w:rsidRPr="00C52695" w:rsidRDefault="00C52695" w:rsidP="00C52695">
            <w:r w:rsidRPr="00883125">
              <w:t>In developing the Guideline, we re-evaluated the conceptual framework for the value of imputation credits</w:t>
            </w:r>
            <w:r w:rsidRPr="00C52695">
              <w:t xml:space="preserve"> in consultation with stakeholders. In making this </w:t>
            </w:r>
            <w:r w:rsidR="00B31E52">
              <w:t>draft</w:t>
            </w:r>
            <w:r w:rsidR="00E57D43" w:rsidRPr="00C52695">
              <w:t xml:space="preserve"> </w:t>
            </w:r>
            <w:r w:rsidRPr="00C52695">
              <w:t xml:space="preserve">decision, we have built on this re-evaluation. We discuss the role of the value of imputation credits and the underlying conceptual framework in sections </w:t>
            </w:r>
            <w:r w:rsidRPr="00C52695">
              <w:fldChar w:fldCharType="begin"/>
            </w:r>
            <w:r w:rsidRPr="00C52695">
              <w:instrText xml:space="preserve"> REF _Ref415144114 \r \h  \* MERGEFORMAT </w:instrText>
            </w:r>
            <w:r w:rsidRPr="00C52695">
              <w:fldChar w:fldCharType="separate"/>
            </w:r>
            <w:r w:rsidR="007E3457">
              <w:t>A.5</w:t>
            </w:r>
            <w:r w:rsidRPr="00C52695">
              <w:fldChar w:fldCharType="end"/>
            </w:r>
            <w:r w:rsidRPr="00C52695">
              <w:t xml:space="preserve"> and </w:t>
            </w:r>
            <w:r w:rsidRPr="00C52695">
              <w:fldChar w:fldCharType="begin"/>
            </w:r>
            <w:r w:rsidRPr="00C52695">
              <w:instrText xml:space="preserve"> REF _Ref400965182 \r \h  \* MERGEFORMAT </w:instrText>
            </w:r>
            <w:r w:rsidRPr="00C52695">
              <w:fldChar w:fldCharType="separate"/>
            </w:r>
            <w:r w:rsidR="007E3457">
              <w:t>A.6</w:t>
            </w:r>
            <w:r w:rsidRPr="00C52695">
              <w:fldChar w:fldCharType="end"/>
            </w:r>
            <w:r w:rsidRPr="00C52695">
              <w:t>.</w:t>
            </w:r>
          </w:p>
          <w:p w:rsidR="00C52695" w:rsidRPr="00C52695" w:rsidRDefault="00C52695" w:rsidP="00C52695">
            <w:r>
              <w:t>We</w:t>
            </w:r>
            <w:r w:rsidRPr="00C52695">
              <w:t xml:space="preserve"> consider the face value of imputation credits is the most appropriate measure and is consistent with the Officer framework. We consider market values only where it is appropriate to do so and some other parameters used by us are also based on face values. For instance, when estimating the MRP we use the face value of dividends. Similarly, when estimating the yield to maturity for the return on debt and the risk free rate, the face value of the coupon payment and the face value of the principal is used.</w:t>
            </w:r>
          </w:p>
          <w:p w:rsidR="00C52695" w:rsidRPr="00C52695" w:rsidRDefault="00C52695" w:rsidP="00C52695">
            <w:r w:rsidRPr="00883125">
              <w:t xml:space="preserve">The </w:t>
            </w:r>
            <w:r w:rsidRPr="00C52695">
              <w:t>Officer framework is based on a post-company tax and pre-personal tax framework. In order to be consistent with the Officer framework, all parameters need to be estimated on a pre-personal tax basis. The face value of imputation credits, dividends and debt coupon payments are the pre-personal tax values as personal tax rates are levied on these values. Similarly, the returns calculated from the market values of equity prices and debt prices are pre-personal tax values as the personal capital gains tax is levied on these returns.</w:t>
            </w:r>
          </w:p>
          <w:p w:rsidR="00C52695" w:rsidRPr="00C52695" w:rsidRDefault="00C52695" w:rsidP="00C52695">
            <w:r w:rsidRPr="00883125">
              <w:t>However, t</w:t>
            </w:r>
            <w:r w:rsidRPr="00C52695">
              <w:t xml:space="preserve">he dividend drop off imputation credit estimate is neither a pre-personal tax nor a post-personal tax estimate. As a result, this estimate (absent adjustment) cannot be used at all in our regulatory context as it is inconsistent with the post-tax Officer framework. This is further discussed in section </w:t>
            </w:r>
            <w:r w:rsidRPr="00C52695">
              <w:fldChar w:fldCharType="begin"/>
            </w:r>
            <w:r w:rsidRPr="00C52695">
              <w:instrText xml:space="preserve"> REF _Ref435171205 \r \h  \* MERGEFORMAT </w:instrText>
            </w:r>
            <w:r w:rsidRPr="00C52695">
              <w:fldChar w:fldCharType="separate"/>
            </w:r>
            <w:r w:rsidR="007E3457">
              <w:t>A.15.3</w:t>
            </w:r>
            <w:r w:rsidRPr="00C52695">
              <w:fldChar w:fldCharType="end"/>
            </w:r>
            <w:r w:rsidRPr="00C52695">
              <w:t>.</w:t>
            </w:r>
          </w:p>
        </w:tc>
      </w:tr>
      <w:tr w:rsidR="00C52695" w:rsidTr="006425B8">
        <w:trPr>
          <w:cnfStyle w:val="000000010000" w:firstRow="0" w:lastRow="0" w:firstColumn="0" w:lastColumn="0" w:oddVBand="0" w:evenVBand="0" w:oddHBand="0" w:evenHBand="1" w:firstRowFirstColumn="0" w:firstRowLastColumn="0" w:lastRowFirstColumn="0" w:lastRowLastColumn="0"/>
        </w:trPr>
        <w:tc>
          <w:tcPr>
            <w:tcW w:w="784" w:type="pct"/>
          </w:tcPr>
          <w:p w:rsidR="00C52695" w:rsidRPr="00C52695" w:rsidRDefault="00C52695" w:rsidP="00C52695">
            <w:r w:rsidRPr="00883125">
              <w:t>The distribution rate (payout ratio)</w:t>
            </w:r>
          </w:p>
        </w:tc>
        <w:tc>
          <w:tcPr>
            <w:tcW w:w="2271" w:type="pct"/>
          </w:tcPr>
          <w:p w:rsidR="00C52695" w:rsidRPr="00C52695" w:rsidRDefault="00C52695" w:rsidP="00C52695">
            <w:r w:rsidRPr="00883125">
              <w:t>There is insufficient explanation for introducing the distribution rate for only listed equity.</w:t>
            </w:r>
            <w:r w:rsidRPr="00C52695">
              <w:rPr>
                <w:rStyle w:val="FootnoteReference"/>
              </w:rPr>
              <w:footnoteReference w:id="303"/>
            </w:r>
          </w:p>
        </w:tc>
        <w:tc>
          <w:tcPr>
            <w:tcW w:w="1945" w:type="pct"/>
          </w:tcPr>
          <w:p w:rsidR="00C52695" w:rsidRPr="00C52695" w:rsidRDefault="00C52695" w:rsidP="00C52695">
            <w:r w:rsidRPr="00B31DF2">
              <w:t>As discussed in section</w:t>
            </w:r>
            <w:r w:rsidRPr="00C52695">
              <w:t xml:space="preserve"> </w:t>
            </w:r>
            <w:r w:rsidR="00747414">
              <w:fldChar w:fldCharType="begin"/>
            </w:r>
            <w:r w:rsidR="00747414">
              <w:instrText xml:space="preserve"> REF _Ref476580960 \r \h </w:instrText>
            </w:r>
            <w:r w:rsidR="00747414">
              <w:fldChar w:fldCharType="separate"/>
            </w:r>
            <w:r w:rsidR="007E3457">
              <w:t>4.4</w:t>
            </w:r>
            <w:r w:rsidR="00747414">
              <w:fldChar w:fldCharType="end"/>
            </w:r>
            <w:r w:rsidRPr="00C52695">
              <w:t xml:space="preserve"> of attachment 4 and section </w:t>
            </w:r>
            <w:r w:rsidRPr="00C52695">
              <w:fldChar w:fldCharType="begin"/>
            </w:r>
            <w:r w:rsidRPr="00C52695">
              <w:instrText xml:space="preserve"> REF _Ref401133206 \r \h </w:instrText>
            </w:r>
            <w:r w:rsidRPr="00C52695">
              <w:fldChar w:fldCharType="separate"/>
            </w:r>
            <w:r w:rsidR="007E3457">
              <w:t>A.10</w:t>
            </w:r>
            <w:r w:rsidRPr="00C52695">
              <w:fldChar w:fldCharType="end"/>
            </w:r>
            <w:r w:rsidRPr="00C52695">
              <w:t xml:space="preserve"> of this appendix, we consider the use of a distribution rate for listed equity is open to us and reasonably reflective of a benchmark efficient entity given the difficulties associated with choosing a representative dataset.</w:t>
            </w:r>
            <w:r w:rsidRPr="00C52695">
              <w:rPr>
                <w:rStyle w:val="FootnoteReference"/>
              </w:rPr>
              <w:footnoteReference w:id="304"/>
            </w:r>
            <w:r w:rsidRPr="00C52695">
              <w:t xml:space="preserve"> Lally also recommends distribution rate based on listed equity for a benchmark efficient entity, although he estimates this using financial statements of the top 20 listed firms.</w:t>
            </w:r>
            <w:r w:rsidRPr="00C52695">
              <w:rPr>
                <w:rStyle w:val="FootnoteReference"/>
              </w:rPr>
              <w:footnoteReference w:id="305"/>
            </w:r>
          </w:p>
          <w:p w:rsidR="00C52695" w:rsidRPr="00C52695" w:rsidRDefault="00C52695" w:rsidP="00E8071F">
            <w:r w:rsidRPr="00B31DF2">
              <w:t>As discussed in section</w:t>
            </w:r>
            <w:r w:rsidRPr="00C52695">
              <w:t xml:space="preserve"> </w:t>
            </w:r>
            <w:r w:rsidR="00747414">
              <w:fldChar w:fldCharType="begin"/>
            </w:r>
            <w:r w:rsidR="00747414">
              <w:instrText xml:space="preserve"> REF _Ref476580949 \r \h </w:instrText>
            </w:r>
            <w:r w:rsidR="00747414">
              <w:fldChar w:fldCharType="separate"/>
            </w:r>
            <w:r w:rsidR="007E3457">
              <w:t>4.4</w:t>
            </w:r>
            <w:r w:rsidR="00747414">
              <w:fldChar w:fldCharType="end"/>
            </w:r>
            <w:r w:rsidR="00EC4C53">
              <w:t xml:space="preserve"> </w:t>
            </w:r>
            <w:r w:rsidRPr="00C52695">
              <w:t xml:space="preserve">of attachment 4 and section </w:t>
            </w:r>
            <w:r w:rsidRPr="00C52695">
              <w:fldChar w:fldCharType="begin"/>
            </w:r>
            <w:r w:rsidRPr="00C52695">
              <w:instrText xml:space="preserve"> REF _Ref450299300 \r \h </w:instrText>
            </w:r>
            <w:r w:rsidRPr="00C52695">
              <w:fldChar w:fldCharType="separate"/>
            </w:r>
            <w:r w:rsidR="007E3457">
              <w:t>A.9.2</w:t>
            </w:r>
            <w:r w:rsidRPr="00C52695">
              <w:fldChar w:fldCharType="end"/>
            </w:r>
            <w:r w:rsidRPr="00C52695">
              <w:t xml:space="preserve"> of this appendix, </w:t>
            </w:r>
            <w:r w:rsidR="00E8071F">
              <w:t xml:space="preserve">Lally considers there is no necessity to combine </w:t>
            </w:r>
            <w:r w:rsidR="00E8071F" w:rsidRPr="001D37D5">
              <w:t>estimates of the distribution rate and utilisation rate from the same dataset</w:t>
            </w:r>
            <w:r w:rsidR="00E8071F">
              <w:t xml:space="preserve"> and good reason not for not doing so</w:t>
            </w:r>
            <w:r w:rsidR="00EC4C53">
              <w:t>.</w:t>
            </w:r>
            <w:r w:rsidR="00E8071F">
              <w:rPr>
                <w:rStyle w:val="FootnoteReference"/>
              </w:rPr>
              <w:footnoteReference w:id="306"/>
            </w:r>
            <w:r w:rsidR="00E8071F">
              <w:t xml:space="preserve"> However, </w:t>
            </w:r>
            <w:r w:rsidR="00452BA3">
              <w:t xml:space="preserve">we note given Lally's advice </w:t>
            </w:r>
            <w:r w:rsidR="00E8071F">
              <w:t xml:space="preserve">our approach </w:t>
            </w:r>
            <w:r w:rsidR="00452BA3">
              <w:t xml:space="preserve">appears </w:t>
            </w:r>
            <w:r w:rsidR="00E8071F">
              <w:t xml:space="preserve">to </w:t>
            </w:r>
            <w:r w:rsidR="00452BA3">
              <w:t xml:space="preserve">lead to a </w:t>
            </w:r>
            <w:r w:rsidR="00E8071F">
              <w:t>conservative gamma estimate</w:t>
            </w:r>
            <w:r w:rsidR="00452BA3">
              <w:t xml:space="preserve"> (in favour of the service provider)</w:t>
            </w:r>
            <w:r w:rsidR="00E8071F">
              <w:t xml:space="preserve">, as Lally considers only listed firms should be used to determine the distribution rate and all equity should be used to estimate the utilisation value which results in a gamma estimate of 0.5. </w:t>
            </w:r>
            <w:r w:rsidRPr="00C52695">
              <w:t>While we primarily rely on 'matched' estimates, we also have regard to Lally's preferred estimate based on an all equity utilisation rate from the equity ownership approach and a distribution rate for listed equity from financial reports of the top 20 listed firms.</w:t>
            </w:r>
            <w:r w:rsidRPr="00C52695">
              <w:rPr>
                <w:rStyle w:val="FootnoteReference"/>
              </w:rPr>
              <w:footnoteReference w:id="307"/>
            </w:r>
          </w:p>
        </w:tc>
      </w:tr>
      <w:tr w:rsidR="00C52695" w:rsidTr="006425B8">
        <w:tc>
          <w:tcPr>
            <w:tcW w:w="784" w:type="pct"/>
          </w:tcPr>
          <w:p w:rsidR="00C52695" w:rsidRPr="00C52695" w:rsidRDefault="00C52695" w:rsidP="00C52695">
            <w:r w:rsidRPr="00883125">
              <w:t>Equity ownership approach</w:t>
            </w:r>
          </w:p>
        </w:tc>
        <w:tc>
          <w:tcPr>
            <w:tcW w:w="2271" w:type="pct"/>
          </w:tcPr>
          <w:p w:rsidR="00C52695" w:rsidRPr="00C52695" w:rsidRDefault="00C52695" w:rsidP="00C52695">
            <w:r w:rsidRPr="00883125">
              <w:t xml:space="preserve">To the extent that the equity ownership approach indicates that theta is above the </w:t>
            </w:r>
            <w:r w:rsidRPr="00C52695">
              <w:t>amount specified through tax statistics, it is apparent that there are investors who the AER assume are eligible to redeem imputation credits but, for whatever reasons, either cannot redeem them or attribute so little value to the credits that they do not utilise them.</w:t>
            </w:r>
            <w:r w:rsidRPr="00C52695">
              <w:rPr>
                <w:rStyle w:val="FootnoteReference"/>
              </w:rPr>
              <w:footnoteReference w:id="308"/>
            </w:r>
          </w:p>
          <w:p w:rsidR="00C52695" w:rsidRPr="00C52695" w:rsidRDefault="00C52695" w:rsidP="00C52695">
            <w:r w:rsidRPr="00883125">
              <w:t>There are investors who hold shares for less than 45 days. The issue is not whether such a class exists, but the size of that class and the extent to which the value of imputation credits is lower as a result of domestic shareholders being unable to use them.</w:t>
            </w:r>
            <w:r w:rsidRPr="00C52695">
              <w:rPr>
                <w:rStyle w:val="FootnoteReference"/>
              </w:rPr>
              <w:footnoteReference w:id="309"/>
            </w:r>
          </w:p>
          <w:p w:rsidR="00C52695" w:rsidRPr="00C52695" w:rsidRDefault="00C52695" w:rsidP="00C52695">
            <w:r w:rsidRPr="00883125">
              <w:t>The equity ownership approach overstates the redemption rates and would only be useful a further check on other estimates.</w:t>
            </w:r>
            <w:r w:rsidRPr="00C52695">
              <w:rPr>
                <w:rStyle w:val="FootnoteReference"/>
              </w:rPr>
              <w:footnoteReference w:id="310"/>
            </w:r>
          </w:p>
          <w:p w:rsidR="00C52695" w:rsidRPr="00C52695" w:rsidRDefault="00C52695" w:rsidP="00C52695">
            <w:r w:rsidRPr="00883125">
              <w:t>The AER's equity ownership and tax statistics approaches makes no attempt to assess the value of imputation credits to shareholders and ignores the likely existent of factors, such as the 45 day rule, which, across all eligible shareholders, reduce the value of imputation credits to those shareholders below the "face" value assumed by the AER. As a result, these approaches are inconsistent with a proper interpretation of the Officer Framework underlying 2 .5.3 of the NEL.</w:t>
            </w:r>
            <w:r w:rsidRPr="00C52695">
              <w:rPr>
                <w:rStyle w:val="FootnoteReference"/>
              </w:rPr>
              <w:footnoteReference w:id="311"/>
            </w:r>
          </w:p>
        </w:tc>
        <w:tc>
          <w:tcPr>
            <w:tcW w:w="1945" w:type="pct"/>
          </w:tcPr>
          <w:p w:rsidR="00C52695" w:rsidRPr="00C52695" w:rsidRDefault="00C52695" w:rsidP="00C52695">
            <w:r>
              <w:t>We</w:t>
            </w:r>
            <w:r w:rsidRPr="00C52695">
              <w:t xml:space="preserve"> consider the equity ownership approach remains the best method to estimate the utilisation rate. We do not consider the difference between the equity ownership approach and tax statistics is due to the 45 day holding rule and Lally agrees with this.</w:t>
            </w:r>
            <w:r w:rsidRPr="00C52695">
              <w:rPr>
                <w:rStyle w:val="FootnoteReference"/>
              </w:rPr>
              <w:footnoteReference w:id="312"/>
            </w:r>
            <w:r w:rsidRPr="00C52695">
              <w:t xml:space="preserve"> Instead, we consider the difference in the utilisation rate is likely driven by the unreliability in the taxation data underlying the tax statistics estimate. Lally considers the most obvious explanation for the difference is the estimate of the redemption rate from tax statistics used by the AER is too low.</w:t>
            </w:r>
            <w:r w:rsidRPr="00C52695">
              <w:rPr>
                <w:rStyle w:val="FootnoteReference"/>
              </w:rPr>
              <w:footnoteReference w:id="313"/>
            </w:r>
            <w:r w:rsidRPr="00C52695">
              <w:t xml:space="preserve"> However we note that, regardless of any issues of taxation data reliability, an estimate of gamma of approximately 0.4 is obtained when combining a utilisation rate of 0.48 (consistent with FAB data) with Lally's preferred estimate of the distribution rate for a benchmark efficient entity of 0.83.</w:t>
            </w:r>
            <w:r w:rsidRPr="00C52695">
              <w:rPr>
                <w:rStyle w:val="FootnoteReference"/>
              </w:rPr>
              <w:footnoteReference w:id="314"/>
            </w:r>
          </w:p>
          <w:p w:rsidR="00C52695" w:rsidRPr="00C52695" w:rsidRDefault="00C52695" w:rsidP="00C52695">
            <w:r>
              <w:t>We</w:t>
            </w:r>
            <w:r w:rsidRPr="00C52695">
              <w:t xml:space="preserve"> remain of the view that the 45 day rule does not have a material impact on the utilisation rate. This is supported by Lally.</w:t>
            </w:r>
            <w:r w:rsidRPr="00C52695">
              <w:rPr>
                <w:rStyle w:val="FootnoteReference"/>
              </w:rPr>
              <w:footnoteReference w:id="315"/>
            </w:r>
            <w:r w:rsidRPr="00C52695">
              <w:t xml:space="preserve"> We have not been presented with any data that would suggest the 45 day rule is having any impact on the utilisation of imputation credits. </w:t>
            </w:r>
          </w:p>
          <w:p w:rsidR="00C52695" w:rsidRPr="00C52695" w:rsidRDefault="00C52695" w:rsidP="00C52695">
            <w:r>
              <w:t>We</w:t>
            </w:r>
            <w:r w:rsidRPr="00C52695">
              <w:t xml:space="preserve"> consider that on a post-company pre-personal tax basis, investors that are eligible to receive imputation credits value them at their full face value. A dollar face value of imputation credits reduces eligible investor's tax liabilities by one dollar. The face value of the imputation credit is the post-company pre-personal tax value of the imputation credit.</w:t>
            </w:r>
          </w:p>
        </w:tc>
      </w:tr>
      <w:tr w:rsidR="00C52695" w:rsidRPr="00B45BDD" w:rsidTr="006425B8">
        <w:trPr>
          <w:cnfStyle w:val="000000010000" w:firstRow="0" w:lastRow="0" w:firstColumn="0" w:lastColumn="0" w:oddVBand="0" w:evenVBand="0" w:oddHBand="0" w:evenHBand="1" w:firstRowFirstColumn="0" w:firstRowLastColumn="0" w:lastRowFirstColumn="0" w:lastRowLastColumn="0"/>
        </w:trPr>
        <w:tc>
          <w:tcPr>
            <w:tcW w:w="784" w:type="pct"/>
          </w:tcPr>
          <w:p w:rsidR="00C52695" w:rsidRPr="00C52695" w:rsidRDefault="00C52695" w:rsidP="00C52695">
            <w:r w:rsidRPr="00883125">
              <w:t>Tax statistic estimates</w:t>
            </w:r>
          </w:p>
        </w:tc>
        <w:tc>
          <w:tcPr>
            <w:tcW w:w="2271" w:type="pct"/>
          </w:tcPr>
          <w:p w:rsidR="00C52695" w:rsidRPr="00C52695" w:rsidRDefault="00C52695" w:rsidP="00C52695">
            <w:r w:rsidRPr="00883125">
              <w:t xml:space="preserve">Tax statistics can only </w:t>
            </w:r>
            <w:r w:rsidRPr="00C52695">
              <w:t>provide an upper bound on the estimate of theta.</w:t>
            </w:r>
            <w:r w:rsidRPr="00C52695">
              <w:rPr>
                <w:rStyle w:val="FootnoteReference"/>
              </w:rPr>
              <w:footnoteReference w:id="316"/>
            </w:r>
          </w:p>
          <w:p w:rsidR="00C52695" w:rsidRPr="00C52695" w:rsidRDefault="00C52695" w:rsidP="00C52695">
            <w:r w:rsidRPr="00883125">
              <w:t xml:space="preserve">The value of theta produced by taxation statistics is evidence that Australian investors do not value </w:t>
            </w:r>
            <w:r w:rsidRPr="00C52695">
              <w:t>imputation credits at their face value, because they may be unable to use them.</w:t>
            </w:r>
            <w:r w:rsidRPr="00C52695">
              <w:rPr>
                <w:rStyle w:val="FootnoteReference"/>
              </w:rPr>
              <w:footnoteReference w:id="317"/>
            </w:r>
          </w:p>
          <w:p w:rsidR="00C52695" w:rsidRPr="00C52695" w:rsidRDefault="00C52695" w:rsidP="00C52695">
            <w:r w:rsidRPr="00883125">
              <w:t>The ATO data relied by Hathaway has since been acknowledged by Hathaway to be of some concern.</w:t>
            </w:r>
            <w:r w:rsidRPr="00C52695">
              <w:rPr>
                <w:rStyle w:val="FootnoteReference"/>
              </w:rPr>
              <w:footnoteReference w:id="318"/>
            </w:r>
          </w:p>
        </w:tc>
        <w:tc>
          <w:tcPr>
            <w:tcW w:w="1945" w:type="pct"/>
          </w:tcPr>
          <w:p w:rsidR="00C52695" w:rsidRPr="00C52695" w:rsidRDefault="00C52695" w:rsidP="00C52695">
            <w:r w:rsidRPr="00883125">
              <w:t xml:space="preserve">Handley advised that his previous comments regarding the use of tax statistics being an 'upper bound' were misinterpreted in these proceedings. Handley confirmed that tax statistics can be used to produce a point estimate of the utilisation </w:t>
            </w:r>
            <w:r w:rsidRPr="00C52695">
              <w:t xml:space="preserve">rate. We discussed Handley's views in section A.6.1 of the draft/preliminary decisions. We discuss the use of tax statistics more broadly in section </w:t>
            </w:r>
            <w:r w:rsidRPr="00C52695">
              <w:fldChar w:fldCharType="begin"/>
            </w:r>
            <w:r w:rsidRPr="00C52695">
              <w:instrText xml:space="preserve"> REF _Ref402179420 \r \h  \* MERGEFORMAT </w:instrText>
            </w:r>
            <w:r w:rsidRPr="00C52695">
              <w:fldChar w:fldCharType="separate"/>
            </w:r>
            <w:r w:rsidR="007E3457">
              <w:t>A.13</w:t>
            </w:r>
            <w:r w:rsidRPr="00C52695">
              <w:fldChar w:fldCharType="end"/>
            </w:r>
            <w:r w:rsidRPr="00C52695">
              <w:t xml:space="preserve"> of this appendix.</w:t>
            </w:r>
          </w:p>
          <w:p w:rsidR="00C52695" w:rsidRPr="00C52695" w:rsidRDefault="00C52695" w:rsidP="00C52695">
            <w:r>
              <w:t xml:space="preserve">Lally advised that the correct tax statistic </w:t>
            </w:r>
            <w:r w:rsidRPr="00C52695">
              <w:t>is upward biased as it is expected local investors would tilt their shareholding towards stock with high imputation credit yields. However, he considers that given the taxation data reliability issues and the fact that we select the lower of the two possible tax statistic estimates (0.45 vs. 0.62), the tax statistic estimate we use (updated to 0.48 in this decision) is not an upper bound.</w:t>
            </w:r>
            <w:r w:rsidRPr="00C52695">
              <w:rPr>
                <w:rStyle w:val="FootnoteReference"/>
              </w:rPr>
              <w:footnoteReference w:id="319"/>
            </w:r>
            <w:r w:rsidRPr="00C52695">
              <w:t xml:space="preserve"> Ultimately, we consider any uncertain estimate is not an upper bound. Moreover, even if we do use an estimate of the utilisation rate of 0.48 from tax statistics (consistent with FAB data), this results in an estimate for gamma of approximately 0.4 when combined with Lally's preferred distribution rate of 0.83 for a benchmark efficient entity.</w:t>
            </w:r>
          </w:p>
          <w:p w:rsidR="00C52695" w:rsidRPr="00C52695" w:rsidRDefault="00C52695" w:rsidP="00C52695">
            <w:r w:rsidRPr="00FF12F1">
              <w:t>Having regard to the potential data limitations and alternate estimates, the evidence from tax statistics is not inconsistent with the evidence from the equity ownership approach, but we place less reliance upon it.</w:t>
            </w:r>
            <w:r w:rsidRPr="00C52695">
              <w:t xml:space="preserve"> </w:t>
            </w:r>
          </w:p>
          <w:p w:rsidR="00C52695" w:rsidRPr="00C52695" w:rsidRDefault="00C52695" w:rsidP="00C52695">
            <w:r>
              <w:t>We do</w:t>
            </w:r>
            <w:r w:rsidRPr="00C52695">
              <w:t xml:space="preserve"> not consider the utilisation rate produced by taxation statistics is evidence that Australian investors do not value imputation credits at their face value. Rather we consider the evidence demonstrates there are potential data reliability issues with tax statistics. The Tribunal itself has acknowledged concerns with the ATO data.</w:t>
            </w:r>
            <w:r w:rsidRPr="00C52695">
              <w:rPr>
                <w:rStyle w:val="FootnoteReference"/>
              </w:rPr>
              <w:footnoteReference w:id="320"/>
            </w:r>
          </w:p>
        </w:tc>
      </w:tr>
      <w:tr w:rsidR="00C52695" w:rsidRPr="00B45BDD" w:rsidTr="006425B8">
        <w:tc>
          <w:tcPr>
            <w:tcW w:w="784" w:type="pct"/>
          </w:tcPr>
          <w:p w:rsidR="00C52695" w:rsidRPr="00C52695" w:rsidRDefault="00C52695" w:rsidP="00C52695">
            <w:r w:rsidRPr="00883125">
              <w:t>The conceptual basis for dividend drop off studies</w:t>
            </w:r>
          </w:p>
        </w:tc>
        <w:tc>
          <w:tcPr>
            <w:tcW w:w="2271" w:type="pct"/>
          </w:tcPr>
          <w:p w:rsidR="00C52695" w:rsidRPr="00C52695" w:rsidRDefault="00C52695" w:rsidP="00C52695">
            <w:r>
              <w:t>O</w:t>
            </w:r>
            <w:r w:rsidRPr="00C52695">
              <w:t>f the various methodologies for estimating gamma employed by the AER, market value studies are best placed to capture the considerations that investors make in determining the worth of imputation credits to them.</w:t>
            </w:r>
            <w:r w:rsidRPr="00C52695">
              <w:rPr>
                <w:rStyle w:val="FootnoteReference"/>
              </w:rPr>
              <w:footnoteReference w:id="321"/>
            </w:r>
          </w:p>
          <w:p w:rsidR="00C52695" w:rsidRPr="00C52695" w:rsidRDefault="00C52695" w:rsidP="00C52695">
            <w:r w:rsidRPr="00883125">
              <w:t>The AER could have excluded earlier market based studies that were not relevant, such as the studies that were conducted on pre 2000 data.</w:t>
            </w:r>
            <w:r w:rsidRPr="00C52695">
              <w:rPr>
                <w:rStyle w:val="FootnoteReference"/>
              </w:rPr>
              <w:footnoteReference w:id="322"/>
            </w:r>
          </w:p>
          <w:p w:rsidR="00C52695" w:rsidRPr="00C52695" w:rsidRDefault="00C52695" w:rsidP="00C52695">
            <w:r w:rsidRPr="00883125">
              <w:t xml:space="preserve">That the econometric issues identified in market based studies is at odds with the AER's </w:t>
            </w:r>
            <w:r w:rsidRPr="00C52695">
              <w:t>reliance on economic modelling in other aspects of its determinations.</w:t>
            </w:r>
            <w:r w:rsidRPr="00C52695">
              <w:rPr>
                <w:rStyle w:val="FootnoteReference"/>
              </w:rPr>
              <w:footnoteReference w:id="323"/>
            </w:r>
          </w:p>
          <w:p w:rsidR="00C52695" w:rsidRPr="00C52695" w:rsidRDefault="00C52695" w:rsidP="00C52695">
            <w:r w:rsidRPr="00883125">
              <w:t xml:space="preserve">The best estimate derived by the updated SFG study is 0.35 and it </w:t>
            </w:r>
            <w:r w:rsidRPr="00C52695">
              <w:t xml:space="preserve">is incorrect for the AER to </w:t>
            </w:r>
            <w:r w:rsidR="00AD585A" w:rsidRPr="00C52695">
              <w:t>adjust</w:t>
            </w:r>
            <w:r w:rsidRPr="00C52695">
              <w:t xml:space="preserve"> the SFG study for factors, such as differential personal taxes and risk.</w:t>
            </w:r>
            <w:r w:rsidRPr="00C52695">
              <w:rPr>
                <w:rStyle w:val="FootnoteReference"/>
              </w:rPr>
              <w:footnoteReference w:id="324"/>
            </w:r>
          </w:p>
          <w:p w:rsidR="00C52695" w:rsidRPr="00C52695" w:rsidRDefault="00C52695" w:rsidP="00C52695">
            <w:r w:rsidRPr="00883125">
              <w:t>The SFG 2013 Study represents one point of view. As in a number of instances in these matters, there are conflicting expert views. Without the benefit of learning further from the experts, the Tribunal (like the AER) is faced with the selection between competing views.</w:t>
            </w:r>
            <w:r w:rsidRPr="00C52695">
              <w:rPr>
                <w:rStyle w:val="FootnoteReference"/>
              </w:rPr>
              <w:footnoteReference w:id="325"/>
            </w:r>
          </w:p>
        </w:tc>
        <w:tc>
          <w:tcPr>
            <w:tcW w:w="1945" w:type="pct"/>
          </w:tcPr>
          <w:p w:rsidR="00C52695" w:rsidRPr="00C52695" w:rsidRDefault="00C52695" w:rsidP="00C52695">
            <w:r w:rsidRPr="00883125">
              <w:t xml:space="preserve">The limitations of dividend drop off studies have been widely identified—we provide a selection of comments from academics and regulators in section </w:t>
            </w:r>
            <w:r w:rsidRPr="00C52695">
              <w:fldChar w:fldCharType="begin"/>
            </w:r>
            <w:r w:rsidRPr="00C52695">
              <w:instrText xml:space="preserve"> REF _Ref451266265 \r \h  \* MERGEFORMAT </w:instrText>
            </w:r>
            <w:r w:rsidRPr="00C52695">
              <w:fldChar w:fldCharType="separate"/>
            </w:r>
            <w:r w:rsidR="007E3457">
              <w:t>A.15</w:t>
            </w:r>
            <w:r w:rsidRPr="00C52695">
              <w:fldChar w:fldCharType="end"/>
            </w:r>
            <w:r w:rsidRPr="00C52695">
              <w:t xml:space="preserve"> and </w:t>
            </w:r>
            <w:r w:rsidRPr="00C52695">
              <w:fldChar w:fldCharType="begin"/>
            </w:r>
            <w:r w:rsidRPr="00C52695">
              <w:instrText xml:space="preserve"> REF _Ref450761230 \r \h </w:instrText>
            </w:r>
            <w:r w:rsidRPr="00C52695">
              <w:fldChar w:fldCharType="separate"/>
            </w:r>
            <w:r w:rsidR="007E3457">
              <w:t>4.4.1</w:t>
            </w:r>
            <w:r w:rsidRPr="00C52695">
              <w:fldChar w:fldCharType="end"/>
            </w:r>
            <w:r w:rsidRPr="00C52695">
              <w:t>. Moreover, both Handley and Lally advised that other approaches to estimating the utilisation rate should be preferred. Handley and Lally also advised that, without adjustment, dividend drop off studies produce downwards-biased estimates of the utilisation rate.</w:t>
            </w:r>
          </w:p>
          <w:p w:rsidR="00C52695" w:rsidRPr="00C52695" w:rsidRDefault="00C52695" w:rsidP="00C52695">
            <w:r w:rsidRPr="00883125">
              <w:t xml:space="preserve">The issue with dividend </w:t>
            </w:r>
            <w:r w:rsidRPr="00C52695">
              <w:t>drop off estimates of the utilisation rate (or value) is that they do not produce a post</w:t>
            </w:r>
            <w:r w:rsidR="00E57D43">
              <w:t xml:space="preserve"> </w:t>
            </w:r>
            <w:r w:rsidRPr="00C52695">
              <w:t xml:space="preserve">(company) tax (pre-personal tax) estimate and therefore do not produce estimates consistent with the Officer post-tax framework. The dividend drop off estimate is influenced by differential personal taxes, given that investor value capital gains more than dividend income due preferential tax treatment of capital gains. Further, dividend drop off studies reflect the value of the marginal investor and not the value of aggregate long term investors in regulated utilities. This is further discussed in section </w:t>
            </w:r>
            <w:r w:rsidRPr="00C52695">
              <w:fldChar w:fldCharType="begin"/>
            </w:r>
            <w:r w:rsidRPr="00C52695">
              <w:instrText xml:space="preserve"> REF _Ref435171205 \r \h  \* MERGEFORMAT </w:instrText>
            </w:r>
            <w:r w:rsidRPr="00C52695">
              <w:fldChar w:fldCharType="separate"/>
            </w:r>
            <w:r w:rsidR="007E3457">
              <w:t>A.15.3</w:t>
            </w:r>
            <w:r w:rsidRPr="00C52695">
              <w:fldChar w:fldCharType="end"/>
            </w:r>
            <w:r w:rsidRPr="00C52695">
              <w:t>.</w:t>
            </w:r>
          </w:p>
          <w:p w:rsidR="00C52695" w:rsidRPr="00C52695" w:rsidRDefault="00C52695" w:rsidP="00C52695">
            <w:r w:rsidRPr="00883125">
              <w:t xml:space="preserve">The </w:t>
            </w:r>
            <w:r w:rsidRPr="00C52695">
              <w:t>utilisation value estimate from dividend drop off studies is neither a pre- nor post-personal tax estimate. The pre-personal tax estimate of the utilisation value is the face value of imputation credits. The personal tax is levied on the face value of imputation credits (levied on gross dividend).</w:t>
            </w:r>
          </w:p>
        </w:tc>
      </w:tr>
      <w:tr w:rsidR="00C52695" w:rsidRPr="00B45BDD" w:rsidTr="006425B8">
        <w:trPr>
          <w:cnfStyle w:val="000000010000" w:firstRow="0" w:lastRow="0" w:firstColumn="0" w:lastColumn="0" w:oddVBand="0" w:evenVBand="0" w:oddHBand="0" w:evenHBand="1" w:firstRowFirstColumn="0" w:firstRowLastColumn="0" w:lastRowFirstColumn="0" w:lastRowLastColumn="0"/>
        </w:trPr>
        <w:tc>
          <w:tcPr>
            <w:tcW w:w="784" w:type="pct"/>
          </w:tcPr>
          <w:p w:rsidR="00C52695" w:rsidRPr="00C52695" w:rsidRDefault="00C52695" w:rsidP="00C52695">
            <w:r w:rsidRPr="00883125">
              <w:t>Consistency of allowed rate of return parameters</w:t>
            </w:r>
          </w:p>
        </w:tc>
        <w:tc>
          <w:tcPr>
            <w:tcW w:w="2271" w:type="pct"/>
          </w:tcPr>
          <w:p w:rsidR="00C52695" w:rsidRPr="00C52695" w:rsidRDefault="00C52695" w:rsidP="00C52695">
            <w:r w:rsidRPr="00883125">
              <w:t xml:space="preserve">The AER's reasoning ignores the fact that other parameters in the WACC </w:t>
            </w:r>
            <w:r w:rsidRPr="00C52695">
              <w:t>calculation are market values that already incorporate the effects of the difference in investors' tax position and transaction costs'.</w:t>
            </w:r>
            <w:r w:rsidRPr="00C52695">
              <w:rPr>
                <w:rStyle w:val="FootnoteReference"/>
              </w:rPr>
              <w:footnoteReference w:id="326"/>
            </w:r>
            <w:r w:rsidRPr="00C52695">
              <w:t xml:space="preserve"> There is no inconsistency between the use of market studies to estimate the value of imputation credits and the method used to calculate other parameters of the cost of debt and equity from market data.</w:t>
            </w:r>
            <w:r w:rsidRPr="00C52695">
              <w:rPr>
                <w:rStyle w:val="FootnoteReference"/>
              </w:rPr>
              <w:footnoteReference w:id="327"/>
            </w:r>
            <w:r w:rsidRPr="00C52695">
              <w:t xml:space="preserve"> The Tribunal consider that return on equity is derived from market prices of government bonds (the risk free rate) and from the market prices of shares (beta and MRP).</w:t>
            </w:r>
            <w:r w:rsidRPr="00C52695">
              <w:rPr>
                <w:rStyle w:val="FootnoteReference"/>
              </w:rPr>
              <w:footnoteReference w:id="328"/>
            </w:r>
            <w:r w:rsidRPr="00C52695">
              <w:t xml:space="preserve"> The cost of debt is calculated by reference to bond yields which are derived directly from traded market prices.</w:t>
            </w:r>
            <w:r w:rsidRPr="00C52695">
              <w:rPr>
                <w:rStyle w:val="FootnoteReference"/>
              </w:rPr>
              <w:footnoteReference w:id="329"/>
            </w:r>
            <w:r w:rsidRPr="00C52695">
              <w:t xml:space="preserve"> These market prices reflect every consideration that investors make in determining the worth of shares to them and that the bond prices, and the yields that are derived from them, reflect every consideration that investors make in determining the worth of the asset to them, including "personal costs".</w:t>
            </w:r>
            <w:r w:rsidRPr="00C52695">
              <w:rPr>
                <w:rStyle w:val="FootnoteReference"/>
              </w:rPr>
              <w:footnoteReference w:id="330"/>
            </w:r>
          </w:p>
        </w:tc>
        <w:tc>
          <w:tcPr>
            <w:tcW w:w="1945" w:type="pct"/>
          </w:tcPr>
          <w:p w:rsidR="00C52695" w:rsidRPr="00C52695" w:rsidRDefault="00C52695" w:rsidP="00C52695">
            <w:r w:rsidRPr="00B27BE5">
              <w:t>The market value of imputation credits is inferred from dividend drop off studies which measure the dividend drop off ratio. The value of imputation credits from dividend drop off studies is influenced by differential personal taxation of dividend income and capital gains. It reflects investor's preference for capital gains over dividend income given the preferential tax treatment of capital gains in Australia. As such, it does not reflect a post-</w:t>
            </w:r>
            <w:r w:rsidRPr="00C52695">
              <w:t>company pre-personal tax value consistent with the framework in the NER/NGR based on Officer's work.</w:t>
            </w:r>
          </w:p>
          <w:p w:rsidR="00C52695" w:rsidRPr="00C52695" w:rsidRDefault="00C52695" w:rsidP="00C52695">
            <w:r>
              <w:t>We</w:t>
            </w:r>
            <w:r w:rsidRPr="00C52695">
              <w:t xml:space="preserve"> consider all parameters in the WACC are calculated on a consistent basis. In the WACC we use both market values (equity and debt prices) and face values (dividends, imputation credits, debt coupons, debt principal). We use the face value for imputation credits because this value is a post (company) tax (pre-personal tax) value and is internally consistent with all other allowed rate of return parameters. We note personal tax is levied on the face value of imputation credits (levied on gross dividends). </w:t>
            </w:r>
          </w:p>
        </w:tc>
      </w:tr>
      <w:tr w:rsidR="00C52695" w:rsidTr="006425B8">
        <w:tc>
          <w:tcPr>
            <w:tcW w:w="784" w:type="pct"/>
          </w:tcPr>
          <w:p w:rsidR="00C52695" w:rsidRPr="00C52695" w:rsidRDefault="00C52695" w:rsidP="00C52695">
            <w:r w:rsidRPr="00883125">
              <w:t>The need to re-evaluate gamma</w:t>
            </w:r>
          </w:p>
        </w:tc>
        <w:tc>
          <w:tcPr>
            <w:tcW w:w="2271" w:type="pct"/>
          </w:tcPr>
          <w:p w:rsidR="00C52695" w:rsidRPr="00C52695" w:rsidRDefault="00C52695" w:rsidP="00C52695">
            <w:r w:rsidRPr="00883125">
              <w:t xml:space="preserve">Changes to the NER and the NEL allow </w:t>
            </w:r>
            <w:r w:rsidRPr="00C52695">
              <w:t>the AER greater flexibility to adopt a more sophisticated approach to the cost of capital than previously envisaged by the NER and the NEL.</w:t>
            </w:r>
            <w:r w:rsidRPr="00C52695">
              <w:rPr>
                <w:rStyle w:val="FootnoteReference"/>
              </w:rPr>
              <w:footnoteReference w:id="331"/>
            </w:r>
            <w:r w:rsidRPr="00C52695">
              <w:t xml:space="preserve"> It is appropriate that the AER should use that additional flexibility to seek advice on alternatives to the Officer Framework that better define the impact of imputation credits on the cost of capital.</w:t>
            </w:r>
            <w:r w:rsidRPr="00C52695">
              <w:rPr>
                <w:rStyle w:val="FootnoteReference"/>
              </w:rPr>
              <w:footnoteReference w:id="332"/>
            </w:r>
          </w:p>
          <w:p w:rsidR="00C52695" w:rsidRPr="00C52695" w:rsidRDefault="00C52695" w:rsidP="00C52695">
            <w:r w:rsidRPr="00883125">
              <w:t>Suggested that given the New Zealand High Court decision financial modelling may not yet have produced a workable version of a CAPM that incorporates a generalised treatment of imputation credits, in which case the AER would necessarily have to make judgements about whether and how to modify the methodology in the RoR Guidelines for factors subsequently raise in advice it received from experts.</w:t>
            </w:r>
            <w:r w:rsidRPr="00C52695">
              <w:rPr>
                <w:rStyle w:val="FootnoteReference"/>
              </w:rPr>
              <w:footnoteReference w:id="333"/>
            </w:r>
          </w:p>
          <w:p w:rsidR="00C52695" w:rsidRPr="00C52695" w:rsidRDefault="00C52695" w:rsidP="00C52695">
            <w:r w:rsidRPr="00883125">
              <w:t xml:space="preserve">Experts present no consistently coherent CAPM framework for the </w:t>
            </w:r>
            <w:r w:rsidRPr="00C52695">
              <w:t>assessment of the components of the cost of capital. There are models with disputed applicability which may or may not be consistent with the application of a vanilla WACC.</w:t>
            </w:r>
            <w:r w:rsidRPr="00C52695">
              <w:rPr>
                <w:rStyle w:val="FootnoteReference"/>
              </w:rPr>
              <w:footnoteReference w:id="334"/>
            </w:r>
          </w:p>
        </w:tc>
        <w:tc>
          <w:tcPr>
            <w:tcW w:w="1945" w:type="pct"/>
          </w:tcPr>
          <w:p w:rsidR="00C52695" w:rsidRPr="00C52695" w:rsidRDefault="00C52695" w:rsidP="00022C1D">
            <w:r>
              <w:t>We</w:t>
            </w:r>
            <w:r w:rsidRPr="00C52695">
              <w:t xml:space="preserve"> remain of the view that Officer Framework remains appropriate for the current </w:t>
            </w:r>
            <w:r w:rsidR="00B31E52">
              <w:t>draft</w:t>
            </w:r>
            <w:r w:rsidR="00022C1D" w:rsidRPr="00C52695">
              <w:t xml:space="preserve"> </w:t>
            </w:r>
            <w:r w:rsidRPr="00C52695">
              <w:t>decision. We consider our application of the Officer Framework will lead to an overall rate of return (inclusive of the value of imputation credits) that is commensurate with the efficient financing costs of a benchmark efficient entity in the provision of regulated services.</w:t>
            </w:r>
          </w:p>
        </w:tc>
      </w:tr>
    </w:tbl>
    <w:p w:rsidR="00C52695" w:rsidRPr="00883125" w:rsidRDefault="00C52695" w:rsidP="00C52695">
      <w:pPr>
        <w:pStyle w:val="AERtablesource"/>
      </w:pPr>
      <w:r w:rsidRPr="00883125">
        <w:t xml:space="preserve">Source: </w:t>
      </w:r>
      <w:r w:rsidRPr="00883125">
        <w:tab/>
        <w:t>As specified in table.</w:t>
      </w:r>
    </w:p>
    <w:p w:rsidR="00DD71F3" w:rsidRDefault="00DD71F3" w:rsidP="00DD71F3"/>
    <w:p w:rsidR="00797A7F" w:rsidRPr="00883125" w:rsidRDefault="00797A7F" w:rsidP="00C52695"/>
    <w:p w:rsidR="00C52695" w:rsidRPr="00883125" w:rsidRDefault="00C52695" w:rsidP="00C52695">
      <w:pPr>
        <w:sectPr w:rsidR="00C52695" w:rsidRPr="00883125" w:rsidSect="006425B8">
          <w:pgSz w:w="16838" w:h="11906" w:orient="landscape"/>
          <w:pgMar w:top="1440" w:right="1440" w:bottom="1440" w:left="1440" w:header="709" w:footer="709" w:gutter="0"/>
          <w:pgNumType w:chapStyle="1"/>
          <w:cols w:space="708"/>
          <w:docGrid w:linePitch="360"/>
        </w:sectPr>
      </w:pPr>
    </w:p>
    <w:p w:rsidR="00C52695" w:rsidRPr="00883125" w:rsidRDefault="00C52695" w:rsidP="00C52695">
      <w:pPr>
        <w:pStyle w:val="Heading9"/>
      </w:pPr>
      <w:r>
        <w:t xml:space="preserve"> </w:t>
      </w:r>
      <w:bookmarkStart w:id="174" w:name="_Toc456614294"/>
      <w:bookmarkStart w:id="175" w:name="_Toc462823312"/>
      <w:bookmarkStart w:id="176" w:name="_Toc487014061"/>
      <w:r w:rsidRPr="00883125">
        <w:t>Energex</w:t>
      </w:r>
      <w:bookmarkEnd w:id="174"/>
      <w:bookmarkEnd w:id="175"/>
      <w:bookmarkEnd w:id="176"/>
    </w:p>
    <w:p w:rsidR="00C52695" w:rsidRPr="00883125" w:rsidRDefault="00C52695" w:rsidP="00C52695">
      <w:pPr>
        <w:numPr>
          <w:ilvl w:val="0"/>
          <w:numId w:val="24"/>
        </w:numPr>
      </w:pPr>
      <w:r w:rsidRPr="00883125">
        <w:t>In our 2009 industry wide review of rate of return parameters (the 2009 WACC review), we adopted a gamma of 0.65.</w:t>
      </w:r>
      <w:r w:rsidRPr="00883125">
        <w:rPr>
          <w:rStyle w:val="FootnoteReference"/>
        </w:rPr>
        <w:footnoteReference w:id="335"/>
      </w:r>
      <w:r w:rsidRPr="00883125">
        <w:t xml:space="preserve"> In 2009, we applied this value in the Queensland and South Australian electricity distribution determinations. Energex and Ergon successfully sought review of this decision by the Australian Competition Tribunal. The </w:t>
      </w:r>
      <w:r w:rsidR="00C25A56">
        <w:t xml:space="preserve">Energex </w:t>
      </w:r>
      <w:r w:rsidRPr="00883125">
        <w:t>Tribunal set the distribution rate to 0.7 and initiated a dividend drop off study from SFG to estimate the utilisation rate. The</w:t>
      </w:r>
      <w:r w:rsidR="00C25A56">
        <w:t xml:space="preserve"> Energex</w:t>
      </w:r>
      <w:r w:rsidRPr="00883125">
        <w:t xml:space="preserve"> Tribunal adopted SFG's recommendation that the utilisation rate be set at 0.35. This resulted in a gamma of 0.25. </w:t>
      </w:r>
    </w:p>
    <w:p w:rsidR="00C52695" w:rsidRPr="00883125" w:rsidRDefault="00C52695" w:rsidP="00C52695">
      <w:r w:rsidRPr="00883125">
        <w:t xml:space="preserve">In reaching its position, the </w:t>
      </w:r>
      <w:r w:rsidR="00C25A56">
        <w:t xml:space="preserve">Energex </w:t>
      </w:r>
      <w:r w:rsidRPr="00883125">
        <w:t xml:space="preserve">Tribunal expressed views on the important factors in its decisions. This included areas where the </w:t>
      </w:r>
      <w:r w:rsidR="00C25A56">
        <w:t xml:space="preserve">Energex </w:t>
      </w:r>
      <w:r w:rsidRPr="00883125">
        <w:t xml:space="preserve">Tribunal felt its understanding was incomplete, as summarised in </w:t>
      </w:r>
      <w:r w:rsidRPr="00883125">
        <w:fldChar w:fldCharType="begin"/>
      </w:r>
      <w:r w:rsidRPr="00883125">
        <w:instrText xml:space="preserve"> REF  _Ref400609646 \* Lower \h  \* MERGEFORMAT </w:instrText>
      </w:r>
      <w:r w:rsidRPr="00883125">
        <w:fldChar w:fldCharType="separate"/>
      </w:r>
      <w:r w:rsidR="007E3457" w:rsidRPr="00883125">
        <w:t xml:space="preserve">table </w:t>
      </w:r>
      <w:r w:rsidR="007E3457">
        <w:t>4</w:t>
      </w:r>
      <w:r w:rsidR="007E3457">
        <w:noBreakHyphen/>
        <w:t>10</w:t>
      </w:r>
      <w:r w:rsidRPr="00883125">
        <w:fldChar w:fldCharType="end"/>
      </w:r>
      <w:r w:rsidRPr="00883125">
        <w:t xml:space="preserve"> below. We have carefully considered these views.</w:t>
      </w:r>
    </w:p>
    <w:p w:rsidR="00C52695" w:rsidRPr="00883125" w:rsidRDefault="00C52695" w:rsidP="00C52695"/>
    <w:p w:rsidR="00C52695" w:rsidRPr="00883125" w:rsidRDefault="00C52695" w:rsidP="00C52695">
      <w:pPr>
        <w:sectPr w:rsidR="00C52695" w:rsidRPr="00883125" w:rsidSect="006425B8">
          <w:pgSz w:w="11906" w:h="16838"/>
          <w:pgMar w:top="1440" w:right="1440" w:bottom="1440" w:left="1440" w:header="708" w:footer="708" w:gutter="0"/>
          <w:pgNumType w:chapStyle="1"/>
          <w:cols w:space="708"/>
          <w:docGrid w:linePitch="360"/>
        </w:sectPr>
      </w:pPr>
    </w:p>
    <w:p w:rsidR="00C52695" w:rsidRPr="00883125" w:rsidRDefault="00C52695" w:rsidP="00C52695"/>
    <w:p w:rsidR="00C52695" w:rsidRPr="00883125" w:rsidRDefault="00C52695" w:rsidP="00C52695">
      <w:pPr>
        <w:pStyle w:val="Caption"/>
      </w:pPr>
      <w:bookmarkStart w:id="177" w:name="_Ref400609646"/>
      <w:bookmarkStart w:id="178" w:name="_Ref401260171"/>
      <w:r w:rsidRPr="00883125">
        <w:t xml:space="preserve">Table </w:t>
      </w:r>
      <w:r w:rsidRPr="001D37D5">
        <w:fldChar w:fldCharType="begin"/>
      </w:r>
      <w:r>
        <w:instrText xml:space="preserve"> STYLEREF 1 \s </w:instrText>
      </w:r>
      <w:r w:rsidRPr="001D37D5">
        <w:fldChar w:fldCharType="separate"/>
      </w:r>
      <w:r w:rsidR="007E3457">
        <w:rPr>
          <w:noProof/>
        </w:rPr>
        <w:t>4</w:t>
      </w:r>
      <w:r w:rsidRPr="001D37D5">
        <w:fldChar w:fldCharType="end"/>
      </w:r>
      <w:r>
        <w:noBreakHyphen/>
      </w:r>
      <w:r w:rsidRPr="001D37D5">
        <w:fldChar w:fldCharType="begin"/>
      </w:r>
      <w:r>
        <w:instrText xml:space="preserve"> SEQ Table \* ARABIC \s 1 </w:instrText>
      </w:r>
      <w:r w:rsidRPr="001D37D5">
        <w:fldChar w:fldCharType="separate"/>
      </w:r>
      <w:r w:rsidR="007E3457">
        <w:rPr>
          <w:noProof/>
        </w:rPr>
        <w:t>10</w:t>
      </w:r>
      <w:r w:rsidRPr="001D37D5">
        <w:fldChar w:fldCharType="end"/>
      </w:r>
      <w:bookmarkEnd w:id="177"/>
      <w:r w:rsidRPr="00883125">
        <w:tab/>
        <w:t>Australian Competition Tribunal's observations on imputation credits</w:t>
      </w:r>
      <w:bookmarkEnd w:id="178"/>
      <w:r w:rsidRPr="00883125">
        <w:t xml:space="preserve"> in Energex matter</w:t>
      </w:r>
    </w:p>
    <w:tbl>
      <w:tblPr>
        <w:tblStyle w:val="AERtable-text0"/>
        <w:tblW w:w="5000" w:type="pct"/>
        <w:tblLook w:val="04A0" w:firstRow="1" w:lastRow="0" w:firstColumn="1" w:lastColumn="0" w:noHBand="0" w:noVBand="1"/>
      </w:tblPr>
      <w:tblGrid>
        <w:gridCol w:w="2222"/>
        <w:gridCol w:w="6438"/>
        <w:gridCol w:w="5514"/>
      </w:tblGrid>
      <w:tr w:rsidR="00C52695" w:rsidTr="006425B8">
        <w:trPr>
          <w:cnfStyle w:val="100000000000" w:firstRow="1" w:lastRow="0" w:firstColumn="0" w:lastColumn="0" w:oddVBand="0" w:evenVBand="0" w:oddHBand="0" w:evenHBand="0" w:firstRowFirstColumn="0" w:firstRowLastColumn="0" w:lastRowFirstColumn="0" w:lastRowLastColumn="0"/>
          <w:tblHeader/>
        </w:trPr>
        <w:tc>
          <w:tcPr>
            <w:tcW w:w="784" w:type="pct"/>
          </w:tcPr>
          <w:p w:rsidR="00C52695" w:rsidRPr="00C52695" w:rsidRDefault="00C52695" w:rsidP="00C52695">
            <w:r w:rsidRPr="00883125">
              <w:t>Issue</w:t>
            </w:r>
          </w:p>
        </w:tc>
        <w:tc>
          <w:tcPr>
            <w:tcW w:w="2271" w:type="pct"/>
          </w:tcPr>
          <w:p w:rsidR="00C52695" w:rsidRPr="00C52695" w:rsidRDefault="00C52695" w:rsidP="00C52695">
            <w:r w:rsidRPr="00883125">
              <w:t>Tribunal comments</w:t>
            </w:r>
          </w:p>
        </w:tc>
        <w:tc>
          <w:tcPr>
            <w:tcW w:w="1945" w:type="pct"/>
          </w:tcPr>
          <w:p w:rsidR="00C52695" w:rsidRPr="00C52695" w:rsidRDefault="00C52695" w:rsidP="00C52695">
            <w:r w:rsidRPr="00883125">
              <w:t>AER comments</w:t>
            </w:r>
          </w:p>
        </w:tc>
      </w:tr>
      <w:tr w:rsidR="00C52695" w:rsidTr="006425B8">
        <w:tc>
          <w:tcPr>
            <w:tcW w:w="784" w:type="pct"/>
          </w:tcPr>
          <w:p w:rsidR="00C52695" w:rsidRPr="00C52695" w:rsidRDefault="00C52695" w:rsidP="00C52695">
            <w:r w:rsidRPr="00883125">
              <w:t>The conceptual framework for gamma</w:t>
            </w:r>
          </w:p>
        </w:tc>
        <w:tc>
          <w:tcPr>
            <w:tcW w:w="2271" w:type="pct"/>
          </w:tcPr>
          <w:p w:rsidR="00C52695" w:rsidRPr="00C52695" w:rsidRDefault="00C52695" w:rsidP="00C52695">
            <w:r w:rsidRPr="00883125">
              <w:t xml:space="preserve">"The Tribunal has found some deficiencies in its understanding of the foundations of the task facing it, and the AER, in determining the appropriate value of gamma. These issues have not been explored so far because they have not arisen between the parties, who appear to be in agreement about how the Rules should be interpreted regarding the treatment of corporate income tax. They may be matters that the Tribunal will take up in its further decision in these matters; or they may best be left until the next WACC review. Indeed, they may go to the basis for the Rules themselves. </w:t>
            </w:r>
          </w:p>
          <w:p w:rsidR="00C52695" w:rsidRPr="00C52695" w:rsidRDefault="00C52695" w:rsidP="00C52695">
            <w:r w:rsidRPr="00883125">
              <w:t>The Tribunal would be assisted in its consideration of the issues before it if the AER were to provide relevant extrinsic material explaining:</w:t>
            </w:r>
          </w:p>
          <w:p w:rsidR="00C52695" w:rsidRPr="00C52695" w:rsidRDefault="00C52695" w:rsidP="00C52695">
            <w:r w:rsidRPr="00883125">
              <w:t>(a) the rationale for including the gamma component in the formula for calculating the estimated cost of corporate income tax; and</w:t>
            </w:r>
          </w:p>
          <w:p w:rsidR="00C52695" w:rsidRPr="00C52695" w:rsidRDefault="00C52695" w:rsidP="00C52695">
            <w:r w:rsidRPr="00883125">
              <w:t>(b) how it relates to the rest of the building blocks, especially the rate of return (cl 6.4.3(a) and cl 6.5.2(b) of the Rules)."</w:t>
            </w:r>
            <w:r w:rsidRPr="00C52695">
              <w:rPr>
                <w:rStyle w:val="FootnoteReference"/>
              </w:rPr>
              <w:footnoteReference w:id="336"/>
            </w:r>
          </w:p>
        </w:tc>
        <w:tc>
          <w:tcPr>
            <w:tcW w:w="1945" w:type="pct"/>
          </w:tcPr>
          <w:p w:rsidR="00C52695" w:rsidRPr="00C52695" w:rsidRDefault="00C52695" w:rsidP="00C52695">
            <w:r w:rsidRPr="00883125">
              <w:t xml:space="preserve">In developing the Guideline, we re-evaluated the conceptual framework for the value of imputation credits. In making this </w:t>
            </w:r>
            <w:r w:rsidR="00B31E52">
              <w:t>draft</w:t>
            </w:r>
            <w:r w:rsidR="00022C1D" w:rsidRPr="00C52695">
              <w:t xml:space="preserve"> </w:t>
            </w:r>
            <w:r w:rsidRPr="00C52695">
              <w:t xml:space="preserve">decision, we have built on this re-evaluation. We discuss the role of the value of imputation credits and the underlying conceptual framework in sections </w:t>
            </w:r>
            <w:r w:rsidRPr="00C52695">
              <w:fldChar w:fldCharType="begin"/>
            </w:r>
            <w:r w:rsidRPr="00C52695">
              <w:instrText xml:space="preserve"> REF _Ref415144114 \r \h  \* MERGEFORMAT </w:instrText>
            </w:r>
            <w:r w:rsidRPr="00C52695">
              <w:fldChar w:fldCharType="separate"/>
            </w:r>
            <w:r w:rsidR="007E3457">
              <w:t>A.5</w:t>
            </w:r>
            <w:r w:rsidRPr="00C52695">
              <w:fldChar w:fldCharType="end"/>
            </w:r>
            <w:r w:rsidRPr="00C52695">
              <w:t xml:space="preserve"> and </w:t>
            </w:r>
            <w:r w:rsidRPr="00C52695">
              <w:fldChar w:fldCharType="begin"/>
            </w:r>
            <w:r w:rsidRPr="00C52695">
              <w:instrText xml:space="preserve"> REF _Ref400965182 \r \h  \* MERGEFORMAT </w:instrText>
            </w:r>
            <w:r w:rsidRPr="00C52695">
              <w:fldChar w:fldCharType="separate"/>
            </w:r>
            <w:r w:rsidR="007E3457">
              <w:t>A.6</w:t>
            </w:r>
            <w:r w:rsidRPr="00C52695">
              <w:fldChar w:fldCharType="end"/>
            </w:r>
            <w:r w:rsidRPr="00C52695">
              <w:t>.</w:t>
            </w:r>
          </w:p>
          <w:p w:rsidR="00C52695" w:rsidRPr="00C52695" w:rsidRDefault="00C52695" w:rsidP="00C52695">
            <w:r>
              <w:t xml:space="preserve">Also see our response above in section </w:t>
            </w:r>
            <w:r w:rsidRPr="00C52695">
              <w:fldChar w:fldCharType="begin"/>
            </w:r>
            <w:r w:rsidRPr="00C52695">
              <w:instrText xml:space="preserve"> REF _Ref451813952 \r \h </w:instrText>
            </w:r>
            <w:r w:rsidRPr="00C52695">
              <w:fldChar w:fldCharType="separate"/>
            </w:r>
            <w:r w:rsidR="007E3457">
              <w:t>A.3.2</w:t>
            </w:r>
            <w:r w:rsidRPr="00C52695">
              <w:fldChar w:fldCharType="end"/>
            </w:r>
            <w:r w:rsidRPr="00C52695">
              <w:t xml:space="preserve"> under ' The conceptual framework for gamma'.</w:t>
            </w:r>
          </w:p>
        </w:tc>
      </w:tr>
      <w:tr w:rsidR="00C52695" w:rsidTr="006425B8">
        <w:trPr>
          <w:cnfStyle w:val="000000010000" w:firstRow="0" w:lastRow="0" w:firstColumn="0" w:lastColumn="0" w:oddVBand="0" w:evenVBand="0" w:oddHBand="0" w:evenHBand="1" w:firstRowFirstColumn="0" w:firstRowLastColumn="0" w:lastRowFirstColumn="0" w:lastRowLastColumn="0"/>
        </w:trPr>
        <w:tc>
          <w:tcPr>
            <w:tcW w:w="784" w:type="pct"/>
          </w:tcPr>
          <w:p w:rsidR="00C52695" w:rsidRPr="00C52695" w:rsidRDefault="00C52695" w:rsidP="00C52695">
            <w:r w:rsidRPr="00883125">
              <w:t>The distribution rate (payout ratio)</w:t>
            </w:r>
          </w:p>
        </w:tc>
        <w:tc>
          <w:tcPr>
            <w:tcW w:w="2271" w:type="pct"/>
          </w:tcPr>
          <w:p w:rsidR="00C52695" w:rsidRPr="00C52695" w:rsidRDefault="00C52695" w:rsidP="00C52695">
            <w:r w:rsidRPr="00883125">
              <w:t xml:space="preserve">"…there is [was] no empirical evidence currently available supporting </w:t>
            </w:r>
            <w:r w:rsidRPr="00C52695">
              <w:t>a distribution ratio higher than 0.70."</w:t>
            </w:r>
            <w:r w:rsidRPr="00C52695">
              <w:rPr>
                <w:rStyle w:val="FootnoteReference"/>
              </w:rPr>
              <w:footnoteReference w:id="337"/>
            </w:r>
          </w:p>
        </w:tc>
        <w:tc>
          <w:tcPr>
            <w:tcW w:w="1945" w:type="pct"/>
          </w:tcPr>
          <w:p w:rsidR="00C52695" w:rsidRPr="00C52695" w:rsidRDefault="00C52695" w:rsidP="00C52695">
            <w:r w:rsidRPr="00883125">
              <w:t xml:space="preserve">As discussed in </w:t>
            </w:r>
            <w:r w:rsidRPr="00C52695">
              <w:t xml:space="preserve">section </w:t>
            </w:r>
            <w:r w:rsidRPr="00C52695">
              <w:fldChar w:fldCharType="begin"/>
            </w:r>
            <w:r w:rsidRPr="00C52695">
              <w:instrText xml:space="preserve"> REF _Ref401133206 \r \h  \* MERGEFORMAT </w:instrText>
            </w:r>
            <w:r w:rsidRPr="00C52695">
              <w:fldChar w:fldCharType="separate"/>
            </w:r>
            <w:r w:rsidR="007E3457">
              <w:t>A.10</w:t>
            </w:r>
            <w:r w:rsidRPr="00C52695">
              <w:fldChar w:fldCharType="end"/>
            </w:r>
            <w:r w:rsidRPr="00C52695">
              <w:t xml:space="preserve"> of this appendix, we consider that a distribution rate of 0.7 across all equity and a distribution rate of 0.75 for listed equity is appropriate for a benchmark efficient entity. Lally also finds a distribution rate of 0.83 for listed equity estimated from financial reports of the largest 20 listed companies.</w:t>
            </w:r>
          </w:p>
          <w:p w:rsidR="00C52695" w:rsidRPr="00C52695" w:rsidRDefault="00C52695" w:rsidP="00C52695">
            <w:r>
              <w:t xml:space="preserve">Also see </w:t>
            </w:r>
            <w:r w:rsidRPr="00C52695">
              <w:t xml:space="preserve">our response above in section </w:t>
            </w:r>
            <w:r w:rsidRPr="00C52695">
              <w:fldChar w:fldCharType="begin"/>
            </w:r>
            <w:r w:rsidRPr="00C52695">
              <w:instrText xml:space="preserve"> REF _Ref451813952 \r \h </w:instrText>
            </w:r>
            <w:r w:rsidRPr="00C52695">
              <w:fldChar w:fldCharType="separate"/>
            </w:r>
            <w:r w:rsidR="007E3457">
              <w:t>A.3.2</w:t>
            </w:r>
            <w:r w:rsidRPr="00C52695">
              <w:fldChar w:fldCharType="end"/>
            </w:r>
            <w:r w:rsidRPr="00C52695">
              <w:t xml:space="preserve"> under 'The distribution rate (payout ratio)'. </w:t>
            </w:r>
          </w:p>
        </w:tc>
      </w:tr>
      <w:tr w:rsidR="00C52695" w:rsidRPr="00B45BDD" w:rsidTr="006425B8">
        <w:tc>
          <w:tcPr>
            <w:tcW w:w="784" w:type="pct"/>
          </w:tcPr>
          <w:p w:rsidR="00C52695" w:rsidRPr="00C52695" w:rsidRDefault="00C52695" w:rsidP="00C52695">
            <w:r w:rsidRPr="00883125">
              <w:t>Tax statistic estimates</w:t>
            </w:r>
          </w:p>
        </w:tc>
        <w:tc>
          <w:tcPr>
            <w:tcW w:w="2271" w:type="pct"/>
          </w:tcPr>
          <w:p w:rsidR="00C52695" w:rsidRPr="00C52695" w:rsidRDefault="00C52695" w:rsidP="00C52695">
            <w:r w:rsidRPr="00883125">
              <w:t>"The AER accepted that utilisation rates derived from tax statistics provide an upper bound on possible values of theta. Setting aside the manner in which the AER derived a value from the tax statistics study, it correctly considered that information from a tax statistics study was relevant. However, its relevance could only be related to the fact that it was an upper bound. No estimate that exceeded a genuine upper bound could be correct. Thus the appropriate way to use the tax statistics figure was as a check."</w:t>
            </w:r>
            <w:r w:rsidRPr="00C52695">
              <w:rPr>
                <w:rStyle w:val="FootnoteReference"/>
              </w:rPr>
              <w:footnoteReference w:id="338"/>
            </w:r>
          </w:p>
          <w:p w:rsidR="00C52695" w:rsidRPr="00C52695" w:rsidRDefault="00C52695" w:rsidP="00C52695">
            <w:r w:rsidRPr="00883125">
              <w:t>"SIRCA’s March 2011 report provided responses to a number of specific questions asked by the AER. Some of these responses raise serious issues regarding the use of dividend drop-off studies and the Tribunal’s earlier reasons. For example, SIRCA’s March 2011 report suggests that:</w:t>
            </w:r>
          </w:p>
          <w:p w:rsidR="00C52695" w:rsidRPr="00C52695" w:rsidRDefault="00C52695" w:rsidP="00C52695">
            <w:r w:rsidRPr="00883125">
              <w:t xml:space="preserve">- estimates from dividend drop-off studies are very imprecise and of questionable reliability; </w:t>
            </w:r>
          </w:p>
          <w:p w:rsidR="00C52695" w:rsidRPr="00C52695" w:rsidRDefault="00C52695" w:rsidP="00C52695">
            <w:r w:rsidRPr="00883125">
              <w:t xml:space="preserve">- such studies are likely to produce downwardly-biased estimates of theta; and </w:t>
            </w:r>
          </w:p>
          <w:p w:rsidR="00C52695" w:rsidRPr="00C52695" w:rsidRDefault="00C52695" w:rsidP="00C52695">
            <w:r w:rsidRPr="00883125">
              <w:t>- taxation studies do not give an upper bound to theta.</w:t>
            </w:r>
          </w:p>
          <w:p w:rsidR="00C52695" w:rsidRPr="00C52695" w:rsidRDefault="00C52695" w:rsidP="00C52695">
            <w:r w:rsidRPr="00883125">
              <w:t>By way of background, the Tribunal in earlier reasons noted</w:t>
            </w:r>
            <w:r w:rsidRPr="00C52695">
              <w:t xml:space="preserve"> that the AER accepted that tax statistics studies provide an upper bound on possible values of theta. The AER in its report, while being less unequivocal than SIRCA, adopts SIRCA’s suggestion that the results of tax statistics studies (now called the redemption rate) could be discounted for factors such as the time between the distribution and the redemption of imputation credits. These adjustments “would need to be made on an economically justifiable basis”. The AER referred to a 2004 study by Hathaway and Officer as being an example of such a use of an estimate of the utilisation rate.</w:t>
            </w:r>
          </w:p>
          <w:p w:rsidR="00C52695" w:rsidRPr="00C52695" w:rsidRDefault="00C52695" w:rsidP="00C52695">
            <w:r w:rsidRPr="00883125">
              <w:t>Beyond these observations, the AER does not seek to adduce material from SIRCA’s March 2011 report to advance its submissions. On the material before it, the Tribunal is unable to reach any conclusions about the further use of tax statistics studies in estimating the utilisation ratio, theta. No doubt the AER will in the future have opportunity, and perhaps cause, to investigate further. It has not sought to do so in these proceedings."</w:t>
            </w:r>
            <w:r w:rsidRPr="00C52695">
              <w:rPr>
                <w:rStyle w:val="FootnoteReference"/>
              </w:rPr>
              <w:footnoteReference w:id="339"/>
            </w:r>
          </w:p>
        </w:tc>
        <w:tc>
          <w:tcPr>
            <w:tcW w:w="1945" w:type="pct"/>
          </w:tcPr>
          <w:p w:rsidR="00C52695" w:rsidRPr="00C52695" w:rsidRDefault="00C52695" w:rsidP="00C52695">
            <w:r w:rsidRPr="00883125">
              <w:t xml:space="preserve">Handley advised that his previous comments regarding the use of tax statistics being an 'upper bound' were misinterpreted in these proceedings. Handley confirmed that tax statistics can be used to produce a point estimate of the utilisation rate. We discussed Handley's views in section A.6.1 of </w:t>
            </w:r>
            <w:r w:rsidRPr="00C52695">
              <w:t xml:space="preserve">our draft/preliminary decisions. We discuss the use of tax statistics more broadly in section </w:t>
            </w:r>
            <w:r w:rsidRPr="00C52695">
              <w:fldChar w:fldCharType="begin"/>
            </w:r>
            <w:r w:rsidRPr="00C52695">
              <w:instrText xml:space="preserve"> REF _Ref402179420 \r \h  \* MERGEFORMAT </w:instrText>
            </w:r>
            <w:r w:rsidRPr="00C52695">
              <w:fldChar w:fldCharType="separate"/>
            </w:r>
            <w:r w:rsidR="007E3457">
              <w:t>A.13</w:t>
            </w:r>
            <w:r w:rsidRPr="00C52695">
              <w:fldChar w:fldCharType="end"/>
            </w:r>
            <w:r w:rsidRPr="00C52695">
              <w:t xml:space="preserve"> of this appendix.</w:t>
            </w:r>
          </w:p>
          <w:p w:rsidR="00C52695" w:rsidRPr="00C52695" w:rsidRDefault="00C52695" w:rsidP="00C52695">
            <w:r>
              <w:t>Also</w:t>
            </w:r>
            <w:r w:rsidRPr="00C52695">
              <w:t xml:space="preserve"> see our response above in section </w:t>
            </w:r>
            <w:r w:rsidRPr="00C52695">
              <w:fldChar w:fldCharType="begin"/>
            </w:r>
            <w:r w:rsidRPr="00C52695">
              <w:instrText xml:space="preserve"> REF _Ref451813952 \r \h </w:instrText>
            </w:r>
            <w:r w:rsidRPr="00C52695">
              <w:fldChar w:fldCharType="separate"/>
            </w:r>
            <w:r w:rsidR="007E3457">
              <w:t>A.3.2</w:t>
            </w:r>
            <w:r w:rsidRPr="00C52695">
              <w:fldChar w:fldCharType="end"/>
            </w:r>
            <w:r w:rsidRPr="00C52695">
              <w:t xml:space="preserve"> under 'Tax statistic estimates'.</w:t>
            </w:r>
          </w:p>
          <w:p w:rsidR="00C52695" w:rsidRPr="00B27BE5" w:rsidRDefault="00C52695" w:rsidP="00C52695"/>
        </w:tc>
      </w:tr>
      <w:tr w:rsidR="00C52695" w:rsidRPr="00B45BDD" w:rsidTr="006425B8">
        <w:trPr>
          <w:cnfStyle w:val="000000010000" w:firstRow="0" w:lastRow="0" w:firstColumn="0" w:lastColumn="0" w:oddVBand="0" w:evenVBand="0" w:oddHBand="0" w:evenHBand="1" w:firstRowFirstColumn="0" w:firstRowLastColumn="0" w:lastRowFirstColumn="0" w:lastRowLastColumn="0"/>
        </w:trPr>
        <w:tc>
          <w:tcPr>
            <w:tcW w:w="784" w:type="pct"/>
          </w:tcPr>
          <w:p w:rsidR="00C52695" w:rsidRPr="00C52695" w:rsidRDefault="00C52695" w:rsidP="00C52695">
            <w:r w:rsidRPr="00883125">
              <w:t>The conceptual basis for dividend drop off studies</w:t>
            </w:r>
          </w:p>
        </w:tc>
        <w:tc>
          <w:tcPr>
            <w:tcW w:w="2271" w:type="pct"/>
          </w:tcPr>
          <w:p w:rsidR="00C52695" w:rsidRPr="00C52695" w:rsidRDefault="00C52695" w:rsidP="00C52695">
            <w:r w:rsidRPr="00883125">
              <w:t>"The AER has tendered, largely without comment, material that casts some doubt on the use of dividend drop-off studies in estimating gamma for regulatory purposes. In responding to questions from the AER, SIRCA's March 2011 report raises questions about the theoretical basis for dividend drop-off studies. In doing so, it touches on issues raised in the Tribunal's earlier reasons regarding the arbitrage model underlying dividend drop-off studies.</w:t>
            </w:r>
          </w:p>
          <w:p w:rsidR="00C52695" w:rsidRPr="00C52695" w:rsidRDefault="00C52695" w:rsidP="00C52695">
            <w:r w:rsidRPr="00883125">
              <w:t xml:space="preserve">However, SIRCA's March 2011 report does not resolve these issues and </w:t>
            </w:r>
            <w:r w:rsidRPr="00C52695">
              <w:t>the AER has provided no conclusions of its own."</w:t>
            </w:r>
            <w:r w:rsidRPr="00C52695">
              <w:rPr>
                <w:rStyle w:val="FootnoteReference"/>
              </w:rPr>
              <w:footnoteReference w:id="340"/>
            </w:r>
          </w:p>
        </w:tc>
        <w:tc>
          <w:tcPr>
            <w:tcW w:w="1945" w:type="pct"/>
          </w:tcPr>
          <w:p w:rsidR="00C52695" w:rsidRPr="00C52695" w:rsidRDefault="00C52695" w:rsidP="00C52695">
            <w:r w:rsidRPr="00883125">
              <w:t xml:space="preserve">The limitations of dividend drop off studies have been widely identified since these proceedings—we provide a selection of comments from academics and regulators in section </w:t>
            </w:r>
            <w:r w:rsidRPr="00C52695">
              <w:fldChar w:fldCharType="begin"/>
            </w:r>
            <w:r w:rsidRPr="00C52695">
              <w:instrText xml:space="preserve"> REF _Ref451267181 \r \h  \* MERGEFORMAT </w:instrText>
            </w:r>
            <w:r w:rsidRPr="00C52695">
              <w:fldChar w:fldCharType="separate"/>
            </w:r>
            <w:r w:rsidR="007E3457">
              <w:t>A.15</w:t>
            </w:r>
            <w:r w:rsidRPr="00C52695">
              <w:fldChar w:fldCharType="end"/>
            </w:r>
            <w:r w:rsidRPr="00C52695">
              <w:t>. Moreover, both Handley and Lally advised that other approaches to estimating the utilisation rate should be preferred. Handley and Lally also advised that, without adjustment, dividend drop off studies produce downwards-biased estimates of the utilisation rate.</w:t>
            </w:r>
          </w:p>
          <w:p w:rsidR="00C52695" w:rsidRPr="00C52695" w:rsidRDefault="00C52695" w:rsidP="00C52695">
            <w:r>
              <w:t>Also</w:t>
            </w:r>
            <w:r w:rsidRPr="00C52695">
              <w:t xml:space="preserve"> see our response above in section </w:t>
            </w:r>
            <w:r w:rsidRPr="00C52695">
              <w:fldChar w:fldCharType="begin"/>
            </w:r>
            <w:r w:rsidRPr="00C52695">
              <w:instrText xml:space="preserve"> REF _Ref451813952 \r \h </w:instrText>
            </w:r>
            <w:r w:rsidRPr="00C52695">
              <w:fldChar w:fldCharType="separate"/>
            </w:r>
            <w:r w:rsidR="007E3457">
              <w:t>A.3.2</w:t>
            </w:r>
            <w:r w:rsidRPr="00C52695">
              <w:fldChar w:fldCharType="end"/>
            </w:r>
            <w:r w:rsidRPr="00C52695">
              <w:t xml:space="preserve"> under 'The conceptual basis for dividend drop off studies '.</w:t>
            </w:r>
          </w:p>
        </w:tc>
      </w:tr>
      <w:tr w:rsidR="00C52695" w:rsidTr="006425B8">
        <w:tc>
          <w:tcPr>
            <w:tcW w:w="784" w:type="pct"/>
          </w:tcPr>
          <w:p w:rsidR="00C52695" w:rsidRPr="00C52695" w:rsidRDefault="00C52695" w:rsidP="00C52695">
            <w:r w:rsidRPr="00883125">
              <w:t>The need to re-evaluate gamma</w:t>
            </w:r>
          </w:p>
        </w:tc>
        <w:tc>
          <w:tcPr>
            <w:tcW w:w="2271" w:type="pct"/>
          </w:tcPr>
          <w:p w:rsidR="00C52695" w:rsidRPr="00C52695" w:rsidRDefault="00C52695" w:rsidP="00C52695">
            <w:r w:rsidRPr="00883125">
              <w:t>"Further, the Tribunal notes that estimation of a parameter such as gamma is necessarily, and desirably, an ongoing intellectual and empirical endeavour. Its decision in these proceedings is based on the material before it.”</w:t>
            </w:r>
            <w:r w:rsidRPr="00C52695">
              <w:rPr>
                <w:rStyle w:val="FootnoteReference"/>
              </w:rPr>
              <w:footnoteReference w:id="341"/>
            </w:r>
          </w:p>
        </w:tc>
        <w:tc>
          <w:tcPr>
            <w:tcW w:w="1945" w:type="pct"/>
          </w:tcPr>
          <w:p w:rsidR="00C52695" w:rsidRPr="00C52695" w:rsidRDefault="00C52695" w:rsidP="00C52695">
            <w:r w:rsidRPr="00883125">
              <w:t xml:space="preserve">Consistent with this comment, we have not sought to apply the Tribunal's previous considerations in this </w:t>
            </w:r>
            <w:r w:rsidR="00B31E52">
              <w:t>draft</w:t>
            </w:r>
            <w:r w:rsidR="0085480B" w:rsidRPr="00C52695">
              <w:t xml:space="preserve"> </w:t>
            </w:r>
            <w:r w:rsidRPr="00C52695">
              <w:t xml:space="preserve">decision. Instead, we adopt a value of imputation credits that is based on our assessment of the merits of the evidence before us, which includes a large amount of material that was not before the Tribunal in these proceedings. </w:t>
            </w:r>
          </w:p>
          <w:p w:rsidR="00C52695" w:rsidRPr="00C52695" w:rsidRDefault="00C52695" w:rsidP="00C52695">
            <w:r>
              <w:t>Also</w:t>
            </w:r>
            <w:r w:rsidRPr="00C52695">
              <w:t xml:space="preserve"> see our response above in section </w:t>
            </w:r>
            <w:r w:rsidRPr="00C52695">
              <w:fldChar w:fldCharType="begin"/>
            </w:r>
            <w:r w:rsidRPr="00C52695">
              <w:instrText xml:space="preserve"> REF _Ref451813952 \r \h </w:instrText>
            </w:r>
            <w:r w:rsidRPr="00C52695">
              <w:fldChar w:fldCharType="separate"/>
            </w:r>
            <w:r w:rsidR="007E3457">
              <w:t>A.3.2</w:t>
            </w:r>
            <w:r w:rsidRPr="00C52695">
              <w:fldChar w:fldCharType="end"/>
            </w:r>
            <w:r w:rsidRPr="00C52695">
              <w:t xml:space="preserve"> under 'The need to re-evaluate gamma '.</w:t>
            </w:r>
          </w:p>
        </w:tc>
      </w:tr>
    </w:tbl>
    <w:p w:rsidR="00C52695" w:rsidRPr="00883125" w:rsidRDefault="00C52695" w:rsidP="00C52695">
      <w:pPr>
        <w:pStyle w:val="AERtablesource"/>
      </w:pPr>
      <w:r w:rsidRPr="00883125">
        <w:t xml:space="preserve">Source: </w:t>
      </w:r>
      <w:r w:rsidRPr="00883125">
        <w:tab/>
        <w:t>As specified in table.</w:t>
      </w:r>
    </w:p>
    <w:p w:rsidR="00C52695" w:rsidRPr="00883125" w:rsidRDefault="00C52695" w:rsidP="00C52695">
      <w:pPr>
        <w:numPr>
          <w:ilvl w:val="0"/>
          <w:numId w:val="24"/>
        </w:numPr>
        <w:sectPr w:rsidR="00C52695" w:rsidRPr="00883125" w:rsidSect="006425B8">
          <w:pgSz w:w="16838" w:h="11906" w:orient="landscape"/>
          <w:pgMar w:top="1440" w:right="1440" w:bottom="1440" w:left="1440" w:header="708" w:footer="708" w:gutter="0"/>
          <w:pgNumType w:chapStyle="1"/>
          <w:cols w:space="708"/>
          <w:docGrid w:linePitch="360"/>
        </w:sectPr>
      </w:pPr>
    </w:p>
    <w:p w:rsidR="00C52695" w:rsidRPr="00883125" w:rsidRDefault="00C52695" w:rsidP="00C52695">
      <w:pPr>
        <w:numPr>
          <w:ilvl w:val="0"/>
          <w:numId w:val="24"/>
        </w:numPr>
      </w:pPr>
      <w:r w:rsidRPr="00883125">
        <w:t>During the Guideline process, service providers frequently proposed a value of imputation credits of 0.25 and referenced the Tribunal decision</w:t>
      </w:r>
      <w:r>
        <w:t xml:space="preserve"> for Energex</w:t>
      </w:r>
      <w:r w:rsidRPr="00883125">
        <w:t xml:space="preserve"> in support of this.</w:t>
      </w:r>
      <w:r w:rsidRPr="00883125">
        <w:rPr>
          <w:rStyle w:val="FootnoteReference"/>
        </w:rPr>
        <w:footnoteReference w:id="342"/>
      </w:r>
      <w:r w:rsidRPr="00883125">
        <w:t xml:space="preserve"> However, the last quote from the </w:t>
      </w:r>
      <w:r w:rsidR="00C25A56">
        <w:t xml:space="preserve">Energex </w:t>
      </w:r>
      <w:r w:rsidRPr="00883125">
        <w:t xml:space="preserve">Tribunal demonstrates that it did not intend for its decision to be determinative of the appropriate estimation technique for gamma, and certainly not on a permanent basis. In the Guideline, we also made this point. Service providers with current proposals no longer refer to the </w:t>
      </w:r>
      <w:r w:rsidR="00C25A56">
        <w:t xml:space="preserve">Energex </w:t>
      </w:r>
      <w:r w:rsidRPr="00883125">
        <w:t xml:space="preserve">Tribunal's decision as if it were precedent. Rather, they propose a value of imputation credits, and reasons for that value, which are consistent with the </w:t>
      </w:r>
      <w:r w:rsidR="00C25A56">
        <w:t xml:space="preserve">Energex </w:t>
      </w:r>
      <w:r w:rsidRPr="00883125">
        <w:t>Tribunal decision. However, the service providers consider that the problematic estimation methodologies and the currency of the underlying data that apply to other dividend drop off studies does not apply to the SFG study.</w:t>
      </w:r>
      <w:r w:rsidRPr="00883125">
        <w:rPr>
          <w:rStyle w:val="FootnoteReference"/>
        </w:rPr>
        <w:footnoteReference w:id="343"/>
      </w:r>
      <w:r w:rsidRPr="00883125">
        <w:t xml:space="preserve"> </w:t>
      </w:r>
      <w:r>
        <w:t>We do</w:t>
      </w:r>
      <w:r w:rsidRPr="00883125">
        <w:t xml:space="preserve"> not agree for the reasons outlined in section </w:t>
      </w:r>
      <w:r>
        <w:fldChar w:fldCharType="begin"/>
      </w:r>
      <w:r>
        <w:instrText xml:space="preserve"> REF _Ref451267267 \r \h </w:instrText>
      </w:r>
      <w:r>
        <w:fldChar w:fldCharType="separate"/>
      </w:r>
      <w:r w:rsidR="007E3457">
        <w:t>A.15</w:t>
      </w:r>
      <w:r>
        <w:fldChar w:fldCharType="end"/>
      </w:r>
      <w:r w:rsidRPr="00883125">
        <w:t>.</w:t>
      </w:r>
    </w:p>
    <w:p w:rsidR="00C52695" w:rsidRPr="00883125" w:rsidRDefault="00C52695" w:rsidP="00C52695">
      <w:pPr>
        <w:numPr>
          <w:ilvl w:val="0"/>
          <w:numId w:val="24"/>
        </w:numPr>
      </w:pPr>
      <w:r w:rsidRPr="00883125">
        <w:t>Both during the Guideline development process and this determination process, we have considered the previous Tribunal decision</w:t>
      </w:r>
      <w:r>
        <w:t xml:space="preserve"> for Energex</w:t>
      </w:r>
      <w:r w:rsidRPr="00883125">
        <w:t xml:space="preserve"> carefully in forming our view on the value of imputation credits. For the reasons expressed in this appendix and attachment 4 we have come to a different position. This is consistent with the </w:t>
      </w:r>
      <w:r w:rsidR="00C25A56">
        <w:t xml:space="preserve">Energex </w:t>
      </w:r>
      <w:r w:rsidRPr="00883125">
        <w:t>Tribunal's expectation that the value of imputation credits is 'necessarily, and desirably, an ongoing intellectual and empirical endeavour'.</w:t>
      </w:r>
    </w:p>
    <w:p w:rsidR="00C52695" w:rsidRPr="00883125" w:rsidRDefault="00C52695" w:rsidP="00C52695">
      <w:pPr>
        <w:pStyle w:val="Heading9"/>
      </w:pPr>
      <w:bookmarkStart w:id="179" w:name="_Toc456614295"/>
      <w:bookmarkStart w:id="180" w:name="_Toc462823313"/>
      <w:bookmarkStart w:id="181" w:name="_Toc487014062"/>
      <w:r w:rsidRPr="00883125">
        <w:t>DBNGP and WA Gas Networks</w:t>
      </w:r>
      <w:bookmarkEnd w:id="179"/>
      <w:bookmarkEnd w:id="180"/>
      <w:bookmarkEnd w:id="181"/>
    </w:p>
    <w:p w:rsidR="00C52695" w:rsidRPr="00883125" w:rsidRDefault="00C52695" w:rsidP="00C52695">
      <w:pPr>
        <w:numPr>
          <w:ilvl w:val="0"/>
          <w:numId w:val="24"/>
        </w:numPr>
      </w:pPr>
      <w:r w:rsidRPr="00883125">
        <w:t>In 2012, Dampier to Bunbury Natural Gas Pipeline (DBNGP) sought Tribunal review of the ERA's decision to adopt a value of imputation credits of 0.25. In upholding the ERA's value, the Tribunal again emphasised the lack of consensus on an appropriate value and the fact that determining a value for gamma is continually being refined:</w:t>
      </w:r>
      <w:r w:rsidRPr="00883125">
        <w:rPr>
          <w:rStyle w:val="FootnoteReference"/>
        </w:rPr>
        <w:footnoteReference w:id="344"/>
      </w:r>
    </w:p>
    <w:p w:rsidR="00C52695" w:rsidRPr="00883125" w:rsidRDefault="00C52695" w:rsidP="00C52695">
      <w:pPr>
        <w:pStyle w:val="AERquote"/>
      </w:pPr>
      <w:r w:rsidRPr="00883125">
        <w:t xml:space="preserve">171 </w:t>
      </w:r>
      <w:r w:rsidRPr="00883125">
        <w:tab/>
        <w:t>Determining the appropriate values of F [the distribution rate] and theta has been a fiercely contested issue in Australia’s regulatory history. There is no unique pair of values of F and theta that are regarded as universally correct. Therefore there is no value of gamma that is regarded as universally correct. The academic models, empirical research methods, data and relevant time periods all need to be carefully investigated. Debate is inevitable, and ultimately, which value is most relevant for the matter at hand must be decided on a case-by-case basis.</w:t>
      </w:r>
    </w:p>
    <w:p w:rsidR="00C52695" w:rsidRPr="00883125" w:rsidRDefault="00C52695" w:rsidP="00C52695">
      <w:pPr>
        <w:pStyle w:val="AERquote"/>
      </w:pPr>
      <w:r w:rsidRPr="00883125">
        <w:t>…</w:t>
      </w:r>
    </w:p>
    <w:p w:rsidR="00C52695" w:rsidRPr="00883125" w:rsidRDefault="00C52695" w:rsidP="00C52695">
      <w:pPr>
        <w:pStyle w:val="AERquote"/>
      </w:pPr>
      <w:r w:rsidRPr="00883125">
        <w:t xml:space="preserve">210 </w:t>
      </w:r>
      <w:r w:rsidRPr="00883125">
        <w:tab/>
        <w:t>The material (and conclusions drawn from it) that were relied on by the ERA were objectively produced by respected academic researchers. Professor Gray advanced alternative interpretations. This whole area of discourse about inputs into the CAPM and the correct approach to estimating the relevant parameters of the CAPM, including gamma, is a continuing area of sophisticated debate involving competing opinions. An agreed position appears to be a distant outcome. In reaching its decision the ERA relied on expert opinions that were contrary to those of Professor Gray, who had been engaged by DBP. Such a difference of opinion is common amongst academics in this as in other similar areas. Thus, so long as the ERA acted reasonably in preferring one expert to another, it will not have committed error.</w:t>
      </w:r>
    </w:p>
    <w:p w:rsidR="00C52695" w:rsidRPr="00883125" w:rsidRDefault="00C52695" w:rsidP="00C52695">
      <w:pPr>
        <w:pStyle w:val="AERquote"/>
      </w:pPr>
      <w:r w:rsidRPr="00883125">
        <w:t xml:space="preserve">211 </w:t>
      </w:r>
      <w:r w:rsidRPr="00883125">
        <w:tab/>
        <w:t>The Tribunal reiterates that there is no single agreed-upon correct value of gamma. While the value of F is relatively settled in Australia, great controversy has surrounded the relevant value of theta. Many papers on the measurement of theta, and thus gamma, were produced for the ERA’s consideration, from its own and from DBP’s experts. The gap between their estimating models, and their ensuing calculations, was wide.</w:t>
      </w:r>
    </w:p>
    <w:p w:rsidR="00C52695" w:rsidRPr="00883125" w:rsidRDefault="00C52695" w:rsidP="00C52695">
      <w:pPr>
        <w:pStyle w:val="AERquote"/>
      </w:pPr>
      <w:r w:rsidRPr="00883125">
        <w:t xml:space="preserve">214 </w:t>
      </w:r>
      <w:r w:rsidRPr="00883125">
        <w:tab/>
        <w:t>The Tribunal observes that this is not to say, however, that a gamma value of 0.25 is the only possible value for this parameter. It is simply the best estimate currently available for use in this matter now before it. As with the estimation of many economic and financial parameters, finding the “right” value is a process of continual refinement as new models and paradigms emerge and as better data and estimating techniques become available.</w:t>
      </w:r>
    </w:p>
    <w:p w:rsidR="00C52695" w:rsidRPr="00883125" w:rsidRDefault="00C52695" w:rsidP="00C52695">
      <w:r w:rsidRPr="00883125">
        <w:t>The Tribunal made similar comments in the earlier WA Gas Networks matter.</w:t>
      </w:r>
      <w:r w:rsidRPr="00883125">
        <w:rPr>
          <w:rStyle w:val="FootnoteReference"/>
        </w:rPr>
        <w:footnoteReference w:id="345"/>
      </w:r>
    </w:p>
    <w:p w:rsidR="00C52695" w:rsidRPr="00883125" w:rsidRDefault="00C52695" w:rsidP="00C52695">
      <w:pPr>
        <w:pStyle w:val="Heading8"/>
      </w:pPr>
      <w:bookmarkStart w:id="182" w:name="_Ref415070393"/>
      <w:bookmarkStart w:id="183" w:name="_Toc436049445"/>
      <w:bookmarkStart w:id="184" w:name="_Toc451842249"/>
      <w:bookmarkStart w:id="185" w:name="_Toc451938305"/>
      <w:bookmarkStart w:id="186" w:name="_Toc456614296"/>
      <w:bookmarkStart w:id="187" w:name="_Toc462823314"/>
      <w:bookmarkStart w:id="188" w:name="_Toc487014063"/>
      <w:r w:rsidRPr="00883125">
        <w:t>Key concerns of the service providers</w:t>
      </w:r>
      <w:bookmarkEnd w:id="182"/>
      <w:bookmarkEnd w:id="183"/>
      <w:bookmarkEnd w:id="184"/>
      <w:bookmarkEnd w:id="185"/>
      <w:bookmarkEnd w:id="186"/>
      <w:bookmarkEnd w:id="187"/>
      <w:bookmarkEnd w:id="188"/>
    </w:p>
    <w:p w:rsidR="00D04AA1" w:rsidRDefault="00DC1EEF" w:rsidP="00C52695">
      <w:r>
        <w:t xml:space="preserve">Since the rate of return guideline we have </w:t>
      </w:r>
      <w:r w:rsidR="00E21E18">
        <w:t xml:space="preserve">effectively </w:t>
      </w:r>
      <w:r>
        <w:t xml:space="preserve">reviewed </w:t>
      </w:r>
      <w:r w:rsidR="00F809D6">
        <w:t>four</w:t>
      </w:r>
      <w:r>
        <w:t xml:space="preserve"> tranches of submissions from the regulated businesses</w:t>
      </w:r>
      <w:r w:rsidR="00E21E18">
        <w:t xml:space="preserve"> and other related stakeholder submissions</w:t>
      </w:r>
      <w:r>
        <w:t xml:space="preserve">. </w:t>
      </w:r>
      <w:r w:rsidR="00E30CB4">
        <w:t>These tranches related to common gamma decision in AER decisions released in May and June 2015</w:t>
      </w:r>
      <w:r w:rsidR="00AD35FD">
        <w:t>,</w:t>
      </w:r>
      <w:r w:rsidR="00E30CB4">
        <w:rPr>
          <w:rStyle w:val="FootnoteReference"/>
        </w:rPr>
        <w:footnoteReference w:id="346"/>
      </w:r>
      <w:r w:rsidR="00E30CB4">
        <w:t xml:space="preserve"> October and November 2015</w:t>
      </w:r>
      <w:r w:rsidR="00AD35FD">
        <w:t>,</w:t>
      </w:r>
      <w:r w:rsidR="00E30CB4">
        <w:rPr>
          <w:rStyle w:val="FootnoteReference"/>
        </w:rPr>
        <w:footnoteReference w:id="347"/>
      </w:r>
      <w:r w:rsidR="00E30CB4">
        <w:t xml:space="preserve"> May 2016</w:t>
      </w:r>
      <w:r w:rsidR="00E30CB4">
        <w:rPr>
          <w:rStyle w:val="FootnoteReference"/>
        </w:rPr>
        <w:footnoteReference w:id="348"/>
      </w:r>
      <w:r w:rsidR="00194D86">
        <w:t>, April 2017</w:t>
      </w:r>
      <w:r w:rsidR="00E30CB4">
        <w:rPr>
          <w:rStyle w:val="FootnoteReference"/>
        </w:rPr>
        <w:footnoteReference w:id="349"/>
      </w:r>
      <w:r w:rsidR="00E30CB4">
        <w:t xml:space="preserve"> </w:t>
      </w:r>
      <w:r w:rsidR="00194D86">
        <w:t>and the current decisions.</w:t>
      </w:r>
      <w:r w:rsidR="00194D86">
        <w:rPr>
          <w:rStyle w:val="FootnoteReference"/>
        </w:rPr>
        <w:footnoteReference w:id="350"/>
      </w:r>
      <w:r w:rsidR="00194D86">
        <w:t xml:space="preserve"> </w:t>
      </w:r>
      <w:r>
        <w:t xml:space="preserve">Below we highlight the key concerns raised by regulated businesses in </w:t>
      </w:r>
      <w:r w:rsidR="00D04AA1">
        <w:t xml:space="preserve">each </w:t>
      </w:r>
      <w:r>
        <w:t xml:space="preserve">tranche of submissions. Overall most businesses submit that gamma should be set </w:t>
      </w:r>
      <w:r w:rsidR="00D04AA1">
        <w:t>to 0.25 based on a 0.</w:t>
      </w:r>
      <w:r w:rsidR="00E21E18">
        <w:t>3</w:t>
      </w:r>
      <w:r w:rsidR="00D04AA1">
        <w:t xml:space="preserve">5 utilisation value </w:t>
      </w:r>
      <w:r w:rsidR="00E21E18">
        <w:t xml:space="preserve">from </w:t>
      </w:r>
      <w:r w:rsidR="00D04AA1">
        <w:t>the SFG dividend drop off study and a 0.7 all equity distribution rate</w:t>
      </w:r>
      <w:r w:rsidR="00E21E18">
        <w:t xml:space="preserve"> based on franking account balance data from the Australian Taxation Office</w:t>
      </w:r>
      <w:r w:rsidR="00D04AA1">
        <w:t xml:space="preserve">. </w:t>
      </w:r>
    </w:p>
    <w:p w:rsidR="008E3F2C" w:rsidRDefault="00BC0D27" w:rsidP="00C52695">
      <w:r>
        <w:t xml:space="preserve">AGN in its </w:t>
      </w:r>
      <w:r w:rsidR="005F4F09">
        <w:t>proposal</w:t>
      </w:r>
      <w:r w:rsidR="00D04AA1">
        <w:t xml:space="preserve"> submitted a gamma estimate of 0.4</w:t>
      </w:r>
      <w:r w:rsidR="00C845C2">
        <w:t>,</w:t>
      </w:r>
      <w:r w:rsidR="00D04AA1">
        <w:t xml:space="preserve"> consistent with the AER's earlier decisions.</w:t>
      </w:r>
      <w:r w:rsidR="00C40DB2">
        <w:rPr>
          <w:rStyle w:val="FootnoteReference"/>
        </w:rPr>
        <w:footnoteReference w:id="351"/>
      </w:r>
    </w:p>
    <w:p w:rsidR="008E3F2C" w:rsidRDefault="008E3F2C" w:rsidP="00E750F8">
      <w:pPr>
        <w:pStyle w:val="Heading9"/>
      </w:pPr>
      <w:bookmarkStart w:id="189" w:name="_Toc487014064"/>
      <w:r>
        <w:t>Ausgrid, Endeavour Energy, Essential Energy, ActewAGL, TransGrid, Directlink, Jemena Gas Networks</w:t>
      </w:r>
      <w:bookmarkEnd w:id="189"/>
    </w:p>
    <w:p w:rsidR="00C52695" w:rsidRPr="00883125" w:rsidRDefault="00C52695" w:rsidP="00C52695">
      <w:r w:rsidRPr="00883125">
        <w:t>In their revised proposals, Ausgrid, Endeavour Energy, Essential Energy, ActewAGL, TransGrid, Directlink and Jemena Gas Networks directly raised eight key concerns with our draft decisions released in 2014, which they characterised as errors.</w:t>
      </w:r>
      <w:r w:rsidRPr="00883125">
        <w:rPr>
          <w:rStyle w:val="FootnoteReference"/>
        </w:rPr>
        <w:footnoteReference w:id="352"/>
      </w:r>
      <w:r w:rsidRPr="00883125">
        <w:t xml:space="preserve"> Below we set out each of these and identify where we have responded to each of these eight key concerns in this </w:t>
      </w:r>
      <w:r w:rsidR="00B31E52">
        <w:t>draft</w:t>
      </w:r>
      <w:r w:rsidR="00022C1D" w:rsidRPr="00883125">
        <w:t xml:space="preserve"> </w:t>
      </w:r>
      <w:r w:rsidRPr="00883125">
        <w:t>decision.</w:t>
      </w:r>
    </w:p>
    <w:p w:rsidR="00C52695" w:rsidRPr="001D37D5" w:rsidRDefault="00C52695" w:rsidP="00C52695">
      <w:pPr>
        <w:pStyle w:val="AERbulletlistfirststyle"/>
      </w:pPr>
      <w:r w:rsidRPr="00883125">
        <w:rPr>
          <w:rStyle w:val="AERtextitalic"/>
        </w:rPr>
        <w:t>Our definition of the utilisation rate is conceptually incorrect and inconsistent with the requirements of the NER/NGR</w:t>
      </w:r>
      <w:r w:rsidRPr="001D37D5">
        <w:t xml:space="preserve">—our understanding of the utilisation rate (and the value of imputation credits more broadly) is discussed in sections </w:t>
      </w:r>
      <w:r w:rsidRPr="001D37D5">
        <w:fldChar w:fldCharType="begin"/>
      </w:r>
      <w:r w:rsidRPr="001D37D5">
        <w:instrText xml:space="preserve"> REF _Ref416802459 \r \h </w:instrText>
      </w:r>
      <w:r w:rsidRPr="001D37D5">
        <w:fldChar w:fldCharType="separate"/>
      </w:r>
      <w:r w:rsidR="007E3457">
        <w:t>4.3.1</w:t>
      </w:r>
      <w:r w:rsidRPr="001D37D5">
        <w:fldChar w:fldCharType="end"/>
      </w:r>
      <w:r w:rsidRPr="001D37D5">
        <w:t xml:space="preserve">, </w:t>
      </w:r>
      <w:r w:rsidRPr="001D37D5">
        <w:fldChar w:fldCharType="begin"/>
      </w:r>
      <w:r w:rsidRPr="001D37D5">
        <w:instrText xml:space="preserve"> REF _Ref415048973 \r \h </w:instrText>
      </w:r>
      <w:r w:rsidRPr="001D37D5">
        <w:fldChar w:fldCharType="separate"/>
      </w:r>
      <w:r w:rsidR="007E3457">
        <w:t>4.3.6</w:t>
      </w:r>
      <w:r w:rsidRPr="001D37D5">
        <w:fldChar w:fldCharType="end"/>
      </w:r>
      <w:r w:rsidRPr="001D37D5">
        <w:t>,</w:t>
      </w:r>
      <w:r w:rsidRPr="001D37D5">
        <w:fldChar w:fldCharType="begin"/>
      </w:r>
      <w:r w:rsidRPr="001D37D5">
        <w:instrText xml:space="preserve"> REF _Ref415144114 \r \h </w:instrText>
      </w:r>
      <w:r w:rsidRPr="001D37D5">
        <w:fldChar w:fldCharType="separate"/>
      </w:r>
      <w:r w:rsidR="007E3457">
        <w:t>A.5</w:t>
      </w:r>
      <w:r w:rsidRPr="001D37D5">
        <w:fldChar w:fldCharType="end"/>
      </w:r>
      <w:r w:rsidRPr="001D37D5">
        <w:t xml:space="preserve">, </w:t>
      </w:r>
      <w:r w:rsidRPr="001D37D5">
        <w:fldChar w:fldCharType="begin"/>
      </w:r>
      <w:r w:rsidRPr="001D37D5">
        <w:instrText xml:space="preserve"> REF _Ref400965182 \r \h </w:instrText>
      </w:r>
      <w:r w:rsidRPr="001D37D5">
        <w:fldChar w:fldCharType="separate"/>
      </w:r>
      <w:r w:rsidR="007E3457">
        <w:t>A.6</w:t>
      </w:r>
      <w:r w:rsidRPr="001D37D5">
        <w:fldChar w:fldCharType="end"/>
      </w:r>
      <w:r w:rsidRPr="001D37D5">
        <w:t xml:space="preserve">, and </w:t>
      </w:r>
      <w:r w:rsidRPr="001D37D5">
        <w:fldChar w:fldCharType="begin"/>
      </w:r>
      <w:r w:rsidRPr="001D37D5">
        <w:instrText xml:space="preserve"> REF _Ref414282622 \r \h </w:instrText>
      </w:r>
      <w:r w:rsidRPr="001D37D5">
        <w:fldChar w:fldCharType="separate"/>
      </w:r>
      <w:r w:rsidR="007E3457">
        <w:t>A.7</w:t>
      </w:r>
      <w:r w:rsidRPr="001D37D5">
        <w:fldChar w:fldCharType="end"/>
      </w:r>
      <w:r w:rsidRPr="001D37D5">
        <w:t>. As shown there, our understanding is consistent with the theoretical framework that underpins the NER/NGR and is supported by expert advice from Handley and Lally.</w:t>
      </w:r>
    </w:p>
    <w:p w:rsidR="00C52695" w:rsidRPr="001D37D5" w:rsidRDefault="00C52695" w:rsidP="00C52695">
      <w:pPr>
        <w:pStyle w:val="AERbulletlistfirststyle"/>
      </w:pPr>
      <w:r w:rsidRPr="00883125">
        <w:t xml:space="preserve">We incorrectly use equity ownership rates as direct evidence of the value of distributed imputation credits—given our understanding of the utilisation rate, we set out in section </w:t>
      </w:r>
      <w:r w:rsidRPr="001D37D5">
        <w:fldChar w:fldCharType="begin"/>
      </w:r>
      <w:r w:rsidRPr="001D37D5">
        <w:instrText xml:space="preserve"> REF _Ref415049811 \r \h </w:instrText>
      </w:r>
      <w:r w:rsidRPr="001D37D5">
        <w:fldChar w:fldCharType="separate"/>
      </w:r>
      <w:r w:rsidR="007E3457">
        <w:t>A.12</w:t>
      </w:r>
      <w:r w:rsidRPr="001D37D5">
        <w:fldChar w:fldCharType="end"/>
      </w:r>
      <w:r w:rsidRPr="001D37D5">
        <w:t xml:space="preserve"> why the equity ownership approach provides a reasonable estimate.</w:t>
      </w:r>
    </w:p>
    <w:p w:rsidR="00C52695" w:rsidRPr="001D37D5" w:rsidRDefault="00C52695" w:rsidP="00C52695">
      <w:pPr>
        <w:pStyle w:val="AERbulletlistfirststyle"/>
      </w:pPr>
      <w:r w:rsidRPr="00883125">
        <w:t xml:space="preserve">The ranges we used for the equity ownership rate were not supported by the evidence in the draft decisions—as discussed in section </w:t>
      </w:r>
      <w:r w:rsidRPr="001D37D5">
        <w:fldChar w:fldCharType="begin"/>
      </w:r>
      <w:r w:rsidRPr="001D37D5">
        <w:instrText xml:space="preserve"> REF _Ref415049811 \r \h </w:instrText>
      </w:r>
      <w:r w:rsidRPr="001D37D5">
        <w:fldChar w:fldCharType="separate"/>
      </w:r>
      <w:r w:rsidR="007E3457">
        <w:t>A.12</w:t>
      </w:r>
      <w:r w:rsidRPr="001D37D5">
        <w:fldChar w:fldCharType="end"/>
      </w:r>
      <w:r w:rsidRPr="001D37D5">
        <w:t xml:space="preserve">, the service providers who raised this did not recognise that our ranges were based on the evidence from two alternative applications of the equity ownership approach. In this </w:t>
      </w:r>
      <w:r w:rsidR="00B31E52">
        <w:t>draft</w:t>
      </w:r>
      <w:r w:rsidR="00DE3646">
        <w:t xml:space="preserve"> </w:t>
      </w:r>
      <w:r w:rsidRPr="001D37D5">
        <w:t>decision, our ranges are primarily based on the application that was deemed more relevant by Handley, although we also have regard to the range for all equity implied by Lally's recommended estimate for the distribution rate and particularly his preferred point estimate for gamma of at least 0.5.</w:t>
      </w:r>
    </w:p>
    <w:p w:rsidR="00C52695" w:rsidRPr="001D37D5" w:rsidRDefault="00C52695" w:rsidP="00C52695">
      <w:pPr>
        <w:pStyle w:val="AERbulletlistfirststyle"/>
      </w:pPr>
      <w:r w:rsidRPr="00883125">
        <w:t xml:space="preserve">We incorrectly use tax statistics as direct evidence of the value of distributed imputation credits—given our understanding of the utilisation rate, we set out in section </w:t>
      </w:r>
      <w:r w:rsidRPr="001D37D5">
        <w:fldChar w:fldCharType="begin"/>
      </w:r>
      <w:r w:rsidRPr="001D37D5">
        <w:instrText xml:space="preserve"> REF _Ref402179420 \r \h </w:instrText>
      </w:r>
      <w:r w:rsidRPr="001D37D5">
        <w:fldChar w:fldCharType="separate"/>
      </w:r>
      <w:r w:rsidR="007E3457">
        <w:t>A.13</w:t>
      </w:r>
      <w:r w:rsidRPr="001D37D5">
        <w:fldChar w:fldCharType="end"/>
      </w:r>
      <w:r w:rsidRPr="001D37D5">
        <w:t xml:space="preserve"> why tax statistics provide a valid, albeit uncertain, estimate.</w:t>
      </w:r>
    </w:p>
    <w:p w:rsidR="00C52695" w:rsidRPr="001D37D5" w:rsidRDefault="00C52695" w:rsidP="00C52695">
      <w:pPr>
        <w:pStyle w:val="AERbulletlistfirststyle"/>
      </w:pPr>
      <w:r w:rsidRPr="00883125">
        <w:t xml:space="preserve">We incorrectly conclude that implied market value studies reflect factors that are not relevant to estimating the utilisation rate—given our understanding of the utilisation rate, we set out in sections </w:t>
      </w:r>
      <w:r w:rsidRPr="001D37D5">
        <w:fldChar w:fldCharType="begin"/>
      </w:r>
      <w:r w:rsidRPr="001D37D5">
        <w:instrText xml:space="preserve"> REF _Ref415065117 \r \h </w:instrText>
      </w:r>
      <w:r w:rsidRPr="001D37D5">
        <w:fldChar w:fldCharType="separate"/>
      </w:r>
      <w:r w:rsidR="007E3457">
        <w:t>A.15.4</w:t>
      </w:r>
      <w:r w:rsidRPr="001D37D5">
        <w:fldChar w:fldCharType="end"/>
      </w:r>
      <w:r w:rsidRPr="001D37D5">
        <w:t xml:space="preserve"> and </w:t>
      </w:r>
      <w:r w:rsidRPr="001D37D5">
        <w:fldChar w:fldCharType="begin"/>
      </w:r>
      <w:r w:rsidRPr="001D37D5">
        <w:instrText xml:space="preserve"> REF _Ref414624721 \r \h </w:instrText>
      </w:r>
      <w:r w:rsidRPr="001D37D5">
        <w:fldChar w:fldCharType="separate"/>
      </w:r>
      <w:r w:rsidR="007E3457">
        <w:t>A.15.5</w:t>
      </w:r>
      <w:r w:rsidRPr="001D37D5">
        <w:fldChar w:fldCharType="end"/>
      </w:r>
      <w:r w:rsidRPr="001D37D5">
        <w:t xml:space="preserve"> why the results of implied market value studies can reflect factors that are not relevant to the utilisation rate.</w:t>
      </w:r>
    </w:p>
    <w:p w:rsidR="00C52695" w:rsidRPr="001D37D5" w:rsidRDefault="00C52695" w:rsidP="00C52695">
      <w:pPr>
        <w:pStyle w:val="AERbulletlistfirststyle"/>
      </w:pPr>
      <w:r w:rsidRPr="00883125">
        <w:t>We erred by considering implied market value studies in a general manner rather than considering the merits of SFG's dividend drop off study—in section</w:t>
      </w:r>
      <w:r w:rsidRPr="001D37D5">
        <w:t xml:space="preserve">s </w:t>
      </w:r>
      <w:r w:rsidRPr="001D37D5">
        <w:fldChar w:fldCharType="begin"/>
      </w:r>
      <w:r w:rsidRPr="001D37D5">
        <w:instrText xml:space="preserve"> REF _Ref450761230 \r \h </w:instrText>
      </w:r>
      <w:r w:rsidRPr="001D37D5">
        <w:fldChar w:fldCharType="separate"/>
      </w:r>
      <w:r w:rsidR="007E3457">
        <w:t>4.4.1</w:t>
      </w:r>
      <w:r w:rsidRPr="001D37D5">
        <w:fldChar w:fldCharType="end"/>
      </w:r>
      <w:r w:rsidRPr="001D37D5">
        <w:t xml:space="preserve"> and </w:t>
      </w:r>
      <w:r w:rsidRPr="001D37D5">
        <w:fldChar w:fldCharType="begin"/>
      </w:r>
      <w:r w:rsidRPr="001D37D5">
        <w:instrText xml:space="preserve"> REF _Ref451267696 \r \h </w:instrText>
      </w:r>
      <w:r w:rsidRPr="001D37D5">
        <w:fldChar w:fldCharType="separate"/>
      </w:r>
      <w:r w:rsidR="007E3457">
        <w:t>A.15</w:t>
      </w:r>
      <w:r w:rsidRPr="001D37D5">
        <w:fldChar w:fldCharType="end"/>
      </w:r>
      <w:r w:rsidRPr="001D37D5">
        <w:t xml:space="preserve"> we set out a list of limitations that can apply to implied market value studies, and in section </w:t>
      </w:r>
      <w:r w:rsidRPr="001D37D5">
        <w:fldChar w:fldCharType="begin"/>
      </w:r>
      <w:r w:rsidRPr="001D37D5">
        <w:instrText xml:space="preserve"> REF _Ref414624721 \r \h </w:instrText>
      </w:r>
      <w:r w:rsidRPr="001D37D5">
        <w:fldChar w:fldCharType="separate"/>
      </w:r>
      <w:r w:rsidR="007E3457">
        <w:t>A.15.5</w:t>
      </w:r>
      <w:r w:rsidRPr="001D37D5">
        <w:fldChar w:fldCharType="end"/>
      </w:r>
      <w:r w:rsidRPr="001D37D5">
        <w:t xml:space="preserve"> we conclude that that there is reasonable evidence to suggest that several of these limitations apply to SFG's dividend drop off study. In sections </w:t>
      </w:r>
      <w:r w:rsidRPr="001D37D5">
        <w:fldChar w:fldCharType="begin"/>
      </w:r>
      <w:r w:rsidRPr="001D37D5">
        <w:instrText xml:space="preserve"> REF _Ref450761230 \r \h </w:instrText>
      </w:r>
      <w:r w:rsidRPr="001D37D5">
        <w:fldChar w:fldCharType="separate"/>
      </w:r>
      <w:r w:rsidR="007E3457">
        <w:t>4.4.1</w:t>
      </w:r>
      <w:r w:rsidRPr="001D37D5">
        <w:fldChar w:fldCharType="end"/>
      </w:r>
      <w:r w:rsidRPr="001D37D5">
        <w:t xml:space="preserve">and </w:t>
      </w:r>
      <w:r w:rsidRPr="001D37D5">
        <w:fldChar w:fldCharType="begin"/>
      </w:r>
      <w:r w:rsidRPr="001D37D5">
        <w:instrText xml:space="preserve"> REF _Ref451267729 \r \h </w:instrText>
      </w:r>
      <w:r w:rsidRPr="001D37D5">
        <w:fldChar w:fldCharType="separate"/>
      </w:r>
      <w:r w:rsidR="007E3457">
        <w:t>A.15</w:t>
      </w:r>
      <w:r w:rsidRPr="001D37D5">
        <w:fldChar w:fldCharType="end"/>
      </w:r>
      <w:r w:rsidRPr="001D37D5">
        <w:t xml:space="preserve"> we also refer to the issues raised by Lally in relation to SFG's dividend drop off study, and McKenzie and Partington's view that there is no obvious manner in which to weigh the results from various implied market value studies based on their characteristics. In section </w:t>
      </w:r>
      <w:r w:rsidRPr="001D37D5">
        <w:fldChar w:fldCharType="begin"/>
      </w:r>
      <w:r w:rsidRPr="001D37D5">
        <w:instrText xml:space="preserve"> REF _Ref451267750 \r \h </w:instrText>
      </w:r>
      <w:r w:rsidRPr="001D37D5">
        <w:fldChar w:fldCharType="separate"/>
      </w:r>
      <w:r w:rsidR="007E3457">
        <w:t>A.15</w:t>
      </w:r>
      <w:r w:rsidRPr="001D37D5">
        <w:fldChar w:fldCharType="end"/>
      </w:r>
      <w:r w:rsidRPr="001D37D5">
        <w:t xml:space="preserve"> we set out statements from experts and other regulators on the limitations of dividend drop off studies. All but one of these statements occurred after the development of SFG's dividend drop off study.</w:t>
      </w:r>
    </w:p>
    <w:p w:rsidR="00C52695" w:rsidRPr="001D37D5" w:rsidRDefault="00C52695" w:rsidP="00C52695">
      <w:pPr>
        <w:pStyle w:val="AERbulletlistfirststyle"/>
      </w:pPr>
      <w:r w:rsidRPr="00883125">
        <w:t xml:space="preserve">It was neither necessary nor appropriate for us to identify a distribution rate for only listed equity—in sections </w:t>
      </w:r>
      <w:r w:rsidRPr="001D37D5">
        <w:fldChar w:fldCharType="begin"/>
      </w:r>
      <w:r w:rsidRPr="001D37D5">
        <w:instrText xml:space="preserve"> REF _Ref451790065 \r \h </w:instrText>
      </w:r>
      <w:r w:rsidRPr="001D37D5">
        <w:fldChar w:fldCharType="separate"/>
      </w:r>
      <w:r w:rsidR="007E3457">
        <w:t>A.9</w:t>
      </w:r>
      <w:r w:rsidRPr="001D37D5">
        <w:fldChar w:fldCharType="end"/>
      </w:r>
      <w:r w:rsidRPr="001D37D5">
        <w:t xml:space="preserve"> and </w:t>
      </w:r>
      <w:r w:rsidRPr="001D37D5">
        <w:fldChar w:fldCharType="begin"/>
      </w:r>
      <w:r w:rsidRPr="001D37D5">
        <w:instrText xml:space="preserve"> REF _Ref414289334 \r \h </w:instrText>
      </w:r>
      <w:r w:rsidRPr="001D37D5">
        <w:fldChar w:fldCharType="separate"/>
      </w:r>
      <w:r w:rsidR="007E3457">
        <w:t>A.10.1</w:t>
      </w:r>
      <w:r w:rsidRPr="001D37D5">
        <w:fldChar w:fldCharType="end"/>
      </w:r>
      <w:r w:rsidR="00922C6D">
        <w:t xml:space="preserve"> this is further discussed.</w:t>
      </w:r>
    </w:p>
    <w:p w:rsidR="00C52695" w:rsidRPr="001D37D5" w:rsidRDefault="00C52695" w:rsidP="00C52695">
      <w:pPr>
        <w:pStyle w:val="AERbulletlistfirststyle"/>
      </w:pPr>
      <w:r w:rsidRPr="00883125">
        <w:t xml:space="preserve">Our ultimate conclusion as to the value of imputation credits was inconsistent with the evidence presented in </w:t>
      </w:r>
      <w:r w:rsidRPr="001D37D5">
        <w:t xml:space="preserve">our recent decisions—as set out in section </w:t>
      </w:r>
      <w:r w:rsidR="008E3F2C">
        <w:fldChar w:fldCharType="begin"/>
      </w:r>
      <w:r w:rsidR="008E3F2C">
        <w:instrText xml:space="preserve"> REF _Ref476565842 \r \h </w:instrText>
      </w:r>
      <w:r w:rsidR="008E3F2C">
        <w:fldChar w:fldCharType="separate"/>
      </w:r>
      <w:r w:rsidR="007E3457">
        <w:t>4.4</w:t>
      </w:r>
      <w:r w:rsidR="008E3F2C">
        <w:fldChar w:fldCharType="end"/>
      </w:r>
      <w:r w:rsidRPr="001D37D5">
        <w:t>, the evidence presented in this</w:t>
      </w:r>
      <w:r>
        <w:t xml:space="preserve"> </w:t>
      </w:r>
      <w:r w:rsidR="00B31E52">
        <w:t>draft</w:t>
      </w:r>
      <w:r w:rsidR="00DE3646" w:rsidRPr="001D37D5">
        <w:t xml:space="preserve"> </w:t>
      </w:r>
      <w:r w:rsidRPr="001D37D5">
        <w:t>decision suggests that a reasonable estimate for the value of imputation credits is within the range 0.3 to 0.5. Our estimate of 0.4 is within this range.</w:t>
      </w:r>
    </w:p>
    <w:p w:rsidR="008E3F2C" w:rsidRPr="008E3F2C" w:rsidRDefault="008E3F2C" w:rsidP="00F40012">
      <w:pPr>
        <w:pStyle w:val="Heading9"/>
        <w:keepNext/>
      </w:pPr>
      <w:bookmarkStart w:id="190" w:name="_Toc487014065"/>
      <w:r>
        <w:t>SA Power Networks, Ergon Energy, Energex</w:t>
      </w:r>
      <w:bookmarkEnd w:id="190"/>
    </w:p>
    <w:p w:rsidR="00C52695" w:rsidRPr="00883125" w:rsidRDefault="00C52695" w:rsidP="00F40012">
      <w:pPr>
        <w:keepNext/>
        <w:rPr>
          <w:rStyle w:val="AERbody"/>
        </w:rPr>
      </w:pPr>
      <w:r w:rsidRPr="00883125">
        <w:rPr>
          <w:rStyle w:val="AERbody"/>
        </w:rPr>
        <w:t>In the revised regulatory proposals of SA Power Networks, Ergon</w:t>
      </w:r>
      <w:r>
        <w:rPr>
          <w:rStyle w:val="AERbody"/>
        </w:rPr>
        <w:t xml:space="preserve"> Energy</w:t>
      </w:r>
      <w:r w:rsidRPr="00883125">
        <w:rPr>
          <w:rStyle w:val="AERbody"/>
        </w:rPr>
        <w:t xml:space="preserve">, and </w:t>
      </w:r>
      <w:r>
        <w:rPr>
          <w:rStyle w:val="AERbody"/>
        </w:rPr>
        <w:t>Energex submitted in July 2015</w:t>
      </w:r>
      <w:r w:rsidRPr="00883125">
        <w:rPr>
          <w:rStyle w:val="AERbody"/>
        </w:rPr>
        <w:t>, two issues were raised as the key issues in dispute.</w:t>
      </w:r>
      <w:r w:rsidRPr="00883125">
        <w:rPr>
          <w:rStyle w:val="FootnoteReference"/>
        </w:rPr>
        <w:footnoteReference w:id="353"/>
      </w:r>
      <w:r w:rsidRPr="00883125">
        <w:rPr>
          <w:rStyle w:val="AERbody"/>
        </w:rPr>
        <w:t xml:space="preserve"> These issues were also raised in Gray's June 2015 report (for Frontier</w:t>
      </w:r>
      <w:r w:rsidR="00C845C2">
        <w:rPr>
          <w:rStyle w:val="AERbody"/>
        </w:rPr>
        <w:t>)</w:t>
      </w:r>
      <w:r>
        <w:rPr>
          <w:rStyle w:val="AERbody"/>
        </w:rPr>
        <w:t>. These issues are</w:t>
      </w:r>
      <w:r w:rsidRPr="00883125">
        <w:rPr>
          <w:rStyle w:val="AERbody"/>
        </w:rPr>
        <w:t>:</w:t>
      </w:r>
    </w:p>
    <w:p w:rsidR="00C52695" w:rsidRPr="001D37D5" w:rsidRDefault="00C52695" w:rsidP="00C52695">
      <w:pPr>
        <w:pStyle w:val="AERbulletlistfirststyle"/>
      </w:pPr>
      <w:r w:rsidRPr="005764F6">
        <w:t>The first key point of difference is conceptually whether theta should be interpreted as the value of distributed credits, or the redemption proportion. The service providers consider that if their value interpretation is adopted then you must use estimates that measure the value of distributed credits (such as dividend drop-off studies).</w:t>
      </w:r>
      <w:r w:rsidRPr="00424DF1">
        <w:rPr>
          <w:rStyle w:val="FootnoteReference"/>
        </w:rPr>
        <w:footnoteReference w:id="354"/>
      </w:r>
      <w:r w:rsidRPr="001D37D5">
        <w:t xml:space="preserve"> In sections </w:t>
      </w:r>
      <w:r w:rsidRPr="001D37D5">
        <w:fldChar w:fldCharType="begin"/>
      </w:r>
      <w:r w:rsidRPr="001D37D5">
        <w:instrText xml:space="preserve"> REF _Ref415144114 \r \h  \* MERGEFORMAT </w:instrText>
      </w:r>
      <w:r w:rsidRPr="001D37D5">
        <w:fldChar w:fldCharType="separate"/>
      </w:r>
      <w:r w:rsidR="007E3457">
        <w:t>A.5</w:t>
      </w:r>
      <w:r w:rsidRPr="001D37D5">
        <w:fldChar w:fldCharType="end"/>
      </w:r>
      <w:r w:rsidRPr="001D37D5">
        <w:t xml:space="preserve"> and </w:t>
      </w:r>
      <w:r w:rsidRPr="001D37D5">
        <w:fldChar w:fldCharType="begin"/>
      </w:r>
      <w:r w:rsidRPr="001D37D5">
        <w:instrText xml:space="preserve"> REF _Ref401748758 \r \h  \* MERGEFORMAT </w:instrText>
      </w:r>
      <w:r w:rsidRPr="001D37D5">
        <w:fldChar w:fldCharType="separate"/>
      </w:r>
      <w:r w:rsidR="007E3457">
        <w:t>A.8.1</w:t>
      </w:r>
      <w:r w:rsidRPr="001D37D5">
        <w:fldChar w:fldCharType="end"/>
      </w:r>
      <w:r w:rsidRPr="001D37D5">
        <w:t xml:space="preserve"> we explain why we consider the proportion of imputation credits distributed to shareholders eligible to utilise them is an appropriate measure of the value of imputation credits before personal taxes and transaction costs.</w:t>
      </w:r>
    </w:p>
    <w:p w:rsidR="00C52695" w:rsidRPr="001D37D5" w:rsidRDefault="00C52695" w:rsidP="00C52695">
      <w:pPr>
        <w:pStyle w:val="AERbulletlistfirststyle"/>
      </w:pPr>
      <w:r w:rsidRPr="005764F6">
        <w:t>The second key point of difference concerns the set of comparator businesses that should be used when estimating a benchmark distribution rate.</w:t>
      </w:r>
      <w:r w:rsidRPr="001D37D5">
        <w:rPr>
          <w:rStyle w:val="FootnoteReference"/>
        </w:rPr>
        <w:footnoteReference w:id="355"/>
      </w:r>
      <w:r w:rsidRPr="001D37D5">
        <w:t xml:space="preserve"> The service providers consider: firstly, we are incorrect to consider the same set of firms need to be used to estimate the distribution rate and to estimate the value of imputation credits; and secondly, we are incorrect to use a distribution rate from all listed equity of around 0.8</w:t>
      </w:r>
      <w:r w:rsidRPr="001D37D5">
        <w:rPr>
          <w:rStyle w:val="FootnoteReference"/>
        </w:rPr>
        <w:footnoteReference w:id="356"/>
      </w:r>
      <w:r w:rsidRPr="001D37D5">
        <w:t xml:space="preserve"> given our benchmark efficient network operator is a pure play wholly domestic business that is not necessarily stock market listed. We respond to these views in sections </w:t>
      </w:r>
      <w:r w:rsidRPr="001D37D5">
        <w:fldChar w:fldCharType="begin"/>
      </w:r>
      <w:r w:rsidRPr="001D37D5">
        <w:instrText xml:space="preserve"> REF _Ref451790065 \r \h  \* MERGEFORMAT </w:instrText>
      </w:r>
      <w:r w:rsidRPr="001D37D5">
        <w:fldChar w:fldCharType="separate"/>
      </w:r>
      <w:r w:rsidR="007E3457">
        <w:t>A.9</w:t>
      </w:r>
      <w:r w:rsidRPr="001D37D5">
        <w:fldChar w:fldCharType="end"/>
      </w:r>
      <w:r w:rsidRPr="001D37D5">
        <w:t xml:space="preserve"> and </w:t>
      </w:r>
      <w:r w:rsidRPr="001D37D5">
        <w:fldChar w:fldCharType="begin"/>
      </w:r>
      <w:r w:rsidRPr="001D37D5">
        <w:instrText xml:space="preserve"> REF _Ref401133206 \r \h  \* MERGEFORMAT </w:instrText>
      </w:r>
      <w:r w:rsidRPr="001D37D5">
        <w:fldChar w:fldCharType="separate"/>
      </w:r>
      <w:r w:rsidR="007E3457">
        <w:t>A.10</w:t>
      </w:r>
      <w:r w:rsidRPr="001D37D5">
        <w:fldChar w:fldCharType="end"/>
      </w:r>
      <w:r w:rsidRPr="001D37D5">
        <w:t>.</w:t>
      </w:r>
    </w:p>
    <w:p w:rsidR="00C52695" w:rsidRPr="00883125" w:rsidRDefault="00C52695" w:rsidP="00C52695">
      <w:pPr>
        <w:rPr>
          <w:rStyle w:val="AERbody"/>
        </w:rPr>
      </w:pPr>
      <w:r w:rsidRPr="00883125">
        <w:rPr>
          <w:rStyle w:val="AERbody"/>
        </w:rPr>
        <w:t xml:space="preserve">We note that both of these points of difference were considered in our decisions released in April and June 2015 and also considered by Handley who supported our approach. </w:t>
      </w:r>
      <w:r>
        <w:rPr>
          <w:rStyle w:val="AERbody"/>
        </w:rPr>
        <w:t>We also note Lally's advice recommends a distribution rate for listed equity estimated from the financial reports of the top 20 listed firms. It also implies matching distribution and utilisation rates based on the dataset used is likely to result in an underestimate of gamma (given his recommended values for the distribution rate and utilisation rate).</w:t>
      </w:r>
      <w:r>
        <w:rPr>
          <w:rStyle w:val="FootnoteReference"/>
        </w:rPr>
        <w:footnoteReference w:id="357"/>
      </w:r>
      <w:r>
        <w:rPr>
          <w:rStyle w:val="AERbody"/>
        </w:rPr>
        <w:t xml:space="preserve"> </w:t>
      </w:r>
    </w:p>
    <w:p w:rsidR="00F809D6" w:rsidRPr="00F809D6" w:rsidRDefault="00651C88" w:rsidP="00F40012">
      <w:pPr>
        <w:pStyle w:val="Heading9"/>
        <w:keepNext/>
      </w:pPr>
      <w:bookmarkStart w:id="191" w:name="_Toc487014066"/>
      <w:r>
        <w:t>Australian Gas Networks, ActewAGL, AusNet Services, CitiPower, Jemena Electricity, United Energy, Powercor</w:t>
      </w:r>
      <w:bookmarkEnd w:id="191"/>
    </w:p>
    <w:p w:rsidR="00651C88" w:rsidRPr="00651C88" w:rsidRDefault="00651C88" w:rsidP="00F40012">
      <w:pPr>
        <w:keepNext/>
        <w:rPr>
          <w:rStyle w:val="AERbody"/>
        </w:rPr>
      </w:pPr>
      <w:r w:rsidRPr="00651C88">
        <w:rPr>
          <w:rStyle w:val="AERbody"/>
        </w:rPr>
        <w:t xml:space="preserve">In the revised regulatory proposals of </w:t>
      </w:r>
      <w:r>
        <w:rPr>
          <w:rStyle w:val="AERbody"/>
        </w:rPr>
        <w:t xml:space="preserve">Australian Gas Network, ActewAGL, AusNet Services, CitiPower, Jemena Electricity, United Energy and Powercor, </w:t>
      </w:r>
      <w:r w:rsidRPr="00651C88">
        <w:rPr>
          <w:rStyle w:val="AERbody"/>
        </w:rPr>
        <w:t>a number of key 'second order' differences of view have been identified:</w:t>
      </w:r>
    </w:p>
    <w:p w:rsidR="00651C88" w:rsidRPr="00651C88" w:rsidRDefault="00651C88" w:rsidP="00651C88">
      <w:pPr>
        <w:pStyle w:val="AERbulletlistfirststyle"/>
      </w:pPr>
      <w:r w:rsidRPr="00651C88">
        <w:t>A redemption rate study can only provide an upper bound for estimating theta.</w:t>
      </w:r>
      <w:r w:rsidRPr="00651C88">
        <w:rPr>
          <w:rStyle w:val="FootnoteReference"/>
        </w:rPr>
        <w:footnoteReference w:id="358"/>
      </w:r>
      <w:r w:rsidRPr="00651C88">
        <w:t xml:space="preserve"> In section </w:t>
      </w:r>
      <w:r w:rsidRPr="00651C88">
        <w:fldChar w:fldCharType="begin"/>
      </w:r>
      <w:r w:rsidRPr="00651C88">
        <w:instrText xml:space="preserve"> REF _Ref414099389 \r \h  \* MERGEFORMAT </w:instrText>
      </w:r>
      <w:r w:rsidRPr="00651C88">
        <w:fldChar w:fldCharType="separate"/>
      </w:r>
      <w:r w:rsidR="007E3457">
        <w:t>A.8.3</w:t>
      </w:r>
      <w:r w:rsidRPr="00651C88">
        <w:fldChar w:fldCharType="end"/>
      </w:r>
      <w:r w:rsidR="00922C6D">
        <w:t xml:space="preserve"> we consider this further.</w:t>
      </w:r>
    </w:p>
    <w:p w:rsidR="00651C88" w:rsidRPr="00651C88" w:rsidRDefault="00651C88" w:rsidP="00651C88">
      <w:pPr>
        <w:pStyle w:val="AERbulletlistfirststyle"/>
      </w:pPr>
      <w:r w:rsidRPr="00651C88">
        <w:t>The criticisms of Gray and Hall's dividend drop-off work is not reasonable.</w:t>
      </w:r>
      <w:r w:rsidRPr="00651C88">
        <w:rPr>
          <w:rStyle w:val="FootnoteReference"/>
        </w:rPr>
        <w:footnoteReference w:id="359"/>
      </w:r>
      <w:r w:rsidRPr="00651C88">
        <w:t xml:space="preserve"> We discuss the limitations of dividend drop off studies and which of these apply to the SFG dividend drop off study in section </w:t>
      </w:r>
      <w:r w:rsidRPr="00651C88">
        <w:fldChar w:fldCharType="begin"/>
      </w:r>
      <w:r w:rsidRPr="00651C88">
        <w:instrText xml:space="preserve"> REF _Ref414624721 \r \h  \* MERGEFORMAT </w:instrText>
      </w:r>
      <w:r w:rsidRPr="00651C88">
        <w:fldChar w:fldCharType="separate"/>
      </w:r>
      <w:r w:rsidR="007E3457">
        <w:t>A.15.5</w:t>
      </w:r>
      <w:r w:rsidRPr="00651C88">
        <w:fldChar w:fldCharType="end"/>
      </w:r>
      <w:r w:rsidRPr="00651C88">
        <w:t>.</w:t>
      </w:r>
    </w:p>
    <w:p w:rsidR="00651C88" w:rsidRPr="00651C88" w:rsidRDefault="00651C88" w:rsidP="00651C88">
      <w:pPr>
        <w:rPr>
          <w:rStyle w:val="AERbody"/>
        </w:rPr>
      </w:pPr>
      <w:r w:rsidRPr="00651C88">
        <w:rPr>
          <w:rStyle w:val="AERbody"/>
        </w:rPr>
        <w:t>We note the primary and second order differences of view identified above d</w:t>
      </w:r>
      <w:r w:rsidR="005F4F09">
        <w:rPr>
          <w:rStyle w:val="AERbody"/>
        </w:rPr>
        <w:t>id</w:t>
      </w:r>
      <w:r w:rsidRPr="00651C88">
        <w:rPr>
          <w:rStyle w:val="AERbody"/>
        </w:rPr>
        <w:t xml:space="preserve"> not appear to be new issues and largely overlap</w:t>
      </w:r>
      <w:r w:rsidR="005F4F09">
        <w:rPr>
          <w:rStyle w:val="AERbody"/>
        </w:rPr>
        <w:t>ped</w:t>
      </w:r>
      <w:r w:rsidRPr="00651C88">
        <w:rPr>
          <w:rStyle w:val="AERbody"/>
        </w:rPr>
        <w:t xml:space="preserve"> with the eight key concerns that service providers ha</w:t>
      </w:r>
      <w:r w:rsidR="005F4F09">
        <w:rPr>
          <w:rStyle w:val="AERbody"/>
        </w:rPr>
        <w:t>d</w:t>
      </w:r>
      <w:r w:rsidRPr="00651C88">
        <w:rPr>
          <w:rStyle w:val="AERbody"/>
        </w:rPr>
        <w:t xml:space="preserve"> raised previously. Having considered the</w:t>
      </w:r>
      <w:r w:rsidR="005F4F09">
        <w:rPr>
          <w:rStyle w:val="AERbody"/>
        </w:rPr>
        <w:t>se</w:t>
      </w:r>
      <w:r w:rsidRPr="00651C88">
        <w:rPr>
          <w:rStyle w:val="AERbody"/>
        </w:rPr>
        <w:t xml:space="preserve"> revised proposals</w:t>
      </w:r>
      <w:r w:rsidR="005F4F09">
        <w:rPr>
          <w:rStyle w:val="AERbody"/>
        </w:rPr>
        <w:t xml:space="preserve"> and</w:t>
      </w:r>
      <w:r w:rsidRPr="00651C88">
        <w:rPr>
          <w:rStyle w:val="AERbody"/>
        </w:rPr>
        <w:t xml:space="preserve"> the new experts' reports since our 2015 JGN decision, we remain</w:t>
      </w:r>
      <w:r w:rsidR="005F4F09">
        <w:rPr>
          <w:rStyle w:val="AERbody"/>
        </w:rPr>
        <w:t>ed</w:t>
      </w:r>
      <w:r w:rsidRPr="00651C88">
        <w:rPr>
          <w:rStyle w:val="AERbody"/>
        </w:rPr>
        <w:t xml:space="preserve"> of the view that a gamma value of 0.4 </w:t>
      </w:r>
      <w:r w:rsidR="005F4F09">
        <w:rPr>
          <w:rStyle w:val="AERbody"/>
        </w:rPr>
        <w:t>wa</w:t>
      </w:r>
      <w:r w:rsidRPr="00651C88">
        <w:rPr>
          <w:rStyle w:val="AERbody"/>
        </w:rPr>
        <w:t>s appropriate.</w:t>
      </w:r>
    </w:p>
    <w:p w:rsidR="00651C88" w:rsidRPr="00651C88" w:rsidRDefault="00651C88" w:rsidP="00651C88">
      <w:r w:rsidRPr="00651C88">
        <w:t>In their revised proposals, these service providers ha</w:t>
      </w:r>
      <w:r w:rsidR="005F4F09">
        <w:t>d</w:t>
      </w:r>
      <w:r w:rsidRPr="00651C88">
        <w:t xml:space="preserve"> broadly not submitted anything new. Besides a new report by Frontier Economics, which presented no substantive new arguments, the</w:t>
      </w:r>
      <w:r w:rsidR="005F4F09">
        <w:t>se</w:t>
      </w:r>
      <w:r w:rsidRPr="00651C88">
        <w:t xml:space="preserve"> service providers submitted essentially the same arguments that were considered in our decisions released in October and November 2015. Overall the</w:t>
      </w:r>
      <w:r w:rsidR="005F4F09">
        <w:t>se</w:t>
      </w:r>
      <w:r w:rsidRPr="00651C88">
        <w:t xml:space="preserve"> service providers propose a gamma estimate of 0.25 which is based on a 0.35 utilisation rate from the SFG dividend drop off study and an all equity distribution rate of 0.7.</w:t>
      </w:r>
      <w:r w:rsidRPr="00651C88">
        <w:rPr>
          <w:rStyle w:val="FootnoteReference"/>
        </w:rPr>
        <w:footnoteReference w:id="360"/>
      </w:r>
      <w:r w:rsidRPr="00651C88">
        <w:t xml:space="preserve"> </w:t>
      </w:r>
    </w:p>
    <w:p w:rsidR="00651C88" w:rsidRPr="00651C88" w:rsidRDefault="00651C88" w:rsidP="00651C88">
      <w:r w:rsidRPr="00651C88">
        <w:t xml:space="preserve">As a high level summary of the revised proposals, </w:t>
      </w:r>
      <w:r w:rsidR="005F4F09">
        <w:t xml:space="preserve">these </w:t>
      </w:r>
      <w:r w:rsidRPr="00651C88">
        <w:t>service providers submitted:</w:t>
      </w:r>
    </w:p>
    <w:p w:rsidR="00651C88" w:rsidRPr="00651C88" w:rsidRDefault="00651C88" w:rsidP="00651C88">
      <w:pPr>
        <w:pStyle w:val="AERbulletlistfirststyle"/>
        <w:rPr>
          <w:rStyle w:val="AERtexthighlight"/>
        </w:rPr>
      </w:pPr>
      <w:r w:rsidRPr="00651C88">
        <w:t>our approach to estimating gamma is premised on an incorrect interpretation of the NGR</w:t>
      </w:r>
      <w:r w:rsidRPr="00651C88">
        <w:rPr>
          <w:rStyle w:val="FootnoteReference"/>
        </w:rPr>
        <w:footnoteReference w:id="361"/>
      </w:r>
    </w:p>
    <w:p w:rsidR="00651C88" w:rsidRPr="00651C88" w:rsidRDefault="00651C88" w:rsidP="00651C88">
      <w:pPr>
        <w:pStyle w:val="AERbulletlistfirststyle"/>
        <w:rPr>
          <w:rStyle w:val="AERtexthighlight"/>
        </w:rPr>
      </w:pPr>
      <w:r w:rsidRPr="00651C88">
        <w:t>both the equity ownership value and taxation statistics can be no more than an upper bound for the utilisation rate</w:t>
      </w:r>
      <w:r w:rsidRPr="00651C88">
        <w:rPr>
          <w:rStyle w:val="FootnoteReference"/>
        </w:rPr>
        <w:footnoteReference w:id="362"/>
      </w:r>
    </w:p>
    <w:p w:rsidR="00651C88" w:rsidRPr="00651C88" w:rsidRDefault="00651C88" w:rsidP="00651C88">
      <w:pPr>
        <w:pStyle w:val="AERbulletlistfirststyle"/>
        <w:rPr>
          <w:rStyle w:val="AERtexthighlight"/>
        </w:rPr>
      </w:pPr>
      <w:r w:rsidRPr="00651C88">
        <w:t>market value studies are direct evidence of the value of imputation credits to investors—we have erred in concluding that market value studies reflect factors such as differential personal taxes and risk which are not relevant to the task of measuring the utilisation rate</w:t>
      </w:r>
      <w:r w:rsidRPr="00651C88">
        <w:rPr>
          <w:rStyle w:val="FootnoteReference"/>
        </w:rPr>
        <w:footnoteReference w:id="363"/>
      </w:r>
    </w:p>
    <w:p w:rsidR="00651C88" w:rsidRPr="00651C88" w:rsidRDefault="00651C88" w:rsidP="00651C88">
      <w:pPr>
        <w:pStyle w:val="AERbulletlistfirststyle"/>
        <w:rPr>
          <w:rStyle w:val="AERtexthighlight"/>
        </w:rPr>
      </w:pPr>
      <w:r w:rsidRPr="00651C88">
        <w:t>we incorrectly assume that estimates of the utilisation rate from listed equity (all equity) can only be combined with estimates distribution rate from listed equity (all equity)</w:t>
      </w:r>
      <w:r w:rsidRPr="00651C88">
        <w:rPr>
          <w:rStyle w:val="FootnoteReference"/>
        </w:rPr>
        <w:footnoteReference w:id="364"/>
      </w:r>
      <w:r w:rsidRPr="00651C88">
        <w:rPr>
          <w:rStyle w:val="AERtexthighlight"/>
        </w:rPr>
        <w:t xml:space="preserve"> </w:t>
      </w:r>
    </w:p>
    <w:p w:rsidR="00651C88" w:rsidRDefault="00651C88" w:rsidP="00651C88">
      <w:pPr>
        <w:pStyle w:val="AERbulletlistfirststyle"/>
      </w:pPr>
      <w:r w:rsidRPr="00651C88">
        <w:t>under our interpretation of the NGR, our gamma estimate cannot be supported as the pre-personal cost estimate of the utilisation rate is approximately 0.3.</w:t>
      </w:r>
      <w:r w:rsidRPr="00651C88">
        <w:rPr>
          <w:rStyle w:val="FootnoteReference"/>
        </w:rPr>
        <w:footnoteReference w:id="365"/>
      </w:r>
    </w:p>
    <w:p w:rsidR="00DE3646" w:rsidRDefault="00B64DFC" w:rsidP="00E750F8">
      <w:pPr>
        <w:pStyle w:val="AERbulletlistfirststyle"/>
      </w:pPr>
      <w:r>
        <w:t>These point</w:t>
      </w:r>
      <w:r w:rsidR="00B330D7">
        <w:t>s</w:t>
      </w:r>
      <w:r>
        <w:t xml:space="preserve"> largely</w:t>
      </w:r>
      <w:r w:rsidR="00B330D7">
        <w:t xml:space="preserve"> reflect</w:t>
      </w:r>
      <w:r>
        <w:t xml:space="preserve"> the same</w:t>
      </w:r>
      <w:r w:rsidR="00B330D7">
        <w:t xml:space="preserve"> issues that were submitted</w:t>
      </w:r>
      <w:r>
        <w:t xml:space="preserve"> by regulated businesses in earlier regulatory proposals.</w:t>
      </w:r>
    </w:p>
    <w:p w:rsidR="00DE3646" w:rsidRDefault="00DE3646" w:rsidP="00DE3646">
      <w:pPr>
        <w:pStyle w:val="Heading9"/>
      </w:pPr>
      <w:bookmarkStart w:id="192" w:name="_Toc487014067"/>
      <w:r w:rsidRPr="00DE3646">
        <w:t xml:space="preserve">AusNet </w:t>
      </w:r>
      <w:r>
        <w:t>Transmission, TasNetworks</w:t>
      </w:r>
      <w:r w:rsidR="00EB0238">
        <w:t>, Powerlink</w:t>
      </w:r>
      <w:bookmarkEnd w:id="192"/>
    </w:p>
    <w:p w:rsidR="009900E7" w:rsidRPr="009900E7" w:rsidRDefault="009900E7" w:rsidP="00B330D7">
      <w:pPr>
        <w:rPr>
          <w:rStyle w:val="AERbody"/>
        </w:rPr>
      </w:pPr>
      <w:r w:rsidRPr="009900E7">
        <w:rPr>
          <w:rStyle w:val="AERbody"/>
        </w:rPr>
        <w:t>In the revised regulatory pr</w:t>
      </w:r>
      <w:r w:rsidR="00D7360C">
        <w:rPr>
          <w:rStyle w:val="AERbody"/>
        </w:rPr>
        <w:t>oposals of AusNet Transmission</w:t>
      </w:r>
      <w:r w:rsidRPr="009900E7">
        <w:rPr>
          <w:rStyle w:val="AERbody"/>
        </w:rPr>
        <w:t>, TasNetworks and Powerlink</w:t>
      </w:r>
      <w:r w:rsidR="005F4F09">
        <w:rPr>
          <w:rStyle w:val="AERbody"/>
        </w:rPr>
        <w:t xml:space="preserve"> we </w:t>
      </w:r>
      <w:r w:rsidR="00A34845">
        <w:rPr>
          <w:rStyle w:val="AERbody"/>
        </w:rPr>
        <w:t>have considered</w:t>
      </w:r>
      <w:r w:rsidRPr="009900E7">
        <w:rPr>
          <w:rStyle w:val="AERbody"/>
        </w:rPr>
        <w:t xml:space="preserve">, </w:t>
      </w:r>
      <w:r w:rsidR="00231EA7">
        <w:t>three</w:t>
      </w:r>
      <w:r w:rsidRPr="009900E7">
        <w:rPr>
          <w:rStyle w:val="AERbody"/>
        </w:rPr>
        <w:t xml:space="preserve"> issues were raised as the key issues in dispute. These issues were also raised in the two Frontier reports submitted in September 2016.</w:t>
      </w:r>
      <w:r w:rsidR="00AC43D6">
        <w:rPr>
          <w:rStyle w:val="FootnoteReference"/>
        </w:rPr>
        <w:footnoteReference w:id="366"/>
      </w:r>
      <w:r w:rsidRPr="009900E7">
        <w:rPr>
          <w:rStyle w:val="AERbody"/>
        </w:rPr>
        <w:t xml:space="preserve"> These issues are:</w:t>
      </w:r>
    </w:p>
    <w:p w:rsidR="006C23B4" w:rsidRDefault="00AC43D6" w:rsidP="00231EA7">
      <w:pPr>
        <w:pStyle w:val="AERbulletlistfirststyle"/>
      </w:pPr>
      <w:r>
        <w:t xml:space="preserve">That using the most recent </w:t>
      </w:r>
      <w:r w:rsidR="00C4792B">
        <w:t xml:space="preserve">available </w:t>
      </w:r>
      <w:r>
        <w:t>data, dividend drop off studies still suggests a theta estimate of 0.35 remains appropriate.</w:t>
      </w:r>
      <w:r w:rsidR="00747414">
        <w:rPr>
          <w:rStyle w:val="FootnoteReference"/>
        </w:rPr>
        <w:footnoteReference w:id="367"/>
      </w:r>
      <w:r>
        <w:t xml:space="preserve"> </w:t>
      </w:r>
      <w:r w:rsidR="0085480B" w:rsidRPr="00E21E18">
        <w:rPr>
          <w:rStyle w:val="AERtexthighlight"/>
          <w:shd w:val="clear" w:color="auto" w:fill="auto"/>
        </w:rPr>
        <w:t xml:space="preserve">Lally has reviewed the updated SFG dividend drop off estimate and </w:t>
      </w:r>
      <w:r w:rsidR="0085480B" w:rsidRPr="00E750F8">
        <w:rPr>
          <w:rStyle w:val="AERbody"/>
        </w:rPr>
        <w:t xml:space="preserve">considers </w:t>
      </w:r>
      <w:r w:rsidR="00A828D8" w:rsidRPr="00E750F8">
        <w:rPr>
          <w:rStyle w:val="AERbody"/>
        </w:rPr>
        <w:t>there are</w:t>
      </w:r>
      <w:r w:rsidR="0085480B" w:rsidRPr="00E21E18">
        <w:rPr>
          <w:rStyle w:val="AERtexthighlight"/>
          <w:shd w:val="clear" w:color="auto" w:fill="auto"/>
        </w:rPr>
        <w:t xml:space="preserve"> eleven </w:t>
      </w:r>
      <w:r w:rsidR="0085480B" w:rsidRPr="00590C66">
        <w:rPr>
          <w:rStyle w:val="AERtexthighlight"/>
          <w:shd w:val="clear" w:color="auto" w:fill="auto"/>
        </w:rPr>
        <w:t>issues that apply to the stu</w:t>
      </w:r>
      <w:r w:rsidR="0085480B" w:rsidRPr="005F4F09">
        <w:rPr>
          <w:rStyle w:val="AERtexthighlight"/>
          <w:shd w:val="clear" w:color="auto" w:fill="auto"/>
        </w:rPr>
        <w:t>dy.</w:t>
      </w:r>
      <w:r w:rsidR="00D7360C">
        <w:rPr>
          <w:rStyle w:val="FootnoteReference"/>
        </w:rPr>
        <w:footnoteReference w:id="368"/>
      </w:r>
      <w:r w:rsidR="0085480B" w:rsidRPr="005F4F09">
        <w:rPr>
          <w:rStyle w:val="AERtexthighlight"/>
          <w:shd w:val="clear" w:color="auto" w:fill="auto"/>
        </w:rPr>
        <w:t xml:space="preserve"> This is further discussed in section </w:t>
      </w:r>
      <w:r w:rsidR="0085480B" w:rsidRPr="005F4F09">
        <w:rPr>
          <w:rStyle w:val="AERtexthighlight"/>
          <w:shd w:val="clear" w:color="auto" w:fill="auto"/>
        </w:rPr>
        <w:fldChar w:fldCharType="begin"/>
      </w:r>
      <w:r w:rsidR="0085480B" w:rsidRPr="00CD04C8">
        <w:rPr>
          <w:rStyle w:val="AERtexthighlight"/>
          <w:shd w:val="clear" w:color="auto" w:fill="auto"/>
        </w:rPr>
        <w:instrText xml:space="preserve"> REF _Ref403482459 \r \h </w:instrText>
      </w:r>
      <w:r w:rsidR="00AF1BD9">
        <w:rPr>
          <w:rStyle w:val="AERtexthighlight"/>
          <w:shd w:val="clear" w:color="auto" w:fill="auto"/>
        </w:rPr>
        <w:instrText xml:space="preserve"> \* MERGEFORMAT </w:instrText>
      </w:r>
      <w:r w:rsidR="0085480B" w:rsidRPr="005F4F09">
        <w:rPr>
          <w:rStyle w:val="AERtexthighlight"/>
          <w:shd w:val="clear" w:color="auto" w:fill="auto"/>
        </w:rPr>
      </w:r>
      <w:r w:rsidR="0085480B" w:rsidRPr="005F4F09">
        <w:rPr>
          <w:rStyle w:val="AERtexthighlight"/>
          <w:shd w:val="clear" w:color="auto" w:fill="auto"/>
        </w:rPr>
        <w:fldChar w:fldCharType="separate"/>
      </w:r>
      <w:r w:rsidR="007E3457">
        <w:rPr>
          <w:rStyle w:val="AERtexthighlight"/>
          <w:shd w:val="clear" w:color="auto" w:fill="auto"/>
        </w:rPr>
        <w:t>A.15.2</w:t>
      </w:r>
      <w:r w:rsidR="0085480B" w:rsidRPr="005F4F09">
        <w:rPr>
          <w:rStyle w:val="AERtexthighlight"/>
          <w:shd w:val="clear" w:color="auto" w:fill="auto"/>
        </w:rPr>
        <w:fldChar w:fldCharType="end"/>
      </w:r>
      <w:r w:rsidR="0085480B" w:rsidRPr="005F4F09">
        <w:rPr>
          <w:rStyle w:val="AERtexthighlight"/>
          <w:shd w:val="clear" w:color="auto" w:fill="auto"/>
        </w:rPr>
        <w:t>.</w:t>
      </w:r>
    </w:p>
    <w:p w:rsidR="00747414" w:rsidRDefault="00C4792B" w:rsidP="006C23B4">
      <w:pPr>
        <w:pStyle w:val="AERbulletlistfirststyle"/>
      </w:pPr>
      <w:r>
        <w:t>Gamma can be directly estimated reliably from tax statistics as the ratio of credits redeemed to credits created.</w:t>
      </w:r>
      <w:r>
        <w:rPr>
          <w:rStyle w:val="FootnoteReference"/>
        </w:rPr>
        <w:footnoteReference w:id="369"/>
      </w:r>
      <w:r w:rsidR="0085480B">
        <w:t xml:space="preserve"> The AER does not agree and considers caution should be exercised with using tax statistics to estimate any parameters associated with </w:t>
      </w:r>
      <w:r w:rsidR="00A828D8">
        <w:t xml:space="preserve">the value of </w:t>
      </w:r>
      <w:r w:rsidR="0085480B">
        <w:t xml:space="preserve">imputation credits. This is further discussed in section </w:t>
      </w:r>
      <w:r w:rsidR="0085480B">
        <w:fldChar w:fldCharType="begin"/>
      </w:r>
      <w:r w:rsidR="0085480B">
        <w:instrText xml:space="preserve"> REF _Ref402179420 \r \h </w:instrText>
      </w:r>
      <w:r w:rsidR="0085480B">
        <w:fldChar w:fldCharType="separate"/>
      </w:r>
      <w:r w:rsidR="007E3457">
        <w:t>A.13</w:t>
      </w:r>
      <w:r w:rsidR="0085480B">
        <w:fldChar w:fldCharType="end"/>
      </w:r>
      <w:r w:rsidR="0085480B">
        <w:t>.</w:t>
      </w:r>
    </w:p>
    <w:p w:rsidR="006C23B4" w:rsidRDefault="0025680D" w:rsidP="006C23B4">
      <w:pPr>
        <w:pStyle w:val="AERbulletlistfirststyle"/>
      </w:pPr>
      <w:r>
        <w:t>Dr Lally's analysis o</w:t>
      </w:r>
      <w:r w:rsidR="00403CF0">
        <w:t>n the seven largest</w:t>
      </w:r>
      <w:r w:rsidR="00A828D8">
        <w:t xml:space="preserve"> </w:t>
      </w:r>
      <w:r w:rsidR="00403CF0">
        <w:t xml:space="preserve">firms </w:t>
      </w:r>
      <w:r w:rsidR="00A828D8">
        <w:t xml:space="preserve">listed on the Australian Stock Exchange </w:t>
      </w:r>
      <w:r w:rsidR="00403CF0">
        <w:t xml:space="preserve">which demonstrated that firms with more foreign income have a smaller imputation credit distribution rate </w:t>
      </w:r>
      <w:r w:rsidR="00747414">
        <w:t>is flawed as:</w:t>
      </w:r>
    </w:p>
    <w:p w:rsidR="00747414" w:rsidRDefault="00747414" w:rsidP="00D414CC">
      <w:pPr>
        <w:pStyle w:val="ListNumber3"/>
      </w:pPr>
      <w:r>
        <w:t>The relevant question is whether large multinationals have higher imputation credit distribution rates than other firms.</w:t>
      </w:r>
      <w:r>
        <w:rPr>
          <w:rStyle w:val="FootnoteReference"/>
        </w:rPr>
        <w:footnoteReference w:id="370"/>
      </w:r>
    </w:p>
    <w:p w:rsidR="00747414" w:rsidRPr="006C23B4" w:rsidRDefault="00747414" w:rsidP="00D414CC">
      <w:pPr>
        <w:pStyle w:val="ListNumber3"/>
      </w:pPr>
      <w:r>
        <w:t>The analysis does not control for the difference in dividend payout ratios.</w:t>
      </w:r>
      <w:r>
        <w:rPr>
          <w:rStyle w:val="FootnoteReference"/>
        </w:rPr>
        <w:footnoteReference w:id="371"/>
      </w:r>
    </w:p>
    <w:p w:rsidR="00A34845" w:rsidRDefault="00A828D8" w:rsidP="008B1CA1">
      <w:pPr>
        <w:pStyle w:val="AERbulletlistfirststyle"/>
        <w:numPr>
          <w:ilvl w:val="0"/>
          <w:numId w:val="0"/>
        </w:numPr>
        <w:ind w:left="357" w:hanging="357"/>
        <w:rPr>
          <w:rStyle w:val="AERbody"/>
          <w:rFonts w:cstheme="minorBidi"/>
        </w:rPr>
      </w:pPr>
      <w:r>
        <w:rPr>
          <w:rStyle w:val="AERbody"/>
        </w:rPr>
        <w:t xml:space="preserve">Dr </w:t>
      </w:r>
      <w:r w:rsidR="00AF1BD9" w:rsidRPr="00E750F8">
        <w:rPr>
          <w:rStyle w:val="AERbody"/>
        </w:rPr>
        <w:t xml:space="preserve">Lally </w:t>
      </w:r>
      <w:r>
        <w:rPr>
          <w:rStyle w:val="AERbody"/>
        </w:rPr>
        <w:t xml:space="preserve">has reviewed this criticism and </w:t>
      </w:r>
      <w:r w:rsidR="00AF1BD9" w:rsidRPr="00E750F8">
        <w:rPr>
          <w:rStyle w:val="AERbody"/>
        </w:rPr>
        <w:t>does not agree</w:t>
      </w:r>
      <w:r>
        <w:rPr>
          <w:rStyle w:val="AERbody"/>
        </w:rPr>
        <w:t>.</w:t>
      </w:r>
      <w:r w:rsidR="00AF1BD9" w:rsidRPr="00E750F8">
        <w:rPr>
          <w:rStyle w:val="AERbody"/>
        </w:rPr>
        <w:t xml:space="preserve"> </w:t>
      </w:r>
      <w:r>
        <w:rPr>
          <w:rStyle w:val="AERbody"/>
        </w:rPr>
        <w:t>Dr Lally</w:t>
      </w:r>
      <w:r w:rsidR="00AF1BD9" w:rsidRPr="00E750F8">
        <w:rPr>
          <w:rStyle w:val="AERbody"/>
        </w:rPr>
        <w:t xml:space="preserve"> has </w:t>
      </w:r>
      <w:r>
        <w:rPr>
          <w:rStyle w:val="AERbody"/>
        </w:rPr>
        <w:t>provided further explanation on why his analysis shows</w:t>
      </w:r>
      <w:r w:rsidR="00AF1BD9" w:rsidRPr="00E750F8">
        <w:rPr>
          <w:rStyle w:val="AERbody"/>
        </w:rPr>
        <w:t xml:space="preserve"> that foreign income </w:t>
      </w:r>
      <w:r>
        <w:rPr>
          <w:rStyle w:val="AERbody"/>
        </w:rPr>
        <w:t xml:space="preserve">can be associated with a </w:t>
      </w:r>
      <w:r w:rsidR="00AF1BD9" w:rsidRPr="00E750F8">
        <w:rPr>
          <w:rStyle w:val="AERbody"/>
        </w:rPr>
        <w:t xml:space="preserve">lower imputation </w:t>
      </w:r>
      <w:r>
        <w:rPr>
          <w:rStyle w:val="AERbody"/>
        </w:rPr>
        <w:t xml:space="preserve">credit </w:t>
      </w:r>
      <w:r w:rsidR="00AF1BD9" w:rsidRPr="00E750F8">
        <w:rPr>
          <w:rStyle w:val="AERbody"/>
        </w:rPr>
        <w:t>distribution</w:t>
      </w:r>
      <w:r>
        <w:rPr>
          <w:rStyle w:val="AERbody"/>
        </w:rPr>
        <w:t xml:space="preserve"> rate</w:t>
      </w:r>
      <w:r w:rsidR="00AF1BD9" w:rsidRPr="00E750F8">
        <w:rPr>
          <w:rStyle w:val="AERbody"/>
        </w:rPr>
        <w:t>.</w:t>
      </w:r>
      <w:r>
        <w:rPr>
          <w:rStyle w:val="FootnoteReference"/>
        </w:rPr>
        <w:footnoteReference w:id="372"/>
      </w:r>
      <w:r w:rsidR="00AF1BD9" w:rsidRPr="00E750F8">
        <w:rPr>
          <w:rStyle w:val="AERbody"/>
        </w:rPr>
        <w:t xml:space="preserve"> Further, Lally considers that there is no need to control for the dividend payout ratios and what is important is the overall amount of imputation credits that are distributed by businesses.</w:t>
      </w:r>
      <w:r>
        <w:rPr>
          <w:rStyle w:val="FootnoteReference"/>
        </w:rPr>
        <w:footnoteReference w:id="373"/>
      </w:r>
      <w:r w:rsidR="00AF1BD9" w:rsidRPr="00E750F8">
        <w:rPr>
          <w:rStyle w:val="AERbody"/>
        </w:rPr>
        <w:t xml:space="preserve"> This is further discussed in section </w:t>
      </w:r>
      <w:r w:rsidR="00AF1BD9" w:rsidRPr="00E750F8">
        <w:rPr>
          <w:rStyle w:val="AERbody"/>
        </w:rPr>
        <w:fldChar w:fldCharType="begin"/>
      </w:r>
      <w:r w:rsidR="00AF1BD9" w:rsidRPr="00E750F8">
        <w:rPr>
          <w:rStyle w:val="AERbody"/>
        </w:rPr>
        <w:instrText xml:space="preserve"> REF _Ref414289334 \r \h </w:instrText>
      </w:r>
      <w:r w:rsidR="00AF1BD9">
        <w:rPr>
          <w:rStyle w:val="AERbody"/>
        </w:rPr>
        <w:instrText xml:space="preserve"> \* MERGEFORMAT </w:instrText>
      </w:r>
      <w:r w:rsidR="00AF1BD9" w:rsidRPr="00E750F8">
        <w:rPr>
          <w:rStyle w:val="AERbody"/>
        </w:rPr>
      </w:r>
      <w:r w:rsidR="00AF1BD9" w:rsidRPr="00E750F8">
        <w:rPr>
          <w:rStyle w:val="AERbody"/>
        </w:rPr>
        <w:fldChar w:fldCharType="separate"/>
      </w:r>
      <w:r w:rsidR="007E3457">
        <w:rPr>
          <w:rStyle w:val="AERbody"/>
        </w:rPr>
        <w:t>A.10.1</w:t>
      </w:r>
      <w:r w:rsidR="00AF1BD9" w:rsidRPr="00E750F8">
        <w:rPr>
          <w:rStyle w:val="AERbody"/>
        </w:rPr>
        <w:fldChar w:fldCharType="end"/>
      </w:r>
      <w:r w:rsidR="00AF1BD9" w:rsidRPr="00E750F8">
        <w:rPr>
          <w:rStyle w:val="AERbody"/>
        </w:rPr>
        <w:t>.</w:t>
      </w:r>
    </w:p>
    <w:p w:rsidR="00A34845" w:rsidRPr="001B39CD" w:rsidRDefault="00A34845" w:rsidP="008B1CA1">
      <w:pPr>
        <w:pStyle w:val="Heading9"/>
        <w:rPr>
          <w:rStyle w:val="AERbody"/>
          <w:rFonts w:cstheme="minorBidi"/>
          <w:color w:val="70635A" w:themeColor="text2"/>
          <w:sz w:val="28"/>
        </w:rPr>
      </w:pPr>
      <w:bookmarkStart w:id="193" w:name="_Toc487014068"/>
      <w:r w:rsidRPr="001C216D">
        <w:rPr>
          <w:rStyle w:val="AERbody"/>
          <w:color w:val="70635A" w:themeColor="text2"/>
          <w:sz w:val="28"/>
        </w:rPr>
        <w:t>Multinet, APTPPL, AGN, APA VTS</w:t>
      </w:r>
      <w:r w:rsidRPr="003E44A6">
        <w:rPr>
          <w:rStyle w:val="AERbody"/>
          <w:color w:val="70635A" w:themeColor="text2"/>
          <w:sz w:val="28"/>
        </w:rPr>
        <w:t>, AusNet Services Gas Distribution</w:t>
      </w:r>
      <w:bookmarkEnd w:id="193"/>
      <w:r w:rsidRPr="00F11C08">
        <w:rPr>
          <w:rStyle w:val="AERbody"/>
          <w:color w:val="70635A" w:themeColor="text2"/>
          <w:sz w:val="28"/>
        </w:rPr>
        <w:t xml:space="preserve"> </w:t>
      </w:r>
      <w:r w:rsidRPr="001B39CD">
        <w:rPr>
          <w:rStyle w:val="AERbody"/>
          <w:color w:val="70635A" w:themeColor="text2"/>
          <w:sz w:val="28"/>
        </w:rPr>
        <w:t xml:space="preserve"> </w:t>
      </w:r>
    </w:p>
    <w:p w:rsidR="00E37140" w:rsidRDefault="00AB7072" w:rsidP="008B1CA1">
      <w:r>
        <w:t xml:space="preserve">In the regulatory proposals of Multinet, APTPPL, AGN, APA VTS and AusNet Services Gas Distribution </w:t>
      </w:r>
      <w:r w:rsidR="001207B2">
        <w:t xml:space="preserve">we are considering currently </w:t>
      </w:r>
      <w:r w:rsidR="00E37140">
        <w:t>one</w:t>
      </w:r>
      <w:r w:rsidR="001207B2">
        <w:t xml:space="preserve"> key </w:t>
      </w:r>
      <w:r>
        <w:t>issue w</w:t>
      </w:r>
      <w:r w:rsidR="00E37140">
        <w:t>as</w:t>
      </w:r>
      <w:r>
        <w:t xml:space="preserve"> raise</w:t>
      </w:r>
      <w:r w:rsidR="00E37140">
        <w:t>d. This was that t</w:t>
      </w:r>
      <w:r w:rsidR="00526F08">
        <w:t xml:space="preserve">heta </w:t>
      </w:r>
      <w:r w:rsidR="00AE4D54">
        <w:t xml:space="preserve">should be the market value of </w:t>
      </w:r>
      <w:r w:rsidR="00526F08">
        <w:t xml:space="preserve">$1 of </w:t>
      </w:r>
      <w:r w:rsidR="00AE4D54">
        <w:t>imputation credits</w:t>
      </w:r>
      <w:r w:rsidR="00526F08">
        <w:t xml:space="preserve"> rather than the simple average utilisation rate estimate that the AER has adopted.</w:t>
      </w:r>
      <w:r w:rsidR="005C5217">
        <w:t xml:space="preserve"> </w:t>
      </w:r>
      <w:r w:rsidR="005C5217">
        <w:rPr>
          <w:rStyle w:val="FootnoteReference"/>
        </w:rPr>
        <w:footnoteReference w:id="374"/>
      </w:r>
      <w:r w:rsidR="0072542C" w:rsidRPr="0072542C">
        <w:t xml:space="preserve"> Frontier in its Dec 2016 report </w:t>
      </w:r>
      <w:r w:rsidR="00E37140">
        <w:t>claimed e</w:t>
      </w:r>
      <w:r w:rsidR="005C5217">
        <w:t xml:space="preserve">stimating </w:t>
      </w:r>
      <w:r w:rsidR="00CE088F">
        <w:t xml:space="preserve">theta using market prices </w:t>
      </w:r>
      <w:r w:rsidR="005C5217">
        <w:t>is consistent with the way in which every other WACC parameter is estimated.</w:t>
      </w:r>
      <w:r w:rsidR="005C5217">
        <w:rPr>
          <w:rStyle w:val="FootnoteReference"/>
        </w:rPr>
        <w:footnoteReference w:id="375"/>
      </w:r>
      <w:r w:rsidR="00B36D6C">
        <w:t xml:space="preserve"> </w:t>
      </w:r>
      <w:r w:rsidR="004F2C4D">
        <w:t xml:space="preserve">Frontier </w:t>
      </w:r>
      <w:r w:rsidR="00CA6D30">
        <w:t xml:space="preserve">in its Dec 2016 report </w:t>
      </w:r>
      <w:r w:rsidR="00E37140">
        <w:t xml:space="preserve">also </w:t>
      </w:r>
      <w:r w:rsidR="004F2C4D" w:rsidRPr="004F2C4D">
        <w:t>argues that the AER's estimate of theta using the equity ownership approach or the tax statistics approach is a simple average.</w:t>
      </w:r>
      <w:r w:rsidR="004F2C4D" w:rsidRPr="004F2C4D">
        <w:rPr>
          <w:rStyle w:val="FootnoteReference"/>
        </w:rPr>
        <w:footnoteReference w:id="376"/>
      </w:r>
      <w:r w:rsidR="004F2C4D" w:rsidRPr="004F2C4D">
        <w:t xml:space="preserve">Our consultant </w:t>
      </w:r>
      <w:r w:rsidR="00E37140">
        <w:t xml:space="preserve">Lally </w:t>
      </w:r>
      <w:r w:rsidR="007E73C0">
        <w:t>does not agree</w:t>
      </w:r>
      <w:r w:rsidR="007C109E">
        <w:t xml:space="preserve"> with either point</w:t>
      </w:r>
      <w:r w:rsidR="007E73C0">
        <w:t>.</w:t>
      </w:r>
      <w:r w:rsidR="004F2C4D" w:rsidRPr="004F2C4D">
        <w:t xml:space="preserve"> </w:t>
      </w:r>
      <w:r w:rsidR="00FC70EB">
        <w:t>In his report to</w:t>
      </w:r>
      <w:r w:rsidR="007E73C0">
        <w:t xml:space="preserve"> the</w:t>
      </w:r>
      <w:r w:rsidR="00FC70EB">
        <w:t xml:space="preserve"> AER,</w:t>
      </w:r>
      <w:r w:rsidR="00D63A1D">
        <w:t xml:space="preserve"> </w:t>
      </w:r>
      <w:r w:rsidR="00FC70EB">
        <w:t>Lally considered that t</w:t>
      </w:r>
      <w:r w:rsidR="00011421">
        <w:t>he equity ownership approach weights the utilization rates of investors by their holidings of risky assets</w:t>
      </w:r>
      <w:r w:rsidR="00FC70EB">
        <w:t>, whilst the tax statistics approach weights the redemption rates of investors by the level of redemptions.</w:t>
      </w:r>
      <w:r w:rsidR="00687400">
        <w:rPr>
          <w:rStyle w:val="FootnoteReference"/>
        </w:rPr>
        <w:footnoteReference w:id="377"/>
      </w:r>
      <w:r w:rsidR="00FC70EB">
        <w:t xml:space="preserve"> </w:t>
      </w:r>
      <w:r w:rsidR="007C109E">
        <w:t xml:space="preserve">We agree with Lally. </w:t>
      </w:r>
      <w:r w:rsidR="00FC70EB">
        <w:t>Hence, the claim that the AER's approach involves a simple average is false.</w:t>
      </w:r>
      <w:r w:rsidR="007E73C0">
        <w:t xml:space="preserve"> Moreover, we </w:t>
      </w:r>
      <w:r w:rsidR="00CE088F">
        <w:t xml:space="preserve">and our consultant </w:t>
      </w:r>
      <w:r w:rsidR="007E73C0">
        <w:t>do not</w:t>
      </w:r>
      <w:r w:rsidR="00CE088F">
        <w:t xml:space="preserve"> agree that every other WACC parameter is estimated using market prices</w:t>
      </w:r>
      <w:r w:rsidR="003217B7">
        <w:t xml:space="preserve"> and</w:t>
      </w:r>
      <w:r w:rsidR="00CE088F">
        <w:t xml:space="preserve"> </w:t>
      </w:r>
      <w:r w:rsidR="003217B7">
        <w:t>therefore</w:t>
      </w:r>
      <w:r w:rsidR="00CE088F">
        <w:t xml:space="preserve"> estimating theta using approaches other than the market prices will be inconsistent with the way in which every other WACC parameter is estimated</w:t>
      </w:r>
      <w:r w:rsidR="00687400">
        <w:t>.</w:t>
      </w:r>
      <w:r w:rsidR="006D62B4">
        <w:rPr>
          <w:rStyle w:val="FootnoteReference"/>
        </w:rPr>
        <w:footnoteReference w:id="378"/>
      </w:r>
      <w:r w:rsidR="00687400">
        <w:t xml:space="preserve"> </w:t>
      </w:r>
    </w:p>
    <w:p w:rsidR="00C865C3" w:rsidRDefault="00687400" w:rsidP="008B1CA1">
      <w:r>
        <w:t>We</w:t>
      </w:r>
      <w:r w:rsidRPr="00687400">
        <w:t xml:space="preserve"> </w:t>
      </w:r>
      <w:r w:rsidR="002E5B8D">
        <w:t xml:space="preserve">also </w:t>
      </w:r>
      <w:r w:rsidRPr="00687400">
        <w:t>consider</w:t>
      </w:r>
      <w:r>
        <w:t xml:space="preserve"> that</w:t>
      </w:r>
      <w:r w:rsidRPr="00687400">
        <w:t xml:space="preserve"> our estimates across the rate of return inputs and gamma inputs are consistent</w:t>
      </w:r>
      <w:r w:rsidR="006038F6">
        <w:t>ly estimated on a post-company tax and pre-personal tax and personal-c</w:t>
      </w:r>
      <w:r w:rsidR="00E15F9A">
        <w:t>osts</w:t>
      </w:r>
      <w:r w:rsidR="006038F6">
        <w:t xml:space="preserve"> basis.</w:t>
      </w:r>
      <w:r w:rsidRPr="00687400">
        <w:t xml:space="preserve"> </w:t>
      </w:r>
      <w:r w:rsidR="0066341E">
        <w:t xml:space="preserve">This is </w:t>
      </w:r>
      <w:r w:rsidR="006A34E1">
        <w:t xml:space="preserve">consistent with the decision of the Full Federal Court releases on 24 May 2017 and </w:t>
      </w:r>
      <w:r w:rsidR="0066341E">
        <w:t xml:space="preserve">further discussed in section </w:t>
      </w:r>
      <w:r w:rsidR="0066341E">
        <w:fldChar w:fldCharType="begin"/>
      </w:r>
      <w:r w:rsidR="0066341E">
        <w:instrText xml:space="preserve"> REF _Ref450298425 \r \h </w:instrText>
      </w:r>
      <w:r w:rsidR="0066341E">
        <w:fldChar w:fldCharType="separate"/>
      </w:r>
      <w:r w:rsidR="007E3457">
        <w:t>A.8.2</w:t>
      </w:r>
      <w:r w:rsidR="0066341E">
        <w:fldChar w:fldCharType="end"/>
      </w:r>
      <w:r w:rsidR="0066341E">
        <w:t>.</w:t>
      </w:r>
      <w:r w:rsidR="00CE088F">
        <w:t xml:space="preserve">  </w:t>
      </w:r>
    </w:p>
    <w:p w:rsidR="006A34E1" w:rsidRPr="001207B2" w:rsidRDefault="001D193B" w:rsidP="008B1CA1">
      <w:r>
        <w:t>H</w:t>
      </w:r>
      <w:r w:rsidR="003217B7">
        <w:t xml:space="preserve">aving reviewed the new material </w:t>
      </w:r>
      <w:r w:rsidR="006A34E1">
        <w:t>L</w:t>
      </w:r>
      <w:r w:rsidR="00C865C3">
        <w:t xml:space="preserve">ally </w:t>
      </w:r>
      <w:r>
        <w:t>considers</w:t>
      </w:r>
      <w:r w:rsidR="003217B7">
        <w:t xml:space="preserve"> that</w:t>
      </w:r>
      <w:r w:rsidR="006A34E1">
        <w:t xml:space="preserve"> that the AER's </w:t>
      </w:r>
      <w:r w:rsidR="003217B7">
        <w:t>'utilisation</w:t>
      </w:r>
      <w:r>
        <w:t xml:space="preserve"> value'</w:t>
      </w:r>
      <w:r w:rsidR="003217B7">
        <w:t xml:space="preserve"> </w:t>
      </w:r>
      <w:r w:rsidR="006A34E1">
        <w:t xml:space="preserve">approach </w:t>
      </w:r>
      <w:r>
        <w:t>to estimating the value of distributed imputation credits</w:t>
      </w:r>
      <w:r w:rsidR="003217B7">
        <w:t xml:space="preserve"> </w:t>
      </w:r>
      <w:r w:rsidR="007314B6">
        <w:t xml:space="preserve">is </w:t>
      </w:r>
      <w:r>
        <w:t>entirely appopriate</w:t>
      </w:r>
      <w:r w:rsidR="006038F6">
        <w:t>.</w:t>
      </w:r>
      <w:r w:rsidR="00FE7426">
        <w:rPr>
          <w:rStyle w:val="FootnoteReference"/>
        </w:rPr>
        <w:footnoteReference w:id="379"/>
      </w:r>
      <w:r w:rsidR="006038F6">
        <w:t xml:space="preserve"> He also considers </w:t>
      </w:r>
      <w:r w:rsidR="006A34E1">
        <w:t>ou</w:t>
      </w:r>
      <w:r w:rsidR="00C865C3">
        <w:t xml:space="preserve">r estimated value for gamma </w:t>
      </w:r>
      <w:r w:rsidR="006038F6">
        <w:t xml:space="preserve">of 0.4 </w:t>
      </w:r>
      <w:r w:rsidR="00C865C3">
        <w:t xml:space="preserve">will provide for a </w:t>
      </w:r>
      <w:r w:rsidR="006D62B4">
        <w:t xml:space="preserve">post company tax </w:t>
      </w:r>
      <w:r w:rsidR="00C865C3">
        <w:t xml:space="preserve">return </w:t>
      </w:r>
      <w:r w:rsidR="006D62B4">
        <w:t xml:space="preserve">on equity inclusive of imputation credits </w:t>
      </w:r>
      <w:r w:rsidR="00C865C3">
        <w:t>at least sufficient to</w:t>
      </w:r>
      <w:r w:rsidR="006D62B4">
        <w:t xml:space="preserve"> co</w:t>
      </w:r>
      <w:r w:rsidR="00466F26">
        <w:t xml:space="preserve">ntribute to a </w:t>
      </w:r>
      <w:r w:rsidR="006D62B4">
        <w:t xml:space="preserve">return </w:t>
      </w:r>
      <w:r w:rsidR="00466F26">
        <w:t xml:space="preserve">on equity </w:t>
      </w:r>
      <w:r w:rsidR="006D62B4">
        <w:t>that would be expected to meet the ARORO</w:t>
      </w:r>
      <w:r w:rsidR="006A34E1">
        <w:t>.</w:t>
      </w:r>
      <w:r w:rsidR="006A34E1">
        <w:rPr>
          <w:rStyle w:val="FootnoteReference"/>
        </w:rPr>
        <w:footnoteReference w:id="380"/>
      </w:r>
      <w:r w:rsidR="006A34E1">
        <w:t xml:space="preserve"> We </w:t>
      </w:r>
      <w:r w:rsidR="00AD74B8">
        <w:t xml:space="preserve">consider our </w:t>
      </w:r>
      <w:r w:rsidR="000955E7">
        <w:t xml:space="preserve">utilisation </w:t>
      </w:r>
      <w:r w:rsidR="00AD74B8">
        <w:t xml:space="preserve">approach </w:t>
      </w:r>
      <w:r>
        <w:t>is appropriate for the reasons set out in this decision</w:t>
      </w:r>
      <w:r w:rsidR="006D62B4">
        <w:t xml:space="preserve"> and our estimated value for gamma of 0.4 we have used in all final decisions released post 2014 remains appropriate</w:t>
      </w:r>
      <w:r w:rsidR="00AD74B8">
        <w:t xml:space="preserve">. We also </w:t>
      </w:r>
      <w:r w:rsidR="00092B4B">
        <w:t xml:space="preserve">do not consider </w:t>
      </w:r>
      <w:r w:rsidR="006A34E1">
        <w:t xml:space="preserve">implied market value studies give an appropriate or reliable estimate of the value of distributed imputation credits.This is further discussed in section </w:t>
      </w:r>
      <w:r w:rsidR="006A34E1">
        <w:fldChar w:fldCharType="begin"/>
      </w:r>
      <w:r w:rsidR="006A34E1">
        <w:instrText xml:space="preserve"> REF _Ref435171205 \r \h  \* MERGEFORMAT </w:instrText>
      </w:r>
      <w:r w:rsidR="006A34E1">
        <w:fldChar w:fldCharType="separate"/>
      </w:r>
      <w:r w:rsidR="007E3457">
        <w:t>A.15.3</w:t>
      </w:r>
      <w:r w:rsidR="006A34E1">
        <w:fldChar w:fldCharType="end"/>
      </w:r>
      <w:r w:rsidR="006A34E1">
        <w:t xml:space="preserve">. </w:t>
      </w:r>
    </w:p>
    <w:p w:rsidR="00C52695" w:rsidRPr="00883125" w:rsidRDefault="00C52695" w:rsidP="00C52695">
      <w:pPr>
        <w:pStyle w:val="Heading8"/>
      </w:pPr>
      <w:bookmarkStart w:id="194" w:name="_Toc486843679"/>
      <w:bookmarkStart w:id="195" w:name="_Toc486843680"/>
      <w:bookmarkStart w:id="196" w:name="_Ref415144114"/>
      <w:bookmarkStart w:id="197" w:name="_Toc436049446"/>
      <w:bookmarkStart w:id="198" w:name="_Toc451842251"/>
      <w:bookmarkStart w:id="199" w:name="_Toc451938306"/>
      <w:bookmarkStart w:id="200" w:name="_Toc456614297"/>
      <w:bookmarkStart w:id="201" w:name="_Toc462823315"/>
      <w:bookmarkStart w:id="202" w:name="_Toc487014069"/>
      <w:bookmarkEnd w:id="194"/>
      <w:bookmarkEnd w:id="195"/>
      <w:r w:rsidRPr="00883125">
        <w:t>The role of the value of imputation credits in the regulatory framework</w:t>
      </w:r>
      <w:bookmarkEnd w:id="196"/>
      <w:bookmarkEnd w:id="197"/>
      <w:bookmarkEnd w:id="198"/>
      <w:bookmarkEnd w:id="199"/>
      <w:bookmarkEnd w:id="200"/>
      <w:bookmarkEnd w:id="201"/>
      <w:bookmarkEnd w:id="202"/>
    </w:p>
    <w:p w:rsidR="00C52695" w:rsidRPr="00883125" w:rsidRDefault="00C52695" w:rsidP="00C52695">
      <w:pPr>
        <w:numPr>
          <w:ilvl w:val="0"/>
          <w:numId w:val="24"/>
        </w:numPr>
      </w:pPr>
      <w:r w:rsidRPr="00883125">
        <w:t>To explain the role of the value of imputation credits in the NER/NGR, we must consider:</w:t>
      </w:r>
    </w:p>
    <w:p w:rsidR="00C52695" w:rsidRPr="00883125" w:rsidRDefault="00C52695" w:rsidP="00C52695">
      <w:pPr>
        <w:pStyle w:val="AERbulletlistfirststyle"/>
      </w:pPr>
      <w:r w:rsidRPr="00883125">
        <w:t>the 'building block' revenue framework in the NER/NGR, and</w:t>
      </w:r>
    </w:p>
    <w:p w:rsidR="00C52695" w:rsidRPr="00883125" w:rsidRDefault="00C52695" w:rsidP="00C52695">
      <w:pPr>
        <w:pStyle w:val="AERbulletlistfirststyle"/>
      </w:pPr>
      <w:r w:rsidRPr="00883125">
        <w:t>the construction of the tax building block.</w:t>
      </w:r>
    </w:p>
    <w:p w:rsidR="00C52695" w:rsidRPr="00883125" w:rsidRDefault="00C52695" w:rsidP="00C52695">
      <w:pPr>
        <w:pStyle w:val="Heading9"/>
      </w:pPr>
      <w:bookmarkStart w:id="203" w:name="_Toc456614298"/>
      <w:bookmarkStart w:id="204" w:name="_Toc462823316"/>
      <w:bookmarkStart w:id="205" w:name="_Toc487014070"/>
      <w:r w:rsidRPr="00883125">
        <w:t>The building block framework</w:t>
      </w:r>
      <w:bookmarkEnd w:id="203"/>
      <w:bookmarkEnd w:id="204"/>
      <w:bookmarkEnd w:id="205"/>
    </w:p>
    <w:p w:rsidR="00C52695" w:rsidRPr="00883125" w:rsidRDefault="00C52695" w:rsidP="00C52695">
      <w:pPr>
        <w:numPr>
          <w:ilvl w:val="0"/>
          <w:numId w:val="24"/>
        </w:numPr>
      </w:pPr>
      <w:r w:rsidRPr="00883125">
        <w:t>Under the NER/NGR, we employ a building block framework to estimate revenue for service providers. The building block framework sets out how to estimate the various components (that is, 'building blocks') that make up a total revenue allowance.</w:t>
      </w:r>
      <w:r w:rsidRPr="00883125">
        <w:rPr>
          <w:rStyle w:val="FootnoteReference"/>
        </w:rPr>
        <w:footnoteReference w:id="381"/>
      </w:r>
      <w:r w:rsidRPr="00883125">
        <w:t xml:space="preserve"> The function of this building block revenue estimate is to determine the revenue that a service provider requires to:</w:t>
      </w:r>
    </w:p>
    <w:p w:rsidR="00C52695" w:rsidRPr="00883125" w:rsidRDefault="00C52695" w:rsidP="00C52695">
      <w:pPr>
        <w:pStyle w:val="AERbulletlistfirststyle"/>
      </w:pPr>
      <w:r w:rsidRPr="00883125">
        <w:t>fund its operating expenses.</w:t>
      </w:r>
    </w:p>
    <w:p w:rsidR="00C52695" w:rsidRPr="00883125" w:rsidRDefault="00C52695" w:rsidP="00C52695">
      <w:pPr>
        <w:pStyle w:val="AERbulletlistfirststyle"/>
      </w:pPr>
      <w:r w:rsidRPr="00883125">
        <w:t>achieve adequate returns to raise debt and equity in order to finance its capital investments. This is made up of a rate of return on capital to compensate investors for the risks of investment. It also includes a return of capital (depreciation), which gradually returns the initial principal of the investment, and subsequent investments, back to investors.</w:t>
      </w:r>
    </w:p>
    <w:p w:rsidR="00C52695" w:rsidRPr="00883125" w:rsidRDefault="00C52695" w:rsidP="00C52695">
      <w:pPr>
        <w:pStyle w:val="AERbulletlistfirststyle"/>
      </w:pPr>
      <w:r w:rsidRPr="00883125">
        <w:t>pay its tax liability.</w:t>
      </w:r>
    </w:p>
    <w:p w:rsidR="00C52695" w:rsidRPr="00883125" w:rsidRDefault="00C52695" w:rsidP="00C52695">
      <w:pPr>
        <w:pStyle w:val="AERbulletlistfirststyle"/>
      </w:pPr>
      <w:r w:rsidRPr="00883125">
        <w:t>reflect any revenue increments or decrements from incentive mechanisms in the design of the regulatory regime.</w:t>
      </w:r>
    </w:p>
    <w:p w:rsidR="00C52695" w:rsidRPr="00883125" w:rsidRDefault="00C52695" w:rsidP="00C52695">
      <w:pPr>
        <w:numPr>
          <w:ilvl w:val="0"/>
          <w:numId w:val="24"/>
        </w:numPr>
      </w:pPr>
      <w:r w:rsidRPr="00883125">
        <w:t xml:space="preserve">Importantly, the building block framework is intended to compensate the service provider (and its investors) only for costs incurred by the service provider and not by its investors; that is, the framework is on a </w:t>
      </w:r>
      <w:r>
        <w:t xml:space="preserve">post-company </w:t>
      </w:r>
      <w:r w:rsidRPr="00883125">
        <w:t>before-personal-tax and before-personal-costs basis. Handley described this consideration as follows:</w:t>
      </w:r>
      <w:r w:rsidRPr="00883125">
        <w:rPr>
          <w:rStyle w:val="FootnoteReference"/>
        </w:rPr>
        <w:footnoteReference w:id="382"/>
      </w:r>
    </w:p>
    <w:p w:rsidR="00C52695" w:rsidRPr="00883125" w:rsidRDefault="00C52695" w:rsidP="00C52695">
      <w:pPr>
        <w:pStyle w:val="AERquote"/>
      </w:pPr>
      <w:r w:rsidRPr="00883125">
        <w:t>The post-tax basis of the regulatory framework can be more fully described as an after-company-before-personal-tax framework. In other words, cash flows and returns are to be measured after company taxes but before personal taxes. By definition, this means that allowed revenues should include compensation for corporate taxes incurred by the regulated firm but not for personal taxes incurred by the firm’s shareholders. Similarly, allowed revenues should include compensation for prudent, efficient costs incurred by the regulated firm but not for costs (including personal transactions costs) incurred at the shareholder level. Note, this does not mean that personal taxes and costs are being ignored or assumed not to exist – rather there is no need to explicitly include them in the modelling framework.</w:t>
      </w:r>
    </w:p>
    <w:p w:rsidR="00C52695" w:rsidRPr="00883125" w:rsidRDefault="00C52695" w:rsidP="00C52695">
      <w:pPr>
        <w:pStyle w:val="AERquote"/>
      </w:pPr>
      <w:r w:rsidRPr="00883125">
        <w:t>…</w:t>
      </w:r>
    </w:p>
    <w:p w:rsidR="00C52695" w:rsidRPr="00883125" w:rsidRDefault="00C52695" w:rsidP="00C52695">
      <w:pPr>
        <w:pStyle w:val="AERquote"/>
      </w:pPr>
      <w:r w:rsidRPr="00883125">
        <w:t>The regulatory WACC framework is an after-company-before-personal-tax framework which requires explicit modelling of cash flows and returns after allowing for company tax but avoids most of the complications associated with having to model personal taxes - one complication which remains of course, is gamma. If one wanted to explicitly model personal taxes then an after-company-after-personal-tax WACC framework could be used instead.</w:t>
      </w:r>
    </w:p>
    <w:p w:rsidR="00C52695" w:rsidRPr="00883125" w:rsidRDefault="00C52695" w:rsidP="00C52695">
      <w:r w:rsidRPr="00883125">
        <w:t xml:space="preserve">In particular, Handley advised that the Officer framework provides the basis for the building block framework in the NER/NGR, and that the before-personal-tax and before-personal-costs interpretation is consistent with Officer. Handley's advice on these matters is discussed in more detail in sections </w:t>
      </w:r>
      <w:r w:rsidRPr="00883125">
        <w:fldChar w:fldCharType="begin"/>
      </w:r>
      <w:r w:rsidRPr="00883125">
        <w:instrText xml:space="preserve"> REF _Ref400965182 \r \h </w:instrText>
      </w:r>
      <w:r w:rsidRPr="00883125">
        <w:fldChar w:fldCharType="separate"/>
      </w:r>
      <w:r w:rsidR="007E3457">
        <w:t>A.6</w:t>
      </w:r>
      <w:r w:rsidRPr="00883125">
        <w:fldChar w:fldCharType="end"/>
      </w:r>
      <w:r w:rsidRPr="00883125">
        <w:t xml:space="preserve">, </w:t>
      </w:r>
      <w:r w:rsidRPr="00883125">
        <w:fldChar w:fldCharType="begin"/>
      </w:r>
      <w:r w:rsidRPr="00883125">
        <w:instrText xml:space="preserve"> REF _Ref414028398 \r \h </w:instrText>
      </w:r>
      <w:r w:rsidRPr="00883125">
        <w:fldChar w:fldCharType="separate"/>
      </w:r>
      <w:r w:rsidR="007E3457">
        <w:t>A.7.3</w:t>
      </w:r>
      <w:r w:rsidRPr="00883125">
        <w:fldChar w:fldCharType="end"/>
      </w:r>
      <w:r w:rsidRPr="00883125">
        <w:t xml:space="preserve"> and </w:t>
      </w:r>
      <w:r w:rsidRPr="00883125">
        <w:fldChar w:fldCharType="begin"/>
      </w:r>
      <w:r w:rsidRPr="00883125">
        <w:instrText xml:space="preserve"> REF _Ref401748758 \r \h </w:instrText>
      </w:r>
      <w:r w:rsidRPr="00883125">
        <w:fldChar w:fldCharType="separate"/>
      </w:r>
      <w:r w:rsidR="007E3457">
        <w:t>A.8.1</w:t>
      </w:r>
      <w:r w:rsidRPr="00883125">
        <w:fldChar w:fldCharType="end"/>
      </w:r>
      <w:r w:rsidRPr="00883125">
        <w:t>.</w:t>
      </w:r>
    </w:p>
    <w:p w:rsidR="00C52695" w:rsidRPr="00883125" w:rsidRDefault="00C52695" w:rsidP="00C52695">
      <w:pPr>
        <w:rPr>
          <w:rStyle w:val="AERbody"/>
        </w:rPr>
      </w:pPr>
      <w:r w:rsidRPr="00883125">
        <w:rPr>
          <w:rStyle w:val="AERbody"/>
        </w:rPr>
        <w:t>In response to a number of service providers</w:t>
      </w:r>
      <w:r>
        <w:rPr>
          <w:rStyle w:val="AERbody"/>
        </w:rPr>
        <w:t>' view</w:t>
      </w:r>
      <w:r w:rsidRPr="00883125">
        <w:rPr>
          <w:rStyle w:val="AERbody"/>
        </w:rPr>
        <w:t xml:space="preserve"> that </w:t>
      </w:r>
      <w:r>
        <w:rPr>
          <w:rStyle w:val="AERbody"/>
        </w:rPr>
        <w:t>we</w:t>
      </w:r>
      <w:r w:rsidRPr="00883125">
        <w:rPr>
          <w:rStyle w:val="AERbody"/>
        </w:rPr>
        <w:t xml:space="preserve"> prefers </w:t>
      </w:r>
      <w:r>
        <w:rPr>
          <w:rStyle w:val="AERbody"/>
        </w:rPr>
        <w:t>our</w:t>
      </w:r>
      <w:r w:rsidRPr="00883125">
        <w:rPr>
          <w:rStyle w:val="AERbody"/>
        </w:rPr>
        <w:t xml:space="preserve"> conceptual valuation relative to a market mechanism derived value, and </w:t>
      </w:r>
      <w:r>
        <w:rPr>
          <w:rStyle w:val="AERbody"/>
        </w:rPr>
        <w:t xml:space="preserve">their </w:t>
      </w:r>
      <w:r w:rsidRPr="00883125">
        <w:rPr>
          <w:rStyle w:val="AERbody"/>
        </w:rPr>
        <w:t xml:space="preserve">concerns around </w:t>
      </w:r>
      <w:r>
        <w:rPr>
          <w:rStyle w:val="AERbody"/>
        </w:rPr>
        <w:t>our</w:t>
      </w:r>
      <w:r w:rsidRPr="00883125">
        <w:rPr>
          <w:rStyle w:val="AERbody"/>
        </w:rPr>
        <w:t xml:space="preserve"> definition of gamma, we note:</w:t>
      </w:r>
    </w:p>
    <w:p w:rsidR="00C52695" w:rsidRPr="001D37D5" w:rsidRDefault="00C52695" w:rsidP="00C52695">
      <w:pPr>
        <w:pStyle w:val="AERbulletlistfirststyle"/>
      </w:pPr>
      <w:r w:rsidRPr="005764F6">
        <w:t>There is no market for imputation credits and therefore there is no directly observable market price</w:t>
      </w:r>
      <w:r w:rsidRPr="001D37D5">
        <w:t>.</w:t>
      </w:r>
      <w:r w:rsidRPr="001D37D5">
        <w:rPr>
          <w:rStyle w:val="FootnoteReference"/>
        </w:rPr>
        <w:footnoteReference w:id="383"/>
      </w:r>
      <w:r w:rsidRPr="001D37D5">
        <w:t xml:space="preserve"> This is also discussed below in section </w:t>
      </w:r>
      <w:r w:rsidRPr="001D37D5">
        <w:fldChar w:fldCharType="begin"/>
      </w:r>
      <w:r w:rsidRPr="001D37D5">
        <w:instrText xml:space="preserve"> REF _Ref435171205 \r \h  \* MERGEFORMAT </w:instrText>
      </w:r>
      <w:r w:rsidRPr="001D37D5">
        <w:fldChar w:fldCharType="separate"/>
      </w:r>
      <w:r w:rsidR="007E3457">
        <w:t>A.15.3</w:t>
      </w:r>
      <w:r w:rsidRPr="001D37D5">
        <w:fldChar w:fldCharType="end"/>
      </w:r>
      <w:r w:rsidRPr="001D37D5">
        <w:t>.</w:t>
      </w:r>
    </w:p>
    <w:p w:rsidR="00C52695" w:rsidRPr="005764F6" w:rsidRDefault="00C52695" w:rsidP="00C52695">
      <w:pPr>
        <w:pStyle w:val="AERbulletlistfirststyle"/>
      </w:pPr>
      <w:r w:rsidRPr="005764F6">
        <w:t>The value of imputation credits as estimated through a dividend drop off study:</w:t>
      </w:r>
    </w:p>
    <w:p w:rsidR="00C52695" w:rsidRPr="005764F6" w:rsidRDefault="00C52695" w:rsidP="00C52695">
      <w:pPr>
        <w:pStyle w:val="AERbulletlistsecondstyle"/>
      </w:pPr>
      <w:r w:rsidRPr="005764F6">
        <w:t>is not a post company tax value before personal taxes and personal transaction costs (particularly demonstrated where the study estimates a value for cash dividends materially below their face value as the SFG study does)</w:t>
      </w:r>
    </w:p>
    <w:p w:rsidR="00C52695" w:rsidRPr="005764F6" w:rsidRDefault="00C52695" w:rsidP="00C52695">
      <w:pPr>
        <w:pStyle w:val="AERbulletlistsecondstyle"/>
      </w:pPr>
      <w:r w:rsidRPr="005764F6">
        <w:t xml:space="preserve">is not necessarily consistent with the estimate of the return on equity and return on debt which are estimated required returns </w:t>
      </w:r>
      <w:r>
        <w:t xml:space="preserve">after company taxes </w:t>
      </w:r>
      <w:r w:rsidRPr="005764F6">
        <w:t>before personal taxes and personal transaction costs (particularly demonstrated where the study estimates a value for cash dividends materially below their face value as the SFG study does)</w:t>
      </w:r>
    </w:p>
    <w:p w:rsidR="00C52695" w:rsidRPr="005764F6" w:rsidRDefault="00C52695" w:rsidP="00C52695">
      <w:pPr>
        <w:pStyle w:val="AERbulletlistsecondstyle"/>
      </w:pPr>
      <w:r w:rsidRPr="005764F6">
        <w:t>is not clearly measuring a value to long term investors supplying capital to the benchmark efficient entity (even where adjusted for adjusted for differential tax impacts)</w:t>
      </w:r>
    </w:p>
    <w:p w:rsidR="00C52695" w:rsidRPr="005764F6" w:rsidRDefault="00C52695" w:rsidP="00C52695">
      <w:pPr>
        <w:pStyle w:val="AERbulletlistsecondstyle"/>
      </w:pPr>
      <w:r w:rsidRPr="005764F6">
        <w:t xml:space="preserve">is subject to significant uncertainty. </w:t>
      </w:r>
    </w:p>
    <w:p w:rsidR="00C52695" w:rsidRPr="001D37D5" w:rsidRDefault="00C52695" w:rsidP="00C52695">
      <w:pPr>
        <w:pStyle w:val="AERbulletlistfirststyle"/>
        <w:rPr>
          <w:rStyle w:val="AERbody"/>
        </w:rPr>
      </w:pPr>
      <w:r w:rsidRPr="00883125">
        <w:rPr>
          <w:rStyle w:val="AERbody"/>
        </w:rPr>
        <w:t xml:space="preserve">A number of limitations of these studies are discussed further in sections </w:t>
      </w:r>
      <w:r w:rsidRPr="001D37D5">
        <w:rPr>
          <w:rStyle w:val="AERbody"/>
        </w:rPr>
        <w:fldChar w:fldCharType="begin"/>
      </w:r>
      <w:r w:rsidRPr="001D37D5">
        <w:rPr>
          <w:rStyle w:val="AERbody"/>
        </w:rPr>
        <w:instrText xml:space="preserve"> REF _Ref415065117 \r \h </w:instrText>
      </w:r>
      <w:r w:rsidRPr="001D37D5">
        <w:rPr>
          <w:rStyle w:val="AERbody"/>
        </w:rPr>
      </w:r>
      <w:r w:rsidRPr="001D37D5">
        <w:rPr>
          <w:rStyle w:val="AERbody"/>
        </w:rPr>
        <w:fldChar w:fldCharType="separate"/>
      </w:r>
      <w:r w:rsidR="007E3457">
        <w:rPr>
          <w:rStyle w:val="AERbody"/>
        </w:rPr>
        <w:t>A.15.4</w:t>
      </w:r>
      <w:r w:rsidRPr="001D37D5">
        <w:rPr>
          <w:rStyle w:val="AERbody"/>
        </w:rPr>
        <w:fldChar w:fldCharType="end"/>
      </w:r>
      <w:r w:rsidRPr="001D37D5">
        <w:rPr>
          <w:rStyle w:val="AERbody"/>
        </w:rPr>
        <w:t xml:space="preserve"> and </w:t>
      </w:r>
      <w:r w:rsidRPr="001D37D5">
        <w:rPr>
          <w:rStyle w:val="AERbody"/>
        </w:rPr>
        <w:fldChar w:fldCharType="begin"/>
      </w:r>
      <w:r w:rsidRPr="001D37D5">
        <w:rPr>
          <w:rStyle w:val="AERbody"/>
        </w:rPr>
        <w:instrText xml:space="preserve"> REF _Ref414624721 \r \h </w:instrText>
      </w:r>
      <w:r w:rsidRPr="001D37D5">
        <w:rPr>
          <w:rStyle w:val="AERbody"/>
        </w:rPr>
      </w:r>
      <w:r w:rsidRPr="001D37D5">
        <w:rPr>
          <w:rStyle w:val="AERbody"/>
        </w:rPr>
        <w:fldChar w:fldCharType="separate"/>
      </w:r>
      <w:r w:rsidR="007E3457">
        <w:rPr>
          <w:rStyle w:val="AERbody"/>
        </w:rPr>
        <w:t>A.15.5</w:t>
      </w:r>
      <w:r w:rsidRPr="001D37D5">
        <w:rPr>
          <w:rStyle w:val="AERbody"/>
        </w:rPr>
        <w:fldChar w:fldCharType="end"/>
      </w:r>
      <w:r w:rsidRPr="001D37D5">
        <w:rPr>
          <w:rStyle w:val="AERbody"/>
        </w:rPr>
        <w:t>.</w:t>
      </w:r>
    </w:p>
    <w:p w:rsidR="00C52695" w:rsidRPr="001D37D5" w:rsidRDefault="00C52695" w:rsidP="00C52695">
      <w:pPr>
        <w:pStyle w:val="AERbulletlistfirststyle"/>
        <w:rPr>
          <w:rStyle w:val="AERtexthighlight"/>
        </w:rPr>
      </w:pPr>
      <w:r>
        <w:t>Our</w:t>
      </w:r>
      <w:r w:rsidRPr="001D37D5">
        <w:t xml:space="preserve"> definition of the utilisation value is consistent with Officer Framework underpinning the rules that uses a post-tax Vanilla WACC, is consistent with the way we estimate the required return on equity, and is supported by Handley. Lally also considers our approach to imputation credits is consistent with the post-tax framework in the NER/NGR.</w:t>
      </w:r>
      <w:r w:rsidRPr="001D37D5">
        <w:rPr>
          <w:rStyle w:val="FootnoteReference"/>
        </w:rPr>
        <w:footnoteReference w:id="384"/>
      </w:r>
      <w:r w:rsidRPr="001D37D5">
        <w:rPr>
          <w:rStyle w:val="AERtexthighlight"/>
        </w:rPr>
        <w:t xml:space="preserve"> </w:t>
      </w:r>
    </w:p>
    <w:p w:rsidR="00C52695" w:rsidRPr="001D37D5" w:rsidRDefault="00C52695" w:rsidP="00C52695">
      <w:pPr>
        <w:pStyle w:val="AERbulletlistfirststyle"/>
        <w:rPr>
          <w:rStyle w:val="AERtexthighlight"/>
        </w:rPr>
      </w:pPr>
      <w:r w:rsidRPr="00857C5F">
        <w:t>The explicit recognition that this is a pre personal taxes and pre personal transaction costs value is simply explicit recognition of something implicit in the Officer Vanilla WACC framework. This framework determines the required return to the company (i.e. before personal taxes and personal transaction costs are incurred) consistent with the definition of the after-tax net cash flows set out in Officer.</w:t>
      </w:r>
      <w:r w:rsidRPr="001D37D5">
        <w:rPr>
          <w:rStyle w:val="FootnoteReference"/>
        </w:rPr>
        <w:footnoteReference w:id="385"/>
      </w:r>
    </w:p>
    <w:p w:rsidR="00C52695" w:rsidRPr="008B1CA1" w:rsidRDefault="00C52695" w:rsidP="00C52695">
      <w:pPr>
        <w:pStyle w:val="AERbulletlistfirststyle"/>
        <w:rPr>
          <w:shd w:val="clear" w:color="auto" w:fill="FFFF00"/>
        </w:rPr>
      </w:pPr>
      <w:r w:rsidRPr="00857C5F">
        <w:t>Our</w:t>
      </w:r>
      <w:r w:rsidRPr="001D37D5">
        <w:t xml:space="preserve"> definition is consistent with the 'value' concept in the rules given the rules are requiring the AER to estimate a post-tax nominal Vanilla WACC consistent with Officer formula (12) in his 1994 paper, which as stated by Officer is one particular definition of "a company's after-tax cost of capital (WACC)" and "is determined by the definition used of after-tax operating income or really after-tax net cash flows".</w:t>
      </w:r>
      <w:r w:rsidRPr="001D37D5">
        <w:rPr>
          <w:rStyle w:val="FootnoteReference"/>
        </w:rPr>
        <w:footnoteReference w:id="386"/>
      </w:r>
      <w:r w:rsidRPr="001D37D5">
        <w:t xml:space="preserve"> As these after-tax net cash flows are at the company level they are before personal taxes and personal transaction costs. This is supported by the advice of Handley and Lally.</w:t>
      </w:r>
      <w:r w:rsidRPr="001D37D5">
        <w:rPr>
          <w:rStyle w:val="FootnoteReference"/>
        </w:rPr>
        <w:footnoteReference w:id="387"/>
      </w:r>
    </w:p>
    <w:p w:rsidR="00517655" w:rsidRPr="008B1CA1" w:rsidRDefault="00517655" w:rsidP="00C52695">
      <w:pPr>
        <w:pStyle w:val="AERbulletlistfirststyle"/>
        <w:rPr>
          <w:shd w:val="clear" w:color="auto" w:fill="FFFF00"/>
        </w:rPr>
      </w:pPr>
      <w:r>
        <w:t>The Full Federal recently found:</w:t>
      </w:r>
      <w:r>
        <w:rPr>
          <w:rStyle w:val="FootnoteReference"/>
        </w:rPr>
        <w:footnoteReference w:id="388"/>
      </w:r>
    </w:p>
    <w:p w:rsidR="00517655" w:rsidRDefault="00517655" w:rsidP="008B1CA1">
      <w:pPr>
        <w:pStyle w:val="AERquote"/>
      </w:pPr>
      <w:r>
        <w:t>the expression "the value of imputation credits" is to be construed as a whole, in its context and having regard to the subject matter of the exercise. It would be an error to limit attendtion to the word "value" and give it a meaning in isolation.</w:t>
      </w:r>
    </w:p>
    <w:p w:rsidR="00517655" w:rsidRPr="008B1CA1" w:rsidRDefault="00B02FD0" w:rsidP="008B1CA1">
      <w:pPr>
        <w:pStyle w:val="AERquote"/>
        <w:rPr>
          <w:rStyle w:val="AERbody"/>
        </w:rPr>
      </w:pPr>
      <w:r>
        <w:rPr>
          <w:rStyle w:val="AERbody"/>
        </w:rPr>
        <w:t>….</w:t>
      </w:r>
    </w:p>
    <w:p w:rsidR="00517655" w:rsidRDefault="00517655" w:rsidP="008B1CA1">
      <w:pPr>
        <w:pStyle w:val="AERquote"/>
      </w:pPr>
      <w:r>
        <w:t>We accept the AER's submission that the context is the determination of a regulated return using a post-tax revenue model based on a nominal WACC. We accept the AER's submission that the Rules require consistency in the way the relevant building blocks interact, that is, a post-company tax and pre-personal tax and personal costs basis.</w:t>
      </w:r>
    </w:p>
    <w:p w:rsidR="00B02FD0" w:rsidRDefault="00B02FD0" w:rsidP="008B1CA1">
      <w:pPr>
        <w:pStyle w:val="AERquote"/>
      </w:pPr>
      <w:r>
        <w:t>….</w:t>
      </w:r>
    </w:p>
    <w:p w:rsidR="00B02FD0" w:rsidRPr="008B1CA1" w:rsidRDefault="00B02FD0" w:rsidP="008B1CA1">
      <w:pPr>
        <w:pStyle w:val="AERquote"/>
      </w:pPr>
      <w:r>
        <w:t>it is not an error of construction for the AER to focus on utilisation rather than on implied market value.</w:t>
      </w:r>
    </w:p>
    <w:p w:rsidR="00C52695" w:rsidRPr="00883125" w:rsidRDefault="00C52695" w:rsidP="00C52695">
      <w:pPr>
        <w:pStyle w:val="Heading9"/>
      </w:pPr>
      <w:bookmarkStart w:id="206" w:name="_Ref400962032"/>
      <w:bookmarkStart w:id="207" w:name="_Toc456614299"/>
      <w:bookmarkStart w:id="208" w:name="_Toc462823317"/>
      <w:bookmarkStart w:id="209" w:name="_Toc487014071"/>
      <w:r w:rsidRPr="00883125">
        <w:t>The tax building block</w:t>
      </w:r>
      <w:bookmarkEnd w:id="206"/>
      <w:bookmarkEnd w:id="207"/>
      <w:bookmarkEnd w:id="208"/>
      <w:bookmarkEnd w:id="209"/>
    </w:p>
    <w:p w:rsidR="00C52695" w:rsidRPr="00883125" w:rsidRDefault="00C52695" w:rsidP="00C52695">
      <w:pPr>
        <w:numPr>
          <w:ilvl w:val="0"/>
          <w:numId w:val="24"/>
        </w:numPr>
      </w:pPr>
      <w:r w:rsidRPr="00883125">
        <w:t>One expense that a service provider faces is taxation. An allowance for taxation can be estimated as a separate building block allowance, or through the rate of return. Either way, the service provider and its investors are compensated for its tax liability. The difference is only how this return is presented. The NER/NGR specify that we must estimate a nominal vanilla rate of return.</w:t>
      </w:r>
      <w:r w:rsidRPr="00883125">
        <w:rPr>
          <w:rStyle w:val="FootnoteReference"/>
        </w:rPr>
        <w:footnoteReference w:id="389"/>
      </w:r>
      <w:r w:rsidRPr="00883125">
        <w:t xml:space="preserve"> A nominal vanilla rate of return combines a post-tax return on equity with a pre-tax return on debt. More specifically, as described by Handley above, the return on equity is a post-company-tax-pre-personal-tax return on equity.</w:t>
      </w:r>
    </w:p>
    <w:p w:rsidR="00C52695" w:rsidRPr="00883125" w:rsidRDefault="00C52695" w:rsidP="00C52695">
      <w:pPr>
        <w:numPr>
          <w:ilvl w:val="0"/>
          <w:numId w:val="24"/>
        </w:numPr>
      </w:pPr>
      <w:r w:rsidRPr="00883125">
        <w:t xml:space="preserve">Amongst other things, this means the return on capital does not include an allowance for the cost of taxation. As a result, the building block framework includes an estimate of the cost of corporate income tax as a separate revenue item. </w:t>
      </w:r>
    </w:p>
    <w:p w:rsidR="00C52695" w:rsidRPr="00883125" w:rsidRDefault="00C52695" w:rsidP="00C52695">
      <w:pPr>
        <w:numPr>
          <w:ilvl w:val="0"/>
          <w:numId w:val="24"/>
        </w:numPr>
      </w:pPr>
      <w:r w:rsidRPr="00883125">
        <w:t>The cost of corporate income tax building block takes the following form:</w:t>
      </w:r>
    </w:p>
    <w:p w:rsidR="00C52695" w:rsidRPr="00883125" w:rsidRDefault="007E3457" w:rsidP="00C52695">
      <w:pPr>
        <w:numPr>
          <w:ilvl w:val="0"/>
          <w:numId w:val="24"/>
        </w:numPr>
      </w:pPr>
      <m:oMath>
        <m:sSub>
          <m:sSubPr>
            <m:ctrlPr>
              <w:rPr>
                <w:rFonts w:ascii="Cambria Math" w:hAnsi="Cambria Math"/>
              </w:rPr>
            </m:ctrlPr>
          </m:sSubPr>
          <m:e>
            <m:r>
              <w:rPr>
                <w:rFonts w:ascii="Cambria Math" w:hAnsi="Cambria Math"/>
              </w:rPr>
              <m:t>ETC</m:t>
            </m:r>
          </m:e>
          <m:sub>
            <m:r>
              <w:rPr>
                <w:rFonts w:ascii="Cambria Math" w:hAnsi="Cambria Math"/>
              </w:rPr>
              <m:t>t</m:t>
            </m:r>
          </m:sub>
        </m:sSub>
        <m:r>
          <w:rPr>
            <w:rFonts w:ascii="Cambria Math" w:hAnsi="Cambria Math"/>
          </w:rPr>
          <m:t>=</m:t>
        </m:r>
        <m:d>
          <m:dPr>
            <m:ctrlPr>
              <w:rPr>
                <w:rFonts w:ascii="Cambria Math" w:hAnsi="Cambria Math"/>
              </w:rPr>
            </m:ctrlPr>
          </m:dPr>
          <m:e>
            <m:sSub>
              <m:sSubPr>
                <m:ctrlPr>
                  <w:rPr>
                    <w:rFonts w:ascii="Cambria Math" w:hAnsi="Cambria Math"/>
                  </w:rPr>
                </m:ctrlPr>
              </m:sSubPr>
              <m:e>
                <m:r>
                  <w:rPr>
                    <w:rFonts w:ascii="Cambria Math" w:hAnsi="Cambria Math"/>
                  </w:rPr>
                  <m:t>ETI</m:t>
                </m:r>
              </m:e>
              <m:sub>
                <m:r>
                  <w:rPr>
                    <w:rFonts w:ascii="Cambria Math" w:hAnsi="Cambria Math"/>
                  </w:rPr>
                  <m:t>t</m:t>
                </m:r>
              </m:sub>
            </m:sSub>
            <m: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t</m:t>
                </m:r>
              </m:sub>
            </m:sSub>
          </m:e>
        </m:d>
        <m:d>
          <m:dPr>
            <m:ctrlPr>
              <w:rPr>
                <w:rFonts w:ascii="Cambria Math" w:hAnsi="Cambria Math"/>
              </w:rPr>
            </m:ctrlPr>
          </m:dPr>
          <m:e>
            <m:r>
              <w:rPr>
                <w:rFonts w:ascii="Cambria Math" w:hAnsi="Cambria Math"/>
              </w:rPr>
              <m:t>1-γ</m:t>
            </m:r>
          </m:e>
        </m:d>
      </m:oMath>
    </w:p>
    <w:p w:rsidR="00C52695" w:rsidRPr="00883125" w:rsidRDefault="00C52695" w:rsidP="00C52695">
      <w:pPr>
        <w:numPr>
          <w:ilvl w:val="0"/>
          <w:numId w:val="24"/>
        </w:numPr>
      </w:pPr>
      <w:r w:rsidRPr="00883125">
        <w:t>where:</w:t>
      </w:r>
    </w:p>
    <w:p w:rsidR="00C52695" w:rsidRPr="001D37D5" w:rsidRDefault="007E3457" w:rsidP="00C52695">
      <w:pPr>
        <w:pStyle w:val="AERbulletlistfirststyle"/>
      </w:pPr>
      <m:oMath>
        <m:d>
          <m:dPr>
            <m:ctrlPr>
              <w:rPr>
                <w:rFonts w:ascii="Cambria Math" w:hAnsi="Cambria Math"/>
              </w:rPr>
            </m:ctrlPr>
          </m:dPr>
          <m:e>
            <m:sSub>
              <m:sSubPr>
                <m:ctrlPr>
                  <w:rPr>
                    <w:rFonts w:ascii="Cambria Math" w:hAnsi="Cambria Math"/>
                  </w:rPr>
                </m:ctrlPr>
              </m:sSubPr>
              <m:e>
                <m:r>
                  <w:rPr>
                    <w:rFonts w:ascii="Cambria Math" w:hAnsi="Cambria Math"/>
                  </w:rPr>
                  <m:t>ETI</m:t>
                </m:r>
              </m:e>
              <m:sub>
                <m:r>
                  <w:rPr>
                    <w:rFonts w:ascii="Cambria Math" w:hAnsi="Cambria Math"/>
                  </w:rPr>
                  <m:t>t</m:t>
                </m:r>
              </m:sub>
            </m:sSub>
            <m: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t</m:t>
                </m:r>
              </m:sub>
            </m:sSub>
          </m:e>
        </m:d>
      </m:oMath>
      <w:r w:rsidR="00C52695" w:rsidRPr="001D37D5" w:rsidDel="00CE0EED">
        <w:t xml:space="preserve"> </w:t>
      </w:r>
      <w:r w:rsidR="00C52695" w:rsidRPr="001D37D5">
        <w:t>is an estimate of the benchmark efficient entity's tax liability.</w:t>
      </w:r>
    </w:p>
    <w:p w:rsidR="00C52695" w:rsidRPr="001D37D5" w:rsidRDefault="00C52695" w:rsidP="00C52695">
      <w:pPr>
        <w:pStyle w:val="AERbulletlistfirststyle"/>
      </w:pPr>
      <m:oMath>
        <m:r>
          <w:rPr>
            <w:rFonts w:ascii="Cambria Math" w:hAnsi="Cambria Math"/>
          </w:rPr>
          <m:t>γ</m:t>
        </m:r>
      </m:oMath>
      <w:r w:rsidRPr="001D37D5">
        <w:t xml:space="preserve"> is the value of imputation credits.</w:t>
      </w:r>
    </w:p>
    <w:p w:rsidR="00C52695" w:rsidRPr="00883125" w:rsidRDefault="00C52695" w:rsidP="00C52695">
      <w:pPr>
        <w:numPr>
          <w:ilvl w:val="0"/>
          <w:numId w:val="24"/>
        </w:numPr>
      </w:pPr>
      <w:r w:rsidRPr="00883125">
        <w:t xml:space="preserve">Therefore, the effect of the value of imputation credits is to reduce a service provider's allowed revenue by </w:t>
      </w:r>
      <m:oMath>
        <m:r>
          <w:rPr>
            <w:rFonts w:ascii="Cambria Math" w:hAnsi="Cambria Math"/>
          </w:rPr>
          <m:t>γ</m:t>
        </m:r>
      </m:oMath>
      <w:r w:rsidRPr="00883125" w:rsidDel="00EC30CC">
        <w:rPr>
          <w:rFonts w:hint="eastAsia"/>
        </w:rPr>
        <w:t xml:space="preserve"> </w:t>
      </w:r>
      <w:r w:rsidRPr="00883125">
        <w:t>(gamma) dollars for each dollar of expected company tax payable by the benchmark efficient entity. Given it is the tax paid by the benchmark efficient entity that gives rise to the imputation credits, we consider that it is the (pre-personal tax) value of imputation credits to investors in the benchmark efficient entity that is relevant.</w:t>
      </w:r>
      <w:r w:rsidRPr="00883125">
        <w:rPr>
          <w:rStyle w:val="FootnoteReference"/>
        </w:rPr>
        <w:footnoteReference w:id="390"/>
      </w:r>
    </w:p>
    <w:p w:rsidR="00C52695" w:rsidRPr="00883125" w:rsidRDefault="00C52695" w:rsidP="00C52695">
      <w:pPr>
        <w:pStyle w:val="Heading8"/>
      </w:pPr>
      <w:bookmarkStart w:id="210" w:name="_Ref400965182"/>
      <w:bookmarkStart w:id="211" w:name="_Toc436049447"/>
      <w:bookmarkStart w:id="212" w:name="_Ref451826492"/>
      <w:bookmarkStart w:id="213" w:name="_Toc451842252"/>
      <w:bookmarkStart w:id="214" w:name="_Toc451938307"/>
      <w:bookmarkStart w:id="215" w:name="_Toc456614300"/>
      <w:bookmarkStart w:id="216" w:name="_Toc462823318"/>
      <w:bookmarkStart w:id="217" w:name="_Toc487014072"/>
      <w:r w:rsidRPr="00883125">
        <w:t>The conceptual framework for the value of imputation credits</w:t>
      </w:r>
      <w:bookmarkEnd w:id="210"/>
      <w:bookmarkEnd w:id="211"/>
      <w:bookmarkEnd w:id="212"/>
      <w:bookmarkEnd w:id="213"/>
      <w:bookmarkEnd w:id="214"/>
      <w:bookmarkEnd w:id="215"/>
      <w:bookmarkEnd w:id="216"/>
      <w:bookmarkEnd w:id="217"/>
    </w:p>
    <w:p w:rsidR="00C52695" w:rsidRPr="00883125" w:rsidRDefault="00C52695" w:rsidP="00C52695">
      <w:pPr>
        <w:numPr>
          <w:ilvl w:val="0"/>
          <w:numId w:val="24"/>
        </w:numPr>
      </w:pPr>
      <w:r w:rsidRPr="00883125">
        <w:t xml:space="preserve">With regard to the discussion of the tax building block in section </w:t>
      </w:r>
      <w:r w:rsidRPr="00883125">
        <w:fldChar w:fldCharType="begin"/>
      </w:r>
      <w:r w:rsidRPr="00883125">
        <w:instrText xml:space="preserve"> REF _Ref400962032 \r \h </w:instrText>
      </w:r>
      <w:r w:rsidRPr="00883125">
        <w:fldChar w:fldCharType="separate"/>
      </w:r>
      <w:r w:rsidR="007E3457">
        <w:t>A.5.2</w:t>
      </w:r>
      <w:r w:rsidRPr="00883125">
        <w:fldChar w:fldCharType="end"/>
      </w:r>
      <w:r w:rsidRPr="00883125">
        <w:t xml:space="preserve">, we consider the 'value of imputation credits' to be the value of imputation credits to investors in the benchmark efficient entity. Moreover, as noted above, it is the </w:t>
      </w:r>
      <w:r>
        <w:t xml:space="preserve">post-company </w:t>
      </w:r>
      <w:r w:rsidRPr="00883125">
        <w:t>pre-personal tax value of imputation credits to those investors that we seek to estimate. The issue is then how to interpret and estimate the value of imputation credits. Our approach to interpreting and estimating the value of imputation credits is guided in the first instance by the conceptual framework developed by Officer.</w:t>
      </w:r>
      <w:r w:rsidRPr="00883125">
        <w:rPr>
          <w:rStyle w:val="FootnoteReference"/>
        </w:rPr>
        <w:footnoteReference w:id="391"/>
      </w:r>
      <w:r w:rsidRPr="00883125">
        <w:t xml:space="preserve"> This is because:</w:t>
      </w:r>
    </w:p>
    <w:p w:rsidR="00C52695" w:rsidRPr="001D37D5" w:rsidRDefault="00C52695" w:rsidP="00C52695">
      <w:pPr>
        <w:pStyle w:val="AERbulletlistfirststyle"/>
      </w:pPr>
      <w:r w:rsidRPr="00883125">
        <w:t>The construction of the tax building block mirrors the treatment of imputation credits in the framework developed by Officer, including through use of the parameter denoted by the Greek letter 'gamma'.</w:t>
      </w:r>
      <w:r w:rsidRPr="001D37D5">
        <w:rPr>
          <w:rStyle w:val="FootnoteReference"/>
        </w:rPr>
        <w:footnoteReference w:id="392"/>
      </w:r>
    </w:p>
    <w:p w:rsidR="00C52695" w:rsidRPr="001D37D5" w:rsidRDefault="00C52695" w:rsidP="00C52695">
      <w:pPr>
        <w:pStyle w:val="AERbulletlistfirststyle"/>
      </w:pPr>
      <w:r w:rsidRPr="00883125">
        <w:t>Handley advised that Officer's definition of the nominal vanilla rate of return provides the basis for the rate of return framework in the NER/NGR.</w:t>
      </w:r>
      <w:r w:rsidRPr="001D37D5">
        <w:rPr>
          <w:rStyle w:val="FootnoteReference"/>
        </w:rPr>
        <w:footnoteReference w:id="393"/>
      </w:r>
    </w:p>
    <w:p w:rsidR="00C52695" w:rsidRPr="001D37D5" w:rsidRDefault="00C52695" w:rsidP="00C52695">
      <w:pPr>
        <w:pStyle w:val="AERbulletlistfirststyle"/>
      </w:pPr>
      <w:r w:rsidRPr="00883125">
        <w:t>The NER/NGR require that we determine the rate of return on a nominal vanilla basis that is consistent with our estimate of the value of imputation credits.</w:t>
      </w:r>
      <w:r w:rsidRPr="001D37D5">
        <w:rPr>
          <w:rStyle w:val="FootnoteReference"/>
        </w:rPr>
        <w:footnoteReference w:id="394"/>
      </w:r>
    </w:p>
    <w:p w:rsidR="00C52695" w:rsidRPr="00ED480E" w:rsidRDefault="00C52695" w:rsidP="00C52695">
      <w:r>
        <w:t>We do</w:t>
      </w:r>
      <w:r w:rsidRPr="00ED480E">
        <w:t xml:space="preserve"> not contend that the Officer Paper is a “statute or a code”.</w:t>
      </w:r>
      <w:r>
        <w:t xml:space="preserve"> </w:t>
      </w:r>
      <w:r w:rsidRPr="00ED480E">
        <w:t>However, as the Officer Paper underpins the inclusion of gamma in the corporate income tax formula in NER 6.5.3 and NGR 87A, it is fundamental to</w:t>
      </w:r>
      <w:r>
        <w:t xml:space="preserve"> </w:t>
      </w:r>
      <w:r w:rsidRPr="00ED480E">
        <w:t>a coherent understanding of the role of gamma in the regulatory scheme.</w:t>
      </w:r>
    </w:p>
    <w:p w:rsidR="00C52695" w:rsidRPr="00ED480E" w:rsidRDefault="00C52695" w:rsidP="00C52695">
      <w:r w:rsidRPr="00ED480E">
        <w:t>The Officer Paper specifically identified gamma in its WACC formulae to be the “proportion of tax collected from the company which gives rise to the tax credit associated with a franked dividend”: It directly supports an interpretation of gamma which is focused on the utilisation or redemption of imputation credits, and an approach to theta which seeks to identify the proportion of investors that are eligible to utilise distributed imputation credits. So much is confirmed by Handley, who states:</w:t>
      </w:r>
      <w:r>
        <w:rPr>
          <w:rStyle w:val="FootnoteReference"/>
        </w:rPr>
        <w:footnoteReference w:id="395"/>
      </w:r>
    </w:p>
    <w:p w:rsidR="00C52695" w:rsidRPr="00C52695" w:rsidRDefault="00C52695" w:rsidP="00C52695">
      <w:pPr>
        <w:pStyle w:val="AERquote"/>
        <w:rPr>
          <w:rFonts w:eastAsia="Arial"/>
        </w:rPr>
      </w:pPr>
      <w:r w:rsidRPr="00C52695">
        <w:rPr>
          <w:rFonts w:eastAsia="Arial"/>
        </w:rPr>
        <w:t>It is clear from Monkhouse (1996) that the second parameter refers to the utilisation value of a distributed imputation credit. This parameter is commonly denoted and called theta. It is also clear from the post-tax basis of the regulatory framework (and the Officer and Monkhouse WACC frameworks) that the item of interest is more precisely described as the after-company-before-personal-tax utilisation value of a distributed imputation credit.</w:t>
      </w:r>
    </w:p>
    <w:p w:rsidR="00C52695" w:rsidRDefault="00C52695" w:rsidP="00C52695">
      <w:r w:rsidRPr="00ED480E">
        <w:t>The Officer Paper makes clear that gamma is:</w:t>
      </w:r>
    </w:p>
    <w:p w:rsidR="00C52695" w:rsidRDefault="00C52695" w:rsidP="00C52695">
      <w:pPr>
        <w:pStyle w:val="AERnumberedlistsecondstyle"/>
      </w:pPr>
      <w:r w:rsidRPr="00705187">
        <w:t xml:space="preserve">the proportion of tax collected from the company which gives rise to the tax credit associated with a franked dividend; </w:t>
      </w:r>
      <w:r w:rsidRPr="005764F6">
        <w:rPr>
          <w:rStyle w:val="AERtextitalic"/>
        </w:rPr>
        <w:t>which is</w:t>
      </w:r>
    </w:p>
    <w:p w:rsidR="00C52695" w:rsidRDefault="00C52695" w:rsidP="00C52695">
      <w:pPr>
        <w:pStyle w:val="AERnumberedlistsecondstyle"/>
      </w:pPr>
      <w:r w:rsidRPr="00705187">
        <w:t xml:space="preserve">the value of a dollar of tax credit to the shareholder; </w:t>
      </w:r>
      <w:r w:rsidRPr="005764F6">
        <w:rPr>
          <w:rStyle w:val="AERtextitalic"/>
        </w:rPr>
        <w:t>with the result that</w:t>
      </w:r>
    </w:p>
    <w:p w:rsidR="00C52695" w:rsidRDefault="00C52695" w:rsidP="00C52695">
      <w:pPr>
        <w:pStyle w:val="AERnumberedlistsecondstyle"/>
      </w:pPr>
      <w:r w:rsidRPr="00705187">
        <w:t>if the shareholder can fully utilise the imputation tax credits then the value of gamma =1.</w:t>
      </w:r>
      <w:r>
        <w:rPr>
          <w:rStyle w:val="FootnoteReference"/>
        </w:rPr>
        <w:footnoteReference w:id="396"/>
      </w:r>
    </w:p>
    <w:p w:rsidR="00C52695" w:rsidRPr="001D37D5" w:rsidRDefault="00C52695" w:rsidP="00C52695">
      <w:r>
        <w:t>Our</w:t>
      </w:r>
      <w:r w:rsidRPr="001D37D5">
        <w:t xml:space="preserve"> approach to gamma, as drawing upon the Officer Paper, advances the NEO and the NGO and does not detract from those objectives. The purpose of including the gamma parameter in the corporate income tax formula is to ensure that investors are appropriately compensated having regard to the combined value of dividends, capital gains and imputation credits they receive.</w:t>
      </w:r>
    </w:p>
    <w:p w:rsidR="00C52695" w:rsidRPr="00FD036B" w:rsidRDefault="00C52695" w:rsidP="00C52695">
      <w:r w:rsidRPr="00FD036B">
        <w:t xml:space="preserve">The Officer Paper included the following explanation of gamma at </w:t>
      </w:r>
      <w:r w:rsidR="00116FD8" w:rsidRPr="00FD036B">
        <w:t>pp.</w:t>
      </w:r>
      <w:r w:rsidRPr="00FD036B">
        <w:t xml:space="preserve"> 2-4 (emphasis added):</w:t>
      </w:r>
    </w:p>
    <w:p w:rsidR="00C52695" w:rsidRPr="00FD036B" w:rsidRDefault="00C52695" w:rsidP="00C52695">
      <w:pPr>
        <w:pStyle w:val="AERquote"/>
      </w:pPr>
      <w:r w:rsidRPr="00C52695">
        <w:rPr>
          <w:rFonts w:eastAsia="Arial"/>
        </w:rPr>
        <w:t>Under an imputation system, credit is given to shareholders for the company tax implicitly levied on their dividend receipts, i.e. dividends paid after company tax has been levied which implies that the dividends have been taxed at the company level. Under a full imputation tax system, tax that is implicitly being levied on the dividends can be credited against any further tax liabilities of the shareholder (the recipient of the dividend).</w:t>
      </w:r>
    </w:p>
    <w:p w:rsidR="00C52695" w:rsidRPr="00C52695" w:rsidRDefault="00C52695" w:rsidP="00C52695">
      <w:pPr>
        <w:pStyle w:val="AERquote"/>
        <w:rPr>
          <w:rFonts w:eastAsia="Arial"/>
        </w:rPr>
      </w:pPr>
      <w:r w:rsidRPr="00C52695">
        <w:rPr>
          <w:rFonts w:eastAsia="Arial"/>
        </w:rPr>
        <w:t>The proportion of company tax that can be fully rebated against personal tax liabilities is best viewed as personal income tax collected at the company level. In effect, the tax collected at the company level is a mixture of personal tax and company tax, the company tax being that proportion of the tax collected which is not credited (rebated) against personal tax. If all the collection of tax from a company is rebateable (in the Australian terminology if all the franking credits can be used against personal tax liabilities), then for that company’s shareholders company tax is effectively eliminated.  The tax the company pays is simply the shareholders’ personal income tax being collected at the company level.</w:t>
      </w:r>
    </w:p>
    <w:p w:rsidR="00C52695" w:rsidRPr="00C52695" w:rsidRDefault="00C52695" w:rsidP="00C52695">
      <w:pPr>
        <w:pStyle w:val="AERquote"/>
        <w:rPr>
          <w:rFonts w:eastAsia="Arial"/>
        </w:rPr>
      </w:pPr>
      <w:r w:rsidRPr="00C52695">
        <w:rPr>
          <w:rFonts w:eastAsia="Arial"/>
        </w:rPr>
        <w:t>The amount of tax collected from the company by the government is found by applying the effective tax rate (T) to the operating income less interest, i.e. X</w:t>
      </w:r>
      <w:r w:rsidRPr="00C52695">
        <w:rPr>
          <w:rStyle w:val="AERsubscript"/>
          <w:rFonts w:eastAsia="Arial"/>
        </w:rPr>
        <w:t>O</w:t>
      </w:r>
      <w:r w:rsidRPr="00C52695">
        <w:rPr>
          <w:rFonts w:eastAsia="Arial"/>
        </w:rPr>
        <w:t xml:space="preserve"> – X</w:t>
      </w:r>
      <w:r w:rsidRPr="00C52695">
        <w:rPr>
          <w:rStyle w:val="AERsubscript"/>
          <w:rFonts w:eastAsia="Arial"/>
        </w:rPr>
        <w:t>D</w:t>
      </w:r>
      <w:r w:rsidRPr="00C52695">
        <w:rPr>
          <w:rFonts w:eastAsia="Arial"/>
        </w:rPr>
        <w:t>.</w:t>
      </w:r>
    </w:p>
    <w:p w:rsidR="00C52695" w:rsidRPr="00FD036B" w:rsidRDefault="00C52695" w:rsidP="00C52695">
      <w:pPr>
        <w:pStyle w:val="AERquote"/>
      </w:pPr>
      <w:r w:rsidRPr="00C52695">
        <w:rPr>
          <w:rFonts w:eastAsia="Arial"/>
        </w:rPr>
        <w:t>This amount, i.e. T(X</w:t>
      </w:r>
      <w:r w:rsidRPr="00C52695">
        <w:rPr>
          <w:rStyle w:val="AERsubscript"/>
          <w:rFonts w:eastAsia="Arial"/>
        </w:rPr>
        <w:t>O</w:t>
      </w:r>
      <w:r w:rsidRPr="00C52695">
        <w:rPr>
          <w:rFonts w:eastAsia="Arial"/>
        </w:rPr>
        <w:t xml:space="preserve"> – X</w:t>
      </w:r>
      <w:r w:rsidRPr="00C52695">
        <w:rPr>
          <w:rStyle w:val="AERsubscript"/>
          <w:rFonts w:eastAsia="Arial"/>
        </w:rPr>
        <w:t>D</w:t>
      </w:r>
      <w:r w:rsidRPr="00C52695">
        <w:rPr>
          <w:rFonts w:eastAsia="Arial"/>
        </w:rPr>
        <w:t>) represents the amount of tax collected from the company but not all of this is company tax. A proportion (γ) of the tax collected from the company will be rebated against personal tax and, therefore, is not really company tax but rather is a collection of personal tax at the company level. Therefore, if we wish to define the effective company tax collection, we need to reduce T by the proportion γ.</w:t>
      </w:r>
    </w:p>
    <w:p w:rsidR="00C52695" w:rsidRPr="00C52695" w:rsidRDefault="00C52695" w:rsidP="00C52695">
      <w:pPr>
        <w:pStyle w:val="AERquote"/>
        <w:rPr>
          <w:rFonts w:eastAsia="Arial"/>
        </w:rPr>
      </w:pPr>
      <w:r w:rsidRPr="00C52695">
        <w:rPr>
          <w:rFonts w:eastAsia="Arial"/>
        </w:rPr>
        <w:t>In these circumstances, the effective level of company tax paid is defined by:</w:t>
      </w:r>
    </w:p>
    <w:p w:rsidR="00C52695" w:rsidRPr="00C52695" w:rsidRDefault="00C52695" w:rsidP="00C52695">
      <w:pPr>
        <w:pStyle w:val="AERquote"/>
        <w:rPr>
          <w:rFonts w:eastAsia="Arial"/>
        </w:rPr>
      </w:pPr>
      <w:r w:rsidRPr="00C52695">
        <w:rPr>
          <w:rFonts w:eastAsia="Arial"/>
        </w:rPr>
        <w:t>XG = T(X</w:t>
      </w:r>
      <w:r w:rsidRPr="00C52695">
        <w:rPr>
          <w:rStyle w:val="AERsubscript"/>
          <w:rFonts w:eastAsia="Arial"/>
        </w:rPr>
        <w:t>O</w:t>
      </w:r>
      <w:r w:rsidRPr="00C52695">
        <w:rPr>
          <w:rFonts w:eastAsia="Arial"/>
        </w:rPr>
        <w:t xml:space="preserve"> – X</w:t>
      </w:r>
      <w:r w:rsidRPr="00C52695">
        <w:rPr>
          <w:rStyle w:val="AERsubscript"/>
          <w:rFonts w:eastAsia="Arial"/>
        </w:rPr>
        <w:t>D</w:t>
      </w:r>
      <w:r w:rsidRPr="00C52695">
        <w:rPr>
          <w:rFonts w:eastAsia="Arial"/>
        </w:rPr>
        <w:t>) - γ . T(X</w:t>
      </w:r>
      <w:r w:rsidRPr="00C52695">
        <w:rPr>
          <w:rStyle w:val="AERsubscript"/>
          <w:rFonts w:eastAsia="Arial"/>
        </w:rPr>
        <w:t>O</w:t>
      </w:r>
      <w:r w:rsidRPr="00C52695">
        <w:rPr>
          <w:rFonts w:eastAsia="Arial"/>
        </w:rPr>
        <w:t xml:space="preserve"> – X</w:t>
      </w:r>
      <w:r w:rsidRPr="00C52695">
        <w:rPr>
          <w:rStyle w:val="AERsubscript"/>
          <w:rFonts w:eastAsia="Arial"/>
        </w:rPr>
        <w:t>D</w:t>
      </w:r>
      <w:r w:rsidRPr="00C52695">
        <w:rPr>
          <w:rFonts w:eastAsia="Arial"/>
        </w:rPr>
        <w:t>)</w:t>
      </w:r>
    </w:p>
    <w:p w:rsidR="00C52695" w:rsidRPr="00C52695" w:rsidRDefault="00C52695" w:rsidP="00C52695">
      <w:pPr>
        <w:pStyle w:val="AERquote"/>
        <w:rPr>
          <w:rFonts w:eastAsia="Arial"/>
        </w:rPr>
      </w:pPr>
      <w:r w:rsidRPr="00C52695">
        <w:rPr>
          <w:rFonts w:eastAsia="Arial"/>
        </w:rPr>
        <w:t>= T (X</w:t>
      </w:r>
      <w:r w:rsidRPr="00C52695">
        <w:rPr>
          <w:rStyle w:val="AERsubscript"/>
          <w:rFonts w:eastAsia="Arial"/>
        </w:rPr>
        <w:t>O</w:t>
      </w:r>
      <w:r w:rsidRPr="00C52695">
        <w:rPr>
          <w:rFonts w:eastAsia="Arial"/>
        </w:rPr>
        <w:t xml:space="preserve"> – X</w:t>
      </w:r>
      <w:r w:rsidRPr="00C52695">
        <w:rPr>
          <w:rStyle w:val="AERsubscript"/>
          <w:rFonts w:eastAsia="Arial"/>
        </w:rPr>
        <w:t>D</w:t>
      </w:r>
      <w:r w:rsidRPr="00C52695">
        <w:rPr>
          <w:rFonts w:eastAsia="Arial"/>
        </w:rPr>
        <w:t>) (1-γ)</w:t>
      </w:r>
      <w:r w:rsidRPr="00C52695">
        <w:rPr>
          <w:rFonts w:eastAsia="Arial"/>
        </w:rPr>
        <w:tab/>
        <w:t>(2)</w:t>
      </w:r>
    </w:p>
    <w:p w:rsidR="00C52695" w:rsidRPr="00C52695" w:rsidRDefault="00C52695" w:rsidP="00C52695">
      <w:pPr>
        <w:pStyle w:val="AERquote"/>
        <w:rPr>
          <w:rFonts w:eastAsia="Arial"/>
        </w:rPr>
      </w:pPr>
      <w:r w:rsidRPr="00C52695">
        <w:rPr>
          <w:rFonts w:eastAsia="Arial"/>
        </w:rPr>
        <w:t>where</w:t>
      </w:r>
    </w:p>
    <w:p w:rsidR="00C52695" w:rsidRPr="00C52695" w:rsidRDefault="00C52695" w:rsidP="00C52695">
      <w:pPr>
        <w:pStyle w:val="AERquote"/>
        <w:rPr>
          <w:rFonts w:eastAsia="Arial"/>
        </w:rPr>
      </w:pPr>
      <w:r w:rsidRPr="00C52695">
        <w:rPr>
          <w:rFonts w:eastAsia="Arial"/>
        </w:rPr>
        <w:t>T is the tax rate effective for the definition of assessable income as defined in (2), it is the effective rate which is levied at the company level and it is a mixture of company tax T(1-γ) and personal tax, T. γ, i.e. T= T( 1-γ) + Tγ. Thus γ is the proportion of tax collected from the company which gives rise to the tax credit associated with a franked dividend. This franking</w:t>
      </w:r>
      <w:r>
        <w:t xml:space="preserve"> </w:t>
      </w:r>
      <w:r w:rsidRPr="00C52695">
        <w:rPr>
          <w:rFonts w:eastAsia="Arial"/>
        </w:rPr>
        <w:t>credit can be utilized as tax credit against the personal tax liabilities of the shareholder. γ can be interpreted as the value of a dollar of tax credit to the shareholder.</w:t>
      </w:r>
    </w:p>
    <w:p w:rsidR="00C52695" w:rsidRPr="00FD036B" w:rsidRDefault="00C52695" w:rsidP="00C52695">
      <w:pPr>
        <w:pStyle w:val="ListParagraph"/>
        <w:numPr>
          <w:ilvl w:val="0"/>
          <w:numId w:val="24"/>
        </w:numPr>
      </w:pPr>
      <w:r w:rsidRPr="00FD036B">
        <w:t>The Officer Paper set out the following example of its interpretation of gamma:</w:t>
      </w:r>
      <w:r>
        <w:rPr>
          <w:rStyle w:val="FootnoteReference"/>
        </w:rPr>
        <w:footnoteReference w:id="397"/>
      </w:r>
    </w:p>
    <w:p w:rsidR="00C52695" w:rsidRPr="00C52695" w:rsidRDefault="00C52695" w:rsidP="00C52695">
      <w:pPr>
        <w:pStyle w:val="AERquote"/>
        <w:rPr>
          <w:rFonts w:eastAsia="Arial"/>
        </w:rPr>
      </w:pPr>
      <w:r w:rsidRPr="00C52695">
        <w:rPr>
          <w:rFonts w:eastAsia="Arial"/>
        </w:rPr>
        <w:t>For example, if the shareholder can fully utilize the imputation tax credits then (“value”) γ = 1, e.g. a superfund or an Australian resident personal taxpayer. On the other hand a tax exempt or an offshore taxpayer who cannot utilize or otherwise access the value in the tax credit will set γ = 0.</w:t>
      </w:r>
    </w:p>
    <w:p w:rsidR="00C52695" w:rsidRDefault="00C52695" w:rsidP="00C52695">
      <w:pPr>
        <w:pStyle w:val="ListParagraph"/>
        <w:numPr>
          <w:ilvl w:val="0"/>
          <w:numId w:val="24"/>
        </w:numPr>
      </w:pPr>
      <w:r w:rsidRPr="005764F6">
        <w:rPr>
          <w:rStyle w:val="AERbody"/>
        </w:rPr>
        <w:t>While the above passages of the Officer Paper describe gamma using slightly different permutations of language, it is clear that, at its core, gamma is conceptualised by Officer as being concerned with investors’ utilisation of tax credits.</w:t>
      </w:r>
    </w:p>
    <w:p w:rsidR="00C52695" w:rsidRPr="00883125" w:rsidRDefault="00C52695" w:rsidP="00C52695">
      <w:pPr>
        <w:numPr>
          <w:ilvl w:val="0"/>
          <w:numId w:val="24"/>
        </w:numPr>
      </w:pPr>
      <w:r w:rsidRPr="00883125">
        <w:t>Officer describes gamma in different ways, and this is a potential source of ambiguity regarding what the parameter represents and therefore how one might estimate it in practice. Whilst Handley acknowledged that Officer describes gamma in seemingly different ways, he advised that, when examined closely, there is no ambiguity in the meaning of Officer. Handley advised:</w:t>
      </w:r>
      <w:r w:rsidRPr="00883125">
        <w:rPr>
          <w:rStyle w:val="FootnoteReference"/>
        </w:rPr>
        <w:footnoteReference w:id="398"/>
      </w:r>
    </w:p>
    <w:p w:rsidR="00C52695" w:rsidRPr="00883125" w:rsidRDefault="00C52695" w:rsidP="00C52695">
      <w:pPr>
        <w:pStyle w:val="AERquote"/>
      </w:pPr>
      <w:r w:rsidRPr="00883125">
        <w:t>Similarly, Officer has described gamma in seemingly different ways. For example he refers to:</w:t>
      </w:r>
    </w:p>
    <w:p w:rsidR="00C52695" w:rsidRPr="00883125" w:rsidRDefault="00C52695" w:rsidP="00C52695">
      <w:pPr>
        <w:pStyle w:val="AERquote"/>
        <w:rPr>
          <w:rStyle w:val="AERtextitalic"/>
        </w:rPr>
      </w:pPr>
      <w:r w:rsidRPr="00883125">
        <w:rPr>
          <w:rStyle w:val="AERtextitalic"/>
        </w:rPr>
        <w:t>“A proportion (</w:t>
      </w:r>
      <w:r w:rsidRPr="00883125">
        <w:rPr>
          <w:rStyle w:val="AERtextitalic"/>
          <w:rFonts w:hint="eastAsia"/>
        </w:rPr>
        <w:t>γ</w:t>
      </w:r>
      <w:r w:rsidRPr="00883125">
        <w:rPr>
          <w:rStyle w:val="AERtextitalic"/>
        </w:rPr>
        <w:t>) of the tax collected from the company will be rebated against personal tax.”</w:t>
      </w:r>
    </w:p>
    <w:p w:rsidR="00C52695" w:rsidRPr="00883125" w:rsidRDefault="00C52695" w:rsidP="00C52695">
      <w:pPr>
        <w:pStyle w:val="AERquote"/>
      </w:pPr>
      <w:r w:rsidRPr="00883125">
        <w:t>and shortly thereafter:</w:t>
      </w:r>
    </w:p>
    <w:p w:rsidR="00C52695" w:rsidRPr="00883125" w:rsidRDefault="00C52695" w:rsidP="00C52695">
      <w:pPr>
        <w:pStyle w:val="AERquote"/>
        <w:rPr>
          <w:rStyle w:val="AERtextitalic"/>
        </w:rPr>
      </w:pPr>
      <w:r w:rsidRPr="00883125">
        <w:rPr>
          <w:rStyle w:val="AERtextitalic"/>
          <w:rFonts w:hint="eastAsia"/>
        </w:rPr>
        <w:t>“γ</w:t>
      </w:r>
      <w:r w:rsidRPr="00883125">
        <w:rPr>
          <w:rStyle w:val="AERtextitalic"/>
        </w:rPr>
        <w:t xml:space="preserve"> can be interpreted as the value of a dollar of tax credit to the shareholder.” </w:t>
      </w:r>
    </w:p>
    <w:p w:rsidR="00C52695" w:rsidRPr="00883125" w:rsidRDefault="00C52695" w:rsidP="00C52695">
      <w:pPr>
        <w:pStyle w:val="AERquote"/>
      </w:pPr>
      <w:r w:rsidRPr="00883125">
        <w:t>But again, there is no ambiguity. These terms can and have been used interchangeably because the underlying source of value of an imputation credit to shareholders is the consequent reduction in personal taxes in recognition of taxes that were previously paid at the corporate level. In other words, within the Officer framework, it is clear that gamma represents the utilisation or redemption value of imputation credits and this value corresponds to the proportion of company tax which is in effect a prepayment of personal tax by the company on behalf of its shareholders. It is this identification of the personal tax component of the company tax paid which is the central idea of the paper.</w:t>
      </w:r>
    </w:p>
    <w:p w:rsidR="00C52695" w:rsidRPr="00883125" w:rsidRDefault="00C52695" w:rsidP="00C52695">
      <w:pPr>
        <w:numPr>
          <w:ilvl w:val="0"/>
          <w:numId w:val="24"/>
        </w:numPr>
      </w:pPr>
      <w:r w:rsidRPr="00883125">
        <w:t>In other words, gamma in the Officer framework represents the proportion of company tax that is returned to investors through the utilisation of imputation credits and this is the value of imputation credits to investors. This is the interpretation of the value of imputation credits we adopted in the Guideline and continue to adopt in this decision. This interpretation is consistent with the Officer framework and is supported by advice from Handley.</w:t>
      </w:r>
    </w:p>
    <w:p w:rsidR="00C52695" w:rsidRPr="005764F6" w:rsidRDefault="00AF1BD9" w:rsidP="00C52695">
      <w:pPr>
        <w:numPr>
          <w:ilvl w:val="0"/>
          <w:numId w:val="24"/>
        </w:numPr>
        <w:rPr>
          <w:rStyle w:val="AERbody"/>
        </w:rPr>
      </w:pPr>
      <w:r>
        <w:rPr>
          <w:rStyle w:val="AERbody"/>
        </w:rPr>
        <w:t>T</w:t>
      </w:r>
      <w:r w:rsidR="00C52695" w:rsidRPr="005764F6">
        <w:rPr>
          <w:rStyle w:val="AERbody"/>
        </w:rPr>
        <w:t xml:space="preserve">he </w:t>
      </w:r>
      <w:r>
        <w:rPr>
          <w:rStyle w:val="AERbody"/>
        </w:rPr>
        <w:t xml:space="preserve">Ausgrid </w:t>
      </w:r>
      <w:r w:rsidR="00C52695" w:rsidRPr="005764F6">
        <w:rPr>
          <w:rStyle w:val="AERbody"/>
        </w:rPr>
        <w:t xml:space="preserve">Tribunal considered </w:t>
      </w:r>
      <w:r w:rsidR="00C52695">
        <w:rPr>
          <w:rStyle w:val="AERbody"/>
        </w:rPr>
        <w:t>we</w:t>
      </w:r>
      <w:r w:rsidR="00C52695" w:rsidRPr="005764F6">
        <w:rPr>
          <w:rStyle w:val="AERbody"/>
        </w:rPr>
        <w:t xml:space="preserve"> had erred in adopting a conceptual approach to gamma that redefines it as the value of imputation credits that are available for redemption.</w:t>
      </w:r>
      <w:r w:rsidR="00C52695" w:rsidRPr="00857C5F">
        <w:rPr>
          <w:rStyle w:val="FootnoteReference"/>
        </w:rPr>
        <w:footnoteReference w:id="399"/>
      </w:r>
      <w:r w:rsidR="00C52695" w:rsidRPr="005764F6">
        <w:rPr>
          <w:rStyle w:val="AERbody"/>
        </w:rPr>
        <w:t xml:space="preserve"> The </w:t>
      </w:r>
      <w:r>
        <w:rPr>
          <w:rStyle w:val="AERbody"/>
        </w:rPr>
        <w:t xml:space="preserve">Ausgrid </w:t>
      </w:r>
      <w:r w:rsidR="00C52695" w:rsidRPr="005764F6">
        <w:rPr>
          <w:rStyle w:val="AERbody"/>
        </w:rPr>
        <w:t xml:space="preserve">Tribunal found this due to </w:t>
      </w:r>
      <w:r w:rsidR="00C52695">
        <w:rPr>
          <w:rStyle w:val="AERbody"/>
        </w:rPr>
        <w:t>us</w:t>
      </w:r>
      <w:r w:rsidR="00C52695" w:rsidRPr="005764F6">
        <w:rPr>
          <w:rStyle w:val="AERbody"/>
        </w:rPr>
        <w:t xml:space="preserve"> placing most reliance on the equity ownership approach and effectively defining the utilisation value as the proportion of distributed imputation credits that are available for redemption.</w:t>
      </w:r>
      <w:r w:rsidR="00C52695" w:rsidRPr="00857C5F">
        <w:rPr>
          <w:rStyle w:val="FootnoteReference"/>
        </w:rPr>
        <w:footnoteReference w:id="400"/>
      </w:r>
      <w:r w:rsidR="00C52695" w:rsidRPr="005764F6">
        <w:rPr>
          <w:rStyle w:val="AERbody"/>
        </w:rPr>
        <w:t xml:space="preserve"> The </w:t>
      </w:r>
      <w:r>
        <w:rPr>
          <w:rStyle w:val="AERbody"/>
        </w:rPr>
        <w:t xml:space="preserve">Ausgrid </w:t>
      </w:r>
      <w:r w:rsidR="00C52695" w:rsidRPr="005764F6">
        <w:rPr>
          <w:rStyle w:val="AERbody"/>
        </w:rPr>
        <w:t>Tribunal considered that such an approach:</w:t>
      </w:r>
      <w:r w:rsidR="00C52695" w:rsidRPr="00857C5F">
        <w:rPr>
          <w:rStyle w:val="FootnoteReference"/>
        </w:rPr>
        <w:footnoteReference w:id="401"/>
      </w:r>
    </w:p>
    <w:p w:rsidR="00C52695" w:rsidRPr="005764F6" w:rsidRDefault="00C52695" w:rsidP="00C52695">
      <w:pPr>
        <w:pStyle w:val="AERquote"/>
      </w:pPr>
      <w:r w:rsidRPr="005764F6">
        <w:t xml:space="preserve">Is inconsistent with the concept of gamma in the Officer Framework for the WACC which underlies the rules and the objective of ensuring a market rate of return on equity by making an adjustment to the revenue allowance for taxation to take </w:t>
      </w:r>
      <w:r w:rsidRPr="00B31DF2">
        <w:t>account</w:t>
      </w:r>
      <w:r w:rsidR="008B34DF">
        <w:t xml:space="preserve"> for imputation credits.</w:t>
      </w:r>
    </w:p>
    <w:p w:rsidR="00C52695" w:rsidRPr="005764F6" w:rsidRDefault="00C52695" w:rsidP="00C52695">
      <w:r>
        <w:t>We</w:t>
      </w:r>
      <w:r w:rsidRPr="005764F6">
        <w:t xml:space="preserve"> consider </w:t>
      </w:r>
      <w:r>
        <w:t>our</w:t>
      </w:r>
      <w:r w:rsidRPr="005764F6">
        <w:t xml:space="preserve"> a</w:t>
      </w:r>
      <w:r>
        <w:t>pproach is consistent with the O</w:t>
      </w:r>
      <w:r w:rsidRPr="005764F6">
        <w:t xml:space="preserve">fficer framework and our estimation of the required return on equity. </w:t>
      </w:r>
      <w:r>
        <w:t>We</w:t>
      </w:r>
      <w:r w:rsidRPr="005764F6">
        <w:t xml:space="preserve"> consider what matters from a value to investor's perspective is the face value of imputation credits expected to be utilised as this reflects both the cost of these imputation credits to the regulated businesses and the benefit that investors receive from these credits when utilised to reduce their tax payable</w:t>
      </w:r>
      <w:r>
        <w:t xml:space="preserve"> (or to receive a refund from the government)</w:t>
      </w:r>
      <w:r w:rsidRPr="005764F6">
        <w:t>. The post company (pre-personal) tax value of an imputation credit when utilised is approximately</w:t>
      </w:r>
      <w:r w:rsidRPr="00857C5F">
        <w:rPr>
          <w:rStyle w:val="FootnoteReference"/>
        </w:rPr>
        <w:footnoteReference w:id="402"/>
      </w:r>
      <w:r w:rsidRPr="005764F6">
        <w:t xml:space="preserve"> its face value. This is further discussed in section </w:t>
      </w:r>
      <w:r w:rsidRPr="005764F6">
        <w:fldChar w:fldCharType="begin"/>
      </w:r>
      <w:r w:rsidRPr="005764F6">
        <w:instrText xml:space="preserve"> REF _Ref435171205 \r \h  \* MERGEFORMAT </w:instrText>
      </w:r>
      <w:r w:rsidRPr="005764F6">
        <w:fldChar w:fldCharType="separate"/>
      </w:r>
      <w:r w:rsidR="007E3457">
        <w:t>A.15.3</w:t>
      </w:r>
      <w:r w:rsidRPr="005764F6">
        <w:fldChar w:fldCharType="end"/>
      </w:r>
      <w:r w:rsidRPr="005764F6">
        <w:t>.</w:t>
      </w:r>
    </w:p>
    <w:p w:rsidR="00C52695" w:rsidRPr="00883125" w:rsidRDefault="00C52695" w:rsidP="00C52695">
      <w:pPr>
        <w:numPr>
          <w:ilvl w:val="0"/>
          <w:numId w:val="24"/>
        </w:numPr>
      </w:pPr>
      <w:r w:rsidRPr="00883125">
        <w:t>The Officer framework assumes all free cash flows (including imputation credits) are fully paid out each period. That is, the Officer framework is a 'perpetuity' framework. However, in reality not all imputation credits are necessarily paid out each period, nor are all other free cash flows necessarily paid out.</w:t>
      </w:r>
      <w:r w:rsidRPr="00883125">
        <w:rPr>
          <w:rStyle w:val="FootnoteReference"/>
        </w:rPr>
        <w:footnoteReference w:id="403"/>
      </w:r>
      <w:r w:rsidRPr="00883125">
        <w:t xml:space="preserve"> For example, it is typical for a company to retain some earnings from a previous year to fund part of its future investment, rather than pay out all earnings as dividends and fully raise the funding of future investment from external sources. Work by Monkhouse (and others) extends the Officer framework by allowing for less than a full payout of cash flows and imputation credits each period. Handley advised that Monkhouse effectively shows that:</w:t>
      </w:r>
      <w:r w:rsidRPr="00883125">
        <w:rPr>
          <w:rStyle w:val="FootnoteReference"/>
        </w:rPr>
        <w:footnoteReference w:id="404"/>
      </w:r>
    </w:p>
    <w:p w:rsidR="00C52695" w:rsidRPr="00883125" w:rsidRDefault="00C52695" w:rsidP="00C52695">
      <w:pPr>
        <w:numPr>
          <w:ilvl w:val="0"/>
          <w:numId w:val="24"/>
        </w:numPr>
      </w:pPr>
      <m:oMath>
        <m:r>
          <w:rPr>
            <w:rFonts w:ascii="Cambria Math" w:hAnsi="Cambria Math"/>
          </w:rPr>
          <m:t>γ=Fθ+</m:t>
        </m:r>
        <m:d>
          <m:dPr>
            <m:ctrlPr>
              <w:rPr>
                <w:rFonts w:ascii="Cambria Math" w:hAnsi="Cambria Math"/>
              </w:rPr>
            </m:ctrlPr>
          </m:dPr>
          <m:e>
            <m:r>
              <w:rPr>
                <w:rFonts w:ascii="Cambria Math" w:hAnsi="Cambria Math"/>
              </w:rPr>
              <m:t>1-F</m:t>
            </m:r>
          </m:e>
        </m:d>
        <m:r>
          <w:rPr>
            <w:rFonts w:ascii="Cambria Math" w:hAnsi="Cambria Math"/>
          </w:rPr>
          <m:t>ψ</m:t>
        </m:r>
      </m:oMath>
    </w:p>
    <w:p w:rsidR="00C52695" w:rsidRPr="00883125" w:rsidRDefault="00C52695" w:rsidP="00C52695">
      <w:pPr>
        <w:numPr>
          <w:ilvl w:val="0"/>
          <w:numId w:val="24"/>
        </w:numPr>
      </w:pPr>
      <w:r w:rsidRPr="00883125">
        <w:t>where:</w:t>
      </w:r>
    </w:p>
    <w:p w:rsidR="00C52695" w:rsidRPr="001D37D5" w:rsidRDefault="00C52695" w:rsidP="00C52695">
      <w:pPr>
        <w:pStyle w:val="AERbulletlistfirststyle"/>
      </w:pPr>
      <m:oMath>
        <m:r>
          <w:rPr>
            <w:rFonts w:ascii="Cambria Math" w:hAnsi="Cambria Math"/>
          </w:rPr>
          <m:t>F</m:t>
        </m:r>
      </m:oMath>
      <w:r w:rsidRPr="001D37D5">
        <w:t xml:space="preserve"> is the proportion of imputation credits generated that are distributed in a period (the 'distribution rate').</w:t>
      </w:r>
    </w:p>
    <w:p w:rsidR="00C52695" w:rsidRPr="001D37D5" w:rsidRDefault="00C52695" w:rsidP="00C52695">
      <w:pPr>
        <w:pStyle w:val="AERbulletlistfirststyle"/>
      </w:pPr>
      <m:oMath>
        <m:r>
          <w:rPr>
            <w:rFonts w:ascii="Cambria Math" w:hAnsi="Cambria Math"/>
          </w:rPr>
          <m:t>θ</m:t>
        </m:r>
      </m:oMath>
      <w:r w:rsidRPr="001D37D5">
        <w:t xml:space="preserve"> (theta) is the utilisation value to investors in the market per dollar of imputation credits distributed (the 'utilisation rate').</w:t>
      </w:r>
    </w:p>
    <w:p w:rsidR="00C52695" w:rsidRPr="001D37D5" w:rsidRDefault="00C52695" w:rsidP="00C52695">
      <w:pPr>
        <w:pStyle w:val="AERbulletlistfirststyle"/>
      </w:pPr>
      <m:oMath>
        <m:r>
          <w:rPr>
            <w:rFonts w:ascii="Cambria Math" w:hAnsi="Cambria Math"/>
          </w:rPr>
          <m:t>ψ</m:t>
        </m:r>
      </m:oMath>
      <w:r w:rsidRPr="001D37D5" w:rsidDel="008647A1">
        <w:t xml:space="preserve"> </w:t>
      </w:r>
      <w:r w:rsidRPr="001D37D5">
        <w:t>(psi) is the utilisation value of a retained credit to investors in the market.</w:t>
      </w:r>
    </w:p>
    <w:p w:rsidR="00C52695" w:rsidRPr="00883125" w:rsidRDefault="00C52695" w:rsidP="00C52695">
      <w:pPr>
        <w:numPr>
          <w:ilvl w:val="0"/>
          <w:numId w:val="24"/>
        </w:numPr>
      </w:pPr>
      <w:r w:rsidRPr="00883125">
        <w:t>Handley also advised that in frameworks such as Monkhouse's the utilisation rate in equilibrium is equal to the weighted average, by wealth and risk aversion, of the individual utilisation rates of investors in the market:</w:t>
      </w:r>
      <w:r w:rsidRPr="00883125">
        <w:rPr>
          <w:rStyle w:val="FootnoteReference"/>
        </w:rPr>
        <w:footnoteReference w:id="405"/>
      </w:r>
    </w:p>
    <w:p w:rsidR="00C52695" w:rsidRPr="00883125" w:rsidRDefault="00C52695" w:rsidP="00C52695">
      <w:pPr>
        <w:pStyle w:val="AERquote"/>
      </w:pPr>
      <w:r w:rsidRPr="00883125">
        <w:t>This interpretation of theta as a complex weighted average of investor utilisation rates is consistent with that appearing in Monkhouse (1993) and Lally and van Zijl (2003)…</w:t>
      </w:r>
    </w:p>
    <w:p w:rsidR="00C52695" w:rsidRPr="00883125" w:rsidRDefault="00C52695" w:rsidP="00C52695">
      <w:pPr>
        <w:numPr>
          <w:ilvl w:val="0"/>
          <w:numId w:val="24"/>
        </w:numPr>
      </w:pPr>
      <w:r w:rsidRPr="00883125">
        <w:t>This is also supported by Lally's remarks on the work of Lally and van Zijl:</w:t>
      </w:r>
      <w:r w:rsidRPr="00883125">
        <w:rPr>
          <w:rStyle w:val="FootnoteReference"/>
        </w:rPr>
        <w:footnoteReference w:id="406"/>
      </w:r>
    </w:p>
    <w:p w:rsidR="00C52695" w:rsidRPr="00883125" w:rsidRDefault="00C52695" w:rsidP="00C52695">
      <w:pPr>
        <w:pStyle w:val="AERquote"/>
      </w:pPr>
      <w:r w:rsidRPr="00883125">
        <w:t>Although Officer (1994) provides no clarification on this matter, because his derivation of the model is intuitive rather than formal, Lally and van Zijl (2003, section 3) provide a formal derivation of a generalisation of Officer’s model (with the Officer model being a special case), in which variation of utilisation rates across investors is recognised.  In this derivation, they show that [the utilisation rate] is a complex weighted average over all investors holding risky assets, where the weights involve each investor’s investment in risky assets and their risk aversion.</w:t>
      </w:r>
    </w:p>
    <w:p w:rsidR="00C52695" w:rsidRPr="00883125" w:rsidRDefault="00C52695" w:rsidP="00C52695">
      <w:pPr>
        <w:numPr>
          <w:ilvl w:val="0"/>
          <w:numId w:val="24"/>
        </w:numPr>
      </w:pPr>
      <w:r w:rsidRPr="00883125">
        <w:t xml:space="preserve">Consistent with the advice we received from Lally, in the Guideline we recognised that the utilisation rate is equal to the weighted average, by wealth and risk aversion, of the individual utilisation rates of investors in the market. In the Guideline, we also defined the utilisation rate as the extent to which investors can use the imputation credits they receive to reduce their tax (or receive a refund). In this decision, consistent with Handley's advice, we consider the utilisation rate is the utilisation value to investors in the market per dollar of imputation credits distributed. However, we consider that our views in the Guideline and in this decision are broadly equivalent; that is, our definition of the utilisation rate in this </w:t>
      </w:r>
      <w:r w:rsidR="00F80840">
        <w:t>draft</w:t>
      </w:r>
      <w:r w:rsidR="00180C78">
        <w:t xml:space="preserve"> </w:t>
      </w:r>
      <w:r w:rsidRPr="00883125">
        <w:t xml:space="preserve">decision still reflects the extent to which investors in the market can use the imputation credits they receive. This is because, as discussed above and in sections </w:t>
      </w:r>
      <w:r w:rsidRPr="00883125">
        <w:fldChar w:fldCharType="begin"/>
      </w:r>
      <w:r w:rsidRPr="00883125">
        <w:instrText xml:space="preserve"> REF _Ref415144114 \r \h </w:instrText>
      </w:r>
      <w:r w:rsidRPr="00883125">
        <w:fldChar w:fldCharType="separate"/>
      </w:r>
      <w:r w:rsidR="007E3457">
        <w:t>A.5</w:t>
      </w:r>
      <w:r w:rsidRPr="00883125">
        <w:fldChar w:fldCharType="end"/>
      </w:r>
      <w:r w:rsidRPr="00883125">
        <w:t xml:space="preserve">, </w:t>
      </w:r>
      <w:r w:rsidRPr="00883125">
        <w:fldChar w:fldCharType="begin"/>
      </w:r>
      <w:r w:rsidRPr="00883125">
        <w:instrText xml:space="preserve"> REF _Ref414282622 \r \h </w:instrText>
      </w:r>
      <w:r w:rsidRPr="00883125">
        <w:fldChar w:fldCharType="separate"/>
      </w:r>
      <w:r w:rsidR="007E3457">
        <w:t>A.7</w:t>
      </w:r>
      <w:r w:rsidRPr="00883125">
        <w:fldChar w:fldCharType="end"/>
      </w:r>
      <w:r w:rsidRPr="00883125">
        <w:t xml:space="preserve"> and </w:t>
      </w:r>
      <w:r w:rsidRPr="00883125">
        <w:fldChar w:fldCharType="begin"/>
      </w:r>
      <w:r w:rsidRPr="00883125">
        <w:instrText xml:space="preserve"> REF _Ref401748758 \r \h </w:instrText>
      </w:r>
      <w:r w:rsidRPr="00883125">
        <w:fldChar w:fldCharType="separate"/>
      </w:r>
      <w:r w:rsidR="007E3457">
        <w:t>A.8.1</w:t>
      </w:r>
      <w:r w:rsidRPr="00883125">
        <w:fldChar w:fldCharType="end"/>
      </w:r>
      <w:r w:rsidRPr="00883125">
        <w:t>, to be consistent with the Officer framework (and therefore the building block framework in the NER/NGR) the utilisation rate should reflect the before-personal-tax and before-personal-costs value of imputation credits to investors. On a before-personal-tax and before-personal-costs basis, an investor that is eligible to fully utilise imputation credits should value each dollar of imputation credits received at one dollar (that is, have a utilisation rate of 1). Therefore, the utilisation value to investors in the market will reflect the weighted average, by wealth and risk aversion, of the utilisation rates of investors—some of whom will have a utilisation rate of 1 and others who will have a utilisation rate of 0.</w:t>
      </w:r>
      <w:r w:rsidRPr="00883125">
        <w:rPr>
          <w:rStyle w:val="FootnoteReference"/>
        </w:rPr>
        <w:footnoteReference w:id="407"/>
      </w:r>
      <w:r w:rsidRPr="00883125">
        <w:t xml:space="preserve"> We discuss Handley's advice on this matter further in section </w:t>
      </w:r>
      <w:r w:rsidRPr="00883125">
        <w:fldChar w:fldCharType="begin"/>
      </w:r>
      <w:r w:rsidRPr="00883125">
        <w:instrText xml:space="preserve"> REF _Ref401748758 \r \h </w:instrText>
      </w:r>
      <w:r w:rsidRPr="00883125">
        <w:fldChar w:fldCharType="separate"/>
      </w:r>
      <w:r w:rsidR="007E3457">
        <w:t>A.8.1</w:t>
      </w:r>
      <w:r w:rsidRPr="00883125">
        <w:fldChar w:fldCharType="end"/>
      </w:r>
      <w:r w:rsidRPr="00883125">
        <w:t>.</w:t>
      </w:r>
    </w:p>
    <w:p w:rsidR="00C52695" w:rsidRPr="00883125" w:rsidRDefault="00C52695" w:rsidP="00C52695">
      <w:pPr>
        <w:numPr>
          <w:ilvl w:val="0"/>
          <w:numId w:val="24"/>
        </w:numPr>
      </w:pPr>
      <w:r w:rsidRPr="00883125">
        <w:t xml:space="preserve">Returning to the expression for </w:t>
      </w:r>
      <m:oMath>
        <m:r>
          <w:rPr>
            <w:rFonts w:ascii="Cambria Math" w:hAnsi="Cambria Math"/>
          </w:rPr>
          <m:t>γ</m:t>
        </m:r>
      </m:oMath>
      <w:r w:rsidRPr="00883125">
        <w:t xml:space="preserve"> above, we have not explicitly included the value of retained credits, </w:t>
      </w:r>
      <m:oMath>
        <m:r>
          <w:rPr>
            <w:rFonts w:ascii="Cambria Math" w:hAnsi="Cambria Math"/>
          </w:rPr>
          <m:t>ψ</m:t>
        </m:r>
      </m:oMath>
      <w:r w:rsidRPr="00883125">
        <w:t>, when determining the value of imputation credits. This is mainly because we recognise that investors can only use imputation credits to reduce tax or receive a refund once the credits have been distributed. There is also the practical problem of how to quantify the value of retained credits. Handley acknowledged the potential for retained credits to have value, but also the difficulty in quantifying it:</w:t>
      </w:r>
      <w:r w:rsidRPr="00883125">
        <w:rPr>
          <w:rStyle w:val="FootnoteReference"/>
        </w:rPr>
        <w:footnoteReference w:id="408"/>
      </w:r>
    </w:p>
    <w:p w:rsidR="00C52695" w:rsidRPr="00883125" w:rsidRDefault="00C52695" w:rsidP="00C52695">
      <w:pPr>
        <w:pStyle w:val="AERquote"/>
      </w:pPr>
      <w:r w:rsidRPr="00883125">
        <w:t>Retained imputation credits can be worth no less than zero but may be worth more than zero. Estimates of gamma using the traditional approach will therefore be downward biased to the extent that retained imputation credits have value. Although it is not possible to reasonably estimate the magnitude of the bias, its direction is clear.</w:t>
      </w:r>
    </w:p>
    <w:p w:rsidR="00C52695" w:rsidRPr="00B27BE5" w:rsidRDefault="00C52695" w:rsidP="00C52695">
      <w:r>
        <w:t>We agree with Handley and consider</w:t>
      </w:r>
      <w:r w:rsidRPr="00B27BE5">
        <w:t xml:space="preserve"> assuming retained imputation credits have no value is a conservative assumption. We consider retained imputation credits have a positive value but it is difficult to quantify this value. There are many ways retained imputation credits could potentially benefit investors. For example, retained imputation credits may allow firms to conduct off market buy backs of their own stocks at a discount to prevailing market values. Off market buybacks can be structured in such a way that the purchase price is derived from both fully franked dividends and capital. Investors are prepared to sell back their shares at a discount as they derive value from imputation credits distributed and the capital gains loss that outweighs the capital loss they incur from selling at a discount.</w:t>
      </w:r>
      <w:r w:rsidRPr="00B27BE5">
        <w:rPr>
          <w:rStyle w:val="FootnoteReference"/>
        </w:rPr>
        <w:footnoteReference w:id="409"/>
      </w:r>
      <w:r w:rsidRPr="00B27BE5">
        <w:t xml:space="preserve"> Shareholders that do not participate in off market buybacks benefit from capital appreciation of their shares as the firm's capital is brought back at a discount to the prevailing market prices. An example of a recently completed off market buy back completed a discount that likely was used to stream imputation credits to those who could utilise them most highly was by Caltex Australia.</w:t>
      </w:r>
      <w:r w:rsidRPr="00B27BE5">
        <w:rPr>
          <w:rStyle w:val="FootnoteReference"/>
        </w:rPr>
        <w:footnoteReference w:id="410"/>
      </w:r>
    </w:p>
    <w:p w:rsidR="00C52695" w:rsidRPr="00B27BE5" w:rsidRDefault="00C52695" w:rsidP="00C52695">
      <w:r w:rsidRPr="00B27BE5">
        <w:t xml:space="preserve">However, </w:t>
      </w:r>
      <w:r>
        <w:t>we</w:t>
      </w:r>
      <w:r w:rsidRPr="00B27BE5">
        <w:t xml:space="preserve"> consider assuming retained imputation credits have no value might be a reasonable assumption to the extent that imputation distributions rates are expected to remain constant overtime. To the extent firms maintain in perpetuity a distribution rate less </w:t>
      </w:r>
      <w:r w:rsidR="00116FD8" w:rsidRPr="00B27BE5">
        <w:t>than</w:t>
      </w:r>
      <w:r w:rsidRPr="00B27BE5">
        <w:t xml:space="preserve"> a 100 per cent, the proportion of imputation credits that are not distributed are worthless. As we assume the historical cumulative payout ratios (for listed and all equity) are reasonable estimates of the future expected payout ratios, we consider our approach is appropriate</w:t>
      </w:r>
      <w:r>
        <w:t>.</w:t>
      </w:r>
    </w:p>
    <w:p w:rsidR="00C52695" w:rsidRPr="00883125" w:rsidRDefault="00C52695" w:rsidP="00C52695">
      <w:pPr>
        <w:pStyle w:val="Heading8"/>
      </w:pPr>
      <w:bookmarkStart w:id="218" w:name="_Ref414282622"/>
      <w:bookmarkStart w:id="219" w:name="_Toc436049448"/>
      <w:bookmarkStart w:id="220" w:name="_Ref451789926"/>
      <w:bookmarkStart w:id="221" w:name="_Toc451842253"/>
      <w:bookmarkStart w:id="222" w:name="_Ref451849752"/>
      <w:bookmarkStart w:id="223" w:name="_Toc451938308"/>
      <w:bookmarkStart w:id="224" w:name="_Toc456614301"/>
      <w:bookmarkStart w:id="225" w:name="_Toc462823319"/>
      <w:bookmarkStart w:id="226" w:name="_Toc487014073"/>
      <w:r w:rsidRPr="00883125">
        <w:t>Gray's comments on the conceptual framework</w:t>
      </w:r>
      <w:bookmarkEnd w:id="218"/>
      <w:r w:rsidRPr="00883125">
        <w:rPr>
          <w:rStyle w:val="FootnoteReference"/>
        </w:rPr>
        <w:footnoteReference w:id="411"/>
      </w:r>
      <w:bookmarkEnd w:id="219"/>
      <w:bookmarkEnd w:id="220"/>
      <w:bookmarkEnd w:id="221"/>
      <w:bookmarkEnd w:id="222"/>
      <w:bookmarkEnd w:id="223"/>
      <w:bookmarkEnd w:id="224"/>
      <w:bookmarkEnd w:id="225"/>
      <w:bookmarkEnd w:id="226"/>
    </w:p>
    <w:p w:rsidR="00C52695" w:rsidRPr="00883125" w:rsidRDefault="00C52695" w:rsidP="00C52695">
      <w:pPr>
        <w:numPr>
          <w:ilvl w:val="0"/>
          <w:numId w:val="24"/>
        </w:numPr>
      </w:pPr>
      <w:r w:rsidRPr="00883125">
        <w:t>In the previous section, we set out our position on the appropriate conceptual framework for the estimation of the value of imputation credits. In this section, we respond to Gray's view. Gray's view on the conceptual framework was largely adopted by the service providers in their proposals.</w:t>
      </w:r>
    </w:p>
    <w:p w:rsidR="00C52695" w:rsidRPr="00883125" w:rsidRDefault="00C52695" w:rsidP="00C52695">
      <w:pPr>
        <w:numPr>
          <w:ilvl w:val="0"/>
          <w:numId w:val="24"/>
        </w:numPr>
      </w:pPr>
      <w:r w:rsidRPr="00883125">
        <w:t>Gray's May 2014 report (for SFG) for the service providers submitted that:</w:t>
      </w:r>
    </w:p>
    <w:p w:rsidR="00C52695" w:rsidRPr="00883125" w:rsidRDefault="00C52695" w:rsidP="00C52695">
      <w:pPr>
        <w:pStyle w:val="AERbulletlistfirststyle"/>
      </w:pPr>
      <w:r w:rsidRPr="00883125">
        <w:t>The advice and evidence cited in the Guideline does not support the interpretation of the utilisation rate in the Guidel</w:t>
      </w:r>
      <w:r w:rsidR="008B34DF">
        <w:t>ine.</w:t>
      </w:r>
    </w:p>
    <w:p w:rsidR="00C52695" w:rsidRPr="00883125" w:rsidRDefault="00C52695" w:rsidP="00C52695">
      <w:pPr>
        <w:pStyle w:val="AERbulletlistfirststyle"/>
      </w:pPr>
      <w:r w:rsidRPr="00883125">
        <w:t>Officer shows that the value of imputation credits (gamma) represents the extent to which imputation credits are capitalised into the stock price.</w:t>
      </w:r>
    </w:p>
    <w:p w:rsidR="00C52695" w:rsidRPr="00883125" w:rsidRDefault="00C52695" w:rsidP="00C52695">
      <w:pPr>
        <w:pStyle w:val="AERbulletlistfirststyle"/>
      </w:pPr>
      <w:r w:rsidRPr="00883125">
        <w:t>The utilisation rate in the framework provided by Monkhouse (and Lally and van Zijl) should not be used to estimate the value of imputation credits.</w:t>
      </w:r>
    </w:p>
    <w:p w:rsidR="00C52695" w:rsidRPr="00883125" w:rsidRDefault="00C52695" w:rsidP="00C52695">
      <w:pPr>
        <w:numPr>
          <w:ilvl w:val="0"/>
          <w:numId w:val="24"/>
        </w:numPr>
      </w:pPr>
      <w:r w:rsidRPr="00883125">
        <w:t xml:space="preserve">The submissions from Gray, including comments in his February 2015 report (for SFG) and his June 2015 </w:t>
      </w:r>
      <w:r>
        <w:t xml:space="preserve">and January 2016 </w:t>
      </w:r>
      <w:r w:rsidRPr="00883125">
        <w:t xml:space="preserve">report (for Frontier), do not change our view on the conceptual framework for the estimation of the value of imputation credits. We do not consider his work supports the position that </w:t>
      </w:r>
      <w:r>
        <w:t>our</w:t>
      </w:r>
      <w:r w:rsidRPr="00883125">
        <w:t xml:space="preserve"> conceptual framework is not an appropriate basis on which to estimate the value of imputation credits.</w:t>
      </w:r>
      <w:r w:rsidRPr="00883125">
        <w:rPr>
          <w:rStyle w:val="FootnoteReference"/>
        </w:rPr>
        <w:footnoteReference w:id="412"/>
      </w:r>
      <w:r w:rsidRPr="00883125">
        <w:t xml:space="preserve"> We set out our reasoning below.</w:t>
      </w:r>
    </w:p>
    <w:p w:rsidR="00C52695" w:rsidRPr="00883125" w:rsidRDefault="00C52695" w:rsidP="008B1CA1">
      <w:pPr>
        <w:pStyle w:val="Heading9"/>
        <w:keepNext/>
      </w:pPr>
      <w:bookmarkStart w:id="227" w:name="_Toc456614302"/>
      <w:bookmarkStart w:id="228" w:name="_Toc462823320"/>
      <w:bookmarkStart w:id="229" w:name="_Toc487014074"/>
      <w:bookmarkStart w:id="230" w:name="_Ref402179374"/>
      <w:r w:rsidRPr="00883125">
        <w:t>Gray's comments on the AER's position</w:t>
      </w:r>
      <w:bookmarkEnd w:id="227"/>
      <w:bookmarkEnd w:id="228"/>
      <w:bookmarkEnd w:id="229"/>
    </w:p>
    <w:p w:rsidR="00C52695" w:rsidRPr="00883125" w:rsidRDefault="00C52695" w:rsidP="008B1CA1">
      <w:pPr>
        <w:keepNext/>
      </w:pPr>
      <w:r w:rsidRPr="00883125">
        <w:t>Gray (for SFG) submitted that '…the AER's position is that theta (and consequently gamma) no longer represents the value (as in "worth" or "market value to investors")…'.</w:t>
      </w:r>
      <w:r w:rsidRPr="00883125">
        <w:rPr>
          <w:rStyle w:val="FootnoteReference"/>
        </w:rPr>
        <w:footnoteReference w:id="413"/>
      </w:r>
      <w:r w:rsidRPr="00883125">
        <w:t xml:space="preserve"> This is incorrect. Our definition of the utilisation rate in this</w:t>
      </w:r>
      <w:r>
        <w:t xml:space="preserve"> </w:t>
      </w:r>
      <w:r w:rsidR="00493CF5">
        <w:t>draft</w:t>
      </w:r>
      <w:r w:rsidR="00493CF5" w:rsidRPr="00883125">
        <w:t xml:space="preserve"> </w:t>
      </w:r>
      <w:r w:rsidRPr="00883125">
        <w:t>decision and our prior decisions released in 2014</w:t>
      </w:r>
      <w:r>
        <w:t>,</w:t>
      </w:r>
      <w:r w:rsidRPr="00883125">
        <w:t xml:space="preserve"> 2015</w:t>
      </w:r>
      <w:r w:rsidR="00493CF5">
        <w:t>,</w:t>
      </w:r>
      <w:r>
        <w:t xml:space="preserve"> 2016</w:t>
      </w:r>
      <w:r w:rsidRPr="00883125">
        <w:t xml:space="preserve"> </w:t>
      </w:r>
      <w:r w:rsidR="00493CF5">
        <w:t xml:space="preserve">and 2017 </w:t>
      </w:r>
      <w:r w:rsidRPr="00883125">
        <w:t xml:space="preserve">(our prior decisions) is the utilisation value to investors in the market per dollar of imputation credits distributed. Thus, we do consider that the utilisation rate represents the value to investors in the market. However, the key difference between our position and Gray's is we consider that, to be consistent with the underlying conceptual framework provided by Officer, we need to estimate the before-personal-tax and before-personal-cost value. This is discussed further in section </w:t>
      </w:r>
      <w:r w:rsidRPr="00883125">
        <w:fldChar w:fldCharType="begin"/>
      </w:r>
      <w:r w:rsidRPr="00883125">
        <w:instrText xml:space="preserve"> REF _Ref414028398 \r \h </w:instrText>
      </w:r>
      <w:r>
        <w:instrText xml:space="preserve"> \* MERGEFORMAT </w:instrText>
      </w:r>
      <w:r w:rsidRPr="00883125">
        <w:fldChar w:fldCharType="separate"/>
      </w:r>
      <w:r w:rsidR="007E3457">
        <w:t>A.7.3</w:t>
      </w:r>
      <w:r w:rsidRPr="00883125">
        <w:fldChar w:fldCharType="end"/>
      </w:r>
      <w:r w:rsidRPr="00883125">
        <w:t>.</w:t>
      </w:r>
    </w:p>
    <w:p w:rsidR="00C52695" w:rsidRPr="00883125" w:rsidRDefault="001D5F36" w:rsidP="00C52695">
      <w:r>
        <w:t>T</w:t>
      </w:r>
      <w:r w:rsidR="00C52695" w:rsidRPr="00883125">
        <w:t xml:space="preserve">he </w:t>
      </w:r>
      <w:r w:rsidR="00C25A56">
        <w:t xml:space="preserve">Ausgrid </w:t>
      </w:r>
      <w:r w:rsidR="00C52695" w:rsidRPr="00883125">
        <w:t xml:space="preserve">Tribunal considered </w:t>
      </w:r>
      <w:r w:rsidR="00C52695">
        <w:t xml:space="preserve">our </w:t>
      </w:r>
      <w:r w:rsidR="00C52695" w:rsidRPr="00883125">
        <w:t>reasoning ignored the fact that other parameters in the allowed rate return calculation are market values that already incorporate the effects of the difference in investors' tax position and transaction costs.</w:t>
      </w:r>
      <w:r w:rsidR="00C52695" w:rsidRPr="00883125">
        <w:rPr>
          <w:rStyle w:val="FootnoteReference"/>
        </w:rPr>
        <w:footnoteReference w:id="414"/>
      </w:r>
    </w:p>
    <w:p w:rsidR="00C52695" w:rsidRPr="00883125" w:rsidRDefault="00C52695" w:rsidP="00C52695">
      <w:r w:rsidRPr="00883125">
        <w:t xml:space="preserve">In response to this, </w:t>
      </w:r>
      <w:r>
        <w:t>we</w:t>
      </w:r>
      <w:r w:rsidRPr="00883125">
        <w:t xml:space="preserve"> remain of the view that market studies </w:t>
      </w:r>
      <w:r>
        <w:t xml:space="preserve">that </w:t>
      </w:r>
      <w:r w:rsidRPr="00883125">
        <w:t>estimate</w:t>
      </w:r>
      <w:r>
        <w:t xml:space="preserve"> the </w:t>
      </w:r>
      <w:r w:rsidRPr="00883125">
        <w:t xml:space="preserve">value of imputation credits </w:t>
      </w:r>
      <w:r>
        <w:t>are</w:t>
      </w:r>
      <w:r w:rsidRPr="00883125">
        <w:t xml:space="preserve"> influenced by differential personal taxation of </w:t>
      </w:r>
      <w:r>
        <w:t>ordinary</w:t>
      </w:r>
      <w:r w:rsidRPr="00883125">
        <w:t xml:space="preserve"> income </w:t>
      </w:r>
      <w:r>
        <w:t xml:space="preserve">(which includes both cash dividends and the face value of imputation credits to eligible domestic investors) </w:t>
      </w:r>
      <w:r w:rsidRPr="00883125">
        <w:t xml:space="preserve">relative to capital gains. These differential taxation rates heavily influence these "market values" and therefore these market value estimates neither reflect a pre-personal nor post-personal tax value of imputation credits. None of our allowed rate of return parameter estimates </w:t>
      </w:r>
      <w:r>
        <w:t xml:space="preserve">require </w:t>
      </w:r>
      <w:r w:rsidRPr="00883125">
        <w:t xml:space="preserve">an explicit adjustment to make them consistent with the Officer Framework underpinning the rules. That is, they are already appropriate post </w:t>
      </w:r>
      <w:r>
        <w:t xml:space="preserve">(company) </w:t>
      </w:r>
      <w:r w:rsidRPr="00883125">
        <w:t xml:space="preserve">tax </w:t>
      </w:r>
      <w:r>
        <w:t xml:space="preserve">(pre-personal tax) </w:t>
      </w:r>
      <w:r w:rsidRPr="00883125">
        <w:t xml:space="preserve">estimates. This is discussed further below in section </w:t>
      </w:r>
      <w:r>
        <w:fldChar w:fldCharType="begin"/>
      </w:r>
      <w:r>
        <w:instrText xml:space="preserve"> REF _Ref450298425 \r \h </w:instrText>
      </w:r>
      <w:r>
        <w:fldChar w:fldCharType="separate"/>
      </w:r>
      <w:r w:rsidR="007E3457">
        <w:t>A.8.2</w:t>
      </w:r>
      <w:r>
        <w:fldChar w:fldCharType="end"/>
      </w:r>
      <w:r>
        <w:t>.</w:t>
      </w:r>
    </w:p>
    <w:p w:rsidR="00C52695" w:rsidRPr="00883125" w:rsidRDefault="00C52695" w:rsidP="00C52695">
      <w:r w:rsidRPr="00883125">
        <w:t>Gray also submitted that '[t]he AER then estimates the redemption rate, which it interprets as being consistent with the specific reference to "value" in the Rules in that it is "the number that is adopted" for imputation credits'.</w:t>
      </w:r>
      <w:r w:rsidRPr="00883125">
        <w:rPr>
          <w:rStyle w:val="FootnoteReference"/>
        </w:rPr>
        <w:footnoteReference w:id="415"/>
      </w:r>
      <w:r w:rsidRPr="00883125">
        <w:t xml:space="preserve"> This is also incorrect. In this </w:t>
      </w:r>
      <w:r w:rsidR="002C0BAC">
        <w:t xml:space="preserve">draft </w:t>
      </w:r>
      <w:r w:rsidRPr="00883125">
        <w:t>decision and our prior decisions we estimate the utilisation rate. Further, nowhere in this</w:t>
      </w:r>
      <w:r>
        <w:t xml:space="preserve"> </w:t>
      </w:r>
      <w:r w:rsidR="002C0BAC">
        <w:t>draft</w:t>
      </w:r>
      <w:r w:rsidR="001C6A1D" w:rsidRPr="00883125">
        <w:t xml:space="preserve"> </w:t>
      </w:r>
      <w:r w:rsidRPr="00883125">
        <w:t>decision or in our prior decisions do we seek to support any aspect of our position with 'specific reference to "value" in the Rules in that it is "the number that is adopted" for imputation credits'.</w:t>
      </w:r>
    </w:p>
    <w:p w:rsidR="00C52695" w:rsidRPr="00883125" w:rsidRDefault="00C52695" w:rsidP="00C52695">
      <w:r w:rsidRPr="00883125">
        <w:t>We also disagree with Gray's view that:</w:t>
      </w:r>
      <w:r w:rsidRPr="00883125">
        <w:rPr>
          <w:rStyle w:val="FootnoteReference"/>
        </w:rPr>
        <w:footnoteReference w:id="416"/>
      </w:r>
    </w:p>
    <w:p w:rsidR="00C52695" w:rsidRPr="00883125" w:rsidRDefault="00C52695" w:rsidP="00C52695">
      <w:pPr>
        <w:pStyle w:val="AERquote"/>
      </w:pPr>
      <w:r w:rsidRPr="00883125">
        <w:t>The AER is not saying that it has identified a number of approaches for estimating the value (as in "worth to investors in the market") of imputation credits. Rather, the AER considers:</w:t>
      </w:r>
    </w:p>
    <w:p w:rsidR="00C52695" w:rsidRPr="00883125" w:rsidRDefault="00C52695" w:rsidP="00C52695">
      <w:pPr>
        <w:pStyle w:val="AERquote"/>
      </w:pPr>
      <w:r w:rsidRPr="00883125">
        <w:t>a) Some approaches for estimating the value (as in "worth to investors in the market") of imputation credits – the market value studies; and</w:t>
      </w:r>
    </w:p>
    <w:p w:rsidR="00C52695" w:rsidRPr="00883125" w:rsidRDefault="00C52695" w:rsidP="00C52695">
      <w:pPr>
        <w:pStyle w:val="AERquote"/>
      </w:pPr>
      <w:r w:rsidRPr="00883125">
        <w:t>b) Some approaches for estimating the redemption rate – the equity ownership and ATO tax statistic approaches.</w:t>
      </w:r>
    </w:p>
    <w:p w:rsidR="00C52695" w:rsidRPr="00883125" w:rsidRDefault="00C52695" w:rsidP="00C52695">
      <w:r w:rsidRPr="00883125">
        <w:t xml:space="preserve">By contrast, the approaches on which we rely in this decision to estimate the utilisation rate are all relevant for the reasons discussed in section </w:t>
      </w:r>
      <w:r w:rsidR="00602BA7">
        <w:fldChar w:fldCharType="begin"/>
      </w:r>
      <w:r w:rsidR="00602BA7">
        <w:instrText xml:space="preserve"> REF _Ref477362088 \r \h </w:instrText>
      </w:r>
      <w:r w:rsidR="00602BA7">
        <w:fldChar w:fldCharType="separate"/>
      </w:r>
      <w:r w:rsidR="007E3457">
        <w:t>4.4</w:t>
      </w:r>
      <w:r w:rsidR="00602BA7">
        <w:fldChar w:fldCharType="end"/>
      </w:r>
      <w:r w:rsidRPr="00883125">
        <w:t xml:space="preserve"> of attachment 4.</w:t>
      </w:r>
    </w:p>
    <w:p w:rsidR="00C52695" w:rsidRPr="00883125" w:rsidRDefault="00C52695" w:rsidP="00C52695">
      <w:pPr>
        <w:pStyle w:val="Heading9"/>
      </w:pPr>
      <w:bookmarkStart w:id="231" w:name="_Toc456614303"/>
      <w:bookmarkStart w:id="232" w:name="_Toc462823321"/>
      <w:bookmarkStart w:id="233" w:name="_Toc487014075"/>
      <w:r w:rsidRPr="00883125">
        <w:t>Gray's comments on certain evidence and advice cited in the Guideline</w:t>
      </w:r>
      <w:bookmarkEnd w:id="230"/>
      <w:bookmarkEnd w:id="231"/>
      <w:bookmarkEnd w:id="232"/>
      <w:bookmarkEnd w:id="233"/>
    </w:p>
    <w:p w:rsidR="00C52695" w:rsidRPr="00883125" w:rsidRDefault="00C52695" w:rsidP="00C52695">
      <w:pPr>
        <w:numPr>
          <w:ilvl w:val="0"/>
          <w:numId w:val="24"/>
        </w:numPr>
      </w:pPr>
      <w:r w:rsidRPr="00883125">
        <w:t>In his May 2014 report, Gray (for SFG) set out why it considered that certain evidence cited in the Guideline did not support the position in the Guideline.</w:t>
      </w:r>
      <w:r w:rsidRPr="00883125">
        <w:rPr>
          <w:rStyle w:val="FootnoteReference"/>
        </w:rPr>
        <w:footnoteReference w:id="417"/>
      </w:r>
      <w:r w:rsidRPr="00883125">
        <w:t xml:space="preserve"> This evidence included:</w:t>
      </w:r>
    </w:p>
    <w:p w:rsidR="00C52695" w:rsidRPr="00883125" w:rsidRDefault="00C52695" w:rsidP="00C52695">
      <w:pPr>
        <w:pStyle w:val="AERbulletlistfirststyle"/>
      </w:pPr>
      <w:r w:rsidRPr="00883125">
        <w:t>The AEMC's 2012 rule change</w:t>
      </w:r>
    </w:p>
    <w:p w:rsidR="00C52695" w:rsidRPr="00883125" w:rsidRDefault="00C52695" w:rsidP="00C52695">
      <w:pPr>
        <w:pStyle w:val="AERbulletlistfirststyle"/>
      </w:pPr>
      <w:r w:rsidRPr="00883125">
        <w:t>McKenzie and Partington (2013)</w:t>
      </w:r>
    </w:p>
    <w:p w:rsidR="00C52695" w:rsidRPr="00883125" w:rsidRDefault="00C52695" w:rsidP="00C52695">
      <w:pPr>
        <w:pStyle w:val="AERbulletlistfirststyle"/>
      </w:pPr>
      <w:r w:rsidRPr="00883125">
        <w:t>Handley (2008), and</w:t>
      </w:r>
    </w:p>
    <w:p w:rsidR="00C52695" w:rsidRPr="00883125" w:rsidRDefault="00C52695" w:rsidP="00C52695">
      <w:pPr>
        <w:pStyle w:val="AERbulletlistfirststyle"/>
      </w:pPr>
      <w:r w:rsidRPr="00883125">
        <w:t>Hathaway and Officer (2004).</w:t>
      </w:r>
    </w:p>
    <w:p w:rsidR="00C52695" w:rsidRPr="00883125" w:rsidRDefault="00C52695" w:rsidP="00C52695">
      <w:pPr>
        <w:numPr>
          <w:ilvl w:val="0"/>
          <w:numId w:val="24"/>
        </w:numPr>
      </w:pPr>
      <w:r w:rsidRPr="00883125">
        <w:t>In our decisions released in 2014, we set out why we disagreed with Gray's view on each piece of evidence.</w:t>
      </w:r>
      <w:r w:rsidRPr="00883125">
        <w:rPr>
          <w:rStyle w:val="FootnoteReference"/>
        </w:rPr>
        <w:footnoteReference w:id="418"/>
      </w:r>
      <w:r w:rsidRPr="00883125">
        <w:t xml:space="preserve"> In his February 2015 report (for SFG), Gray set out why his view on this evidence has not changed.</w:t>
      </w:r>
      <w:r w:rsidRPr="00883125">
        <w:rPr>
          <w:rStyle w:val="FootnoteReference"/>
        </w:rPr>
        <w:footnoteReference w:id="419"/>
      </w:r>
      <w:r w:rsidRPr="00883125">
        <w:t xml:space="preserve"> Gray's February 2015 report (for SFG) and</w:t>
      </w:r>
      <w:r>
        <w:t xml:space="preserve"> </w:t>
      </w:r>
      <w:r w:rsidRPr="00883125">
        <w:t xml:space="preserve">June 2015 </w:t>
      </w:r>
      <w:r>
        <w:t xml:space="preserve">and January 2016 </w:t>
      </w:r>
      <w:r w:rsidRPr="00883125">
        <w:t>report (for Frontier) does not change our view as set out in our earlier decisions. It seems that the disagreement between us and Gray regarding this evidence is unlikely to be resolved.</w:t>
      </w:r>
    </w:p>
    <w:p w:rsidR="00C52695" w:rsidRPr="00883125" w:rsidRDefault="00C52695" w:rsidP="00C52695">
      <w:pPr>
        <w:pStyle w:val="Heading9"/>
      </w:pPr>
      <w:bookmarkStart w:id="234" w:name="_Ref414028398"/>
      <w:bookmarkStart w:id="235" w:name="_Toc456614304"/>
      <w:bookmarkStart w:id="236" w:name="_Toc462823322"/>
      <w:bookmarkStart w:id="237" w:name="_Toc487014076"/>
      <w:r w:rsidRPr="00883125">
        <w:t>Gray's comments on Officer (1994)</w:t>
      </w:r>
      <w:bookmarkEnd w:id="234"/>
      <w:bookmarkEnd w:id="235"/>
      <w:bookmarkEnd w:id="236"/>
      <w:bookmarkEnd w:id="237"/>
      <w:r w:rsidRPr="00883125">
        <w:t xml:space="preserve"> </w:t>
      </w:r>
    </w:p>
    <w:p w:rsidR="00C52695" w:rsidRPr="00883125" w:rsidRDefault="00C52695" w:rsidP="00C52695">
      <w:r w:rsidRPr="00883125">
        <w:t>Gray set out his views on Officer's 1994 paper in his May 2014 and February 2015 reports for SFG, and in his 2015</w:t>
      </w:r>
      <w:r>
        <w:t xml:space="preserve"> and 2016</w:t>
      </w:r>
      <w:r w:rsidRPr="00883125">
        <w:t xml:space="preserve"> report</w:t>
      </w:r>
      <w:r w:rsidR="00705600">
        <w:t>s</w:t>
      </w:r>
      <w:r w:rsidRPr="00883125">
        <w:t xml:space="preserve"> for Frontier. These views do not change our own view, consistent with the advice of Handley, that the value of imputation credits should be estimated on a before-personal-tax and before-personal-costs basis. We respond to Gray's comments on Officer below.</w:t>
      </w:r>
    </w:p>
    <w:p w:rsidR="00C52695" w:rsidRPr="00883125" w:rsidRDefault="00C52695" w:rsidP="00F40012">
      <w:pPr>
        <w:pStyle w:val="HeadingBoldItalic"/>
        <w:keepNext/>
      </w:pPr>
      <w:bookmarkStart w:id="238" w:name="_Toc456614305"/>
      <w:bookmarkStart w:id="239" w:name="_Toc481056682"/>
      <w:bookmarkStart w:id="240" w:name="_Toc481061476"/>
      <w:r w:rsidRPr="00883125">
        <w:t>The text in Officer (1994)</w:t>
      </w:r>
      <w:bookmarkEnd w:id="238"/>
      <w:bookmarkEnd w:id="239"/>
      <w:bookmarkEnd w:id="240"/>
    </w:p>
    <w:p w:rsidR="00C52695" w:rsidRPr="00883125" w:rsidRDefault="00C52695" w:rsidP="00F40012">
      <w:pPr>
        <w:keepNext/>
      </w:pPr>
      <w:r w:rsidRPr="00883125">
        <w:t>Gray (for SFG) submitted that Officer's paper suggests that there are two possible interpretations of gamma:</w:t>
      </w:r>
      <w:r w:rsidRPr="00883125">
        <w:rPr>
          <w:rStyle w:val="FootnoteReference"/>
        </w:rPr>
        <w:footnoteReference w:id="420"/>
      </w:r>
    </w:p>
    <w:p w:rsidR="00C52695" w:rsidRPr="00883125" w:rsidRDefault="00C52695" w:rsidP="00C52695">
      <w:pPr>
        <w:pStyle w:val="AERquote"/>
      </w:pPr>
      <w:r w:rsidRPr="00883125">
        <w:t xml:space="preserve">(a) Officer means gamma to have a </w:t>
      </w:r>
      <w:r w:rsidRPr="00883125">
        <w:rPr>
          <w:rStyle w:val="AERtextitalic"/>
        </w:rPr>
        <w:t>value</w:t>
      </w:r>
      <w:r w:rsidRPr="00883125">
        <w:t xml:space="preserve"> interpretation and that words suggesting a </w:t>
      </w:r>
      <w:r w:rsidRPr="00883125">
        <w:rPr>
          <w:rStyle w:val="AERtextitalic"/>
        </w:rPr>
        <w:t>utilisation</w:t>
      </w:r>
      <w:r w:rsidRPr="00883125">
        <w:t xml:space="preserve"> interpretation were poorly drafted (i.e., the reference to utilisation should be read as simply identifying the source of value); or</w:t>
      </w:r>
    </w:p>
    <w:p w:rsidR="00C52695" w:rsidRPr="00883125" w:rsidRDefault="00C52695" w:rsidP="00C52695">
      <w:pPr>
        <w:pStyle w:val="AERquote"/>
      </w:pPr>
      <w:r w:rsidRPr="00883125">
        <w:t xml:space="preserve">(b) Officer means gamma to have a </w:t>
      </w:r>
      <w:r w:rsidRPr="00883125">
        <w:rPr>
          <w:rStyle w:val="AERtextitalic"/>
        </w:rPr>
        <w:t>utilisation</w:t>
      </w:r>
      <w:r w:rsidRPr="00883125">
        <w:t xml:space="preserve"> interpretation and that words suggesting a </w:t>
      </w:r>
      <w:r w:rsidRPr="00883125">
        <w:rPr>
          <w:rStyle w:val="AERtextitalic"/>
        </w:rPr>
        <w:t>value</w:t>
      </w:r>
      <w:r w:rsidRPr="00883125">
        <w:t xml:space="preserve"> interpretation were poorly drafted (i.e., the reference to value should be read as "the number used for" rather than "worth.</w:t>
      </w:r>
    </w:p>
    <w:p w:rsidR="00C52695" w:rsidRPr="00883125" w:rsidRDefault="00C52695" w:rsidP="00C52695">
      <w:pPr>
        <w:pStyle w:val="AERquote"/>
      </w:pPr>
      <w:r w:rsidRPr="00883125">
        <w:t>I concluded that the value interpretation was plausible and the utilisation/redemption interpretation was not, and set out my reasons for doing so. Nothing in the AER's recent draft decisions lead me to change my conclusion on this point.</w:t>
      </w:r>
    </w:p>
    <w:p w:rsidR="00C52695" w:rsidRPr="00883125" w:rsidRDefault="00C52695" w:rsidP="00C52695">
      <w:r w:rsidRPr="00883125">
        <w:t>We do not agree with Gray's opinion. As explained by Handley in his September 2014 report, interpretation of gamma on a before-personal-tax and before-personal-costs basis reconciles this apparent inconsistency in Officer;</w:t>
      </w:r>
      <w:r w:rsidRPr="00883125">
        <w:rPr>
          <w:rStyle w:val="FootnoteReference"/>
        </w:rPr>
        <w:footnoteReference w:id="421"/>
      </w:r>
      <w:r w:rsidRPr="00883125">
        <w:t xml:space="preserve"> that is, on this basis the 'value' and 'utilisation' interpretations are consistent. Handley reiterates this in his April 2015 report:</w:t>
      </w:r>
      <w:r w:rsidRPr="00883125">
        <w:rPr>
          <w:rStyle w:val="FootnoteReference"/>
        </w:rPr>
        <w:footnoteReference w:id="422"/>
      </w:r>
    </w:p>
    <w:p w:rsidR="00C52695" w:rsidRPr="00883125" w:rsidRDefault="00C52695" w:rsidP="00C52695">
      <w:pPr>
        <w:pStyle w:val="AERquote"/>
      </w:pPr>
      <w:r w:rsidRPr="00883125">
        <w:t>This is precisely the reason why Officer refers to gamma as the value of franking credits in some parts of the paper, and as the proportion of tax collected from the company which will be rebated against personal tax, in other parts of the paper. These two descriptions are equivalent when one interprets value to mean the value of imputation credits before personal tax and before personal costs.</w:t>
      </w:r>
    </w:p>
    <w:p w:rsidR="00C52695" w:rsidRPr="00883125" w:rsidRDefault="00C52695" w:rsidP="00C52695">
      <w:r w:rsidRPr="00883125">
        <w:t>There would appear to be further support for Handley's view in the first line of footnote 5 of Officer's paper, which seemingly equates the ideas of 'utilisation' and 'value':</w:t>
      </w:r>
      <w:r w:rsidRPr="00883125">
        <w:rPr>
          <w:rStyle w:val="FootnoteReference"/>
        </w:rPr>
        <w:footnoteReference w:id="423"/>
      </w:r>
    </w:p>
    <w:p w:rsidR="00C52695" w:rsidRPr="00883125" w:rsidRDefault="00C52695" w:rsidP="00C52695">
      <w:pPr>
        <w:pStyle w:val="AERquote"/>
      </w:pPr>
      <w:r w:rsidRPr="00883125">
        <w:t xml:space="preserve">For example, if the shareholder can fully utilize the imputation tax credits then ("value") </w:t>
      </w:r>
      <m:oMath>
        <m:r>
          <w:rPr>
            <w:rFonts w:ascii="Cambria Math" w:hAnsi="Cambria Math"/>
          </w:rPr>
          <m:t>γ</m:t>
        </m:r>
      </m:oMath>
      <w:r w:rsidRPr="00883125">
        <w:t xml:space="preserve"> = 1, e.g. a superfund or an Australian resident taxpayer.</w:t>
      </w:r>
    </w:p>
    <w:p w:rsidR="00C52695" w:rsidRPr="00883125" w:rsidRDefault="00C52695" w:rsidP="00C52695">
      <w:r w:rsidRPr="00883125">
        <w:t>Handley also noted:</w:t>
      </w:r>
      <w:r w:rsidRPr="00883125">
        <w:rPr>
          <w:rStyle w:val="FootnoteReference"/>
        </w:rPr>
        <w:footnoteReference w:id="424"/>
      </w:r>
    </w:p>
    <w:p w:rsidR="00C52695" w:rsidRPr="00883125" w:rsidRDefault="00C52695" w:rsidP="00C52695">
      <w:pPr>
        <w:pStyle w:val="AERquote"/>
      </w:pPr>
      <w:r w:rsidRPr="00883125">
        <w:t>It is clear that the Officer WACC valuation framework is a before-personal-tax framework. It is also a before-personal-cost framework in the limited sense that, there is no explicit adjustment (deduction) made to the cash flows or the discount rate for either personal taxes or personal costs.</w:t>
      </w:r>
    </w:p>
    <w:p w:rsidR="00C52695" w:rsidRPr="00883125" w:rsidRDefault="00C52695" w:rsidP="00C52695">
      <w:r w:rsidRPr="00883125">
        <w:t>On the other hand, if gamma was intended to reflect investors' personal taxes and costs, then the proportion of company tax returned to investors would never be equivalent to the value to investors per dollar of imputation credits. This is because, on an after-personal-tax and after-personal-costs basis where such taxes and costs were non-negligible, investors would likely value credits at less than their face value. Therefore, there would be no justification for defining gamma, as Officer does, in terms of the proportion of company tax returned to investors. As shown in the earlier quote, Gray attributes such a definition to 'poor drafting'. Howev</w:t>
      </w:r>
      <w:r w:rsidR="008B34DF">
        <w:t>er, this is unconvincing to us.</w:t>
      </w:r>
    </w:p>
    <w:p w:rsidR="00C52695" w:rsidRPr="00883125" w:rsidRDefault="00C52695" w:rsidP="00C52695">
      <w:r w:rsidRPr="00883125">
        <w:t>Further, if the intended interpretation of gamma is on an after-personal-tax and after-personal-costs basis, then it would seem to make little sense to contemplate, as Officer does in footnote 5 of his paper, an investor having an individual utilisation rate of 1.</w:t>
      </w:r>
      <w:r w:rsidRPr="00883125">
        <w:rPr>
          <w:rStyle w:val="FootnoteReference"/>
        </w:rPr>
        <w:footnoteReference w:id="425"/>
      </w:r>
      <w:r w:rsidRPr="00883125">
        <w:t xml:space="preserve"> Again, this is because, on an after-personal-tax and after-personal-costs basis where such taxes and costs were non-negligible, investors would likely value credits at less than their face value. Conversely, Gray has previously argued that it is difficult to understand why Officer would contemplate in the same footnote the estimation of gamma via dividend drop off studies if the correct interpretation of gamma was as the proportion of company tax returned to investors.</w:t>
      </w:r>
      <w:r w:rsidRPr="00883125">
        <w:rPr>
          <w:rStyle w:val="FootnoteReference"/>
        </w:rPr>
        <w:footnoteReference w:id="426"/>
      </w:r>
      <w:r w:rsidRPr="00883125">
        <w:t xml:space="preserve"> However, as we have maintained throughout the Guideline and current determination process, implied market value studies remain a relevant estimation method for gamma. This is because any value attributed to credits which can be inferred from market prices is ultimately derived from the utilisation of those credits.</w:t>
      </w:r>
    </w:p>
    <w:p w:rsidR="00C52695" w:rsidRPr="00883125" w:rsidRDefault="00C52695" w:rsidP="00C52695">
      <w:r w:rsidRPr="00883125">
        <w:t>Finally, our view is supported by Officer's treatment of gamma in the numerical example in the appendix to his paper. Officer describes this numerical example as ‘…designed to help the reader through some of the obstacles to going from theory to practice’:</w:t>
      </w:r>
      <w:r w:rsidRPr="00883125">
        <w:rPr>
          <w:rStyle w:val="FootnoteReference"/>
        </w:rPr>
        <w:footnoteReference w:id="427"/>
      </w:r>
    </w:p>
    <w:p w:rsidR="00C52695" w:rsidRPr="00883125" w:rsidRDefault="00C52695" w:rsidP="00C52695">
      <w:pPr>
        <w:pStyle w:val="AERquote"/>
      </w:pPr>
      <w:r w:rsidRPr="00883125">
        <w:t xml:space="preserve">Assume that 50 </w:t>
      </w:r>
      <w:r w:rsidR="00116FD8" w:rsidRPr="00883125">
        <w:t>per cent</w:t>
      </w:r>
      <w:r w:rsidRPr="00883125">
        <w:t xml:space="preserve"> of the tax collected at the company level represents personal tax, i.e. 50 </w:t>
      </w:r>
      <w:r w:rsidR="00116FD8" w:rsidRPr="00883125">
        <w:t>per cent</w:t>
      </w:r>
      <w:r w:rsidRPr="00883125">
        <w:t xml:space="preserve"> of tax credits can be utilized against personal tax liabilities so that </w:t>
      </w:r>
      <m:oMath>
        <m:r>
          <w:rPr>
            <w:rFonts w:ascii="Cambria Math" w:hAnsi="Cambria Math"/>
          </w:rPr>
          <m:t>γ</m:t>
        </m:r>
      </m:oMath>
      <w:r w:rsidRPr="00883125">
        <w:t xml:space="preserve"> = 0.5.</w:t>
      </w:r>
    </w:p>
    <w:p w:rsidR="00C52695" w:rsidRPr="00883125" w:rsidRDefault="00C52695" w:rsidP="007F6EED">
      <w:pPr>
        <w:pStyle w:val="HeadingBoldItalic"/>
      </w:pPr>
      <w:bookmarkStart w:id="241" w:name="_Toc456614306"/>
      <w:bookmarkStart w:id="242" w:name="_Toc481056683"/>
      <w:bookmarkStart w:id="243" w:name="_Toc481061477"/>
      <w:r w:rsidRPr="00883125">
        <w:t>The formulas in Officer (1994)</w:t>
      </w:r>
      <w:bookmarkEnd w:id="241"/>
      <w:bookmarkEnd w:id="242"/>
      <w:bookmarkEnd w:id="243"/>
    </w:p>
    <w:p w:rsidR="00C52695" w:rsidRPr="00883125" w:rsidRDefault="00C52695" w:rsidP="00C52695">
      <w:r w:rsidRPr="00883125">
        <w:t>Gray (for SFG) submitted that the formulas in Officer (1994) support his interpretation of the value of imputation credits:</w:t>
      </w:r>
      <w:r w:rsidRPr="00883125">
        <w:rPr>
          <w:rStyle w:val="FootnoteReference"/>
        </w:rPr>
        <w:footnoteReference w:id="428"/>
      </w:r>
    </w:p>
    <w:p w:rsidR="00C52695" w:rsidRPr="00883125" w:rsidRDefault="00C52695" w:rsidP="00C52695">
      <w:pPr>
        <w:pStyle w:val="AERquote"/>
      </w:pPr>
      <w:r w:rsidRPr="00883125">
        <w:t>…gamma represents the extent to which imputation credits are capitalised into the market value of equity. I note that this is precisely what is estimated by dividend drop-off analysis and other market value studies. The formula shows that one takes the present face value of imputation credits (</w:t>
      </w:r>
      <m:oMath>
        <m:f>
          <m:fPr>
            <m:type m:val="lin"/>
            <m:ctrlPr>
              <w:rPr>
                <w:rFonts w:ascii="Cambria Math" w:hAnsi="Cambria Math"/>
              </w:rPr>
            </m:ctrlPr>
          </m:fPr>
          <m:num>
            <m:r>
              <w:rPr>
                <w:rFonts w:ascii="Cambria Math" w:hAnsi="Cambria Math"/>
              </w:rPr>
              <m:t>IC</m:t>
            </m:r>
          </m:num>
          <m:den>
            <m:sSub>
              <m:sSubPr>
                <m:ctrlPr>
                  <w:rPr>
                    <w:rFonts w:ascii="Cambria Math" w:hAnsi="Cambria Math"/>
                  </w:rPr>
                </m:ctrlPr>
              </m:sSubPr>
              <m:e>
                <m:r>
                  <w:rPr>
                    <w:rFonts w:ascii="Cambria Math" w:hAnsi="Cambria Math"/>
                  </w:rPr>
                  <m:t>r</m:t>
                </m:r>
              </m:e>
              <m:sub>
                <m:r>
                  <w:rPr>
                    <w:rFonts w:ascii="Cambria Math" w:hAnsi="Cambria Math"/>
                  </w:rPr>
                  <m:t>e</m:t>
                </m:r>
              </m:sub>
            </m:sSub>
          </m:den>
        </m:f>
      </m:oMath>
      <w:r w:rsidRPr="00883125">
        <w:t>) and then multiplies by gamma and the result makes up part of the market value of equity.</w:t>
      </w:r>
    </w:p>
    <w:p w:rsidR="00C52695" w:rsidRPr="00883125" w:rsidRDefault="00C52695" w:rsidP="00C52695">
      <w:pPr>
        <w:pStyle w:val="AERquote"/>
      </w:pPr>
      <w:r w:rsidRPr="00883125">
        <w:t>Another way to see this is to rearrange the formula to isolate gamma as follows:</w:t>
      </w:r>
    </w:p>
    <w:p w:rsidR="00C52695" w:rsidRPr="00883125" w:rsidRDefault="007E3457" w:rsidP="00C52695">
      <w:pPr>
        <w:pStyle w:val="AERquote"/>
      </w:pPr>
      <m:oMathPara>
        <m:oMath>
          <m:sSub>
            <m:sSubPr>
              <m:ctrlPr>
                <w:rPr>
                  <w:rFonts w:ascii="Cambria Math" w:hAnsi="Cambria Math"/>
                </w:rPr>
              </m:ctrlPr>
            </m:sSubPr>
            <m:e>
              <m:r>
                <w:rPr>
                  <w:rFonts w:ascii="Cambria Math" w:hAnsi="Cambria Math"/>
                </w:rPr>
                <m:t>E</m:t>
              </m:r>
            </m:e>
            <m:sub>
              <m:r>
                <w:rPr>
                  <w:rFonts w:ascii="Cambria Math" w:hAnsi="Cambria Math"/>
                </w:rPr>
                <m:t>with</m:t>
              </m:r>
              <m:r>
                <m:rPr>
                  <m:sty m:val="p"/>
                </m:rPr>
                <w:rPr>
                  <w:rFonts w:ascii="Cambria Math" w:hAnsi="Cambria Math"/>
                </w:rPr>
                <m:t>-</m:t>
              </m:r>
              <m:r>
                <w:rPr>
                  <w:rFonts w:ascii="Cambria Math" w:hAnsi="Cambria Math"/>
                </w:rPr>
                <m:t>IC</m:t>
              </m:r>
            </m:sub>
          </m:sSub>
          <m:r>
            <m:rPr>
              <m:sty m:val="p"/>
            </m:rPr>
            <w:rPr>
              <w:rFonts w:ascii="Cambria Math" w:hAnsi="Cambria Math"/>
            </w:rPr>
            <m:t>=</m:t>
          </m:r>
          <m:sSub>
            <m:sSubPr>
              <m:ctrlPr>
                <w:rPr>
                  <w:rFonts w:ascii="Cambria Math" w:hAnsi="Cambria Math"/>
                </w:rPr>
              </m:ctrlPr>
            </m:sSubPr>
            <m:e>
              <m:r>
                <w:rPr>
                  <w:rFonts w:ascii="Cambria Math" w:hAnsi="Cambria Math"/>
                </w:rPr>
                <m:t>E</m:t>
              </m:r>
            </m:e>
            <m:sub>
              <m:r>
                <w:rPr>
                  <w:rFonts w:ascii="Cambria Math" w:hAnsi="Cambria Math"/>
                </w:rPr>
                <m:t>ex</m:t>
              </m:r>
              <m:r>
                <m:rPr>
                  <m:sty m:val="p"/>
                </m:rPr>
                <w:rPr>
                  <w:rFonts w:ascii="Cambria Math" w:hAnsi="Cambria Math"/>
                </w:rPr>
                <m:t>-</m:t>
              </m:r>
              <m:r>
                <w:rPr>
                  <w:rFonts w:ascii="Cambria Math" w:hAnsi="Cambria Math"/>
                </w:rPr>
                <m:t>IC</m:t>
              </m:r>
            </m:sub>
          </m:sSub>
          <m:r>
            <m:rPr>
              <m:sty m:val="p"/>
            </m:rPr>
            <w:rPr>
              <w:rFonts w:ascii="Cambria Math" w:hAnsi="Cambria Math"/>
            </w:rPr>
            <m:t>+</m:t>
          </m:r>
          <m:r>
            <w:rPr>
              <w:rFonts w:ascii="Cambria Math" w:hAnsi="Cambria Math"/>
            </w:rPr>
            <m:t>γ</m:t>
          </m:r>
          <m:f>
            <m:fPr>
              <m:ctrlPr>
                <w:rPr>
                  <w:rFonts w:ascii="Cambria Math" w:hAnsi="Cambria Math"/>
                </w:rPr>
              </m:ctrlPr>
            </m:fPr>
            <m:num>
              <m:r>
                <w:rPr>
                  <w:rFonts w:ascii="Cambria Math" w:hAnsi="Cambria Math"/>
                </w:rPr>
                <m:t>IC</m:t>
              </m:r>
            </m:num>
            <m:den>
              <m:sSub>
                <m:sSubPr>
                  <m:ctrlPr>
                    <w:rPr>
                      <w:rFonts w:ascii="Cambria Math" w:hAnsi="Cambria Math"/>
                    </w:rPr>
                  </m:ctrlPr>
                </m:sSubPr>
                <m:e>
                  <m:r>
                    <w:rPr>
                      <w:rFonts w:ascii="Cambria Math" w:hAnsi="Cambria Math"/>
                    </w:rPr>
                    <m:t>r</m:t>
                  </m:r>
                </m:e>
                <m:sub>
                  <m:r>
                    <w:rPr>
                      <w:rFonts w:ascii="Cambria Math" w:hAnsi="Cambria Math"/>
                    </w:rPr>
                    <m:t>e</m:t>
                  </m:r>
                </m:sub>
              </m:sSub>
            </m:den>
          </m:f>
        </m:oMath>
      </m:oMathPara>
    </w:p>
    <w:p w:rsidR="00C52695" w:rsidRPr="00883125" w:rsidRDefault="00C52695" w:rsidP="00C52695">
      <w:pPr>
        <w:pStyle w:val="AERquote"/>
      </w:pPr>
      <w:r w:rsidRPr="00883125">
        <w:t xml:space="preserve">where </w:t>
      </w:r>
      <m:oMath>
        <m:sSub>
          <m:sSubPr>
            <m:ctrlPr>
              <w:rPr>
                <w:rFonts w:ascii="Cambria Math" w:hAnsi="Cambria Math"/>
              </w:rPr>
            </m:ctrlPr>
          </m:sSubPr>
          <m:e>
            <m:r>
              <w:rPr>
                <w:rFonts w:ascii="Cambria Math" w:hAnsi="Cambria Math"/>
              </w:rPr>
              <m:t>E</m:t>
            </m:r>
          </m:e>
          <m:sub>
            <m:r>
              <w:rPr>
                <w:rFonts w:ascii="Cambria Math" w:hAnsi="Cambria Math"/>
              </w:rPr>
              <m:t>with</m:t>
            </m:r>
            <m:r>
              <m:rPr>
                <m:sty m:val="p"/>
              </m:rPr>
              <w:rPr>
                <w:rFonts w:ascii="Cambria Math" w:hAnsi="Cambria Math"/>
              </w:rPr>
              <m:t>-</m:t>
            </m:r>
            <m:r>
              <w:rPr>
                <w:rFonts w:ascii="Cambria Math" w:hAnsi="Cambria Math"/>
              </w:rPr>
              <m:t>IC</m:t>
            </m:r>
          </m:sub>
        </m:sSub>
      </m:oMath>
      <w:r w:rsidRPr="00883125">
        <w:t xml:space="preserve"> represents the market value of equity including imputation credits, </w:t>
      </w:r>
      <m:oMath>
        <m:sSub>
          <m:sSubPr>
            <m:ctrlPr>
              <w:rPr>
                <w:rFonts w:ascii="Cambria Math" w:hAnsi="Cambria Math"/>
              </w:rPr>
            </m:ctrlPr>
          </m:sSubPr>
          <m:e>
            <m:r>
              <w:rPr>
                <w:rFonts w:ascii="Cambria Math" w:hAnsi="Cambria Math"/>
              </w:rPr>
              <m:t>E</m:t>
            </m:r>
          </m:e>
          <m:sub>
            <m:r>
              <w:rPr>
                <w:rFonts w:ascii="Cambria Math" w:hAnsi="Cambria Math"/>
              </w:rPr>
              <m:t>ex</m:t>
            </m:r>
            <m:r>
              <m:rPr>
                <m:sty m:val="p"/>
              </m:rPr>
              <w:rPr>
                <w:rFonts w:ascii="Cambria Math" w:hAnsi="Cambria Math"/>
              </w:rPr>
              <m:t>-</m:t>
            </m:r>
            <m:r>
              <w:rPr>
                <w:rFonts w:ascii="Cambria Math" w:hAnsi="Cambria Math"/>
              </w:rPr>
              <m:t>IC</m:t>
            </m:r>
          </m:sub>
        </m:sSub>
      </m:oMath>
      <w:r w:rsidRPr="00883125">
        <w:t xml:space="preserve"> represents the market value of equity excluding imputation credits and </w:t>
      </w:r>
      <m:oMath>
        <m:f>
          <m:fPr>
            <m:type m:val="lin"/>
            <m:ctrlPr>
              <w:rPr>
                <w:rFonts w:ascii="Cambria Math" w:hAnsi="Cambria Math"/>
              </w:rPr>
            </m:ctrlPr>
          </m:fPr>
          <m:num>
            <m:r>
              <w:rPr>
                <w:rFonts w:ascii="Cambria Math" w:hAnsi="Cambria Math"/>
              </w:rPr>
              <m:t>IC</m:t>
            </m:r>
          </m:num>
          <m:den>
            <m:sSub>
              <m:sSubPr>
                <m:ctrlPr>
                  <w:rPr>
                    <w:rFonts w:ascii="Cambria Math" w:hAnsi="Cambria Math"/>
                  </w:rPr>
                </m:ctrlPr>
              </m:sSubPr>
              <m:e>
                <m:r>
                  <w:rPr>
                    <w:rFonts w:ascii="Cambria Math" w:hAnsi="Cambria Math"/>
                  </w:rPr>
                  <m:t>r</m:t>
                </m:r>
              </m:e>
              <m:sub>
                <m:r>
                  <w:rPr>
                    <w:rFonts w:ascii="Cambria Math" w:hAnsi="Cambria Math"/>
                  </w:rPr>
                  <m:t>e</m:t>
                </m:r>
              </m:sub>
            </m:sSub>
          </m:den>
        </m:f>
      </m:oMath>
      <w:r w:rsidRPr="00883125">
        <w:t xml:space="preserve"> represents the present face value of imputation credits. It is clear in this formula that gamma does not represent the proportion of imputation credits that might be redeemed, but the extent to which imputation credits increase the market value of equity.</w:t>
      </w:r>
    </w:p>
    <w:p w:rsidR="00C52695" w:rsidRPr="00883125" w:rsidRDefault="00C52695" w:rsidP="00C52695">
      <w:r w:rsidRPr="00883125">
        <w:t>Handley reviewed Gray's submission and considered:</w:t>
      </w:r>
      <w:r w:rsidRPr="00883125">
        <w:rPr>
          <w:rStyle w:val="FootnoteReference"/>
        </w:rPr>
        <w:footnoteReference w:id="429"/>
      </w:r>
    </w:p>
    <w:p w:rsidR="00C52695" w:rsidRPr="00883125" w:rsidRDefault="00C52695" w:rsidP="00C52695">
      <w:pPr>
        <w:pStyle w:val="AERquote"/>
      </w:pPr>
      <w:r w:rsidRPr="00883125">
        <w:t xml:space="preserve">SFG (2015 para. 124-135) also suggests that the mathematical formulae in Officer (1994) support a value interpretation of gamma but not a redemption value interpretation since: </w:t>
      </w:r>
      <w:r w:rsidRPr="00883125">
        <w:rPr>
          <w:rStyle w:val="AERtextitalic"/>
        </w:rPr>
        <w:t>“It is clear in this formula [para.127] that gamma represents … the extent to which imputation credits increase the market value of equity”</w:t>
      </w:r>
      <w:r w:rsidRPr="00883125">
        <w:t>. There is no dispute that the (market) value of credits are capitalised into stock prices – this is clear from equation (2) [in Handley's report]. However, SFG fails to see that within Officer’s framework it is the before personal tax and before personal costs value of a credit – the redemption value – which is the item being capitalised.</w:t>
      </w:r>
    </w:p>
    <w:p w:rsidR="00C52695" w:rsidRPr="00883125" w:rsidRDefault="00C52695" w:rsidP="00C52695">
      <w:r w:rsidRPr="00883125">
        <w:t>Thus, Handley appeared to agree with Gray that the formulas in Officer indicated that the value of imputation credits is capitalised into stock prices. However, Handley considers (for the reasons set out in the previous sub-section) that it is the before-personal-tax and before-personal-costs value which is capitalised into the stock price in Officer's framework. As also set out in the previous sub-section, we agree with Handley's interpretation of the Officer framework.</w:t>
      </w:r>
    </w:p>
    <w:p w:rsidR="00C52695" w:rsidRPr="00883125" w:rsidRDefault="00C52695" w:rsidP="007F6EED">
      <w:pPr>
        <w:pStyle w:val="HeadingBoldItalic"/>
      </w:pPr>
      <w:bookmarkStart w:id="244" w:name="_Toc456614307"/>
      <w:bookmarkStart w:id="245" w:name="_Toc481056684"/>
      <w:bookmarkStart w:id="246" w:name="_Toc481061478"/>
      <w:r w:rsidRPr="00883125">
        <w:t>Interpretation of gamma in textbooks</w:t>
      </w:r>
      <w:bookmarkEnd w:id="244"/>
      <w:bookmarkEnd w:id="245"/>
      <w:bookmarkEnd w:id="246"/>
    </w:p>
    <w:p w:rsidR="00C52695" w:rsidRPr="00883125" w:rsidRDefault="00C52695" w:rsidP="00C52695">
      <w:r w:rsidRPr="00883125">
        <w:t>In his June 2015 report (for Frontier), Gray stated:</w:t>
      </w:r>
      <w:r w:rsidRPr="00883125">
        <w:rPr>
          <w:rStyle w:val="FootnoteReference"/>
        </w:rPr>
        <w:footnoteReference w:id="430"/>
      </w:r>
    </w:p>
    <w:p w:rsidR="00C52695" w:rsidRPr="00883125" w:rsidRDefault="00C52695" w:rsidP="00C52695">
      <w:pPr>
        <w:pStyle w:val="AERquote"/>
      </w:pPr>
      <w:r w:rsidRPr="00883125">
        <w:t>I am unaware of any published work that interprets gamma in terms of the redemption rate.</w:t>
      </w:r>
    </w:p>
    <w:p w:rsidR="00C52695" w:rsidRPr="00883125" w:rsidRDefault="00C52695" w:rsidP="00C52695">
      <w:r w:rsidRPr="00883125">
        <w:t>However, there are several textbooks that describe gamma in a manner consistent with our understanding. For example, Peirson et al (2009):</w:t>
      </w:r>
      <w:r w:rsidRPr="00883125">
        <w:rPr>
          <w:rStyle w:val="FootnoteReference"/>
        </w:rPr>
        <w:footnoteReference w:id="431"/>
      </w:r>
    </w:p>
    <w:p w:rsidR="00C52695" w:rsidRPr="00883125" w:rsidRDefault="00C52695" w:rsidP="00C52695">
      <w:pPr>
        <w:pStyle w:val="AERquote"/>
      </w:pPr>
      <w:r w:rsidRPr="00883125">
        <w:t xml:space="preserve">Officer (1994) discussed several alternative ways of defining net cash flows and the cost of capital under imputation. One way to define the after-tax cash flows is that they are equal to the before-tax cash flows multiplied by </w:t>
      </w:r>
      <m:oMath>
        <m:d>
          <m:dPr>
            <m:ctrlPr>
              <w:rPr>
                <w:rFonts w:ascii="Cambria Math" w:hAnsi="Cambria Math"/>
              </w:rPr>
            </m:ctrlPr>
          </m:dPr>
          <m:e>
            <m:r>
              <w:rPr>
                <w:rFonts w:ascii="Cambria Math" w:hAnsi="Cambria Math"/>
              </w:rPr>
              <m:t>1-</m:t>
            </m:r>
            <m:sSub>
              <m:sSubPr>
                <m:ctrlPr>
                  <w:rPr>
                    <w:rFonts w:ascii="Cambria Math" w:hAnsi="Cambria Math"/>
                  </w:rPr>
                </m:ctrlPr>
              </m:sSubPr>
              <m:e>
                <m:r>
                  <w:rPr>
                    <w:rFonts w:ascii="Cambria Math" w:hAnsi="Cambria Math"/>
                  </w:rPr>
                  <m:t>t</m:t>
                </m:r>
              </m:e>
              <m:sub>
                <m:r>
                  <w:rPr>
                    <w:rFonts w:ascii="Cambria Math" w:hAnsi="Cambria Math"/>
                  </w:rPr>
                  <m:t>e</m:t>
                </m:r>
              </m:sub>
            </m:sSub>
          </m:e>
        </m:d>
      </m:oMath>
      <w:r w:rsidRPr="00883125">
        <w:t xml:space="preserve">, where </w:t>
      </w:r>
      <m:oMath>
        <m:sSub>
          <m:sSubPr>
            <m:ctrlPr>
              <w:rPr>
                <w:rFonts w:ascii="Cambria Math" w:hAnsi="Cambria Math"/>
              </w:rPr>
            </m:ctrlPr>
          </m:sSubPr>
          <m:e>
            <m:r>
              <w:rPr>
                <w:rFonts w:ascii="Cambria Math" w:hAnsi="Cambria Math"/>
              </w:rPr>
              <m:t>t</m:t>
            </m:r>
          </m:e>
          <m:sub>
            <m:r>
              <w:rPr>
                <w:rFonts w:ascii="Cambria Math" w:hAnsi="Cambria Math"/>
              </w:rPr>
              <m:t>e</m:t>
            </m:r>
          </m:sub>
        </m:sSub>
      </m:oMath>
      <w:r w:rsidRPr="00883125">
        <w:t xml:space="preserve"> is the </w:t>
      </w:r>
      <w:r w:rsidRPr="00883125">
        <w:rPr>
          <w:rStyle w:val="AERtextitalic"/>
        </w:rPr>
        <w:t>effective</w:t>
      </w:r>
      <w:r w:rsidRPr="00883125">
        <w:t xml:space="preserve"> company income tax rate. The effective company tax rate is </w:t>
      </w:r>
      <m:oMath>
        <m:sSub>
          <m:sSubPr>
            <m:ctrlPr>
              <w:rPr>
                <w:rFonts w:ascii="Cambria Math" w:hAnsi="Cambria Math"/>
              </w:rPr>
            </m:ctrlPr>
          </m:sSubPr>
          <m:e>
            <m:r>
              <w:rPr>
                <w:rFonts w:ascii="Cambria Math" w:hAnsi="Cambria Math"/>
              </w:rPr>
              <m:t>t</m:t>
            </m:r>
          </m:e>
          <m:sub>
            <m:r>
              <w:rPr>
                <w:rFonts w:ascii="Cambria Math" w:hAnsi="Cambria Math"/>
              </w:rPr>
              <m:t>e</m:t>
            </m:r>
          </m:sub>
        </m:sSub>
        <m: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c</m:t>
            </m:r>
          </m:sub>
        </m:sSub>
        <m:d>
          <m:dPr>
            <m:ctrlPr>
              <w:rPr>
                <w:rFonts w:ascii="Cambria Math" w:hAnsi="Cambria Math"/>
              </w:rPr>
            </m:ctrlPr>
          </m:dPr>
          <m:e>
            <m:r>
              <w:rPr>
                <w:rFonts w:ascii="Cambria Math" w:hAnsi="Cambria Math"/>
              </w:rPr>
              <m:t>1-γ</m:t>
            </m:r>
          </m:e>
        </m:d>
      </m:oMath>
      <w:r w:rsidRPr="00883125">
        <w:t xml:space="preserve">, where </w:t>
      </w:r>
      <m:oMath>
        <m:sSub>
          <m:sSubPr>
            <m:ctrlPr>
              <w:rPr>
                <w:rFonts w:ascii="Cambria Math" w:hAnsi="Cambria Math"/>
              </w:rPr>
            </m:ctrlPr>
          </m:sSubPr>
          <m:e>
            <m:r>
              <w:rPr>
                <w:rFonts w:ascii="Cambria Math" w:hAnsi="Cambria Math"/>
              </w:rPr>
              <m:t>t</m:t>
            </m:r>
          </m:e>
          <m:sub>
            <m:r>
              <w:rPr>
                <w:rFonts w:ascii="Cambria Math" w:hAnsi="Cambria Math"/>
              </w:rPr>
              <m:t>c</m:t>
            </m:r>
          </m:sub>
        </m:sSub>
      </m:oMath>
      <w:r w:rsidRPr="00883125">
        <w:t xml:space="preserve"> is the statutory company tax rate and </w:t>
      </w:r>
      <m:oMath>
        <m:r>
          <w:rPr>
            <w:rFonts w:ascii="Cambria Math" w:hAnsi="Cambria Math"/>
          </w:rPr>
          <m:t>γ</m:t>
        </m:r>
      </m:oMath>
      <w:r w:rsidRPr="00883125">
        <w:t xml:space="preserve"> represents the proportion of the tax collected from a company that is paid out to shareholders and recovered through tax credits associated with franked dividends.</w:t>
      </w:r>
    </w:p>
    <w:p w:rsidR="00C52695" w:rsidRPr="00883125" w:rsidRDefault="00C52695" w:rsidP="00C52695">
      <w:pPr>
        <w:pStyle w:val="AERquote"/>
      </w:pPr>
      <w:r w:rsidRPr="00883125">
        <w:t>…</w:t>
      </w:r>
    </w:p>
    <w:p w:rsidR="00C52695" w:rsidRPr="00883125" w:rsidRDefault="00C52695" w:rsidP="00C52695">
      <w:pPr>
        <w:pStyle w:val="AERquote"/>
      </w:pPr>
      <w:r w:rsidRPr="00883125">
        <w:t xml:space="preserve">For example, if…the company income tax rate is 30 cents in the dollar, and 60 per cent of the tax collected from the company is claimed as a credit by shareholders, then the effective company tax rate is </w:t>
      </w:r>
      <m:oMath>
        <m:r>
          <w:rPr>
            <w:rFonts w:ascii="Cambria Math" w:hAnsi="Cambria Math"/>
          </w:rPr>
          <m:t>0.30</m:t>
        </m:r>
        <m:d>
          <m:dPr>
            <m:ctrlPr>
              <w:rPr>
                <w:rFonts w:ascii="Cambria Math" w:hAnsi="Cambria Math"/>
              </w:rPr>
            </m:ctrlPr>
          </m:dPr>
          <m:e>
            <m:r>
              <w:rPr>
                <w:rFonts w:ascii="Cambria Math" w:hAnsi="Cambria Math"/>
              </w:rPr>
              <m:t>1-0.6</m:t>
            </m:r>
          </m:e>
        </m:d>
        <m:r>
          <w:rPr>
            <w:rFonts w:ascii="Cambria Math" w:hAnsi="Cambria Math"/>
          </w:rPr>
          <m:t>=0.12</m:t>
        </m:r>
      </m:oMath>
      <w:r>
        <w:t>.</w:t>
      </w:r>
      <w:r w:rsidRPr="00883125">
        <w:t>.</w:t>
      </w:r>
    </w:p>
    <w:p w:rsidR="00C52695" w:rsidRPr="00883125" w:rsidRDefault="00C52695" w:rsidP="00C52695">
      <w:r w:rsidRPr="00883125">
        <w:t>Berk et al (2014):</w:t>
      </w:r>
      <w:r w:rsidRPr="00883125">
        <w:rPr>
          <w:rStyle w:val="FootnoteReference"/>
        </w:rPr>
        <w:footnoteReference w:id="432"/>
      </w:r>
    </w:p>
    <w:p w:rsidR="00C52695" w:rsidRPr="00883125" w:rsidRDefault="00C52695" w:rsidP="00C52695">
      <w:pPr>
        <w:pStyle w:val="AERquote"/>
      </w:pPr>
      <w:r w:rsidRPr="00883125">
        <w:t>In a 1994 study, Officer shows that for valuation purposes the cost of equity under an imputation system should be adjusted by a factor equal to:</w:t>
      </w:r>
    </w:p>
    <w:p w:rsidR="00C52695" w:rsidRPr="00883125" w:rsidRDefault="007E3457" w:rsidP="00C52695">
      <w:pPr>
        <w:pStyle w:val="AERquote"/>
      </w:pPr>
      <m:oMathPara>
        <m:oMath>
          <m:f>
            <m:fPr>
              <m:ctrlPr>
                <w:rPr>
                  <w:rFonts w:ascii="Cambria Math" w:hAnsi="Cambria Math"/>
                </w:rPr>
              </m:ctrlPr>
            </m:fPr>
            <m:num>
              <m:r>
                <w:rPr>
                  <w:rFonts w:ascii="Cambria Math" w:hAnsi="Cambria Math"/>
                </w:rPr>
                <m:t>1-T</m:t>
              </m:r>
            </m:num>
            <m:den>
              <m:r>
                <w:rPr>
                  <w:rFonts w:ascii="Cambria Math" w:hAnsi="Cambria Math"/>
                </w:rPr>
                <m:t>1-T</m:t>
              </m:r>
              <m:d>
                <m:dPr>
                  <m:ctrlPr>
                    <w:rPr>
                      <w:rFonts w:ascii="Cambria Math" w:hAnsi="Cambria Math"/>
                    </w:rPr>
                  </m:ctrlPr>
                </m:dPr>
                <m:e>
                  <m:r>
                    <w:rPr>
                      <w:rFonts w:ascii="Cambria Math" w:hAnsi="Cambria Math"/>
                    </w:rPr>
                    <m:t>1-γ</m:t>
                  </m:r>
                </m:e>
              </m:d>
            </m:den>
          </m:f>
        </m:oMath>
      </m:oMathPara>
    </w:p>
    <w:p w:rsidR="00C52695" w:rsidRPr="00883125" w:rsidRDefault="00C52695" w:rsidP="00C52695">
      <w:pPr>
        <w:pStyle w:val="AERquote"/>
      </w:pPr>
      <w:r w:rsidRPr="00883125">
        <w:t xml:space="preserve">where </w:t>
      </w:r>
      <m:oMath>
        <m:r>
          <w:rPr>
            <w:rFonts w:ascii="Cambria Math" w:hAnsi="Cambria Math"/>
          </w:rPr>
          <m:t>T</m:t>
        </m:r>
      </m:oMath>
      <w:r w:rsidRPr="00883125">
        <w:t xml:space="preserve"> represents the effective corporate tax rate and </w:t>
      </w:r>
      <m:oMath>
        <m:d>
          <m:dPr>
            <m:ctrlPr>
              <w:rPr>
                <w:rFonts w:ascii="Cambria Math" w:hAnsi="Cambria Math"/>
              </w:rPr>
            </m:ctrlPr>
          </m:dPr>
          <m:e>
            <m:r>
              <w:rPr>
                <w:rFonts w:ascii="Cambria Math" w:hAnsi="Cambria Math"/>
              </w:rPr>
              <m:t>γ</m:t>
            </m:r>
          </m:e>
        </m:d>
      </m:oMath>
      <w:r w:rsidRPr="00883125">
        <w:t xml:space="preserve"> represents the proportion of tax collected from the firm that will be rebated against personal tax in the hands of shareholders.</w:t>
      </w:r>
    </w:p>
    <w:p w:rsidR="00C52695" w:rsidRPr="00883125" w:rsidRDefault="00C52695" w:rsidP="00C52695">
      <w:r w:rsidRPr="00883125">
        <w:t>Gitman et al (2011):</w:t>
      </w:r>
      <w:r w:rsidRPr="00883125">
        <w:rPr>
          <w:rStyle w:val="FootnoteReference"/>
        </w:rPr>
        <w:footnoteReference w:id="433"/>
      </w:r>
    </w:p>
    <w:p w:rsidR="00C52695" w:rsidRPr="00883125" w:rsidRDefault="00C52695" w:rsidP="00C52695">
      <w:pPr>
        <w:pStyle w:val="AERquote"/>
      </w:pPr>
      <w:r w:rsidRPr="00883125">
        <w:t xml:space="preserve">If we let </w:t>
      </w:r>
      <m:oMath>
        <m:r>
          <w:rPr>
            <w:rFonts w:ascii="Cambria Math" w:hAnsi="Cambria Math"/>
          </w:rPr>
          <m:t>γ</m:t>
        </m:r>
      </m:oMath>
      <w:r w:rsidRPr="00883125">
        <w:t xml:space="preserve"> be the proportion of company income tax that can be used by shareholders to offset their personal income tax liabilities…</w:t>
      </w:r>
    </w:p>
    <w:p w:rsidR="00C52695" w:rsidRPr="00883125" w:rsidRDefault="00C52695" w:rsidP="00C52695">
      <w:pPr>
        <w:pStyle w:val="AERquote"/>
      </w:pPr>
      <w:r w:rsidRPr="00883125">
        <w:t>…</w:t>
      </w:r>
    </w:p>
    <w:p w:rsidR="00C52695" w:rsidRPr="00883125" w:rsidRDefault="00C52695" w:rsidP="00C52695">
      <w:pPr>
        <w:pStyle w:val="AERquote"/>
      </w:pPr>
      <w:r w:rsidRPr="00883125">
        <w:t xml:space="preserve">With dividend imputation, the calculation of the weighted average cost of capital depends heavily on the estimate of </w:t>
      </w:r>
      <m:oMath>
        <m:r>
          <w:rPr>
            <w:rFonts w:ascii="Cambria Math" w:hAnsi="Cambria Math"/>
          </w:rPr>
          <m:t>γ</m:t>
        </m:r>
      </m:oMath>
      <w:r w:rsidRPr="00883125">
        <w:t xml:space="preserve">. For a good estimate of </w:t>
      </w:r>
      <m:oMath>
        <m:r>
          <w:rPr>
            <w:rFonts w:ascii="Cambria Math" w:hAnsi="Cambria Math"/>
          </w:rPr>
          <m:t>γ</m:t>
        </m:r>
      </m:oMath>
      <w:r w:rsidRPr="00883125">
        <w:t xml:space="preserve"> we would need to know the proportion of company income that has borne Australian income tax, and the proportion of the company's shareholders who were Australian residents who could benefit from dividend imputation.</w:t>
      </w:r>
    </w:p>
    <w:p w:rsidR="00C52695" w:rsidRPr="00883125" w:rsidRDefault="00C52695" w:rsidP="00C52695">
      <w:r w:rsidRPr="00883125">
        <w:t>Gray quoted approvingly from a textbook co-authored by Partington in 2000, but none of the statements quoted contradict our understanding of gamma. For instance, Gray quoted:</w:t>
      </w:r>
      <w:r w:rsidRPr="00883125">
        <w:rPr>
          <w:rStyle w:val="FootnoteReference"/>
        </w:rPr>
        <w:footnoteReference w:id="434"/>
      </w:r>
    </w:p>
    <w:p w:rsidR="00C52695" w:rsidRPr="00883125" w:rsidRDefault="00C52695" w:rsidP="00C52695">
      <w:pPr>
        <w:pStyle w:val="AERquote"/>
      </w:pPr>
      <m:oMath>
        <m:r>
          <w:rPr>
            <w:rFonts w:ascii="Cambria Math" w:hAnsi="Cambria Math"/>
          </w:rPr>
          <m:t>γ</m:t>
        </m:r>
      </m:oMath>
      <w:r w:rsidRPr="00883125">
        <w:t xml:space="preserve"> = the market value of franking credits as a percentage of face value.</w:t>
      </w:r>
    </w:p>
    <w:p w:rsidR="00C52695" w:rsidRPr="00883125" w:rsidRDefault="00C52695" w:rsidP="00C52695">
      <w:r w:rsidRPr="00883125">
        <w:t>However, there is no dispute here. As Handley explained:</w:t>
      </w:r>
      <w:r w:rsidRPr="00883125">
        <w:rPr>
          <w:rStyle w:val="FootnoteReference"/>
        </w:rPr>
        <w:footnoteReference w:id="435"/>
      </w:r>
    </w:p>
    <w:p w:rsidR="00C52695" w:rsidRPr="00883125" w:rsidRDefault="00C52695" w:rsidP="00C52695">
      <w:pPr>
        <w:pStyle w:val="AERquote"/>
      </w:pPr>
      <w:r w:rsidRPr="00883125">
        <w:t>Implicit in Officer's WACC framework (and the standard classical tax WACC framework) is the notion of market value and so the relevant measure of utilisation value is that value as determined by the market – in other words it is not the utilisation value of a credit to any single investor or the utilisation value to any single class of investors that we want but rather the utilisation value to the market as a whole. In contrast, much of the current debate appears to incorrectly suggest that market value and utilisation value are alternative concepts for this purpose.</w:t>
      </w:r>
    </w:p>
    <w:p w:rsidR="00C52695" w:rsidRPr="00883125" w:rsidRDefault="00C52695" w:rsidP="00C52695">
      <w:r w:rsidRPr="00883125">
        <w:t>Moreover, there are other references to gamma in Partington's textbook that accord more closely with the characterisation in Officer's paper:</w:t>
      </w:r>
    </w:p>
    <w:p w:rsidR="00C52695" w:rsidRPr="00883125" w:rsidRDefault="00C52695" w:rsidP="00C52695">
      <w:pPr>
        <w:pStyle w:val="AERquote"/>
      </w:pPr>
      <m:oMath>
        <m:r>
          <w:rPr>
            <w:rFonts w:ascii="Cambria Math" w:hAnsi="Cambria Math"/>
          </w:rPr>
          <m:t>γ</m:t>
        </m:r>
      </m:oMath>
      <w:r w:rsidRPr="00883125">
        <w:t xml:space="preserve"> = the proportion of corporate tax recovered by investors through imputation tax credits.</w:t>
      </w:r>
      <w:r w:rsidRPr="00883125">
        <w:rPr>
          <w:rStyle w:val="FootnoteReference"/>
        </w:rPr>
        <w:footnoteReference w:id="436"/>
      </w:r>
    </w:p>
    <w:p w:rsidR="00C52695" w:rsidRPr="00883125" w:rsidRDefault="008B34DF" w:rsidP="00C52695">
      <w:pPr>
        <w:pStyle w:val="AERquote"/>
      </w:pPr>
      <w:r>
        <w:t>…</w:t>
      </w:r>
    </w:p>
    <w:p w:rsidR="00C52695" w:rsidRPr="00883125" w:rsidRDefault="00C52695" w:rsidP="00C52695">
      <w:pPr>
        <w:pStyle w:val="AERquote"/>
      </w:pPr>
      <w:r w:rsidRPr="00883125">
        <w:t xml:space="preserve">We assume a 100 per cent dividend payout and full use of imputation credits </w:t>
      </w:r>
      <m:oMath>
        <m:d>
          <m:dPr>
            <m:ctrlPr>
              <w:rPr>
                <w:rFonts w:ascii="Cambria Math" w:hAnsi="Cambria Math"/>
              </w:rPr>
            </m:ctrlPr>
          </m:dPr>
          <m:e>
            <m:r>
              <w:rPr>
                <w:rFonts w:ascii="Cambria Math" w:hAnsi="Cambria Math"/>
              </w:rPr>
              <m:t>γ=1</m:t>
            </m:r>
          </m:e>
        </m:d>
      </m:oMath>
      <w:r w:rsidRPr="00883125">
        <w:t>…However, 100 per cent payout and full use of imputation credits are unrealistic assumptions. It is more realistic to assume that about 50 to 60 per cent of profits are paid out as dividends. Of the imputation credits attached to those dividends only about 50 to 60 per cent will be claimed by investors to offset their tax liabilities.</w:t>
      </w:r>
      <w:r w:rsidRPr="00883125">
        <w:rPr>
          <w:rStyle w:val="FootnoteReference"/>
        </w:rPr>
        <w:footnoteReference w:id="437"/>
      </w:r>
    </w:p>
    <w:p w:rsidR="00C52695" w:rsidRPr="00883125" w:rsidRDefault="00C52695" w:rsidP="00C52695">
      <w:r w:rsidRPr="00883125">
        <w:t>Gray also quoted:</w:t>
      </w:r>
      <w:r w:rsidRPr="00883125">
        <w:rPr>
          <w:rStyle w:val="FootnoteReference"/>
        </w:rPr>
        <w:footnoteReference w:id="438"/>
      </w:r>
    </w:p>
    <w:p w:rsidR="00C52695" w:rsidRPr="00883125" w:rsidRDefault="00C52695" w:rsidP="00C52695">
      <w:pPr>
        <w:pStyle w:val="AERquote"/>
      </w:pPr>
      <w:r w:rsidRPr="00883125">
        <w:t>The results have been mixed, but they suggest that the market value of franking credits is positive, but significantly less than the credit’s face value.</w:t>
      </w:r>
    </w:p>
    <w:p w:rsidR="00C52695" w:rsidRPr="00883125" w:rsidRDefault="00C52695" w:rsidP="00C52695">
      <w:pPr>
        <w:pStyle w:val="AERquote"/>
      </w:pPr>
      <w:r w:rsidRPr="00883125">
        <w:t>…</w:t>
      </w:r>
    </w:p>
    <w:p w:rsidR="00C52695" w:rsidRPr="00883125" w:rsidRDefault="00C52695" w:rsidP="00C52695">
      <w:pPr>
        <w:pStyle w:val="AERquote"/>
      </w:pPr>
      <w:r w:rsidRPr="00883125">
        <w:t>…the market value of the franking credit is likely to differ from its face value. We do not know exactly what the market value is, but the evidence suggests that franking credits are valued at a significant discount to their face value.</w:t>
      </w:r>
    </w:p>
    <w:p w:rsidR="00C52695" w:rsidRPr="00883125" w:rsidRDefault="00C52695" w:rsidP="00C52695">
      <w:r w:rsidRPr="00883125">
        <w:t>Again, there is no dispute. The estimates of the utilisation rate on which we rely are all significantly less than one, and our estimate of gamma is significantly less than one.</w:t>
      </w:r>
    </w:p>
    <w:p w:rsidR="00C52695" w:rsidRPr="00883125" w:rsidRDefault="00C52695" w:rsidP="00C52695">
      <w:r w:rsidRPr="00883125">
        <w:t>Finally, Gray quoted an explanation, with which he agreed, as to why imputation may have had an immaterial effect on the corporate cost of equity capital:</w:t>
      </w:r>
      <w:r w:rsidRPr="00883125">
        <w:rPr>
          <w:rStyle w:val="FootnoteReference"/>
        </w:rPr>
        <w:footnoteReference w:id="439"/>
      </w:r>
    </w:p>
    <w:p w:rsidR="00C52695" w:rsidRPr="00883125" w:rsidRDefault="00C52695" w:rsidP="00C52695">
      <w:pPr>
        <w:pStyle w:val="AERquote"/>
      </w:pPr>
      <w:r w:rsidRPr="00883125">
        <w:t>The impact of imputation may not have been that big. There are several reasons for this. As suggested by Bob Officer, in a small open economy like Australia, equilibrium rates of return are likely to be determined by capital flows from international investors. If so, domestic tax changes are likely to have a reduced effect, or no effect at all, on equilibrium rates of return.</w:t>
      </w:r>
    </w:p>
    <w:p w:rsidR="00C52695" w:rsidRPr="00883125" w:rsidRDefault="00C52695" w:rsidP="00C52695">
      <w:r w:rsidRPr="00883125">
        <w:t>The implications of this quote for understanding or determining gamma are unclear to us. For instance:</w:t>
      </w:r>
    </w:p>
    <w:p w:rsidR="00C52695" w:rsidRPr="001D37D5" w:rsidRDefault="00C52695" w:rsidP="008B34DF">
      <w:pPr>
        <w:pStyle w:val="AERbulletlistfirststyle"/>
      </w:pPr>
      <w:r w:rsidRPr="00883125">
        <w:t xml:space="preserve">Gray appeared elsewhere to be of the view that </w:t>
      </w:r>
      <w:r w:rsidRPr="008B34DF">
        <w:t xml:space="preserve">imputation </w:t>
      </w:r>
      <w:r w:rsidRPr="008B34DF">
        <w:rPr>
          <w:rStyle w:val="AERtextitalic"/>
          <w:i w:val="0"/>
        </w:rPr>
        <w:t>is</w:t>
      </w:r>
      <w:r w:rsidRPr="008B34DF">
        <w:t xml:space="preserve"> having</w:t>
      </w:r>
      <w:r w:rsidRPr="001D37D5">
        <w:t xml:space="preserve"> a material effect on the cost of capital. This is because he submitted that, in his view, the best estimate of the extent to which imputation credits are capitalised into stock prices per dollar of credit distributed is 0.35, and this is not immaterial.</w:t>
      </w:r>
      <w:r w:rsidRPr="001D37D5">
        <w:rPr>
          <w:rStyle w:val="FootnoteReference"/>
        </w:rPr>
        <w:footnoteReference w:id="440"/>
      </w:r>
    </w:p>
    <w:p w:rsidR="00C52695" w:rsidRPr="001D37D5" w:rsidRDefault="00C52695" w:rsidP="00C52695">
      <w:pPr>
        <w:pStyle w:val="AERbulletlistfirststyle"/>
      </w:pPr>
      <w:r w:rsidRPr="00883125">
        <w:t>The view in a recent paper co-authored by Partington did not appear to align with that in the quote:</w:t>
      </w:r>
      <w:r w:rsidRPr="001D37D5">
        <w:rPr>
          <w:rStyle w:val="FootnoteReference"/>
        </w:rPr>
        <w:footnoteReference w:id="441"/>
      </w:r>
    </w:p>
    <w:p w:rsidR="00C52695" w:rsidRPr="00883125" w:rsidRDefault="00C52695" w:rsidP="00C52695">
      <w:pPr>
        <w:pStyle w:val="AERquote"/>
      </w:pPr>
      <w:r w:rsidRPr="00883125">
        <w:t>Indeed, whether prices are set by a marginal investor, or by aggregation across investors, is an open question… It is our contention, therefore, that a policy decision should not be based on the assertion that the marginal investor setting prices in the Australian market is an overseas investor. To do so would base policy on an insecure foundation, and risks serious error.</w:t>
      </w:r>
    </w:p>
    <w:p w:rsidR="00C52695" w:rsidRPr="00CA67C0" w:rsidRDefault="00C52695" w:rsidP="007F6EED">
      <w:pPr>
        <w:pStyle w:val="HeadingBoldItalic"/>
      </w:pPr>
      <w:bookmarkStart w:id="247" w:name="_Toc456614308"/>
      <w:bookmarkStart w:id="248" w:name="_Toc481056685"/>
      <w:bookmarkStart w:id="249" w:name="_Toc481061479"/>
      <w:r w:rsidRPr="00883125">
        <w:t>Recent academic work</w:t>
      </w:r>
      <w:bookmarkEnd w:id="247"/>
      <w:bookmarkEnd w:id="248"/>
      <w:bookmarkEnd w:id="249"/>
    </w:p>
    <w:p w:rsidR="00C52695" w:rsidRPr="00CA67C0" w:rsidRDefault="00C52695" w:rsidP="00C52695">
      <w:r w:rsidRPr="00883125">
        <w:t>The recent paper co-authored by Partington has been raised in direct support of the position that the equity ownership approach is not an appropriate way to estimate the value of distributed imputation credits.</w:t>
      </w:r>
      <w:r w:rsidRPr="00CA67C0">
        <w:rPr>
          <w:rStyle w:val="FootnoteReference"/>
        </w:rPr>
        <w:footnoteReference w:id="442"/>
      </w:r>
      <w:r w:rsidRPr="00CA67C0">
        <w:t xml:space="preserve"> This paper largely draws on the existing literature and available evidence with the intention of contributing to the policy debate around the efficacy of dividend imputation.</w:t>
      </w:r>
      <w:r w:rsidRPr="00CA67C0">
        <w:rPr>
          <w:rStyle w:val="FootnoteReference"/>
        </w:rPr>
        <w:footnoteReference w:id="443"/>
      </w:r>
      <w:r w:rsidRPr="00CA67C0">
        <w:t xml:space="preserve"> While the paper does consider relevant matters, we consider that the paper raises a number of issues without making strong recommendations. Consistent with the above quote it notes:</w:t>
      </w:r>
      <w:r w:rsidRPr="00CA67C0">
        <w:rPr>
          <w:rStyle w:val="FootnoteReference"/>
        </w:rPr>
        <w:footnoteReference w:id="444"/>
      </w:r>
    </w:p>
    <w:p w:rsidR="00C52695" w:rsidRPr="00883125" w:rsidRDefault="00C52695" w:rsidP="00C52695">
      <w:pPr>
        <w:pStyle w:val="AERquote"/>
      </w:pPr>
      <w:r w:rsidRPr="00883125">
        <w:t>Whether the marginal investor or aggregation approach better describes how imputation credits become priced in equilibrium is a point of debate. The marginal investor approach might be seen as more in keeping with the ‘Economics 101’ notions of price determination, and more consistent with general equilibrium analysis under which investor demand for (and supply of) imputation credits is jointly determined with the market clearing price. As a consequence, the marginal investor approach may assist in analysing the potential effect of changes in the demand curve. By contrast, aggregating observed demands assumes that investors have found their equilibrium position given market prices [footnote 6: Monkhouse (1993) explicitly states this assumption]. It thus does not directly address how the market equilibrium emerges in the first place. Nevertheless, the aggregation approach may still provide a useful description of an existing equilibrium. In any event, the key point is that there is no clear consensus on the appropriate approach, adding another layer of uncertainty to the issue of whether imputation credits are priced.</w:t>
      </w:r>
    </w:p>
    <w:p w:rsidR="00C52695" w:rsidRPr="00883125" w:rsidRDefault="00C52695" w:rsidP="00C52695">
      <w:r w:rsidRPr="00883125">
        <w:t>As such, while the paper raises a number of points highlighted by Gray (for Frontier), we do not consider the paper provides evidence that the equity ownership approach that uses the aggregation approach to estimate the value of theta is not reasonable. Frontier has taken a number of statements from the paper that should not be read in isolation of the remainder of the paper. For example, in response to Gray's point at paragraph 189 where he states "Ainsworth, Partington and Warren (2015) note that the evidence generally suggests that the two companies do sell for the same price",</w:t>
      </w:r>
      <w:r w:rsidRPr="00883125">
        <w:rPr>
          <w:rStyle w:val="FootnoteReference"/>
        </w:rPr>
        <w:footnoteReference w:id="445"/>
      </w:r>
      <w:r w:rsidRPr="00883125">
        <w:t xml:space="preserve"> the paper makes clear this evidence needs to be treated with caution stating:</w:t>
      </w:r>
      <w:r w:rsidRPr="00883125">
        <w:rPr>
          <w:rStyle w:val="FootnoteReference"/>
        </w:rPr>
        <w:footnoteReference w:id="446"/>
      </w:r>
    </w:p>
    <w:p w:rsidR="00C52695" w:rsidRPr="00883125" w:rsidRDefault="00C52695" w:rsidP="00C52695">
      <w:pPr>
        <w:pStyle w:val="AERquote"/>
      </w:pPr>
      <w:r w:rsidRPr="00883125">
        <w:t>In contrast, examination of returns and price levels reveals little evidence that imputation credits are priced. Lajbcygier and Wheatley (2012) find that the presence of imputation credits is not associated with lower realised returns. Further, they find a positive relation between realised returns and imputation credits, which is significant under some specifications. This implies an (implausible) negative value on imputation credits. While the sign on the coefficient probably flags issues with the empirical method (see Section 4.2), it is nevertheless the case that no hint emerges that imputation credits have lowered the distribution of realised returns. Saiu, Sault and Warren (2015) find that imputation might be reflected in share prices under discounted cash flow models, at perhaps about $0.30 in the dollar. However, the imputation variable adds little explanatory power. Meanwhile, the results under the earnings yield model and portfolio sorts suggest that imputation credits are not priced, and in fact may be associated with higher earnings yields as well as lower prices relative to other valuation measure</w:t>
      </w:r>
      <w:r w:rsidR="008B34DF">
        <w:t>s.</w:t>
      </w:r>
      <w:r w:rsidRPr="00883125">
        <w:t xml:space="preserve"> The fact that the earnings yield results have the wrong sign suggests that caution needs to be applied in interpreting these findings (similar to Lajbcygier and Wheatley, 2012).</w:t>
      </w:r>
    </w:p>
    <w:p w:rsidR="00C52695" w:rsidRPr="00883125" w:rsidRDefault="00C52695" w:rsidP="00C52695">
      <w:r w:rsidRPr="00883125">
        <w:t>On the same page the paper also states in relation to some empirical evidence more generally:</w:t>
      </w:r>
      <w:r w:rsidRPr="00883125">
        <w:rPr>
          <w:rStyle w:val="FootnoteReference"/>
        </w:rPr>
        <w:footnoteReference w:id="447"/>
      </w:r>
    </w:p>
    <w:p w:rsidR="00C52695" w:rsidRDefault="00C52695" w:rsidP="00C52695">
      <w:pPr>
        <w:pStyle w:val="AERquote"/>
      </w:pPr>
      <w:r w:rsidRPr="00883125">
        <w:t>A very mixed set of results emerges from this body of research. Figure 4 (over) summarises the findings from the majority of dividend drop-off and comparative pricing studies. While a wide range of estimates emerges, these studies on balance indicate that imputation credits are partially priced. The data points in Figure 4 average 0.38, which would suggest that imputation credits are priced at about $0.38 in the dollar.</w:t>
      </w:r>
    </w:p>
    <w:p w:rsidR="00EE2785" w:rsidRPr="004D25AD" w:rsidRDefault="00EE2785" w:rsidP="00E750F8">
      <w:r w:rsidRPr="006C032A">
        <w:t xml:space="preserve">Frontier considers </w:t>
      </w:r>
      <w:r w:rsidR="00763CE4" w:rsidRPr="002B7E95">
        <w:t xml:space="preserve">that the </w:t>
      </w:r>
      <w:r w:rsidR="00763CE4" w:rsidRPr="000169CB">
        <w:t>Ainsworth, Partington and Warren (2015) paper support their posit</w:t>
      </w:r>
      <w:r w:rsidR="008B34DF">
        <w:t>i</w:t>
      </w:r>
      <w:r w:rsidR="00763CE4" w:rsidRPr="000169CB">
        <w:t>on on gamma. However</w:t>
      </w:r>
      <w:r w:rsidR="0069134C">
        <w:t>,</w:t>
      </w:r>
      <w:r w:rsidR="00763CE4" w:rsidRPr="000169CB">
        <w:t xml:space="preserve"> Lally considers that Frontier has misrepresented the views of Ainsworth, Partington and Warren (2015)</w:t>
      </w:r>
      <w:r w:rsidR="009B225F">
        <w:t>.</w:t>
      </w:r>
      <w:r w:rsidR="00E6185B" w:rsidRPr="00E6185B">
        <w:rPr>
          <w:rStyle w:val="FootnoteReference"/>
        </w:rPr>
        <w:footnoteReference w:id="448"/>
      </w:r>
      <w:r w:rsidR="009B225F">
        <w:t xml:space="preserve"> Some key find</w:t>
      </w:r>
      <w:r w:rsidR="00356933">
        <w:t>ing</w:t>
      </w:r>
      <w:r w:rsidR="009B225F">
        <w:t>s of Lally in respect to the paper are as follows:</w:t>
      </w:r>
    </w:p>
    <w:p w:rsidR="00EE2785" w:rsidRPr="00EF2DC5" w:rsidRDefault="004E4D73" w:rsidP="00E750F8">
      <w:pPr>
        <w:pStyle w:val="AERbulletlistfirststyle"/>
      </w:pPr>
      <w:r w:rsidRPr="004D25AD">
        <w:t>Frontier</w:t>
      </w:r>
      <w:r w:rsidRPr="00E85280">
        <w:t xml:space="preserve"> cites Ainsworth et al </w:t>
      </w:r>
      <w:r w:rsidRPr="002915B0">
        <w:t>in support of the claim th</w:t>
      </w:r>
      <w:r w:rsidRPr="006C6181">
        <w:t>at imputation credits do not a</w:t>
      </w:r>
      <w:r w:rsidR="007D0028" w:rsidRPr="006C6181">
        <w:t>dd to the value of a business.</w:t>
      </w:r>
      <w:r w:rsidR="0043564A">
        <w:rPr>
          <w:rStyle w:val="FootnoteReference"/>
        </w:rPr>
        <w:footnoteReference w:id="449"/>
      </w:r>
      <w:r w:rsidR="007D0028" w:rsidRPr="006C6181">
        <w:t xml:space="preserve"> </w:t>
      </w:r>
      <w:r w:rsidR="007D0028" w:rsidRPr="00DC246F">
        <w:t>Lally considers t</w:t>
      </w:r>
      <w:r w:rsidRPr="00DC246F">
        <w:t>his claim is false</w:t>
      </w:r>
      <w:r w:rsidR="007D0028" w:rsidRPr="00022C1D">
        <w:t xml:space="preserve"> as </w:t>
      </w:r>
      <w:r w:rsidRPr="00022C1D">
        <w:t xml:space="preserve">Ainsworth et al </w:t>
      </w:r>
      <w:r w:rsidRPr="00D979B2">
        <w:t xml:space="preserve">summarise evidence on the value of credits and conclude that “imputation credits are priced </w:t>
      </w:r>
      <w:r w:rsidR="007D0028" w:rsidRPr="00D979B2">
        <w:t xml:space="preserve">at about $0.38 in the dollar”. </w:t>
      </w:r>
      <w:r w:rsidRPr="00D979B2">
        <w:t>Ainsworth et al</w:t>
      </w:r>
      <w:r w:rsidR="007D0028" w:rsidRPr="00447949">
        <w:t xml:space="preserve"> </w:t>
      </w:r>
      <w:r w:rsidRPr="00447949">
        <w:t xml:space="preserve">also note that some types of studies point to no valuation impact but they are sceptical of such </w:t>
      </w:r>
      <w:r w:rsidR="007D0028" w:rsidRPr="00447949">
        <w:t>studies.</w:t>
      </w:r>
      <w:r w:rsidR="007D0028" w:rsidRPr="00EF2DC5">
        <w:rPr>
          <w:rStyle w:val="FootnoteReference"/>
        </w:rPr>
        <w:footnoteReference w:id="450"/>
      </w:r>
    </w:p>
    <w:p w:rsidR="00D719B9" w:rsidRPr="000C17A3" w:rsidRDefault="00D719B9" w:rsidP="00E750F8">
      <w:pPr>
        <w:pStyle w:val="AERbulletlistfirststyle"/>
      </w:pPr>
      <w:r w:rsidRPr="00E750F8">
        <w:t>Frontier cite</w:t>
      </w:r>
      <w:r w:rsidR="007D0028" w:rsidRPr="000C17A3">
        <w:t>s</w:t>
      </w:r>
      <w:r w:rsidRPr="00E750F8">
        <w:t xml:space="preserve"> Ainsworth et al in respect </w:t>
      </w:r>
      <w:r w:rsidR="0069134C">
        <w:t>to</w:t>
      </w:r>
      <w:r w:rsidRPr="00E750F8">
        <w:t xml:space="preserve"> the claim that Australian companies in general do not explicitly take account of imputation credits in their ass</w:t>
      </w:r>
      <w:r w:rsidR="007D0028" w:rsidRPr="00E750F8">
        <w:t>essment of investment projects.</w:t>
      </w:r>
      <w:r w:rsidR="0043564A" w:rsidRPr="0043564A">
        <w:rPr>
          <w:rStyle w:val="FootnoteReference"/>
        </w:rPr>
        <w:t xml:space="preserve"> </w:t>
      </w:r>
      <w:r w:rsidR="0043564A" w:rsidRPr="0043564A">
        <w:rPr>
          <w:rStyle w:val="FootnoteReference"/>
        </w:rPr>
        <w:footnoteReference w:id="451"/>
      </w:r>
      <w:r w:rsidRPr="00E750F8">
        <w:t xml:space="preserve"> However,</w:t>
      </w:r>
      <w:r w:rsidR="007D0028" w:rsidRPr="000C17A3">
        <w:t xml:space="preserve"> Lally considers that</w:t>
      </w:r>
      <w:r w:rsidRPr="00E750F8">
        <w:t xml:space="preserve"> Frontier fails to note that Ainsworth et al argues that there are potentially offsetting errors from not explicitly accounting for credits and that this mitigates the consequences of not explicitly accounting for them.</w:t>
      </w:r>
      <w:r w:rsidR="00BD2C2C" w:rsidRPr="000C17A3">
        <w:rPr>
          <w:rStyle w:val="FootnoteReference"/>
        </w:rPr>
        <w:footnoteReference w:id="452"/>
      </w:r>
    </w:p>
    <w:p w:rsidR="004D45D1" w:rsidRDefault="00D719B9" w:rsidP="00E750F8">
      <w:pPr>
        <w:pStyle w:val="AERbulletlistfirststyle"/>
      </w:pPr>
      <w:r w:rsidRPr="00E750F8">
        <w:t>Frontier cite</w:t>
      </w:r>
      <w:r w:rsidR="007D0028" w:rsidRPr="000C17A3">
        <w:t>s</w:t>
      </w:r>
      <w:r w:rsidRPr="00E750F8">
        <w:t xml:space="preserve"> Ainsworth et al in support of the claim that the AER’s a</w:t>
      </w:r>
      <w:r w:rsidR="0069134C" w:rsidRPr="0069134C">
        <w:t>pproach to estimating the utili</w:t>
      </w:r>
      <w:r w:rsidR="0069134C">
        <w:t>s</w:t>
      </w:r>
      <w:r w:rsidRPr="00E750F8">
        <w:t>ation rate is “inconsistent with standard economic concepts of equilibrium”.</w:t>
      </w:r>
      <w:r w:rsidR="0043564A" w:rsidRPr="0043564A">
        <w:rPr>
          <w:rStyle w:val="FootnoteReference"/>
        </w:rPr>
        <w:t xml:space="preserve"> </w:t>
      </w:r>
      <w:r w:rsidR="0043564A" w:rsidRPr="0043564A">
        <w:rPr>
          <w:rStyle w:val="FootnoteReference"/>
        </w:rPr>
        <w:footnoteReference w:id="453"/>
      </w:r>
      <w:r w:rsidR="002B7973" w:rsidRPr="000C17A3">
        <w:t xml:space="preserve"> Lally considers the</w:t>
      </w:r>
      <w:r w:rsidR="004D45D1">
        <w:t xml:space="preserve"> concerns raised </w:t>
      </w:r>
      <w:r w:rsidR="002B7973" w:rsidRPr="000C17A3">
        <w:t>by Ainsworth et al about the aggregation approach are in</w:t>
      </w:r>
      <w:r w:rsidR="004D45D1">
        <w:t>valid</w:t>
      </w:r>
      <w:r w:rsidR="002B7973" w:rsidRPr="000C17A3">
        <w:t>, and therefore do not support Frontier’s claim that the aggregation approach is “inconsistent with standard economic concepts of equilibrium”</w:t>
      </w:r>
      <w:r w:rsidR="002B7973" w:rsidRPr="00245EB8">
        <w:t>.</w:t>
      </w:r>
      <w:r w:rsidR="005C46D8" w:rsidRPr="005C46D8">
        <w:rPr>
          <w:rStyle w:val="FootnoteReference"/>
        </w:rPr>
        <w:footnoteReference w:id="454"/>
      </w:r>
      <w:r w:rsidR="002B7973" w:rsidRPr="00245EB8">
        <w:t xml:space="preserve"> </w:t>
      </w:r>
      <w:r w:rsidR="004D45D1">
        <w:t>Irrespective, we do not consider the Ainsworth paper clearly expresses a view</w:t>
      </w:r>
      <w:r w:rsidR="00356933">
        <w:t xml:space="preserve"> that</w:t>
      </w:r>
      <w:r w:rsidR="004D45D1">
        <w:t xml:space="preserve"> the aggregation method is not correct, rather it expresses the view that the aggregation method may correctly capture equilibrium even if it does not describe how </w:t>
      </w:r>
      <w:r w:rsidR="00581D1C">
        <w:t>equilibrium</w:t>
      </w:r>
      <w:r w:rsidR="004D45D1">
        <w:t xml:space="preserve"> is reached.</w:t>
      </w:r>
      <w:r w:rsidR="004D45D1">
        <w:rPr>
          <w:rStyle w:val="FootnoteReference"/>
        </w:rPr>
        <w:footnoteReference w:id="455"/>
      </w:r>
    </w:p>
    <w:p w:rsidR="00EC4C53" w:rsidRDefault="002B7973" w:rsidP="00E750F8">
      <w:pPr>
        <w:pStyle w:val="AERbulletlistfirststyle"/>
      </w:pPr>
      <w:r w:rsidRPr="00E750F8">
        <w:t>Frontier adds the claim that the “AER’s aggregation approach simply counts up the number of credits that are distributed to domestic investors and assumes that those investors value all credits at the full face amount and that this is reflected in the equilibrium sha</w:t>
      </w:r>
      <w:r w:rsidR="007D0028" w:rsidRPr="00E750F8">
        <w:t>re price and cost of capital”.</w:t>
      </w:r>
      <w:r w:rsidR="0043564A" w:rsidRPr="0043564A">
        <w:rPr>
          <w:rStyle w:val="FootnoteReference"/>
        </w:rPr>
        <w:t xml:space="preserve"> </w:t>
      </w:r>
      <w:r w:rsidR="0043564A" w:rsidRPr="0043564A">
        <w:rPr>
          <w:rStyle w:val="FootnoteReference"/>
        </w:rPr>
        <w:footnoteReference w:id="456"/>
      </w:r>
      <w:r w:rsidR="007D0028" w:rsidRPr="00E750F8">
        <w:t xml:space="preserve"> </w:t>
      </w:r>
      <w:r w:rsidR="000C17A3" w:rsidRPr="000C17A3">
        <w:t>However, Lally notes that t</w:t>
      </w:r>
      <w:r w:rsidRPr="00E750F8">
        <w:t>he AER adopts the Officer (1994) CAPM, as</w:t>
      </w:r>
      <w:r w:rsidR="007D0028" w:rsidRPr="00E750F8">
        <w:t xml:space="preserve"> do all Australian regulators. </w:t>
      </w:r>
      <w:r w:rsidRPr="00E750F8">
        <w:t xml:space="preserve">Having made that choice, </w:t>
      </w:r>
      <w:r w:rsidR="002D0F57">
        <w:t xml:space="preserve">Lally considers </w:t>
      </w:r>
      <w:r w:rsidRPr="00E750F8">
        <w:t>the AER must adopt definitions for parameters within that model in accordance with a rigorous derivation of the</w:t>
      </w:r>
      <w:r w:rsidR="000C17A3" w:rsidRPr="000C17A3">
        <w:t xml:space="preserve"> model. This leads to the utili</w:t>
      </w:r>
      <w:r w:rsidR="000C17A3">
        <w:t>s</w:t>
      </w:r>
      <w:r w:rsidRPr="00E750F8">
        <w:t>ation rate being defined as the weighte</w:t>
      </w:r>
      <w:r w:rsidR="000C17A3" w:rsidRPr="000C17A3">
        <w:t>d average over investors’ utili</w:t>
      </w:r>
      <w:r w:rsidR="000C17A3">
        <w:t>s</w:t>
      </w:r>
      <w:r w:rsidRPr="00E750F8">
        <w:t>ation rates for imputation credits.</w:t>
      </w:r>
      <w:r w:rsidR="00C13700" w:rsidRPr="00E750F8">
        <w:t xml:space="preserve"> </w:t>
      </w:r>
      <w:r w:rsidRPr="00E750F8">
        <w:t xml:space="preserve">Consistent with Australian tax law, </w:t>
      </w:r>
      <w:r w:rsidR="000C17A3" w:rsidRPr="000C17A3">
        <w:t>the AER (sensibly) adopts utili</w:t>
      </w:r>
      <w:r w:rsidR="000C17A3">
        <w:t>s</w:t>
      </w:r>
      <w:r w:rsidRPr="00E750F8">
        <w:t>ation rates of 1 and 0 for local and foreign investors respectively.</w:t>
      </w:r>
      <w:r w:rsidR="00BD2C2C" w:rsidRPr="000C17A3">
        <w:rPr>
          <w:rStyle w:val="FootnoteReference"/>
        </w:rPr>
        <w:footnoteReference w:id="457"/>
      </w:r>
    </w:p>
    <w:p w:rsidR="00C52695" w:rsidRPr="00883125" w:rsidRDefault="00C52695" w:rsidP="00C52695">
      <w:pPr>
        <w:pStyle w:val="Heading9"/>
      </w:pPr>
      <w:bookmarkStart w:id="250" w:name="_Toc486843689"/>
      <w:bookmarkStart w:id="251" w:name="_Toc456614309"/>
      <w:bookmarkStart w:id="252" w:name="_Toc462823323"/>
      <w:bookmarkStart w:id="253" w:name="_Toc487014077"/>
      <w:bookmarkEnd w:id="250"/>
      <w:r w:rsidRPr="00883125">
        <w:t>Gray's comments on the Monkhouse framework</w:t>
      </w:r>
      <w:bookmarkEnd w:id="251"/>
      <w:bookmarkEnd w:id="252"/>
      <w:bookmarkEnd w:id="253"/>
    </w:p>
    <w:p w:rsidR="00C52695" w:rsidRPr="00883125" w:rsidRDefault="00C52695" w:rsidP="00C52695">
      <w:pPr>
        <w:numPr>
          <w:ilvl w:val="0"/>
          <w:numId w:val="24"/>
        </w:numPr>
      </w:pPr>
      <w:r w:rsidRPr="00883125">
        <w:t xml:space="preserve">As discussed in section </w:t>
      </w:r>
      <w:r w:rsidRPr="00883125">
        <w:fldChar w:fldCharType="begin"/>
      </w:r>
      <w:r w:rsidRPr="00883125">
        <w:instrText xml:space="preserve"> REF _Ref400965182 \r \h </w:instrText>
      </w:r>
      <w:r w:rsidRPr="00883125">
        <w:fldChar w:fldCharType="separate"/>
      </w:r>
      <w:r w:rsidR="007E3457">
        <w:t>A.6</w:t>
      </w:r>
      <w:r w:rsidRPr="00883125">
        <w:fldChar w:fldCharType="end"/>
      </w:r>
      <w:r w:rsidRPr="00883125">
        <w:t>, we consider that:</w:t>
      </w:r>
    </w:p>
    <w:p w:rsidR="00C52695" w:rsidRPr="00883125" w:rsidRDefault="00C52695" w:rsidP="00C52695">
      <w:pPr>
        <w:pStyle w:val="AERbulletlistfirststyle"/>
      </w:pPr>
      <w:r w:rsidRPr="00883125">
        <w:t>The Officer framework provides the basis for the value of imputation credits adjustment in the NER/NGR.</w:t>
      </w:r>
    </w:p>
    <w:p w:rsidR="00C52695" w:rsidRPr="00883125" w:rsidRDefault="00C52695" w:rsidP="00C52695">
      <w:pPr>
        <w:pStyle w:val="AERbulletlistfirststyle"/>
      </w:pPr>
      <w:r w:rsidRPr="00883125">
        <w:t>Monkhouse extends the Officer framework to a non-perpetuity setting, and shows that—assuming retained credits have no value—gamma from the Officer framework effectively equals the product of:</w:t>
      </w:r>
    </w:p>
    <w:p w:rsidR="00C52695" w:rsidRPr="00883125" w:rsidRDefault="00C52695" w:rsidP="00C52695">
      <w:pPr>
        <w:pStyle w:val="AERbulletlistsecondstyle"/>
      </w:pPr>
      <w:r w:rsidRPr="00883125">
        <w:t>the distribution rate, and</w:t>
      </w:r>
    </w:p>
    <w:p w:rsidR="00C52695" w:rsidRPr="00883125" w:rsidRDefault="00C52695" w:rsidP="00C52695">
      <w:pPr>
        <w:pStyle w:val="AERbulletlistsecondstyle"/>
      </w:pPr>
      <m:oMath>
        <m:r>
          <w:rPr>
            <w:rFonts w:ascii="Cambria Math" w:hAnsi="Cambria Math"/>
          </w:rPr>
          <m:t>θ</m:t>
        </m:r>
      </m:oMath>
      <w:r w:rsidRPr="00883125">
        <w:t xml:space="preserve"> (theta), which is the utilisation value to investors in the market per dollar of imputation credits distributed (the 'utilisation rate'), which in equilibrium is equal to the weighted average, by wealth and risk aversion, of the individual utilisation rates of investors in the market.</w:t>
      </w:r>
    </w:p>
    <w:p w:rsidR="00C52695" w:rsidRPr="00883125" w:rsidRDefault="00C52695" w:rsidP="00C52695">
      <w:r w:rsidRPr="00883125">
        <w:t>In his May 2014 and February 2015 reports, Gray (for SFG) provided a discussion of the class of CAPM employed by Monkhouse (and related literature).</w:t>
      </w:r>
      <w:r w:rsidRPr="00883125">
        <w:rPr>
          <w:rStyle w:val="FootnoteReference"/>
        </w:rPr>
        <w:footnoteReference w:id="458"/>
      </w:r>
      <w:r w:rsidRPr="00883125">
        <w:t xml:space="preserve"> Gray concluded that our recognition of foreign investors breaches the assumptions of this class of CAPM, and therefore we cannot estimate the value of imputation credits using the definition of theta in equilibrium from the Monkhouse framework. Gray's June 2015 report (for Frontier), upon which a number of service providers rely, holds the same view and notes the inconsistency between Lally and Handley's advice on this point</w:t>
      </w:r>
      <w:r w:rsidR="008B34DF">
        <w:t>.</w:t>
      </w:r>
      <w:r w:rsidRPr="00883125">
        <w:rPr>
          <w:rStyle w:val="FootnoteReference"/>
        </w:rPr>
        <w:footnoteReference w:id="459"/>
      </w:r>
      <w:r w:rsidR="002E6000">
        <w:t>Gray's December 2016 report continues to express the same view.</w:t>
      </w:r>
      <w:r w:rsidR="002E6000">
        <w:rPr>
          <w:rStyle w:val="FootnoteReference"/>
        </w:rPr>
        <w:footnoteReference w:id="460"/>
      </w:r>
    </w:p>
    <w:p w:rsidR="00C52695" w:rsidRPr="00883125" w:rsidRDefault="00C52695" w:rsidP="00C52695">
      <w:r w:rsidRPr="00883125">
        <w:t xml:space="preserve">Handley responded to Gray's view in his September 2014 and April 2015 reports and his response is equally applicable to the June 2015 </w:t>
      </w:r>
      <w:r w:rsidR="002E6000">
        <w:t xml:space="preserve">and December 2016 </w:t>
      </w:r>
      <w:r w:rsidRPr="00883125">
        <w:t>report</w:t>
      </w:r>
      <w:r w:rsidR="002E6000">
        <w:t>s</w:t>
      </w:r>
      <w:r w:rsidRPr="00883125">
        <w:t xml:space="preserve"> by Gray (for Frontier). He disagrees with Gray's view, and considers reasonable our use of:</w:t>
      </w:r>
      <w:r w:rsidRPr="00883125">
        <w:rPr>
          <w:rStyle w:val="FootnoteReference"/>
        </w:rPr>
        <w:footnoteReference w:id="461"/>
      </w:r>
    </w:p>
    <w:p w:rsidR="00C52695" w:rsidRPr="00883125" w:rsidRDefault="00C52695" w:rsidP="00C52695">
      <w:pPr>
        <w:pStyle w:val="AERbulletlistfirststyle"/>
      </w:pPr>
      <w:r w:rsidRPr="00883125">
        <w:t>the definition of theta from the Monkhouse framework, and</w:t>
      </w:r>
    </w:p>
    <w:p w:rsidR="00C52695" w:rsidRPr="00883125" w:rsidRDefault="00C52695" w:rsidP="00C52695">
      <w:pPr>
        <w:pStyle w:val="AERbulletlistfirststyle"/>
      </w:pPr>
      <w:r w:rsidRPr="00883125">
        <w:t>the equity ownership approach to estimate theta.</w:t>
      </w:r>
    </w:p>
    <w:p w:rsidR="00C52695" w:rsidRPr="00883125" w:rsidRDefault="00C52695" w:rsidP="00C52695">
      <w:r w:rsidRPr="00883125">
        <w:t>In the remainder of this section we identify what we consider to be the key points of this debate, and their implications for our estimation of the value of imputation credits.</w:t>
      </w:r>
    </w:p>
    <w:p w:rsidR="00C52695" w:rsidRPr="00883125" w:rsidRDefault="00C52695" w:rsidP="00C52695">
      <w:r w:rsidRPr="00883125">
        <w:t>Gray's key point appears to be that:</w:t>
      </w:r>
      <w:r w:rsidRPr="00883125">
        <w:rPr>
          <w:rStyle w:val="FootnoteReference"/>
        </w:rPr>
        <w:footnoteReference w:id="462"/>
      </w:r>
    </w:p>
    <w:p w:rsidR="00C52695" w:rsidRPr="00883125" w:rsidRDefault="00C52695" w:rsidP="00C52695">
      <w:pPr>
        <w:pStyle w:val="AERquote"/>
      </w:pPr>
      <w:r w:rsidRPr="00883125">
        <w:t>[The relevant class of CAPM models] derive an equilibrium by solving a market clearing condition. This involves noting that:</w:t>
      </w:r>
    </w:p>
    <w:p w:rsidR="00C52695" w:rsidRPr="00883125" w:rsidRDefault="00C52695" w:rsidP="00C52695">
      <w:pPr>
        <w:pStyle w:val="AERquote"/>
      </w:pPr>
      <w:r w:rsidRPr="00883125">
        <w:t xml:space="preserve">(a) All of the </w:t>
      </w:r>
      <w:r w:rsidRPr="00883125">
        <w:rPr>
          <w:rStyle w:val="AERtextitalic"/>
        </w:rPr>
        <w:t>m</w:t>
      </w:r>
      <w:r w:rsidRPr="00883125">
        <w:t xml:space="preserve"> investors must invest all of their wealth across the </w:t>
      </w:r>
      <w:r w:rsidRPr="00883125">
        <w:rPr>
          <w:rStyle w:val="AERtextitalic"/>
        </w:rPr>
        <w:t>n</w:t>
      </w:r>
      <w:r w:rsidRPr="00883125">
        <w:t xml:space="preserve"> assets and nothing else; and</w:t>
      </w:r>
    </w:p>
    <w:p w:rsidR="00C52695" w:rsidRPr="00883125" w:rsidRDefault="00C52695" w:rsidP="00C52695">
      <w:pPr>
        <w:pStyle w:val="AERquote"/>
      </w:pPr>
      <w:r w:rsidRPr="00883125">
        <w:t xml:space="preserve">(b) All of the </w:t>
      </w:r>
      <w:r w:rsidRPr="00883125">
        <w:rPr>
          <w:rStyle w:val="AERtextitalic"/>
        </w:rPr>
        <w:t>n</w:t>
      </w:r>
      <w:r w:rsidRPr="00883125">
        <w:t xml:space="preserve"> assets must be owned entirely by the </w:t>
      </w:r>
      <w:r w:rsidRPr="00883125">
        <w:rPr>
          <w:rStyle w:val="AERtextitalic"/>
        </w:rPr>
        <w:t>m</w:t>
      </w:r>
      <w:r w:rsidRPr="00883125">
        <w:t xml:space="preserve"> investors and no one else. </w:t>
      </w:r>
    </w:p>
    <w:p w:rsidR="00C52695" w:rsidRPr="00883125" w:rsidRDefault="00C52695" w:rsidP="00C52695">
      <w:r w:rsidRPr="00883125">
        <w:t>This suggests that the only legitimate application of the CAPM is one which recognises all investors and assets in the world (that is, an international CAPM). However, CAPMs have been employed in contexts other than the international one. Handley suggested that the key consideration is whether assets and investors that are outside the model are relevant to the determination of the prices of assets inside the model:</w:t>
      </w:r>
      <w:r w:rsidRPr="00883125">
        <w:rPr>
          <w:rStyle w:val="FootnoteReference"/>
        </w:rPr>
        <w:footnoteReference w:id="463"/>
      </w:r>
    </w:p>
    <w:p w:rsidR="00C52695" w:rsidRPr="00883125" w:rsidRDefault="00C52695" w:rsidP="00C52695">
      <w:pPr>
        <w:pStyle w:val="AERquote"/>
      </w:pPr>
      <w:r w:rsidRPr="00883125">
        <w:t xml:space="preserve">[SFG’s claim that a representative investor equilibrium does not apply in the AER’s framework] – which appears to be SFG’s major criticism of this approach – is not correct since it is based on SFG’s incorrect assertion that the market clearing condition invoked in the CAPM class of equilibrium asset pricing models is based on an assumption that the </w:t>
      </w:r>
      <w:r w:rsidRPr="00883125">
        <w:rPr>
          <w:rStyle w:val="AERtextitalic"/>
        </w:rPr>
        <w:t>m</w:t>
      </w:r>
      <w:r w:rsidRPr="00883125">
        <w:t xml:space="preserve"> investors in the model invest all their wealth across the </w:t>
      </w:r>
      <w:r w:rsidRPr="00883125">
        <w:rPr>
          <w:rStyle w:val="AERtextitalic"/>
        </w:rPr>
        <w:t>n</w:t>
      </w:r>
      <w:r w:rsidRPr="00883125">
        <w:t xml:space="preserve"> assets in the model and nothing else.</w:t>
      </w:r>
    </w:p>
    <w:p w:rsidR="00C52695" w:rsidRPr="00883125" w:rsidRDefault="00C52695" w:rsidP="00C52695">
      <w:pPr>
        <w:pStyle w:val="AERquote"/>
      </w:pPr>
      <w:r w:rsidRPr="00883125">
        <w:t>But the CAPM makes no such assumption – it is SFG who does.</w:t>
      </w:r>
    </w:p>
    <w:p w:rsidR="00C52695" w:rsidRPr="00883125" w:rsidRDefault="00C52695" w:rsidP="00C52695">
      <w:pPr>
        <w:pStyle w:val="AERquote"/>
      </w:pPr>
      <w:r w:rsidRPr="00883125">
        <w:t>An implication of SFG’s assertion is that one could validly use a “domestic” version of the CAPM say to price U.S. stocks only if you assume that investors in the U.S. stock market hold no other assets except U.S. stocks. Such an assumption would be clearly implausible.</w:t>
      </w:r>
    </w:p>
    <w:p w:rsidR="00C52695" w:rsidRPr="00883125" w:rsidRDefault="00C52695" w:rsidP="00C52695">
      <w:pPr>
        <w:pStyle w:val="AERquote"/>
      </w:pPr>
      <w:r w:rsidRPr="00883125">
        <w:t>An alternative and less extreme assumption which is implicit in the use of a “domestic” version of the CAPM is that any assets outside the model and any investors outside the model are not relevant for determining the prices of the assets inside the model. This is equivalent to saying that the system is “closed” by definition – everything that matters is inside the model and anything outside the model does not matter – which means a standard market clearing condition can indeed be invoked and a valid equilibrium can be found. There is nothing in the Copeland and Rosenberg statements quoted in SFG (2015) which is inconsistent with this approach.</w:t>
      </w:r>
    </w:p>
    <w:p w:rsidR="00C52695" w:rsidRPr="00883125" w:rsidRDefault="00C52695" w:rsidP="00C52695">
      <w:r w:rsidRPr="00883125">
        <w:t>Therefore, it would seem that the criticisms of our use of the definition of theta from the Monkhouse framework, and our responses to those criticisms, might be summarised as follows:</w:t>
      </w:r>
    </w:p>
    <w:p w:rsidR="00C52695" w:rsidRPr="00883125" w:rsidRDefault="00C52695" w:rsidP="00C52695">
      <w:pPr>
        <w:pStyle w:val="AERbulletlistfirststyle"/>
      </w:pPr>
      <w:r w:rsidRPr="00883125">
        <w:t>By not using all assets and investors in the world, we are breaching a fundamental condition required by CAPMs to derive an equilibrium value. However, CAPMs have been used in contexts other than the international one, and therefore we are not convinced that this criticism presents grounds to disregard these models.</w:t>
      </w:r>
    </w:p>
    <w:p w:rsidR="00C52695" w:rsidRPr="001D37D5" w:rsidRDefault="00C52695" w:rsidP="00C52695">
      <w:pPr>
        <w:pStyle w:val="AERbulletlistfirststyle"/>
        <w:rPr>
          <w:rStyle w:val="AERtexthighlight"/>
        </w:rPr>
      </w:pPr>
      <w:r w:rsidRPr="00883125">
        <w:t>The following implicit assumption in our approach is unreasonable: that the foreign asset holdings of (both Australian and foreign) investors in Australian assets are not relevant to those investors' valuation of Australian assets. Gray's view is that the assumption is unreasonable.</w:t>
      </w:r>
      <w:r w:rsidRPr="001D37D5">
        <w:rPr>
          <w:rStyle w:val="FootnoteReference"/>
        </w:rPr>
        <w:footnoteReference w:id="464"/>
      </w:r>
      <w:r w:rsidRPr="001D37D5">
        <w:t xml:space="preserve"> Handley's view is, if the assumption is considered unreasonable, 'then one should bring the outside assets and outside investors into the model, for example, by using an international CAPM'.</w:t>
      </w:r>
      <w:r w:rsidRPr="001D37D5">
        <w:rPr>
          <w:rStyle w:val="FootnoteReference"/>
        </w:rPr>
        <w:footnoteReference w:id="465"/>
      </w:r>
      <w:r w:rsidRPr="001D37D5">
        <w:t xml:space="preserve"> However, neither Gray nor Handley suggested that we employ an international CAPM. Moreover, Handley clearly set out his view that our use of the definition of theta from the Monkhouse framework is reasonable.</w:t>
      </w:r>
      <w:r w:rsidRPr="001D37D5">
        <w:rPr>
          <w:rStyle w:val="FootnoteReference"/>
        </w:rPr>
        <w:footnoteReference w:id="466"/>
      </w:r>
    </w:p>
    <w:p w:rsidR="00C52695" w:rsidRPr="00883125" w:rsidRDefault="00C52695" w:rsidP="00C52695">
      <w:r w:rsidRPr="00883125">
        <w:t xml:space="preserve">In conclusion, we are not convinced that we should disregard the definition of theta from the Monkhouse framework when estimating the value of imputation credits. </w:t>
      </w:r>
    </w:p>
    <w:p w:rsidR="00C52695" w:rsidRPr="00883125" w:rsidRDefault="00C52695" w:rsidP="00F40012">
      <w:pPr>
        <w:pStyle w:val="Heading8"/>
        <w:keepNext/>
      </w:pPr>
      <w:bookmarkStart w:id="254" w:name="_Ref414623120"/>
      <w:bookmarkStart w:id="255" w:name="_Toc436049449"/>
      <w:bookmarkStart w:id="256" w:name="_Toc451842254"/>
      <w:bookmarkStart w:id="257" w:name="_Toc451938309"/>
      <w:bookmarkStart w:id="258" w:name="_Toc456614310"/>
      <w:bookmarkStart w:id="259" w:name="_Toc462823324"/>
      <w:bookmarkStart w:id="260" w:name="_Toc487014078"/>
      <w:r w:rsidRPr="00883125">
        <w:t>Further issues relating to the utilisation rate</w:t>
      </w:r>
      <w:bookmarkEnd w:id="254"/>
      <w:bookmarkEnd w:id="255"/>
      <w:bookmarkEnd w:id="256"/>
      <w:bookmarkEnd w:id="257"/>
      <w:bookmarkEnd w:id="258"/>
      <w:bookmarkEnd w:id="259"/>
      <w:bookmarkEnd w:id="260"/>
    </w:p>
    <w:p w:rsidR="00C52695" w:rsidRPr="00883125" w:rsidRDefault="00C52695" w:rsidP="00F40012">
      <w:pPr>
        <w:keepNext/>
        <w:numPr>
          <w:ilvl w:val="0"/>
          <w:numId w:val="24"/>
        </w:numPr>
      </w:pPr>
      <w:r w:rsidRPr="00883125">
        <w:t xml:space="preserve">As discussed in section </w:t>
      </w:r>
      <w:r w:rsidRPr="00883125">
        <w:fldChar w:fldCharType="begin"/>
      </w:r>
      <w:r w:rsidRPr="00883125">
        <w:instrText xml:space="preserve"> REF _Ref400965182 \r \h </w:instrText>
      </w:r>
      <w:r w:rsidRPr="00883125">
        <w:fldChar w:fldCharType="separate"/>
      </w:r>
      <w:r w:rsidR="007E3457">
        <w:t>A.6</w:t>
      </w:r>
      <w:r w:rsidRPr="00883125">
        <w:fldChar w:fldCharType="end"/>
      </w:r>
      <w:r w:rsidRPr="00883125">
        <w:t xml:space="preserve">, we define the utilisation rate as the utilisation value to investors in the market per dollar of imputation credits distributed. As also discussed in section </w:t>
      </w:r>
      <w:r w:rsidRPr="00883125">
        <w:fldChar w:fldCharType="begin"/>
      </w:r>
      <w:r w:rsidRPr="00883125">
        <w:instrText xml:space="preserve"> REF _Ref400965182 \r \h </w:instrText>
      </w:r>
      <w:r w:rsidRPr="00883125">
        <w:fldChar w:fldCharType="separate"/>
      </w:r>
      <w:r w:rsidR="007E3457">
        <w:t>A.6</w:t>
      </w:r>
      <w:r w:rsidRPr="00883125">
        <w:fldChar w:fldCharType="end"/>
      </w:r>
      <w:r w:rsidRPr="00883125">
        <w:t>, the utilisation rate is equal to the weighted average, by wealth and risk aversion, of the utilisation rates of individual investors. For an ‘eligible’ investor, each dollar of imputation credit received can be fully returned to the investor in the form of a reduction in tax payable or a refund. Therefore, we consider that eligible investors have a utilisation rate of 1 (on a before-personal-tax and before-personal-costs basis). Conversely, ‘ineligible’ investors cannot utilise imputation credits and have a utilisation rate of 0. It follows that the utilisation rate reflects the extent to which investors can utilise the imputation credits they receive to reduce their tax or get a refund.</w:t>
      </w:r>
    </w:p>
    <w:p w:rsidR="00C52695" w:rsidRDefault="00C52695" w:rsidP="00C52695">
      <w:pPr>
        <w:numPr>
          <w:ilvl w:val="0"/>
          <w:numId w:val="24"/>
        </w:numPr>
      </w:pPr>
      <w:r>
        <w:t>This is supported by Lally who considers that within the Officer Framework model, the utilisation rate is a weighted average over the utilisation rate for imputation credits by individual investors and these utilisation rates are 1 if investors can use the credits and zero otherwise.</w:t>
      </w:r>
      <w:r>
        <w:rPr>
          <w:rStyle w:val="FootnoteReference"/>
        </w:rPr>
        <w:footnoteReference w:id="467"/>
      </w:r>
    </w:p>
    <w:p w:rsidR="00C52695" w:rsidRPr="00883125" w:rsidRDefault="00C52695" w:rsidP="00C52695">
      <w:pPr>
        <w:numPr>
          <w:ilvl w:val="0"/>
          <w:numId w:val="24"/>
        </w:numPr>
      </w:pPr>
      <w:r w:rsidRPr="00883125">
        <w:t>In this section we provide further support for our position on the utilisation rate. In particular, we:</w:t>
      </w:r>
    </w:p>
    <w:p w:rsidR="00C52695" w:rsidRPr="00883125" w:rsidRDefault="00C52695" w:rsidP="00C52695">
      <w:pPr>
        <w:pStyle w:val="AERbulletlistfirststyle"/>
      </w:pPr>
      <w:r w:rsidRPr="00883125">
        <w:t xml:space="preserve">explain how our position is consistent with the basis of the building block framework </w:t>
      </w:r>
    </w:p>
    <w:p w:rsidR="00C52695" w:rsidRPr="00883125" w:rsidRDefault="00C52695" w:rsidP="00C52695">
      <w:pPr>
        <w:pStyle w:val="AERbulletlistfirststyle"/>
      </w:pPr>
      <w:r w:rsidRPr="00883125">
        <w:t>contrast our position with that of the service providers, including with reference to factors they considered should be reflected in the utilisation rate, and</w:t>
      </w:r>
    </w:p>
    <w:p w:rsidR="00C52695" w:rsidRPr="00883125" w:rsidRDefault="00C52695" w:rsidP="00C52695">
      <w:pPr>
        <w:pStyle w:val="AERbulletlistfirststyle"/>
      </w:pPr>
      <w:r w:rsidRPr="00883125">
        <w:t>respond to NERA's view.</w:t>
      </w:r>
    </w:p>
    <w:p w:rsidR="00C52695" w:rsidRPr="00883125" w:rsidRDefault="00C52695" w:rsidP="00C52695">
      <w:pPr>
        <w:pStyle w:val="Heading9"/>
      </w:pPr>
      <w:bookmarkStart w:id="261" w:name="_Ref401748758"/>
      <w:bookmarkStart w:id="262" w:name="_Toc456614311"/>
      <w:bookmarkStart w:id="263" w:name="_Toc462823325"/>
      <w:bookmarkStart w:id="264" w:name="_Toc487014079"/>
      <w:r w:rsidRPr="00883125">
        <w:t>Consistency with the building block framework</w:t>
      </w:r>
      <w:bookmarkEnd w:id="261"/>
      <w:bookmarkEnd w:id="262"/>
      <w:bookmarkEnd w:id="263"/>
      <w:bookmarkEnd w:id="264"/>
    </w:p>
    <w:p w:rsidR="00C52695" w:rsidRPr="00883125" w:rsidRDefault="00C52695" w:rsidP="00C52695">
      <w:pPr>
        <w:numPr>
          <w:ilvl w:val="0"/>
          <w:numId w:val="24"/>
        </w:numPr>
      </w:pPr>
      <w:r w:rsidRPr="00883125">
        <w:t>To be consistent with the building block framework, the utilisation rate should reflect the before-personal-tax and before-personal-costs value of imputation credits to investors. In a before-personal-tax and before-personal-costs framework, an investor that is eligible to fully utilise imputation credits should value each dollar of imputation credits received at one dollar (that is, have a utilisation rate of 1).</w:t>
      </w:r>
    </w:p>
    <w:p w:rsidR="00C52695" w:rsidRPr="00883125" w:rsidRDefault="00C52695" w:rsidP="00C52695">
      <w:pPr>
        <w:numPr>
          <w:ilvl w:val="0"/>
          <w:numId w:val="24"/>
        </w:numPr>
      </w:pPr>
      <w:r w:rsidRPr="00883125">
        <w:t>This consideration is supported by Handley's advice on the basis of the regulatory (building block) framework:</w:t>
      </w:r>
      <w:r w:rsidRPr="00883125">
        <w:rPr>
          <w:rStyle w:val="FootnoteReference"/>
        </w:rPr>
        <w:footnoteReference w:id="468"/>
      </w:r>
      <w:r w:rsidRPr="00883125">
        <w:t xml:space="preserve"> </w:t>
      </w:r>
    </w:p>
    <w:p w:rsidR="00C52695" w:rsidRPr="00883125" w:rsidRDefault="00C52695" w:rsidP="00C52695">
      <w:pPr>
        <w:pStyle w:val="AERquote"/>
      </w:pPr>
      <w:r w:rsidRPr="00883125">
        <w:t>The post-tax basis of the regulatory framework can be more fully described as an after-company-before-personal-tax framework. In other words, cash flows and returns are to be measured after company taxes but before personal taxes. By definition, this means that allowed revenues should include compensation for corporate taxes incurred by the regulated firm but not for personal taxes incurred by the firm’s shareholders. Similarly, allowed revenues should include compensation for prudent, efficient costs incurred by the regulated firm but not for costs (including personal transactions costs) incurred at the shareholder level. Note, this does not mean that personal taxes and costs are being ignored or assumed not to exist – rather there is no need to explicitly include them in the modelling framework.</w:t>
      </w:r>
    </w:p>
    <w:p w:rsidR="00C52695" w:rsidRPr="00883125" w:rsidRDefault="00C52695" w:rsidP="00C52695">
      <w:pPr>
        <w:numPr>
          <w:ilvl w:val="0"/>
          <w:numId w:val="24"/>
        </w:numPr>
      </w:pPr>
      <w:r w:rsidRPr="00883125">
        <w:t>Handley also referred specifically to the basis on which the utilisation rate should be estimated:</w:t>
      </w:r>
      <w:r w:rsidRPr="00883125">
        <w:rPr>
          <w:rStyle w:val="FootnoteReference"/>
        </w:rPr>
        <w:footnoteReference w:id="469"/>
      </w:r>
    </w:p>
    <w:p w:rsidR="00C52695" w:rsidRPr="00883125" w:rsidRDefault="00C52695" w:rsidP="00C52695">
      <w:pPr>
        <w:pStyle w:val="AERquote"/>
      </w:pPr>
      <w:r w:rsidRPr="00883125">
        <w:t>Since the objective is to estimate the after-company-before-personal-tax value of a distributed imputation credit and also to avoid compensating the regulated firm for transactions costs incurred at the shareholder level then the particular estimation methodology should allow for these factors – in other words, ideally we want the value of credits before administrative costs, personal taxes and diversification costs.</w:t>
      </w:r>
    </w:p>
    <w:p w:rsidR="00C52695" w:rsidRPr="00883125" w:rsidRDefault="00C52695" w:rsidP="00C52695">
      <w:r w:rsidRPr="00883125">
        <w:t>The service providers consider our interpretation of the utilisation rate conceptually incorrect and inconsistent with the requirements of the NER/NGR</w:t>
      </w:r>
      <w:r>
        <w:t xml:space="preserve"> and the NEO/NGO</w:t>
      </w:r>
      <w:r w:rsidRPr="00883125">
        <w:t>.</w:t>
      </w:r>
      <w:r w:rsidRPr="00883125">
        <w:rPr>
          <w:rStyle w:val="FootnoteReference"/>
        </w:rPr>
        <w:footnoteReference w:id="470"/>
      </w:r>
      <w:r w:rsidRPr="00883125">
        <w:t xml:space="preserve"> They submit</w:t>
      </w:r>
      <w:r>
        <w:t>ted that we are</w:t>
      </w:r>
      <w:r w:rsidRPr="00883125">
        <w:t xml:space="preserve"> required to estimate the value of imputation credits, not the expected utilisation value of distributed credits, or a measure of investor's eligibility to utilise those credits.</w:t>
      </w:r>
      <w:r w:rsidRPr="00883125">
        <w:rPr>
          <w:rStyle w:val="FootnoteReference"/>
        </w:rPr>
        <w:footnoteReference w:id="471"/>
      </w:r>
      <w:r w:rsidRPr="00883125">
        <w:t xml:space="preserve"> </w:t>
      </w:r>
      <w:r>
        <w:t>Further</w:t>
      </w:r>
      <w:r w:rsidRPr="00883125">
        <w:t>, a number of service providers submitted:</w:t>
      </w:r>
      <w:r w:rsidRPr="00883125">
        <w:rPr>
          <w:rStyle w:val="FootnoteReference"/>
        </w:rPr>
        <w:footnoteReference w:id="472"/>
      </w:r>
    </w:p>
    <w:p w:rsidR="00C52695" w:rsidRPr="00883125" w:rsidRDefault="00C52695" w:rsidP="00C52695">
      <w:pPr>
        <w:pStyle w:val="AERquote"/>
      </w:pPr>
      <w:r w:rsidRPr="00883125">
        <w:t>It is certainly true that theta must reflect the value of imputation credits to investors. However it is unusual for theta to be defined in a way that excludes the effect of certain factors that may impact on value (and which will be reflected in market value measures), such as personal costs.</w:t>
      </w:r>
    </w:p>
    <w:p w:rsidR="00C52695" w:rsidRDefault="00C52695" w:rsidP="00C52695">
      <w:r>
        <w:t>Frontier submits that the value of distributed imputation credits can only be estimated using a market based approach such as dividend drop-off studies and simultaneous pricing analysis.</w:t>
      </w:r>
      <w:r>
        <w:rPr>
          <w:rStyle w:val="FootnoteReference"/>
        </w:rPr>
        <w:footnoteReference w:id="473"/>
      </w:r>
      <w:r>
        <w:t xml:space="preserve"> Frontier considers that such an approach is consistent with the regulatory framework.</w:t>
      </w:r>
      <w:r>
        <w:rPr>
          <w:rStyle w:val="FootnoteReference"/>
        </w:rPr>
        <w:footnoteReference w:id="474"/>
      </w:r>
    </w:p>
    <w:p w:rsidR="00C52695" w:rsidRPr="00883125" w:rsidRDefault="00C52695" w:rsidP="00C52695">
      <w:r w:rsidRPr="00883125">
        <w:t xml:space="preserve">We disagree. We consider our approach is consistent with the NER/NGR. We have previously noted in the Guideline and in our prior decisions, and maintain in this </w:t>
      </w:r>
      <w:r w:rsidR="003C1824">
        <w:t xml:space="preserve">draft </w:t>
      </w:r>
      <w:r w:rsidRPr="00883125">
        <w:t>decision, that the Officer framework provides the basis for the rate of return framework in the NER/NGR.</w:t>
      </w:r>
      <w:r w:rsidRPr="00883125">
        <w:rPr>
          <w:rStyle w:val="FootnoteReference"/>
        </w:rPr>
        <w:footnoteReference w:id="475"/>
      </w:r>
      <w:r w:rsidRPr="00883125">
        <w:t xml:space="preserve"> This point has not been contested by the service providers or their consultants. If the Officer framework provides the basis for the rate of return framework in the NER/NGR, then it is reasonable—if not necessary—to estimate gamma in a manner consistent with Officer. Therefore, we have considered whether Officer's framework is intended to reflect factors such as personal taxes and personal costs when determining the rate of return. </w:t>
      </w:r>
      <w:r>
        <w:t xml:space="preserve">We consider that it is not, and that </w:t>
      </w:r>
      <w:r w:rsidRPr="00883125">
        <w:t>Handley's</w:t>
      </w:r>
      <w:r>
        <w:t xml:space="preserve"> and Lally's</w:t>
      </w:r>
      <w:r w:rsidRPr="00883125">
        <w:t xml:space="preserve"> advice </w:t>
      </w:r>
      <w:r>
        <w:t>supports our approach</w:t>
      </w:r>
      <w:r w:rsidRPr="00883125">
        <w:t xml:space="preserve">. Gray (for both SFG and Frontier) disagrees, but as discussed in section </w:t>
      </w:r>
      <w:r w:rsidRPr="00883125">
        <w:fldChar w:fldCharType="begin"/>
      </w:r>
      <w:r w:rsidRPr="00883125">
        <w:instrText xml:space="preserve"> REF _Ref414028398 \r \h </w:instrText>
      </w:r>
      <w:r w:rsidRPr="00883125">
        <w:fldChar w:fldCharType="separate"/>
      </w:r>
      <w:r w:rsidR="007E3457">
        <w:t>A.7.3</w:t>
      </w:r>
      <w:r w:rsidRPr="00883125">
        <w:fldChar w:fldCharType="end"/>
      </w:r>
      <w:r w:rsidRPr="00883125">
        <w:t>, Gray's interpretation is unconvincing to us.</w:t>
      </w:r>
      <w:r w:rsidR="00F730F4">
        <w:t xml:space="preserve"> The relevance of personal cost i</w:t>
      </w:r>
      <w:r w:rsidR="003C5E38">
        <w:t>s</w:t>
      </w:r>
      <w:r w:rsidR="00F730F4">
        <w:t xml:space="preserve"> further discussed in section </w:t>
      </w:r>
      <w:r w:rsidR="00F730F4">
        <w:fldChar w:fldCharType="begin"/>
      </w:r>
      <w:r w:rsidR="00F730F4">
        <w:instrText xml:space="preserve"> REF _Ref475361170 \r \h </w:instrText>
      </w:r>
      <w:r w:rsidR="00F730F4">
        <w:fldChar w:fldCharType="separate"/>
      </w:r>
      <w:r w:rsidR="007E3457">
        <w:t>A.8.4</w:t>
      </w:r>
      <w:r w:rsidR="00F730F4">
        <w:fldChar w:fldCharType="end"/>
      </w:r>
      <w:r w:rsidR="005F6361">
        <w:t xml:space="preserve"> below.</w:t>
      </w:r>
    </w:p>
    <w:p w:rsidR="00C52695" w:rsidRPr="00883125" w:rsidRDefault="00C52695" w:rsidP="00C52695">
      <w:r w:rsidRPr="00883125">
        <w:t xml:space="preserve">Put another way, our approach to estimating the value of imputation credits recognises that this parameter does not exist in isolation. That is, the NER/NGR </w:t>
      </w:r>
      <w:r w:rsidR="00F730F4" w:rsidRPr="00883125">
        <w:t>employs</w:t>
      </w:r>
      <w:r w:rsidRPr="00883125">
        <w:t xml:space="preserve"> the building block framework to determine a revenue allowance that contributes to the achievement of the NEO/NGO. The building block framework employs the Officer framework to determine a rate of return that contributes to meeting the NEO/NGO, and gamma forms part of the Officer framework. We consider that proper regard to the NER/NGR's use of the Officer framework best promotes the objectives and requirements of the NER/NGR.</w:t>
      </w:r>
    </w:p>
    <w:p w:rsidR="00C52695" w:rsidRPr="00883125" w:rsidRDefault="00C52695" w:rsidP="001453E4">
      <w:pPr>
        <w:rPr>
          <w:rStyle w:val="AERbody"/>
        </w:rPr>
      </w:pPr>
      <w:r w:rsidRPr="00883125">
        <w:rPr>
          <w:rStyle w:val="AERbody"/>
        </w:rPr>
        <w:t>Handley supports our approach and has explicitly stated that the AER's definition of theta does correspond to a "market value" on a before personal taxes and before personal costs basis:</w:t>
      </w:r>
      <w:r w:rsidRPr="00883125">
        <w:rPr>
          <w:rStyle w:val="FootnoteReference"/>
        </w:rPr>
        <w:footnoteReference w:id="476"/>
      </w:r>
    </w:p>
    <w:p w:rsidR="00C52695" w:rsidRPr="00C52695" w:rsidRDefault="00C52695" w:rsidP="00C52695">
      <w:pPr>
        <w:pStyle w:val="AERquote"/>
        <w:rPr>
          <w:rFonts w:eastAsiaTheme="minorHAnsi"/>
        </w:rPr>
      </w:pPr>
      <w:r w:rsidRPr="005764F6">
        <w:t>When used in everyday language, the meaning of the term “value” is generally well understood. However, in a cost of capital context, the term value is potentially ambiguous. Value can be used to refer to a value before taxes or a value after taxes. It can refer to a value before costs or a value after costs. The term “rate of return” (or discount rate) is similarly potentially ambiguous. A return can be measured or defined before taxes or after taxes. A return can also be measured or defined before costs or after costs.</w:t>
      </w:r>
    </w:p>
    <w:p w:rsidR="00C52695" w:rsidRPr="005764F6" w:rsidRDefault="00C52695" w:rsidP="00C52695">
      <w:pPr>
        <w:pStyle w:val="AERquote"/>
      </w:pPr>
      <w:r w:rsidRPr="005764F6">
        <w:t>This is why it is very important to be absolutely precise about how the key inputs of a WACC analysis – cash flow and discount rate – are defined and to ensure that they are defined on the same basis.</w:t>
      </w:r>
    </w:p>
    <w:p w:rsidR="00C52695" w:rsidRPr="005764F6" w:rsidRDefault="00C52695" w:rsidP="00C52695">
      <w:pPr>
        <w:pStyle w:val="AERquote"/>
      </w:pPr>
      <w:r w:rsidRPr="005764F6">
        <w:t>The AER definition of theta does indeed correspond to a market value (as in “worth to investors”) interpretation of theta if value is taken here to mean the value of imputation credits before personal taxes and before personal costs. This interpretation is neither novel nor new. It comes directly from the seminal 1994 paper by Officer.</w:t>
      </w:r>
    </w:p>
    <w:p w:rsidR="00C52695" w:rsidRPr="00883125" w:rsidRDefault="002E6000" w:rsidP="00C52695">
      <w:pPr>
        <w:rPr>
          <w:rStyle w:val="AERbody"/>
        </w:rPr>
      </w:pPr>
      <w:r>
        <w:rPr>
          <w:rStyle w:val="AERbody"/>
        </w:rPr>
        <w:t>G</w:t>
      </w:r>
      <w:r w:rsidR="00C52695" w:rsidRPr="00883125">
        <w:rPr>
          <w:rStyle w:val="AERbody"/>
        </w:rPr>
        <w:t>iven the discussion above that indicates why we consider our definition of theta is an estimate of the value of imputation credits to investors in the market before personal taxes and personal transactions costs, we consider there is little in the service providers position that imputation credits should either be interpreted as the value of distributed credits, or the proportion of distributed credits likely to be redeemed by investors. Handley also states with respect to the alleged difference between the value of imputation credits and the redemption value:</w:t>
      </w:r>
      <w:r w:rsidR="00C52695" w:rsidRPr="00883125">
        <w:rPr>
          <w:rStyle w:val="FootnoteReference"/>
        </w:rPr>
        <w:footnoteReference w:id="477"/>
      </w:r>
    </w:p>
    <w:p w:rsidR="00C52695" w:rsidRPr="00C52695" w:rsidRDefault="00C52695" w:rsidP="00C52695">
      <w:pPr>
        <w:pStyle w:val="AERquote"/>
        <w:rPr>
          <w:rFonts w:eastAsiaTheme="minorHAnsi"/>
        </w:rPr>
      </w:pPr>
      <w:r w:rsidRPr="005764F6">
        <w:t xml:space="preserve">There is no either-or decision to be made here. The value of distributed credits and the proportion of credits redeemed are the same thing when one uses the proper definition of “value” in relation to theta (and gamma). Specifically, theta is the value of a dollar of distributed credits before personal taxes and before personal costs. In this case, the value of the credits and the proportion of the credits redeemed are one and the same thing. This is why Officer (1994) uses both descriptions interchangeably when referring to gamma in his seminal paper. </w:t>
      </w:r>
    </w:p>
    <w:p w:rsidR="00C52695" w:rsidRPr="00883125" w:rsidRDefault="00C52695" w:rsidP="00C52695">
      <w:pPr>
        <w:rPr>
          <w:rStyle w:val="AERbody"/>
        </w:rPr>
      </w:pPr>
      <w:r w:rsidRPr="00883125">
        <w:rPr>
          <w:rStyle w:val="AERbody"/>
        </w:rPr>
        <w:t>Handley also states:</w:t>
      </w:r>
      <w:r w:rsidRPr="00883125">
        <w:rPr>
          <w:rStyle w:val="FootnoteReference"/>
        </w:rPr>
        <w:footnoteReference w:id="478"/>
      </w:r>
    </w:p>
    <w:p w:rsidR="00C52695" w:rsidRDefault="00C52695" w:rsidP="00C52695">
      <w:pPr>
        <w:pStyle w:val="AERquote"/>
      </w:pPr>
      <w:r w:rsidRPr="005764F6">
        <w:t>SFG (2015 para. 124-135) also suggests that the mathematical formulae in Officer (1994) support a value interpretation of gamma but not a redemption value interpretation since: “It is clear in this formula [para.127] that gamma represents … the extent to which imputation credits increase the market value of equity”. There is no dispute that the (market) value of credits are capitalised into stock prices – this is clear from equation (2) above. However, SFG fails to see that within Officer’s framework it is the before personal tax and before personal costs value of a credit – the redemption value – which is the item being capitalised.</w:t>
      </w:r>
    </w:p>
    <w:p w:rsidR="00D35DB1" w:rsidRDefault="002E6000" w:rsidP="00D35DB1">
      <w:pPr>
        <w:numPr>
          <w:ilvl w:val="0"/>
          <w:numId w:val="24"/>
        </w:numPr>
      </w:pPr>
      <w:r>
        <w:t xml:space="preserve">Finally, we note that </w:t>
      </w:r>
      <w:r w:rsidRPr="002E6000">
        <w:t xml:space="preserve">the Full Federal Court in its May 2017 decision </w:t>
      </w:r>
      <w:r w:rsidR="00D35DB1">
        <w:t xml:space="preserve">found that </w:t>
      </w:r>
      <w:r w:rsidR="00D35DB1" w:rsidRPr="00D35DB1">
        <w:t>that the expression "the value of imputation credits" is to be construed as a whole rather than limiting attention to the word "value"</w:t>
      </w:r>
      <w:r w:rsidR="00D35DB1" w:rsidRPr="00D35DB1">
        <w:rPr>
          <w:rStyle w:val="FootnoteReference"/>
        </w:rPr>
        <w:footnoteReference w:id="479"/>
      </w:r>
      <w:r w:rsidR="00D35DB1">
        <w:t xml:space="preserve"> and stated:</w:t>
      </w:r>
      <w:r w:rsidR="00D35DB1">
        <w:rPr>
          <w:rStyle w:val="FootnoteReference"/>
        </w:rPr>
        <w:footnoteReference w:id="480"/>
      </w:r>
    </w:p>
    <w:p w:rsidR="002E6000" w:rsidRPr="002E6000" w:rsidRDefault="00D35DB1" w:rsidP="00D35DB1">
      <w:pPr>
        <w:pStyle w:val="AERquote"/>
      </w:pPr>
      <w:r>
        <w:t xml:space="preserve">We accept the AER's submission that the context is the determination of a regulated return usign a post-tax revenue model based on a nominal vanilla WACC. We accept the aER's submission that the Rules require consistency in the way the relevant building blocks interact, that is, a post-company tax and pre-personal tax and personal costs basis. We also nto that the nature of gamma is an estiamte to be used in a model. </w:t>
      </w:r>
      <w:r w:rsidRPr="00D35DB1">
        <w:t xml:space="preserve"> </w:t>
      </w:r>
    </w:p>
    <w:p w:rsidR="00C52695" w:rsidRPr="00883125" w:rsidRDefault="00C52695" w:rsidP="00C52695">
      <w:pPr>
        <w:pStyle w:val="Heading9"/>
      </w:pPr>
      <w:bookmarkStart w:id="265" w:name="_Ref450298425"/>
      <w:bookmarkStart w:id="266" w:name="_Ref450300692"/>
      <w:bookmarkStart w:id="267" w:name="_Ref450840388"/>
      <w:bookmarkStart w:id="268" w:name="_Toc456614312"/>
      <w:bookmarkStart w:id="269" w:name="_Toc462823326"/>
      <w:bookmarkStart w:id="270" w:name="_Toc487014080"/>
      <w:r w:rsidRPr="00883125">
        <w:t>Consistency with other allowed rate of return parameters</w:t>
      </w:r>
      <w:bookmarkEnd w:id="265"/>
      <w:bookmarkEnd w:id="266"/>
      <w:bookmarkEnd w:id="267"/>
      <w:bookmarkEnd w:id="268"/>
      <w:bookmarkEnd w:id="269"/>
      <w:bookmarkEnd w:id="270"/>
    </w:p>
    <w:p w:rsidR="00C52695" w:rsidRPr="00883125" w:rsidRDefault="00C52695" w:rsidP="00C52695">
      <w:r w:rsidRPr="00883125">
        <w:t xml:space="preserve">We consider we are estimating the value of imputation credits consistently with the other allowed rate of return parameters on a post company tax basis before personal taxes and personal costs. </w:t>
      </w:r>
    </w:p>
    <w:p w:rsidR="0087471D" w:rsidRDefault="00E37976" w:rsidP="00C52695">
      <w:r w:rsidRPr="00E37976">
        <w:t>Several service providers submitted a new report from Frontier.</w:t>
      </w:r>
      <w:r w:rsidR="00D35DB1">
        <w:rPr>
          <w:rStyle w:val="FootnoteReference"/>
        </w:rPr>
        <w:footnoteReference w:id="481"/>
      </w:r>
      <w:r w:rsidRPr="00E37976">
        <w:t xml:space="preserve"> In the new report, Frontier argues that because the other terms</w:t>
      </w:r>
      <w:r>
        <w:t xml:space="preserve"> </w:t>
      </w:r>
      <w:r w:rsidRPr="00E37976">
        <w:t>in the MRP (dividends and capital gains) are market values, the market value of imputation credits must be added in the "grossing up" process</w:t>
      </w:r>
      <w:r>
        <w:t xml:space="preserve"> to </w:t>
      </w:r>
      <w:r w:rsidR="00D12039">
        <w:t>reflect the total return to equity holders</w:t>
      </w:r>
      <w:r w:rsidRPr="00E37976">
        <w:t>.</w:t>
      </w:r>
      <w:r w:rsidR="00DA22CC">
        <w:rPr>
          <w:rStyle w:val="FootnoteReference"/>
        </w:rPr>
        <w:footnoteReference w:id="482"/>
      </w:r>
      <w:r w:rsidRPr="00E37976">
        <w:t xml:space="preserve">  </w:t>
      </w:r>
      <w:r w:rsidR="005F3F18">
        <w:t>We disagree.</w:t>
      </w:r>
      <w:r w:rsidR="00C52695" w:rsidRPr="005764F6">
        <w:t xml:space="preserve"> </w:t>
      </w:r>
      <w:r w:rsidR="005F3F18">
        <w:t>W</w:t>
      </w:r>
      <w:r w:rsidR="00C52695" w:rsidRPr="005764F6">
        <w:t>hen estimating the MRP</w:t>
      </w:r>
      <w:r w:rsidR="00C52695">
        <w:t>,</w:t>
      </w:r>
      <w:r w:rsidR="00C52695" w:rsidRPr="005764F6">
        <w:t xml:space="preserve"> the dividend yield component is determined by the face value of dividends where one dollar of dividends paid by the company is valued at one dollar to the investor. We do not account for the personal costs and personal taxes associated with cash dividends when estimating the MRP using observed historical market returns. </w:t>
      </w:r>
      <w:r w:rsidR="005F3F18">
        <w:t xml:space="preserve">This is supported by Lally. In his new report to the AER Lally </w:t>
      </w:r>
      <w:r w:rsidR="00096343">
        <w:t>notes</w:t>
      </w:r>
      <w:r w:rsidR="005F3F18">
        <w:t xml:space="preserve"> that the dividends used in MRP calculation are the pre-personal tax </w:t>
      </w:r>
      <w:r w:rsidR="00096343">
        <w:t xml:space="preserve">and transaction costs </w:t>
      </w:r>
      <w:r w:rsidR="005F3F18">
        <w:t>payments, not market value (</w:t>
      </w:r>
      <w:r w:rsidR="0087471D">
        <w:t>which will be affected by the personal tax rate on dividends relative to capital gains, and transaction costs).</w:t>
      </w:r>
      <w:r w:rsidR="0087471D">
        <w:rPr>
          <w:rStyle w:val="FootnoteReference"/>
        </w:rPr>
        <w:footnoteReference w:id="483"/>
      </w:r>
      <w:r w:rsidR="00815C5D">
        <w:t xml:space="preserve"> </w:t>
      </w:r>
    </w:p>
    <w:p w:rsidR="00C52695" w:rsidRPr="005764F6" w:rsidRDefault="00C52695" w:rsidP="00C52695">
      <w:r w:rsidRPr="005764F6">
        <w:t>By contrast, dividend drop-off studies estimate the value one dollar of distributed cash dividends at less than one dollar (in the range of eighty one cents to ninety three cents in the case of SFG's study).</w:t>
      </w:r>
      <w:r w:rsidRPr="007B2969">
        <w:rPr>
          <w:rStyle w:val="FootnoteReference"/>
        </w:rPr>
        <w:footnoteReference w:id="484"/>
      </w:r>
      <w:r w:rsidRPr="005764F6">
        <w:t xml:space="preserve"> This highlights that dividend drop off studies are not estimating a post-</w:t>
      </w:r>
      <w:r>
        <w:t xml:space="preserve">company pre-personal </w:t>
      </w:r>
      <w:r w:rsidRPr="005764F6">
        <w:t>tax return (which is the full face value of one dollar per one dollar of dividends distributed). Therefore, given imputation credits are also post tax income (like dividends), estimates of the value of imputation credits from these studies will require an adjustment to convert them to a post-</w:t>
      </w:r>
      <w:r>
        <w:t xml:space="preserve">company pre-personal </w:t>
      </w:r>
      <w:r w:rsidRPr="005764F6">
        <w:t>tax return. Absent such an adjustment they are not appropriate to use as estimates of the post-</w:t>
      </w:r>
      <w:r>
        <w:t xml:space="preserve">company pre-personal </w:t>
      </w:r>
      <w:r w:rsidRPr="005764F6">
        <w:t>tax value of distributed imputation credits for use in the Officer Framework underpinning the rules.</w:t>
      </w:r>
    </w:p>
    <w:p w:rsidR="00C52695" w:rsidRPr="005764F6" w:rsidRDefault="00C52695" w:rsidP="00C52695">
      <w:r w:rsidRPr="005764F6">
        <w:t>When estimating the MRP we do not use a ninety cent value per one dollar face value of dividends. Doing so would significantly reduce the MRP estimate and would be inappropriate. The incorrect post tax valuation of cash dividends from dividend drop off studies is most likely driven by differential personal tax of dividend income and capital gains. As noted above, the correct post</w:t>
      </w:r>
      <w:r>
        <w:t xml:space="preserve"> (company)</w:t>
      </w:r>
      <w:r w:rsidRPr="005764F6">
        <w:t xml:space="preserve"> tax (pre-personal tax and personal costs) value of dividends is clearly one dollar per dollar of dividends distributed and not ninety cents or less as implied by the SFG study. The undervaluation relative to the full face value is likely primarily driven by investors valuing capital gains more highly than dividend income as capital gains are generally taxed at a concessional personal tax rate.</w:t>
      </w:r>
      <w:r w:rsidRPr="00A51232">
        <w:rPr>
          <w:rStyle w:val="FootnoteReference"/>
        </w:rPr>
        <w:footnoteReference w:id="485"/>
      </w:r>
      <w:r w:rsidRPr="005764F6">
        <w:t xml:space="preserve"> We consider that the incorrect post tax valuation of cash dividends in SFG's dividend drop of study will also be reflected it the estimates of the value of imputation credits. This is because imputation credits are also taxed as ordinary income like cash dividends. Therefore, the uncorrected estimate of the value of imputation credits from a dividend drop off study is not an appropriate post tax value to use in our post (corporate) tax regulatory framework which is based on the Officer Framework.</w:t>
      </w:r>
      <w:r w:rsidRPr="00A51232">
        <w:rPr>
          <w:rStyle w:val="FootnoteReference"/>
        </w:rPr>
        <w:footnoteReference w:id="486"/>
      </w:r>
      <w:r w:rsidRPr="005764F6">
        <w:t xml:space="preserve"> It neither reflects the post-tax cost faced by the regulated businesses, nor the post-tax value received by investors. This is further discussed in section </w:t>
      </w:r>
      <w:r w:rsidRPr="005764F6">
        <w:fldChar w:fldCharType="begin"/>
      </w:r>
      <w:r w:rsidRPr="005764F6">
        <w:instrText xml:space="preserve"> REF _Ref435171205 \r \h  \* MERGEFORMAT </w:instrText>
      </w:r>
      <w:r w:rsidRPr="005764F6">
        <w:fldChar w:fldCharType="separate"/>
      </w:r>
      <w:r w:rsidR="007E3457">
        <w:t>A.15.3</w:t>
      </w:r>
      <w:r w:rsidRPr="005764F6">
        <w:fldChar w:fldCharType="end"/>
      </w:r>
      <w:r w:rsidRPr="005764F6">
        <w:t xml:space="preserve">, where it is shown that the pre-personal tax value of an imputation credit is equal to the face </w:t>
      </w:r>
      <w:r w:rsidR="005F6361">
        <w:t>value of the imputation credit.</w:t>
      </w:r>
    </w:p>
    <w:p w:rsidR="00C52695" w:rsidRPr="00883125" w:rsidRDefault="00C52695" w:rsidP="00C52695">
      <w:r w:rsidRPr="00883125">
        <w:t xml:space="preserve">Under the Officer 1994 framework </w:t>
      </w:r>
      <w:r>
        <w:t>we are</w:t>
      </w:r>
      <w:r w:rsidRPr="00883125">
        <w:t xml:space="preserve"> effectively assessing the regulated business at the company level (post company tax and pre personal tax and pre personal costs) and a dollar of dividends costs the regulated business one dollar and benefits the shareholder by one dollar. The same argument holds true for imputation credits</w:t>
      </w:r>
      <w:r>
        <w:t xml:space="preserve"> distributed to eligible domestic investors</w:t>
      </w:r>
      <w:r w:rsidRPr="00883125">
        <w:t xml:space="preserve">. The issues with dividend drop off studies are further discussed in section </w:t>
      </w:r>
      <w:r w:rsidRPr="00883125">
        <w:fldChar w:fldCharType="begin"/>
      </w:r>
      <w:r w:rsidRPr="00883125">
        <w:instrText xml:space="preserve"> REF _Ref435171205 \r \h </w:instrText>
      </w:r>
      <w:r w:rsidRPr="00883125">
        <w:fldChar w:fldCharType="separate"/>
      </w:r>
      <w:r w:rsidR="007E3457">
        <w:t>A.15.3</w:t>
      </w:r>
      <w:r w:rsidRPr="00883125">
        <w:fldChar w:fldCharType="end"/>
      </w:r>
      <w:r w:rsidRPr="00883125">
        <w:t>.</w:t>
      </w:r>
    </w:p>
    <w:p w:rsidR="00C52695" w:rsidRPr="005764F6" w:rsidRDefault="001247E2" w:rsidP="00C52695">
      <w:r w:rsidRPr="001247E2">
        <w:t xml:space="preserve">Frontier </w:t>
      </w:r>
      <w:r w:rsidR="00A344C5">
        <w:t>in its new repor</w:t>
      </w:r>
      <w:r w:rsidR="008E7B6F">
        <w:t>t</w:t>
      </w:r>
      <w:r w:rsidR="00A344C5">
        <w:t xml:space="preserve"> </w:t>
      </w:r>
      <w:r w:rsidRPr="001247E2">
        <w:t>claims that</w:t>
      </w:r>
      <w:r w:rsidR="00A344C5">
        <w:t xml:space="preserve"> the </w:t>
      </w:r>
      <w:r>
        <w:t xml:space="preserve">value </w:t>
      </w:r>
      <w:r w:rsidR="00A344C5">
        <w:t xml:space="preserve">of imputation credits </w:t>
      </w:r>
      <w:r>
        <w:t>estimate</w:t>
      </w:r>
      <w:r w:rsidR="00A344C5">
        <w:t>d</w:t>
      </w:r>
      <w:r>
        <w:t xml:space="preserve"> from market studies should be used given this is the same approach that is used to estimate every other WACC parameter.</w:t>
      </w:r>
      <w:r>
        <w:rPr>
          <w:rStyle w:val="FootnoteReference"/>
        </w:rPr>
        <w:footnoteReference w:id="487"/>
      </w:r>
      <w:r>
        <w:t xml:space="preserve"> </w:t>
      </w:r>
      <w:r w:rsidR="00C52695" w:rsidRPr="005764F6">
        <w:t xml:space="preserve">The </w:t>
      </w:r>
      <w:r w:rsidR="00476EB6">
        <w:t xml:space="preserve">Ausgrid </w:t>
      </w:r>
      <w:r w:rsidR="00C52695" w:rsidRPr="005764F6">
        <w:t>Tribunal decision</w:t>
      </w:r>
      <w:r>
        <w:t xml:space="preserve"> also</w:t>
      </w:r>
      <w:r w:rsidR="00C52695" w:rsidRPr="005764F6">
        <w:t xml:space="preserve"> considered </w:t>
      </w:r>
      <w:r w:rsidR="00C52695">
        <w:t>our</w:t>
      </w:r>
      <w:r w:rsidR="00C52695" w:rsidRPr="005764F6">
        <w:t xml:space="preserve"> reasoning ignores the fact that other parameters in the WACC calculation are market values that already incorporate the effects of the difference in investors' tax posit</w:t>
      </w:r>
      <w:r w:rsidR="005F6361">
        <w:t>i</w:t>
      </w:r>
      <w:r w:rsidR="00C52695" w:rsidRPr="005764F6">
        <w:t>on and transaction costs.</w:t>
      </w:r>
      <w:r w:rsidR="00C52695" w:rsidRPr="00B31DF2">
        <w:rPr>
          <w:rStyle w:val="FootnoteReference"/>
        </w:rPr>
        <w:footnoteReference w:id="488"/>
      </w:r>
      <w:r w:rsidR="00C52695" w:rsidRPr="005764F6">
        <w:t xml:space="preserve"> In response we note that we consider our estimates across the rate of return inputs and gamma inputs are consistent and we have not ignored how the rate of return parameters are estimated. For example, as outlined above, when estimating the value of the MRP using historical returns, the value of cash dividends are not assessed on market values which are influenced by pre-personal costs and pre-personal tax factors. </w:t>
      </w:r>
      <w:r w:rsidR="008E7B6F">
        <w:t>Lally also considered that there is no method for estimating the MRP directly using market prices.</w:t>
      </w:r>
      <w:r w:rsidR="008E7B6F">
        <w:rPr>
          <w:rStyle w:val="FootnoteReference"/>
        </w:rPr>
        <w:footnoteReference w:id="489"/>
      </w:r>
      <w:r w:rsidR="008E7B6F">
        <w:t xml:space="preserve"> </w:t>
      </w:r>
      <w:r w:rsidR="00C52695" w:rsidRPr="005764F6">
        <w:t>For instance:</w:t>
      </w:r>
    </w:p>
    <w:p w:rsidR="00C52695" w:rsidRPr="005764F6" w:rsidRDefault="00C52695" w:rsidP="00C52695">
      <w:pPr>
        <w:pStyle w:val="AERbulletlistfirststyle"/>
      </w:pPr>
      <w:r w:rsidRPr="005764F6">
        <w:t>Unlike the cash dividend and the imputation estimates from market based studies, the return measured from market price of debt securities (both corporate bonds and commonwealth government security) is a genuine post company tax (pre-personal tax and personal costs) return. As noted above, the estimates of the value of cash dividends and imputation credits from market based studies are neither pre nor post-personal tax estimates. They are an estimate of the ordinary income value measured relative to capital gains income (that are generally taxed at a lower rate and are therefore more valuable). All other input parameters used in the estimate of the cost of debt and risk free rate, the coupons and principal amount, are valued at 'face value' in order to determine the yield to maturity. That is, our modelling assumes the investors receive the face value of the cash flows on these securities, a post-tax value consistent with the Officer Framework before personal taxes and personal transaction costs are incurred.</w:t>
      </w:r>
    </w:p>
    <w:p w:rsidR="00C52695" w:rsidRPr="005764F6" w:rsidRDefault="00C52695" w:rsidP="00C52695">
      <w:pPr>
        <w:pStyle w:val="AERbulletlistfirststyle"/>
      </w:pPr>
      <w:r w:rsidRPr="005764F6">
        <w:t xml:space="preserve">Historical capital gains used in estimating the market risk premium are directly observable post (company) tax returns to investors in the market before personal taxes and personal </w:t>
      </w:r>
      <w:r w:rsidR="0056734B">
        <w:t>transaction costs are incurred.</w:t>
      </w:r>
    </w:p>
    <w:p w:rsidR="00C52695" w:rsidRPr="005764F6" w:rsidRDefault="00C52695" w:rsidP="00C52695">
      <w:r w:rsidRPr="005764F6">
        <w:t>In the allowed rate of return framework</w:t>
      </w:r>
      <w:r>
        <w:t>,</w:t>
      </w:r>
      <w:r w:rsidRPr="005764F6">
        <w:t xml:space="preserve"> </w:t>
      </w:r>
      <w:r>
        <w:t xml:space="preserve">we use </w:t>
      </w:r>
      <w:r w:rsidRPr="005764F6">
        <w:t xml:space="preserve">both market values and face values. In </w:t>
      </w:r>
      <w:r>
        <w:fldChar w:fldCharType="begin"/>
      </w:r>
      <w:r>
        <w:instrText xml:space="preserve"> REF  _Ref450297354 \* Lower \h  \* MERGEFORMAT </w:instrText>
      </w:r>
      <w:r>
        <w:fldChar w:fldCharType="separate"/>
      </w:r>
      <w:r w:rsidR="007E3457" w:rsidRPr="00883125">
        <w:t xml:space="preserve">table </w:t>
      </w:r>
      <w:r w:rsidR="007E3457">
        <w:t>4</w:t>
      </w:r>
      <w:r w:rsidR="007E3457" w:rsidRPr="00B27BE5">
        <w:noBreakHyphen/>
      </w:r>
      <w:r w:rsidR="007E3457">
        <w:t>11</w:t>
      </w:r>
      <w:r>
        <w:fldChar w:fldCharType="end"/>
      </w:r>
      <w:r w:rsidRPr="005764F6">
        <w:t xml:space="preserve"> below, we highlight all the parameters that are used in order to calculate the return on equity using the CAPM.</w:t>
      </w:r>
    </w:p>
    <w:p w:rsidR="00C52695" w:rsidRPr="00B27BE5" w:rsidRDefault="00C52695" w:rsidP="00C52695">
      <w:pPr>
        <w:pStyle w:val="Caption"/>
      </w:pPr>
      <w:bookmarkStart w:id="271" w:name="_Ref450297354"/>
      <w:bookmarkStart w:id="272" w:name="_Ref450322149"/>
      <w:r w:rsidRPr="00883125">
        <w:t xml:space="preserve">Table </w:t>
      </w:r>
      <w:r w:rsidRPr="001D37D5">
        <w:fldChar w:fldCharType="begin"/>
      </w:r>
      <w:r>
        <w:instrText xml:space="preserve"> STYLEREF 1 \s </w:instrText>
      </w:r>
      <w:r w:rsidRPr="001D37D5">
        <w:fldChar w:fldCharType="separate"/>
      </w:r>
      <w:r w:rsidR="007E3457">
        <w:rPr>
          <w:noProof/>
        </w:rPr>
        <w:t>4</w:t>
      </w:r>
      <w:r w:rsidRPr="001D37D5">
        <w:fldChar w:fldCharType="end"/>
      </w:r>
      <w:r w:rsidRPr="00B27BE5">
        <w:noBreakHyphen/>
      </w:r>
      <w:r w:rsidRPr="001D37D5">
        <w:fldChar w:fldCharType="begin"/>
      </w:r>
      <w:r>
        <w:instrText xml:space="preserve"> SEQ Table \* ARABIC \s 1 </w:instrText>
      </w:r>
      <w:r w:rsidRPr="001D37D5">
        <w:fldChar w:fldCharType="separate"/>
      </w:r>
      <w:r w:rsidR="007E3457">
        <w:rPr>
          <w:noProof/>
        </w:rPr>
        <w:t>11</w:t>
      </w:r>
      <w:r w:rsidRPr="001D37D5">
        <w:fldChar w:fldCharType="end"/>
      </w:r>
      <w:bookmarkEnd w:id="271"/>
      <w:r w:rsidRPr="00B27BE5">
        <w:tab/>
        <w:t>Parameters used to determine the return on equity</w:t>
      </w:r>
      <w:bookmarkEnd w:id="272"/>
    </w:p>
    <w:tbl>
      <w:tblPr>
        <w:tblStyle w:val="AERtable-numbers"/>
        <w:tblW w:w="0" w:type="auto"/>
        <w:tblLook w:val="04A0" w:firstRow="1" w:lastRow="0" w:firstColumn="1" w:lastColumn="0" w:noHBand="0" w:noVBand="1"/>
      </w:tblPr>
      <w:tblGrid>
        <w:gridCol w:w="3817"/>
        <w:gridCol w:w="2712"/>
        <w:gridCol w:w="2713"/>
      </w:tblGrid>
      <w:tr w:rsidR="00C52695" w:rsidTr="006425B8">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817" w:type="dxa"/>
          </w:tcPr>
          <w:p w:rsidR="00C52695" w:rsidRPr="00883125" w:rsidRDefault="00C52695" w:rsidP="00C52695">
            <w:pPr>
              <w:numPr>
                <w:ilvl w:val="0"/>
                <w:numId w:val="24"/>
              </w:numPr>
            </w:pPr>
          </w:p>
        </w:tc>
        <w:tc>
          <w:tcPr>
            <w:tcW w:w="2712" w:type="dxa"/>
          </w:tcPr>
          <w:p w:rsidR="00C52695" w:rsidRPr="00883125" w:rsidRDefault="00C52695" w:rsidP="00C52695">
            <w:pPr>
              <w:numPr>
                <w:ilvl w:val="0"/>
                <w:numId w:val="24"/>
              </w:numPr>
              <w:cnfStyle w:val="100000000000" w:firstRow="1" w:lastRow="0" w:firstColumn="0" w:lastColumn="0" w:oddVBand="0" w:evenVBand="0" w:oddHBand="0" w:evenHBand="0" w:firstRowFirstColumn="0" w:firstRowLastColumn="0" w:lastRowFirstColumn="0" w:lastRowLastColumn="0"/>
            </w:pPr>
            <w:r w:rsidRPr="00883125">
              <w:t>Market Value</w:t>
            </w:r>
          </w:p>
        </w:tc>
        <w:tc>
          <w:tcPr>
            <w:tcW w:w="2713" w:type="dxa"/>
          </w:tcPr>
          <w:p w:rsidR="00C52695" w:rsidRPr="00883125" w:rsidRDefault="00C52695" w:rsidP="00C52695">
            <w:pPr>
              <w:numPr>
                <w:ilvl w:val="0"/>
                <w:numId w:val="24"/>
              </w:numPr>
              <w:cnfStyle w:val="100000000000" w:firstRow="1" w:lastRow="0" w:firstColumn="0" w:lastColumn="0" w:oddVBand="0" w:evenVBand="0" w:oddHBand="0" w:evenHBand="0" w:firstRowFirstColumn="0" w:firstRowLastColumn="0" w:lastRowFirstColumn="0" w:lastRowLastColumn="0"/>
            </w:pPr>
            <w:r>
              <w:t>Face Value</w:t>
            </w:r>
          </w:p>
        </w:tc>
      </w:tr>
      <w:tr w:rsidR="00C52695" w:rsidTr="006425B8">
        <w:trPr>
          <w:cantSplit/>
        </w:trPr>
        <w:tc>
          <w:tcPr>
            <w:cnfStyle w:val="001000000000" w:firstRow="0" w:lastRow="0" w:firstColumn="1" w:lastColumn="0" w:oddVBand="0" w:evenVBand="0" w:oddHBand="0" w:evenHBand="0" w:firstRowFirstColumn="0" w:firstRowLastColumn="0" w:lastRowFirstColumn="0" w:lastRowLastColumn="0"/>
            <w:tcW w:w="3817" w:type="dxa"/>
          </w:tcPr>
          <w:p w:rsidR="00C52695" w:rsidRPr="00883125" w:rsidRDefault="00C52695" w:rsidP="00C52695">
            <w:pPr>
              <w:numPr>
                <w:ilvl w:val="0"/>
                <w:numId w:val="24"/>
              </w:numPr>
            </w:pPr>
            <w:r w:rsidRPr="00883125">
              <w:t>Risk Free Rate</w:t>
            </w:r>
          </w:p>
        </w:tc>
        <w:tc>
          <w:tcPr>
            <w:tcW w:w="2712" w:type="dxa"/>
          </w:tcPr>
          <w:p w:rsidR="00C52695" w:rsidRPr="00883125" w:rsidRDefault="00C52695" w:rsidP="00C52695">
            <w:pPr>
              <w:numPr>
                <w:ilvl w:val="0"/>
                <w:numId w:val="24"/>
              </w:numPr>
              <w:cnfStyle w:val="000000000000" w:firstRow="0" w:lastRow="0" w:firstColumn="0" w:lastColumn="0" w:oddVBand="0" w:evenVBand="0" w:oddHBand="0" w:evenHBand="0" w:firstRowFirstColumn="0" w:firstRowLastColumn="0" w:lastRowFirstColumn="0" w:lastRowLastColumn="0"/>
            </w:pPr>
            <w:r w:rsidRPr="00883125">
              <w:t>Price of CGS</w:t>
            </w:r>
          </w:p>
        </w:tc>
        <w:tc>
          <w:tcPr>
            <w:tcW w:w="2713" w:type="dxa"/>
          </w:tcPr>
          <w:p w:rsidR="00C52695" w:rsidRPr="00883125" w:rsidRDefault="00C52695" w:rsidP="00C52695">
            <w:pPr>
              <w:numPr>
                <w:ilvl w:val="0"/>
                <w:numId w:val="24"/>
              </w:numPr>
              <w:cnfStyle w:val="000000000000" w:firstRow="0" w:lastRow="0" w:firstColumn="0" w:lastColumn="0" w:oddVBand="0" w:evenVBand="0" w:oddHBand="0" w:evenHBand="0" w:firstRowFirstColumn="0" w:firstRowLastColumn="0" w:lastRowFirstColumn="0" w:lastRowLastColumn="0"/>
            </w:pPr>
            <w:r w:rsidRPr="00883125">
              <w:t>Coupon, Principle</w:t>
            </w:r>
          </w:p>
        </w:tc>
      </w:tr>
      <w:tr w:rsidR="00C52695" w:rsidTr="006425B8">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817" w:type="dxa"/>
          </w:tcPr>
          <w:p w:rsidR="00C52695" w:rsidRPr="00883125" w:rsidRDefault="00C52695" w:rsidP="00C52695">
            <w:pPr>
              <w:numPr>
                <w:ilvl w:val="0"/>
                <w:numId w:val="24"/>
              </w:numPr>
            </w:pPr>
            <w:r w:rsidRPr="00883125">
              <w:t>Market Risk Premium</w:t>
            </w:r>
          </w:p>
        </w:tc>
        <w:tc>
          <w:tcPr>
            <w:tcW w:w="2712" w:type="dxa"/>
          </w:tcPr>
          <w:p w:rsidR="00C52695" w:rsidRPr="00883125" w:rsidRDefault="00C52695" w:rsidP="00C52695">
            <w:pPr>
              <w:numPr>
                <w:ilvl w:val="0"/>
                <w:numId w:val="24"/>
              </w:numPr>
              <w:cnfStyle w:val="000000010000" w:firstRow="0" w:lastRow="0" w:firstColumn="0" w:lastColumn="0" w:oddVBand="0" w:evenVBand="0" w:oddHBand="0" w:evenHBand="1" w:firstRowFirstColumn="0" w:firstRowLastColumn="0" w:lastRowFirstColumn="0" w:lastRowLastColumn="0"/>
            </w:pPr>
            <w:r w:rsidRPr="00883125">
              <w:t>Price of equity</w:t>
            </w:r>
          </w:p>
        </w:tc>
        <w:tc>
          <w:tcPr>
            <w:tcW w:w="2713" w:type="dxa"/>
          </w:tcPr>
          <w:p w:rsidR="00C52695" w:rsidRPr="00883125" w:rsidRDefault="00C52695" w:rsidP="00C52695">
            <w:pPr>
              <w:numPr>
                <w:ilvl w:val="0"/>
                <w:numId w:val="24"/>
              </w:numPr>
              <w:cnfStyle w:val="000000010000" w:firstRow="0" w:lastRow="0" w:firstColumn="0" w:lastColumn="0" w:oddVBand="0" w:evenVBand="0" w:oddHBand="0" w:evenHBand="1" w:firstRowFirstColumn="0" w:firstRowLastColumn="0" w:lastRowFirstColumn="0" w:lastRowLastColumn="0"/>
            </w:pPr>
            <w:r w:rsidRPr="00883125">
              <w:t>Dividends, Imputation credits</w:t>
            </w:r>
          </w:p>
        </w:tc>
      </w:tr>
      <w:tr w:rsidR="00C52695" w:rsidTr="006425B8">
        <w:trPr>
          <w:cantSplit/>
        </w:trPr>
        <w:tc>
          <w:tcPr>
            <w:cnfStyle w:val="001000000000" w:firstRow="0" w:lastRow="0" w:firstColumn="1" w:lastColumn="0" w:oddVBand="0" w:evenVBand="0" w:oddHBand="0" w:evenHBand="0" w:firstRowFirstColumn="0" w:firstRowLastColumn="0" w:lastRowFirstColumn="0" w:lastRowLastColumn="0"/>
            <w:tcW w:w="3817" w:type="dxa"/>
          </w:tcPr>
          <w:p w:rsidR="00C52695" w:rsidRPr="00883125" w:rsidRDefault="00C52695" w:rsidP="00C52695">
            <w:pPr>
              <w:numPr>
                <w:ilvl w:val="0"/>
                <w:numId w:val="24"/>
              </w:numPr>
            </w:pPr>
            <w:r w:rsidRPr="00883125">
              <w:t>Beta</w:t>
            </w:r>
          </w:p>
        </w:tc>
        <w:tc>
          <w:tcPr>
            <w:tcW w:w="2712" w:type="dxa"/>
          </w:tcPr>
          <w:p w:rsidR="00C52695" w:rsidRPr="00883125" w:rsidRDefault="00C52695" w:rsidP="00C52695">
            <w:pPr>
              <w:numPr>
                <w:ilvl w:val="0"/>
                <w:numId w:val="24"/>
              </w:numPr>
              <w:cnfStyle w:val="000000000000" w:firstRow="0" w:lastRow="0" w:firstColumn="0" w:lastColumn="0" w:oddVBand="0" w:evenVBand="0" w:oddHBand="0" w:evenHBand="0" w:firstRowFirstColumn="0" w:firstRowLastColumn="0" w:lastRowFirstColumn="0" w:lastRowLastColumn="0"/>
            </w:pPr>
            <w:r w:rsidRPr="00883125">
              <w:t>Price of equity</w:t>
            </w:r>
          </w:p>
        </w:tc>
        <w:tc>
          <w:tcPr>
            <w:tcW w:w="2713" w:type="dxa"/>
          </w:tcPr>
          <w:p w:rsidR="00C52695" w:rsidRPr="00883125" w:rsidRDefault="00C52695" w:rsidP="00C52695">
            <w:pPr>
              <w:numPr>
                <w:ilvl w:val="0"/>
                <w:numId w:val="24"/>
              </w:numPr>
              <w:cnfStyle w:val="000000000000" w:firstRow="0" w:lastRow="0" w:firstColumn="0" w:lastColumn="0" w:oddVBand="0" w:evenVBand="0" w:oddHBand="0" w:evenHBand="0" w:firstRowFirstColumn="0" w:firstRowLastColumn="0" w:lastRowFirstColumn="0" w:lastRowLastColumn="0"/>
            </w:pPr>
            <w:r w:rsidRPr="00883125">
              <w:t>Dividends</w:t>
            </w:r>
          </w:p>
        </w:tc>
      </w:tr>
    </w:tbl>
    <w:p w:rsidR="00C52695" w:rsidRPr="005764F6" w:rsidRDefault="00C52695" w:rsidP="00C52695">
      <w:r w:rsidRPr="005764F6">
        <w:t xml:space="preserve">As is evident in </w:t>
      </w:r>
      <w:r>
        <w:fldChar w:fldCharType="begin"/>
      </w:r>
      <w:r>
        <w:instrText xml:space="preserve"> REF  _Ref450297354 \* Lower \h  \* MERGEFORMAT </w:instrText>
      </w:r>
      <w:r>
        <w:fldChar w:fldCharType="separate"/>
      </w:r>
      <w:r w:rsidR="007E3457" w:rsidRPr="00883125">
        <w:t xml:space="preserve">table </w:t>
      </w:r>
      <w:r w:rsidR="007E3457">
        <w:t>4</w:t>
      </w:r>
      <w:r w:rsidR="007E3457" w:rsidRPr="00B27BE5">
        <w:noBreakHyphen/>
      </w:r>
      <w:r w:rsidR="007E3457">
        <w:t>11</w:t>
      </w:r>
      <w:r>
        <w:fldChar w:fldCharType="end"/>
      </w:r>
      <w:r w:rsidRPr="005764F6">
        <w:t xml:space="preserve">, in order to determine the return on equity </w:t>
      </w:r>
      <w:r>
        <w:t>we</w:t>
      </w:r>
      <w:r w:rsidRPr="005764F6">
        <w:t xml:space="preserve"> use a combination of market values and face values. When determining whether to use market value or face value, </w:t>
      </w:r>
      <w:r>
        <w:t>we</w:t>
      </w:r>
      <w:r w:rsidRPr="005764F6">
        <w:t xml:space="preserve"> ha</w:t>
      </w:r>
      <w:r>
        <w:t>ve</w:t>
      </w:r>
      <w:r w:rsidRPr="005764F6">
        <w:t xml:space="preserve"> to consider </w:t>
      </w:r>
      <w:r>
        <w:t xml:space="preserve">whether it is consistent with </w:t>
      </w:r>
      <w:r w:rsidRPr="005764F6">
        <w:t xml:space="preserve">the Officer framework. All input parameters in </w:t>
      </w:r>
      <w:r>
        <w:fldChar w:fldCharType="begin"/>
      </w:r>
      <w:r>
        <w:instrText xml:space="preserve"> REF  _Ref450297354 \* Lower \h  \* MERGEFORMAT </w:instrText>
      </w:r>
      <w:r>
        <w:fldChar w:fldCharType="separate"/>
      </w:r>
      <w:r w:rsidR="007E3457" w:rsidRPr="00883125">
        <w:t xml:space="preserve">table </w:t>
      </w:r>
      <w:r w:rsidR="007E3457">
        <w:t>4</w:t>
      </w:r>
      <w:r w:rsidR="007E3457" w:rsidRPr="00B27BE5">
        <w:noBreakHyphen/>
      </w:r>
      <w:r w:rsidR="007E3457">
        <w:t>11</w:t>
      </w:r>
      <w:r>
        <w:fldChar w:fldCharType="end"/>
      </w:r>
      <w:r w:rsidRPr="005764F6">
        <w:t xml:space="preserve"> are to measure cost of equity on the post-company tax but pre-personal tax and personal costs basis and reflect the cost faced by the firm. For instance, the return measured from the market price of equity is the post company tax value investors actually receive before they pay personal taxes and this market price reflects the cost of equity if a firm tried to issue new capital. Similarly, the face value of dividends and imputation credits reflects the post company tax cost to the firm and is the value before personal taxes are incurred. Hence they are post-company tax (pre-personal tax and personal costs) values.</w:t>
      </w:r>
    </w:p>
    <w:p w:rsidR="00C52695" w:rsidRDefault="00C52695" w:rsidP="00C52695">
      <w:r w:rsidRPr="005764F6">
        <w:t>Similarly</w:t>
      </w:r>
      <w:r>
        <w:t>,</w:t>
      </w:r>
      <w:r w:rsidRPr="005764F6">
        <w:t xml:space="preserve"> </w:t>
      </w:r>
      <w:r>
        <w:t>we</w:t>
      </w:r>
      <w:r w:rsidRPr="005764F6">
        <w:t xml:space="preserve"> use a mixture of market values and face values to determine the return on debt. This is demonstrated in </w:t>
      </w:r>
      <w:r>
        <w:fldChar w:fldCharType="begin"/>
      </w:r>
      <w:r>
        <w:instrText xml:space="preserve"> REF  _Ref450297391 \* Lower \h  \* MERGEFORMAT </w:instrText>
      </w:r>
      <w:r>
        <w:fldChar w:fldCharType="separate"/>
      </w:r>
      <w:r w:rsidR="007E3457" w:rsidRPr="005764F6">
        <w:t xml:space="preserve">table </w:t>
      </w:r>
      <w:r w:rsidR="007E3457">
        <w:t>4</w:t>
      </w:r>
      <w:r w:rsidR="007E3457" w:rsidRPr="005764F6">
        <w:noBreakHyphen/>
      </w:r>
      <w:r w:rsidR="007E3457">
        <w:t>12</w:t>
      </w:r>
      <w:r>
        <w:fldChar w:fldCharType="end"/>
      </w:r>
      <w:r w:rsidRPr="005764F6">
        <w:t>.</w:t>
      </w:r>
    </w:p>
    <w:p w:rsidR="00C845C2" w:rsidRPr="005764F6" w:rsidRDefault="00C845C2" w:rsidP="00C52695"/>
    <w:p w:rsidR="00C52695" w:rsidRPr="005764F6" w:rsidRDefault="00C52695" w:rsidP="00C52695">
      <w:pPr>
        <w:pStyle w:val="Tabletitle"/>
      </w:pPr>
      <w:bookmarkStart w:id="273" w:name="_Ref450297391"/>
      <w:r w:rsidRPr="005764F6">
        <w:t xml:space="preserve">Table </w:t>
      </w:r>
      <w:r w:rsidRPr="00CA67C0">
        <w:fldChar w:fldCharType="begin"/>
      </w:r>
      <w:r>
        <w:instrText xml:space="preserve"> STYLEREF 1 \s </w:instrText>
      </w:r>
      <w:r w:rsidRPr="00CA67C0">
        <w:fldChar w:fldCharType="separate"/>
      </w:r>
      <w:r w:rsidR="007E3457">
        <w:rPr>
          <w:noProof/>
        </w:rPr>
        <w:t>4</w:t>
      </w:r>
      <w:r w:rsidRPr="00CA67C0">
        <w:fldChar w:fldCharType="end"/>
      </w:r>
      <w:r w:rsidRPr="005764F6">
        <w:noBreakHyphen/>
      </w:r>
      <w:r w:rsidRPr="00CA67C0">
        <w:fldChar w:fldCharType="begin"/>
      </w:r>
      <w:r>
        <w:instrText xml:space="preserve"> SEQ Table \* ARABIC \s 1 </w:instrText>
      </w:r>
      <w:r w:rsidRPr="00CA67C0">
        <w:fldChar w:fldCharType="separate"/>
      </w:r>
      <w:r w:rsidR="007E3457">
        <w:rPr>
          <w:noProof/>
        </w:rPr>
        <w:t>12</w:t>
      </w:r>
      <w:r w:rsidRPr="00CA67C0">
        <w:fldChar w:fldCharType="end"/>
      </w:r>
      <w:bookmarkEnd w:id="273"/>
      <w:r w:rsidRPr="005764F6">
        <w:tab/>
        <w:t>Parameters used to determine the return on debt</w:t>
      </w:r>
    </w:p>
    <w:tbl>
      <w:tblPr>
        <w:tblStyle w:val="AERtable-numbers"/>
        <w:tblW w:w="0" w:type="auto"/>
        <w:tblLook w:val="04A0" w:firstRow="1" w:lastRow="0" w:firstColumn="1" w:lastColumn="0" w:noHBand="0" w:noVBand="1"/>
      </w:tblPr>
      <w:tblGrid>
        <w:gridCol w:w="3817"/>
        <w:gridCol w:w="2712"/>
        <w:gridCol w:w="2713"/>
      </w:tblGrid>
      <w:tr w:rsidR="00C52695" w:rsidRPr="00663AD0" w:rsidTr="006425B8">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817" w:type="dxa"/>
          </w:tcPr>
          <w:p w:rsidR="00C52695" w:rsidRPr="005764F6" w:rsidRDefault="00C52695" w:rsidP="00C52695"/>
        </w:tc>
        <w:tc>
          <w:tcPr>
            <w:tcW w:w="2712" w:type="dxa"/>
          </w:tcPr>
          <w:p w:rsidR="00C52695" w:rsidRPr="00C52695" w:rsidRDefault="00C52695" w:rsidP="00C52695">
            <w:pPr>
              <w:cnfStyle w:val="100000000000" w:firstRow="1" w:lastRow="0" w:firstColumn="0" w:lastColumn="0" w:oddVBand="0" w:evenVBand="0" w:oddHBand="0" w:evenHBand="0" w:firstRowFirstColumn="0" w:firstRowLastColumn="0" w:lastRowFirstColumn="0" w:lastRowLastColumn="0"/>
            </w:pPr>
            <w:r w:rsidRPr="005764F6">
              <w:t>Market Value</w:t>
            </w:r>
          </w:p>
        </w:tc>
        <w:tc>
          <w:tcPr>
            <w:tcW w:w="2713" w:type="dxa"/>
          </w:tcPr>
          <w:p w:rsidR="00C52695" w:rsidRPr="00C52695" w:rsidRDefault="00C52695" w:rsidP="00C52695">
            <w:pPr>
              <w:cnfStyle w:val="100000000000" w:firstRow="1" w:lastRow="0" w:firstColumn="0" w:lastColumn="0" w:oddVBand="0" w:evenVBand="0" w:oddHBand="0" w:evenHBand="0" w:firstRowFirstColumn="0" w:firstRowLastColumn="0" w:lastRowFirstColumn="0" w:lastRowLastColumn="0"/>
            </w:pPr>
            <w:r w:rsidRPr="005764F6">
              <w:t>Face Value</w:t>
            </w:r>
          </w:p>
        </w:tc>
      </w:tr>
      <w:tr w:rsidR="00C52695" w:rsidRPr="00663AD0" w:rsidTr="006425B8">
        <w:trPr>
          <w:cantSplit/>
        </w:trPr>
        <w:tc>
          <w:tcPr>
            <w:cnfStyle w:val="001000000000" w:firstRow="0" w:lastRow="0" w:firstColumn="1" w:lastColumn="0" w:oddVBand="0" w:evenVBand="0" w:oddHBand="0" w:evenHBand="0" w:firstRowFirstColumn="0" w:firstRowLastColumn="0" w:lastRowFirstColumn="0" w:lastRowLastColumn="0"/>
            <w:tcW w:w="3817" w:type="dxa"/>
          </w:tcPr>
          <w:p w:rsidR="00C52695" w:rsidRPr="00C52695" w:rsidRDefault="00C52695" w:rsidP="00C52695">
            <w:r w:rsidRPr="005764F6">
              <w:t xml:space="preserve">Return on </w:t>
            </w:r>
            <w:r w:rsidRPr="00C52695">
              <w:t>debt</w:t>
            </w:r>
          </w:p>
        </w:tc>
        <w:tc>
          <w:tcPr>
            <w:tcW w:w="2712" w:type="dxa"/>
          </w:tcPr>
          <w:p w:rsidR="00C52695" w:rsidRPr="00C52695" w:rsidRDefault="00C52695" w:rsidP="00C52695">
            <w:pPr>
              <w:cnfStyle w:val="000000000000" w:firstRow="0" w:lastRow="0" w:firstColumn="0" w:lastColumn="0" w:oddVBand="0" w:evenVBand="0" w:oddHBand="0" w:evenHBand="0" w:firstRowFirstColumn="0" w:firstRowLastColumn="0" w:lastRowFirstColumn="0" w:lastRowLastColumn="0"/>
            </w:pPr>
            <w:r w:rsidRPr="005764F6">
              <w:t>Price of debt</w:t>
            </w:r>
          </w:p>
        </w:tc>
        <w:tc>
          <w:tcPr>
            <w:tcW w:w="2713" w:type="dxa"/>
          </w:tcPr>
          <w:p w:rsidR="00C52695" w:rsidRPr="00C52695" w:rsidRDefault="00C52695" w:rsidP="00C52695">
            <w:pPr>
              <w:cnfStyle w:val="000000000000" w:firstRow="0" w:lastRow="0" w:firstColumn="0" w:lastColumn="0" w:oddVBand="0" w:evenVBand="0" w:oddHBand="0" w:evenHBand="0" w:firstRowFirstColumn="0" w:firstRowLastColumn="0" w:lastRowFirstColumn="0" w:lastRowLastColumn="0"/>
            </w:pPr>
            <w:r w:rsidRPr="005764F6">
              <w:t>Coupon, Principle</w:t>
            </w:r>
          </w:p>
        </w:tc>
      </w:tr>
      <w:tr w:rsidR="00C52695" w:rsidRPr="00663AD0" w:rsidTr="006425B8">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817" w:type="dxa"/>
          </w:tcPr>
          <w:p w:rsidR="00C52695" w:rsidRPr="00C52695" w:rsidRDefault="00C52695" w:rsidP="00C52695">
            <w:r w:rsidRPr="005764F6">
              <w:t xml:space="preserve">Risk Free </w:t>
            </w:r>
            <w:r w:rsidRPr="00C52695">
              <w:t>Rate</w:t>
            </w:r>
          </w:p>
        </w:tc>
        <w:tc>
          <w:tcPr>
            <w:tcW w:w="2712" w:type="dxa"/>
          </w:tcPr>
          <w:p w:rsidR="00C52695" w:rsidRPr="00C52695" w:rsidRDefault="00C52695" w:rsidP="00C52695">
            <w:pPr>
              <w:cnfStyle w:val="000000010000" w:firstRow="0" w:lastRow="0" w:firstColumn="0" w:lastColumn="0" w:oddVBand="0" w:evenVBand="0" w:oddHBand="0" w:evenHBand="1" w:firstRowFirstColumn="0" w:firstRowLastColumn="0" w:lastRowFirstColumn="0" w:lastRowLastColumn="0"/>
            </w:pPr>
            <w:r w:rsidRPr="005764F6">
              <w:t>Price of CGS</w:t>
            </w:r>
          </w:p>
        </w:tc>
        <w:tc>
          <w:tcPr>
            <w:tcW w:w="2713" w:type="dxa"/>
          </w:tcPr>
          <w:p w:rsidR="00C52695" w:rsidRPr="00C52695" w:rsidRDefault="00C52695" w:rsidP="00C52695">
            <w:pPr>
              <w:cnfStyle w:val="000000010000" w:firstRow="0" w:lastRow="0" w:firstColumn="0" w:lastColumn="0" w:oddVBand="0" w:evenVBand="0" w:oddHBand="0" w:evenHBand="1" w:firstRowFirstColumn="0" w:firstRowLastColumn="0" w:lastRowFirstColumn="0" w:lastRowLastColumn="0"/>
            </w:pPr>
            <w:r w:rsidRPr="005764F6">
              <w:t>Coupon, Principle</w:t>
            </w:r>
          </w:p>
        </w:tc>
      </w:tr>
    </w:tbl>
    <w:p w:rsidR="00C52695" w:rsidRPr="005764F6" w:rsidRDefault="00C52695" w:rsidP="00C52695">
      <w:r w:rsidRPr="005764F6">
        <w:t xml:space="preserve">As is evident in </w:t>
      </w:r>
      <w:r>
        <w:fldChar w:fldCharType="begin"/>
      </w:r>
      <w:r>
        <w:instrText xml:space="preserve"> REF  _Ref450297391 \* Lower \h  \* MERGEFORMAT </w:instrText>
      </w:r>
      <w:r>
        <w:fldChar w:fldCharType="separate"/>
      </w:r>
      <w:r w:rsidR="007E3457" w:rsidRPr="005764F6">
        <w:t xml:space="preserve">table </w:t>
      </w:r>
      <w:r w:rsidR="007E3457">
        <w:t>4</w:t>
      </w:r>
      <w:r w:rsidR="007E3457" w:rsidRPr="005764F6">
        <w:noBreakHyphen/>
      </w:r>
      <w:r w:rsidR="007E3457">
        <w:t>12</w:t>
      </w:r>
      <w:r>
        <w:fldChar w:fldCharType="end"/>
      </w:r>
      <w:r w:rsidRPr="005764F6">
        <w:t>, the return on debt estimated via the yield to maturity is determined from using a combination of market values and face values. All input parameters are to measure the cost of debt on a post-company tax but pre-personal tax basis. For example, the debt holder has to pay personal tax on the face value of the coupon payments and if a bond holder sells their bond they have to pay personal on the return measured from market price of the bond. The input parameters also reflect the cost faced by the firm. The firm has to pay the face value of the coupon and principal to the bond holders. Also the market price of a bond determines how much funds a firm can raise given a certain coupon and principal payment.</w:t>
      </w:r>
    </w:p>
    <w:p w:rsidR="00C52695" w:rsidRPr="005053A1" w:rsidRDefault="00C52695" w:rsidP="00C52695">
      <w:r w:rsidRPr="005053A1">
        <w:t xml:space="preserve">Consistent with </w:t>
      </w:r>
      <w:r>
        <w:t>our view</w:t>
      </w:r>
      <w:r w:rsidRPr="005053A1">
        <w:t>, Lally does not consider there is an inconsistency with the cost of debt and equity being market rates and the utilisation rate being determined on the face value:</w:t>
      </w:r>
      <w:r w:rsidRPr="005053A1">
        <w:rPr>
          <w:rStyle w:val="FootnoteReference"/>
        </w:rPr>
        <w:footnoteReference w:id="490"/>
      </w:r>
    </w:p>
    <w:p w:rsidR="00C52695" w:rsidRPr="00663AD0" w:rsidRDefault="00C52695" w:rsidP="00C52695">
      <w:pPr>
        <w:pStyle w:val="AERquote"/>
        <w:rPr>
          <w:rStyle w:val="AERtexthighlight"/>
        </w:rPr>
      </w:pPr>
      <w:r>
        <w:t>Both the cost of equity and theta appear in equation (1), with the cost of equity being a market rate and theta not being a market value. This equation arises from the set of assumptions underlying the Officer (1994) model.</w:t>
      </w:r>
    </w:p>
    <w:p w:rsidR="00C52695" w:rsidRPr="005764F6" w:rsidRDefault="00C52695" w:rsidP="00C52695">
      <w:r w:rsidRPr="005764F6">
        <w:t>All allowed rate of return parameters are estimated on a post company tax basis before personal taxes are incurred. For capital gains component of return on equity estimate, investors have to pay capital gains tax on the post company tax capital gain. For the dividend income grossed up with redeemable imputation credits and interest income of bonds, investors pay personal tax at their marginal tax rate on the post company tax income. Importantly, the allowed return we estimate is estimated from observed post company tax returns before these personal taxes are incurred. As a result, all input parameters into the allowed rate of return are genuine post company tax estimates before personal taxes are incurred.</w:t>
      </w:r>
    </w:p>
    <w:p w:rsidR="00C52695" w:rsidRDefault="00C52695" w:rsidP="00C52695">
      <w:r w:rsidRPr="005764F6">
        <w:t>Further, all input parameters in the allowed rate of return are also estimated on a pre-personal cost basis. For example, all components of the return on equity (capital gain, dividends and imputation credits) are estimated pre-personal costs. If an investor wants to realise their capital gains by selling their stock, they have to pay transaction costs like brokerage fees and costs associated with filling in a tax return. These costs are not accounted for in our post-tax regulatory framework. Similarly, for dividends and bond returns, personal costs are incurred by investors when realising these returns and these costs are not accounted for in our regulatory framework. The allowed return we estimate is estimated from observed post company tax returns before these personal costs and taxes are incurred (</w:t>
      </w:r>
      <w:r>
        <w:t>for example,</w:t>
      </w:r>
      <w:r w:rsidRPr="005764F6">
        <w:t xml:space="preserve"> historical estimates of the MRP are before personal costs have been incurred).</w:t>
      </w:r>
    </w:p>
    <w:p w:rsidR="005B77D3" w:rsidRDefault="005B77D3" w:rsidP="00C52695">
      <w:r>
        <w:t xml:space="preserve">Lally agrees that our approach to </w:t>
      </w:r>
      <w:r w:rsidR="00C72D05">
        <w:t xml:space="preserve">estimating </w:t>
      </w:r>
      <w:r>
        <w:t>gamma is consistent with the way we estimate the cost of equity:</w:t>
      </w:r>
      <w:r>
        <w:rPr>
          <w:rStyle w:val="FootnoteReference"/>
        </w:rPr>
        <w:footnoteReference w:id="491"/>
      </w:r>
    </w:p>
    <w:p w:rsidR="005B77D3" w:rsidRDefault="005B77D3" w:rsidP="00E750F8">
      <w:pPr>
        <w:pStyle w:val="AERquote"/>
      </w:pPr>
      <w:r w:rsidRPr="0056734B">
        <w:t>The AER estimates the cost of equity using the Officer model, gamma is a parameter within that model, and therefore the AER must estimate gamma as def</w:t>
      </w:r>
      <w:r w:rsidR="002D0F57" w:rsidRPr="0056734B">
        <w:t xml:space="preserve">ined within the Officer model. </w:t>
      </w:r>
      <w:r w:rsidRPr="0056734B">
        <w:t>A rigorous derivation of the Officer model (Lally and van Zijl, 2003) reveals that gamma is the product of the distribution rate for credits (the proportion of company taxes paid to the ATO that are attached to dividends as credits) and a utilization rate for credits (a weighted-average over investors’ utili</w:t>
      </w:r>
      <w:r w:rsidR="002D0F57" w:rsidRPr="0056734B">
        <w:t xml:space="preserve">zation rates for the credits). </w:t>
      </w:r>
      <w:r w:rsidRPr="0056734B">
        <w:t>The methods used by the AER for estimating these two parameters are consistent with their definitions.</w:t>
      </w:r>
    </w:p>
    <w:p w:rsidR="00A235DE" w:rsidRDefault="00A235DE" w:rsidP="008B1CA1">
      <w:r>
        <w:t>Finally, on 24 May 2017 the Full Federal Court handed down its decision on the AER's appeal of the Ausgrid Tribunal matter.</w:t>
      </w:r>
      <w:r>
        <w:rPr>
          <w:rStyle w:val="FootnoteReference"/>
        </w:rPr>
        <w:footnoteReference w:id="492"/>
      </w:r>
      <w:r>
        <w:t xml:space="preserve"> The Full Federal Court found the tribunal in error 'in concluding that the value of gamma is (only) what is claimed or utilised as demonstrated by the behaviour of the shareholder recipients of the </w:t>
      </w:r>
      <w:r w:rsidR="00924687">
        <w:t>imputation credits' and went on to state</w:t>
      </w:r>
      <w:r>
        <w:t>:</w:t>
      </w:r>
      <w:r w:rsidR="00924687" w:rsidRPr="00924687">
        <w:rPr>
          <w:rStyle w:val="FootnoteReference"/>
        </w:rPr>
        <w:t xml:space="preserve"> </w:t>
      </w:r>
      <w:r w:rsidR="00924687" w:rsidRPr="00924687">
        <w:rPr>
          <w:rStyle w:val="FootnoteReference"/>
        </w:rPr>
        <w:footnoteReference w:id="493"/>
      </w:r>
    </w:p>
    <w:p w:rsidR="00A235DE" w:rsidRDefault="00A235DE">
      <w:pPr>
        <w:pStyle w:val="AERquote"/>
      </w:pPr>
      <w:r>
        <w:t>we accept the AER's submission the Tribunal's approach to gamm</w:t>
      </w:r>
      <w:r w:rsidR="0082655C">
        <w:t>a</w:t>
      </w:r>
      <w:r>
        <w:t xml:space="preserve"> was u</w:t>
      </w:r>
      <w:r w:rsidR="00D26221">
        <w:t>nderpinned by a misunderstanding</w:t>
      </w:r>
      <w:r>
        <w:t xml:space="preserve"> on its part about how return to investors was conceptualised in a WACC framework. In our opinion the Tribunal assumed that other parameters in the WACC calculations were market values that already incorporated investors' tax positions and transaction costs but that misconstrued the "post-tax" framework. The rules required gamma to be determined consis</w:t>
      </w:r>
      <w:r w:rsidR="0082655C">
        <w:t>tently with the return on equity.</w:t>
      </w:r>
    </w:p>
    <w:p w:rsidR="0082655C" w:rsidRDefault="0082655C" w:rsidP="008B1CA1">
      <w:r>
        <w:t>The Federal Court went on to conclude:</w:t>
      </w:r>
      <w:r w:rsidR="00924687">
        <w:rPr>
          <w:rStyle w:val="FootnoteReference"/>
        </w:rPr>
        <w:footnoteReference w:id="494"/>
      </w:r>
    </w:p>
    <w:p w:rsidR="0082655C" w:rsidRDefault="0082655C">
      <w:pPr>
        <w:pStyle w:val="AERquote"/>
      </w:pPr>
      <w:r>
        <w:t>In our opinion, it was not therefore a reviewable error for the AER to prefer one theoretical approach to considering the determination of gamma over another. This means that it is not an error of construction for the AER to focus on utilisation rather than on implied market value.</w:t>
      </w:r>
    </w:p>
    <w:p w:rsidR="0082655C" w:rsidRPr="0082655C" w:rsidRDefault="0082655C" w:rsidP="008B1CA1"/>
    <w:p w:rsidR="00E44905" w:rsidRDefault="00E44905" w:rsidP="00E44905">
      <w:pPr>
        <w:pStyle w:val="Heading9"/>
      </w:pPr>
      <w:bookmarkStart w:id="274" w:name="_Toc450119269"/>
      <w:bookmarkStart w:id="275" w:name="_Toc450119429"/>
      <w:bookmarkStart w:id="276" w:name="_Ref477196710"/>
      <w:bookmarkStart w:id="277" w:name="_Toc487014081"/>
      <w:bookmarkStart w:id="278" w:name="_Ref414099389"/>
      <w:bookmarkStart w:id="279" w:name="_Toc456614313"/>
      <w:bookmarkStart w:id="280" w:name="_Toc462823327"/>
      <w:bookmarkEnd w:id="274"/>
      <w:bookmarkEnd w:id="275"/>
      <w:r>
        <w:t>Market Risk Premium a</w:t>
      </w:r>
      <w:r w:rsidR="00013824">
        <w:t>djustment for gamma</w:t>
      </w:r>
      <w:bookmarkEnd w:id="276"/>
      <w:bookmarkEnd w:id="277"/>
    </w:p>
    <w:p w:rsidR="00245EB8" w:rsidRPr="00245EB8" w:rsidRDefault="00245EB8" w:rsidP="00245EB8">
      <w:r w:rsidRPr="00245EB8">
        <w:t xml:space="preserve">In regard to the how the return on equity is </w:t>
      </w:r>
      <w:r w:rsidR="00C72D05">
        <w:t>estimat</w:t>
      </w:r>
      <w:r w:rsidRPr="00245EB8">
        <w:t>ed, it is set out in the Officer paper:</w:t>
      </w:r>
    </w:p>
    <w:p w:rsidR="00245EB8" w:rsidRPr="00245EB8" w:rsidRDefault="00245EB8" w:rsidP="00245EB8"/>
    <w:p w:rsidR="00245EB8" w:rsidRPr="00245EB8" w:rsidRDefault="00245EB8" w:rsidP="00245EB8">
      <w:r w:rsidRPr="00245EB8">
        <w:rPr>
          <w:noProof/>
          <w:lang w:eastAsia="en-AU"/>
        </w:rPr>
        <w:drawing>
          <wp:inline distT="0" distB="0" distL="0" distR="0" wp14:anchorId="1F78F4B3" wp14:editId="7E5031D8">
            <wp:extent cx="4448175" cy="7810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448175" cy="781050"/>
                    </a:xfrm>
                    <a:prstGeom prst="rect">
                      <a:avLst/>
                    </a:prstGeom>
                    <a:noFill/>
                    <a:ln>
                      <a:noFill/>
                    </a:ln>
                  </pic:spPr>
                </pic:pic>
              </a:graphicData>
            </a:graphic>
          </wp:inline>
        </w:drawing>
      </w:r>
    </w:p>
    <w:p w:rsidR="00245EB8" w:rsidRPr="00245EB8" w:rsidRDefault="00245EB8" w:rsidP="00245EB8"/>
    <w:p w:rsidR="00245EB8" w:rsidRPr="00245EB8" w:rsidRDefault="00AA3CB2" w:rsidP="00245EB8">
      <w:r w:rsidRPr="00AA3CB2">
        <w:rPr>
          <w:noProof/>
          <w:lang w:eastAsia="en-AU"/>
        </w:rPr>
        <w:drawing>
          <wp:inline distT="0" distB="0" distL="0" distR="0" wp14:anchorId="65951BDC" wp14:editId="245AB272">
            <wp:extent cx="95250" cy="1587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250" cy="158750"/>
                    </a:xfrm>
                    <a:prstGeom prst="rect">
                      <a:avLst/>
                    </a:prstGeom>
                    <a:noFill/>
                    <a:ln>
                      <a:noFill/>
                    </a:ln>
                  </pic:spPr>
                </pic:pic>
              </a:graphicData>
            </a:graphic>
          </wp:inline>
        </w:drawing>
      </w:r>
      <w:r w:rsidR="00245EB8" w:rsidRPr="00245EB8">
        <w:t xml:space="preserve"> is defined earlier on page 4 of the Officer paper, as the proportion of tax collected form the company which gives rise to the tax credit associated with a franked dividend. Officer defines this as the franking credit that can be utilized as </w:t>
      </w:r>
      <w:r w:rsidR="000C7E9B">
        <w:t xml:space="preserve">a </w:t>
      </w:r>
      <w:r w:rsidR="00245EB8" w:rsidRPr="00245EB8">
        <w:t xml:space="preserve">tax credit against personal tax liabilities of the shareholder. </w:t>
      </w:r>
      <w:r w:rsidR="0094542A">
        <w:t xml:space="preserve"> </w:t>
      </w:r>
    </w:p>
    <w:p w:rsidR="00245EB8" w:rsidRPr="00245EB8" w:rsidRDefault="00245EB8" w:rsidP="00245EB8">
      <w:r w:rsidRPr="00245EB8">
        <w:t>When determining the return on equity, it is the Market Risk Premium (MRP) that is adjusted for the effect of imputation credits. The AER use two approaches to determine the MRP: (1) historical excess returns and (2) the dividend growth model. The mathematical formula for the imputation credit adjustment for both approaches is outlined below.</w:t>
      </w:r>
    </w:p>
    <w:p w:rsidR="00245EB8" w:rsidRPr="00245EB8" w:rsidRDefault="00245EB8" w:rsidP="00E750F8">
      <w:pPr>
        <w:pStyle w:val="HeadingOrange"/>
      </w:pPr>
      <w:bookmarkStart w:id="281" w:name="_Toc481056691"/>
      <w:bookmarkStart w:id="282" w:name="_Toc481061485"/>
      <w:r w:rsidRPr="00245EB8">
        <w:t>Historical excess returns</w:t>
      </w:r>
      <w:bookmarkEnd w:id="281"/>
      <w:bookmarkEnd w:id="282"/>
    </w:p>
    <w:p w:rsidR="00245EB8" w:rsidRPr="00245EB8" w:rsidRDefault="00245EB8" w:rsidP="00245EB8">
      <w:r w:rsidRPr="00245EB8">
        <w:t xml:space="preserve">For historical excess returns, we adjust the returns for imputation credits using the methodology applied </w:t>
      </w:r>
      <w:r w:rsidR="002D0F57">
        <w:t xml:space="preserve">in </w:t>
      </w:r>
      <w:r w:rsidRPr="00245EB8">
        <w:t xml:space="preserve">Brailsford et al. The adjustment proposed by Brailsford is different depending on whether the data is pre-1998 or post-1998. For pre-1998, the AER adjusts the MRP for imputation credits using the following formula: </w:t>
      </w:r>
      <w:r w:rsidR="005D01B1">
        <w:rPr>
          <w:rStyle w:val="FootnoteReference"/>
        </w:rPr>
        <w:footnoteReference w:id="495"/>
      </w:r>
    </w:p>
    <w:p w:rsidR="00245EB8" w:rsidRPr="00245EB8" w:rsidRDefault="00245EB8" w:rsidP="00245EB8"/>
    <w:p w:rsidR="00245EB8" w:rsidRPr="00245EB8" w:rsidRDefault="00AA3CB2" w:rsidP="00245EB8">
      <w:r w:rsidRPr="00AA3CB2">
        <w:rPr>
          <w:noProof/>
          <w:lang w:eastAsia="en-AU"/>
        </w:rPr>
        <w:drawing>
          <wp:inline distT="0" distB="0" distL="0" distR="0" wp14:anchorId="467C8BFE" wp14:editId="33135B2D">
            <wp:extent cx="4638675" cy="5048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638675" cy="504825"/>
                    </a:xfrm>
                    <a:prstGeom prst="rect">
                      <a:avLst/>
                    </a:prstGeom>
                    <a:noFill/>
                    <a:ln>
                      <a:noFill/>
                    </a:ln>
                  </pic:spPr>
                </pic:pic>
              </a:graphicData>
            </a:graphic>
          </wp:inline>
        </w:drawing>
      </w:r>
    </w:p>
    <w:p w:rsidR="00245EB8" w:rsidRPr="00245EB8" w:rsidRDefault="00245EB8" w:rsidP="00245EB8"/>
    <w:p w:rsidR="00245EB8" w:rsidRPr="00245EB8" w:rsidRDefault="00245EB8" w:rsidP="00245EB8">
      <w:r w:rsidRPr="00245EB8">
        <w:t>Where d</w:t>
      </w:r>
      <w:r w:rsidRPr="00E750F8">
        <w:rPr>
          <w:rStyle w:val="AERsubscript"/>
        </w:rPr>
        <w:t>t</w:t>
      </w:r>
      <w:r w:rsidRPr="00245EB8">
        <w:t xml:space="preserve"> represents the annual dividend yield implied from the Historical Stock Price Index and the Historical Stock Accumulation Index, p</w:t>
      </w:r>
      <w:r w:rsidRPr="00E750F8">
        <w:rPr>
          <w:rStyle w:val="AERsubscript"/>
        </w:rPr>
        <w:t>t</w:t>
      </w:r>
      <w:r w:rsidRPr="00245EB8">
        <w:t xml:space="preserve"> is the (average) proportion franked and T</w:t>
      </w:r>
      <w:r w:rsidRPr="00E750F8">
        <w:rPr>
          <w:rStyle w:val="AERsubscript"/>
        </w:rPr>
        <w:t>t</w:t>
      </w:r>
      <w:r w:rsidRPr="00245EB8">
        <w:t xml:space="preserve"> is the tax rate </w:t>
      </w:r>
      <w:r w:rsidR="0056734B">
        <w:t>at which dividends are franked.</w:t>
      </w:r>
    </w:p>
    <w:p w:rsidR="00245EB8" w:rsidRPr="00245EB8" w:rsidRDefault="00245EB8" w:rsidP="00245EB8">
      <w:r w:rsidRPr="00245EB8">
        <w:t>This C</w:t>
      </w:r>
      <w:r w:rsidRPr="0056734B">
        <w:rPr>
          <w:rStyle w:val="AERsubscript"/>
        </w:rPr>
        <w:t>t</w:t>
      </w:r>
      <w:r w:rsidRPr="00245EB8">
        <w:t xml:space="preserve"> value can be directly substituted into Officer</w:t>
      </w:r>
      <w:r w:rsidR="00356933">
        <w:t>'</w:t>
      </w:r>
      <w:r w:rsidRPr="00245EB8">
        <w:t>s formula (15) above. It is important to note that d</w:t>
      </w:r>
      <w:r w:rsidRPr="00E750F8">
        <w:rPr>
          <w:rStyle w:val="AERsubscript"/>
        </w:rPr>
        <w:t>t</w:t>
      </w:r>
      <w:r w:rsidRPr="00245EB8">
        <w:t xml:space="preserve"> is the face value of the dividend and it determines the face value of the imputation credit when multiplying the face value of the dividend by T/(1-T).</w:t>
      </w:r>
    </w:p>
    <w:p w:rsidR="00245EB8" w:rsidRPr="00245EB8" w:rsidRDefault="00245EB8" w:rsidP="00245EB8">
      <w:r w:rsidRPr="00245EB8">
        <w:t>For the period post 1998 the AER does not adjust for imputation using the formula above. Instead the AER obtains the imputation credit adjustment using the (weighted) average imputation credit yield on the ASX All Ordinaries index for the 12 months ending December of each year, as sourced from the Australian Taxation Office.</w:t>
      </w:r>
      <w:r w:rsidR="0043564A">
        <w:rPr>
          <w:rStyle w:val="FootnoteReference"/>
        </w:rPr>
        <w:footnoteReference w:id="496"/>
      </w:r>
      <w:r w:rsidRPr="00245EB8">
        <w:t xml:space="preserve"> From this source we obtain C</w:t>
      </w:r>
      <w:r w:rsidRPr="00E750F8">
        <w:rPr>
          <w:rStyle w:val="AERsubscript"/>
        </w:rPr>
        <w:t>t</w:t>
      </w:r>
      <w:r w:rsidRPr="00245EB8">
        <w:t>/p</w:t>
      </w:r>
      <w:r w:rsidRPr="00E750F8">
        <w:rPr>
          <w:rStyle w:val="AERsubscript"/>
        </w:rPr>
        <w:t>t-1</w:t>
      </w:r>
      <w:r w:rsidRPr="00245EB8">
        <w:t xml:space="preserve"> which can be inserted</w:t>
      </w:r>
      <w:r w:rsidR="00AA3CB2">
        <w:t xml:space="preserve"> into the Officer formula (15). </w:t>
      </w:r>
      <w:r w:rsidRPr="00245EB8">
        <w:t>As before Ct is the face value of the imputation credit.</w:t>
      </w:r>
    </w:p>
    <w:p w:rsidR="00245EB8" w:rsidRPr="00245EB8" w:rsidRDefault="00245EB8" w:rsidP="00E750F8">
      <w:pPr>
        <w:pStyle w:val="HeadingOrange"/>
      </w:pPr>
      <w:bookmarkStart w:id="283" w:name="_Toc481056692"/>
      <w:bookmarkStart w:id="284" w:name="_Toc481061486"/>
      <w:r w:rsidRPr="00245EB8">
        <w:t>Dividend growth model</w:t>
      </w:r>
      <w:bookmarkEnd w:id="283"/>
      <w:bookmarkEnd w:id="284"/>
    </w:p>
    <w:p w:rsidR="00245EB8" w:rsidRPr="00245EB8" w:rsidRDefault="00245EB8" w:rsidP="00245EB8">
      <w:r w:rsidRPr="00245EB8">
        <w:t>In the dividend growth model, the face value of cash dividends is multiplied by the formula below to determine the gross dividend which is the sum of the face value of the cash dividend and the face v</w:t>
      </w:r>
      <w:r w:rsidR="00013824">
        <w:t>alue of the imputation credit.</w:t>
      </w:r>
    </w:p>
    <w:p w:rsidR="00245EB8" w:rsidRPr="00245EB8" w:rsidRDefault="00245EB8" w:rsidP="00245EB8"/>
    <w:p w:rsidR="00245EB8" w:rsidRPr="00245EB8" w:rsidRDefault="00AA3CB2" w:rsidP="00245EB8">
      <w:r w:rsidRPr="00AA3CB2">
        <w:rPr>
          <w:noProof/>
          <w:lang w:eastAsia="en-AU"/>
        </w:rPr>
        <w:drawing>
          <wp:inline distT="0" distB="0" distL="0" distR="0" wp14:anchorId="089DA744" wp14:editId="23268DFB">
            <wp:extent cx="4448175" cy="78105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448175" cy="781050"/>
                    </a:xfrm>
                    <a:prstGeom prst="rect">
                      <a:avLst/>
                    </a:prstGeom>
                    <a:noFill/>
                    <a:ln>
                      <a:noFill/>
                    </a:ln>
                  </pic:spPr>
                </pic:pic>
              </a:graphicData>
            </a:graphic>
          </wp:inline>
        </w:drawing>
      </w:r>
    </w:p>
    <w:p w:rsidR="00245EB8" w:rsidRPr="00245EB8" w:rsidRDefault="00245EB8" w:rsidP="00245EB8"/>
    <w:p w:rsidR="00245EB8" w:rsidRPr="00245EB8" w:rsidRDefault="00245EB8" w:rsidP="00245EB8">
      <w:r w:rsidRPr="00245EB8">
        <w:t>Although stated in different terms, this adjustment is identical to the Brailsford et al. adjustment for pre 1998 data. It is clear from this formula that it is the face value of the dividend that is used and when multiplied by T/(1-T) it determines the face value of the imputation credit.</w:t>
      </w:r>
    </w:p>
    <w:p w:rsidR="00013824" w:rsidRDefault="00245EB8" w:rsidP="00E750F8">
      <w:r w:rsidRPr="00245EB8">
        <w:t xml:space="preserve">It is clear from the example above that the face value of the imputation credits multiplied by theta is added to the capital gains and dividend component to determine the return on equity. </w:t>
      </w:r>
      <w:r w:rsidR="00A56DF6">
        <w:t>Therefore, i</w:t>
      </w:r>
      <w:r w:rsidRPr="00245EB8">
        <w:t xml:space="preserve">f </w:t>
      </w:r>
      <w:r w:rsidR="00A56DF6">
        <w:t xml:space="preserve">the </w:t>
      </w:r>
      <w:r w:rsidRPr="00245EB8">
        <w:t xml:space="preserve">gamma </w:t>
      </w:r>
      <w:r w:rsidR="001A3115">
        <w:t xml:space="preserve">estimate used </w:t>
      </w:r>
      <w:r w:rsidRPr="00245EB8">
        <w:t xml:space="preserve">is </w:t>
      </w:r>
      <w:r w:rsidR="00A56DF6">
        <w:t>increased (decreased)</w:t>
      </w:r>
      <w:r w:rsidRPr="00245EB8">
        <w:t xml:space="preserve"> then the</w:t>
      </w:r>
      <w:r w:rsidR="001A3115">
        <w:t xml:space="preserve"> </w:t>
      </w:r>
      <w:r w:rsidR="00A56DF6">
        <w:t>estimate</w:t>
      </w:r>
      <w:r w:rsidR="001A3115">
        <w:t>s</w:t>
      </w:r>
      <w:r w:rsidR="00A56DF6">
        <w:t xml:space="preserve"> of the </w:t>
      </w:r>
      <w:r w:rsidR="00013824">
        <w:t xml:space="preserve">MRP </w:t>
      </w:r>
      <w:r w:rsidR="00C72D05">
        <w:t xml:space="preserve">based on historical data </w:t>
      </w:r>
      <w:r w:rsidR="00A56DF6">
        <w:t>will also increase (decrease)</w:t>
      </w:r>
      <w:r w:rsidR="00013824">
        <w:t xml:space="preserve">. </w:t>
      </w:r>
    </w:p>
    <w:p w:rsidR="00C52695" w:rsidRPr="00883125" w:rsidRDefault="00C52695" w:rsidP="00C52695">
      <w:pPr>
        <w:pStyle w:val="Heading9"/>
      </w:pPr>
      <w:bookmarkStart w:id="285" w:name="_Ref475361170"/>
      <w:bookmarkStart w:id="286" w:name="_Toc487014082"/>
      <w:r w:rsidRPr="00883125">
        <w:t>Factors affecting investors' valuation of imputation credits</w:t>
      </w:r>
      <w:bookmarkEnd w:id="278"/>
      <w:bookmarkEnd w:id="279"/>
      <w:bookmarkEnd w:id="280"/>
      <w:bookmarkEnd w:id="285"/>
      <w:bookmarkEnd w:id="286"/>
    </w:p>
    <w:p w:rsidR="00C52695" w:rsidRDefault="00C52695" w:rsidP="00C52695">
      <w:r w:rsidRPr="00883125">
        <w:t xml:space="preserve">A </w:t>
      </w:r>
      <w:r w:rsidR="001A3115">
        <w:t xml:space="preserve">large </w:t>
      </w:r>
      <w:r w:rsidRPr="00883125">
        <w:t>number of service providers submitted that estimates of the utilisation value</w:t>
      </w:r>
      <w:r w:rsidRPr="00883125" w:rsidDel="00D229D2">
        <w:t xml:space="preserve"> </w:t>
      </w:r>
      <w:r w:rsidRPr="00883125">
        <w:t>from the equity ownership approach and tax statistics do not reflect a number of factors which affect investors' valuation of imputation credits.</w:t>
      </w:r>
      <w:r w:rsidRPr="00883125">
        <w:rPr>
          <w:rStyle w:val="FootnoteReference"/>
        </w:rPr>
        <w:footnoteReference w:id="497"/>
      </w:r>
      <w:r w:rsidRPr="00883125">
        <w:t xml:space="preserve"> </w:t>
      </w:r>
      <w:r>
        <w:t>They</w:t>
      </w:r>
      <w:r w:rsidRPr="00883125">
        <w:t xml:space="preserve"> </w:t>
      </w:r>
      <w:r w:rsidR="001A3115">
        <w:t xml:space="preserve">have </w:t>
      </w:r>
      <w:r w:rsidRPr="00883125">
        <w:t>submitted the equity ownership approach is at best an upper bound as domestic investors cannot use imputation credits due to the 45 day rule and investors tha</w:t>
      </w:r>
      <w:r>
        <w:t>t</w:t>
      </w:r>
      <w:r w:rsidRPr="00883125">
        <w:t xml:space="preserve"> can use imputation credit do not value them at full face value.</w:t>
      </w:r>
      <w:r w:rsidRPr="00883125">
        <w:rPr>
          <w:rStyle w:val="FootnoteReference"/>
        </w:rPr>
        <w:footnoteReference w:id="498"/>
      </w:r>
    </w:p>
    <w:p w:rsidR="00C52695" w:rsidRDefault="00C52695" w:rsidP="00C52695">
      <w:r w:rsidRPr="00883125">
        <w:t>Service providers submit that tax statistics provide a closer value of imputation credits in comparison to equity ownership, but it still fails to recognise that investors might value imputation credits at less than face value due to transaction costs, time value of money and portfolio effects.</w:t>
      </w:r>
      <w:r w:rsidRPr="00883125">
        <w:rPr>
          <w:rStyle w:val="FootnoteReference"/>
        </w:rPr>
        <w:footnoteReference w:id="499"/>
      </w:r>
      <w:r w:rsidRPr="00883125">
        <w:t xml:space="preserve"> Gray (for Frontier) supports this by submitting that </w:t>
      </w:r>
      <w:r>
        <w:t xml:space="preserve">the </w:t>
      </w:r>
      <w:r w:rsidRPr="00883125">
        <w:t>redemption rate should be used as an upper bound (0.45-0.46) for utilisation value and that it should not be used as a point estimate for the utilisation rate.</w:t>
      </w:r>
      <w:r w:rsidRPr="00883125">
        <w:rPr>
          <w:rStyle w:val="FootnoteReference"/>
        </w:rPr>
        <w:footnoteReference w:id="500"/>
      </w:r>
      <w:r w:rsidRPr="00883125">
        <w:t xml:space="preserve"> </w:t>
      </w:r>
      <w:r>
        <w:t>Similarly, Frontier considers that redemption rates cannot be used to estimate theta as they at best provide an upper bound for theta.</w:t>
      </w:r>
      <w:r>
        <w:rPr>
          <w:rStyle w:val="FootnoteReference"/>
        </w:rPr>
        <w:footnoteReference w:id="501"/>
      </w:r>
      <w:r>
        <w:t xml:space="preserve"> </w:t>
      </w:r>
      <w:r w:rsidR="00F46E3F">
        <w:t xml:space="preserve">However, </w:t>
      </w:r>
      <w:r w:rsidRPr="00883125">
        <w:t>Gray (for Frontier) considers that the tax statistics estimate should be preferred to the equity ownership estimate.</w:t>
      </w:r>
      <w:r w:rsidRPr="00883125">
        <w:rPr>
          <w:rStyle w:val="FootnoteReference"/>
        </w:rPr>
        <w:footnoteReference w:id="502"/>
      </w:r>
    </w:p>
    <w:p w:rsidR="00C52695" w:rsidRPr="00883125" w:rsidRDefault="00C52695" w:rsidP="00C52695">
      <w:r>
        <w:t>We</w:t>
      </w:r>
      <w:r w:rsidRPr="00883125">
        <w:t xml:space="preserve"> addressed each of these factors in our prior decisions, and concluded that they are either immaterial or should not be accounted for when estimating the properly defined utilisation value. Nothing in the service providers' </w:t>
      </w:r>
      <w:r>
        <w:t>proposals</w:t>
      </w:r>
      <w:r w:rsidRPr="00883125">
        <w:t xml:space="preserve">, </w:t>
      </w:r>
      <w:r w:rsidR="00AD585A">
        <w:t>or</w:t>
      </w:r>
      <w:r w:rsidRPr="00883125">
        <w:t xml:space="preserve"> in the </w:t>
      </w:r>
      <w:r>
        <w:t>recent</w:t>
      </w:r>
      <w:r w:rsidR="00C25A56">
        <w:t xml:space="preserve"> Ausgrid</w:t>
      </w:r>
      <w:r>
        <w:t xml:space="preserve"> </w:t>
      </w:r>
      <w:r w:rsidRPr="00883125">
        <w:t>Tribunal decision</w:t>
      </w:r>
      <w:r>
        <w:t>,</w:t>
      </w:r>
      <w:r w:rsidRPr="00883125">
        <w:t xml:space="preserve"> give us cause to change this conclusion. </w:t>
      </w:r>
      <w:r w:rsidR="0056734B">
        <w:t>W</w:t>
      </w:r>
      <w:r w:rsidRPr="00883125">
        <w:t>e have expanded on the following points in other sections of this decision:</w:t>
      </w:r>
    </w:p>
    <w:p w:rsidR="00C52695" w:rsidRPr="001D37D5" w:rsidRDefault="00C52695" w:rsidP="00C52695">
      <w:pPr>
        <w:pStyle w:val="AERbulletlistfirststyle"/>
      </w:pPr>
      <w:r w:rsidRPr="00883125">
        <w:t xml:space="preserve">Why estimates from tax </w:t>
      </w:r>
      <w:r w:rsidRPr="001D37D5">
        <w:t xml:space="preserve">statistics and the equity ownership approach are not upper bounds and can be used as valid point estimates for the utilisation rate (or theta). See sections </w:t>
      </w:r>
      <w:r w:rsidRPr="001D37D5">
        <w:fldChar w:fldCharType="begin"/>
      </w:r>
      <w:r w:rsidRPr="001D37D5">
        <w:instrText xml:space="preserve"> REF _Ref415049811 \r \h </w:instrText>
      </w:r>
      <w:r w:rsidRPr="001D37D5">
        <w:fldChar w:fldCharType="separate"/>
      </w:r>
      <w:r w:rsidR="007E3457">
        <w:t>A.12</w:t>
      </w:r>
      <w:r w:rsidRPr="001D37D5">
        <w:fldChar w:fldCharType="end"/>
      </w:r>
      <w:r w:rsidRPr="001D37D5">
        <w:t xml:space="preserve">, </w:t>
      </w:r>
      <w:r w:rsidRPr="001D37D5">
        <w:fldChar w:fldCharType="begin"/>
      </w:r>
      <w:r w:rsidRPr="001D37D5">
        <w:instrText xml:space="preserve"> REF _Ref402179420 \r \h </w:instrText>
      </w:r>
      <w:r w:rsidRPr="001D37D5">
        <w:fldChar w:fldCharType="separate"/>
      </w:r>
      <w:r w:rsidR="007E3457">
        <w:t>A.13</w:t>
      </w:r>
      <w:r w:rsidRPr="001D37D5">
        <w:fldChar w:fldCharType="end"/>
      </w:r>
    </w:p>
    <w:p w:rsidR="00C52695" w:rsidRPr="001D37D5" w:rsidRDefault="00C52695" w:rsidP="00C52695">
      <w:pPr>
        <w:pStyle w:val="AERbulletlistfirststyle"/>
      </w:pPr>
      <w:r w:rsidRPr="00883125">
        <w:t xml:space="preserve">Why the 45 day rule </w:t>
      </w:r>
      <w:r w:rsidRPr="001D37D5">
        <w:t>and other factors preventing utilisation by eligible investors are not expected to be responsible for the difference between the estimated utilisation rate from tax statistics and the equity ownership approach. See the following sub section.</w:t>
      </w:r>
    </w:p>
    <w:p w:rsidR="00C52695" w:rsidRPr="00883125" w:rsidRDefault="00C52695" w:rsidP="007F6EED">
      <w:pPr>
        <w:pStyle w:val="HeadingBoldItalic"/>
      </w:pPr>
      <w:bookmarkStart w:id="287" w:name="_Toc456614314"/>
      <w:bookmarkStart w:id="288" w:name="_Toc481056694"/>
      <w:bookmarkStart w:id="289" w:name="_Toc481061488"/>
      <w:r w:rsidRPr="00883125">
        <w:t>The 45-day holding rule</w:t>
      </w:r>
      <w:bookmarkEnd w:id="287"/>
      <w:bookmarkEnd w:id="288"/>
      <w:bookmarkEnd w:id="289"/>
    </w:p>
    <w:p w:rsidR="00C52695" w:rsidRPr="00883125" w:rsidRDefault="00C52695" w:rsidP="00C52695">
      <w:pPr>
        <w:numPr>
          <w:ilvl w:val="0"/>
          <w:numId w:val="24"/>
        </w:numPr>
      </w:pPr>
      <w:r w:rsidRPr="00883125">
        <w:t>To be eligible to utilise imputation credits, an otherwise-eligible investor must have held the shares that distributed the credits ‘at risk’ for at least 45 days (90 days for certain preference shares).</w:t>
      </w:r>
      <w:r w:rsidRPr="00883125">
        <w:rPr>
          <w:rStyle w:val="FootnoteReference"/>
        </w:rPr>
        <w:footnoteReference w:id="503"/>
      </w:r>
      <w:r w:rsidRPr="00883125">
        <w:t xml:space="preserve"> However, this rule does not apply if the investor's total credit entitlement is below $5,000.</w:t>
      </w:r>
      <w:r w:rsidR="00EA1D26">
        <w:t xml:space="preserve"> </w:t>
      </w:r>
      <w:r w:rsidRPr="00883125">
        <w:t>A number of service providers stated:</w:t>
      </w:r>
      <w:r w:rsidRPr="00883125">
        <w:rPr>
          <w:rStyle w:val="FootnoteReference"/>
        </w:rPr>
        <w:footnoteReference w:id="504"/>
      </w:r>
    </w:p>
    <w:p w:rsidR="00C52695" w:rsidRPr="00CA67C0" w:rsidRDefault="00C52695" w:rsidP="00C52695">
      <w:pPr>
        <w:pStyle w:val="AERquote"/>
      </w:pPr>
      <w:r w:rsidRPr="00883125">
        <w:t>It has been estimated that the 45-day rule has about a 5-10% impact on the redemption rate.</w:t>
      </w:r>
    </w:p>
    <w:p w:rsidR="00C52695" w:rsidRPr="00883125" w:rsidRDefault="00C52695" w:rsidP="00C52695">
      <w:pPr>
        <w:numPr>
          <w:ilvl w:val="0"/>
          <w:numId w:val="24"/>
        </w:numPr>
      </w:pPr>
      <w:r w:rsidRPr="00883125">
        <w:t>The source of this estimate is a 2010 paper by Handley. The relevant passage from this paper is:</w:t>
      </w:r>
      <w:r w:rsidRPr="00883125">
        <w:rPr>
          <w:rStyle w:val="FootnoteReference"/>
        </w:rPr>
        <w:footnoteReference w:id="505"/>
      </w:r>
    </w:p>
    <w:p w:rsidR="00C52695" w:rsidRPr="00883125" w:rsidRDefault="00C52695" w:rsidP="00C52695">
      <w:pPr>
        <w:pStyle w:val="AERquote"/>
      </w:pPr>
      <w:r w:rsidRPr="00883125">
        <w:t>Post 1 July 2000, [Handley and Maheswaran in their 2008 paper] assume full utilization of credits by resident individuals since excess credits were refundable from that time. It is of course likely that the actual utilization rate would be somewhat lower due to for example, “investor irrationality” and the impact of the 45 day rule but any difference is likely to be small. (The effect of the 45 day rule is that the franking credit is denied i.e. the credit is worthless unless certain conditions are satisfied. I am not aware of any data on the extent to which credits have been denied pursuant to this rule, but one would expect that it continues to have some operation each year. As a guide, in their table 4, [Handley and Maheswaran] report that the estimated credit utilization rate for resident individuals was 94% in 1998, 89% in 1999 and 90% in 2000. Since the rule was operating at this time and assuming the less than 100% utilization is fully attributable to the impact of the 45 day rule (which would not be the case since credits were not refundable at that time), then the rule would have had about a 5-10% impact on the utilisation rate.)</w:t>
      </w:r>
    </w:p>
    <w:p w:rsidR="00C52695" w:rsidRPr="00883125" w:rsidRDefault="00C52695" w:rsidP="00C52695">
      <w:pPr>
        <w:numPr>
          <w:ilvl w:val="0"/>
          <w:numId w:val="24"/>
        </w:numPr>
      </w:pPr>
      <w:r w:rsidRPr="00883125">
        <w:t>Thus, it seems the service providers' submission as to the impact of the 45-day holding rule misinterprets the source data upon which it relies, being Handley and Maheswaran's 2008 paper. It does not appear that Handley ever intended the 5 to 10 per cent figure to be considered a point estimate of the effect of the 45-day holding rule. Rather, we consider that it was presented as a ‘guide’ to the maximum theoretical effect of the rule’s operation as indicated by the analysis conducted in Handley and Maheswaran. Our interpretation of Handley’s intention is supported by the fact that in their paper Handley and Maheswaran consider the post-2000 utilisation rate to be 1. That is, we consider that if Handley and Maheswaran had available to them a reliable estimate of the effect of the 45-day holding rule, then they would have used it. As Handley stated in his 2010 paper, he 'is not aware of any data on the extent to which credits have been denied pursuant to this rule'.</w:t>
      </w:r>
      <w:r w:rsidRPr="00883125">
        <w:rPr>
          <w:rStyle w:val="FootnoteReference"/>
        </w:rPr>
        <w:footnoteReference w:id="506"/>
      </w:r>
      <w:r w:rsidRPr="00883125">
        <w:t xml:space="preserve"> Handley maintained this view in his April 2015 report.</w:t>
      </w:r>
      <w:r w:rsidRPr="00883125">
        <w:rPr>
          <w:rStyle w:val="FootnoteReference"/>
        </w:rPr>
        <w:footnoteReference w:id="507"/>
      </w:r>
    </w:p>
    <w:p w:rsidR="00C52695" w:rsidRPr="00883125" w:rsidRDefault="00C52695" w:rsidP="00C52695">
      <w:pPr>
        <w:numPr>
          <w:ilvl w:val="0"/>
          <w:numId w:val="24"/>
        </w:numPr>
      </w:pPr>
      <w:r w:rsidRPr="00883125">
        <w:t>It is also appears from the above quote that Handley and Maheswaran considered that, if anything, the 5 to 10 per cent estimate would be an overestimate of the impact of the 45 day rule. This is because they attribute the full underutilisation of credits in 1998, 1999 and 2000 to the 45 day rule. However, they also note that, in reality, part of this underutilisation would reflect that credits for eligible investors that did not have a tax liability were not refundable in those years (whereas they are now refundable for cash).</w:t>
      </w:r>
    </w:p>
    <w:p w:rsidR="00757B4D" w:rsidRPr="00883125" w:rsidRDefault="00647F58" w:rsidP="00C70961">
      <w:pPr>
        <w:numPr>
          <w:ilvl w:val="0"/>
          <w:numId w:val="24"/>
        </w:numPr>
      </w:pPr>
      <w:r>
        <w:t>T</w:t>
      </w:r>
      <w:r w:rsidRPr="00883125">
        <w:t xml:space="preserve">he </w:t>
      </w:r>
      <w:r>
        <w:t xml:space="preserve">Ausgrid </w:t>
      </w:r>
      <w:r w:rsidR="00C52695" w:rsidRPr="00883125">
        <w:t>Tribunal did not agree with ou</w:t>
      </w:r>
      <w:r w:rsidR="00C52695">
        <w:t>r</w:t>
      </w:r>
      <w:r w:rsidR="00C52695" w:rsidRPr="00883125">
        <w:t xml:space="preserve"> position.</w:t>
      </w:r>
      <w:r w:rsidR="00C52695" w:rsidRPr="00883125">
        <w:rPr>
          <w:rStyle w:val="FootnoteReference"/>
        </w:rPr>
        <w:footnoteReference w:id="508"/>
      </w:r>
      <w:r w:rsidR="00C52695" w:rsidRPr="00883125">
        <w:t xml:space="preserve"> The </w:t>
      </w:r>
      <w:r>
        <w:t xml:space="preserve">Ausgrid </w:t>
      </w:r>
      <w:r w:rsidR="00C52695" w:rsidRPr="00883125">
        <w:t>Tribunal considered that the issue is not whether such a class exists (domestic investors that hold for less than 45 days), but the size of that class to which the value of imputation credits is lower as a result of domestic shareholders being unable to use them.</w:t>
      </w:r>
      <w:r w:rsidR="00C52695" w:rsidRPr="00883125">
        <w:rPr>
          <w:rStyle w:val="FootnoteReference"/>
        </w:rPr>
        <w:footnoteReference w:id="509"/>
      </w:r>
      <w:r w:rsidR="00C52695" w:rsidRPr="00883125">
        <w:t xml:space="preserve"> However, as outlined below, </w:t>
      </w:r>
      <w:r w:rsidR="00C52695">
        <w:t>we</w:t>
      </w:r>
      <w:r w:rsidR="00C52695" w:rsidRPr="00883125">
        <w:t xml:space="preserve"> remain of the view that the 45 day rule </w:t>
      </w:r>
      <w:r w:rsidR="00C52695">
        <w:t xml:space="preserve">and other facts preventing utilisation by eligible investors </w:t>
      </w:r>
      <w:r w:rsidR="00C52695" w:rsidRPr="00883125">
        <w:t xml:space="preserve">is likely to be having an immaterial impact on the utilisation </w:t>
      </w:r>
      <w:r w:rsidR="00C52695">
        <w:t>value</w:t>
      </w:r>
      <w:r w:rsidR="00C52695" w:rsidRPr="00883125">
        <w:t xml:space="preserve"> by domestic investors. For clarity, </w:t>
      </w:r>
      <w:r w:rsidR="00C52695">
        <w:t>we do</w:t>
      </w:r>
      <w:r w:rsidR="00C52695" w:rsidRPr="00883125">
        <w:t xml:space="preserve"> not claim there are no domestic investors that hold shares for less than 45 days over the ex-dividend date. However, </w:t>
      </w:r>
      <w:r w:rsidR="00C52695">
        <w:t>we</w:t>
      </w:r>
      <w:r w:rsidR="00C52695" w:rsidRPr="00883125">
        <w:t xml:space="preserve"> consider this class of investors (that holds share for less than 45 days over the ex-dividend date) is likely to be immaterial in size and the extent to which the value of imputation credits is lower as a result of domestic investors being unable to use them due to this is likely to be immaterial. We also note there is no compelling evidence to the contrary.</w:t>
      </w:r>
    </w:p>
    <w:p w:rsidR="00C52695" w:rsidRPr="00883125" w:rsidRDefault="00C52695" w:rsidP="00C52695">
      <w:pPr>
        <w:numPr>
          <w:ilvl w:val="0"/>
          <w:numId w:val="24"/>
        </w:numPr>
      </w:pPr>
      <w:r w:rsidRPr="00883125">
        <w:t>One source of evidence on the effect of the rule is Hathaway's analysis of ATO data. This analysis indicates the reported amounts of fully franked dividends received and imputation credits utilised by taxpayers. Taxpayers are required to report in their tax returns all franked dividends received, but only those imputation credits that they are eligible to utilise (bearing in mind the 45-day holding rule and other criteria).</w:t>
      </w:r>
      <w:r w:rsidRPr="00883125">
        <w:rPr>
          <w:rStyle w:val="FootnoteReference"/>
        </w:rPr>
        <w:footnoteReference w:id="510"/>
      </w:r>
      <w:r w:rsidRPr="00883125">
        <w:t xml:space="preserve"> We know that the amount of imputation credits attached to a dollar of fully franked dividends is $0.43 ($1 x 0.3/(1–0.3)).</w:t>
      </w:r>
      <w:r w:rsidRPr="00883125">
        <w:rPr>
          <w:rStyle w:val="FootnoteReference"/>
        </w:rPr>
        <w:footnoteReference w:id="511"/>
      </w:r>
      <w:r w:rsidRPr="00883125">
        <w:t xml:space="preserve"> Accordingly, we can compare the amount of imputation credits utilised by taxpayers with the amount of imputation credits received by those taxpayers as implied by the amount of fully franked dividends received. If the 45-day holding rule is having a material effect, then we would expect to see that the amount of credits utilised is materially lower than the amount of credits implied to have been received. </w:t>
      </w:r>
      <w:r w:rsidRPr="00883125">
        <w:fldChar w:fldCharType="begin"/>
      </w:r>
      <w:r w:rsidRPr="00883125">
        <w:instrText xml:space="preserve"> REF _Ref401848641 \h </w:instrText>
      </w:r>
      <w:r w:rsidRPr="00883125">
        <w:fldChar w:fldCharType="separate"/>
      </w:r>
      <w:r w:rsidR="007E3457" w:rsidRPr="00883125">
        <w:t xml:space="preserve">Table </w:t>
      </w:r>
      <w:r w:rsidR="007E3457">
        <w:rPr>
          <w:noProof/>
        </w:rPr>
        <w:t>4</w:t>
      </w:r>
      <w:r w:rsidR="007E3457">
        <w:noBreakHyphen/>
      </w:r>
      <w:r w:rsidR="007E3457">
        <w:rPr>
          <w:noProof/>
        </w:rPr>
        <w:t>13</w:t>
      </w:r>
      <w:r w:rsidRPr="00883125">
        <w:fldChar w:fldCharType="end"/>
      </w:r>
      <w:r w:rsidRPr="00883125">
        <w:t xml:space="preserve"> shows the relevant data for the two major classes of investor eligible to utilise imputation credits: individuals and superannuation funds. It shows that the amount of credits utilised is effectively the same as the amount of credits that are implied to have been received.</w:t>
      </w:r>
      <w:r w:rsidRPr="00883125">
        <w:rPr>
          <w:rStyle w:val="FootnoteReference"/>
        </w:rPr>
        <w:footnoteReference w:id="512"/>
      </w:r>
      <w:r w:rsidRPr="00883125">
        <w:t xml:space="preserve"> This suggests that the 45-day holding rule is not having a material effect.</w:t>
      </w:r>
    </w:p>
    <w:p w:rsidR="00C52695" w:rsidRPr="00883125" w:rsidRDefault="00C52695" w:rsidP="00C52695">
      <w:pPr>
        <w:pStyle w:val="Caption"/>
      </w:pPr>
      <w:bookmarkStart w:id="290" w:name="_Ref401848641"/>
      <w:r w:rsidRPr="00883125">
        <w:t xml:space="preserve">Table </w:t>
      </w:r>
      <w:r w:rsidRPr="001D37D5">
        <w:fldChar w:fldCharType="begin"/>
      </w:r>
      <w:r>
        <w:instrText xml:space="preserve"> STYLEREF 1 \s </w:instrText>
      </w:r>
      <w:r w:rsidRPr="001D37D5">
        <w:fldChar w:fldCharType="separate"/>
      </w:r>
      <w:r w:rsidR="007E3457">
        <w:rPr>
          <w:noProof/>
        </w:rPr>
        <w:t>4</w:t>
      </w:r>
      <w:r w:rsidRPr="001D37D5">
        <w:fldChar w:fldCharType="end"/>
      </w:r>
      <w:r>
        <w:noBreakHyphen/>
      </w:r>
      <w:r w:rsidRPr="001D37D5">
        <w:fldChar w:fldCharType="begin"/>
      </w:r>
      <w:r>
        <w:instrText xml:space="preserve"> SEQ Table \* ARABIC \s 1 </w:instrText>
      </w:r>
      <w:r w:rsidRPr="001D37D5">
        <w:fldChar w:fldCharType="separate"/>
      </w:r>
      <w:r w:rsidR="007E3457">
        <w:rPr>
          <w:noProof/>
        </w:rPr>
        <w:t>13</w:t>
      </w:r>
      <w:r w:rsidRPr="001D37D5">
        <w:fldChar w:fldCharType="end"/>
      </w:r>
      <w:bookmarkEnd w:id="290"/>
      <w:r w:rsidRPr="00883125">
        <w:tab/>
        <w:t>Imputation credits received and utilised, 2004–2011 – $ billions</w:t>
      </w:r>
    </w:p>
    <w:tbl>
      <w:tblPr>
        <w:tblStyle w:val="AERtable-numbers"/>
        <w:tblW w:w="0" w:type="auto"/>
        <w:tblLook w:val="04A0" w:firstRow="1" w:lastRow="0" w:firstColumn="1" w:lastColumn="0" w:noHBand="0" w:noVBand="1"/>
      </w:tblPr>
      <w:tblGrid>
        <w:gridCol w:w="3817"/>
        <w:gridCol w:w="2712"/>
        <w:gridCol w:w="2713"/>
      </w:tblGrid>
      <w:tr w:rsidR="00C52695" w:rsidTr="006425B8">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817" w:type="dxa"/>
          </w:tcPr>
          <w:p w:rsidR="00C52695" w:rsidRPr="00883125" w:rsidRDefault="00C52695" w:rsidP="00C52695">
            <w:pPr>
              <w:numPr>
                <w:ilvl w:val="0"/>
                <w:numId w:val="24"/>
              </w:numPr>
            </w:pPr>
          </w:p>
        </w:tc>
        <w:tc>
          <w:tcPr>
            <w:tcW w:w="2712" w:type="dxa"/>
          </w:tcPr>
          <w:p w:rsidR="00C52695" w:rsidRPr="00883125" w:rsidRDefault="00C52695" w:rsidP="00C52695">
            <w:pPr>
              <w:numPr>
                <w:ilvl w:val="0"/>
                <w:numId w:val="24"/>
              </w:numPr>
              <w:cnfStyle w:val="100000000000" w:firstRow="1" w:lastRow="0" w:firstColumn="0" w:lastColumn="0" w:oddVBand="0" w:evenVBand="0" w:oddHBand="0" w:evenHBand="0" w:firstRowFirstColumn="0" w:firstRowLastColumn="0" w:lastRowFirstColumn="0" w:lastRowLastColumn="0"/>
            </w:pPr>
            <w:r w:rsidRPr="00883125">
              <w:t>Individuals</w:t>
            </w:r>
          </w:p>
        </w:tc>
        <w:tc>
          <w:tcPr>
            <w:tcW w:w="2713" w:type="dxa"/>
          </w:tcPr>
          <w:p w:rsidR="00C52695" w:rsidRPr="00883125" w:rsidRDefault="00C52695" w:rsidP="00C52695">
            <w:pPr>
              <w:numPr>
                <w:ilvl w:val="0"/>
                <w:numId w:val="24"/>
              </w:numPr>
              <w:cnfStyle w:val="100000000000" w:firstRow="1" w:lastRow="0" w:firstColumn="0" w:lastColumn="0" w:oddVBand="0" w:evenVBand="0" w:oddHBand="0" w:evenHBand="0" w:firstRowFirstColumn="0" w:firstRowLastColumn="0" w:lastRowFirstColumn="0" w:lastRowLastColumn="0"/>
            </w:pPr>
            <w:r w:rsidRPr="00883125">
              <w:t>Superannuation funds</w:t>
            </w:r>
          </w:p>
        </w:tc>
      </w:tr>
      <w:tr w:rsidR="00C52695" w:rsidTr="006425B8">
        <w:trPr>
          <w:cantSplit/>
        </w:trPr>
        <w:tc>
          <w:tcPr>
            <w:cnfStyle w:val="001000000000" w:firstRow="0" w:lastRow="0" w:firstColumn="1" w:lastColumn="0" w:oddVBand="0" w:evenVBand="0" w:oddHBand="0" w:evenHBand="0" w:firstRowFirstColumn="0" w:firstRowLastColumn="0" w:lastRowFirstColumn="0" w:lastRowLastColumn="0"/>
            <w:tcW w:w="3817" w:type="dxa"/>
          </w:tcPr>
          <w:p w:rsidR="00C52695" w:rsidRPr="00883125" w:rsidRDefault="00C52695" w:rsidP="00C52695">
            <w:pPr>
              <w:numPr>
                <w:ilvl w:val="0"/>
                <w:numId w:val="24"/>
              </w:numPr>
            </w:pPr>
            <w:r w:rsidRPr="00883125">
              <w:t>Fully franked dividends received</w:t>
            </w:r>
          </w:p>
        </w:tc>
        <w:tc>
          <w:tcPr>
            <w:tcW w:w="2712" w:type="dxa"/>
          </w:tcPr>
          <w:p w:rsidR="00C52695" w:rsidRPr="00883125" w:rsidRDefault="00C52695" w:rsidP="00C52695">
            <w:pPr>
              <w:numPr>
                <w:ilvl w:val="0"/>
                <w:numId w:val="24"/>
              </w:numPr>
              <w:cnfStyle w:val="000000000000" w:firstRow="0" w:lastRow="0" w:firstColumn="0" w:lastColumn="0" w:oddVBand="0" w:evenVBand="0" w:oddHBand="0" w:evenHBand="0" w:firstRowFirstColumn="0" w:firstRowLastColumn="0" w:lastRowFirstColumn="0" w:lastRowLastColumn="0"/>
            </w:pPr>
            <w:r w:rsidRPr="00883125">
              <w:t>188.1</w:t>
            </w:r>
          </w:p>
        </w:tc>
        <w:tc>
          <w:tcPr>
            <w:tcW w:w="2713" w:type="dxa"/>
          </w:tcPr>
          <w:p w:rsidR="00C52695" w:rsidRPr="00883125" w:rsidRDefault="00C52695" w:rsidP="00C52695">
            <w:pPr>
              <w:numPr>
                <w:ilvl w:val="0"/>
                <w:numId w:val="24"/>
              </w:numPr>
              <w:cnfStyle w:val="000000000000" w:firstRow="0" w:lastRow="0" w:firstColumn="0" w:lastColumn="0" w:oddVBand="0" w:evenVBand="0" w:oddHBand="0" w:evenHBand="0" w:firstRowFirstColumn="0" w:firstRowLastColumn="0" w:lastRowFirstColumn="0" w:lastRowLastColumn="0"/>
            </w:pPr>
            <w:r w:rsidRPr="00883125">
              <w:t>84.8</w:t>
            </w:r>
          </w:p>
        </w:tc>
      </w:tr>
      <w:tr w:rsidR="00C52695" w:rsidTr="006425B8">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817" w:type="dxa"/>
          </w:tcPr>
          <w:p w:rsidR="00C52695" w:rsidRPr="00883125" w:rsidRDefault="00C52695" w:rsidP="00C52695">
            <w:pPr>
              <w:numPr>
                <w:ilvl w:val="0"/>
                <w:numId w:val="24"/>
              </w:numPr>
              <w:rPr>
                <w:rStyle w:val="AERtextitalic"/>
              </w:rPr>
            </w:pPr>
            <w:r w:rsidRPr="00883125">
              <w:rPr>
                <w:rStyle w:val="AERtextitalic"/>
              </w:rPr>
              <w:t>Implied imputation credits received</w:t>
            </w:r>
          </w:p>
        </w:tc>
        <w:tc>
          <w:tcPr>
            <w:tcW w:w="2712" w:type="dxa"/>
          </w:tcPr>
          <w:p w:rsidR="00C52695" w:rsidRPr="00883125" w:rsidRDefault="00C52695" w:rsidP="00C52695">
            <w:pPr>
              <w:numPr>
                <w:ilvl w:val="0"/>
                <w:numId w:val="24"/>
              </w:numPr>
              <w:cnfStyle w:val="000000010000" w:firstRow="0" w:lastRow="0" w:firstColumn="0" w:lastColumn="0" w:oddVBand="0" w:evenVBand="0" w:oddHBand="0" w:evenHBand="1" w:firstRowFirstColumn="0" w:firstRowLastColumn="0" w:lastRowFirstColumn="0" w:lastRowLastColumn="0"/>
              <w:rPr>
                <w:rStyle w:val="AERtextitalic"/>
              </w:rPr>
            </w:pPr>
            <w:r w:rsidRPr="00883125">
              <w:rPr>
                <w:rStyle w:val="AERtextitalic"/>
              </w:rPr>
              <w:t>80.6</w:t>
            </w:r>
          </w:p>
        </w:tc>
        <w:tc>
          <w:tcPr>
            <w:tcW w:w="2713" w:type="dxa"/>
          </w:tcPr>
          <w:p w:rsidR="00C52695" w:rsidRPr="00883125" w:rsidRDefault="00C52695" w:rsidP="00C52695">
            <w:pPr>
              <w:numPr>
                <w:ilvl w:val="0"/>
                <w:numId w:val="24"/>
              </w:numPr>
              <w:cnfStyle w:val="000000010000" w:firstRow="0" w:lastRow="0" w:firstColumn="0" w:lastColumn="0" w:oddVBand="0" w:evenVBand="0" w:oddHBand="0" w:evenHBand="1" w:firstRowFirstColumn="0" w:firstRowLastColumn="0" w:lastRowFirstColumn="0" w:lastRowLastColumn="0"/>
              <w:rPr>
                <w:rStyle w:val="AERtextitalic"/>
              </w:rPr>
            </w:pPr>
            <w:r w:rsidRPr="00883125">
              <w:rPr>
                <w:rStyle w:val="AERtextitalic"/>
              </w:rPr>
              <w:t>36.3</w:t>
            </w:r>
          </w:p>
        </w:tc>
      </w:tr>
      <w:tr w:rsidR="00C52695" w:rsidTr="006425B8">
        <w:trPr>
          <w:cantSplit/>
        </w:trPr>
        <w:tc>
          <w:tcPr>
            <w:cnfStyle w:val="001000000000" w:firstRow="0" w:lastRow="0" w:firstColumn="1" w:lastColumn="0" w:oddVBand="0" w:evenVBand="0" w:oddHBand="0" w:evenHBand="0" w:firstRowFirstColumn="0" w:firstRowLastColumn="0" w:lastRowFirstColumn="0" w:lastRowLastColumn="0"/>
            <w:tcW w:w="3817" w:type="dxa"/>
          </w:tcPr>
          <w:p w:rsidR="00C52695" w:rsidRPr="00883125" w:rsidRDefault="00C52695" w:rsidP="00C52695">
            <w:pPr>
              <w:numPr>
                <w:ilvl w:val="0"/>
                <w:numId w:val="24"/>
              </w:numPr>
            </w:pPr>
            <w:r w:rsidRPr="00883125">
              <w:t>Imputation credits utilised</w:t>
            </w:r>
          </w:p>
        </w:tc>
        <w:tc>
          <w:tcPr>
            <w:tcW w:w="2712" w:type="dxa"/>
          </w:tcPr>
          <w:p w:rsidR="00C52695" w:rsidRPr="00883125" w:rsidRDefault="00C52695" w:rsidP="00C52695">
            <w:pPr>
              <w:numPr>
                <w:ilvl w:val="0"/>
                <w:numId w:val="24"/>
              </w:numPr>
              <w:cnfStyle w:val="000000000000" w:firstRow="0" w:lastRow="0" w:firstColumn="0" w:lastColumn="0" w:oddVBand="0" w:evenVBand="0" w:oddHBand="0" w:evenHBand="0" w:firstRowFirstColumn="0" w:firstRowLastColumn="0" w:lastRowFirstColumn="0" w:lastRowLastColumn="0"/>
            </w:pPr>
            <w:r w:rsidRPr="00883125">
              <w:t>81.2</w:t>
            </w:r>
          </w:p>
        </w:tc>
        <w:tc>
          <w:tcPr>
            <w:tcW w:w="2713" w:type="dxa"/>
          </w:tcPr>
          <w:p w:rsidR="00C52695" w:rsidRPr="00883125" w:rsidRDefault="00C52695" w:rsidP="00C52695">
            <w:pPr>
              <w:numPr>
                <w:ilvl w:val="0"/>
                <w:numId w:val="24"/>
              </w:numPr>
              <w:cnfStyle w:val="000000000000" w:firstRow="0" w:lastRow="0" w:firstColumn="0" w:lastColumn="0" w:oddVBand="0" w:evenVBand="0" w:oddHBand="0" w:evenHBand="0" w:firstRowFirstColumn="0" w:firstRowLastColumn="0" w:lastRowFirstColumn="0" w:lastRowLastColumn="0"/>
            </w:pPr>
            <w:r w:rsidRPr="00883125">
              <w:t>36.2</w:t>
            </w:r>
          </w:p>
        </w:tc>
      </w:tr>
    </w:tbl>
    <w:p w:rsidR="00C52695" w:rsidRPr="00883125" w:rsidRDefault="00C52695" w:rsidP="00C52695">
      <w:pPr>
        <w:pStyle w:val="AERtablesource"/>
      </w:pPr>
      <w:r w:rsidRPr="00883125">
        <w:t xml:space="preserve">Source: </w:t>
      </w:r>
      <w:r w:rsidRPr="00883125">
        <w:tab/>
        <w:t xml:space="preserve">N. Hathaway, </w:t>
      </w:r>
      <w:r w:rsidRPr="00883125">
        <w:rPr>
          <w:rStyle w:val="AERtextitalic"/>
        </w:rPr>
        <w:t>Imputation credit redemption ATO data 1988–2011: Where have all the credits gone?</w:t>
      </w:r>
      <w:r w:rsidRPr="00883125">
        <w:t>, September 2013; AER analysis.</w:t>
      </w:r>
    </w:p>
    <w:p w:rsidR="00C52695" w:rsidRPr="00883125" w:rsidRDefault="00C52695" w:rsidP="00C52695">
      <w:r w:rsidRPr="00883125">
        <w:t>However, service providers submit</w:t>
      </w:r>
      <w:r>
        <w:t>ted</w:t>
      </w:r>
      <w:r w:rsidRPr="00883125">
        <w:t xml:space="preserve"> the analysis that underpins this analysis is based on data that is unreliable.</w:t>
      </w:r>
      <w:r w:rsidRPr="00883125">
        <w:rPr>
          <w:rStyle w:val="FootnoteReference"/>
        </w:rPr>
        <w:footnoteReference w:id="513"/>
      </w:r>
      <w:r w:rsidRPr="00883125">
        <w:t xml:space="preserve"> </w:t>
      </w:r>
      <w:r>
        <w:t>We</w:t>
      </w:r>
      <w:r w:rsidRPr="00883125">
        <w:t xml:space="preserve"> recognise the data limitations</w:t>
      </w:r>
      <w:r>
        <w:t>,</w:t>
      </w:r>
      <w:r w:rsidRPr="00883125">
        <w:t xml:space="preserve"> but as outlined in section </w:t>
      </w:r>
      <w:r w:rsidRPr="00883125">
        <w:fldChar w:fldCharType="begin"/>
      </w:r>
      <w:r w:rsidRPr="00883125">
        <w:instrText xml:space="preserve"> REF _Ref450297745 \r \h </w:instrText>
      </w:r>
      <w:r w:rsidRPr="00883125">
        <w:fldChar w:fldCharType="separate"/>
      </w:r>
      <w:r w:rsidR="007E3457">
        <w:t>A.10.4</w:t>
      </w:r>
      <w:r w:rsidRPr="00883125">
        <w:fldChar w:fldCharType="end"/>
      </w:r>
      <w:r w:rsidRPr="00883125">
        <w:t xml:space="preserve">, </w:t>
      </w:r>
      <w:r>
        <w:t>we</w:t>
      </w:r>
      <w:r w:rsidRPr="00883125">
        <w:t xml:space="preserve"> note this is the best data available and there is no evidence before </w:t>
      </w:r>
      <w:r>
        <w:t>us</w:t>
      </w:r>
      <w:r w:rsidRPr="00883125">
        <w:t xml:space="preserve"> </w:t>
      </w:r>
      <w:r>
        <w:t xml:space="preserve">that </w:t>
      </w:r>
      <w:r w:rsidRPr="00883125">
        <w:t>the 45 day rule is having a material effect</w:t>
      </w:r>
      <w:r>
        <w:t>.</w:t>
      </w:r>
    </w:p>
    <w:p w:rsidR="00C52695" w:rsidRPr="00883125" w:rsidRDefault="00C52695" w:rsidP="00C52695">
      <w:r w:rsidRPr="00883125">
        <w:t xml:space="preserve">Based on these considerations, the 45-day holding rule does not appear to have a material effect on the utilisation rate. The analysis above was presented in our draft decisions released in 2014, but the service </w:t>
      </w:r>
      <w:r w:rsidR="0056734B">
        <w:t>providers</w:t>
      </w:r>
      <w:r w:rsidRPr="00883125">
        <w:t xml:space="preserve"> subject of those</w:t>
      </w:r>
      <w:r w:rsidR="0056734B">
        <w:t xml:space="preserve"> proposals</w:t>
      </w:r>
      <w:r w:rsidR="00BB4E44" w:rsidRPr="00883125">
        <w:t xml:space="preserve"> </w:t>
      </w:r>
      <w:r w:rsidRPr="00883125">
        <w:t>did not comment on it in their revised proposals. Instead, they submitted:</w:t>
      </w:r>
      <w:r w:rsidRPr="00883125">
        <w:rPr>
          <w:rStyle w:val="FootnoteReference"/>
        </w:rPr>
        <w:footnoteReference w:id="514"/>
      </w:r>
    </w:p>
    <w:p w:rsidR="00C52695" w:rsidRPr="00883125" w:rsidRDefault="00C52695" w:rsidP="00C52695">
      <w:pPr>
        <w:pStyle w:val="AERquote"/>
      </w:pPr>
      <w:r w:rsidRPr="00883125">
        <w:t>The AER seeks to dismiss the impact of tax rules affecting eligibility of domestic investors to redeem imputation credits by saying that:</w:t>
      </w:r>
    </w:p>
    <w:p w:rsidR="00C52695" w:rsidRPr="00883125" w:rsidRDefault="00C52695" w:rsidP="00C52695">
      <w:pPr>
        <w:pStyle w:val="AERquoteindent2"/>
      </w:pPr>
      <w:r w:rsidRPr="00883125">
        <w:t>“…we do not consider that there is clear evidence as to effect that these rules have or should be expected to have.”</w:t>
      </w:r>
    </w:p>
    <w:p w:rsidR="00C52695" w:rsidRPr="00883125" w:rsidRDefault="00C52695" w:rsidP="00C52695">
      <w:pPr>
        <w:pStyle w:val="AERquote"/>
      </w:pPr>
      <w:r w:rsidRPr="00883125">
        <w:t>…[we do] not consider that there must be "clear evidence" as to the effect of particular tax rules in order for these to be taken into account. The fact is that these rules exist and that they will affect the eligibility of certain domestic investors to redeem imputation credits.</w:t>
      </w:r>
    </w:p>
    <w:p w:rsidR="00C52695" w:rsidRPr="00883125" w:rsidRDefault="00C52695" w:rsidP="00C52695">
      <w:pPr>
        <w:pStyle w:val="AERquote"/>
      </w:pPr>
      <w:r w:rsidRPr="00883125">
        <w:t>In any event, the fact that the redemption rate indicated by tax statistics is significantly below the domestic equity ownership rate does indicate that these tax rules (and possibly other factors as discussed below) are affecting domestic investors' ability to redeem imputation credits. As the AER observes, the redemption rate indicated by tax statistics is approximately 0.43, which is well below the domestic equity ownership rate for all equity.</w:t>
      </w:r>
    </w:p>
    <w:p w:rsidR="00C52695" w:rsidRPr="00883125" w:rsidRDefault="00C52695" w:rsidP="00C52695">
      <w:r w:rsidRPr="00883125">
        <w:t xml:space="preserve">We do not consider that this represents clear evidence as to the effect of the 45-day rule and other tax rules. </w:t>
      </w:r>
      <w:r w:rsidR="0056734B">
        <w:t>First</w:t>
      </w:r>
      <w:r w:rsidRPr="00883125">
        <w:t xml:space="preserve">, the service providers' approach does not contemplate error or inaccuracy in the tax statistics. In section </w:t>
      </w:r>
      <w:r w:rsidR="00647F58">
        <w:fldChar w:fldCharType="begin"/>
      </w:r>
      <w:r w:rsidR="00647F58">
        <w:instrText xml:space="preserve"> REF _Ref476650811 \r \h </w:instrText>
      </w:r>
      <w:r w:rsidR="00647F58">
        <w:fldChar w:fldCharType="separate"/>
      </w:r>
      <w:r w:rsidR="007E3457">
        <w:t>4.4</w:t>
      </w:r>
      <w:r w:rsidR="00647F58">
        <w:fldChar w:fldCharType="end"/>
      </w:r>
      <w:r w:rsidRPr="00883125">
        <w:t>, we set out data concerns that exist regarding the tax statistics. Further, the</w:t>
      </w:r>
      <w:r>
        <w:t>se</w:t>
      </w:r>
      <w:r w:rsidRPr="00883125">
        <w:t xml:space="preserve"> service providers</w:t>
      </w:r>
      <w:r>
        <w:t>,</w:t>
      </w:r>
      <w:r w:rsidRPr="00883125">
        <w:t xml:space="preserve"> in their initial proposals</w:t>
      </w:r>
      <w:r>
        <w:t>,</w:t>
      </w:r>
      <w:r w:rsidRPr="00883125">
        <w:t xml:space="preserve"> submitted that no weight be placed on estimates of the utilisation rate from tax statistics because of significant unresolved problems with the data.</w:t>
      </w:r>
      <w:r w:rsidRPr="00883125">
        <w:rPr>
          <w:rStyle w:val="FootnoteReference"/>
        </w:rPr>
        <w:footnoteReference w:id="515"/>
      </w:r>
      <w:r w:rsidRPr="00883125">
        <w:t xml:space="preserve"> While it does now appear some service providers </w:t>
      </w:r>
      <w:r>
        <w:t xml:space="preserve">we regulate </w:t>
      </w:r>
      <w:r w:rsidRPr="00883125">
        <w:t>may consider tax statistics can be used to estimate an upper bound for theta,</w:t>
      </w:r>
      <w:r w:rsidRPr="00883125">
        <w:rPr>
          <w:rStyle w:val="FootnoteReference"/>
        </w:rPr>
        <w:footnoteReference w:id="516"/>
      </w:r>
      <w:r w:rsidRPr="00883125">
        <w:t xml:space="preserve"> we do not consider the above analysis provides compelling evidence that the 45 day rule is having a material impact given residual concerns with the data.</w:t>
      </w:r>
    </w:p>
    <w:p w:rsidR="00C52695" w:rsidRPr="00883125" w:rsidRDefault="0056734B" w:rsidP="00C52695">
      <w:pPr>
        <w:rPr>
          <w:rStyle w:val="AERbody"/>
        </w:rPr>
      </w:pPr>
      <w:r>
        <w:t>Second</w:t>
      </w:r>
      <w:r w:rsidR="00C52695" w:rsidRPr="00883125">
        <w:t>, the service providers' conclusion is contradicted by the analysis of tax statistics we presented in our prior decisions and which we repeat above</w:t>
      </w:r>
      <w:r w:rsidR="00C52695" w:rsidRPr="00883125">
        <w:rPr>
          <w:rStyle w:val="AERbody"/>
        </w:rPr>
        <w:t>. While we acknowledge the limitations of the tax data used for this analysis, the service providers themselves have not demonstrated the rule is having a material impact, and we do not consider the rule would be expected to have a material impact.</w:t>
      </w:r>
    </w:p>
    <w:p w:rsidR="00C52695" w:rsidRPr="00883125" w:rsidRDefault="00C52695" w:rsidP="00C52695">
      <w:pPr>
        <w:rPr>
          <w:rStyle w:val="AERbody"/>
        </w:rPr>
      </w:pPr>
      <w:r w:rsidRPr="00883125">
        <w:rPr>
          <w:rStyle w:val="AERbody"/>
        </w:rPr>
        <w:t>Frontier considers the 45-day rule has some effect because other</w:t>
      </w:r>
      <w:r w:rsidRPr="00B27BE5">
        <w:rPr>
          <w:rStyle w:val="AERbody"/>
        </w:rPr>
        <w:t>wise it would be redundant to have the rule.</w:t>
      </w:r>
      <w:r w:rsidRPr="00B27BE5">
        <w:rPr>
          <w:rStyle w:val="FootnoteReference"/>
        </w:rPr>
        <w:footnoteReference w:id="517"/>
      </w:r>
      <w:r w:rsidRPr="00B27BE5">
        <w:rPr>
          <w:rStyle w:val="AERbody"/>
        </w:rPr>
        <w:t xml:space="preserve"> </w:t>
      </w:r>
      <w:r>
        <w:rPr>
          <w:rStyle w:val="AERbody"/>
        </w:rPr>
        <w:t>We do</w:t>
      </w:r>
      <w:r w:rsidRPr="00B27BE5">
        <w:rPr>
          <w:rStyle w:val="AERbody"/>
        </w:rPr>
        <w:t xml:space="preserve"> not agree. </w:t>
      </w:r>
      <w:r>
        <w:rPr>
          <w:rStyle w:val="AERbody"/>
        </w:rPr>
        <w:t>A</w:t>
      </w:r>
      <w:r w:rsidRPr="00B27BE5">
        <w:rPr>
          <w:rStyle w:val="AERbody"/>
        </w:rPr>
        <w:t xml:space="preserve"> </w:t>
      </w:r>
      <w:r>
        <w:rPr>
          <w:rStyle w:val="AERbody"/>
        </w:rPr>
        <w:t>key outcome</w:t>
      </w:r>
      <w:r w:rsidRPr="00B27BE5">
        <w:rPr>
          <w:rStyle w:val="AERbody"/>
        </w:rPr>
        <w:t xml:space="preserve"> of the requirement to hold shares at risk for 45 day in order to receive an imputation credit </w:t>
      </w:r>
      <w:r>
        <w:rPr>
          <w:rStyle w:val="AERbody"/>
        </w:rPr>
        <w:t>will be</w:t>
      </w:r>
      <w:r w:rsidRPr="00B27BE5">
        <w:rPr>
          <w:rStyle w:val="AERbody"/>
        </w:rPr>
        <w:t xml:space="preserve"> to prevent the streaming of imputation credits to investors that value them the most.</w:t>
      </w:r>
      <w:r w:rsidRPr="00B27BE5">
        <w:rPr>
          <w:rStyle w:val="FootnoteReference"/>
        </w:rPr>
        <w:footnoteReference w:id="518"/>
      </w:r>
      <w:r w:rsidRPr="00B27BE5">
        <w:rPr>
          <w:rStyle w:val="AERbody"/>
        </w:rPr>
        <w:t xml:space="preserve"> This could happen where investors that values imputation credits, for example superannuation funds, buy the share before the ex-dividend date and sell the share after the ex-dividend date and hedges their risk exposure over the investment holding period. Therefore, the 45 day rule could logically be not having a material impact on the utilisation value, while sti</w:t>
      </w:r>
      <w:r>
        <w:rPr>
          <w:rStyle w:val="AERbody"/>
        </w:rPr>
        <w:t>l</w:t>
      </w:r>
      <w:r w:rsidRPr="00B27BE5">
        <w:rPr>
          <w:rStyle w:val="AERbody"/>
        </w:rPr>
        <w:t xml:space="preserve">l working as intended and preventing investors from streaming imputation credits to </w:t>
      </w:r>
      <w:r>
        <w:rPr>
          <w:rStyle w:val="AERbody"/>
        </w:rPr>
        <w:t>investors that value them the most</w:t>
      </w:r>
      <w:r w:rsidRPr="00B27BE5">
        <w:rPr>
          <w:rStyle w:val="AERbody"/>
        </w:rPr>
        <w:t>.</w:t>
      </w:r>
    </w:p>
    <w:p w:rsidR="00C52695" w:rsidRDefault="00C52695" w:rsidP="00C52695">
      <w:pPr>
        <w:rPr>
          <w:rStyle w:val="AERbody"/>
        </w:rPr>
      </w:pPr>
      <w:r w:rsidRPr="00883125">
        <w:rPr>
          <w:rStyle w:val="AERbody"/>
        </w:rPr>
        <w:t xml:space="preserve">In his June 2015 report for a number of service providers Gray assert that "[o]ne cannot assume that the effect of the 45-day rule is negligible in the </w:t>
      </w:r>
      <w:r w:rsidRPr="00B27BE5">
        <w:rPr>
          <w:rStyle w:val="AERbody"/>
        </w:rPr>
        <w:t>absence of any data about it."</w:t>
      </w:r>
      <w:r w:rsidRPr="00B27BE5">
        <w:rPr>
          <w:rStyle w:val="FootnoteReference"/>
        </w:rPr>
        <w:footnoteReference w:id="519"/>
      </w:r>
      <w:r w:rsidRPr="00B27BE5">
        <w:rPr>
          <w:rStyle w:val="AERbody"/>
        </w:rPr>
        <w:t xml:space="preserve"> The new report by Gray (for Frontier) does not change our view that the 45 day rule is unlikely to be having a material impact on the utilisation rate. It does not present any data to demonstrate that the 45 day rule is having a material effect on utilisation of imputation credits.</w:t>
      </w:r>
    </w:p>
    <w:p w:rsidR="00C52695" w:rsidRPr="00B27BE5" w:rsidRDefault="00C52695" w:rsidP="00C52695">
      <w:pPr>
        <w:rPr>
          <w:rStyle w:val="AERbody"/>
        </w:rPr>
      </w:pPr>
      <w:r>
        <w:rPr>
          <w:rStyle w:val="AERbody"/>
        </w:rPr>
        <w:t>We consider Lally's</w:t>
      </w:r>
      <w:r w:rsidR="0026412F">
        <w:rPr>
          <w:rStyle w:val="AERbody"/>
        </w:rPr>
        <w:t xml:space="preserve"> </w:t>
      </w:r>
      <w:r>
        <w:rPr>
          <w:rStyle w:val="AERbody"/>
        </w:rPr>
        <w:t xml:space="preserve">report supports our </w:t>
      </w:r>
      <w:r w:rsidR="00116FD8">
        <w:rPr>
          <w:rStyle w:val="AERbody"/>
        </w:rPr>
        <w:t>position</w:t>
      </w:r>
      <w:r>
        <w:rPr>
          <w:rStyle w:val="AERbody"/>
        </w:rPr>
        <w:t xml:space="preserve"> that the 45 day rule is not having a material impact on the utilisation value. Lally notes that that the 45 day rule prevents some 'genuine' investors from obtaining the credits, and therefore drives down the redemption rate, but this downward effect is unlikely to be significant because 'genuine' investors have the option of changing the time of their transactions and would have strong incentives to do so.</w:t>
      </w:r>
      <w:r>
        <w:rPr>
          <w:rStyle w:val="FootnoteReference"/>
        </w:rPr>
        <w:footnoteReference w:id="520"/>
      </w:r>
      <w:r>
        <w:rPr>
          <w:rStyle w:val="AERbody"/>
        </w:rPr>
        <w:t xml:space="preserve"> Further, Lally considers the 45 day rule constrains tax arbitrage and therefore minimises the gap between the correctly estimated redemption rate (tax statistics), and the proportion of Australian equities held by local investors.</w:t>
      </w:r>
      <w:r>
        <w:rPr>
          <w:rStyle w:val="FootnoteReference"/>
        </w:rPr>
        <w:footnoteReference w:id="521"/>
      </w:r>
    </w:p>
    <w:p w:rsidR="00C52695" w:rsidRPr="00883125" w:rsidRDefault="00C52695" w:rsidP="007F6EED">
      <w:pPr>
        <w:pStyle w:val="HeadingBoldItalic"/>
      </w:pPr>
      <w:bookmarkStart w:id="291" w:name="_Ref400540858"/>
      <w:bookmarkStart w:id="292" w:name="_Toc456614315"/>
      <w:bookmarkStart w:id="293" w:name="_Toc481056695"/>
      <w:bookmarkStart w:id="294" w:name="_Toc481061489"/>
      <w:r w:rsidRPr="00883125">
        <w:t>Transactions costs</w:t>
      </w:r>
      <w:bookmarkEnd w:id="291"/>
      <w:bookmarkEnd w:id="292"/>
      <w:bookmarkEnd w:id="293"/>
      <w:bookmarkEnd w:id="294"/>
    </w:p>
    <w:p w:rsidR="00C52695" w:rsidRPr="00883125" w:rsidRDefault="00C52695" w:rsidP="00C52695">
      <w:pPr>
        <w:numPr>
          <w:ilvl w:val="0"/>
          <w:numId w:val="24"/>
        </w:numPr>
      </w:pPr>
      <w:r w:rsidRPr="00883125">
        <w:t>Service providers submitted that the redemption of imputation credits may involve transactions costs, such as requirements to keep records and follow administrative processes.</w:t>
      </w:r>
      <w:r w:rsidRPr="00883125">
        <w:rPr>
          <w:rStyle w:val="FootnoteReference"/>
        </w:rPr>
        <w:footnoteReference w:id="522"/>
      </w:r>
      <w:r w:rsidRPr="00883125">
        <w:t xml:space="preserve"> Service providers also submitted that these transactions costs will tend to reduce their value to investors and may dissuade some investors from redeeming (utilising) imputation credits.</w:t>
      </w:r>
      <w:r w:rsidRPr="00883125">
        <w:rPr>
          <w:rStyle w:val="FootnoteReference"/>
        </w:rPr>
        <w:footnoteReference w:id="523"/>
      </w:r>
      <w:r>
        <w:t xml:space="preserve"> </w:t>
      </w:r>
      <w:r w:rsidR="00647F58">
        <w:t xml:space="preserve">A </w:t>
      </w:r>
      <w:r w:rsidR="00F11F36">
        <w:t>'</w:t>
      </w:r>
      <w:r w:rsidR="00647F58">
        <w:t>transaction cost</w:t>
      </w:r>
      <w:r w:rsidR="00F11F36">
        <w:t>'</w:t>
      </w:r>
      <w:r w:rsidR="00647F58">
        <w:t xml:space="preserve"> </w:t>
      </w:r>
      <w:r w:rsidR="003B39BF">
        <w:t xml:space="preserve">at the investor level </w:t>
      </w:r>
      <w:r w:rsidR="00647F58">
        <w:t xml:space="preserve">is a type of </w:t>
      </w:r>
      <w:r w:rsidR="00F11F36">
        <w:t>'</w:t>
      </w:r>
      <w:r w:rsidR="00647F58">
        <w:t>personal cost</w:t>
      </w:r>
      <w:r w:rsidR="00F11F36">
        <w:t>'</w:t>
      </w:r>
      <w:r w:rsidR="0059076A">
        <w:t xml:space="preserve"> and both terms are used interchangeably in this section.</w:t>
      </w:r>
    </w:p>
    <w:p w:rsidR="00C52695" w:rsidRPr="00883125" w:rsidRDefault="00C52695" w:rsidP="00C52695">
      <w:pPr>
        <w:numPr>
          <w:ilvl w:val="0"/>
          <w:numId w:val="24"/>
        </w:numPr>
      </w:pPr>
      <w:r w:rsidRPr="00883125">
        <w:t xml:space="preserve">Firstly, we note that Handley advised that we specifically </w:t>
      </w:r>
      <w:r>
        <w:t xml:space="preserve">do </w:t>
      </w:r>
      <w:r w:rsidRPr="00883125">
        <w:t>not take account of these costs:</w:t>
      </w:r>
      <w:r w:rsidRPr="00883125">
        <w:rPr>
          <w:rStyle w:val="FootnoteReference"/>
        </w:rPr>
        <w:footnoteReference w:id="524"/>
      </w:r>
    </w:p>
    <w:p w:rsidR="00C52695" w:rsidRPr="00883125" w:rsidRDefault="00C52695" w:rsidP="00C52695">
      <w:pPr>
        <w:pStyle w:val="AERquote"/>
      </w:pPr>
      <w:r w:rsidRPr="00883125">
        <w:t>Since the objective is to estimate the after-company-before-personal-tax value of a distributed imputation credit and also to avoid compensating the regulated firm for transactions costs incurred at the shareholder level then the particular estimation methodology should allow for these factors – in other words, ideally we want the value of credits before administrative costs, personal taxes and diversification costs.</w:t>
      </w:r>
    </w:p>
    <w:p w:rsidR="00632C53" w:rsidRDefault="002364FB" w:rsidP="00630745">
      <w:pPr>
        <w:numPr>
          <w:ilvl w:val="0"/>
          <w:numId w:val="24"/>
        </w:numPr>
      </w:pPr>
      <w:r>
        <w:t xml:space="preserve">To elaborate, all parameters and discount rates need to be measured on a consistent basis. </w:t>
      </w:r>
      <w:r w:rsidR="00E36B57">
        <w:t xml:space="preserve">Multinet </w:t>
      </w:r>
      <w:r w:rsidR="000E131E">
        <w:t xml:space="preserve">and </w:t>
      </w:r>
      <w:r w:rsidR="00630745">
        <w:t xml:space="preserve">AusNet Services </w:t>
      </w:r>
      <w:r w:rsidR="000E131E">
        <w:t xml:space="preserve">Gas Distribution </w:t>
      </w:r>
      <w:r w:rsidR="00630745">
        <w:t>submi</w:t>
      </w:r>
      <w:r w:rsidR="00047E16">
        <w:t>t</w:t>
      </w:r>
      <w:r w:rsidR="00630745">
        <w:t>t</w:t>
      </w:r>
      <w:r w:rsidR="00047E16">
        <w:t>ed</w:t>
      </w:r>
      <w:r w:rsidR="00630745">
        <w:t xml:space="preserve"> that </w:t>
      </w:r>
      <w:r w:rsidR="000E131E">
        <w:t>their</w:t>
      </w:r>
      <w:r w:rsidR="00630745">
        <w:t xml:space="preserve"> gamma estimate is based on the post personal tax and personal cost market value and this is consistent with the rules.</w:t>
      </w:r>
      <w:r w:rsidR="00630745">
        <w:rPr>
          <w:rStyle w:val="FootnoteReference"/>
        </w:rPr>
        <w:footnoteReference w:id="525"/>
      </w:r>
      <w:r w:rsidR="00630745">
        <w:t xml:space="preserve"> However, such an approach is incorrect as pre-personal tax/cost estimates cannot be used </w:t>
      </w:r>
      <w:r w:rsidR="00632C53">
        <w:t>in conjunction with</w:t>
      </w:r>
      <w:r w:rsidR="00630745">
        <w:t xml:space="preserve"> post personal tax/cost estimate</w:t>
      </w:r>
      <w:r w:rsidR="00632C53">
        <w:t>s</w:t>
      </w:r>
      <w:r w:rsidR="00630745">
        <w:t>. In a valuation all parameters need to be estimate on an internally consistent basis.</w:t>
      </w:r>
      <w:r w:rsidR="0059076A">
        <w:t xml:space="preserve"> </w:t>
      </w:r>
    </w:p>
    <w:p w:rsidR="002364FB" w:rsidRDefault="002364FB" w:rsidP="00630745">
      <w:pPr>
        <w:numPr>
          <w:ilvl w:val="0"/>
          <w:numId w:val="24"/>
        </w:numPr>
      </w:pPr>
      <w:r>
        <w:t xml:space="preserve">A valuation can be conducted on </w:t>
      </w:r>
      <w:r w:rsidR="00C54418">
        <w:t>many</w:t>
      </w:r>
      <w:r w:rsidR="003A6595">
        <w:t xml:space="preserve"> different </w:t>
      </w:r>
      <w:r w:rsidR="00C54418">
        <w:t>base</w:t>
      </w:r>
      <w:r>
        <w:t>s</w:t>
      </w:r>
      <w:r w:rsidR="003A6595">
        <w:t>,</w:t>
      </w:r>
      <w:r w:rsidR="0056734B">
        <w:t xml:space="preserve"> such as:</w:t>
      </w:r>
    </w:p>
    <w:p w:rsidR="00FF43DC" w:rsidRDefault="00FF43DC" w:rsidP="00D414CC">
      <w:pPr>
        <w:pStyle w:val="AERbulletlistfirststyle"/>
      </w:pPr>
      <w:r>
        <w:t>Nominal vs real</w:t>
      </w:r>
    </w:p>
    <w:p w:rsidR="00C6205E" w:rsidRDefault="002364FB" w:rsidP="00D414CC">
      <w:pPr>
        <w:pStyle w:val="AERbulletlistfirststyle"/>
      </w:pPr>
      <w:r>
        <w:t>Pre-company tax vs post-company tax</w:t>
      </w:r>
      <w:r w:rsidR="00BB4E44">
        <w:t>.</w:t>
      </w:r>
    </w:p>
    <w:p w:rsidR="00932CE6" w:rsidRDefault="003B39BF" w:rsidP="00E750F8">
      <w:r>
        <w:t>In accordance with the rules, w</w:t>
      </w:r>
      <w:r w:rsidR="00C6205E">
        <w:t xml:space="preserve">e </w:t>
      </w:r>
      <w:r>
        <w:t xml:space="preserve">set our cash flows </w:t>
      </w:r>
      <w:r w:rsidR="00C6205E">
        <w:t xml:space="preserve">on </w:t>
      </w:r>
      <w:r w:rsidR="005E594B">
        <w:t xml:space="preserve">a </w:t>
      </w:r>
      <w:r w:rsidR="00C6205E">
        <w:t xml:space="preserve">nominal post-company tax basis. </w:t>
      </w:r>
      <w:r w:rsidR="00932CE6">
        <w:t xml:space="preserve">That is, our regulatory framework we use to set cash flows is effectively a post-company tax valuation framework. </w:t>
      </w:r>
      <w:r>
        <w:t>A post company tax analysis looks at the cash flows after company tax is paid and before investors incur personal level taxes and transaction costs.</w:t>
      </w:r>
    </w:p>
    <w:p w:rsidR="00C6205E" w:rsidRDefault="00E72A4A" w:rsidP="00E750F8">
      <w:r>
        <w:t>However, j</w:t>
      </w:r>
      <w:r w:rsidR="009B4DFC">
        <w:t xml:space="preserve">ust because </w:t>
      </w:r>
      <w:r w:rsidR="00932CE6">
        <w:t>our framework</w:t>
      </w:r>
      <w:r w:rsidR="009B4DFC">
        <w:t xml:space="preserve"> is done </w:t>
      </w:r>
      <w:r w:rsidR="000E792B">
        <w:t xml:space="preserve">on </w:t>
      </w:r>
      <w:r w:rsidR="000A2DAD">
        <w:t xml:space="preserve">a </w:t>
      </w:r>
      <w:r w:rsidR="00932CE6">
        <w:t xml:space="preserve">post-company tax basis (before </w:t>
      </w:r>
      <w:r w:rsidR="000E792B">
        <w:t>personal cost</w:t>
      </w:r>
      <w:r w:rsidR="00932CE6">
        <w:t>s</w:t>
      </w:r>
      <w:r w:rsidR="000E792B">
        <w:t xml:space="preserve"> and personal tax</w:t>
      </w:r>
      <w:r w:rsidR="00932CE6">
        <w:t>es</w:t>
      </w:r>
      <w:r w:rsidR="000E792B">
        <w:t xml:space="preserve"> </w:t>
      </w:r>
      <w:r w:rsidR="00932CE6">
        <w:t xml:space="preserve">are incurred) </w:t>
      </w:r>
      <w:r w:rsidR="000E792B">
        <w:t xml:space="preserve">does not mean that investors are not compensated for </w:t>
      </w:r>
      <w:r w:rsidR="000A2DAD">
        <w:t xml:space="preserve">their </w:t>
      </w:r>
      <w:r w:rsidR="000E792B">
        <w:t xml:space="preserve">personal costs and personal taxes. Rather, </w:t>
      </w:r>
      <w:r w:rsidR="00932CE6">
        <w:t xml:space="preserve">post-company tax returns </w:t>
      </w:r>
      <w:r w:rsidR="008D09C3">
        <w:t xml:space="preserve">by definition </w:t>
      </w:r>
      <w:r w:rsidR="00932CE6">
        <w:t>provide</w:t>
      </w:r>
      <w:r w:rsidR="000E792B">
        <w:t xml:space="preserve"> investors adequate compensation to cover </w:t>
      </w:r>
      <w:r w:rsidR="00ED5BD3">
        <w:t xml:space="preserve">all their </w:t>
      </w:r>
      <w:r w:rsidR="00C54418">
        <w:t xml:space="preserve">expected </w:t>
      </w:r>
      <w:r w:rsidR="00ED5BD3">
        <w:t xml:space="preserve">personal </w:t>
      </w:r>
      <w:r w:rsidR="00C54418">
        <w:t>taxes</w:t>
      </w:r>
      <w:r w:rsidR="00ED5BD3">
        <w:t xml:space="preserve"> and personal costs.</w:t>
      </w:r>
      <w:r w:rsidR="008D09C3">
        <w:t xml:space="preserve"> In setting the WACC we provide </w:t>
      </w:r>
      <w:r w:rsidR="00B2397A">
        <w:t>a</w:t>
      </w:r>
      <w:r w:rsidR="008D09C3">
        <w:t>n equity</w:t>
      </w:r>
      <w:r w:rsidR="00B2397A">
        <w:t xml:space="preserve"> return in line with the post-tax return in the </w:t>
      </w:r>
      <w:r w:rsidR="008D09C3">
        <w:t xml:space="preserve">Australian stock </w:t>
      </w:r>
      <w:r w:rsidR="00B2397A">
        <w:t>market</w:t>
      </w:r>
      <w:r w:rsidR="008D09C3">
        <w:t xml:space="preserve"> (for a firm of equivalent risk</w:t>
      </w:r>
      <w:r w:rsidR="000A2DAD">
        <w:t xml:space="preserve"> to the BEE</w:t>
      </w:r>
      <w:r w:rsidR="008D09C3">
        <w:t>)</w:t>
      </w:r>
      <w:r w:rsidR="00B2397A">
        <w:t xml:space="preserve">. The ex-ante expected post-company tax return on the </w:t>
      </w:r>
      <w:r w:rsidR="008D09C3">
        <w:t xml:space="preserve">Australian </w:t>
      </w:r>
      <w:r w:rsidR="00B2397A">
        <w:t>stock market, directly estimated from historical stock returns, is before investors incur any personal costs or personal taxes. While we acknowledge that pre the introduction of</w:t>
      </w:r>
      <w:r w:rsidR="005E594B">
        <w:t xml:space="preserve"> the imputations credits in 1987</w:t>
      </w:r>
      <w:r w:rsidR="00B2397A">
        <w:t xml:space="preserve"> no incremental personal costs associated with imputation credits were reflected in stock prices, we have advice </w:t>
      </w:r>
      <w:r w:rsidR="008D09C3">
        <w:t xml:space="preserve">from Lally that </w:t>
      </w:r>
      <w:r w:rsidR="00B2397A">
        <w:t xml:space="preserve">these </w:t>
      </w:r>
      <w:r w:rsidR="008D09C3">
        <w:t xml:space="preserve">incremental costs </w:t>
      </w:r>
      <w:r w:rsidR="00B2397A">
        <w:t>are likely to be immaterial.</w:t>
      </w:r>
      <w:r w:rsidR="008D09C3">
        <w:rPr>
          <w:rStyle w:val="FootnoteReference"/>
        </w:rPr>
        <w:footnoteReference w:id="526"/>
      </w:r>
      <w:r w:rsidR="00B2397A">
        <w:t xml:space="preserve"> We also note that </w:t>
      </w:r>
      <w:r w:rsidR="008D09C3">
        <w:t xml:space="preserve">the </w:t>
      </w:r>
      <w:r w:rsidR="00B2397A">
        <w:t xml:space="preserve">observed </w:t>
      </w:r>
      <w:r w:rsidR="008D09C3">
        <w:t>market risk premium</w:t>
      </w:r>
      <w:r w:rsidR="005E594B">
        <w:t xml:space="preserve"> post 1987</w:t>
      </w:r>
      <w:r w:rsidR="00B2397A">
        <w:t xml:space="preserve"> </w:t>
      </w:r>
      <w:r w:rsidR="008D09C3">
        <w:t xml:space="preserve">is lower than earlier periods further supporting that no further compensation is required for </w:t>
      </w:r>
      <w:r w:rsidR="000A2DAD">
        <w:t xml:space="preserve">any (expected immaterial) </w:t>
      </w:r>
      <w:r w:rsidR="008D09C3">
        <w:t>costs not reflected in earlier periods.</w:t>
      </w:r>
      <w:r w:rsidR="008D09C3">
        <w:rPr>
          <w:rStyle w:val="FootnoteReference"/>
        </w:rPr>
        <w:footnoteReference w:id="527"/>
      </w:r>
    </w:p>
    <w:p w:rsidR="00CD67EE" w:rsidRDefault="00B2397A" w:rsidP="00E750F8">
      <w:pPr>
        <w:rPr>
          <w:rStyle w:val="AERbody"/>
        </w:rPr>
      </w:pPr>
      <w:r>
        <w:rPr>
          <w:rStyle w:val="AERbody"/>
        </w:rPr>
        <w:t>Consistent with the post-company tax framework in the rules, t</w:t>
      </w:r>
      <w:r w:rsidR="002F4C1F">
        <w:rPr>
          <w:rStyle w:val="AERbody"/>
        </w:rPr>
        <w:t xml:space="preserve">he AER values redeemed imputation credits at their full face value on a pre-personal cost/tax </w:t>
      </w:r>
      <w:r w:rsidR="005E594B">
        <w:rPr>
          <w:rStyle w:val="AERbody"/>
        </w:rPr>
        <w:t>basis</w:t>
      </w:r>
      <w:r w:rsidR="002F4C1F">
        <w:rPr>
          <w:rStyle w:val="AERbody"/>
        </w:rPr>
        <w:t>. To the extent investors value redeemed imputation credits at less than their face value due to personal cost, this will be picked up in the market value of the s</w:t>
      </w:r>
      <w:r w:rsidR="002C3B6E">
        <w:rPr>
          <w:rStyle w:val="AERbody"/>
        </w:rPr>
        <w:t xml:space="preserve">tock which drives the difference </w:t>
      </w:r>
      <w:r w:rsidR="002F4C1F">
        <w:rPr>
          <w:rStyle w:val="AERbody"/>
        </w:rPr>
        <w:t>between the pre and post personal cost return on equity.</w:t>
      </w:r>
      <w:r w:rsidR="0059076A">
        <w:rPr>
          <w:rStyle w:val="AERbody"/>
        </w:rPr>
        <w:t xml:space="preserve"> This is also supported by Lally </w:t>
      </w:r>
      <w:r w:rsidR="009B225F">
        <w:rPr>
          <w:rStyle w:val="AERbody"/>
        </w:rPr>
        <w:t>who</w:t>
      </w:r>
      <w:r w:rsidR="0059076A">
        <w:rPr>
          <w:rStyle w:val="AERbody"/>
        </w:rPr>
        <w:t xml:space="preserve"> </w:t>
      </w:r>
      <w:r w:rsidR="00632C53">
        <w:rPr>
          <w:rStyle w:val="AERbody"/>
        </w:rPr>
        <w:t>considers</w:t>
      </w:r>
      <w:r w:rsidR="0059076A">
        <w:rPr>
          <w:rStyle w:val="AERbody"/>
        </w:rPr>
        <w:t xml:space="preserve"> no adjustment is required to the MRP for transaction costs because empirical estimates of the MRP will reflect the existence of any such costs.</w:t>
      </w:r>
      <w:r w:rsidR="0059076A">
        <w:rPr>
          <w:rStyle w:val="FootnoteReference"/>
        </w:rPr>
        <w:footnoteReference w:id="528"/>
      </w:r>
      <w:r w:rsidR="009B225F">
        <w:rPr>
          <w:rStyle w:val="AERbody"/>
        </w:rPr>
        <w:t xml:space="preserve"> Lally also notes that these costs will be expected to be immaterial.</w:t>
      </w:r>
      <w:r w:rsidR="009B225F">
        <w:rPr>
          <w:rStyle w:val="FootnoteReference"/>
        </w:rPr>
        <w:footnoteReference w:id="529"/>
      </w:r>
    </w:p>
    <w:p w:rsidR="00C52695" w:rsidRPr="00883125" w:rsidRDefault="0056734B" w:rsidP="00C52695">
      <w:pPr>
        <w:numPr>
          <w:ilvl w:val="0"/>
          <w:numId w:val="24"/>
        </w:numPr>
      </w:pPr>
      <w:r>
        <w:t>Second</w:t>
      </w:r>
      <w:r w:rsidR="00C52695" w:rsidRPr="00883125">
        <w:t>, we are not convinced that transactions costs are likely to dissuade a material number of investors from redeeming imputation credits. Our considerations on this are as follows:</w:t>
      </w:r>
    </w:p>
    <w:p w:rsidR="00C52695" w:rsidRPr="001D37D5" w:rsidRDefault="00C52695" w:rsidP="00C52695">
      <w:pPr>
        <w:pStyle w:val="AERbulletlistfirststyle"/>
      </w:pPr>
      <w:r w:rsidRPr="00883125">
        <w:t xml:space="preserve">When filling out a tax return, one is </w:t>
      </w:r>
      <w:r w:rsidRPr="001D37D5">
        <w:rPr>
          <w:rStyle w:val="AERtextitalic"/>
        </w:rPr>
        <w:t>required</w:t>
      </w:r>
      <w:r w:rsidRPr="001D37D5">
        <w:t xml:space="preserve"> to report the franked dividends received and the imputation credits that are eligible to be utilised.</w:t>
      </w:r>
      <w:r w:rsidRPr="001D37D5">
        <w:rPr>
          <w:rStyle w:val="FootnoteReference"/>
        </w:rPr>
        <w:footnoteReference w:id="530"/>
      </w:r>
    </w:p>
    <w:p w:rsidR="00C52695" w:rsidRPr="001D37D5" w:rsidRDefault="00C52695" w:rsidP="00C52695">
      <w:pPr>
        <w:pStyle w:val="AERbulletlistfirststyle"/>
      </w:pPr>
      <w:r w:rsidRPr="00883125">
        <w:t xml:space="preserve">Investors are already incurring the transactions costs associated with shareholding, and most would also be already incurring the transactions costs associated with completing a tax return. This applies particularly to professional organisations, such as charities and superannuation funds, which we expect would utilise all imputation credits as a matter of proper accounting. </w:t>
      </w:r>
      <w:r w:rsidR="00F702AF">
        <w:t>Yet</w:t>
      </w:r>
      <w:r w:rsidRPr="00883125">
        <w:t xml:space="preserve"> we consider it </w:t>
      </w:r>
      <w:r w:rsidR="00F702AF">
        <w:t xml:space="preserve">is </w:t>
      </w:r>
      <w:r w:rsidRPr="00883125">
        <w:t>true also of individual investors, particularly when innovations such as 'e-tax' and automatic pre-filling of tax returns would reduce any incremental costs if they exist.</w:t>
      </w:r>
      <w:r w:rsidRPr="001D37D5">
        <w:rPr>
          <w:rStyle w:val="FootnoteReference"/>
        </w:rPr>
        <w:footnoteReference w:id="531"/>
      </w:r>
    </w:p>
    <w:p w:rsidR="00C52695" w:rsidRPr="00883125" w:rsidRDefault="00C52695" w:rsidP="00C52695">
      <w:r w:rsidRPr="00883125">
        <w:t xml:space="preserve">As outlined in </w:t>
      </w:r>
      <w:r w:rsidRPr="00883125">
        <w:fldChar w:fldCharType="begin"/>
      </w:r>
      <w:r w:rsidRPr="00883125">
        <w:instrText xml:space="preserve"> REF _Ref450298425 \r \h </w:instrText>
      </w:r>
      <w:r w:rsidRPr="00883125">
        <w:fldChar w:fldCharType="separate"/>
      </w:r>
      <w:r w:rsidR="007E3457">
        <w:t>A.8.2</w:t>
      </w:r>
      <w:r w:rsidRPr="00883125">
        <w:fldChar w:fldCharType="end"/>
      </w:r>
      <w:r w:rsidRPr="00883125">
        <w:t>, we consider that we are estimating the value of imputation credits consistently with the other allowed rate of return parameters on a before personal taxes and personal costs basis. For all cost of equity components (capital gains and dividend income) and cost of debt components (capital gains and interest income) investors have to incur transaction costs in order to realise their returns. These transaction costs include brokerage fees and costs associated with filling in a tax return. Compensation for these costs is inconsistent with our post tax framework</w:t>
      </w:r>
      <w:r>
        <w:t>. O</w:t>
      </w:r>
      <w:r w:rsidRPr="00883125">
        <w:t xml:space="preserve">ur benchmarking of the required return on equity and the required return on debt </w:t>
      </w:r>
      <w:r>
        <w:t xml:space="preserve">is </w:t>
      </w:r>
      <w:r w:rsidRPr="00883125">
        <w:t>based on</w:t>
      </w:r>
      <w:r>
        <w:t xml:space="preserve"> a</w:t>
      </w:r>
      <w:r w:rsidRPr="00883125">
        <w:t xml:space="preserve"> post-</w:t>
      </w:r>
      <w:r>
        <w:t xml:space="preserve">company pre-personal </w:t>
      </w:r>
      <w:r w:rsidRPr="00883125">
        <w:t>tax returns before investor level transaction costs are incurred. We also consider any incremental costs associated with claiming imputation credits would be immaterial for the reasons outlined above.</w:t>
      </w:r>
    </w:p>
    <w:p w:rsidR="00C52695" w:rsidRDefault="00C52695" w:rsidP="00C52695">
      <w:r>
        <w:t>We</w:t>
      </w:r>
      <w:r w:rsidRPr="00883125">
        <w:t xml:space="preserve"> only compensate regulated businesses for the transaction cost incurred by regulated businesses via debt and equity raising costs. However, these costs are incurred at the company level and only require compensation so that the post company tax allowed return reflects the required post company tax return in the market. </w:t>
      </w:r>
      <w:r>
        <w:t>We do</w:t>
      </w:r>
      <w:r w:rsidRPr="00883125">
        <w:t xml:space="preserve"> not compensate regulated businesses for the costs incurred by investor in regulated businesses as all the allowed rate of return parameters and gamma are estimate on post company tax (pre-personal tax and pre personal cost) basis. If </w:t>
      </w:r>
      <w:r>
        <w:t>we</w:t>
      </w:r>
      <w:r w:rsidRPr="00883125">
        <w:t xml:space="preserve"> were to compensate regulated businesses for investors' transaction costs in addition to the post tax return we set</w:t>
      </w:r>
      <w:r>
        <w:t>,</w:t>
      </w:r>
      <w:r w:rsidRPr="00883125">
        <w:t xml:space="preserve"> it would result in </w:t>
      </w:r>
      <w:r>
        <w:t xml:space="preserve">an </w:t>
      </w:r>
      <w:r w:rsidRPr="00883125">
        <w:t>over compensation of the firms and their investors relative to the efficient return</w:t>
      </w:r>
      <w:r>
        <w:t>s</w:t>
      </w:r>
      <w:r w:rsidRPr="00883125">
        <w:t xml:space="preserve"> in the market. This would not be expected to lead to efficient investment, or to be in the long term interests of consumers.</w:t>
      </w:r>
    </w:p>
    <w:p w:rsidR="00AD7E20" w:rsidRDefault="00C52695" w:rsidP="00C52695">
      <w:r>
        <w:t>Lally considered that transaction costs associated with investors redeeming credits cannot be dealt with by reducing theta. Instead, if considered important (which Lally considers not to be the case) these transaction costs can only be addressed through an extension of the Officer model.</w:t>
      </w:r>
      <w:r>
        <w:rPr>
          <w:rStyle w:val="FootnoteReference"/>
        </w:rPr>
        <w:footnoteReference w:id="532"/>
      </w:r>
      <w:r>
        <w:t xml:space="preserve"> Given we use a beta estimate of 0.7 for regulated utilities, Lally considers that the possible transaction costs not compensated for is not a material issue because these costs are very small.</w:t>
      </w:r>
      <w:r>
        <w:rPr>
          <w:rStyle w:val="FootnoteReference"/>
        </w:rPr>
        <w:footnoteReference w:id="533"/>
      </w:r>
      <w:r>
        <w:t xml:space="preserve"> </w:t>
      </w:r>
      <w:r w:rsidR="00AD7E20">
        <w:t>In his recent report</w:t>
      </w:r>
      <w:r w:rsidR="0068558A">
        <w:t xml:space="preserve"> for us</w:t>
      </w:r>
      <w:r w:rsidR="00AD7E20">
        <w:t>, Lally</w:t>
      </w:r>
      <w:r w:rsidR="005E594B">
        <w:t>,</w:t>
      </w:r>
      <w:r w:rsidR="00AD7E20">
        <w:t xml:space="preserve"> </w:t>
      </w:r>
      <w:r w:rsidR="0043564A">
        <w:t>while expressing the view personal costs could theoretically influence the results of a DDO</w:t>
      </w:r>
      <w:r w:rsidR="005E594B">
        <w:t xml:space="preserve"> study</w:t>
      </w:r>
      <w:r w:rsidR="0043564A">
        <w:t>,</w:t>
      </w:r>
      <w:r w:rsidR="00C56A93">
        <w:t xml:space="preserve"> </w:t>
      </w:r>
      <w:r w:rsidR="0043564A">
        <w:t>considers these costs would be immaterial</w:t>
      </w:r>
      <w:r w:rsidR="00AD7E20">
        <w:t>.</w:t>
      </w:r>
      <w:r w:rsidR="00AD7E20">
        <w:rPr>
          <w:rStyle w:val="FootnoteReference"/>
        </w:rPr>
        <w:footnoteReference w:id="534"/>
      </w:r>
    </w:p>
    <w:p w:rsidR="00C52695" w:rsidRPr="00883125" w:rsidRDefault="00C52695" w:rsidP="00C52695">
      <w:pPr>
        <w:rPr>
          <w:rStyle w:val="AERbody"/>
        </w:rPr>
      </w:pPr>
      <w:r w:rsidRPr="00883125">
        <w:rPr>
          <w:rStyle w:val="AERbody"/>
        </w:rPr>
        <w:t>Based on these considerations, we consider that in estimating the utilisation rate</w:t>
      </w:r>
      <w:r>
        <w:rPr>
          <w:rStyle w:val="AERbody"/>
        </w:rPr>
        <w:t>,</w:t>
      </w:r>
      <w:r w:rsidRPr="00883125">
        <w:rPr>
          <w:rStyle w:val="AERbody"/>
        </w:rPr>
        <w:t xml:space="preserve"> adjustments should not be made for transactions costs. And even if an adjustment </w:t>
      </w:r>
      <w:r>
        <w:rPr>
          <w:rStyle w:val="AERbody"/>
        </w:rPr>
        <w:t>was</w:t>
      </w:r>
      <w:r w:rsidRPr="00883125">
        <w:rPr>
          <w:rStyle w:val="AERbody"/>
        </w:rPr>
        <w:t xml:space="preserve"> to be made, it would likely have an immaterial effect on the utilisation rate. </w:t>
      </w:r>
    </w:p>
    <w:p w:rsidR="00C52695" w:rsidRPr="00E750F8" w:rsidRDefault="00C52695" w:rsidP="007F6EED">
      <w:pPr>
        <w:pStyle w:val="HeadingBoldItalic"/>
        <w:rPr>
          <w:rStyle w:val="AERbody"/>
          <w:color w:val="70635A" w:themeColor="text2"/>
          <w:sz w:val="28"/>
        </w:rPr>
      </w:pPr>
      <w:bookmarkStart w:id="295" w:name="_Toc456614316"/>
      <w:bookmarkStart w:id="296" w:name="_Toc481056696"/>
      <w:bookmarkStart w:id="297" w:name="_Toc481061490"/>
      <w:r w:rsidRPr="007A4EAF">
        <w:rPr>
          <w:rStyle w:val="AERbody"/>
          <w:color w:val="70635A" w:themeColor="text2"/>
          <w:sz w:val="28"/>
        </w:rPr>
        <w:t>Time value of money</w:t>
      </w:r>
      <w:bookmarkEnd w:id="295"/>
      <w:bookmarkEnd w:id="296"/>
      <w:bookmarkEnd w:id="297"/>
    </w:p>
    <w:p w:rsidR="00C52695" w:rsidRPr="00883125" w:rsidRDefault="00C52695" w:rsidP="00C52695">
      <w:pPr>
        <w:numPr>
          <w:ilvl w:val="0"/>
          <w:numId w:val="24"/>
        </w:numPr>
      </w:pPr>
      <w:r w:rsidRPr="00883125">
        <w:t>Service providers submitted that the delay between the distribution of an imputation credit and the time at which it is redeemed may be expected to reduce an investor's valuation of the credit.</w:t>
      </w:r>
      <w:r w:rsidRPr="00883125">
        <w:rPr>
          <w:rStyle w:val="FootnoteReference"/>
        </w:rPr>
        <w:footnoteReference w:id="535"/>
      </w:r>
      <w:r w:rsidRPr="00883125">
        <w:t xml:space="preserve"> In response, we note that:</w:t>
      </w:r>
    </w:p>
    <w:p w:rsidR="00C52695" w:rsidRPr="00883125" w:rsidRDefault="00C52695" w:rsidP="00C52695">
      <w:pPr>
        <w:pStyle w:val="AERbulletlistfirststyle"/>
      </w:pPr>
      <w:r w:rsidRPr="00883125">
        <w:t>We are unaware of any evidence that indicates the average size of this time delay across all investors.</w:t>
      </w:r>
    </w:p>
    <w:p w:rsidR="00C52695" w:rsidRPr="001D37D5" w:rsidRDefault="00C52695" w:rsidP="00C52695">
      <w:pPr>
        <w:pStyle w:val="AERbulletlistfirststyle"/>
      </w:pPr>
      <w:r w:rsidRPr="00883125">
        <w:t>Even if there were a material time delay that should be accounted for when estimating the utilisation rate, we consider that the appropriate discount rate to apply to such delay would be a short-term risk free rate. This is because an imputation credit represents a promise from the Australian Government to reduce an investor's tax liability by the size of the credit or to refund the credit. Current interest rates on two year Commonwealth Government bonds suggest that the appropriate discount rate would be likely less than 2 per cent. Therefore, the magnitude of the adjustment would be quite small. Handley agreed with the immateriality of any required adjustment for time delay.</w:t>
      </w:r>
      <w:r w:rsidRPr="001D37D5">
        <w:rPr>
          <w:rStyle w:val="FootnoteReference"/>
        </w:rPr>
        <w:footnoteReference w:id="536"/>
      </w:r>
    </w:p>
    <w:p w:rsidR="00C52695" w:rsidRDefault="00C52695" w:rsidP="00C52695">
      <w:pPr>
        <w:numPr>
          <w:ilvl w:val="0"/>
          <w:numId w:val="24"/>
        </w:numPr>
      </w:pPr>
      <w:r w:rsidRPr="00883125">
        <w:t>Based on these considerations, we conclude that it is reasonable to not adjust any of our estimates of the utilisation rate for the time value of money where this effect is not already accounted for.</w:t>
      </w:r>
    </w:p>
    <w:p w:rsidR="00C52695" w:rsidRPr="00883125" w:rsidRDefault="00C52695" w:rsidP="007F6EED">
      <w:pPr>
        <w:pStyle w:val="HeadingBoldItalic"/>
      </w:pPr>
      <w:bookmarkStart w:id="298" w:name="_Toc456614317"/>
      <w:bookmarkStart w:id="299" w:name="_Toc481056697"/>
      <w:bookmarkStart w:id="300" w:name="_Toc481061491"/>
      <w:r w:rsidRPr="00883125">
        <w:t>Portfolio effects</w:t>
      </w:r>
      <w:bookmarkEnd w:id="298"/>
      <w:bookmarkEnd w:id="299"/>
      <w:bookmarkEnd w:id="300"/>
    </w:p>
    <w:p w:rsidR="00C52695" w:rsidRDefault="00C52695" w:rsidP="00C52695">
      <w:r w:rsidRPr="00883125">
        <w:t>Service providers submit that investors may shift their portfolio away from the optimal portfolio towards a more local portfolio in order to utilise more imputation credits.</w:t>
      </w:r>
      <w:r w:rsidRPr="00883125">
        <w:rPr>
          <w:rStyle w:val="FootnoteReference"/>
        </w:rPr>
        <w:footnoteReference w:id="537"/>
      </w:r>
      <w:r w:rsidRPr="00883125">
        <w:t xml:space="preserve"> It is submitted that to the extent than an investor reduces the value of their overall portfolio simply to increase their redemption of imputation credits, this loss in value will be reflected in a lower valuation of imputation credits. Gray's report (for SFG) to the service providers on this topic referred to the 'cost of losing diversification'.</w:t>
      </w:r>
      <w:r w:rsidRPr="00883125">
        <w:rPr>
          <w:rStyle w:val="FootnoteReference"/>
        </w:rPr>
        <w:footnoteReference w:id="538"/>
      </w:r>
      <w:r w:rsidRPr="00883125">
        <w:t xml:space="preserve"> However, as discussed in section </w:t>
      </w:r>
      <w:r w:rsidRPr="00883125">
        <w:fldChar w:fldCharType="begin"/>
      </w:r>
      <w:r w:rsidRPr="00883125">
        <w:instrText xml:space="preserve"> REF _Ref401748758 \r \h </w:instrText>
      </w:r>
      <w:r w:rsidRPr="00883125">
        <w:fldChar w:fldCharType="separate"/>
      </w:r>
      <w:r w:rsidR="007E3457">
        <w:t>A.8.1</w:t>
      </w:r>
      <w:r w:rsidRPr="00883125">
        <w:fldChar w:fldCharType="end"/>
      </w:r>
      <w:r w:rsidRPr="00883125">
        <w:t xml:space="preserve">, Handley advised that our estimate of the utilisation rate should exclude 'diversification costs'. More specifically, we do not agree that portfolio effects would mean that a dollar of imputation credits in the hands of an eligible investor would be worth less than one dollar to that investor on a </w:t>
      </w:r>
      <w:r>
        <w:t xml:space="preserve">post-company </w:t>
      </w:r>
      <w:r w:rsidRPr="00883125">
        <w:t>pre-personal-tax and pre-personal-costs basis. We made this point in our prior decisions and the service providers and their consultants have not commented on it. We consider that it is reasonable to not adjust any of our estimates of the utilisation rate for portfolio effects.</w:t>
      </w:r>
    </w:p>
    <w:p w:rsidR="0056734B" w:rsidRDefault="006C032A" w:rsidP="0056734B">
      <w:r>
        <w:t>The SAPN Tribunal considered that it was unclear whether portfolio effects would have an impact on the value of imputation credits:</w:t>
      </w:r>
      <w:r>
        <w:rPr>
          <w:rStyle w:val="FootnoteReference"/>
        </w:rPr>
        <w:footnoteReference w:id="539"/>
      </w:r>
    </w:p>
    <w:p w:rsidR="006C032A" w:rsidRPr="00883125" w:rsidRDefault="006C032A" w:rsidP="00E750F8">
      <w:pPr>
        <w:pStyle w:val="AERquote"/>
      </w:pPr>
      <w:r w:rsidRPr="006C032A">
        <w:t>Given that there is a well-documented “home-bias” in investor portfolios (found internationally generally regardless of tax systems), implying incomplete diversification benefits, the extent to which this is an additional factor of significant materiality is unclear.</w:t>
      </w:r>
    </w:p>
    <w:p w:rsidR="00C52695" w:rsidRPr="00883125" w:rsidRDefault="00C52695" w:rsidP="007F6EED">
      <w:pPr>
        <w:pStyle w:val="HeadingBoldItalic"/>
      </w:pPr>
      <w:bookmarkStart w:id="301" w:name="_Toc456614318"/>
      <w:bookmarkStart w:id="302" w:name="_Toc481056698"/>
      <w:bookmarkStart w:id="303" w:name="_Toc481061492"/>
      <w:r w:rsidRPr="00883125">
        <w:t>The 'illustrative impact' of these factors</w:t>
      </w:r>
      <w:bookmarkEnd w:id="301"/>
      <w:bookmarkEnd w:id="302"/>
      <w:bookmarkEnd w:id="303"/>
    </w:p>
    <w:p w:rsidR="00C52695" w:rsidRPr="00883125" w:rsidRDefault="00C52695" w:rsidP="00C52695">
      <w:r w:rsidRPr="00883125">
        <w:t>Service providers submitted that, because of the factors set out above, our implied point estimates of the utilisation rate are 'well above any possible measure of the value of distributed imputation credits'.</w:t>
      </w:r>
      <w:r w:rsidRPr="00883125">
        <w:rPr>
          <w:rStyle w:val="FootnoteReference"/>
        </w:rPr>
        <w:footnoteReference w:id="540"/>
      </w:r>
      <w:r w:rsidRPr="00883125">
        <w:t xml:space="preserve"> In support of this, a number of service providers presented </w:t>
      </w:r>
      <w:r w:rsidRPr="00883125">
        <w:fldChar w:fldCharType="begin"/>
      </w:r>
      <w:r w:rsidRPr="00883125">
        <w:instrText xml:space="preserve"> REF  _Ref415078600 \* Lower \h </w:instrText>
      </w:r>
      <w:r w:rsidRPr="00883125">
        <w:fldChar w:fldCharType="separate"/>
      </w:r>
      <w:r w:rsidR="007E3457" w:rsidRPr="00883125">
        <w:t xml:space="preserve">figure </w:t>
      </w:r>
      <w:r w:rsidR="007E3457">
        <w:rPr>
          <w:noProof/>
        </w:rPr>
        <w:t>4</w:t>
      </w:r>
      <w:r w:rsidR="007E3457" w:rsidRPr="00883125">
        <w:t>.</w:t>
      </w:r>
      <w:r w:rsidR="007E3457">
        <w:rPr>
          <w:noProof/>
        </w:rPr>
        <w:t>1</w:t>
      </w:r>
      <w:r w:rsidRPr="00883125">
        <w:fldChar w:fldCharType="end"/>
      </w:r>
      <w:r w:rsidRPr="00883125">
        <w:t xml:space="preserve"> and </w:t>
      </w:r>
      <w:r w:rsidRPr="00883125">
        <w:fldChar w:fldCharType="begin"/>
      </w:r>
      <w:r w:rsidRPr="00883125">
        <w:instrText xml:space="preserve"> REF  _Ref415078618 \* Lower \h </w:instrText>
      </w:r>
      <w:r w:rsidRPr="00883125">
        <w:fldChar w:fldCharType="separate"/>
      </w:r>
      <w:r w:rsidR="007E3457" w:rsidRPr="00883125">
        <w:t xml:space="preserve">figure </w:t>
      </w:r>
      <w:r w:rsidR="007E3457">
        <w:rPr>
          <w:noProof/>
        </w:rPr>
        <w:t>4</w:t>
      </w:r>
      <w:r w:rsidR="007E3457" w:rsidRPr="00883125">
        <w:t>.</w:t>
      </w:r>
      <w:r w:rsidR="007E3457">
        <w:rPr>
          <w:noProof/>
        </w:rPr>
        <w:t>2</w:t>
      </w:r>
      <w:r w:rsidRPr="00883125">
        <w:fldChar w:fldCharType="end"/>
      </w:r>
      <w:r w:rsidRPr="00883125">
        <w:t xml:space="preserve">. </w:t>
      </w:r>
    </w:p>
    <w:p w:rsidR="00C52695" w:rsidRPr="00883125" w:rsidRDefault="00C52695" w:rsidP="00C52695">
      <w:pPr>
        <w:pStyle w:val="Caption"/>
      </w:pPr>
      <w:bookmarkStart w:id="304" w:name="_Ref415078600"/>
      <w:r w:rsidRPr="00883125">
        <w:t xml:space="preserve">Figure </w:t>
      </w:r>
      <w:r w:rsidRPr="00B27BE5">
        <w:fldChar w:fldCharType="begin"/>
      </w:r>
      <w:r>
        <w:instrText xml:space="preserve"> STYLEREF 1 \s </w:instrText>
      </w:r>
      <w:r w:rsidRPr="00B27BE5">
        <w:fldChar w:fldCharType="separate"/>
      </w:r>
      <w:r w:rsidR="007E3457">
        <w:rPr>
          <w:noProof/>
        </w:rPr>
        <w:t>4</w:t>
      </w:r>
      <w:r w:rsidRPr="00B27BE5">
        <w:fldChar w:fldCharType="end"/>
      </w:r>
      <w:r w:rsidRPr="00883125">
        <w:t>.</w:t>
      </w:r>
      <w:r w:rsidRPr="00B27BE5">
        <w:fldChar w:fldCharType="begin"/>
      </w:r>
      <w:r>
        <w:instrText xml:space="preserve"> SEQ Figure \* ARABIC \s 1 </w:instrText>
      </w:r>
      <w:r w:rsidRPr="00B27BE5">
        <w:fldChar w:fldCharType="separate"/>
      </w:r>
      <w:r w:rsidR="007E3457">
        <w:rPr>
          <w:noProof/>
        </w:rPr>
        <w:t>1</w:t>
      </w:r>
      <w:r w:rsidRPr="00B27BE5">
        <w:fldChar w:fldCharType="end"/>
      </w:r>
      <w:bookmarkEnd w:id="304"/>
      <w:r w:rsidRPr="00883125">
        <w:tab/>
        <w:t>Illustrative impact on value of imputation credits – listed equity</w:t>
      </w:r>
    </w:p>
    <w:p w:rsidR="00C52695" w:rsidRPr="00883125" w:rsidRDefault="00C52695" w:rsidP="00C52695">
      <w:r w:rsidRPr="00C52695">
        <w:rPr>
          <w:noProof/>
          <w:lang w:eastAsia="en-AU"/>
        </w:rPr>
        <w:drawing>
          <wp:inline distT="0" distB="0" distL="0" distR="0" wp14:anchorId="723E4F1A" wp14:editId="5B6D9F3D">
            <wp:extent cx="5328000" cy="347400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328000" cy="3474000"/>
                    </a:xfrm>
                    <a:prstGeom prst="rect">
                      <a:avLst/>
                    </a:prstGeom>
                    <a:noFill/>
                    <a:ln>
                      <a:noFill/>
                    </a:ln>
                  </pic:spPr>
                </pic:pic>
              </a:graphicData>
            </a:graphic>
          </wp:inline>
        </w:drawing>
      </w:r>
    </w:p>
    <w:p w:rsidR="00C52695" w:rsidRPr="00883125" w:rsidRDefault="00C52695" w:rsidP="00C52695">
      <w:pPr>
        <w:pStyle w:val="AERtablesource"/>
      </w:pPr>
      <w:r w:rsidRPr="00883125">
        <w:t>Source:</w:t>
      </w:r>
      <w:r w:rsidRPr="00883125">
        <w:tab/>
      </w:r>
      <w:r w:rsidRPr="00B9466C">
        <w:t xml:space="preserve">Ausgrid, </w:t>
      </w:r>
      <w:r w:rsidRPr="00CD376D">
        <w:rPr>
          <w:rStyle w:val="AERtextitalic"/>
        </w:rPr>
        <w:t>Attachment 7.07 Ausgrid's revised proposal on gamma</w:t>
      </w:r>
      <w:r w:rsidRPr="00B9466C">
        <w:t>, January 2015, p. 16</w:t>
      </w:r>
      <w:r>
        <w:t>.</w:t>
      </w:r>
    </w:p>
    <w:p w:rsidR="00C52695" w:rsidRPr="00883125" w:rsidRDefault="00C52695" w:rsidP="00C52695">
      <w:pPr>
        <w:pStyle w:val="Caption"/>
      </w:pPr>
      <w:bookmarkStart w:id="305" w:name="_Ref415078618"/>
      <w:r w:rsidRPr="00883125">
        <w:t xml:space="preserve">Figure </w:t>
      </w:r>
      <w:r w:rsidRPr="00B27BE5">
        <w:fldChar w:fldCharType="begin"/>
      </w:r>
      <w:r>
        <w:instrText xml:space="preserve"> STYLEREF 1 \s </w:instrText>
      </w:r>
      <w:r w:rsidRPr="00B27BE5">
        <w:fldChar w:fldCharType="separate"/>
      </w:r>
      <w:r w:rsidR="007E3457">
        <w:rPr>
          <w:noProof/>
        </w:rPr>
        <w:t>4</w:t>
      </w:r>
      <w:r w:rsidRPr="00B27BE5">
        <w:fldChar w:fldCharType="end"/>
      </w:r>
      <w:r w:rsidRPr="00883125">
        <w:t>.</w:t>
      </w:r>
      <w:r w:rsidRPr="00B27BE5">
        <w:fldChar w:fldCharType="begin"/>
      </w:r>
      <w:r>
        <w:instrText xml:space="preserve"> SEQ Figure \* ARABIC \s 1 </w:instrText>
      </w:r>
      <w:r w:rsidRPr="00B27BE5">
        <w:fldChar w:fldCharType="separate"/>
      </w:r>
      <w:r w:rsidR="007E3457">
        <w:rPr>
          <w:noProof/>
        </w:rPr>
        <w:t>2</w:t>
      </w:r>
      <w:r w:rsidRPr="00B27BE5">
        <w:fldChar w:fldCharType="end"/>
      </w:r>
      <w:bookmarkEnd w:id="305"/>
      <w:r w:rsidRPr="00883125">
        <w:tab/>
        <w:t>Illustrative impact on value of imputation credits – all equity</w:t>
      </w:r>
    </w:p>
    <w:p w:rsidR="00C52695" w:rsidRPr="00883125" w:rsidRDefault="00C52695" w:rsidP="00C52695">
      <w:r w:rsidRPr="00C52695">
        <w:rPr>
          <w:noProof/>
          <w:lang w:eastAsia="en-AU"/>
        </w:rPr>
        <w:drawing>
          <wp:inline distT="0" distB="0" distL="0" distR="0" wp14:anchorId="1782DEAC" wp14:editId="12A53B76">
            <wp:extent cx="5328000" cy="3470400"/>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328000" cy="3470400"/>
                    </a:xfrm>
                    <a:prstGeom prst="rect">
                      <a:avLst/>
                    </a:prstGeom>
                    <a:noFill/>
                    <a:ln>
                      <a:noFill/>
                    </a:ln>
                  </pic:spPr>
                </pic:pic>
              </a:graphicData>
            </a:graphic>
          </wp:inline>
        </w:drawing>
      </w:r>
    </w:p>
    <w:p w:rsidR="00C52695" w:rsidRPr="00883125" w:rsidRDefault="00C52695" w:rsidP="00C52695">
      <w:pPr>
        <w:pStyle w:val="AERtablesource"/>
      </w:pPr>
      <w:r w:rsidRPr="00883125">
        <w:t>Source:</w:t>
      </w:r>
      <w:r w:rsidRPr="00883125">
        <w:tab/>
      </w:r>
      <w:r w:rsidRPr="00B9466C">
        <w:t xml:space="preserve">Ausgrid, </w:t>
      </w:r>
      <w:r w:rsidRPr="00CD376D">
        <w:rPr>
          <w:rStyle w:val="AERtextitalic"/>
        </w:rPr>
        <w:t>Attachment 7.07 Ausgrid's revised proposal on gamma</w:t>
      </w:r>
      <w:r w:rsidRPr="00B9466C">
        <w:t>, January 2015, p. 1</w:t>
      </w:r>
      <w:r>
        <w:t>7</w:t>
      </w:r>
      <w:r w:rsidRPr="00B9466C">
        <w:t>.</w:t>
      </w:r>
    </w:p>
    <w:p w:rsidR="00C52695" w:rsidRPr="00883125" w:rsidRDefault="00C52695" w:rsidP="00C52695">
      <w:r w:rsidRPr="00883125">
        <w:t>As already discussed, there is disagreement between the service providers and us on whether the utilisation rate (and therefore the value of imputation credits) should be estimated on a basis that is 'before' or 'after' the taxes and costs incurred by investors. The service providers consider that the value of imputation credits should be estimated 'after' these factors. Given these factors can only result in the diminution of the value of credits, it follows that the service providers' preferred estimate of the value of imputation credits will be no higher than that estimated on a before-personal-tax and before-personal-costs basis.</w:t>
      </w:r>
    </w:p>
    <w:p w:rsidR="00C52695" w:rsidRPr="00883125" w:rsidRDefault="00C52695" w:rsidP="00C52695">
      <w:r w:rsidRPr="00883125">
        <w:t xml:space="preserve">This notwithstanding, we consider that there are a number of problems with </w:t>
      </w:r>
      <w:r w:rsidRPr="00883125">
        <w:fldChar w:fldCharType="begin"/>
      </w:r>
      <w:r w:rsidRPr="00883125">
        <w:instrText xml:space="preserve"> REF  _Ref415078600 \* Lower \h </w:instrText>
      </w:r>
      <w:r w:rsidRPr="00883125">
        <w:fldChar w:fldCharType="separate"/>
      </w:r>
      <w:r w:rsidR="007E3457" w:rsidRPr="00883125">
        <w:t xml:space="preserve">figure </w:t>
      </w:r>
      <w:r w:rsidR="007E3457">
        <w:rPr>
          <w:noProof/>
        </w:rPr>
        <w:t>4</w:t>
      </w:r>
      <w:r w:rsidR="007E3457" w:rsidRPr="00883125">
        <w:t>.</w:t>
      </w:r>
      <w:r w:rsidR="007E3457">
        <w:rPr>
          <w:noProof/>
        </w:rPr>
        <w:t>1</w:t>
      </w:r>
      <w:r w:rsidRPr="00883125">
        <w:fldChar w:fldCharType="end"/>
      </w:r>
      <w:r w:rsidRPr="00883125">
        <w:t xml:space="preserve"> and </w:t>
      </w:r>
      <w:r w:rsidRPr="00883125">
        <w:fldChar w:fldCharType="begin"/>
      </w:r>
      <w:r w:rsidRPr="00883125">
        <w:instrText xml:space="preserve"> REF  _Ref415078618 \* Lower \h </w:instrText>
      </w:r>
      <w:r w:rsidRPr="00883125">
        <w:fldChar w:fldCharType="separate"/>
      </w:r>
      <w:r w:rsidR="007E3457" w:rsidRPr="00883125">
        <w:t xml:space="preserve">figure </w:t>
      </w:r>
      <w:r w:rsidR="007E3457">
        <w:rPr>
          <w:noProof/>
        </w:rPr>
        <w:t>4</w:t>
      </w:r>
      <w:r w:rsidR="007E3457" w:rsidRPr="00883125">
        <w:t>.</w:t>
      </w:r>
      <w:r w:rsidR="007E3457">
        <w:rPr>
          <w:noProof/>
        </w:rPr>
        <w:t>2</w:t>
      </w:r>
      <w:r w:rsidRPr="00883125">
        <w:fldChar w:fldCharType="end"/>
      </w:r>
      <w:r w:rsidRPr="00883125">
        <w:t>. Moreover, the figures suggest that the value of distributed credits on which the service providers rely is likely understated relative to the (after-personal-tax and after-personal-costs) value to investors in all equity.</w:t>
      </w:r>
    </w:p>
    <w:p w:rsidR="00C52695" w:rsidRPr="00883125" w:rsidRDefault="00C52695" w:rsidP="00C52695">
      <w:pPr>
        <w:pStyle w:val="HeadingBoldItalic"/>
      </w:pPr>
      <w:bookmarkStart w:id="306" w:name="_Toc456614319"/>
      <w:bookmarkStart w:id="307" w:name="_Toc481056699"/>
      <w:bookmarkStart w:id="308" w:name="_Toc481061493"/>
      <w:r w:rsidRPr="00883125">
        <w:t>The relevant equity ownership share</w:t>
      </w:r>
      <w:bookmarkEnd w:id="306"/>
      <w:bookmarkEnd w:id="307"/>
      <w:bookmarkEnd w:id="308"/>
    </w:p>
    <w:p w:rsidR="00C52695" w:rsidRPr="00883125" w:rsidRDefault="00C52695" w:rsidP="00C52695">
      <w:r w:rsidRPr="00883125">
        <w:t xml:space="preserve">The key difference between the figures is that in </w:t>
      </w:r>
      <w:r w:rsidRPr="00883125">
        <w:fldChar w:fldCharType="begin"/>
      </w:r>
      <w:r w:rsidRPr="00883125">
        <w:instrText xml:space="preserve"> REF  _Ref415078600 \* Lower \h </w:instrText>
      </w:r>
      <w:r w:rsidRPr="00883125">
        <w:fldChar w:fldCharType="separate"/>
      </w:r>
      <w:r w:rsidR="007E3457" w:rsidRPr="00883125">
        <w:t xml:space="preserve">figure </w:t>
      </w:r>
      <w:r w:rsidR="007E3457">
        <w:rPr>
          <w:noProof/>
        </w:rPr>
        <w:t>4</w:t>
      </w:r>
      <w:r w:rsidR="007E3457" w:rsidRPr="00883125">
        <w:t>.</w:t>
      </w:r>
      <w:r w:rsidR="007E3457">
        <w:rPr>
          <w:noProof/>
        </w:rPr>
        <w:t>1</w:t>
      </w:r>
      <w:r w:rsidRPr="00883125">
        <w:fldChar w:fldCharType="end"/>
      </w:r>
      <w:r w:rsidRPr="00883125">
        <w:t xml:space="preserve"> the SFG estimate of the value of distributed credits is ultimately compared to the refined share of foreign ownership of listed equity, and in </w:t>
      </w:r>
      <w:r w:rsidRPr="00883125">
        <w:fldChar w:fldCharType="begin"/>
      </w:r>
      <w:r w:rsidRPr="00883125">
        <w:instrText xml:space="preserve"> REF  _Ref415078618 \* Lower \h </w:instrText>
      </w:r>
      <w:r w:rsidRPr="00883125">
        <w:fldChar w:fldCharType="separate"/>
      </w:r>
      <w:r w:rsidR="007E3457" w:rsidRPr="00883125">
        <w:t xml:space="preserve">figure </w:t>
      </w:r>
      <w:r w:rsidR="007E3457">
        <w:rPr>
          <w:noProof/>
        </w:rPr>
        <w:t>4</w:t>
      </w:r>
      <w:r w:rsidR="007E3457" w:rsidRPr="00883125">
        <w:t>.</w:t>
      </w:r>
      <w:r w:rsidR="007E3457">
        <w:rPr>
          <w:noProof/>
        </w:rPr>
        <w:t>2</w:t>
      </w:r>
      <w:r w:rsidRPr="00883125">
        <w:fldChar w:fldCharType="end"/>
      </w:r>
      <w:r w:rsidRPr="00883125">
        <w:t xml:space="preserve"> the comparison is made with the refined share of foreign ownership in all equity. However, Gray (for SFG) indicated that if the value of distributed credits is estimated via a 'market value approach' (such as SFG's dividend drop off study), then the estimate will represent 'an average across all listed firms'.</w:t>
      </w:r>
      <w:r w:rsidRPr="00883125">
        <w:rPr>
          <w:rStyle w:val="FootnoteReference"/>
        </w:rPr>
        <w:footnoteReference w:id="541"/>
      </w:r>
      <w:r w:rsidRPr="00883125">
        <w:t xml:space="preserve"> Accordingly, the relevant foreign ownership share is that of listed equity, and it would be internally inconsistent to compare the SFG estimate of the value of distributed credits with the foreign ownership share of all equity (as the service providers have done in </w:t>
      </w:r>
      <w:r w:rsidRPr="00883125">
        <w:fldChar w:fldCharType="begin"/>
      </w:r>
      <w:r w:rsidRPr="00883125">
        <w:instrText xml:space="preserve"> REF  _Ref415078618 \* Lower \h </w:instrText>
      </w:r>
      <w:r w:rsidRPr="00883125">
        <w:fldChar w:fldCharType="separate"/>
      </w:r>
      <w:r w:rsidR="007E3457" w:rsidRPr="00883125">
        <w:t xml:space="preserve">figure </w:t>
      </w:r>
      <w:r w:rsidR="007E3457">
        <w:rPr>
          <w:noProof/>
        </w:rPr>
        <w:t>4</w:t>
      </w:r>
      <w:r w:rsidR="007E3457" w:rsidRPr="00883125">
        <w:t>.</w:t>
      </w:r>
      <w:r w:rsidR="007E3457">
        <w:rPr>
          <w:noProof/>
        </w:rPr>
        <w:t>2</w:t>
      </w:r>
      <w:r w:rsidRPr="00883125">
        <w:fldChar w:fldCharType="end"/>
      </w:r>
      <w:r w:rsidRPr="00883125">
        <w:t>).</w:t>
      </w:r>
    </w:p>
    <w:p w:rsidR="00C52695" w:rsidRPr="00883125" w:rsidRDefault="00C52695" w:rsidP="00C52695">
      <w:r w:rsidRPr="00883125">
        <w:t>It also seems that the SFG estimate of the value of distributed credits reflects the average value over the sample period of the data used by SFG: July 2001 to October 2012. If so, this estimate should be compared with the average, refined foreign ownership share of listed equity over a similar period (June 2001 to December 2012). This is equal to 0.51.</w:t>
      </w:r>
    </w:p>
    <w:p w:rsidR="00C52695" w:rsidRPr="00883125" w:rsidRDefault="00C52695" w:rsidP="00C52695">
      <w:pPr>
        <w:pStyle w:val="HeadingBoldItalic"/>
      </w:pPr>
      <w:bookmarkStart w:id="309" w:name="_Toc456614320"/>
      <w:bookmarkStart w:id="310" w:name="_Toc481056700"/>
      <w:bookmarkStart w:id="311" w:name="_Toc481061494"/>
      <w:r w:rsidRPr="00883125">
        <w:t>Implications for the value of distributed credits across investors in all equity</w:t>
      </w:r>
      <w:bookmarkEnd w:id="309"/>
      <w:bookmarkEnd w:id="310"/>
      <w:bookmarkEnd w:id="311"/>
    </w:p>
    <w:p w:rsidR="00C52695" w:rsidRPr="00883125" w:rsidRDefault="00C52695" w:rsidP="00C52695">
      <w:r w:rsidRPr="00883125">
        <w:t xml:space="preserve">Although we have above identified the inconsistency in comparing SFG's dividend drop off estimate of the value of distributed credits to the foreign ownership share of all equity, </w:t>
      </w:r>
      <w:r w:rsidRPr="00883125">
        <w:fldChar w:fldCharType="begin"/>
      </w:r>
      <w:r w:rsidRPr="00883125">
        <w:instrText xml:space="preserve"> REF  _Ref415078600 \* Lower \h </w:instrText>
      </w:r>
      <w:r w:rsidRPr="00883125">
        <w:fldChar w:fldCharType="separate"/>
      </w:r>
      <w:r w:rsidR="007E3457" w:rsidRPr="00883125">
        <w:t xml:space="preserve">figure </w:t>
      </w:r>
      <w:r w:rsidR="007E3457">
        <w:rPr>
          <w:noProof/>
        </w:rPr>
        <w:t>4</w:t>
      </w:r>
      <w:r w:rsidR="007E3457" w:rsidRPr="00883125">
        <w:t>.</w:t>
      </w:r>
      <w:r w:rsidR="007E3457">
        <w:rPr>
          <w:noProof/>
        </w:rPr>
        <w:t>1</w:t>
      </w:r>
      <w:r w:rsidRPr="00883125">
        <w:fldChar w:fldCharType="end"/>
      </w:r>
      <w:r w:rsidRPr="00883125">
        <w:t xml:space="preserve"> and </w:t>
      </w:r>
      <w:r w:rsidRPr="00883125">
        <w:fldChar w:fldCharType="begin"/>
      </w:r>
      <w:r w:rsidRPr="00883125">
        <w:instrText xml:space="preserve"> REF  _Ref415078618 \* Lower \h </w:instrText>
      </w:r>
      <w:r w:rsidRPr="00883125">
        <w:fldChar w:fldCharType="separate"/>
      </w:r>
      <w:r w:rsidR="007E3457" w:rsidRPr="00883125">
        <w:t xml:space="preserve">figure </w:t>
      </w:r>
      <w:r w:rsidR="007E3457">
        <w:rPr>
          <w:noProof/>
        </w:rPr>
        <w:t>4</w:t>
      </w:r>
      <w:r w:rsidR="007E3457" w:rsidRPr="00883125">
        <w:t>.</w:t>
      </w:r>
      <w:r w:rsidR="007E3457">
        <w:rPr>
          <w:noProof/>
        </w:rPr>
        <w:t>2</w:t>
      </w:r>
      <w:r w:rsidRPr="00883125">
        <w:fldChar w:fldCharType="end"/>
      </w:r>
      <w:r w:rsidRPr="00883125">
        <w:t xml:space="preserve"> appear to be intended to indicate that the presence of foreign investors is a relevant source of the diminution of the market-wide value of distributed credits. This suggests that, all else held equal, an implied market value study conducted over all equity might produce a higher estimate of the value of distributed credits. This would be because the foreign ownership share of all equity is lower. </w:t>
      </w:r>
    </w:p>
    <w:p w:rsidR="00C52695" w:rsidRPr="00883125" w:rsidRDefault="00C52695" w:rsidP="00C52695">
      <w:r w:rsidRPr="00883125">
        <w:t xml:space="preserve">Using the relevant estimate of the foreign equity ownership share discussed above, the logic of </w:t>
      </w:r>
      <w:r w:rsidRPr="00883125">
        <w:fldChar w:fldCharType="begin"/>
      </w:r>
      <w:r w:rsidRPr="00883125">
        <w:instrText xml:space="preserve"> REF  _Ref415078600 \* Lower \h </w:instrText>
      </w:r>
      <w:r w:rsidRPr="00883125">
        <w:fldChar w:fldCharType="separate"/>
      </w:r>
      <w:r w:rsidR="007E3457" w:rsidRPr="00883125">
        <w:t xml:space="preserve">figure </w:t>
      </w:r>
      <w:r w:rsidR="007E3457">
        <w:rPr>
          <w:noProof/>
        </w:rPr>
        <w:t>4</w:t>
      </w:r>
      <w:r w:rsidR="007E3457" w:rsidRPr="00883125">
        <w:t>.</w:t>
      </w:r>
      <w:r w:rsidR="007E3457">
        <w:rPr>
          <w:noProof/>
        </w:rPr>
        <w:t>1</w:t>
      </w:r>
      <w:r w:rsidRPr="00883125">
        <w:fldChar w:fldCharType="end"/>
      </w:r>
      <w:r w:rsidRPr="00883125">
        <w:t xml:space="preserve"> and </w:t>
      </w:r>
      <w:r w:rsidRPr="00883125">
        <w:fldChar w:fldCharType="begin"/>
      </w:r>
      <w:r w:rsidRPr="00883125">
        <w:instrText xml:space="preserve"> REF  _Ref415078618 \* Lower \h </w:instrText>
      </w:r>
      <w:r w:rsidRPr="00883125">
        <w:fldChar w:fldCharType="separate"/>
      </w:r>
      <w:r w:rsidR="007E3457" w:rsidRPr="00883125">
        <w:t xml:space="preserve">figure </w:t>
      </w:r>
      <w:r w:rsidR="007E3457">
        <w:rPr>
          <w:noProof/>
        </w:rPr>
        <w:t>4</w:t>
      </w:r>
      <w:r w:rsidR="007E3457" w:rsidRPr="00883125">
        <w:t>.</w:t>
      </w:r>
      <w:r w:rsidR="007E3457">
        <w:rPr>
          <w:noProof/>
        </w:rPr>
        <w:t>2</w:t>
      </w:r>
      <w:r w:rsidRPr="00883125">
        <w:fldChar w:fldCharType="end"/>
      </w:r>
      <w:r w:rsidRPr="00883125">
        <w:t xml:space="preserve"> indicates that SFG's estimate of the value of distributed credits (0.35) represents the diminution of the face value of distributed credits by 51 per cent due to the presence of foreign investors and by (1 - 0.35 - 0.51 =) 14 per cent due to other factors (including differential personal taxes and risk). If the combined diminution due to these other factors is the same for investors in all equity, then the logic of the figures indicates that the value of distributed credits across investors in all equity might be (1 - 0.14 - 0.39 =) 0.47.</w:t>
      </w:r>
      <w:r w:rsidRPr="00883125">
        <w:rPr>
          <w:rStyle w:val="FootnoteReference"/>
        </w:rPr>
        <w:footnoteReference w:id="542"/>
      </w:r>
    </w:p>
    <w:p w:rsidR="00C52695" w:rsidRPr="00883125" w:rsidRDefault="00C52695" w:rsidP="00C52695">
      <w:pPr>
        <w:pStyle w:val="HeadingBoldItalic"/>
      </w:pPr>
      <w:bookmarkStart w:id="312" w:name="_Toc456614321"/>
      <w:bookmarkStart w:id="313" w:name="_Toc481056701"/>
      <w:bookmarkStart w:id="314" w:name="_Toc481061495"/>
      <w:r w:rsidRPr="00883125">
        <w:t>Comparison to the redemption rate from tax statistics</w:t>
      </w:r>
      <w:bookmarkEnd w:id="312"/>
      <w:bookmarkEnd w:id="313"/>
      <w:bookmarkEnd w:id="314"/>
    </w:p>
    <w:p w:rsidR="00C52695" w:rsidRPr="00883125" w:rsidRDefault="00C52695" w:rsidP="00C52695">
      <w:r w:rsidRPr="00883125">
        <w:t>The figures suggest that the difference between the foreign ownership share and the redemption rate from tax statistics is an estimate of the credits distributed to domestic investors who do not redeem them. The figures suggest that this might be because of the 45-day holding rule and/or transactions costs. We consider that there are a number of problems with this estimate.</w:t>
      </w:r>
    </w:p>
    <w:p w:rsidR="00C52695" w:rsidRPr="00883125" w:rsidRDefault="00514A99" w:rsidP="00C52695">
      <w:r>
        <w:t>First</w:t>
      </w:r>
      <w:r w:rsidR="00C52695" w:rsidRPr="00883125">
        <w:t>, the redemption rate from tax statistics reflects all equity, and therefore it is inconsistent to compare it to the foreign ownership share of listed equity.</w:t>
      </w:r>
    </w:p>
    <w:p w:rsidR="00197663" w:rsidRDefault="00514A99" w:rsidP="00C52695">
      <w:pPr>
        <w:rPr>
          <w:rStyle w:val="AERbody"/>
        </w:rPr>
      </w:pPr>
      <w:r>
        <w:t>Second</w:t>
      </w:r>
      <w:r w:rsidR="00C52695" w:rsidRPr="00883125">
        <w:t xml:space="preserve">, this estimate does not contemplate error or inaccuracy in the tax statistics. In section </w:t>
      </w:r>
      <w:r w:rsidR="005271EF">
        <w:fldChar w:fldCharType="begin"/>
      </w:r>
      <w:r w:rsidR="005271EF">
        <w:instrText xml:space="preserve"> REF _Ref475371808 \r \h </w:instrText>
      </w:r>
      <w:r w:rsidR="005271EF">
        <w:fldChar w:fldCharType="separate"/>
      </w:r>
      <w:r w:rsidR="007E3457">
        <w:t>4.4</w:t>
      </w:r>
      <w:r w:rsidR="005271EF">
        <w:fldChar w:fldCharType="end"/>
      </w:r>
      <w:r w:rsidR="00C52695" w:rsidRPr="00883125">
        <w:t>, we set out the data concerns that exist regarding the tax statistics. The service providers that we released draft decisions for in 2014 submitted in their initial proposals that no weight be placed on estimates of the utilisation rate from tax statistics because of significant unresolved problems with the data.</w:t>
      </w:r>
      <w:r w:rsidR="00C52695" w:rsidRPr="00883125">
        <w:rPr>
          <w:rStyle w:val="FootnoteReference"/>
        </w:rPr>
        <w:footnoteReference w:id="543"/>
      </w:r>
      <w:r w:rsidR="00C52695" w:rsidRPr="00883125">
        <w:t xml:space="preserve"> </w:t>
      </w:r>
      <w:r w:rsidR="00C52695" w:rsidRPr="00883125">
        <w:rPr>
          <w:rStyle w:val="AERbody"/>
        </w:rPr>
        <w:t>NERA has subsequently submitted that tax statistics can be used to estimate a value for theta consistent with a 70% distribution rate, and can also be used to estimate an upper bound value for gamma.</w:t>
      </w:r>
      <w:r w:rsidR="00C52695" w:rsidRPr="00883125">
        <w:rPr>
          <w:rStyle w:val="FootnoteReference"/>
        </w:rPr>
        <w:footnoteReference w:id="544"/>
      </w:r>
      <w:r w:rsidR="00C52695" w:rsidRPr="00883125">
        <w:rPr>
          <w:rStyle w:val="AERbody"/>
        </w:rPr>
        <w:t xml:space="preserve"> Gray (for Frontier) appears to support this.</w:t>
      </w:r>
      <w:r w:rsidR="00C52695" w:rsidRPr="00883125">
        <w:rPr>
          <w:rStyle w:val="FootnoteReference"/>
        </w:rPr>
        <w:footnoteReference w:id="545"/>
      </w:r>
      <w:r w:rsidR="00C52695" w:rsidRPr="00883125">
        <w:rPr>
          <w:rStyle w:val="AERbody"/>
        </w:rPr>
        <w:t xml:space="preserve"> </w:t>
      </w:r>
      <w:r w:rsidR="00197663">
        <w:rPr>
          <w:rStyle w:val="AERbody"/>
        </w:rPr>
        <w:t>Frontier considers that</w:t>
      </w:r>
      <w:r w:rsidR="00C21B8A">
        <w:rPr>
          <w:rStyle w:val="AERbody"/>
        </w:rPr>
        <w:t xml:space="preserve"> gamma can be estimate reliably from tax</w:t>
      </w:r>
      <w:r w:rsidR="00197663">
        <w:rPr>
          <w:rStyle w:val="AERbody"/>
        </w:rPr>
        <w:t xml:space="preserve"> statistics as the ratio of credits redeemed to credit generated.</w:t>
      </w:r>
      <w:r w:rsidR="00197663">
        <w:rPr>
          <w:rStyle w:val="FootnoteReference"/>
        </w:rPr>
        <w:footnoteReference w:id="546"/>
      </w:r>
      <w:r w:rsidR="00197663">
        <w:rPr>
          <w:rStyle w:val="AERbody"/>
        </w:rPr>
        <w:t xml:space="preserve"> </w:t>
      </w:r>
    </w:p>
    <w:p w:rsidR="00C52695" w:rsidRPr="00883125" w:rsidRDefault="00C52695" w:rsidP="00C52695">
      <w:pPr>
        <w:rPr>
          <w:rStyle w:val="AERbody"/>
        </w:rPr>
      </w:pPr>
      <w:r w:rsidRPr="00883125">
        <w:rPr>
          <w:rStyle w:val="AERbody"/>
        </w:rPr>
        <w:t>However, given the issues with the tax data and Hathaway's caveated comments regarding the data where he says "[t]he conclusion is that I accept the tax payments and FAB data as given post-2003, and assume that the problem is more likely to have arisen within the franked dividend payments data"</w:t>
      </w:r>
      <w:r w:rsidR="00BB4E44">
        <w:rPr>
          <w:rStyle w:val="AERbody"/>
        </w:rPr>
        <w:t>,</w:t>
      </w:r>
      <w:r w:rsidRPr="00883125">
        <w:rPr>
          <w:rStyle w:val="FootnoteReference"/>
        </w:rPr>
        <w:footnoteReference w:id="547"/>
      </w:r>
      <w:r w:rsidRPr="00883125">
        <w:rPr>
          <w:rStyle w:val="AERbody"/>
        </w:rPr>
        <w:t xml:space="preserve"> we remain of the view we should treat estimates of theta based on tax data with caution. Hathaway's draft 2014 report gives us no cause to change our view.</w:t>
      </w:r>
      <w:r w:rsidRPr="00883125">
        <w:rPr>
          <w:rStyle w:val="FootnoteReference"/>
        </w:rPr>
        <w:footnoteReference w:id="548"/>
      </w:r>
      <w:r>
        <w:rPr>
          <w:rStyle w:val="AERbody"/>
        </w:rPr>
        <w:t xml:space="preserve"> Lally, in his 2016 report, indicates he considers the most likely reason for a difference between the estimate of the utilisation rate from the equity ownership approach and tax statistics is data issues with the tax statistics.</w:t>
      </w:r>
      <w:r>
        <w:rPr>
          <w:rStyle w:val="FootnoteReference"/>
        </w:rPr>
        <w:footnoteReference w:id="549"/>
      </w:r>
      <w:r w:rsidR="00197663">
        <w:rPr>
          <w:rStyle w:val="AERbody"/>
        </w:rPr>
        <w:t xml:space="preserve"> The reliability of tax statistics is further discussed in section </w:t>
      </w:r>
      <w:r w:rsidR="006C032A">
        <w:rPr>
          <w:rStyle w:val="AERbody"/>
        </w:rPr>
        <w:fldChar w:fldCharType="begin"/>
      </w:r>
      <w:r w:rsidR="006C032A">
        <w:rPr>
          <w:rStyle w:val="AERbody"/>
        </w:rPr>
        <w:instrText xml:space="preserve"> REF _Ref402179420 \r \h </w:instrText>
      </w:r>
      <w:r w:rsidR="006C032A">
        <w:rPr>
          <w:rStyle w:val="AERbody"/>
        </w:rPr>
      </w:r>
      <w:r w:rsidR="006C032A">
        <w:rPr>
          <w:rStyle w:val="AERbody"/>
        </w:rPr>
        <w:fldChar w:fldCharType="separate"/>
      </w:r>
      <w:r w:rsidR="007E3457">
        <w:rPr>
          <w:rStyle w:val="AERbody"/>
        </w:rPr>
        <w:t>A.13</w:t>
      </w:r>
      <w:r w:rsidR="006C032A">
        <w:rPr>
          <w:rStyle w:val="AERbody"/>
        </w:rPr>
        <w:fldChar w:fldCharType="end"/>
      </w:r>
      <w:r w:rsidR="002621B0">
        <w:rPr>
          <w:rStyle w:val="AERbody"/>
        </w:rPr>
        <w:t>. Dr Lally, in his most recent report for us, also expresses the view in response to Frontier that the taxation statistics should continue to be viewed with caution</w:t>
      </w:r>
      <w:r w:rsidR="002160C8">
        <w:rPr>
          <w:rStyle w:val="FootnoteReference"/>
        </w:rPr>
        <w:footnoteReference w:id="550"/>
      </w:r>
    </w:p>
    <w:p w:rsidR="00C52695" w:rsidRPr="00883125" w:rsidRDefault="00C52695" w:rsidP="00C52695">
      <w:r w:rsidRPr="00883125">
        <w:t>Thirdly, we are not convinced that the 45-day holding rule and transaction costs are contributing to a material amount of credits not being redeemed. As discussed above, this is because:</w:t>
      </w:r>
    </w:p>
    <w:p w:rsidR="00C52695" w:rsidRPr="00883125" w:rsidRDefault="00C52695" w:rsidP="00C52695">
      <w:pPr>
        <w:pStyle w:val="AERbulletlistfirststyle"/>
      </w:pPr>
      <w:r w:rsidRPr="00883125">
        <w:t>Our analysis of the 45-day rule suggests that it is not having a material effect. Although we acknowledge this analysis is subject to any data quality issues with the tax statistics.</w:t>
      </w:r>
    </w:p>
    <w:p w:rsidR="00C52695" w:rsidRPr="00883125" w:rsidRDefault="00C52695" w:rsidP="00C52695">
      <w:pPr>
        <w:pStyle w:val="AERbulletlistfirststyle"/>
      </w:pPr>
      <w:r w:rsidRPr="00883125">
        <w:t xml:space="preserve">We do not consider that transactions costs are likely to dissuade a material number of investors from redeeming imputation credits. </w:t>
      </w:r>
    </w:p>
    <w:p w:rsidR="00C52695" w:rsidRPr="00883125" w:rsidRDefault="00C52695" w:rsidP="00C52695">
      <w:pPr>
        <w:rPr>
          <w:rStyle w:val="AERbody"/>
        </w:rPr>
      </w:pPr>
      <w:r w:rsidRPr="00883125">
        <w:rPr>
          <w:rStyle w:val="AERbody"/>
        </w:rPr>
        <w:t>In response to the service providers</w:t>
      </w:r>
      <w:r>
        <w:rPr>
          <w:rStyle w:val="AERbody"/>
        </w:rPr>
        <w:t>' submissions</w:t>
      </w:r>
      <w:r w:rsidRPr="00883125">
        <w:rPr>
          <w:rStyle w:val="AERbody"/>
        </w:rPr>
        <w:t>,</w:t>
      </w:r>
      <w:r w:rsidRPr="00883125">
        <w:rPr>
          <w:rStyle w:val="FootnoteReference"/>
        </w:rPr>
        <w:footnoteReference w:id="551"/>
      </w:r>
      <w:r w:rsidRPr="00883125">
        <w:rPr>
          <w:rStyle w:val="AERbody"/>
        </w:rPr>
        <w:t xml:space="preserve"> we do not consider there is any inconsistency between Handley's earlier work and subsequent work indicating taxation statistics can be used as a point estimate of theta. Handley has clearly explained why tax statistics can be used as a point estimate for theta, a position we agree with.</w:t>
      </w:r>
      <w:r w:rsidRPr="00883125">
        <w:rPr>
          <w:rStyle w:val="FootnoteReference"/>
        </w:rPr>
        <w:footnoteReference w:id="552"/>
      </w:r>
      <w:r w:rsidRPr="00883125">
        <w:rPr>
          <w:rStyle w:val="AERbody"/>
        </w:rPr>
        <w:t xml:space="preserve"> While we acknowledge that the ultimate source of the value for imputation credits is from redemption, this does not prevent an estimate of the redemption value from taxation statistics being a point estimate</w:t>
      </w:r>
      <w:r>
        <w:rPr>
          <w:rStyle w:val="AERbody"/>
        </w:rPr>
        <w:t>.</w:t>
      </w:r>
      <w:r w:rsidRPr="00883125">
        <w:rPr>
          <w:rStyle w:val="AERbody"/>
        </w:rPr>
        <w:t xml:space="preserve"> </w:t>
      </w:r>
      <w:r>
        <w:rPr>
          <w:rStyle w:val="AERbody"/>
        </w:rPr>
        <w:t>W</w:t>
      </w:r>
      <w:r w:rsidRPr="00883125">
        <w:rPr>
          <w:rStyle w:val="AERbody"/>
        </w:rPr>
        <w:t>e note, given the uncertainty with estimates based on the tax data, the true (unobservable) redemption value could be above or below the estimate.</w:t>
      </w:r>
    </w:p>
    <w:p w:rsidR="00C52695" w:rsidRPr="00883125" w:rsidRDefault="00C52695" w:rsidP="00C52695">
      <w:pPr>
        <w:rPr>
          <w:rStyle w:val="AERbody"/>
        </w:rPr>
      </w:pPr>
      <w:r w:rsidRPr="00883125">
        <w:rPr>
          <w:rStyle w:val="AERbody"/>
        </w:rPr>
        <w:t xml:space="preserve">In section </w:t>
      </w:r>
      <w:r w:rsidRPr="00883125">
        <w:rPr>
          <w:rStyle w:val="AERbody"/>
        </w:rPr>
        <w:fldChar w:fldCharType="begin"/>
      </w:r>
      <w:r w:rsidRPr="00883125">
        <w:rPr>
          <w:rStyle w:val="AERbody"/>
        </w:rPr>
        <w:instrText xml:space="preserve"> REF _Ref450298682 \r \h </w:instrText>
      </w:r>
      <w:r w:rsidRPr="00883125">
        <w:rPr>
          <w:rStyle w:val="AERbody"/>
        </w:rPr>
      </w:r>
      <w:r w:rsidRPr="00883125">
        <w:rPr>
          <w:rStyle w:val="AERbody"/>
        </w:rPr>
        <w:fldChar w:fldCharType="separate"/>
      </w:r>
      <w:r w:rsidR="007E3457">
        <w:rPr>
          <w:rStyle w:val="AERbody"/>
        </w:rPr>
        <w:t>A.14</w:t>
      </w:r>
      <w:r w:rsidRPr="00883125">
        <w:rPr>
          <w:rStyle w:val="AERbody"/>
        </w:rPr>
        <w:fldChar w:fldCharType="end"/>
      </w:r>
      <w:r w:rsidRPr="00883125">
        <w:rPr>
          <w:rStyle w:val="AERbody"/>
        </w:rPr>
        <w:t xml:space="preserve">, </w:t>
      </w:r>
      <w:r>
        <w:rPr>
          <w:rStyle w:val="AERbody"/>
        </w:rPr>
        <w:t>we analyse</w:t>
      </w:r>
      <w:r w:rsidRPr="00883125">
        <w:rPr>
          <w:rStyle w:val="AERbody"/>
        </w:rPr>
        <w:t xml:space="preserve"> </w:t>
      </w:r>
      <w:r>
        <w:rPr>
          <w:rStyle w:val="AERbody"/>
        </w:rPr>
        <w:t xml:space="preserve">the </w:t>
      </w:r>
      <w:r w:rsidRPr="00883125">
        <w:rPr>
          <w:rStyle w:val="AERbody"/>
        </w:rPr>
        <w:t xml:space="preserve">difference between the utilisation </w:t>
      </w:r>
      <w:r w:rsidRPr="00883125">
        <w:t>value</w:t>
      </w:r>
      <w:r w:rsidRPr="00883125">
        <w:rPr>
          <w:rStyle w:val="AERbody"/>
        </w:rPr>
        <w:t xml:space="preserve"> from the equity ownership approach and taxation statistics</w:t>
      </w:r>
      <w:r>
        <w:rPr>
          <w:rStyle w:val="AERbody"/>
        </w:rPr>
        <w:t>.</w:t>
      </w:r>
    </w:p>
    <w:p w:rsidR="00C52695" w:rsidRPr="00883125" w:rsidRDefault="00C52695" w:rsidP="00C52695">
      <w:pPr>
        <w:pStyle w:val="Heading9"/>
      </w:pPr>
      <w:bookmarkStart w:id="315" w:name="_Toc456614322"/>
      <w:bookmarkStart w:id="316" w:name="_Toc462823328"/>
      <w:bookmarkStart w:id="317" w:name="_Toc487014083"/>
      <w:bookmarkStart w:id="318" w:name="_Ref415068711"/>
      <w:bookmarkStart w:id="319" w:name="_Toc436049450"/>
      <w:r w:rsidRPr="00883125">
        <w:t>NERA's comments on the utilisation rate</w:t>
      </w:r>
      <w:bookmarkEnd w:id="315"/>
      <w:bookmarkEnd w:id="316"/>
      <w:bookmarkEnd w:id="317"/>
    </w:p>
    <w:p w:rsidR="00C52695" w:rsidRPr="00883125" w:rsidRDefault="00C52695" w:rsidP="00C52695">
      <w:r w:rsidRPr="00883125">
        <w:t>NERA submitted that theta is the value that a representative investor places on a dollar of distributed imputation credits.</w:t>
      </w:r>
      <w:r w:rsidRPr="00883125">
        <w:rPr>
          <w:rStyle w:val="FootnoteReference"/>
        </w:rPr>
        <w:footnoteReference w:id="553"/>
      </w:r>
      <w:r w:rsidRPr="00883125">
        <w:t xml:space="preserve"> NERA also presented a simple derivation of theta. The simple model employed by NERA consisted of, among other things: a set of domestic and foreign investors; a domestic asset that distributes imputation credits; and a foreign asset that does not distribute imputation credits. NERA showed that in this model:</w:t>
      </w:r>
    </w:p>
    <w:p w:rsidR="00C52695" w:rsidRPr="00883125" w:rsidRDefault="00C52695" w:rsidP="00C52695">
      <m:oMathPara>
        <m:oMath>
          <m:r>
            <w:rPr>
              <w:rFonts w:ascii="Cambria Math" w:hAnsi="Cambria Math"/>
            </w:rPr>
            <m:t>θ=</m:t>
          </m:r>
          <m:f>
            <m:fPr>
              <m:ctrlPr>
                <w:rPr>
                  <w:rFonts w:ascii="Cambria Math" w:hAnsi="Cambria Math"/>
                </w:rPr>
              </m:ctrlPr>
            </m:fPr>
            <m:num>
              <m:r>
                <w:rPr>
                  <w:rFonts w:ascii="Cambria Math" w:hAnsi="Cambria Math"/>
                </w:rPr>
                <m:t>D</m:t>
              </m:r>
            </m:num>
            <m:den>
              <m:r>
                <w:rPr>
                  <w:rFonts w:ascii="Cambria Math" w:hAnsi="Cambria Math"/>
                </w:rPr>
                <m:t>D+F</m:t>
              </m:r>
            </m:den>
          </m:f>
        </m:oMath>
      </m:oMathPara>
    </w:p>
    <w:p w:rsidR="00C52695" w:rsidRPr="00883125" w:rsidRDefault="00C52695" w:rsidP="00C52695">
      <w:r w:rsidRPr="00883125">
        <w:t xml:space="preserve">where </w:t>
      </w:r>
      <m:oMath>
        <m:r>
          <w:rPr>
            <w:rFonts w:ascii="Cambria Math" w:hAnsi="Cambria Math"/>
          </w:rPr>
          <m:t>D</m:t>
        </m:r>
      </m:oMath>
      <w:r w:rsidRPr="00883125">
        <w:t xml:space="preserve"> is the wealth of domestic investors and </w:t>
      </w:r>
      <m:oMath>
        <m:r>
          <w:rPr>
            <w:rFonts w:ascii="Cambria Math" w:hAnsi="Cambria Math"/>
          </w:rPr>
          <m:t>F</m:t>
        </m:r>
      </m:oMath>
      <w:r w:rsidRPr="00883125">
        <w:t xml:space="preserve"> is the wealth of foreign investors.</w:t>
      </w:r>
      <w:r w:rsidRPr="00883125">
        <w:rPr>
          <w:rStyle w:val="FootnoteReference"/>
        </w:rPr>
        <w:footnoteReference w:id="554"/>
      </w:r>
      <w:r w:rsidRPr="00883125">
        <w:t xml:space="preserve"> NERA also showed that the redemption rate of imputation credits does not equal theta in this model, and is instead given by the ratio of domestic holdings of the domestic asset to the sum of domestic and foreign holdings of the asset. NERA concluded:</w:t>
      </w:r>
      <w:r w:rsidRPr="00883125">
        <w:rPr>
          <w:rStyle w:val="FootnoteReference"/>
        </w:rPr>
        <w:footnoteReference w:id="555"/>
      </w:r>
    </w:p>
    <w:p w:rsidR="00C52695" w:rsidRPr="00883125" w:rsidRDefault="00C52695" w:rsidP="00C52695">
      <w:pPr>
        <w:pStyle w:val="AERquote"/>
      </w:pPr>
      <w:r w:rsidRPr="00883125">
        <w:t>In a small open economy – like Australia – the proportion of credits created that are redeemed is likely to exceed by a substantial margin the value of a dollar of tax credits created to a representative shareholder.</w:t>
      </w:r>
    </w:p>
    <w:p w:rsidR="00C52695" w:rsidRPr="00883125" w:rsidRDefault="00C52695" w:rsidP="00C52695">
      <w:r w:rsidRPr="00883125">
        <w:t>That is, if domestic investors make up only a small proportion of all investors, then theta will be small. However, this conclusion appears to rely on determining theta in an international CAPM context—domestic and foreign investors can invest in both domestic and foreign assets. By contrast, we determine the value of imputation credits (and other rate of return parameters) using a domestic CAPM. In the domestic CAPM context, domestic investors that are eligible to redeem credits make up a significant proportion of all investors that invest in domestic assets. Further, the scope for a material 'wedge' to arise between the redemption rate and theta in the domestic CAPM context is not clear from NERA's analysis because it only considers the international CAPM context.</w:t>
      </w:r>
    </w:p>
    <w:p w:rsidR="00C52695" w:rsidRPr="00883125" w:rsidRDefault="00C52695" w:rsidP="00C52695">
      <w:r w:rsidRPr="00883125">
        <w:t>Our view is supported by Handley's review of NERA's submission. Handley concluded:</w:t>
      </w:r>
      <w:r w:rsidRPr="00883125">
        <w:rPr>
          <w:rStyle w:val="FootnoteReference"/>
        </w:rPr>
        <w:footnoteReference w:id="556"/>
      </w:r>
    </w:p>
    <w:p w:rsidR="00C52695" w:rsidRPr="00883125" w:rsidRDefault="00C52695" w:rsidP="00C52695">
      <w:pPr>
        <w:pStyle w:val="AERquote"/>
      </w:pPr>
      <w:r w:rsidRPr="00883125">
        <w:t>The problem with the NERA model is that it is an international asset pricing model – along the lines of the Black (1974) International CAPM – whereas the current framework is based within a domestic market setting. This means that domestic investors have only a small market weighting by definition. Clearly, the value of imputation credits in an international asset pricing model will be substantially different from the value of imputation credits in a domestic asset pricing model.</w:t>
      </w:r>
    </w:p>
    <w:p w:rsidR="00C52695" w:rsidRPr="00883125" w:rsidRDefault="00C52695" w:rsidP="00C52695">
      <w:pPr>
        <w:pStyle w:val="AERquote"/>
      </w:pPr>
      <w:r w:rsidRPr="00883125">
        <w:t>…</w:t>
      </w:r>
    </w:p>
    <w:p w:rsidR="00C52695" w:rsidRPr="00883125" w:rsidRDefault="00C52695" w:rsidP="00C52695">
      <w:pPr>
        <w:pStyle w:val="AERquote"/>
      </w:pPr>
      <w:r w:rsidRPr="00883125">
        <w:t xml:space="preserve">In my opinion, NERA’s analysis does not establish the presence of a wedge between theta and the redemption rate and so does not invalidate the use of tax statistics to estimate theta. </w:t>
      </w:r>
    </w:p>
    <w:p w:rsidR="00C52695" w:rsidRPr="00883125" w:rsidRDefault="00C52695" w:rsidP="00C52695">
      <w:pPr>
        <w:rPr>
          <w:rStyle w:val="AERbody"/>
        </w:rPr>
      </w:pPr>
      <w:r w:rsidRPr="00883125">
        <w:rPr>
          <w:rStyle w:val="AERbody"/>
        </w:rPr>
        <w:t xml:space="preserve">NERA responded to </w:t>
      </w:r>
      <w:r>
        <w:rPr>
          <w:rStyle w:val="AERbody"/>
        </w:rPr>
        <w:t>our</w:t>
      </w:r>
      <w:r w:rsidRPr="00883125">
        <w:rPr>
          <w:rStyle w:val="AERbody"/>
        </w:rPr>
        <w:t xml:space="preserve"> position in the JGN decision in its June 2015 report.</w:t>
      </w:r>
      <w:r w:rsidRPr="00883125">
        <w:rPr>
          <w:rStyle w:val="FootnoteReference"/>
        </w:rPr>
        <w:footnoteReference w:id="557"/>
      </w:r>
      <w:r w:rsidRPr="00883125">
        <w:rPr>
          <w:rStyle w:val="AERbody"/>
        </w:rPr>
        <w:t xml:space="preserve"> In this report NERA put forward several propositions:</w:t>
      </w:r>
    </w:p>
    <w:p w:rsidR="00C52695" w:rsidRPr="005764F6" w:rsidRDefault="00C52695" w:rsidP="00C52695">
      <w:pPr>
        <w:pStyle w:val="AERbulletlistfirststyle"/>
      </w:pPr>
      <w:r w:rsidRPr="005764F6">
        <w:t xml:space="preserve">It would be expected that the proportions of credits that are redeemed would significantly exceed the value of a dollar of credits to a representative shareholder in a small open economy like Australia. </w:t>
      </w:r>
    </w:p>
    <w:p w:rsidR="00C52695" w:rsidRPr="005764F6" w:rsidRDefault="00C52695" w:rsidP="00C52695">
      <w:pPr>
        <w:pStyle w:val="AERbulletlistfirststyle"/>
      </w:pPr>
      <w:r>
        <w:t>Our</w:t>
      </w:r>
      <w:r w:rsidRPr="005764F6">
        <w:t xml:space="preserve"> use of a domestic Australian CAPM does not justify any presumption that theta take a non-negligible value.</w:t>
      </w:r>
    </w:p>
    <w:p w:rsidR="00C52695" w:rsidRPr="005764F6" w:rsidRDefault="00C52695" w:rsidP="00C52695">
      <w:pPr>
        <w:pStyle w:val="AERbulletlistfirststyle"/>
      </w:pPr>
      <w:r w:rsidRPr="005764F6">
        <w:t xml:space="preserve">The estimated cost of capital from a domestic CAPM will equal the cost of capital from an international CAPM under certain assumptions. </w:t>
      </w:r>
    </w:p>
    <w:p w:rsidR="00C52695" w:rsidRPr="00883125" w:rsidRDefault="00C52695" w:rsidP="00C52695">
      <w:pPr>
        <w:rPr>
          <w:rStyle w:val="AERbody"/>
        </w:rPr>
      </w:pPr>
      <w:r w:rsidRPr="00883125">
        <w:rPr>
          <w:rStyle w:val="AERbody"/>
        </w:rPr>
        <w:t>In response, we note that we consider our approach is consistent with our definition of the Australian domestic market in the presence of foreign investors.</w:t>
      </w:r>
    </w:p>
    <w:p w:rsidR="00C52695" w:rsidRPr="00883125" w:rsidRDefault="00C52695" w:rsidP="00C52695">
      <w:pPr>
        <w:rPr>
          <w:rStyle w:val="AERbody"/>
        </w:rPr>
      </w:pPr>
      <w:r w:rsidRPr="00883125">
        <w:rPr>
          <w:rStyle w:val="AERbody"/>
        </w:rPr>
        <w:t>While NERA does show a model consistent with the redemption of credits exceeding the value for theta, you may only get theta falling significantly below the redemption rate under specific assumptions.</w:t>
      </w:r>
      <w:r w:rsidRPr="00883125">
        <w:rPr>
          <w:rStyle w:val="FootnoteReference"/>
        </w:rPr>
        <w:footnoteReference w:id="558"/>
      </w:r>
      <w:r w:rsidRPr="00883125">
        <w:rPr>
          <w:rStyle w:val="AERbody"/>
        </w:rPr>
        <w:t xml:space="preserve"> We also note that NERA's model is an international asset pricing model.</w:t>
      </w:r>
      <w:r w:rsidRPr="00883125">
        <w:rPr>
          <w:rStyle w:val="FootnoteReference"/>
        </w:rPr>
        <w:footnoteReference w:id="559"/>
      </w:r>
      <w:r w:rsidRPr="00883125">
        <w:rPr>
          <w:rStyle w:val="AERbody"/>
        </w:rPr>
        <w:t xml:space="preserve"> This model is inconsistent with our definition of the domestic market. We also consider the use of the international CAPM, with a high proportion of wealth held by foreign investors (NERA using 98</w:t>
      </w:r>
      <w:r>
        <w:rPr>
          <w:rStyle w:val="AERbody"/>
        </w:rPr>
        <w:t xml:space="preserve"> per cent</w:t>
      </w:r>
      <w:r w:rsidRPr="00883125">
        <w:rPr>
          <w:rStyle w:val="AERbody"/>
        </w:rPr>
        <w:t xml:space="preserve"> in its primary example) is prima facie inconsistent with the way in which the service providers estimate the return on equity using an Australian Domestic CAPM. Handley shows that NERA's claimed "wedge" between the redemption rate and theta can be either small, if input assumptions are made consistent with our definition of the market (domestic in the presence of foreign investors), or zero or even negative depending on your assumption about a number of largely unobservable factors.</w:t>
      </w:r>
      <w:r w:rsidRPr="00883125">
        <w:rPr>
          <w:rStyle w:val="FootnoteReference"/>
        </w:rPr>
        <w:footnoteReference w:id="560"/>
      </w:r>
      <w:r w:rsidRPr="00883125">
        <w:rPr>
          <w:rStyle w:val="AERbody"/>
        </w:rPr>
        <w:t xml:space="preserve"> NERA response to one of Handley's examples that shows the wedge may be small makes clear they are using an International CAPM to argue Handley's response is invalid stating:</w:t>
      </w:r>
      <w:r w:rsidRPr="00883125">
        <w:rPr>
          <w:rStyle w:val="FootnoteReference"/>
        </w:rPr>
        <w:footnoteReference w:id="561"/>
      </w:r>
    </w:p>
    <w:p w:rsidR="00C52695" w:rsidRPr="00DA0E8B" w:rsidRDefault="00C52695" w:rsidP="00C52695">
      <w:pPr>
        <w:pStyle w:val="AERquote"/>
      </w:pPr>
      <w:r w:rsidRPr="00DA0E8B">
        <w:t xml:space="preserve">"The assumption that Australian aggregated wealth makes up 60 </w:t>
      </w:r>
      <w:r w:rsidR="00116FD8" w:rsidRPr="00DA0E8B">
        <w:t>per cent</w:t>
      </w:r>
      <w:r w:rsidRPr="00DA0E8B">
        <w:t xml:space="preserve"> of the world wealth is also very clearly at odds with the evidence and so we conclude that Handley's second example is similarly of no practical relevance." </w:t>
      </w:r>
    </w:p>
    <w:p w:rsidR="00C52695" w:rsidRPr="00883125" w:rsidRDefault="00C52695" w:rsidP="00C52695">
      <w:pPr>
        <w:rPr>
          <w:rStyle w:val="AERbody"/>
        </w:rPr>
      </w:pPr>
      <w:r w:rsidRPr="00883125">
        <w:rPr>
          <w:rStyle w:val="AERbody"/>
        </w:rPr>
        <w:t>We consider this response by NERA of limited relevance given our definition of the relevant market is a domestic market in the presence of foreign investors, a market which we have used to estimate both the return on equity and the value for imputation credits. Handley's example is appropriate given this definition.</w:t>
      </w:r>
    </w:p>
    <w:p w:rsidR="00C52695" w:rsidRPr="00883125" w:rsidRDefault="00C52695" w:rsidP="00C52695">
      <w:pPr>
        <w:rPr>
          <w:rStyle w:val="AERbody"/>
        </w:rPr>
      </w:pPr>
      <w:r w:rsidRPr="00883125">
        <w:rPr>
          <w:rStyle w:val="AERbody"/>
        </w:rPr>
        <w:t>While NERA responded to the position that theta could exceed the redemption rate arguing the market will not clear, irrespective of this we consider the wedge is not clearly material under our definition of the market and as Handley notes, the current framework is based within a domestic market setting.</w:t>
      </w:r>
      <w:r w:rsidRPr="00883125">
        <w:rPr>
          <w:rStyle w:val="FootnoteReference"/>
        </w:rPr>
        <w:footnoteReference w:id="562"/>
      </w:r>
      <w:r w:rsidRPr="00883125">
        <w:rPr>
          <w:rStyle w:val="AERbody"/>
        </w:rPr>
        <w:t xml:space="preserve"> NERA's comment in a separate report that it does not recommend the use of an International CAPM does not resolve this inconsistency issue.</w:t>
      </w:r>
      <w:r w:rsidRPr="00883125">
        <w:rPr>
          <w:rStyle w:val="FootnoteReference"/>
        </w:rPr>
        <w:footnoteReference w:id="563"/>
      </w:r>
    </w:p>
    <w:p w:rsidR="00C52695" w:rsidRPr="00883125" w:rsidRDefault="00C52695" w:rsidP="00C52695">
      <w:pPr>
        <w:rPr>
          <w:rStyle w:val="AERbody"/>
        </w:rPr>
      </w:pPr>
      <w:r w:rsidRPr="00883125">
        <w:rPr>
          <w:rStyle w:val="AERbody"/>
        </w:rPr>
        <w:t>In addition, while NERA has effectively put forward the position that the use of a domestic CAPM to set the return on equity and the use of an international CAPM to determine theta are not inconsistent because both models may generate the same return on equity estimate under certain assumptions, we consider NERA's position is not adequately supported.  An International CAPM may give a materially different required return on equity estimate. This may be lower or higher depending on whether local (domestic) systematic risk can be diversified away in the global market, or if specific risk in the domestic market contains global systematic risk.</w:t>
      </w:r>
      <w:r w:rsidRPr="00883125">
        <w:rPr>
          <w:rStyle w:val="FootnoteReference"/>
        </w:rPr>
        <w:footnoteReference w:id="564"/>
      </w:r>
      <w:r w:rsidRPr="00883125">
        <w:rPr>
          <w:rStyle w:val="AERbody"/>
        </w:rPr>
        <w:t xml:space="preserve"> While NERA appear to have made a number of assumptions to show both a domestic version of the SLCPAM and international version of the SLCAPM can hold simultaneously</w:t>
      </w:r>
      <w:r w:rsidRPr="00883125">
        <w:rPr>
          <w:rStyle w:val="FootnoteReference"/>
        </w:rPr>
        <w:footnoteReference w:id="565"/>
      </w:r>
      <w:r w:rsidRPr="00883125">
        <w:rPr>
          <w:rStyle w:val="AERbody"/>
        </w:rPr>
        <w:t>, these are assumptions that can only be tested empirically. An academic article by Koedijk, Mathiijs and van Dijk explains the underlying premise of such a test stating:</w:t>
      </w:r>
      <w:r w:rsidRPr="00883125">
        <w:rPr>
          <w:rStyle w:val="FootnoteReference"/>
        </w:rPr>
        <w:footnoteReference w:id="566"/>
      </w:r>
    </w:p>
    <w:p w:rsidR="00C52695" w:rsidRPr="00C52695" w:rsidRDefault="00C52695" w:rsidP="00C52695">
      <w:pPr>
        <w:pStyle w:val="AERquote"/>
        <w:rPr>
          <w:rFonts w:eastAsiaTheme="minorHAnsi"/>
        </w:rPr>
      </w:pPr>
      <w:r w:rsidRPr="00DA0E8B">
        <w:t>The testing methodology boils down to assessing whether the exposure of an individual company to the global risk factors is effectively captured in the international pricing of the domestic market index. If not, a significant pricing error will exist, which implies that global factors do have a substantial impact on the cost of capital. In effect, the domestic CAPM will underestimate the cost of equity capital of a company if the specific risk according to the domestic CAPM contains additional systematic risk related to the priced global factors. The domestic CAPM will lead to an overestimation of the cost of capital if part of the systematic risk indicated by the CAPM can be diversified away in the global market.</w:t>
      </w:r>
    </w:p>
    <w:p w:rsidR="00C52695" w:rsidRPr="00883125" w:rsidRDefault="00C52695" w:rsidP="00C52695">
      <w:pPr>
        <w:rPr>
          <w:rStyle w:val="AERbody"/>
        </w:rPr>
      </w:pPr>
      <w:r w:rsidRPr="00883125">
        <w:rPr>
          <w:rStyle w:val="AERbody"/>
        </w:rPr>
        <w:t>NERA appear to agree this is an empirical question as it states earlier in its report "</w:t>
      </w:r>
      <w:r>
        <w:rPr>
          <w:rStyle w:val="AERbody"/>
        </w:rPr>
        <w:t>[</w:t>
      </w:r>
      <w:r w:rsidRPr="00883125">
        <w:rPr>
          <w:rStyle w:val="AERbody"/>
        </w:rPr>
        <w:t>w]hether equity markets are integrated or segmented is an empirical issue."</w:t>
      </w:r>
      <w:r w:rsidRPr="00883125">
        <w:rPr>
          <w:rStyle w:val="FootnoteReference"/>
        </w:rPr>
        <w:footnoteReference w:id="567"/>
      </w:r>
      <w:r w:rsidRPr="00883125">
        <w:rPr>
          <w:rStyle w:val="AERbody"/>
        </w:rPr>
        <w:t xml:space="preserve">  </w:t>
      </w:r>
    </w:p>
    <w:p w:rsidR="00C52695" w:rsidRPr="00883125" w:rsidRDefault="00C52695" w:rsidP="00C52695">
      <w:pPr>
        <w:rPr>
          <w:rStyle w:val="AERbody"/>
        </w:rPr>
      </w:pPr>
      <w:r w:rsidRPr="00883125">
        <w:rPr>
          <w:rStyle w:val="AERbody"/>
        </w:rPr>
        <w:t>We also note that some work by Associate Professor Lally at the time of the development of the Rate of return guideline indicated that the required return on equity for Australian firms could be materially lower under full integration.</w:t>
      </w:r>
      <w:r w:rsidRPr="00883125">
        <w:rPr>
          <w:rStyle w:val="FootnoteReference"/>
        </w:rPr>
        <w:footnoteReference w:id="568"/>
      </w:r>
    </w:p>
    <w:p w:rsidR="00C52695" w:rsidRPr="00883125" w:rsidRDefault="00C52695" w:rsidP="00C52695">
      <w:pPr>
        <w:pStyle w:val="Heading8"/>
      </w:pPr>
      <w:bookmarkStart w:id="320" w:name="_Ref451790065"/>
      <w:bookmarkStart w:id="321" w:name="_Toc451842255"/>
      <w:bookmarkStart w:id="322" w:name="_Toc451938310"/>
      <w:bookmarkStart w:id="323" w:name="_Toc456614323"/>
      <w:bookmarkStart w:id="324" w:name="_Toc462823329"/>
      <w:bookmarkStart w:id="325" w:name="_Toc487014084"/>
      <w:r w:rsidRPr="00883125">
        <w:t>Estimation approach considerations</w:t>
      </w:r>
      <w:bookmarkEnd w:id="318"/>
      <w:bookmarkEnd w:id="319"/>
      <w:bookmarkEnd w:id="320"/>
      <w:bookmarkEnd w:id="321"/>
      <w:bookmarkEnd w:id="322"/>
      <w:bookmarkEnd w:id="323"/>
      <w:bookmarkEnd w:id="324"/>
      <w:bookmarkEnd w:id="325"/>
    </w:p>
    <w:p w:rsidR="00C52695" w:rsidRPr="00883125" w:rsidRDefault="00C52695" w:rsidP="00C52695">
      <w:pPr>
        <w:numPr>
          <w:ilvl w:val="0"/>
          <w:numId w:val="24"/>
        </w:numPr>
      </w:pPr>
      <w:r w:rsidRPr="00883125">
        <w:t>Two considerations that were not proposed in the Guideline in determining the value of imputation credits are discussed below.</w:t>
      </w:r>
    </w:p>
    <w:p w:rsidR="00C52695" w:rsidRPr="00883125" w:rsidRDefault="00C52695" w:rsidP="00C52695">
      <w:pPr>
        <w:pStyle w:val="Heading9"/>
      </w:pPr>
      <w:bookmarkStart w:id="326" w:name="_Ref401048631"/>
      <w:bookmarkStart w:id="327" w:name="_Toc456614324"/>
      <w:bookmarkStart w:id="328" w:name="_Toc462823330"/>
      <w:bookmarkStart w:id="329" w:name="_Toc487014085"/>
      <w:r w:rsidRPr="00883125">
        <w:t>Evidence from all equity or only listed equity</w:t>
      </w:r>
      <w:bookmarkEnd w:id="326"/>
      <w:bookmarkEnd w:id="327"/>
      <w:bookmarkEnd w:id="328"/>
      <w:bookmarkEnd w:id="329"/>
    </w:p>
    <w:p w:rsidR="00C52695" w:rsidRPr="00883125" w:rsidRDefault="00C52695" w:rsidP="00C52695">
      <w:pPr>
        <w:numPr>
          <w:ilvl w:val="0"/>
          <w:numId w:val="24"/>
        </w:numPr>
      </w:pPr>
      <w:r w:rsidRPr="00883125">
        <w:t xml:space="preserve">When determining the value of imputation credits, </w:t>
      </w:r>
      <w:r>
        <w:t xml:space="preserve">we remain of the view </w:t>
      </w:r>
      <w:r w:rsidRPr="00883125">
        <w:t xml:space="preserve">it </w:t>
      </w:r>
      <w:r>
        <w:t>is appropriate</w:t>
      </w:r>
      <w:r w:rsidRPr="00883125">
        <w:t xml:space="preserve"> to have regard to evidence from all companies and their investors (all equity) and just listed companies and their investors (only listed equity). There is no consensus on which should be the preferred approach. </w:t>
      </w:r>
    </w:p>
    <w:p w:rsidR="00C52695" w:rsidRPr="005764F6" w:rsidRDefault="004D558A" w:rsidP="00C52695">
      <w:r>
        <w:t>T</w:t>
      </w:r>
      <w:r w:rsidR="00C52695" w:rsidRPr="005764F6">
        <w:t xml:space="preserve">he </w:t>
      </w:r>
      <w:r>
        <w:t xml:space="preserve">Ausgrid </w:t>
      </w:r>
      <w:r w:rsidR="00C52695" w:rsidRPr="005764F6">
        <w:t>Tribunal recently considered that the AER had erred in using a listed equity only measure.</w:t>
      </w:r>
      <w:r w:rsidR="00C52695" w:rsidRPr="002110D5">
        <w:rPr>
          <w:rStyle w:val="FootnoteReference"/>
        </w:rPr>
        <w:footnoteReference w:id="569"/>
      </w:r>
      <w:r w:rsidR="00C52695" w:rsidRPr="005764F6">
        <w:t xml:space="preserve"> In this decision the </w:t>
      </w:r>
      <w:r w:rsidR="002B7E95">
        <w:t xml:space="preserve">Ausgrid </w:t>
      </w:r>
      <w:r w:rsidR="00C52695" w:rsidRPr="005764F6">
        <w:t>Tribunal considered that the AER had not provide sufficient explanation for introducing the distribution rate for only listed equity and that the</w:t>
      </w:r>
      <w:r w:rsidR="003852DC">
        <w:t>y</w:t>
      </w:r>
      <w:r w:rsidR="00C52695" w:rsidRPr="005764F6">
        <w:t xml:space="preserve"> considered it</w:t>
      </w:r>
      <w:r w:rsidR="003852DC">
        <w:t xml:space="preserve"> is</w:t>
      </w:r>
      <w:r w:rsidR="00C52695" w:rsidRPr="005764F6">
        <w:t xml:space="preserve"> appropriate to continue to follow past practice.</w:t>
      </w:r>
      <w:r w:rsidR="00C52695" w:rsidRPr="002110D5">
        <w:rPr>
          <w:rStyle w:val="FootnoteReference"/>
        </w:rPr>
        <w:footnoteReference w:id="570"/>
      </w:r>
    </w:p>
    <w:p w:rsidR="00C52695" w:rsidRPr="00883125" w:rsidRDefault="00C52695" w:rsidP="00C52695">
      <w:pPr>
        <w:numPr>
          <w:ilvl w:val="0"/>
          <w:numId w:val="24"/>
        </w:numPr>
      </w:pPr>
      <w:r w:rsidRPr="00883125">
        <w:t>We have had regard to experts' comments on the issue. Lally made some comments in support of considering all equity:</w:t>
      </w:r>
      <w:r w:rsidRPr="00883125">
        <w:rPr>
          <w:rStyle w:val="FootnoteReference"/>
        </w:rPr>
        <w:footnoteReference w:id="571"/>
      </w:r>
    </w:p>
    <w:p w:rsidR="00C52695" w:rsidRPr="00883125" w:rsidRDefault="00C52695" w:rsidP="00C52695">
      <w:pPr>
        <w:pStyle w:val="AERquote"/>
      </w:pPr>
      <w:r w:rsidRPr="00883125">
        <w:t>The more important point here is whether unlisted equity should be included, in principle. Arguably, the fact that only listed equity is used to estimate the MRP and beta suggests that the same limitation be applied to the present issue. However, the limitation is only imposed for the MRP and beta because data from unlisted firms is entirely inadequate for estimating returns. Furthermore, MRP estimates are generally based on a subset of listed equity (such as the ASX200), the subsets used may vary and are sometimes never specified (in surveys), and betas are typically estimated from foreign returns data. All of these results could reasonably be viewed as proxies for the results that would arise from using Australian data on all equities. In addition, treating the CAPM as a model that applies to only listed equities would rule out using it to estimate the cost of equity for an unlisted company (and some regulated businesses are unlisted). Thus, in principle, I favour inclusion of unlisted equity for estimating the proportion of Australian equities held locally.</w:t>
      </w:r>
    </w:p>
    <w:p w:rsidR="00C52695" w:rsidRDefault="00C52695" w:rsidP="00C52695">
      <w:pPr>
        <w:numPr>
          <w:ilvl w:val="0"/>
          <w:numId w:val="24"/>
        </w:numPr>
      </w:pPr>
      <w:r>
        <w:t xml:space="preserve">Lally </w:t>
      </w:r>
      <w:r w:rsidR="002B7E95">
        <w:t>considers</w:t>
      </w:r>
      <w:r>
        <w:t xml:space="preserve"> that all equity rather than listed equity should be used to estimate the utilisation value. Lally considers that using all equity data suggest the utilisation value </w:t>
      </w:r>
      <w:r w:rsidR="00023359">
        <w:t>of</w:t>
      </w:r>
      <w:r>
        <w:t xml:space="preserve"> 0.60.</w:t>
      </w:r>
      <w:r>
        <w:rPr>
          <w:rStyle w:val="FootnoteReference"/>
        </w:rPr>
        <w:footnoteReference w:id="572"/>
      </w:r>
    </w:p>
    <w:p w:rsidR="00C52695" w:rsidRPr="00883125" w:rsidRDefault="00C52695" w:rsidP="00C52695">
      <w:pPr>
        <w:numPr>
          <w:ilvl w:val="0"/>
          <w:numId w:val="24"/>
        </w:numPr>
      </w:pPr>
      <w:r w:rsidRPr="00883125">
        <w:t>However, Handley suggested that evidence from listed equity is more relevant:</w:t>
      </w:r>
      <w:r w:rsidRPr="00883125">
        <w:rPr>
          <w:rStyle w:val="FootnoteReference"/>
        </w:rPr>
        <w:footnoteReference w:id="573"/>
      </w:r>
    </w:p>
    <w:p w:rsidR="00C52695" w:rsidRPr="00883125" w:rsidRDefault="00C52695" w:rsidP="00C52695">
      <w:pPr>
        <w:pStyle w:val="AERquote"/>
      </w:pPr>
      <w:r w:rsidRPr="00883125">
        <w:t>Specifically, the NERA estimate [of the distribution rate] is based on aggregate [franking account balance] data for all companies – including public companies and private companies. In contrast, one can reasonably argue that the estimate should be based on public companies only since this is more likely to reflect the composition of the Australian domestic market for equity funds – private companies by definition are financed in entirely different ways – and so be a more relevant proxy for a benchmark efficient entity.</w:t>
      </w:r>
    </w:p>
    <w:p w:rsidR="00C52695" w:rsidRPr="00883125" w:rsidRDefault="00C52695" w:rsidP="00C52695">
      <w:r w:rsidRPr="00883125">
        <w:t>Gray's view (for SFG) is not clear to us. In his May 2014 report, Gray stated:</w:t>
      </w:r>
      <w:r w:rsidRPr="00883125">
        <w:rPr>
          <w:rStyle w:val="FootnoteReference"/>
        </w:rPr>
        <w:footnoteReference w:id="574"/>
      </w:r>
    </w:p>
    <w:p w:rsidR="00C52695" w:rsidRPr="00883125" w:rsidRDefault="00C52695" w:rsidP="00C52695">
      <w:pPr>
        <w:pStyle w:val="AERquote"/>
      </w:pPr>
      <w:r w:rsidRPr="00883125">
        <w:t>The 45% foreign ownership figure in Figure 9 above is based on listed equity. In our view, this is the appropriate calculation given that all other WACC parameters are estimated with reference to exchange-listed businesses because they are more reflective of the efficient benchmark entity.</w:t>
      </w:r>
    </w:p>
    <w:p w:rsidR="00C52695" w:rsidRPr="00883125" w:rsidRDefault="00C52695" w:rsidP="00C52695">
      <w:r w:rsidRPr="00883125">
        <w:t>And in his February 2015 report (for SFG) Gray stated:</w:t>
      </w:r>
      <w:r w:rsidRPr="00883125">
        <w:rPr>
          <w:rStyle w:val="FootnoteReference"/>
        </w:rPr>
        <w:footnoteReference w:id="575"/>
      </w:r>
    </w:p>
    <w:p w:rsidR="00C52695" w:rsidRPr="00883125" w:rsidRDefault="00C52695" w:rsidP="00C52695">
      <w:pPr>
        <w:pStyle w:val="AERquote"/>
      </w:pPr>
      <w:r w:rsidRPr="00883125">
        <w:t>There is also a question about whether data should be restricted to listed firms or whether it should be expanded to include private firms as well. Since the benchmark efficient entity is not necessarily listed, this would imply that private firms are also relevant.</w:t>
      </w:r>
    </w:p>
    <w:p w:rsidR="00C52695" w:rsidRPr="00883125" w:rsidRDefault="00C52695" w:rsidP="00C52695">
      <w:r w:rsidRPr="00883125">
        <w:t>A number of the service providers indicated clearly in their initial or revised proposals, or in a submission on their proposal, their view that the value of imputation credits should be estimated with regard to evidence from all equity:</w:t>
      </w:r>
      <w:r w:rsidRPr="00883125">
        <w:rPr>
          <w:rStyle w:val="FootnoteReference"/>
        </w:rPr>
        <w:footnoteReference w:id="576"/>
      </w:r>
    </w:p>
    <w:p w:rsidR="00C52695" w:rsidRPr="00883125" w:rsidRDefault="00C52695" w:rsidP="00C52695">
      <w:pPr>
        <w:pStyle w:val="AERquote"/>
      </w:pPr>
      <w:r w:rsidRPr="00883125">
        <w:t>Gamma is conventionally estimated as a market-wide parameter and therefore there is no reason to measure the distribution rate based on data for listed equity only, in circumstances where data is available for both listed and unlisted firms.</w:t>
      </w:r>
    </w:p>
    <w:p w:rsidR="00C52695" w:rsidRPr="00883125" w:rsidRDefault="00C52695" w:rsidP="00C52695">
      <w:r w:rsidRPr="00883125">
        <w:t>Despite this view, the service providers propose to rely on the 'best estimate' of the utilisation rate from implied market value studies, which by definition relate to only listed equity.</w:t>
      </w:r>
      <w:r w:rsidRPr="00883125">
        <w:rPr>
          <w:rStyle w:val="FootnoteReference"/>
        </w:rPr>
        <w:footnoteReference w:id="577"/>
      </w:r>
      <w:r w:rsidRPr="00883125">
        <w:t xml:space="preserve"> The service providers do not recognise that the evidence they have presented on their preferred estimate of the utilisation rate implies that it likely understates the value of distributed credits to investors across all equity (see our discussion in section </w:t>
      </w:r>
      <w:r w:rsidRPr="00883125">
        <w:fldChar w:fldCharType="begin"/>
      </w:r>
      <w:r w:rsidRPr="00883125">
        <w:instrText xml:space="preserve"> REF _Ref414099389 \r \h </w:instrText>
      </w:r>
      <w:r w:rsidRPr="00883125">
        <w:fldChar w:fldCharType="separate"/>
      </w:r>
      <w:r w:rsidR="007E3457">
        <w:t>A.8.3</w:t>
      </w:r>
      <w:r w:rsidRPr="00883125">
        <w:fldChar w:fldCharType="end"/>
      </w:r>
      <w:r w:rsidRPr="00883125">
        <w:t>).</w:t>
      </w:r>
    </w:p>
    <w:p w:rsidR="00C52695" w:rsidRDefault="00C52695" w:rsidP="00C52695">
      <w:r>
        <w:t xml:space="preserve">We have considered all the material before us. We agree that the utilisation rate is a market wide parameter. However, as set out above, there is no consensus on whether it should be estimated using all equity or listed equity. Therefore, we consider both. </w:t>
      </w:r>
      <w:r w:rsidR="00972820">
        <w:t xml:space="preserve">On the information before it, the SAPN Tribunal found </w:t>
      </w:r>
      <w:r w:rsidR="00E21D08">
        <w:t>no error in our decision in SAPN to exercise our discretion to consider estimates of the distribution rate from listed equity</w:t>
      </w:r>
      <w:r w:rsidR="00972820">
        <w:t>.</w:t>
      </w:r>
      <w:r w:rsidR="00023359">
        <w:rPr>
          <w:rStyle w:val="FootnoteReference"/>
        </w:rPr>
        <w:footnoteReference w:id="578"/>
      </w:r>
    </w:p>
    <w:p w:rsidR="00C52695" w:rsidRDefault="00C52695" w:rsidP="00C52695">
      <w:pPr>
        <w:rPr>
          <w:rStyle w:val="AERbody"/>
        </w:rPr>
      </w:pPr>
      <w:r>
        <w:t>In relation to the distribution rate, we note it is a firm specific parameter in principle. However, as Lally advised, there are reasons why it may not be appropriate to use firm specific data or industry averages, so sector wide data can be used as a reasonable proxy.</w:t>
      </w:r>
      <w:r>
        <w:rPr>
          <w:rStyle w:val="FootnoteReference"/>
        </w:rPr>
        <w:footnoteReference w:id="579"/>
      </w:r>
      <w:r>
        <w:rPr>
          <w:rStyle w:val="AERbody"/>
        </w:rPr>
        <w:t xml:space="preserve"> Therefore, we consider it is appropriate to use estimates of the distribution rate based on listed equity and all equity. We also have regard to Lally's recommended estimate of the distribution rate for listed equity estimated from financial reports of the top 20 listed firms (that is, 0.83).</w:t>
      </w:r>
      <w:r>
        <w:rPr>
          <w:rStyle w:val="FootnoteReference"/>
        </w:rPr>
        <w:footnoteReference w:id="580"/>
      </w:r>
      <w:r>
        <w:rPr>
          <w:rStyle w:val="AERbody"/>
        </w:rPr>
        <w:t xml:space="preserve"> Lally considers this estimate is reflective of the distribution rate for a benchmark efficient entity. </w:t>
      </w:r>
    </w:p>
    <w:p w:rsidR="00C52695" w:rsidRPr="005764F6" w:rsidRDefault="004D558A" w:rsidP="00C52695">
      <w:pPr>
        <w:rPr>
          <w:rStyle w:val="AERbody"/>
        </w:rPr>
      </w:pPr>
      <w:r>
        <w:t>W</w:t>
      </w:r>
      <w:r w:rsidR="00C52695" w:rsidRPr="00E64E9B">
        <w:t xml:space="preserve">e note </w:t>
      </w:r>
      <w:r>
        <w:t xml:space="preserve">that </w:t>
      </w:r>
      <w:r w:rsidR="00C52695" w:rsidRPr="00E64E9B">
        <w:t xml:space="preserve">the </w:t>
      </w:r>
      <w:r>
        <w:t xml:space="preserve">Ausgrid </w:t>
      </w:r>
      <w:r w:rsidR="00C52695" w:rsidRPr="00E64E9B">
        <w:t xml:space="preserve">Tribunal did not find a clear error in our approach prior to using its preferred approach. We remain of the view that our approach is </w:t>
      </w:r>
      <w:r w:rsidR="00C52695">
        <w:t xml:space="preserve">open to us, and results in a </w:t>
      </w:r>
      <w:r w:rsidR="00C52695" w:rsidRPr="00E64E9B">
        <w:t>conservative</w:t>
      </w:r>
      <w:r w:rsidR="00C52695">
        <w:t xml:space="preserve"> estimate (see section </w:t>
      </w:r>
      <w:r w:rsidR="00C52695">
        <w:fldChar w:fldCharType="begin"/>
      </w:r>
      <w:r w:rsidR="00C52695">
        <w:instrText xml:space="preserve"> REF _Ref401133206 \r \h </w:instrText>
      </w:r>
      <w:r w:rsidR="00C52695">
        <w:fldChar w:fldCharType="separate"/>
      </w:r>
      <w:r w:rsidR="007E3457">
        <w:t>A.10</w:t>
      </w:r>
      <w:r w:rsidR="00C52695">
        <w:fldChar w:fldCharType="end"/>
      </w:r>
      <w:r w:rsidR="00C52695">
        <w:t>)</w:t>
      </w:r>
      <w:r w:rsidR="00C52695" w:rsidRPr="00E64E9B">
        <w:t xml:space="preserve">. </w:t>
      </w:r>
    </w:p>
    <w:p w:rsidR="00C52695" w:rsidRPr="00883125" w:rsidRDefault="00C52695" w:rsidP="00C52695">
      <w:pPr>
        <w:pStyle w:val="Heading9"/>
      </w:pPr>
      <w:bookmarkStart w:id="330" w:name="_Ref403481194"/>
      <w:bookmarkStart w:id="331" w:name="_Ref450299300"/>
      <w:bookmarkStart w:id="332" w:name="_Ref450765039"/>
      <w:bookmarkStart w:id="333" w:name="_Toc456614325"/>
      <w:bookmarkStart w:id="334" w:name="_Toc462823331"/>
      <w:bookmarkStart w:id="335" w:name="_Toc487014086"/>
      <w:r w:rsidRPr="00883125">
        <w:t xml:space="preserve">Relationship between the distribution rate and the utilisation </w:t>
      </w:r>
      <w:bookmarkEnd w:id="330"/>
      <w:r w:rsidRPr="00883125">
        <w:t>value</w:t>
      </w:r>
      <w:bookmarkEnd w:id="331"/>
      <w:bookmarkEnd w:id="332"/>
      <w:bookmarkEnd w:id="333"/>
      <w:bookmarkEnd w:id="334"/>
      <w:bookmarkEnd w:id="335"/>
    </w:p>
    <w:p w:rsidR="00C52695" w:rsidRPr="00883125" w:rsidRDefault="00C52695" w:rsidP="00C52695">
      <w:pPr>
        <w:numPr>
          <w:ilvl w:val="0"/>
          <w:numId w:val="24"/>
        </w:numPr>
      </w:pPr>
      <w:r w:rsidRPr="00883125">
        <w:t xml:space="preserve">In developing the Guideline, we did not recognise the relationship between definitions and estimates of the distribution rate and the utilisation rate. This relationship is that a given estimate of the distribution rate represents the proportion of credits distributed by a given set of companies to the set of investors in those companies. </w:t>
      </w:r>
      <w:r>
        <w:t>In decisions released post the Guideline we considered that f</w:t>
      </w:r>
      <w:r w:rsidRPr="00883125">
        <w:t>or consistency in estimating the value of imputation credits, a corresponding estimate of the utilisation rate should reflect the utilisation of that same set of investors.</w:t>
      </w:r>
    </w:p>
    <w:p w:rsidR="00C52695" w:rsidRPr="00883125" w:rsidRDefault="00C52695" w:rsidP="00C52695">
      <w:r w:rsidRPr="005764F6">
        <w:t>We considered that this relationship should be recognised when determining estimates of the value of imputation credits.</w:t>
      </w:r>
      <w:r w:rsidRPr="00883125">
        <w:t xml:space="preserve"> We therefore consider</w:t>
      </w:r>
      <w:r>
        <w:t>ed</w:t>
      </w:r>
      <w:r w:rsidRPr="00883125">
        <w:t xml:space="preserve"> that estimates of the utilisation rate determined with regard to investors in only listed equity should be paired with estimates of the distribution rate that are also determined with regard to only listed equity. Similarly, </w:t>
      </w:r>
      <w:r>
        <w:t xml:space="preserve">we considered that </w:t>
      </w:r>
      <w:r w:rsidRPr="00883125">
        <w:t>estimates of the utilisation rate determined with regard to all equity should be paired with estimates of the distribution rate that are also determined with regard to all equity.</w:t>
      </w:r>
    </w:p>
    <w:p w:rsidR="00D75E7C" w:rsidRDefault="00C52695" w:rsidP="00C52695">
      <w:pPr>
        <w:numPr>
          <w:ilvl w:val="0"/>
          <w:numId w:val="24"/>
        </w:numPr>
        <w:rPr>
          <w:rStyle w:val="AERbody"/>
        </w:rPr>
      </w:pPr>
      <w:r w:rsidRPr="00883125">
        <w:rPr>
          <w:rStyle w:val="AERbody"/>
        </w:rPr>
        <w:t xml:space="preserve">The service providers do not agree that the estimate of the utilisation </w:t>
      </w:r>
      <w:r w:rsidRPr="00883125">
        <w:t>value</w:t>
      </w:r>
      <w:r w:rsidRPr="00883125">
        <w:rPr>
          <w:rStyle w:val="AERbody"/>
        </w:rPr>
        <w:t xml:space="preserve"> based on listed equity (all equity) can be paired</w:t>
      </w:r>
      <w:r>
        <w:rPr>
          <w:rStyle w:val="AERbody"/>
        </w:rPr>
        <w:t xml:space="preserve"> only</w:t>
      </w:r>
      <w:r w:rsidRPr="00883125">
        <w:rPr>
          <w:rStyle w:val="AERbody"/>
        </w:rPr>
        <w:t xml:space="preserve"> with a listed equity (all equity) distribution rate.</w:t>
      </w:r>
      <w:r w:rsidRPr="00883125">
        <w:rPr>
          <w:rStyle w:val="FootnoteReference"/>
        </w:rPr>
        <w:footnoteReference w:id="581"/>
      </w:r>
      <w:r w:rsidRPr="00883125">
        <w:rPr>
          <w:rStyle w:val="AERbody"/>
        </w:rPr>
        <w:t xml:space="preserve"> They submit that for the equity ownership approach both ownership and distribution data is available for all equity and listed equity and it should be necessary to consider which of these measures is more reflective of the benchmark firm.</w:t>
      </w:r>
      <w:r w:rsidRPr="00883125">
        <w:rPr>
          <w:rStyle w:val="FootnoteReference"/>
        </w:rPr>
        <w:footnoteReference w:id="582"/>
      </w:r>
      <w:r w:rsidRPr="00883125">
        <w:rPr>
          <w:rStyle w:val="AERbody"/>
        </w:rPr>
        <w:t xml:space="preserve"> Service providers consider that the distribution rate should be set with reference to all equity to avoid the influence of imputation credits being attached to foreign income.</w:t>
      </w:r>
      <w:r>
        <w:rPr>
          <w:rStyle w:val="FootnoteReference"/>
        </w:rPr>
        <w:footnoteReference w:id="583"/>
      </w:r>
      <w:r w:rsidRPr="00883125">
        <w:rPr>
          <w:rStyle w:val="AERbody"/>
        </w:rPr>
        <w:t xml:space="preserve"> For the utilisation </w:t>
      </w:r>
      <w:r w:rsidRPr="00883125">
        <w:t>value</w:t>
      </w:r>
      <w:r w:rsidRPr="00883125">
        <w:rPr>
          <w:rStyle w:val="AERbody"/>
        </w:rPr>
        <w:t xml:space="preserve"> they consider that it should to be estimated with reference to only listed equity in order to reflect foreign ownership in the benchmark firm.</w:t>
      </w:r>
      <w:r w:rsidRPr="00883125">
        <w:rPr>
          <w:rStyle w:val="FootnoteReference"/>
        </w:rPr>
        <w:footnoteReference w:id="584"/>
      </w:r>
    </w:p>
    <w:p w:rsidR="00C52695" w:rsidRPr="00883125" w:rsidRDefault="00C52695" w:rsidP="00C52695">
      <w:pPr>
        <w:numPr>
          <w:ilvl w:val="0"/>
          <w:numId w:val="24"/>
        </w:numPr>
        <w:rPr>
          <w:rStyle w:val="AERbody"/>
        </w:rPr>
      </w:pPr>
      <w:r w:rsidRPr="00883125">
        <w:rPr>
          <w:rStyle w:val="AERbody"/>
        </w:rPr>
        <w:t>Both Stephen Gray (for Frontier) and NERA submitted that there is no inconsistency with paring the distribution rate for all equity with a theta value (or utilisation rate) for listed equity as the distribution rate is firm specific within the Officer model.</w:t>
      </w:r>
      <w:r w:rsidRPr="00883125">
        <w:rPr>
          <w:rStyle w:val="FootnoteReference"/>
        </w:rPr>
        <w:footnoteReference w:id="585"/>
      </w:r>
      <w:r w:rsidRPr="00883125">
        <w:rPr>
          <w:rStyle w:val="AERbody"/>
        </w:rPr>
        <w:t xml:space="preserve"> As a result they appear to consider we should use either the distribution rate from the broadest market (all equity) in combination with a theta estimate from listed equity,</w:t>
      </w:r>
      <w:r w:rsidRPr="00883125">
        <w:rPr>
          <w:rStyle w:val="FootnoteReference"/>
        </w:rPr>
        <w:footnoteReference w:id="586"/>
      </w:r>
      <w:r w:rsidRPr="00883125">
        <w:rPr>
          <w:rStyle w:val="AERbody"/>
        </w:rPr>
        <w:t xml:space="preserve"> or alternatively we should use of a distribution rate estimated from listed equity excluding the 20 largest firms in the market, both of which yield an estimated distribution rate of around 70%. They effectively consider the use of the 20 largest listed firms to estimate the distribution rate from listed equity data alone will overestimate the distribution rate for the benchmark efficient entity as we assume this entity is not a large listed entity.</w:t>
      </w:r>
      <w:r w:rsidRPr="00883125">
        <w:rPr>
          <w:rStyle w:val="FootnoteReference"/>
        </w:rPr>
        <w:footnoteReference w:id="587"/>
      </w:r>
    </w:p>
    <w:p w:rsidR="00E72AEB" w:rsidRDefault="00C52695" w:rsidP="00E72AEB">
      <w:pPr>
        <w:numPr>
          <w:ilvl w:val="0"/>
          <w:numId w:val="24"/>
        </w:numPr>
        <w:rPr>
          <w:rStyle w:val="AERbody"/>
        </w:rPr>
      </w:pPr>
      <w:r w:rsidRPr="00883125">
        <w:rPr>
          <w:rStyle w:val="AERbody"/>
        </w:rPr>
        <w:t>Gray (for Frontier) considers that the distribution rate is firm specific, while theta is a market wider parameter.</w:t>
      </w:r>
      <w:r w:rsidRPr="00883125">
        <w:rPr>
          <w:rStyle w:val="FootnoteReference"/>
        </w:rPr>
        <w:footnoteReference w:id="588"/>
      </w:r>
      <w:r w:rsidRPr="00883125">
        <w:rPr>
          <w:rStyle w:val="AERbody"/>
        </w:rPr>
        <w:t xml:space="preserve"> Gr</w:t>
      </w:r>
      <w:r>
        <w:rPr>
          <w:rStyle w:val="AERbody"/>
        </w:rPr>
        <w:t>a</w:t>
      </w:r>
      <w:r w:rsidRPr="00883125">
        <w:rPr>
          <w:rStyle w:val="AERbody"/>
        </w:rPr>
        <w:t xml:space="preserve">y (for Frontier) draws an analogy between gamma and the CAPM, where the distribution rate is similar to beta and theta is similar to the MRP. Handley </w:t>
      </w:r>
      <w:r>
        <w:rPr>
          <w:rStyle w:val="AERbody"/>
        </w:rPr>
        <w:t xml:space="preserve">previously </w:t>
      </w:r>
      <w:r w:rsidRPr="00883125">
        <w:rPr>
          <w:rStyle w:val="AERbody"/>
        </w:rPr>
        <w:t xml:space="preserve">considered </w:t>
      </w:r>
      <w:r w:rsidR="00BB4E44" w:rsidRPr="00883125">
        <w:rPr>
          <w:rStyle w:val="AERbody"/>
        </w:rPr>
        <w:t>th</w:t>
      </w:r>
      <w:r w:rsidR="00BB4E44">
        <w:rPr>
          <w:rStyle w:val="AERbody"/>
        </w:rPr>
        <w:t>ese</w:t>
      </w:r>
      <w:r w:rsidR="00BB4E44" w:rsidRPr="00883125">
        <w:rPr>
          <w:rStyle w:val="AERbody"/>
        </w:rPr>
        <w:t xml:space="preserve"> </w:t>
      </w:r>
      <w:r w:rsidRPr="00883125">
        <w:rPr>
          <w:rStyle w:val="AERbody"/>
        </w:rPr>
        <w:t>issues and supported our decision in JGN to not remove the largest listed equity firms from the estimation of the distribution rate on the basis foreign sourced income allows them to distribute a higher proportion of imputation credits.</w:t>
      </w:r>
      <w:r w:rsidRPr="00883125">
        <w:rPr>
          <w:rStyle w:val="FootnoteReference"/>
        </w:rPr>
        <w:footnoteReference w:id="589"/>
      </w:r>
      <w:r w:rsidRPr="00883125">
        <w:rPr>
          <w:rStyle w:val="AERbody"/>
        </w:rPr>
        <w:t xml:space="preserve"> </w:t>
      </w:r>
      <w:r>
        <w:rPr>
          <w:rStyle w:val="AERbody"/>
        </w:rPr>
        <w:t xml:space="preserve">Further, as outlined in section </w:t>
      </w:r>
      <w:r>
        <w:rPr>
          <w:rStyle w:val="AERbody"/>
        </w:rPr>
        <w:fldChar w:fldCharType="begin"/>
      </w:r>
      <w:r>
        <w:rPr>
          <w:rStyle w:val="AERbody"/>
        </w:rPr>
        <w:instrText xml:space="preserve"> REF _Ref414289334 \r \h </w:instrText>
      </w:r>
      <w:r>
        <w:rPr>
          <w:rStyle w:val="AERbody"/>
        </w:rPr>
      </w:r>
      <w:r>
        <w:rPr>
          <w:rStyle w:val="AERbody"/>
        </w:rPr>
        <w:fldChar w:fldCharType="separate"/>
      </w:r>
      <w:r w:rsidR="007E3457">
        <w:rPr>
          <w:rStyle w:val="AERbody"/>
        </w:rPr>
        <w:t>A.10.1</w:t>
      </w:r>
      <w:r>
        <w:rPr>
          <w:rStyle w:val="AERbody"/>
        </w:rPr>
        <w:fldChar w:fldCharType="end"/>
      </w:r>
      <w:r>
        <w:rPr>
          <w:rStyle w:val="AERbody"/>
        </w:rPr>
        <w:t>, Lally has demonstrated there is a negative relationship between foreign operations and the distribution rate.</w:t>
      </w:r>
      <w:r>
        <w:rPr>
          <w:rStyle w:val="FootnoteReference"/>
        </w:rPr>
        <w:footnoteReference w:id="590"/>
      </w:r>
      <w:r>
        <w:rPr>
          <w:rStyle w:val="AERbody"/>
        </w:rPr>
        <w:t xml:space="preserve"> This demonstrates that foreign income actually decreases the distribution rate and not increases it as suggested by Frontier.</w:t>
      </w:r>
    </w:p>
    <w:p w:rsidR="00C52695" w:rsidRDefault="00C52695" w:rsidP="00C52695">
      <w:pPr>
        <w:numPr>
          <w:ilvl w:val="0"/>
          <w:numId w:val="24"/>
        </w:numPr>
        <w:rPr>
          <w:rStyle w:val="AERbody"/>
        </w:rPr>
      </w:pPr>
      <w:r w:rsidRPr="00883125">
        <w:rPr>
          <w:rStyle w:val="AERbody"/>
        </w:rPr>
        <w:t xml:space="preserve">The service providers consider that two benchmark characteristics, foreign ownership and foreign income, justify a lower gamma estimate. However, </w:t>
      </w:r>
      <w:r>
        <w:rPr>
          <w:rStyle w:val="AERbody"/>
        </w:rPr>
        <w:t>we</w:t>
      </w:r>
      <w:r w:rsidRPr="00883125">
        <w:rPr>
          <w:rStyle w:val="AERbody"/>
        </w:rPr>
        <w:t xml:space="preserve"> consider that are other benchmark characteristics that may justify a higher gamma estimate and/or a lower corporate tax allowance. For instance, the EMRF has submitted</w:t>
      </w:r>
      <w:r>
        <w:rPr>
          <w:rStyle w:val="AERbody"/>
        </w:rPr>
        <w:t xml:space="preserve"> that</w:t>
      </w:r>
      <w:r w:rsidRPr="00883125">
        <w:rPr>
          <w:rStyle w:val="AERbody"/>
        </w:rPr>
        <w:t xml:space="preserve"> the Franking account balance of APA Group, Envestra Limited (pre-sale) and JGN's parent company is zero.</w:t>
      </w:r>
      <w:r w:rsidRPr="00883125">
        <w:rPr>
          <w:rStyle w:val="FootnoteReference"/>
        </w:rPr>
        <w:footnoteReference w:id="591"/>
      </w:r>
      <w:r w:rsidRPr="00883125">
        <w:rPr>
          <w:rStyle w:val="AERbody"/>
        </w:rPr>
        <w:t xml:space="preserve"> This could imply that regulated businesses distribute all their imputation credits and therefore the appropriate benchmark distribution rate is closer to one hundred per cent. Alternatively, this could imply that the regulated businesses do not generate any imputation credits as they do not pay company tax. </w:t>
      </w:r>
      <w:r>
        <w:rPr>
          <w:rStyle w:val="AERbody"/>
        </w:rPr>
        <w:t>We</w:t>
      </w:r>
      <w:r w:rsidRPr="00883125">
        <w:rPr>
          <w:rStyle w:val="AERbody"/>
        </w:rPr>
        <w:t xml:space="preserve"> consider the benchmark should be considered holistically and individual characteristics of the benchmark should not be considered in isolation.</w:t>
      </w:r>
    </w:p>
    <w:p w:rsidR="00C52695" w:rsidRPr="005764F6" w:rsidRDefault="00C52695" w:rsidP="00C52695">
      <w:r w:rsidRPr="00033F58">
        <w:t xml:space="preserve">Lally considered </w:t>
      </w:r>
      <w:r w:rsidR="00E4076C">
        <w:t xml:space="preserve">there is no necessity to combine </w:t>
      </w:r>
      <w:r w:rsidR="00E4076C" w:rsidRPr="001D37D5">
        <w:t>estimates of the distribution rate and utilisation rate from the same dataset</w:t>
      </w:r>
      <w:r w:rsidR="00E4076C">
        <w:t xml:space="preserve"> and g</w:t>
      </w:r>
      <w:r w:rsidR="00C21B8A">
        <w:t>ood reason not for not doing so</w:t>
      </w:r>
      <w:r w:rsidR="00E4076C">
        <w:t>.</w:t>
      </w:r>
      <w:r w:rsidR="00E4076C">
        <w:rPr>
          <w:rStyle w:val="FootnoteReference"/>
        </w:rPr>
        <w:footnoteReference w:id="592"/>
      </w:r>
      <w:r w:rsidR="00E4076C">
        <w:t xml:space="preserve"> </w:t>
      </w:r>
      <w:r w:rsidRPr="00033F58">
        <w:t>Following this, we consider it is not necessary to 'match' estimates of distribution rates and utilisation rates based on the dataset used</w:t>
      </w:r>
      <w:r>
        <w:t xml:space="preserve">, although we note </w:t>
      </w:r>
      <w:r w:rsidRPr="00EA5758">
        <w:t>the choice is open to us</w:t>
      </w:r>
      <w:r w:rsidRPr="00033F58">
        <w:t>. While we principally maintain our previous approach, we also have some regard to Lally's preferred approach (which combines an all equity utilisation rate from the equity ownership approach with a distribution rate for listed equity from financial reports of the top 20 listed firms).</w:t>
      </w:r>
      <w:r w:rsidRPr="00033F58">
        <w:rPr>
          <w:rStyle w:val="FootnoteReference"/>
        </w:rPr>
        <w:footnoteReference w:id="593"/>
      </w:r>
      <w:r>
        <w:t xml:space="preserve"> </w:t>
      </w:r>
      <w:r w:rsidRPr="005764F6">
        <w:t>We note that Lally</w:t>
      </w:r>
      <w:r>
        <w:t>'s preferred approach</w:t>
      </w:r>
      <w:r w:rsidRPr="005764F6">
        <w:t xml:space="preserve"> suggest</w:t>
      </w:r>
      <w:r>
        <w:t>s</w:t>
      </w:r>
      <w:r w:rsidRPr="005764F6">
        <w:t xml:space="preserve"> </w:t>
      </w:r>
      <w:r>
        <w:t>a</w:t>
      </w:r>
      <w:r w:rsidRPr="005764F6">
        <w:t xml:space="preserve"> distribution </w:t>
      </w:r>
      <w:r>
        <w:t xml:space="preserve">rate of at least </w:t>
      </w:r>
      <w:r w:rsidRPr="005764F6">
        <w:t xml:space="preserve">0.83 and </w:t>
      </w:r>
      <w:r>
        <w:t xml:space="preserve">a utilisation rate of </w:t>
      </w:r>
      <w:r w:rsidRPr="005764F6">
        <w:t>0.60.</w:t>
      </w:r>
      <w:r w:rsidRPr="005764F6">
        <w:rPr>
          <w:rStyle w:val="FootnoteReference"/>
        </w:rPr>
        <w:footnoteReference w:id="594"/>
      </w:r>
      <w:r w:rsidRPr="005764F6">
        <w:t xml:space="preserve"> </w:t>
      </w:r>
      <w:r>
        <w:t>This</w:t>
      </w:r>
      <w:r w:rsidRPr="005764F6">
        <w:t xml:space="preserve"> suggest</w:t>
      </w:r>
      <w:r>
        <w:t>s</w:t>
      </w:r>
      <w:r w:rsidRPr="005764F6">
        <w:t xml:space="preserve"> </w:t>
      </w:r>
      <w:r>
        <w:t xml:space="preserve">a </w:t>
      </w:r>
      <w:r w:rsidRPr="005764F6">
        <w:t xml:space="preserve">gamma </w:t>
      </w:r>
      <w:r>
        <w:t>value of</w:t>
      </w:r>
      <w:r w:rsidRPr="005764F6">
        <w:t xml:space="preserve"> at least 0.50</w:t>
      </w:r>
      <w:r>
        <w:t>, which is higher than our estimate of 0.4</w:t>
      </w:r>
      <w:r w:rsidRPr="005764F6">
        <w:t>.</w:t>
      </w:r>
      <w:r>
        <w:rPr>
          <w:rStyle w:val="FootnoteReference"/>
        </w:rPr>
        <w:footnoteReference w:id="595"/>
      </w:r>
    </w:p>
    <w:p w:rsidR="00C52695" w:rsidRPr="00883125" w:rsidRDefault="00C52695" w:rsidP="00C52695">
      <w:pPr>
        <w:pStyle w:val="Heading8"/>
      </w:pPr>
      <w:bookmarkStart w:id="336" w:name="_Toc451842256"/>
      <w:bookmarkStart w:id="337" w:name="_Ref401133206"/>
      <w:bookmarkStart w:id="338" w:name="_Toc436049451"/>
      <w:bookmarkStart w:id="339" w:name="_Toc451842257"/>
      <w:bookmarkStart w:id="340" w:name="_Toc451938311"/>
      <w:bookmarkStart w:id="341" w:name="_Toc456614326"/>
      <w:bookmarkStart w:id="342" w:name="_Toc462823332"/>
      <w:bookmarkStart w:id="343" w:name="_Toc487014087"/>
      <w:bookmarkEnd w:id="336"/>
      <w:r w:rsidRPr="00883125">
        <w:t>Estimating the distribution rate</w:t>
      </w:r>
      <w:bookmarkEnd w:id="337"/>
      <w:bookmarkEnd w:id="338"/>
      <w:bookmarkEnd w:id="339"/>
      <w:bookmarkEnd w:id="340"/>
      <w:bookmarkEnd w:id="341"/>
      <w:bookmarkEnd w:id="342"/>
      <w:bookmarkEnd w:id="343"/>
    </w:p>
    <w:p w:rsidR="00C52695" w:rsidRPr="00883125" w:rsidRDefault="00C52695" w:rsidP="00C52695">
      <w:pPr>
        <w:numPr>
          <w:ilvl w:val="0"/>
          <w:numId w:val="24"/>
        </w:numPr>
      </w:pPr>
      <w:r w:rsidRPr="00883125">
        <w:t xml:space="preserve">We consider that the distribution rate is the proportion of imputation credits generated by the benchmark efficient entity that is distributed to investors. We set out our position on the distribution rate in section </w:t>
      </w:r>
      <w:r>
        <w:fldChar w:fldCharType="begin"/>
      </w:r>
      <w:r>
        <w:instrText xml:space="preserve"> REF _Ref450761230 \r \h </w:instrText>
      </w:r>
      <w:r>
        <w:fldChar w:fldCharType="separate"/>
      </w:r>
      <w:r w:rsidR="007E3457">
        <w:t>4.4.1</w:t>
      </w:r>
      <w:r>
        <w:fldChar w:fldCharType="end"/>
      </w:r>
      <w:r w:rsidRPr="00883125">
        <w:t xml:space="preserve"> of attachment 4. Consistent with the Guideline, we estimate it using the 'cumulative payout ratio approach', which uses data from the ATO on the accounts used by companies to track their stocks of imputation credits ('franking account balances'). Using this approach, NERA estimated a distribution rate across all equity of 0.7 for the period 1987 to 2011.</w:t>
      </w:r>
      <w:r w:rsidRPr="00883125">
        <w:rPr>
          <w:rStyle w:val="FootnoteReference"/>
        </w:rPr>
        <w:footnoteReference w:id="596"/>
      </w:r>
      <w:r w:rsidRPr="00883125">
        <w:t xml:space="preserve"> Hathaway found a similar estimate for the period 2004 to 2011.</w:t>
      </w:r>
      <w:r w:rsidRPr="00883125">
        <w:rPr>
          <w:rStyle w:val="FootnoteReference"/>
        </w:rPr>
        <w:footnoteReference w:id="597"/>
      </w:r>
      <w:r w:rsidRPr="00883125">
        <w:t xml:space="preserve"> Gray (for Frontier) submitted that the distribution rate for all equity and listed equity excluding the impact of the top 20 listed companies is approximately 70%.</w:t>
      </w:r>
      <w:r w:rsidRPr="00883125">
        <w:rPr>
          <w:rStyle w:val="FootnoteReference"/>
        </w:rPr>
        <w:footnoteReference w:id="598"/>
      </w:r>
      <w:r w:rsidRPr="00883125">
        <w:t xml:space="preserve"> Also using this approach, Handley estimated a distribution rate across only listed equity of 0.8 for the period 1987 to 2011.</w:t>
      </w:r>
      <w:r w:rsidRPr="00883125">
        <w:rPr>
          <w:rStyle w:val="FootnoteReference"/>
        </w:rPr>
        <w:footnoteReference w:id="599"/>
      </w:r>
      <w:r w:rsidRPr="00883125">
        <w:t xml:space="preserve"> Our own analysis indicated that the distribution rate over only listed equity is 0.8 for the period 2004 to 2011—we calculated the aggregate net tax paid by public companies over this period to be $255.6 billion and the change in aggregate franking account balances of those companies over the same period to be $50.2 billion (suggesting that $205.4 billion, or 80 per cent, of imputation credits generated were distributed).</w:t>
      </w:r>
    </w:p>
    <w:p w:rsidR="00C52695" w:rsidRPr="00883125" w:rsidRDefault="00C52695" w:rsidP="00C52695">
      <w:pPr>
        <w:numPr>
          <w:ilvl w:val="0"/>
          <w:numId w:val="24"/>
        </w:numPr>
      </w:pPr>
      <w:r w:rsidRPr="00883125">
        <w:t>We relied on an estimate of the distribution rate over all equity of 0.7 in the Guideline and decisions released in 2014 and April 2015 and June 2015. We also relied on an estimate of the distribution rate over only listed equity of 0.8 in the decision released in 2014 and April 2015. We reviewed these estimates in light of an updated analysis of the ATO data to the 2012 tax year by NERA, which was submitted to us as part of JGN's decision process.</w:t>
      </w:r>
      <w:r w:rsidRPr="00883125">
        <w:rPr>
          <w:rStyle w:val="FootnoteReference"/>
        </w:rPr>
        <w:footnoteReference w:id="600"/>
      </w:r>
      <w:r w:rsidRPr="00883125">
        <w:t xml:space="preserve"> Handley also reviewed NERA's analysis, and provided his own report.</w:t>
      </w:r>
      <w:r w:rsidRPr="00883125">
        <w:rPr>
          <w:rStyle w:val="FootnoteReference"/>
        </w:rPr>
        <w:footnoteReference w:id="601"/>
      </w:r>
      <w:r w:rsidRPr="00883125">
        <w:t xml:space="preserve"> Both NERA and Handley found an estimate of 0.7 for the period 2004 to 2012.</w:t>
      </w:r>
      <w:r w:rsidRPr="00883125">
        <w:rPr>
          <w:rStyle w:val="FootnoteReference"/>
        </w:rPr>
        <w:footnoteReference w:id="602"/>
      </w:r>
      <w:r w:rsidRPr="00883125">
        <w:t xml:space="preserve"> However, both NERA and Handley found that the distribution rate over only listed equity has fallen slightly from 0.8. Specifically, Handley found an estimate of 0.77 over the period 2004 to 2012. We used this updated estimate for the decisions released in June, October and November 2015.</w:t>
      </w:r>
    </w:p>
    <w:p w:rsidR="00C52695" w:rsidRPr="00883125" w:rsidRDefault="00C52695" w:rsidP="00C52695">
      <w:pPr>
        <w:numPr>
          <w:ilvl w:val="0"/>
          <w:numId w:val="24"/>
        </w:numPr>
      </w:pPr>
      <w:r w:rsidRPr="00883125">
        <w:t>Gray (for frontier) replicated and updated using the latest Taxation Statistics cumulative payout ratio for public and private companies in NERA's (2015) report.</w:t>
      </w:r>
      <w:r w:rsidRPr="00883125">
        <w:rPr>
          <w:rStyle w:val="FootnoteReference"/>
        </w:rPr>
        <w:footnoteReference w:id="603"/>
      </w:r>
      <w:r w:rsidRPr="00883125">
        <w:t xml:space="preserve"> However, Gray's (for frontier) replication of Handley (2014) and Handley (2015) cumulative payout ratio is slightly different due to what Gray </w:t>
      </w:r>
      <w:r w:rsidR="00514A99">
        <w:t>considers</w:t>
      </w:r>
      <w:r w:rsidRPr="00883125">
        <w:t xml:space="preserve"> to be a different rounding method.</w:t>
      </w:r>
      <w:r w:rsidRPr="00883125">
        <w:rPr>
          <w:rStyle w:val="FootnoteReference"/>
        </w:rPr>
        <w:footnoteReference w:id="604"/>
      </w:r>
      <w:r w:rsidRPr="00883125">
        <w:t xml:space="preserve"> The update payout ratios presented below in </w:t>
      </w:r>
      <w:r w:rsidRPr="00883125">
        <w:fldChar w:fldCharType="begin"/>
      </w:r>
      <w:r w:rsidRPr="00883125">
        <w:instrText xml:space="preserve"> REF _Ref450332920 \h </w:instrText>
      </w:r>
      <w:r w:rsidRPr="00883125">
        <w:fldChar w:fldCharType="separate"/>
      </w:r>
      <w:r w:rsidR="007E3457" w:rsidRPr="00883125">
        <w:t xml:space="preserve">Table </w:t>
      </w:r>
      <w:r w:rsidR="007E3457">
        <w:rPr>
          <w:noProof/>
        </w:rPr>
        <w:t>4</w:t>
      </w:r>
      <w:r w:rsidR="007E3457">
        <w:noBreakHyphen/>
      </w:r>
      <w:r w:rsidR="007E3457">
        <w:rPr>
          <w:noProof/>
        </w:rPr>
        <w:t>14</w:t>
      </w:r>
      <w:r w:rsidRPr="00883125">
        <w:fldChar w:fldCharType="end"/>
      </w:r>
      <w:r w:rsidRPr="00883125">
        <w:t>.</w:t>
      </w:r>
    </w:p>
    <w:p w:rsidR="00C52695" w:rsidRPr="00883125" w:rsidRDefault="00C52695" w:rsidP="00C52695">
      <w:pPr>
        <w:pStyle w:val="Caption"/>
      </w:pPr>
      <w:bookmarkStart w:id="344" w:name="_Ref450332920"/>
      <w:r w:rsidRPr="00883125">
        <w:t xml:space="preserve">Table </w:t>
      </w:r>
      <w:r w:rsidRPr="001D37D5">
        <w:fldChar w:fldCharType="begin"/>
      </w:r>
      <w:r>
        <w:instrText xml:space="preserve"> STYLEREF 1 \s </w:instrText>
      </w:r>
      <w:r w:rsidRPr="001D37D5">
        <w:fldChar w:fldCharType="separate"/>
      </w:r>
      <w:r w:rsidR="007E3457">
        <w:rPr>
          <w:noProof/>
        </w:rPr>
        <w:t>4</w:t>
      </w:r>
      <w:r w:rsidRPr="001D37D5">
        <w:fldChar w:fldCharType="end"/>
      </w:r>
      <w:r>
        <w:noBreakHyphen/>
      </w:r>
      <w:r w:rsidRPr="001D37D5">
        <w:fldChar w:fldCharType="begin"/>
      </w:r>
      <w:r>
        <w:instrText xml:space="preserve"> SEQ Table \* ARABIC \s 1 </w:instrText>
      </w:r>
      <w:r w:rsidRPr="001D37D5">
        <w:fldChar w:fldCharType="separate"/>
      </w:r>
      <w:r w:rsidR="007E3457">
        <w:rPr>
          <w:noProof/>
        </w:rPr>
        <w:t>14</w:t>
      </w:r>
      <w:r w:rsidRPr="001D37D5">
        <w:fldChar w:fldCharType="end"/>
      </w:r>
      <w:bookmarkEnd w:id="344"/>
      <w:r w:rsidRPr="00883125">
        <w:tab/>
        <w:t>Frontier Economics updated distribution rates</w:t>
      </w:r>
    </w:p>
    <w:tbl>
      <w:tblPr>
        <w:tblStyle w:val="AERtable-numbers"/>
        <w:tblW w:w="0" w:type="auto"/>
        <w:tblLook w:val="04A0" w:firstRow="1" w:lastRow="0" w:firstColumn="1" w:lastColumn="0" w:noHBand="0" w:noVBand="1"/>
      </w:tblPr>
      <w:tblGrid>
        <w:gridCol w:w="3817"/>
        <w:gridCol w:w="2712"/>
        <w:gridCol w:w="2713"/>
      </w:tblGrid>
      <w:tr w:rsidR="00C52695" w:rsidTr="006425B8">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817" w:type="dxa"/>
          </w:tcPr>
          <w:p w:rsidR="00C52695" w:rsidRPr="00883125" w:rsidRDefault="00C52695" w:rsidP="00C52695">
            <w:pPr>
              <w:numPr>
                <w:ilvl w:val="0"/>
                <w:numId w:val="24"/>
              </w:numPr>
            </w:pPr>
          </w:p>
        </w:tc>
        <w:tc>
          <w:tcPr>
            <w:tcW w:w="2712" w:type="dxa"/>
          </w:tcPr>
          <w:p w:rsidR="00C52695" w:rsidRPr="00883125" w:rsidRDefault="00C52695" w:rsidP="00C52695">
            <w:pPr>
              <w:numPr>
                <w:ilvl w:val="0"/>
                <w:numId w:val="24"/>
              </w:numPr>
              <w:cnfStyle w:val="100000000000" w:firstRow="1" w:lastRow="0" w:firstColumn="0" w:lastColumn="0" w:oddVBand="0" w:evenVBand="0" w:oddHBand="0" w:evenHBand="0" w:firstRowFirstColumn="0" w:firstRowLastColumn="0" w:lastRowFirstColumn="0" w:lastRowLastColumn="0"/>
            </w:pPr>
            <w:r w:rsidRPr="00883125">
              <w:t>2001-2012</w:t>
            </w:r>
          </w:p>
        </w:tc>
        <w:tc>
          <w:tcPr>
            <w:tcW w:w="2713" w:type="dxa"/>
          </w:tcPr>
          <w:p w:rsidR="00C52695" w:rsidRPr="00883125" w:rsidRDefault="00C52695" w:rsidP="00C52695">
            <w:pPr>
              <w:numPr>
                <w:ilvl w:val="0"/>
                <w:numId w:val="24"/>
              </w:numPr>
              <w:cnfStyle w:val="100000000000" w:firstRow="1" w:lastRow="0" w:firstColumn="0" w:lastColumn="0" w:oddVBand="0" w:evenVBand="0" w:oddHBand="0" w:evenHBand="0" w:firstRowFirstColumn="0" w:firstRowLastColumn="0" w:lastRowFirstColumn="0" w:lastRowLastColumn="0"/>
            </w:pPr>
            <w:r w:rsidRPr="00883125">
              <w:t>2001-2013</w:t>
            </w:r>
          </w:p>
        </w:tc>
      </w:tr>
      <w:tr w:rsidR="00C52695" w:rsidTr="006425B8">
        <w:trPr>
          <w:cantSplit/>
        </w:trPr>
        <w:tc>
          <w:tcPr>
            <w:cnfStyle w:val="001000000000" w:firstRow="0" w:lastRow="0" w:firstColumn="1" w:lastColumn="0" w:oddVBand="0" w:evenVBand="0" w:oddHBand="0" w:evenHBand="0" w:firstRowFirstColumn="0" w:firstRowLastColumn="0" w:lastRowFirstColumn="0" w:lastRowLastColumn="0"/>
            <w:tcW w:w="3817" w:type="dxa"/>
          </w:tcPr>
          <w:p w:rsidR="00C52695" w:rsidRPr="00883125" w:rsidRDefault="00C52695" w:rsidP="00C52695">
            <w:pPr>
              <w:numPr>
                <w:ilvl w:val="0"/>
                <w:numId w:val="24"/>
              </w:numPr>
            </w:pPr>
            <w:r w:rsidRPr="00883125">
              <w:t>Handley (public companies)</w:t>
            </w:r>
          </w:p>
        </w:tc>
        <w:tc>
          <w:tcPr>
            <w:tcW w:w="2712" w:type="dxa"/>
          </w:tcPr>
          <w:p w:rsidR="00C52695" w:rsidRPr="00883125" w:rsidRDefault="00C52695" w:rsidP="00C52695">
            <w:pPr>
              <w:numPr>
                <w:ilvl w:val="0"/>
                <w:numId w:val="24"/>
              </w:numPr>
              <w:cnfStyle w:val="000000000000" w:firstRow="0" w:lastRow="0" w:firstColumn="0" w:lastColumn="0" w:oddVBand="0" w:evenVBand="0" w:oddHBand="0" w:evenHBand="0" w:firstRowFirstColumn="0" w:firstRowLastColumn="0" w:lastRowFirstColumn="0" w:lastRowLastColumn="0"/>
            </w:pPr>
            <w:r w:rsidRPr="00883125">
              <w:t>0.76</w:t>
            </w:r>
          </w:p>
        </w:tc>
        <w:tc>
          <w:tcPr>
            <w:tcW w:w="2713" w:type="dxa"/>
          </w:tcPr>
          <w:p w:rsidR="00C52695" w:rsidRPr="00883125" w:rsidRDefault="00C52695" w:rsidP="00C52695">
            <w:pPr>
              <w:numPr>
                <w:ilvl w:val="0"/>
                <w:numId w:val="24"/>
              </w:numPr>
              <w:cnfStyle w:val="000000000000" w:firstRow="0" w:lastRow="0" w:firstColumn="0" w:lastColumn="0" w:oddVBand="0" w:evenVBand="0" w:oddHBand="0" w:evenHBand="0" w:firstRowFirstColumn="0" w:firstRowLastColumn="0" w:lastRowFirstColumn="0" w:lastRowLastColumn="0"/>
            </w:pPr>
            <w:r w:rsidRPr="00883125">
              <w:t>0.742</w:t>
            </w:r>
          </w:p>
        </w:tc>
      </w:tr>
      <w:tr w:rsidR="00C52695" w:rsidTr="006425B8">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817" w:type="dxa"/>
          </w:tcPr>
          <w:p w:rsidR="00C52695" w:rsidRPr="00883125" w:rsidRDefault="00C52695" w:rsidP="00C52695">
            <w:pPr>
              <w:numPr>
                <w:ilvl w:val="0"/>
                <w:numId w:val="24"/>
              </w:numPr>
            </w:pPr>
            <w:r w:rsidRPr="00883125">
              <w:t>Handley (Private companies)</w:t>
            </w:r>
          </w:p>
        </w:tc>
        <w:tc>
          <w:tcPr>
            <w:tcW w:w="2712" w:type="dxa"/>
          </w:tcPr>
          <w:p w:rsidR="00C52695" w:rsidRPr="00883125" w:rsidRDefault="00C52695" w:rsidP="00C52695">
            <w:pPr>
              <w:numPr>
                <w:ilvl w:val="0"/>
                <w:numId w:val="24"/>
              </w:numPr>
              <w:cnfStyle w:val="000000010000" w:firstRow="0" w:lastRow="0" w:firstColumn="0" w:lastColumn="0" w:oddVBand="0" w:evenVBand="0" w:oddHBand="0" w:evenHBand="1" w:firstRowFirstColumn="0" w:firstRowLastColumn="0" w:lastRowFirstColumn="0" w:lastRowLastColumn="0"/>
            </w:pPr>
            <w:r w:rsidRPr="00883125">
              <w:t>0.52</w:t>
            </w:r>
          </w:p>
        </w:tc>
        <w:tc>
          <w:tcPr>
            <w:tcW w:w="2713" w:type="dxa"/>
          </w:tcPr>
          <w:p w:rsidR="00C52695" w:rsidRPr="00883125" w:rsidRDefault="00C52695" w:rsidP="00C52695">
            <w:pPr>
              <w:numPr>
                <w:ilvl w:val="0"/>
                <w:numId w:val="24"/>
              </w:numPr>
              <w:cnfStyle w:val="000000010000" w:firstRow="0" w:lastRow="0" w:firstColumn="0" w:lastColumn="0" w:oddVBand="0" w:evenVBand="0" w:oddHBand="0" w:evenHBand="1" w:firstRowFirstColumn="0" w:firstRowLastColumn="0" w:lastRowFirstColumn="0" w:lastRowLastColumn="0"/>
            </w:pPr>
            <w:r w:rsidRPr="00883125">
              <w:t>0.507</w:t>
            </w:r>
          </w:p>
        </w:tc>
      </w:tr>
      <w:tr w:rsidR="00C52695" w:rsidTr="006425B8">
        <w:trPr>
          <w:cantSplit/>
        </w:trPr>
        <w:tc>
          <w:tcPr>
            <w:cnfStyle w:val="001000000000" w:firstRow="0" w:lastRow="0" w:firstColumn="1" w:lastColumn="0" w:oddVBand="0" w:evenVBand="0" w:oddHBand="0" w:evenHBand="0" w:firstRowFirstColumn="0" w:firstRowLastColumn="0" w:lastRowFirstColumn="0" w:lastRowLastColumn="0"/>
            <w:tcW w:w="3817" w:type="dxa"/>
          </w:tcPr>
          <w:p w:rsidR="00C52695" w:rsidRPr="00883125" w:rsidRDefault="00C52695" w:rsidP="00C52695">
            <w:pPr>
              <w:numPr>
                <w:ilvl w:val="0"/>
                <w:numId w:val="24"/>
              </w:numPr>
            </w:pPr>
            <w:r w:rsidRPr="00883125">
              <w:t>NERA (public companies)</w:t>
            </w:r>
          </w:p>
        </w:tc>
        <w:tc>
          <w:tcPr>
            <w:tcW w:w="2712" w:type="dxa"/>
          </w:tcPr>
          <w:p w:rsidR="00C52695" w:rsidRPr="00883125" w:rsidRDefault="00C52695" w:rsidP="00C52695">
            <w:pPr>
              <w:numPr>
                <w:ilvl w:val="0"/>
                <w:numId w:val="24"/>
              </w:numPr>
              <w:cnfStyle w:val="000000000000" w:firstRow="0" w:lastRow="0" w:firstColumn="0" w:lastColumn="0" w:oddVBand="0" w:evenVBand="0" w:oddHBand="0" w:evenHBand="0" w:firstRowFirstColumn="0" w:firstRowLastColumn="0" w:lastRowFirstColumn="0" w:lastRowLastColumn="0"/>
            </w:pPr>
            <w:r w:rsidRPr="00883125">
              <w:t>0.755</w:t>
            </w:r>
          </w:p>
        </w:tc>
        <w:tc>
          <w:tcPr>
            <w:tcW w:w="2713" w:type="dxa"/>
          </w:tcPr>
          <w:p w:rsidR="00C52695" w:rsidRPr="00883125" w:rsidRDefault="00C52695" w:rsidP="00C52695">
            <w:pPr>
              <w:numPr>
                <w:ilvl w:val="0"/>
                <w:numId w:val="24"/>
              </w:numPr>
              <w:cnfStyle w:val="000000000000" w:firstRow="0" w:lastRow="0" w:firstColumn="0" w:lastColumn="0" w:oddVBand="0" w:evenVBand="0" w:oddHBand="0" w:evenHBand="0" w:firstRowFirstColumn="0" w:firstRowLastColumn="0" w:lastRowFirstColumn="0" w:lastRowLastColumn="0"/>
            </w:pPr>
            <w:r w:rsidRPr="00883125">
              <w:t>0.742</w:t>
            </w:r>
          </w:p>
        </w:tc>
      </w:tr>
      <w:tr w:rsidR="00C52695" w:rsidTr="006425B8">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817" w:type="dxa"/>
          </w:tcPr>
          <w:p w:rsidR="00C52695" w:rsidRPr="00883125" w:rsidRDefault="00C52695" w:rsidP="00C52695">
            <w:pPr>
              <w:numPr>
                <w:ilvl w:val="0"/>
                <w:numId w:val="24"/>
              </w:numPr>
            </w:pPr>
            <w:r w:rsidRPr="00883125">
              <w:t>NERA (Private companies)</w:t>
            </w:r>
          </w:p>
        </w:tc>
        <w:tc>
          <w:tcPr>
            <w:tcW w:w="2712" w:type="dxa"/>
          </w:tcPr>
          <w:p w:rsidR="00C52695" w:rsidRPr="00883125" w:rsidRDefault="00C52695" w:rsidP="00C52695">
            <w:pPr>
              <w:numPr>
                <w:ilvl w:val="0"/>
                <w:numId w:val="24"/>
              </w:numPr>
              <w:cnfStyle w:val="000000010000" w:firstRow="0" w:lastRow="0" w:firstColumn="0" w:lastColumn="0" w:oddVBand="0" w:evenVBand="0" w:oddHBand="0" w:evenHBand="1" w:firstRowFirstColumn="0" w:firstRowLastColumn="0" w:lastRowFirstColumn="0" w:lastRowLastColumn="0"/>
            </w:pPr>
            <w:r w:rsidRPr="00883125">
              <w:t>0.505</w:t>
            </w:r>
          </w:p>
        </w:tc>
        <w:tc>
          <w:tcPr>
            <w:tcW w:w="2713" w:type="dxa"/>
          </w:tcPr>
          <w:p w:rsidR="00C52695" w:rsidRPr="00883125" w:rsidRDefault="00C52695" w:rsidP="00C52695">
            <w:pPr>
              <w:numPr>
                <w:ilvl w:val="0"/>
                <w:numId w:val="24"/>
              </w:numPr>
              <w:cnfStyle w:val="000000010000" w:firstRow="0" w:lastRow="0" w:firstColumn="0" w:lastColumn="0" w:oddVBand="0" w:evenVBand="0" w:oddHBand="0" w:evenHBand="1" w:firstRowFirstColumn="0" w:firstRowLastColumn="0" w:lastRowFirstColumn="0" w:lastRowLastColumn="0"/>
            </w:pPr>
            <w:r w:rsidRPr="00883125">
              <w:t>0.495</w:t>
            </w:r>
          </w:p>
        </w:tc>
      </w:tr>
    </w:tbl>
    <w:p w:rsidR="00C52695" w:rsidRPr="00CA67C0" w:rsidRDefault="00C52695" w:rsidP="00C52695">
      <w:pPr>
        <w:pStyle w:val="AERtablesource"/>
      </w:pPr>
      <w:r w:rsidRPr="00883125">
        <w:t xml:space="preserve">Source: </w:t>
      </w:r>
      <w:r w:rsidRPr="00883125">
        <w:tab/>
        <w:t xml:space="preserve">Frontier, </w:t>
      </w:r>
      <w:r w:rsidRPr="00E750F8">
        <w:rPr>
          <w:rStyle w:val="AERtextitalic"/>
        </w:rPr>
        <w:t>The appropriate use of tax statistics when estimating gamma</w:t>
      </w:r>
      <w:r w:rsidRPr="00883125">
        <w:t>, January 2016, p. 22.</w:t>
      </w:r>
    </w:p>
    <w:p w:rsidR="00C52695" w:rsidRDefault="00C52695" w:rsidP="00C52695">
      <w:pPr>
        <w:numPr>
          <w:ilvl w:val="0"/>
          <w:numId w:val="24"/>
        </w:numPr>
        <w:rPr>
          <w:rStyle w:val="AERbody"/>
        </w:rPr>
      </w:pPr>
      <w:r w:rsidRPr="00883125">
        <w:rPr>
          <w:rStyle w:val="AERbody"/>
        </w:rPr>
        <w:t xml:space="preserve">For this </w:t>
      </w:r>
      <w:r w:rsidR="00C87D45">
        <w:rPr>
          <w:rStyle w:val="AERbody"/>
        </w:rPr>
        <w:t xml:space="preserve">draft </w:t>
      </w:r>
      <w:r w:rsidRPr="00883125">
        <w:rPr>
          <w:rStyle w:val="AERbody"/>
        </w:rPr>
        <w:t xml:space="preserve">decision the AER has updated the cumulative distribution rate to 2014. Through this process we have estimated that the distribution rate for listed equity has fallen to 0.75 and this value is adopted in this </w:t>
      </w:r>
      <w:r w:rsidR="00C87D45">
        <w:rPr>
          <w:rStyle w:val="AERbody"/>
        </w:rPr>
        <w:t xml:space="preserve">draft </w:t>
      </w:r>
      <w:r w:rsidRPr="00883125">
        <w:rPr>
          <w:rStyle w:val="AERbody"/>
        </w:rPr>
        <w:t xml:space="preserve">decision. Consistent </w:t>
      </w:r>
      <w:r>
        <w:rPr>
          <w:rStyle w:val="AERbody"/>
        </w:rPr>
        <w:t xml:space="preserve">with </w:t>
      </w:r>
      <w:r w:rsidRPr="00883125">
        <w:rPr>
          <w:rStyle w:val="AERbody"/>
        </w:rPr>
        <w:t xml:space="preserve">the regulated businesses proposals, the AER adopts a 0.7 distribution rate for all equity in this </w:t>
      </w:r>
      <w:r w:rsidR="00C87D45">
        <w:rPr>
          <w:rStyle w:val="AERbody"/>
        </w:rPr>
        <w:t>draft</w:t>
      </w:r>
      <w:r w:rsidRPr="00883125">
        <w:rPr>
          <w:rStyle w:val="AERbody"/>
        </w:rPr>
        <w:t xml:space="preserve">decision. </w:t>
      </w:r>
    </w:p>
    <w:p w:rsidR="00C52695" w:rsidRDefault="00C52695" w:rsidP="00C52695">
      <w:r w:rsidRPr="005764F6">
        <w:t xml:space="preserve">We note that Lally recommends we use the distribution rate for </w:t>
      </w:r>
      <w:r>
        <w:t xml:space="preserve">listed equity estimated from financial reports of the </w:t>
      </w:r>
      <w:r w:rsidRPr="005764F6">
        <w:t>top 20 listed firms. This is due to Lally considering that listed equity is more representative of the benchmark efficient entity</w:t>
      </w:r>
      <w:r>
        <w:t>, stating:</w:t>
      </w:r>
      <w:r>
        <w:rPr>
          <w:rStyle w:val="FootnoteReference"/>
        </w:rPr>
        <w:footnoteReference w:id="605"/>
      </w:r>
      <w:r w:rsidRPr="005764F6">
        <w:t xml:space="preserve"> </w:t>
      </w:r>
    </w:p>
    <w:p w:rsidR="00C52695" w:rsidRDefault="00C52695" w:rsidP="00C52695">
      <w:pPr>
        <w:pStyle w:val="AERquote"/>
      </w:pPr>
      <w:r w:rsidRPr="003F23C3">
        <w:t>Furthermore, since privately-owned regulated businesses in Australia are typically listed firms or subsidiaries of listed firms, the appropriate set of firms to use to estimate the distribution rate of regulated businesses would seem to be listed firms.</w:t>
      </w:r>
    </w:p>
    <w:p w:rsidR="00C52695" w:rsidRPr="005764F6" w:rsidRDefault="00C52695" w:rsidP="00C52695">
      <w:r>
        <w:t>Lally also considers</w:t>
      </w:r>
      <w:r w:rsidRPr="005764F6">
        <w:t xml:space="preserve"> the data on the top 20 firms is of a higher quality (via financial statements) relative to the ATO data which contains unresolved discrepancies.</w:t>
      </w:r>
      <w:r w:rsidRPr="005053A1">
        <w:rPr>
          <w:rStyle w:val="FootnoteReference"/>
        </w:rPr>
        <w:footnoteReference w:id="606"/>
      </w:r>
      <w:r w:rsidRPr="005764F6">
        <w:t xml:space="preserve"> We note that if </w:t>
      </w:r>
      <w:r>
        <w:t>we</w:t>
      </w:r>
      <w:r w:rsidRPr="005764F6">
        <w:t xml:space="preserve"> were to adopt Lally </w:t>
      </w:r>
      <w:r>
        <w:t>recommendation</w:t>
      </w:r>
      <w:r w:rsidRPr="005764F6">
        <w:t xml:space="preserve"> in this decision it would result in our estimate for the distribution rate of the benchmark efficient entity (and therefore gamma) increasing. Therefore, while we have not </w:t>
      </w:r>
      <w:r>
        <w:t>used this advice</w:t>
      </w:r>
      <w:r w:rsidRPr="005764F6">
        <w:t xml:space="preserve"> to increase gamma above 0.4, it does provide support to reject the proposals from the </w:t>
      </w:r>
      <w:r>
        <w:t>service providers</w:t>
      </w:r>
      <w:r w:rsidRPr="005764F6">
        <w:t xml:space="preserve"> to reduce the gamma value to 0.25 based on the </w:t>
      </w:r>
      <w:r w:rsidR="00C25A56">
        <w:t xml:space="preserve">Ausgrid </w:t>
      </w:r>
      <w:r w:rsidRPr="005764F6">
        <w:t xml:space="preserve">Tribunal decision. </w:t>
      </w:r>
    </w:p>
    <w:p w:rsidR="00C52695" w:rsidRPr="00883125" w:rsidRDefault="00C52695" w:rsidP="00C52695">
      <w:pPr>
        <w:numPr>
          <w:ilvl w:val="0"/>
          <w:numId w:val="24"/>
        </w:numPr>
      </w:pPr>
      <w:r w:rsidRPr="00883125">
        <w:t>In the remainder of this section we respond to the service providers' and Gray's comments on the distribution rate; describe the cumulative payout ratio approach and alternative approaches to estimating the distribution rate; and discuss an updated report on tax statistics from Hathaway.</w:t>
      </w:r>
    </w:p>
    <w:p w:rsidR="00C52695" w:rsidRPr="00883125" w:rsidRDefault="00C52695" w:rsidP="00C52695">
      <w:pPr>
        <w:pStyle w:val="Heading9"/>
      </w:pPr>
      <w:bookmarkStart w:id="345" w:name="_Ref414289334"/>
      <w:bookmarkStart w:id="346" w:name="_Toc456614327"/>
      <w:bookmarkStart w:id="347" w:name="_Toc462823333"/>
      <w:bookmarkStart w:id="348" w:name="_Toc487014088"/>
      <w:r w:rsidRPr="00883125">
        <w:t>Service providers', Gray's and NERA's comments on the distribution rate</w:t>
      </w:r>
      <w:bookmarkEnd w:id="345"/>
      <w:bookmarkEnd w:id="346"/>
      <w:bookmarkEnd w:id="347"/>
      <w:bookmarkEnd w:id="348"/>
    </w:p>
    <w:p w:rsidR="00C52695" w:rsidRPr="00883125" w:rsidRDefault="00C52695" w:rsidP="00C52695">
      <w:r w:rsidRPr="00883125">
        <w:t>The service providers and Gray (for SFG) submitted that it would be inappropriate to apply a distribution rate based on evidence from only listed equity and that the distribution rate for all equity is likely to be a reasonable proxy for that of the benchmark entity.</w:t>
      </w:r>
      <w:r w:rsidRPr="00883125">
        <w:rPr>
          <w:rStyle w:val="FootnoteReference"/>
        </w:rPr>
        <w:footnoteReference w:id="607"/>
      </w:r>
      <w:r w:rsidR="00514A99">
        <w:t xml:space="preserve"> </w:t>
      </w:r>
      <w:r w:rsidRPr="00883125">
        <w:t>We disagree and set out our reasons below</w:t>
      </w:r>
      <w:r>
        <w:t>.</w:t>
      </w:r>
    </w:p>
    <w:p w:rsidR="00C52695" w:rsidRPr="00883125" w:rsidRDefault="00C52695" w:rsidP="00C52695">
      <w:r w:rsidRPr="00883125">
        <w:t xml:space="preserve">There appears to be agreement between the service providers, Gray and us that the distribution rate is the proportion of imputation credits generated by the benchmark efficient entity that is distributed to investors. There also appears to be agreement between the service providers and us that the distribution rate should be estimated on a </w:t>
      </w:r>
      <w:r>
        <w:t>broad</w:t>
      </w:r>
      <w:r w:rsidRPr="00883125">
        <w:t xml:space="preserve"> basis; for instance, a number of service providers submitted:</w:t>
      </w:r>
      <w:r w:rsidRPr="00883125">
        <w:rPr>
          <w:rStyle w:val="FootnoteReference"/>
        </w:rPr>
        <w:footnoteReference w:id="608"/>
      </w:r>
    </w:p>
    <w:p w:rsidR="00C52695" w:rsidRPr="00883125" w:rsidRDefault="00C52695" w:rsidP="00C52695">
      <w:pPr>
        <w:pStyle w:val="AERquote"/>
      </w:pPr>
      <w:r w:rsidRPr="00883125">
        <w:t>Gamma is conventionally estimated as a market-wide parameter and therefore there is no reason to measure the distribution rate based on data for listed equity only, in circumstances where data is available for both listed and unlisted firms.</w:t>
      </w:r>
    </w:p>
    <w:p w:rsidR="00C52695" w:rsidRPr="00883125" w:rsidRDefault="00C52695" w:rsidP="00C52695">
      <w:r>
        <w:t>I</w:t>
      </w:r>
      <w:r w:rsidRPr="00883125">
        <w:t>n the decisions previously released in 2014</w:t>
      </w:r>
      <w:r>
        <w:t>, 2015</w:t>
      </w:r>
      <w:r w:rsidR="00C87D45">
        <w:t xml:space="preserve">, </w:t>
      </w:r>
      <w:r w:rsidRPr="00883125">
        <w:t>201</w:t>
      </w:r>
      <w:r>
        <w:t>6</w:t>
      </w:r>
      <w:r w:rsidR="00C87D45">
        <w:t xml:space="preserve"> and in April 2017</w:t>
      </w:r>
      <w:r w:rsidRPr="00883125">
        <w:t xml:space="preserve"> and in section </w:t>
      </w:r>
      <w:r>
        <w:fldChar w:fldCharType="begin"/>
      </w:r>
      <w:r>
        <w:instrText xml:space="preserve"> REF _Ref451790065 \r \h </w:instrText>
      </w:r>
      <w:r>
        <w:fldChar w:fldCharType="separate"/>
      </w:r>
      <w:r w:rsidR="007E3457">
        <w:t>A.9</w:t>
      </w:r>
      <w:r>
        <w:fldChar w:fldCharType="end"/>
      </w:r>
      <w:r>
        <w:t xml:space="preserve"> and </w:t>
      </w:r>
      <w:r>
        <w:fldChar w:fldCharType="begin"/>
      </w:r>
      <w:r>
        <w:instrText xml:space="preserve"> REF _Ref401133206 \r \h </w:instrText>
      </w:r>
      <w:r>
        <w:fldChar w:fldCharType="separate"/>
      </w:r>
      <w:r w:rsidR="007E3457">
        <w:t>A.10</w:t>
      </w:r>
      <w:r>
        <w:fldChar w:fldCharType="end"/>
      </w:r>
      <w:r w:rsidRPr="00883125">
        <w:t xml:space="preserve"> of this decision, we consider that there are good reasons</w:t>
      </w:r>
      <w:r>
        <w:t xml:space="preserve"> </w:t>
      </w:r>
      <w:r w:rsidRPr="00883125">
        <w:t>for using estimate</w:t>
      </w:r>
      <w:r>
        <w:t>s</w:t>
      </w:r>
      <w:r w:rsidRPr="00883125">
        <w:t xml:space="preserve"> of the distribution rate based on</w:t>
      </w:r>
      <w:r>
        <w:t xml:space="preserve"> all equity and</w:t>
      </w:r>
      <w:r w:rsidRPr="00883125">
        <w:t xml:space="preserve"> listed equity.</w:t>
      </w:r>
    </w:p>
    <w:p w:rsidR="00C52695" w:rsidRPr="00883125" w:rsidRDefault="00C52695" w:rsidP="00C52695">
      <w:r w:rsidRPr="00883125">
        <w:t>Gray's report (for SFG) appears to support an estimate of the distribution rate that is not affected by the distribution behaviour of very large public firms or very small private firms. That is, Gray (for SFG) stated:</w:t>
      </w:r>
    </w:p>
    <w:p w:rsidR="00C52695" w:rsidRPr="00883125" w:rsidRDefault="00C52695" w:rsidP="00C52695">
      <w:pPr>
        <w:pStyle w:val="AERquote"/>
      </w:pPr>
      <w:r w:rsidRPr="00883125">
        <w:t>Conceptually, the task is…to estimate the distribution rate for the benchmark efficient firm.</w:t>
      </w:r>
      <w:r w:rsidRPr="00883125">
        <w:rPr>
          <w:rStyle w:val="FootnoteReference"/>
        </w:rPr>
        <w:footnoteReference w:id="609"/>
      </w:r>
    </w:p>
    <w:p w:rsidR="00C52695" w:rsidRPr="00883125" w:rsidRDefault="00C52695" w:rsidP="00C52695">
      <w:pPr>
        <w:pStyle w:val="AERquote"/>
      </w:pPr>
      <w:r w:rsidRPr="00883125">
        <w:t>…</w:t>
      </w:r>
    </w:p>
    <w:p w:rsidR="00C52695" w:rsidRPr="00883125" w:rsidRDefault="00C52695" w:rsidP="00C52695">
      <w:pPr>
        <w:pStyle w:val="AERquote"/>
      </w:pPr>
      <w:r w:rsidRPr="00883125">
        <w:t>For the same reason that very large multinational firms are not comparable to the benchmark efficient entity, very small private firms would also not be close comparators.</w:t>
      </w:r>
      <w:r w:rsidRPr="00883125">
        <w:rPr>
          <w:rStyle w:val="FootnoteReference"/>
        </w:rPr>
        <w:footnoteReference w:id="610"/>
      </w:r>
    </w:p>
    <w:p w:rsidR="00C52695" w:rsidRPr="00883125" w:rsidRDefault="00C52695" w:rsidP="00C52695">
      <w:r w:rsidRPr="00883125">
        <w:t>In particular, Gray submitted that the distribution behaviour of large multinational firms seemed unrepresentative of the benchmark efficient entity on account of their foreign-sourced income.</w:t>
      </w:r>
      <w:r w:rsidRPr="00883125">
        <w:rPr>
          <w:rStyle w:val="FootnoteReference"/>
        </w:rPr>
        <w:footnoteReference w:id="611"/>
      </w:r>
      <w:r w:rsidRPr="00883125">
        <w:t xml:space="preserve"> Gray concluded that the 'best estimate' of the distribution rate from analysis which considered only listed equity was not materially different from 0.7.</w:t>
      </w:r>
      <w:r w:rsidRPr="00883125">
        <w:rPr>
          <w:rStyle w:val="FootnoteReference"/>
        </w:rPr>
        <w:footnoteReference w:id="612"/>
      </w:r>
      <w:r w:rsidRPr="00883125">
        <w:t xml:space="preserve"> Handley considered Gray's analysis to be ' incomplete and oversimplified to support such a strong conclusion'.</w:t>
      </w:r>
      <w:r w:rsidRPr="00883125">
        <w:rPr>
          <w:rStyle w:val="FootnoteReference"/>
        </w:rPr>
        <w:footnoteReference w:id="613"/>
      </w:r>
      <w:r w:rsidRPr="00883125">
        <w:t xml:space="preserve"> Gray (for Frontier) considers that Handley's response does not address the issue that any firm with foreign profits will be able to distribute more imputation credits.</w:t>
      </w:r>
      <w:r w:rsidRPr="00883125">
        <w:rPr>
          <w:rStyle w:val="FootnoteReference"/>
        </w:rPr>
        <w:footnoteReference w:id="614"/>
      </w:r>
    </w:p>
    <w:p w:rsidR="00C52695" w:rsidRDefault="00C52695" w:rsidP="00C52695">
      <w:r>
        <w:t>We</w:t>
      </w:r>
      <w:r w:rsidRPr="00883125">
        <w:t xml:space="preserve"> agree with Handley that Gray's analysis is oversimplified. There are many factors that determine a firm's imputation payout ratio. The introduction of the imputation system in Australia itself resulted in higher dividend payout ratio in order to distribute more imputation credits.</w:t>
      </w:r>
      <w:r w:rsidRPr="00883125">
        <w:rPr>
          <w:rStyle w:val="FootnoteReference"/>
        </w:rPr>
        <w:footnoteReference w:id="615"/>
      </w:r>
      <w:r w:rsidRPr="00883125">
        <w:t xml:space="preserve"> This would imply that firms recognise that investors value imputation credits and want to distribute a certain amount of them in order to maximise value to shareholders. It is also important to note that even if other firms do not have any foreign earnings they still have an ability to distribute their imputation credits via </w:t>
      </w:r>
      <w:r>
        <w:t xml:space="preserve">methods including </w:t>
      </w:r>
      <w:r w:rsidRPr="00883125">
        <w:t xml:space="preserve">higher dividend payments and off-market </w:t>
      </w:r>
      <w:r>
        <w:t xml:space="preserve">share </w:t>
      </w:r>
      <w:r w:rsidRPr="00883125">
        <w:t xml:space="preserve">buybacks. Subsequently if these firms need to retain more of their earnings to fund growth they can achieve this via dividend reinvestment plans and secondary equity raisings. Ultimately, the service providers have not shown the imputation payout ratio is higher due to foreign income or if any increase due to this is material. They have simply asserted that because these firms have foreign source income, and because this may allow these firms to pay a higher imputation payout ratio (without using things like dividend reinvestment plans), these firms should be excluded from the calculation of the dividend payout ratio. </w:t>
      </w:r>
    </w:p>
    <w:p w:rsidR="00C52695" w:rsidRPr="005764F6" w:rsidRDefault="00C52695" w:rsidP="00C52695">
      <w:r w:rsidRPr="005764F6">
        <w:t xml:space="preserve">Lally examined this issue for us and concluded that firms with higher foreign earnings </w:t>
      </w:r>
      <w:r>
        <w:t xml:space="preserve">actually </w:t>
      </w:r>
      <w:r w:rsidRPr="005764F6">
        <w:t>appear to be distributing less imputation credits.</w:t>
      </w:r>
      <w:r w:rsidRPr="005053A1">
        <w:rPr>
          <w:rStyle w:val="FootnoteReference"/>
        </w:rPr>
        <w:footnoteReference w:id="616"/>
      </w:r>
      <w:r w:rsidRPr="005764F6">
        <w:t xml:space="preserve"> Lally empirically assessed the seven largest tax paying entities on the ASX and found that the proportion of profit from foreign operation is monotonically decreasing in the distribution rate (correlation of -0.95), which is in the opposite direction to that claimed by Frontier.</w:t>
      </w:r>
      <w:r w:rsidRPr="005053A1">
        <w:rPr>
          <w:rStyle w:val="FootnoteReference"/>
        </w:rPr>
        <w:footnoteReference w:id="617"/>
      </w:r>
      <w:r w:rsidRPr="005764F6">
        <w:t xml:space="preserve"> Lally concluded</w:t>
      </w:r>
      <w:r>
        <w:t>,</w:t>
      </w:r>
      <w:r w:rsidRPr="005764F6">
        <w:t xml:space="preserve"> based on his analysis</w:t>
      </w:r>
      <w:r>
        <w:t>,</w:t>
      </w:r>
      <w:r w:rsidRPr="005764F6">
        <w:t xml:space="preserve"> we should use </w:t>
      </w:r>
      <w:r>
        <w:t>a</w:t>
      </w:r>
      <w:r w:rsidRPr="005764F6">
        <w:t xml:space="preserve"> distribution rate</w:t>
      </w:r>
      <w:r>
        <w:t xml:space="preserve"> for listed equity</w:t>
      </w:r>
      <w:r w:rsidRPr="005764F6">
        <w:t xml:space="preserve"> from the top 20 listed firms.</w:t>
      </w:r>
      <w:r w:rsidRPr="005764F6">
        <w:rPr>
          <w:rStyle w:val="FootnoteReference"/>
        </w:rPr>
        <w:footnoteReference w:id="618"/>
      </w:r>
      <w:r w:rsidRPr="005764F6">
        <w:t xml:space="preserve"> </w:t>
      </w:r>
    </w:p>
    <w:p w:rsidR="004733FE" w:rsidRDefault="004733FE" w:rsidP="00C52695">
      <w:r>
        <w:t>Frontier responded to the Lally analysis by noting that the relevant question is whether large multinationals have higher imputation distribution rates than other firms.</w:t>
      </w:r>
      <w:r w:rsidR="00443010">
        <w:rPr>
          <w:rStyle w:val="FootnoteReference"/>
        </w:rPr>
        <w:footnoteReference w:id="619"/>
      </w:r>
      <w:r>
        <w:t xml:space="preserve"> Further, Frontier considers Lally's analysis of the top 7 firms did not control for difference in dividend payout ratios.</w:t>
      </w:r>
      <w:r w:rsidR="00443010">
        <w:rPr>
          <w:rStyle w:val="FootnoteReference"/>
        </w:rPr>
        <w:footnoteReference w:id="620"/>
      </w:r>
      <w:r w:rsidR="00B62735">
        <w:t xml:space="preserve"> Frontier concludes that:</w:t>
      </w:r>
      <w:r w:rsidR="005957B5">
        <w:rPr>
          <w:rStyle w:val="FootnoteReference"/>
        </w:rPr>
        <w:footnoteReference w:id="621"/>
      </w:r>
    </w:p>
    <w:p w:rsidR="00B62735" w:rsidRDefault="00B62735" w:rsidP="00E750F8">
      <w:pPr>
        <w:pStyle w:val="AERquoteindent1"/>
      </w:pPr>
      <w:r>
        <w:t>a.</w:t>
      </w:r>
      <w:r>
        <w:tab/>
        <w:t>Mathematically, for any given dividend payout ratio, the imputation credit distribution rate is an increasing function of the proportion of foreign profits; and</w:t>
      </w:r>
    </w:p>
    <w:p w:rsidR="00B62735" w:rsidRDefault="00B62735" w:rsidP="00E750F8">
      <w:pPr>
        <w:pStyle w:val="AERquoteindent1"/>
      </w:pPr>
      <w:r>
        <w:t>b.</w:t>
      </w:r>
      <w:r>
        <w:tab/>
        <w:t>The e</w:t>
      </w:r>
      <w:r w:rsidR="00420370">
        <w:t>vidence clearly supports the proposition that large multinationals are able to distribute a higher proportion of the imputation credits that they create (83%) relative to the average firm (70%).</w:t>
      </w:r>
    </w:p>
    <w:p w:rsidR="00D75E7C" w:rsidRPr="00514A99" w:rsidRDefault="00D75E7C">
      <w:r w:rsidRPr="00514A99">
        <w:t xml:space="preserve">Frontier argues that </w:t>
      </w:r>
      <w:r w:rsidR="0027533B" w:rsidRPr="00514A99">
        <w:t xml:space="preserve">to determine the effects of foreign income on imputation distribution </w:t>
      </w:r>
      <w:r w:rsidRPr="00514A99">
        <w:t xml:space="preserve">the correct comparison </w:t>
      </w:r>
      <w:r w:rsidR="0027533B" w:rsidRPr="00514A99">
        <w:t>should be</w:t>
      </w:r>
      <w:r w:rsidRPr="00514A99">
        <w:t xml:space="preserve"> between firms without foreign income and those with it</w:t>
      </w:r>
      <w:r w:rsidR="0027533B" w:rsidRPr="00514A99">
        <w:t xml:space="preserve">, </w:t>
      </w:r>
      <w:r w:rsidRPr="00514A99">
        <w:t>rather than amongst firms that</w:t>
      </w:r>
      <w:r w:rsidR="00A316DD" w:rsidRPr="00514A99">
        <w:t xml:space="preserve"> h</w:t>
      </w:r>
      <w:r w:rsidR="00E11684" w:rsidRPr="00514A99">
        <w:t>ave some foreign income.</w:t>
      </w:r>
      <w:r w:rsidR="00E11684" w:rsidRPr="00514A99">
        <w:rPr>
          <w:rStyle w:val="FootnoteReference"/>
        </w:rPr>
        <w:footnoteReference w:id="622"/>
      </w:r>
      <w:r w:rsidR="001224E1" w:rsidRPr="00514A99">
        <w:t xml:space="preserve"> However, Lally considers </w:t>
      </w:r>
      <w:r w:rsidR="0027533B" w:rsidRPr="00514A99">
        <w:t xml:space="preserve">the far superior approach </w:t>
      </w:r>
      <w:r w:rsidRPr="00514A99">
        <w:t>would be to examine the entire distribution of firms, as Lally (2016a, section 3.5) has done.</w:t>
      </w:r>
      <w:r w:rsidR="000028DB" w:rsidRPr="00514A99">
        <w:rPr>
          <w:rStyle w:val="FootnoteReference"/>
        </w:rPr>
        <w:t xml:space="preserve"> </w:t>
      </w:r>
      <w:r w:rsidR="000028DB" w:rsidRPr="00514A99">
        <w:rPr>
          <w:rStyle w:val="FootnoteReference"/>
        </w:rPr>
        <w:footnoteReference w:id="623"/>
      </w:r>
      <w:r w:rsidR="000028DB" w:rsidRPr="00514A99">
        <w:t xml:space="preserve"> The seven firms examined by Lally (Lally, 2016a, Table 1) have foreign income proportions ranging from 6% to 60%, and therefore the degree of extrapolation is minor to estimate the imputation distribution rate with the absence of foreign activities.</w:t>
      </w:r>
      <w:r w:rsidR="000028DB" w:rsidRPr="00514A99">
        <w:rPr>
          <w:rStyle w:val="FootnoteReference"/>
        </w:rPr>
        <w:footnoteReference w:id="624"/>
      </w:r>
      <w:r w:rsidR="000028DB" w:rsidRPr="00514A99">
        <w:t xml:space="preserve"> Lally considers </w:t>
      </w:r>
      <w:r w:rsidR="00800B10" w:rsidRPr="00514A99">
        <w:t xml:space="preserve">that </w:t>
      </w:r>
      <w:r w:rsidR="000028DB" w:rsidRPr="00514A99">
        <w:t>the most important requirement is for the firms in the analysis to have large company tax payments to the ATO, so as to obtain the best estimate of the imputation distribution rate for the market in aggregate.</w:t>
      </w:r>
      <w:r w:rsidR="000028DB" w:rsidRPr="00514A99">
        <w:rPr>
          <w:rStyle w:val="FootnoteReference"/>
        </w:rPr>
        <w:footnoteReference w:id="625"/>
      </w:r>
      <w:r w:rsidR="000028DB" w:rsidRPr="00514A99">
        <w:t xml:space="preserve"> Lally considers that </w:t>
      </w:r>
      <w:r w:rsidRPr="00514A99">
        <w:t>examining a set of firms that had no foreign activities but constituted 10% of the value of the market would be very unsatisfactory.</w:t>
      </w:r>
      <w:r w:rsidR="00F7654C" w:rsidRPr="00514A99">
        <w:rPr>
          <w:rStyle w:val="FootnoteReference"/>
        </w:rPr>
        <w:footnoteReference w:id="626"/>
      </w:r>
    </w:p>
    <w:p w:rsidR="00A436D9" w:rsidRPr="00514A99" w:rsidRDefault="00D232C2" w:rsidP="00D232C2">
      <w:r w:rsidRPr="00514A99">
        <w:t xml:space="preserve">Frontier </w:t>
      </w:r>
      <w:r w:rsidR="001D08B7" w:rsidRPr="00514A99">
        <w:t xml:space="preserve">submits </w:t>
      </w:r>
      <w:r w:rsidRPr="00514A99">
        <w:t xml:space="preserve">that the average Australian company has a distribution rate of about 70%, compared to the 84% for the 20 largest ASX firms, </w:t>
      </w:r>
      <w:r w:rsidR="005957B5" w:rsidRPr="00514A99">
        <w:t xml:space="preserve">given </w:t>
      </w:r>
      <w:r w:rsidRPr="00514A99">
        <w:t>the latter firms have foreign income</w:t>
      </w:r>
      <w:r w:rsidR="00027D9E" w:rsidRPr="00514A99">
        <w:t xml:space="preserve"> it is</w:t>
      </w:r>
      <w:r w:rsidRPr="00514A99">
        <w:t xml:space="preserve"> not suitable for estimating the distribution rate </w:t>
      </w:r>
      <w:r w:rsidR="00027D9E" w:rsidRPr="00514A99">
        <w:t>for</w:t>
      </w:r>
      <w:r w:rsidRPr="00514A99">
        <w:t xml:space="preserve"> the BEE.</w:t>
      </w:r>
      <w:r w:rsidR="001D08B7" w:rsidRPr="00514A99">
        <w:rPr>
          <w:rStyle w:val="FootnoteReference"/>
        </w:rPr>
        <w:footnoteReference w:id="627"/>
      </w:r>
      <w:r w:rsidR="001D08B7" w:rsidRPr="00514A99">
        <w:t xml:space="preserve"> However, Lally has demonstrated that the top 20 firm's imputation credit distribution is 0.84 and when adjustments are made for foreign income this imputation credit distribution actually increases </w:t>
      </w:r>
      <w:r w:rsidR="00356933" w:rsidRPr="00514A99">
        <w:t>rather than</w:t>
      </w:r>
      <w:r w:rsidR="001D08B7" w:rsidRPr="00514A99">
        <w:t xml:space="preserve"> decreases.</w:t>
      </w:r>
      <w:r w:rsidR="001D08B7" w:rsidRPr="00514A99">
        <w:rPr>
          <w:rStyle w:val="FootnoteReference"/>
        </w:rPr>
        <w:footnoteReference w:id="628"/>
      </w:r>
      <w:r w:rsidR="001D08B7" w:rsidRPr="00514A99">
        <w:t xml:space="preserve"> As a result, Lally does not consider the difference between the imputation distribution rate for the top 20 firms and all firms is explained by foreign income.</w:t>
      </w:r>
      <w:r w:rsidR="007471FF" w:rsidRPr="00514A99">
        <w:rPr>
          <w:rStyle w:val="FootnoteReference"/>
        </w:rPr>
        <w:footnoteReference w:id="629"/>
      </w:r>
      <w:r w:rsidR="001D08B7" w:rsidRPr="00514A99">
        <w:t xml:space="preserve"> </w:t>
      </w:r>
      <w:r w:rsidR="007471FF" w:rsidRPr="00514A99">
        <w:t>Rather Lally considers the difference is driven by unlisted equities lower dividend distribution rates</w:t>
      </w:r>
      <w:r w:rsidR="00500ED3" w:rsidRPr="00514A99">
        <w:t>.</w:t>
      </w:r>
      <w:r w:rsidR="00E43353" w:rsidRPr="00514A99">
        <w:rPr>
          <w:rStyle w:val="FootnoteReference"/>
        </w:rPr>
        <w:footnoteReference w:id="630"/>
      </w:r>
      <w:r w:rsidR="00500ED3" w:rsidRPr="00514A99">
        <w:t xml:space="preserve"> </w:t>
      </w:r>
      <w:r w:rsidR="00A436D9" w:rsidRPr="00514A99">
        <w:t>The SAPN Tribunal</w:t>
      </w:r>
      <w:r w:rsidR="00130940" w:rsidRPr="00514A99">
        <w:t xml:space="preserve"> also</w:t>
      </w:r>
      <w:r w:rsidR="00A436D9" w:rsidRPr="00514A99">
        <w:t xml:space="preserve"> recognised this:</w:t>
      </w:r>
      <w:r w:rsidR="000169CB" w:rsidRPr="00514A99">
        <w:rPr>
          <w:rStyle w:val="FootnoteReference"/>
        </w:rPr>
        <w:footnoteReference w:id="631"/>
      </w:r>
    </w:p>
    <w:p w:rsidR="00A436D9" w:rsidRPr="00514A99" w:rsidRDefault="00A436D9" w:rsidP="00E750F8">
      <w:pPr>
        <w:pStyle w:val="AERquoteindent1"/>
      </w:pPr>
      <w:r w:rsidRPr="00514A99">
        <w:t>At one extreme there are small companies owned by individuals on high marginal tax rates who may prefer earnings retention to generate concessionally-taxed long-term capital gains or to defer the additional tax which would need to</w:t>
      </w:r>
      <w:r w:rsidR="00130940" w:rsidRPr="00514A99">
        <w:t xml:space="preserve"> be paid on franked dividends. </w:t>
      </w:r>
      <w:r w:rsidRPr="00514A99">
        <w:t>At the other extreme, large foreign-owned Australian registered companies may also prefer retention and reinvestment of earnings rather than distribution of dividends and attached franking credits which would be wasted.</w:t>
      </w:r>
    </w:p>
    <w:p w:rsidR="0078679C" w:rsidRPr="00514A99" w:rsidRDefault="00D232C2">
      <w:r w:rsidRPr="00514A99">
        <w:t xml:space="preserve">In respect </w:t>
      </w:r>
      <w:r w:rsidR="00E707D5" w:rsidRPr="00514A99">
        <w:t>to</w:t>
      </w:r>
      <w:r w:rsidRPr="00514A99">
        <w:t xml:space="preserve"> using listed firms other than the top 20</w:t>
      </w:r>
      <w:r w:rsidR="000531CA" w:rsidRPr="00514A99">
        <w:t xml:space="preserve"> to estimate the imputation distribution rate</w:t>
      </w:r>
      <w:r w:rsidRPr="00514A99">
        <w:t xml:space="preserve">, </w:t>
      </w:r>
      <w:r w:rsidR="000531CA" w:rsidRPr="00514A99">
        <w:t xml:space="preserve">Lally considers </w:t>
      </w:r>
      <w:r w:rsidRPr="00514A99">
        <w:t>some of these will have foreign activities</w:t>
      </w:r>
      <w:r w:rsidR="000531CA" w:rsidRPr="00514A99">
        <w:t xml:space="preserve"> and the effect of this foreign income would have to be determined</w:t>
      </w:r>
      <w:r w:rsidR="00E707D5" w:rsidRPr="00514A99">
        <w:t xml:space="preserve"> before this rate can be used.</w:t>
      </w:r>
      <w:r w:rsidR="00E707D5" w:rsidRPr="00514A99">
        <w:rPr>
          <w:rStyle w:val="FootnoteReference"/>
        </w:rPr>
        <w:footnoteReference w:id="632"/>
      </w:r>
      <w:r w:rsidR="00E707D5" w:rsidRPr="00514A99">
        <w:rPr>
          <w:rStyle w:val="FootnoteReference"/>
        </w:rPr>
        <w:t xml:space="preserve"> </w:t>
      </w:r>
      <w:r w:rsidR="00E707D5" w:rsidRPr="00514A99">
        <w:t xml:space="preserve"> Lally notes that Frontier has not determined the impact of foreign income on the imputation distribution of the listed firms minus the top 20 firms.</w:t>
      </w:r>
      <w:r w:rsidR="00E707D5" w:rsidRPr="00514A99">
        <w:rPr>
          <w:rStyle w:val="FootnoteReference"/>
        </w:rPr>
        <w:footnoteReference w:id="633"/>
      </w:r>
      <w:r w:rsidR="00E707D5" w:rsidRPr="00514A99">
        <w:t xml:space="preserve"> </w:t>
      </w:r>
      <w:r w:rsidR="0078679C" w:rsidRPr="00514A99">
        <w:t xml:space="preserve">Further, Lally considers that imputation distribution rate for the listed firms excluding the top 20 firms </w:t>
      </w:r>
      <w:r w:rsidR="00BF1C4B" w:rsidRPr="00514A99">
        <w:t>draws upon</w:t>
      </w:r>
      <w:r w:rsidR="0078679C" w:rsidRPr="00514A99">
        <w:t xml:space="preserve"> ATO data and such data is unreliable because </w:t>
      </w:r>
      <w:r w:rsidRPr="00514A99">
        <w:t>it generates markedly different estimates of the credits distributed according to whether dividend or company tax data is used</w:t>
      </w:r>
      <w:r w:rsidR="0078679C" w:rsidRPr="00514A99">
        <w:t xml:space="preserve"> </w:t>
      </w:r>
      <w:r w:rsidRPr="00514A99">
        <w:t>and even Frontier, a</w:t>
      </w:r>
      <w:r w:rsidR="0078679C" w:rsidRPr="00514A99">
        <w:t>ccepts this reliability problem</w:t>
      </w:r>
      <w:r w:rsidRPr="00514A99">
        <w:t>.</w:t>
      </w:r>
      <w:r w:rsidR="0078679C" w:rsidRPr="00514A99">
        <w:rPr>
          <w:rStyle w:val="FootnoteReference"/>
        </w:rPr>
        <w:footnoteReference w:id="634"/>
      </w:r>
      <w:r w:rsidR="0078679C" w:rsidRPr="00514A99">
        <w:t xml:space="preserve"> Overall, Lally considers that </w:t>
      </w:r>
      <w:r w:rsidRPr="00514A99">
        <w:t xml:space="preserve">suitable firms to use </w:t>
      </w:r>
      <w:r w:rsidR="00130940" w:rsidRPr="00514A99">
        <w:t>to determine the distribution rate is</w:t>
      </w:r>
      <w:r w:rsidRPr="00514A99">
        <w:t xml:space="preserve"> publicly listed </w:t>
      </w:r>
      <w:r w:rsidR="00130940" w:rsidRPr="00514A99">
        <w:t>firms</w:t>
      </w:r>
      <w:r w:rsidRPr="00514A99">
        <w:t xml:space="preserve"> and </w:t>
      </w:r>
      <w:r w:rsidR="00356933" w:rsidRPr="00514A99">
        <w:t xml:space="preserve">the </w:t>
      </w:r>
      <w:r w:rsidRPr="00514A99">
        <w:t>suitable means of estimating the distribution rate of these firms (stripped of the effect of foreign activities) is from their financial statements.</w:t>
      </w:r>
      <w:r w:rsidR="0078679C" w:rsidRPr="00514A99">
        <w:rPr>
          <w:rStyle w:val="FootnoteReference"/>
        </w:rPr>
        <w:footnoteReference w:id="635"/>
      </w:r>
      <w:r w:rsidR="00887BE2" w:rsidRPr="00514A99">
        <w:t xml:space="preserve"> Consistent with th</w:t>
      </w:r>
      <w:r w:rsidR="00D157E2" w:rsidRPr="00514A99">
        <w:t>is</w:t>
      </w:r>
      <w:r w:rsidR="00887BE2" w:rsidRPr="00514A99">
        <w:t xml:space="preserve">, Lally </w:t>
      </w:r>
      <w:r w:rsidR="00DD57D7" w:rsidRPr="00514A99">
        <w:t>considers</w:t>
      </w:r>
      <w:r w:rsidR="00887BE2" w:rsidRPr="00514A99">
        <w:t xml:space="preserve"> that the imputation distribution rate </w:t>
      </w:r>
      <w:r w:rsidR="00DD57D7" w:rsidRPr="00514A99">
        <w:t xml:space="preserve">should be set </w:t>
      </w:r>
      <w:r w:rsidR="00887BE2" w:rsidRPr="00514A99">
        <w:t>at</w:t>
      </w:r>
      <w:r w:rsidR="00677BC6" w:rsidRPr="00514A99">
        <w:t xml:space="preserve"> least</w:t>
      </w:r>
      <w:r w:rsidR="00887BE2" w:rsidRPr="00514A99">
        <w:t xml:space="preserve"> 0.8</w:t>
      </w:r>
      <w:r w:rsidR="00DD57D7" w:rsidRPr="00514A99">
        <w:t xml:space="preserve">3 which is the imputation distribution rate of the top 20 firms </w:t>
      </w:r>
      <w:r w:rsidR="00330980" w:rsidRPr="00514A99">
        <w:t>estimated from their</w:t>
      </w:r>
      <w:r w:rsidR="00DD57D7" w:rsidRPr="00514A99">
        <w:t xml:space="preserve"> financial statements data</w:t>
      </w:r>
      <w:r w:rsidR="00887BE2" w:rsidRPr="00514A99">
        <w:t>.</w:t>
      </w:r>
      <w:r w:rsidR="00887BE2" w:rsidRPr="00514A99">
        <w:rPr>
          <w:rStyle w:val="FootnoteReference"/>
        </w:rPr>
        <w:footnoteReference w:id="636"/>
      </w:r>
    </w:p>
    <w:p w:rsidR="009701ED" w:rsidRPr="00514A99" w:rsidRDefault="00FE50AF" w:rsidP="009701ED">
      <w:r w:rsidRPr="00514A99">
        <w:t>In response to Frontier</w:t>
      </w:r>
      <w:r w:rsidR="00356933" w:rsidRPr="00514A99">
        <w:t>'</w:t>
      </w:r>
      <w:r w:rsidRPr="00514A99">
        <w:t xml:space="preserve">s </w:t>
      </w:r>
      <w:r w:rsidR="00FA2A41" w:rsidRPr="00514A99">
        <w:t xml:space="preserve">submission that Lally failed to control </w:t>
      </w:r>
      <w:r w:rsidR="009C5004" w:rsidRPr="00514A99">
        <w:t xml:space="preserve">for the </w:t>
      </w:r>
      <w:r w:rsidR="00FA2A41" w:rsidRPr="00514A99">
        <w:t>difference in dividend payout rate</w:t>
      </w:r>
      <w:r w:rsidR="009C5004" w:rsidRPr="00514A99">
        <w:t>s</w:t>
      </w:r>
      <w:r w:rsidR="00CF66C7" w:rsidRPr="00514A99">
        <w:t xml:space="preserve"> when determining the impact of foreign income</w:t>
      </w:r>
      <w:r w:rsidR="00FA2A41" w:rsidRPr="00514A99">
        <w:t>, Lally agree</w:t>
      </w:r>
      <w:r w:rsidR="004D25AD" w:rsidRPr="00514A99">
        <w:t>s</w:t>
      </w:r>
      <w:r w:rsidR="00FA2A41" w:rsidRPr="00514A99">
        <w:t>.</w:t>
      </w:r>
      <w:r w:rsidR="009C5004" w:rsidRPr="00514A99">
        <w:rPr>
          <w:rStyle w:val="FootnoteReference"/>
        </w:rPr>
        <w:footnoteReference w:id="637"/>
      </w:r>
      <w:r w:rsidR="00FA2A41" w:rsidRPr="00514A99">
        <w:t xml:space="preserve"> </w:t>
      </w:r>
      <w:r w:rsidR="009C5004" w:rsidRPr="00514A99">
        <w:t xml:space="preserve">However, Lally considers </w:t>
      </w:r>
      <w:r w:rsidR="009701ED" w:rsidRPr="00514A99">
        <w:t xml:space="preserve">that </w:t>
      </w:r>
      <w:r w:rsidR="009C5004" w:rsidRPr="00514A99">
        <w:t xml:space="preserve">Frontier has failed to provide a valid reason for why it is important to control </w:t>
      </w:r>
      <w:r w:rsidR="009701ED" w:rsidRPr="00514A99">
        <w:t>for dividend payout rates and none is evident.</w:t>
      </w:r>
      <w:r w:rsidR="009701ED" w:rsidRPr="00514A99">
        <w:rPr>
          <w:rStyle w:val="FootnoteReference"/>
        </w:rPr>
        <w:footnoteReference w:id="638"/>
      </w:r>
      <w:r w:rsidR="009701ED" w:rsidRPr="00514A99">
        <w:t xml:space="preserve"> Lally considers </w:t>
      </w:r>
      <w:r w:rsidR="00CF66C7" w:rsidRPr="00514A99">
        <w:t>that</w:t>
      </w:r>
      <w:r w:rsidR="009701ED" w:rsidRPr="00514A99">
        <w:t xml:space="preserve"> all phenomena that arise from foreign activities must be accounted for, which comprise not only the foreign income but any change in the dividend payout rate arising from foreign activities.</w:t>
      </w:r>
      <w:r w:rsidR="009701ED" w:rsidRPr="00514A99">
        <w:rPr>
          <w:rStyle w:val="FootnoteReference"/>
        </w:rPr>
        <w:footnoteReference w:id="639"/>
      </w:r>
      <w:r w:rsidR="009701ED" w:rsidRPr="00514A99">
        <w:t xml:space="preserve"> Controlling for any changes in the dividend payout rate would subvert that purpose.</w:t>
      </w:r>
      <w:r w:rsidR="00396EBB" w:rsidRPr="00514A99">
        <w:rPr>
          <w:rStyle w:val="FootnoteReference"/>
        </w:rPr>
        <w:footnoteReference w:id="640"/>
      </w:r>
    </w:p>
    <w:p w:rsidR="00074FE0" w:rsidRPr="00514A99" w:rsidRDefault="002D6646">
      <w:r w:rsidRPr="00514A99">
        <w:t xml:space="preserve">In regards </w:t>
      </w:r>
      <w:r w:rsidR="00814F86" w:rsidRPr="00514A99">
        <w:t xml:space="preserve">to </w:t>
      </w:r>
      <w:r w:rsidRPr="00514A99">
        <w:t>Frontiers submission that Lally only focus on the largest seven firms, Lally responds that the purpose of the exercise is to estimate the imputation credit distribution rate of the market.</w:t>
      </w:r>
      <w:r w:rsidRPr="00514A99">
        <w:rPr>
          <w:rStyle w:val="FootnoteReference"/>
        </w:rPr>
        <w:footnoteReference w:id="641"/>
      </w:r>
      <w:r w:rsidRPr="00514A99">
        <w:t xml:space="preserve"> Lally submits that the top seven firms collectively account for 79% of the taxes paid to the ATO by the 20 largest ASX firms.</w:t>
      </w:r>
      <w:r w:rsidRPr="00514A99">
        <w:rPr>
          <w:rStyle w:val="FootnoteReference"/>
        </w:rPr>
        <w:footnoteReference w:id="642"/>
      </w:r>
      <w:r w:rsidRPr="00514A99">
        <w:t xml:space="preserve"> As a result, Lally considers the number of firms </w:t>
      </w:r>
      <w:r w:rsidR="00814F86" w:rsidRPr="00514A99">
        <w:t xml:space="preserve">in his </w:t>
      </w:r>
      <w:r w:rsidRPr="00514A99">
        <w:t xml:space="preserve">sample is </w:t>
      </w:r>
      <w:r w:rsidR="00814F86" w:rsidRPr="00514A99">
        <w:t xml:space="preserve">sufficient. He considers it is </w:t>
      </w:r>
      <w:r w:rsidRPr="00514A99">
        <w:t xml:space="preserve">not </w:t>
      </w:r>
      <w:r w:rsidR="00814F86" w:rsidRPr="00514A99">
        <w:t xml:space="preserve">the number of firms that is </w:t>
      </w:r>
      <w:r w:rsidRPr="00514A99">
        <w:t>important</w:t>
      </w:r>
      <w:r w:rsidR="00814F86" w:rsidRPr="00514A99">
        <w:t>, rather</w:t>
      </w:r>
      <w:r w:rsidRPr="00514A99">
        <w:t xml:space="preserve"> it is the collective size of those firms that is important.</w:t>
      </w:r>
      <w:r w:rsidRPr="00514A99">
        <w:rPr>
          <w:rStyle w:val="FootnoteReference"/>
        </w:rPr>
        <w:footnoteReference w:id="643"/>
      </w:r>
      <w:r w:rsidR="00814F86" w:rsidRPr="00514A99">
        <w:t xml:space="preserve"> </w:t>
      </w:r>
    </w:p>
    <w:p w:rsidR="00C52695" w:rsidRPr="00883125" w:rsidRDefault="00C52695" w:rsidP="00C52695">
      <w:r>
        <w:t>We</w:t>
      </w:r>
      <w:r w:rsidRPr="00883125">
        <w:t xml:space="preserve"> also consider it </w:t>
      </w:r>
      <w:r>
        <w:t xml:space="preserve">is </w:t>
      </w:r>
      <w:r w:rsidRPr="00883125">
        <w:t>inappropriate to focus on one aspect of the benchmark (foreign ownership</w:t>
      </w:r>
      <w:r>
        <w:t xml:space="preserve"> and foreign income</w:t>
      </w:r>
      <w:r w:rsidRPr="00883125">
        <w:t xml:space="preserve">) and not look at the benchmark holistically. We should be looking at how all regulated businesses distribute imputation credits to investors, rather than focus on the foreign ownership. As </w:t>
      </w:r>
      <w:r>
        <w:t>the</w:t>
      </w:r>
      <w:r w:rsidRPr="00883125">
        <w:t xml:space="preserve"> </w:t>
      </w:r>
      <w:r w:rsidRPr="00B27BE5">
        <w:rPr>
          <w:rStyle w:val="AERbody"/>
        </w:rPr>
        <w:t>EMRF</w:t>
      </w:r>
      <w:r>
        <w:rPr>
          <w:rStyle w:val="AERbody"/>
        </w:rPr>
        <w:t xml:space="preserve"> submitted</w:t>
      </w:r>
      <w:r w:rsidRPr="00883125">
        <w:t>, the listed regulated businesses (APA, Envestra (pre-sale) and JGN's parent company) have a franking account balance of zero.</w:t>
      </w:r>
      <w:r w:rsidRPr="00883125">
        <w:rPr>
          <w:rStyle w:val="FootnoteReference"/>
        </w:rPr>
        <w:footnoteReference w:id="644"/>
      </w:r>
      <w:r w:rsidRPr="00883125">
        <w:t xml:space="preserve"> This can imply one of the following: (a) the regulated businesses distributed all either imputation credits to investors and therefore the distribution should be set to 100 per cent or (b) the regulated business do not generate any imputation credits as they do not pay corporate tax. This raises the question of whether our tax building block allowance may be too high. Based on the material submitted by the EMRF, it might be posited that </w:t>
      </w:r>
      <w:r>
        <w:t>our</w:t>
      </w:r>
      <w:r w:rsidRPr="00883125">
        <w:t xml:space="preserve"> overall tax assumptions (including the use of a gamma of 0.4) are conservative (in the favou</w:t>
      </w:r>
      <w:r w:rsidR="001453E4">
        <w:t>r of the regulated businesses).</w:t>
      </w:r>
    </w:p>
    <w:p w:rsidR="00C52695" w:rsidRPr="00883125" w:rsidRDefault="00C52695" w:rsidP="00C52695">
      <w:r w:rsidRPr="00883125">
        <w:t>Regarding internal consistency when combining estimates of the distribution and utilisation rates, Gray (for SFG) submitted:</w:t>
      </w:r>
      <w:r w:rsidRPr="00883125">
        <w:rPr>
          <w:rStyle w:val="FootnoteReference"/>
        </w:rPr>
        <w:footnoteReference w:id="645"/>
      </w:r>
    </w:p>
    <w:p w:rsidR="00C52695" w:rsidRPr="00883125" w:rsidRDefault="00C52695" w:rsidP="00C52695">
      <w:pPr>
        <w:pStyle w:val="AERquote"/>
      </w:pPr>
      <w:r w:rsidRPr="00883125">
        <w:t>Since all credits from all companies are identical, it must be the case that, in equilibrium, the credits have the same value throughout the economy. Consequently, it is generally accepted that theta is a market-wide parameter – with a single value that would apply to all firms.</w:t>
      </w:r>
    </w:p>
    <w:p w:rsidR="00C52695" w:rsidRPr="00883125" w:rsidRDefault="00C52695" w:rsidP="00C52695">
      <w:r w:rsidRPr="00883125">
        <w:t>That is, if the only value of theta is the market-wide value, then it is internally consistent to combine it with any estimate of the distribution rate. NERA agreed:</w:t>
      </w:r>
      <w:r w:rsidRPr="00883125">
        <w:rPr>
          <w:rStyle w:val="FootnoteReference"/>
        </w:rPr>
        <w:footnoteReference w:id="646"/>
      </w:r>
    </w:p>
    <w:p w:rsidR="00C52695" w:rsidRPr="00883125" w:rsidRDefault="00C52695" w:rsidP="00C52695">
      <w:pPr>
        <w:pStyle w:val="AERquote"/>
      </w:pPr>
      <w:r w:rsidRPr="00883125">
        <w:t>As theta should not vary from firm to firm, however, there should be no link between how one estimates theta and how one estimates the distribution rate.</w:t>
      </w:r>
    </w:p>
    <w:p w:rsidR="00C52695" w:rsidRPr="00883125" w:rsidRDefault="00C52695" w:rsidP="00C52695">
      <w:pPr>
        <w:rPr>
          <w:rStyle w:val="AERbody"/>
        </w:rPr>
      </w:pPr>
      <w:r w:rsidRPr="00883125">
        <w:rPr>
          <w:rStyle w:val="AERbody"/>
        </w:rPr>
        <w:t>Gray (for Frontier) considered this matter again in his June 2015 report (for Frontier) and stated:</w:t>
      </w:r>
      <w:r w:rsidRPr="00883125">
        <w:rPr>
          <w:rStyle w:val="FootnoteReference"/>
        </w:rPr>
        <w:footnoteReference w:id="647"/>
      </w:r>
    </w:p>
    <w:p w:rsidR="00C52695" w:rsidRPr="00C52695" w:rsidRDefault="00C52695" w:rsidP="00C52695">
      <w:pPr>
        <w:pStyle w:val="AERquote"/>
        <w:rPr>
          <w:rFonts w:eastAsiaTheme="minorHAnsi"/>
        </w:rPr>
      </w:pPr>
      <w:r w:rsidRPr="005764F6">
        <w:t>In my view, when estimating the distribution rate there are two reasons to be concerned about the weight that is afforded to the top 20 listed firms:</w:t>
      </w:r>
    </w:p>
    <w:p w:rsidR="00C52695" w:rsidRPr="00C52695" w:rsidRDefault="00C52695" w:rsidP="00C52695">
      <w:pPr>
        <w:pStyle w:val="AERquoteindent1"/>
        <w:rPr>
          <w:rFonts w:eastAsiaTheme="minorHAnsi"/>
        </w:rPr>
      </w:pPr>
      <w:r w:rsidRPr="005764F6">
        <w:t>a. The AER has specifically stated that the benchmark efficient entity should not be assumed to be a large listed company, as set out above; and</w:t>
      </w:r>
    </w:p>
    <w:p w:rsidR="00C52695" w:rsidRPr="005764F6" w:rsidRDefault="00C52695" w:rsidP="00C52695">
      <w:pPr>
        <w:pStyle w:val="AERquote"/>
      </w:pPr>
      <w:r w:rsidRPr="005764F6">
        <w:t>b. The top 20 listed firms differ from the benchmark entity in that their foreign sourced profits enable a higher distribution rate.</w:t>
      </w:r>
    </w:p>
    <w:p w:rsidR="00C52695" w:rsidRPr="00883125" w:rsidRDefault="00C52695" w:rsidP="00C52695">
      <w:r w:rsidRPr="00883125">
        <w:t>The service providers submit that the distribution rate for listed equity is likely to be skewed by the practices of multinational firms with significant foreign earnings.</w:t>
      </w:r>
      <w:r w:rsidRPr="00883125">
        <w:rPr>
          <w:rStyle w:val="FootnoteReference"/>
        </w:rPr>
        <w:footnoteReference w:id="648"/>
      </w:r>
    </w:p>
    <w:p w:rsidR="00C52695" w:rsidRPr="00883125" w:rsidRDefault="00C52695" w:rsidP="00C52695">
      <w:r w:rsidRPr="005764F6">
        <w:t xml:space="preserve">However, for the reasons outlined above, </w:t>
      </w:r>
      <w:r>
        <w:t>we</w:t>
      </w:r>
      <w:r w:rsidRPr="005764F6">
        <w:t xml:space="preserve"> consider it is not clear that foreign income results in a higher imputation payout ratio. Lally's analysis actually implies the opposite.</w:t>
      </w:r>
      <w:r w:rsidRPr="005764F6">
        <w:rPr>
          <w:rStyle w:val="FootnoteReference"/>
        </w:rPr>
        <w:footnoteReference w:id="649"/>
      </w:r>
      <w:r>
        <w:t xml:space="preserve"> </w:t>
      </w:r>
      <w:r w:rsidRPr="00883125">
        <w:t>Further, when determining the gamma</w:t>
      </w:r>
      <w:r>
        <w:t xml:space="preserve"> value for the benchmark efficient entity</w:t>
      </w:r>
      <w:r w:rsidRPr="00883125">
        <w:t xml:space="preserve">, the benchmark has to be determined holistically and individual aspect of the benchmark should not be considered in isolation. </w:t>
      </w:r>
      <w:r>
        <w:t>We</w:t>
      </w:r>
      <w:r w:rsidRPr="00883125">
        <w:t xml:space="preserve"> do not exclude the impact of the top 20 firms when determining the cost of equity (MRP historical, DGM and beta) and consider it would be inconsistent to exclude the top 20 firms when estimating the imputation distribution rate to be used for estimating a gamma value for listed equity.</w:t>
      </w:r>
    </w:p>
    <w:p w:rsidR="00C52695" w:rsidRPr="00883125" w:rsidRDefault="00C52695" w:rsidP="00C52695">
      <w:pPr>
        <w:rPr>
          <w:rStyle w:val="AERtexthighlight"/>
        </w:rPr>
      </w:pPr>
      <w:r w:rsidRPr="00883125">
        <w:t>NERA appears to agree with SFG that one should not consider the largest listed companies. It also considers "it is difficult to see there is a case for setting the distribution rate to be any different to the value … of 0.7".</w:t>
      </w:r>
      <w:r w:rsidRPr="00883125">
        <w:rPr>
          <w:rStyle w:val="FootnoteReference"/>
        </w:rPr>
        <w:footnoteReference w:id="650"/>
      </w:r>
    </w:p>
    <w:p w:rsidR="00C52695" w:rsidRDefault="006919E7" w:rsidP="00C52695">
      <w:pPr>
        <w:rPr>
          <w:rStyle w:val="AERbody"/>
        </w:rPr>
      </w:pPr>
      <w:r>
        <w:rPr>
          <w:rStyle w:val="AERbody"/>
        </w:rPr>
        <w:t>S</w:t>
      </w:r>
      <w:r w:rsidR="00C52695" w:rsidRPr="00883125">
        <w:rPr>
          <w:rStyle w:val="AERbody"/>
        </w:rPr>
        <w:t>ervice providers have submitted that the appropriate distribution rate for both listed and all equity is 70</w:t>
      </w:r>
      <w:r w:rsidR="00C52695">
        <w:rPr>
          <w:rStyle w:val="AERbody"/>
        </w:rPr>
        <w:t xml:space="preserve"> per cent</w:t>
      </w:r>
      <w:r w:rsidR="00C52695" w:rsidRPr="00883125">
        <w:rPr>
          <w:rStyle w:val="AERbody"/>
        </w:rPr>
        <w:t xml:space="preserve"> consistent with the advice from Gray and NERA.</w:t>
      </w:r>
      <w:r w:rsidR="00C52695" w:rsidRPr="00883125">
        <w:rPr>
          <w:rStyle w:val="FootnoteReference"/>
        </w:rPr>
        <w:footnoteReference w:id="651"/>
      </w:r>
      <w:r w:rsidR="00C52695" w:rsidRPr="00883125">
        <w:rPr>
          <w:rStyle w:val="AERbody"/>
        </w:rPr>
        <w:t xml:space="preserve"> Service providers also consider that theta under the equity ownership approach should be determined with regard to only listed equity as listed equities foreign ownership is more reflective of the benchmark efficient entity. To summarise, </w:t>
      </w:r>
      <w:r w:rsidR="00C52695">
        <w:rPr>
          <w:rStyle w:val="AERbody"/>
        </w:rPr>
        <w:t>service providers</w:t>
      </w:r>
      <w:r w:rsidR="00C52695" w:rsidRPr="00883125">
        <w:rPr>
          <w:rStyle w:val="AERbody"/>
        </w:rPr>
        <w:t xml:space="preserve"> want to ignore firms with foreign income when estimating the distribution rate which reduces gamma and want to include firms with foreign ownership for the purposes of estimating the utilisation value which also reduces gamma.</w:t>
      </w:r>
      <w:r w:rsidR="00C52695">
        <w:rPr>
          <w:rStyle w:val="FootnoteReference"/>
        </w:rPr>
        <w:footnoteReference w:id="652"/>
      </w:r>
      <w:r w:rsidR="00C52695" w:rsidRPr="00883125">
        <w:rPr>
          <w:rStyle w:val="AERbody"/>
        </w:rPr>
        <w:t xml:space="preserve"> </w:t>
      </w:r>
      <w:r w:rsidR="00C52695">
        <w:rPr>
          <w:rStyle w:val="AERbody"/>
        </w:rPr>
        <w:t>We</w:t>
      </w:r>
      <w:r w:rsidR="00C52695" w:rsidRPr="00883125">
        <w:rPr>
          <w:rStyle w:val="AERbody"/>
        </w:rPr>
        <w:t xml:space="preserve"> do not agree with this approach</w:t>
      </w:r>
      <w:r w:rsidR="00C52695">
        <w:rPr>
          <w:rStyle w:val="AERbody"/>
        </w:rPr>
        <w:t xml:space="preserve"> and considers it will not give a reasonable estimate of gamma for the benchmark efficient entity</w:t>
      </w:r>
      <w:r w:rsidR="00C52695" w:rsidRPr="00883125">
        <w:rPr>
          <w:rStyle w:val="AERbody"/>
        </w:rPr>
        <w:t xml:space="preserve"> </w:t>
      </w:r>
      <w:r w:rsidR="00C52695">
        <w:rPr>
          <w:rStyle w:val="AERbody"/>
        </w:rPr>
        <w:t>for the reasons outline above.</w:t>
      </w:r>
      <w:r w:rsidR="00C52695" w:rsidRPr="00883125">
        <w:rPr>
          <w:rStyle w:val="AERbody"/>
        </w:rPr>
        <w:t xml:space="preserve"> </w:t>
      </w:r>
    </w:p>
    <w:p w:rsidR="00C52695" w:rsidRPr="00883125" w:rsidRDefault="00C52695" w:rsidP="00C52695">
      <w:r w:rsidRPr="00883125">
        <w:t>NERA's views and Gray's views (for SFG and Frontier) must be reconciled with the fact that different investors can value imputation credits differently. For instance, foreign investors do not value credits and eligible domestic investors do. Therefore, a given estimate of theta will reflect the set of investors over which it is calculated. Gray (for SFG) appears to recognise this elsewhere in his report:</w:t>
      </w:r>
      <w:r w:rsidRPr="00883125">
        <w:rPr>
          <w:rStyle w:val="FootnoteReference"/>
        </w:rPr>
        <w:footnoteReference w:id="653"/>
      </w:r>
    </w:p>
    <w:p w:rsidR="00C52695" w:rsidRPr="00883125" w:rsidRDefault="00C52695" w:rsidP="00C52695">
      <w:pPr>
        <w:pStyle w:val="AERquote"/>
      </w:pPr>
      <w:r w:rsidRPr="00883125">
        <w:t>If theta is estimated using a market value approach, the estimate will represent an average across all listed firms.</w:t>
      </w:r>
    </w:p>
    <w:p w:rsidR="00C52695" w:rsidRPr="00883125" w:rsidRDefault="00C52695" w:rsidP="00C52695">
      <w:r w:rsidRPr="00883125">
        <w:t xml:space="preserve">This is further illustrated in </w:t>
      </w:r>
      <w:r w:rsidRPr="00883125">
        <w:fldChar w:fldCharType="begin"/>
      </w:r>
      <w:r w:rsidRPr="00883125">
        <w:instrText xml:space="preserve"> REF  _Ref415078600 \* Lower \h </w:instrText>
      </w:r>
      <w:r w:rsidRPr="00883125">
        <w:fldChar w:fldCharType="separate"/>
      </w:r>
      <w:r w:rsidR="007E3457" w:rsidRPr="00883125">
        <w:t xml:space="preserve">figure </w:t>
      </w:r>
      <w:r w:rsidR="007E3457">
        <w:rPr>
          <w:noProof/>
        </w:rPr>
        <w:t>4</w:t>
      </w:r>
      <w:r w:rsidR="007E3457" w:rsidRPr="00883125">
        <w:t>.</w:t>
      </w:r>
      <w:r w:rsidR="007E3457">
        <w:rPr>
          <w:noProof/>
        </w:rPr>
        <w:t>1</w:t>
      </w:r>
      <w:r w:rsidRPr="00883125">
        <w:fldChar w:fldCharType="end"/>
      </w:r>
      <w:r w:rsidRPr="00883125">
        <w:t xml:space="preserve"> and </w:t>
      </w:r>
      <w:r w:rsidRPr="00883125">
        <w:fldChar w:fldCharType="begin"/>
      </w:r>
      <w:r w:rsidRPr="00883125">
        <w:instrText xml:space="preserve"> REF  _Ref415078618 \* Lower \h </w:instrText>
      </w:r>
      <w:r w:rsidRPr="00883125">
        <w:fldChar w:fldCharType="separate"/>
      </w:r>
      <w:r w:rsidR="007E3457" w:rsidRPr="00883125">
        <w:t xml:space="preserve">figure </w:t>
      </w:r>
      <w:r w:rsidR="007E3457">
        <w:rPr>
          <w:noProof/>
        </w:rPr>
        <w:t>4</w:t>
      </w:r>
      <w:r w:rsidR="007E3457" w:rsidRPr="00883125">
        <w:t>.</w:t>
      </w:r>
      <w:r w:rsidR="007E3457">
        <w:rPr>
          <w:noProof/>
        </w:rPr>
        <w:t>2</w:t>
      </w:r>
      <w:r w:rsidRPr="00883125">
        <w:fldChar w:fldCharType="end"/>
      </w:r>
      <w:r w:rsidRPr="00883125">
        <w:t xml:space="preserve"> submitted by a number of service providers, which indicate that SFG's dividend drop off estimate of theta reflects the proportion of foreign investors in listed equity.</w:t>
      </w:r>
    </w:p>
    <w:p w:rsidR="00C52695" w:rsidRPr="00883125" w:rsidRDefault="00C52695" w:rsidP="00C52695">
      <w:r w:rsidRPr="00883125">
        <w:t>To clarify, in theory there may be a single economy-wide theta. However, the practical reality is that a given estimate of theta will reflect the set of investors in the evidence used. Accordingly, we consider that the distribution rate we use in combination with that estimate of theta represent the distribution of credits to that same set of investors (or at least a similarly reflective set)</w:t>
      </w:r>
      <w:r>
        <w:t xml:space="preserve"> and will give a gamma value for this subset of equity</w:t>
      </w:r>
      <w:r w:rsidRPr="00883125">
        <w:t>. The service providers, NERA and Gray (for SFG and Frontier) give us no cause to change this view. Handley also supported our view:</w:t>
      </w:r>
      <w:r w:rsidRPr="00883125">
        <w:rPr>
          <w:rStyle w:val="FootnoteReference"/>
        </w:rPr>
        <w:footnoteReference w:id="654"/>
      </w:r>
    </w:p>
    <w:p w:rsidR="00C52695" w:rsidRPr="00883125" w:rsidRDefault="00C52695" w:rsidP="00C52695">
      <w:pPr>
        <w:pStyle w:val="AERquote"/>
      </w:pPr>
      <w:r w:rsidRPr="00883125">
        <w:t>It is correct to say that theta is not firm-specific and the distribution rate is firm-specific. But I do not agree with the suggestion that there need be no link between how one estimates theta and how one estimates the distribution rate.</w:t>
      </w:r>
    </w:p>
    <w:p w:rsidR="00C52695" w:rsidRPr="00883125" w:rsidRDefault="00C52695" w:rsidP="00C52695">
      <w:pPr>
        <w:pStyle w:val="AERquote"/>
      </w:pPr>
      <w:r w:rsidRPr="00883125">
        <w:t>We are interested in estimating the value of imputation credits to the market as a whole. In setting prices, investors in the market will take into account the quantity of credits expected to be distributed by all firms in the market. Since gamma is effectively defined as a price (theta) times a quantity (distribution rate) then in my opinion, it is obvious that both components should be based on consistent data sets which relate to the same market.</w:t>
      </w:r>
    </w:p>
    <w:p w:rsidR="00C52695" w:rsidRDefault="004D25AD" w:rsidP="00C0453E">
      <w:pPr>
        <w:rPr>
          <w:rStyle w:val="AERbody"/>
        </w:rPr>
      </w:pPr>
      <w:r>
        <w:rPr>
          <w:rStyle w:val="AERbody"/>
        </w:rPr>
        <w:t>T</w:t>
      </w:r>
      <w:r w:rsidR="006919E7">
        <w:rPr>
          <w:rStyle w:val="AERbody"/>
        </w:rPr>
        <w:t xml:space="preserve">he regulated businesses submit that </w:t>
      </w:r>
      <w:r w:rsidR="00C52695">
        <w:rPr>
          <w:rStyle w:val="AERbody"/>
        </w:rPr>
        <w:t>Lally considers that consistency between the distribution rate and utilisation value is not essential nor is it precluded.</w:t>
      </w:r>
      <w:r w:rsidR="00C52695" w:rsidRPr="0016735E">
        <w:rPr>
          <w:rStyle w:val="FootnoteReference"/>
        </w:rPr>
        <w:footnoteReference w:id="655"/>
      </w:r>
      <w:r w:rsidR="00C52695">
        <w:rPr>
          <w:rStyle w:val="AERbody"/>
        </w:rPr>
        <w:t xml:space="preserve"> </w:t>
      </w:r>
      <w:r w:rsidR="006919E7">
        <w:rPr>
          <w:rStyle w:val="AERbody"/>
        </w:rPr>
        <w:t xml:space="preserve">In his </w:t>
      </w:r>
      <w:r w:rsidR="00AF679B">
        <w:rPr>
          <w:rStyle w:val="AERbody"/>
        </w:rPr>
        <w:t>recent</w:t>
      </w:r>
      <w:r w:rsidR="006919E7">
        <w:rPr>
          <w:rStyle w:val="AERbody"/>
        </w:rPr>
        <w:t xml:space="preserve"> report, Lally has updated his </w:t>
      </w:r>
      <w:r>
        <w:rPr>
          <w:rStyle w:val="AERbody"/>
        </w:rPr>
        <w:t>positio</w:t>
      </w:r>
      <w:r w:rsidR="006919E7">
        <w:rPr>
          <w:rStyle w:val="AERbody"/>
        </w:rPr>
        <w:t>n</w:t>
      </w:r>
      <w:r>
        <w:rPr>
          <w:rStyle w:val="AERbody"/>
        </w:rPr>
        <w:t xml:space="preserve"> to say that there is good reason for not matching.</w:t>
      </w:r>
      <w:r>
        <w:rPr>
          <w:rStyle w:val="FootnoteReference"/>
        </w:rPr>
        <w:footnoteReference w:id="656"/>
      </w:r>
      <w:r w:rsidR="00C0453E">
        <w:rPr>
          <w:rStyle w:val="AERbody"/>
        </w:rPr>
        <w:t xml:space="preserve"> While we acknowledge this, </w:t>
      </w:r>
      <w:r w:rsidR="00C52695">
        <w:rPr>
          <w:rStyle w:val="AERbody"/>
        </w:rPr>
        <w:t xml:space="preserve">Lally considers that the distribution rate (for listed equity) should be estimated with reference to </w:t>
      </w:r>
      <w:r w:rsidR="00C52695" w:rsidRPr="0016735E">
        <w:rPr>
          <w:rStyle w:val="AERbody"/>
        </w:rPr>
        <w:t xml:space="preserve">the top 20 listed firms </w:t>
      </w:r>
      <w:r w:rsidR="00C52695">
        <w:rPr>
          <w:rStyle w:val="AERbody"/>
        </w:rPr>
        <w:t>and the utilisation value should be estimated with reference to all equity.</w:t>
      </w:r>
      <w:r w:rsidR="00C52695" w:rsidRPr="0016735E">
        <w:rPr>
          <w:rStyle w:val="FootnoteReference"/>
        </w:rPr>
        <w:footnoteReference w:id="657"/>
      </w:r>
      <w:r w:rsidR="00C52695">
        <w:rPr>
          <w:rStyle w:val="AERbody"/>
        </w:rPr>
        <w:t xml:space="preserve"> This implies that gamma is at least 0.5, which indicates our value of gamma may be too low.</w:t>
      </w:r>
      <w:r w:rsidR="00EB58A2">
        <w:rPr>
          <w:rStyle w:val="FootnoteReference"/>
        </w:rPr>
        <w:footnoteReference w:id="658"/>
      </w:r>
    </w:p>
    <w:p w:rsidR="00C52695" w:rsidRPr="00883125" w:rsidRDefault="00C52695" w:rsidP="00C52695">
      <w:pPr>
        <w:rPr>
          <w:rStyle w:val="AERbody"/>
        </w:rPr>
      </w:pPr>
      <w:r w:rsidRPr="00883125">
        <w:rPr>
          <w:rStyle w:val="AERbody"/>
        </w:rPr>
        <w:t xml:space="preserve">We also note that even if we were minded to do so, there is not necessarily a correct way to filter listed equity data to make it more reflective of the benchmark efficient entity (as the benchmark entity has a number of characteristics). While Gray (for SFG and Frontier) and NERA have proposed filtering based on a single characteristic (excluding the 20 largest listed firms) in a way that leads to a lower estimated distribution rate (and therefore a lower estimated value of imputation credits), they have not demonstrated their filtering method will lead to a better estimate of the distribution rate for the benchmark efficient entity. </w:t>
      </w:r>
      <w:r>
        <w:rPr>
          <w:rStyle w:val="AERbody"/>
        </w:rPr>
        <w:t>Further, advice that we have received for Lally suggest that the filtering is unnecessary and if anything the best estimate of the distribution rate is based on the financial data of the top 20 firms.</w:t>
      </w:r>
      <w:r>
        <w:rPr>
          <w:rStyle w:val="FootnoteReference"/>
        </w:rPr>
        <w:footnoteReference w:id="659"/>
      </w:r>
      <w:r>
        <w:rPr>
          <w:rStyle w:val="AERbody"/>
        </w:rPr>
        <w:t xml:space="preserve"> We note Lally's choice of the top 20 firms as a proxy for the estimate of the distribution rate for listed equity is not based on filtering listed equity based on the characteristics of the benchmark efficient entity, although he does consider listed firms more relevant to the estimation of the distribution rate for the benchmark efficient entity.</w:t>
      </w:r>
    </w:p>
    <w:p w:rsidR="00C52695" w:rsidRPr="00883125" w:rsidRDefault="00C52695" w:rsidP="00C52695">
      <w:pPr>
        <w:rPr>
          <w:rStyle w:val="AERbody"/>
        </w:rPr>
      </w:pPr>
      <w:r w:rsidRPr="00883125">
        <w:rPr>
          <w:rStyle w:val="AERbody"/>
        </w:rPr>
        <w:t>Handley indicated that Gray's analysis was 'incomplete and oversimplified' to support the restriction proposed, and we consider that Gray's June 2015 report (for Frontier) and NERA's June 2015 report add noth</w:t>
      </w:r>
      <w:r w:rsidR="00514A99">
        <w:rPr>
          <w:rStyle w:val="AERbody"/>
        </w:rPr>
        <w:t>ing material to the discussion.</w:t>
      </w:r>
    </w:p>
    <w:p w:rsidR="00C52695" w:rsidRPr="00883125" w:rsidRDefault="00C52695" w:rsidP="00C52695">
      <w:pPr>
        <w:rPr>
          <w:rStyle w:val="AERbody"/>
        </w:rPr>
      </w:pPr>
      <w:r w:rsidRPr="00883125">
        <w:rPr>
          <w:rStyle w:val="AERbody"/>
        </w:rPr>
        <w:t>We also note that if we estimated a distribution rate strictly in accordance with our benchmark definition we would end up with only the firms that we regulate, or an observable set of similar firms, yet the service providers have not suggested an industry benchmark distribution rate. We also do not propose an industry benchmark for the reasons set out in the Guideline</w:t>
      </w:r>
      <w:r>
        <w:rPr>
          <w:rStyle w:val="AERbody"/>
        </w:rPr>
        <w:t>, although we note Lally's estimate of 0.83 for the broader listed equity market does not seem unreasonable</w:t>
      </w:r>
      <w:r w:rsidRPr="00883125">
        <w:rPr>
          <w:rStyle w:val="AERbody"/>
        </w:rPr>
        <w:t>.</w:t>
      </w:r>
      <w:r w:rsidRPr="00883125">
        <w:rPr>
          <w:rStyle w:val="FootnoteReference"/>
        </w:rPr>
        <w:footnoteReference w:id="660"/>
      </w:r>
      <w:r w:rsidRPr="00883125">
        <w:rPr>
          <w:rStyle w:val="AERbody"/>
        </w:rPr>
        <w:t xml:space="preserve"> However, we note the EMRF submitted that our assumed distribution rates are lower (and, therefore more favourable to service providers) than those relevant to a pure play energy network.</w:t>
      </w:r>
      <w:r w:rsidRPr="00883125">
        <w:rPr>
          <w:rStyle w:val="FootnoteReference"/>
        </w:rPr>
        <w:footnoteReference w:id="661"/>
      </w:r>
    </w:p>
    <w:p w:rsidR="00C52695" w:rsidRPr="00883125" w:rsidRDefault="00C52695" w:rsidP="00C52695">
      <w:pPr>
        <w:pStyle w:val="Heading9"/>
      </w:pPr>
      <w:bookmarkStart w:id="349" w:name="_Toc450119282"/>
      <w:bookmarkStart w:id="350" w:name="_Toc450119442"/>
      <w:bookmarkStart w:id="351" w:name="_Ref415126827"/>
      <w:bookmarkStart w:id="352" w:name="_Toc456614328"/>
      <w:bookmarkStart w:id="353" w:name="_Toc462823334"/>
      <w:bookmarkStart w:id="354" w:name="_Toc487014089"/>
      <w:bookmarkEnd w:id="349"/>
      <w:bookmarkEnd w:id="350"/>
      <w:r w:rsidRPr="00883125">
        <w:t>The cumulative payout ratio approach</w:t>
      </w:r>
      <w:bookmarkEnd w:id="351"/>
      <w:bookmarkEnd w:id="352"/>
      <w:bookmarkEnd w:id="353"/>
      <w:bookmarkEnd w:id="354"/>
    </w:p>
    <w:p w:rsidR="00C52695" w:rsidRPr="00883125" w:rsidRDefault="00C52695" w:rsidP="00C52695">
      <w:pPr>
        <w:numPr>
          <w:ilvl w:val="0"/>
          <w:numId w:val="24"/>
        </w:numPr>
      </w:pPr>
      <w:r w:rsidRPr="00883125">
        <w:t>The cumulative payout ratio approach is applied as follows. It starts with the change in the total value of imputation credits in firms’ franking account balances over a particular period of time. This reflects the cumulative additions and subtractions of imputation credits over that particular period of time. Then, subtracting this from total company tax paid over the same period of time produces an estimate of the imputation credits that have been distributed in total. This relies on the idea that every dollar of company tax paid generates an imputation credit, which can either be distributed or retained in franking account balances. Then, dividing this estimate by the value of company tax paid over the same time period produces an estimate of the distribution rate over this time.</w:t>
      </w:r>
    </w:p>
    <w:p w:rsidR="00C52695" w:rsidRPr="00883125" w:rsidRDefault="00C52695" w:rsidP="00C52695">
      <w:pPr>
        <w:numPr>
          <w:ilvl w:val="0"/>
          <w:numId w:val="24"/>
        </w:numPr>
      </w:pPr>
      <w:r w:rsidRPr="00883125">
        <w:t>A limitation of this approach is that factors other than the distribution of imputation credits can lead to a decrease in aggregate franking account balances.</w:t>
      </w:r>
      <w:r w:rsidRPr="00883125">
        <w:rPr>
          <w:rStyle w:val="FootnoteReference"/>
        </w:rPr>
        <w:footnoteReference w:id="662"/>
      </w:r>
      <w:r w:rsidRPr="00883125">
        <w:t xml:space="preserve"> However, we are unaware of the materiality of these factors. Moreover, as discussed in the next section:</w:t>
      </w:r>
    </w:p>
    <w:p w:rsidR="00C52695" w:rsidRPr="00883125" w:rsidRDefault="00C52695" w:rsidP="00C52695">
      <w:pPr>
        <w:pStyle w:val="AERbulletlistfirststyle"/>
      </w:pPr>
      <w:r w:rsidRPr="00883125">
        <w:t>Hathaway and NERA each preferred this approach to an approach involving data on franked dividends, and</w:t>
      </w:r>
    </w:p>
    <w:p w:rsidR="00C52695" w:rsidRPr="00883125" w:rsidRDefault="00C52695" w:rsidP="00C52695">
      <w:pPr>
        <w:pStyle w:val="AERbulletlistfirststyle"/>
      </w:pPr>
      <w:r w:rsidRPr="00883125">
        <w:t>an estimate of the distribution rate across only listed equity using this approach is broadly reinforced by evidence from the financial statements of the largest listed companies.</w:t>
      </w:r>
    </w:p>
    <w:p w:rsidR="00C52695" w:rsidRPr="00883125" w:rsidRDefault="00C52695" w:rsidP="00C52695">
      <w:pPr>
        <w:pStyle w:val="Heading9"/>
      </w:pPr>
      <w:bookmarkStart w:id="355" w:name="_Toc456614329"/>
      <w:bookmarkStart w:id="356" w:name="_Toc462823335"/>
      <w:bookmarkStart w:id="357" w:name="_Toc487014090"/>
      <w:r w:rsidRPr="00883125">
        <w:t>Alternative approaches</w:t>
      </w:r>
      <w:bookmarkEnd w:id="355"/>
      <w:bookmarkEnd w:id="356"/>
      <w:bookmarkEnd w:id="357"/>
    </w:p>
    <w:p w:rsidR="00C52695" w:rsidRPr="00883125" w:rsidRDefault="00C52695" w:rsidP="00C52695">
      <w:pPr>
        <w:numPr>
          <w:ilvl w:val="0"/>
          <w:numId w:val="24"/>
        </w:numPr>
      </w:pPr>
      <w:r w:rsidRPr="00883125">
        <w:t>There are at least two alternative approaches to estimating the distribution rate:</w:t>
      </w:r>
    </w:p>
    <w:p w:rsidR="00C52695" w:rsidRPr="001D37D5" w:rsidRDefault="00C52695" w:rsidP="00C52695">
      <w:pPr>
        <w:pStyle w:val="AERbulletlistfirststyle"/>
      </w:pPr>
      <w:r w:rsidRPr="00883125">
        <w:t>Hathaway and NERA each estimated a distribution rate of around 0.5 using ATO statistics on the franked dividends distributed by companies as reported in their tax returns.</w:t>
      </w:r>
      <w:r w:rsidRPr="001D37D5">
        <w:rPr>
          <w:rStyle w:val="FootnoteReference"/>
        </w:rPr>
        <w:footnoteReference w:id="663"/>
      </w:r>
      <w:r w:rsidRPr="001D37D5">
        <w:t xml:space="preserve"> However, neither advocated the use of this estimate. NERA considered:</w:t>
      </w:r>
      <w:r w:rsidRPr="001D37D5">
        <w:rPr>
          <w:rStyle w:val="FootnoteReference"/>
        </w:rPr>
        <w:footnoteReference w:id="664"/>
      </w:r>
    </w:p>
    <w:p w:rsidR="00C52695" w:rsidRPr="00883125" w:rsidRDefault="00C52695" w:rsidP="00C52695">
      <w:pPr>
        <w:pStyle w:val="AERquote"/>
      </w:pPr>
      <w:r w:rsidRPr="00883125">
        <w:t xml:space="preserve">In our opinion, the cumulative payout ratio is the most reliable estimate that is least likely to be affected by potential distortions in the underlying data set. </w:t>
      </w:r>
    </w:p>
    <w:p w:rsidR="00C52695" w:rsidRPr="001D37D5" w:rsidRDefault="00C52695" w:rsidP="00C52695">
      <w:pPr>
        <w:pStyle w:val="AERbulletlistfirststyle"/>
      </w:pPr>
      <w:r w:rsidRPr="00883125">
        <w:t>And Hathaway considered:</w:t>
      </w:r>
      <w:r w:rsidRPr="001D37D5">
        <w:rPr>
          <w:rStyle w:val="FootnoteReference"/>
        </w:rPr>
        <w:footnoteReference w:id="665"/>
      </w:r>
    </w:p>
    <w:p w:rsidR="00C52695" w:rsidRPr="00883125" w:rsidRDefault="00C52695" w:rsidP="00C52695">
      <w:pPr>
        <w:pStyle w:val="AERquote"/>
      </w:pPr>
      <w:r w:rsidRPr="00883125">
        <w:t>As was explained in section 3, I have more faith in the [franking account balance] data than in the dividend data. The dividend data appears to be missing about $87.5 billion and the ATO has had substantial problems with the dividend data in the past.</w:t>
      </w:r>
    </w:p>
    <w:p w:rsidR="00C52695" w:rsidRDefault="00C52695" w:rsidP="00C52695">
      <w:r w:rsidRPr="00883125">
        <w:t>Lally examined the financial statements of the 20 largest ASX-listed firms by market capitalisation, and found an aggregate distribution rate across these firms of 0.8</w:t>
      </w:r>
      <w:r>
        <w:t>3</w:t>
      </w:r>
      <w:r w:rsidRPr="00883125">
        <w:t>.</w:t>
      </w:r>
      <w:r w:rsidRPr="00883125">
        <w:rPr>
          <w:rStyle w:val="FootnoteReference"/>
        </w:rPr>
        <w:footnoteReference w:id="666"/>
      </w:r>
      <w:r w:rsidRPr="00883125">
        <w:t xml:space="preserve"> We consider that this broadly reinforces the higher cumulative payout ratio estimate across only listed equity.</w:t>
      </w:r>
    </w:p>
    <w:p w:rsidR="00E37CE4" w:rsidRDefault="00E37CE4" w:rsidP="00C52695"/>
    <w:p w:rsidR="00E37CE4" w:rsidRPr="00883125" w:rsidRDefault="00E37CE4" w:rsidP="00C52695"/>
    <w:p w:rsidR="00C52695" w:rsidRPr="00883125" w:rsidRDefault="00C52695" w:rsidP="00C52695">
      <w:pPr>
        <w:pStyle w:val="Heading9"/>
      </w:pPr>
      <w:bookmarkStart w:id="358" w:name="_Ref450297745"/>
      <w:bookmarkStart w:id="359" w:name="_Toc456614330"/>
      <w:bookmarkStart w:id="360" w:name="_Toc462823336"/>
      <w:bookmarkStart w:id="361" w:name="_Toc487014091"/>
      <w:r w:rsidRPr="00883125">
        <w:t>Hathaway (2014)</w:t>
      </w:r>
      <w:bookmarkEnd w:id="358"/>
      <w:bookmarkEnd w:id="359"/>
      <w:bookmarkEnd w:id="360"/>
      <w:bookmarkEnd w:id="361"/>
    </w:p>
    <w:p w:rsidR="00C52695" w:rsidRPr="00883125" w:rsidRDefault="00C52695" w:rsidP="00C52695">
      <w:r w:rsidRPr="00883125">
        <w:t>After the publication of the draft decisions in 2014, and deep into the process of preparing the final decision for JGN, we became aware of an updated analysis of the tax statistics by Hathaway dated October 2014.</w:t>
      </w:r>
      <w:r w:rsidRPr="00883125">
        <w:rPr>
          <w:rStyle w:val="FootnoteReference"/>
        </w:rPr>
        <w:footnoteReference w:id="667"/>
      </w:r>
      <w:r w:rsidRPr="00883125">
        <w:t xml:space="preserve"> This report updates the analysis to include tax data for the 2011–12 financial year, which were published by the ATO during 2014. Hathaway (2014) remains in draft form. Importantly, Hathaway (2014) appears to come to the opposite conclusion of his 2013 analysis regarding the FAB data:</w:t>
      </w:r>
      <w:r w:rsidRPr="00883125">
        <w:rPr>
          <w:rStyle w:val="FootnoteReference"/>
        </w:rPr>
        <w:footnoteReference w:id="668"/>
      </w:r>
    </w:p>
    <w:p w:rsidR="00C52695" w:rsidRPr="00883125" w:rsidRDefault="00C52695" w:rsidP="00C52695">
      <w:pPr>
        <w:pStyle w:val="AERquote"/>
      </w:pPr>
      <w:r w:rsidRPr="00883125">
        <w:t xml:space="preserve">…the FAB data indicate a </w:t>
      </w:r>
      <w:r w:rsidRPr="00883125">
        <w:rPr>
          <w:rStyle w:val="AERtextitalic"/>
        </w:rPr>
        <w:t>net</w:t>
      </w:r>
      <w:r w:rsidRPr="00883125">
        <w:t xml:space="preserve"> $337.4 billion of credits have been distributed and a </w:t>
      </w:r>
      <w:r w:rsidRPr="00883125">
        <w:rPr>
          <w:rStyle w:val="AERtextitalic"/>
        </w:rPr>
        <w:t>gross</w:t>
      </w:r>
      <w:r w:rsidRPr="00883125">
        <w:t xml:space="preserve"> $428 billion was distributed.</w:t>
      </w:r>
    </w:p>
    <w:p w:rsidR="00C52695" w:rsidRPr="00883125" w:rsidRDefault="00C52695" w:rsidP="00C52695">
      <w:pPr>
        <w:pStyle w:val="AERquote"/>
      </w:pPr>
      <w:r w:rsidRPr="00883125">
        <w:t>This gross distribution seems highly improbable and is quite inconsistent with the recorded franking credit income. It represents a gross payout ratio of 88% of all company tax as franking credits for the period 2004-12. This is in stark contrast to the gross 66% distribution recorded by the payment of franked dividends. We conclude that the FAB data are a concern.</w:t>
      </w:r>
    </w:p>
    <w:p w:rsidR="00C52695" w:rsidRPr="00883125" w:rsidRDefault="00C52695" w:rsidP="00C52695">
      <w:r w:rsidRPr="00883125">
        <w:t>To the extent that the new conclusions in Hathaway (2014) are well founded, the potential implication is that an estimate of the distribution rate using franked dividend data might be more appropriate (that is, around 0.5, or at least between 0.5 and 0.7). However, on first assessment, we are not convinced by Hathaway's main reason for concluding that the FAB data are a concern—the idea that they imply a gross distribution rate of 0.88 which is 'improbable' and much higher than the gross distribution rate implied by franked dividend data (0.66, which appears to be considered by Hathaway to be probable). This is because Lally's estimate of the gross distribution rate across the largest listed companies is 0.8</w:t>
      </w:r>
      <w:r>
        <w:t>3</w:t>
      </w:r>
      <w:r w:rsidRPr="00883125">
        <w:t>, and therefore we do not consider that an estimate of 0.88 is necessarily improbable.</w:t>
      </w:r>
    </w:p>
    <w:p w:rsidR="00C52695" w:rsidRPr="00883125" w:rsidRDefault="00C52695" w:rsidP="00C52695">
      <w:r w:rsidRPr="00883125">
        <w:t>While we are aware of it, we do not place reliance on the conclusion in Hathaway (2014) regarding the FAB data in this</w:t>
      </w:r>
      <w:r>
        <w:t xml:space="preserve"> </w:t>
      </w:r>
      <w:r w:rsidR="00924CC4">
        <w:t>d</w:t>
      </w:r>
      <w:r w:rsidR="00D26221">
        <w:t>ra</w:t>
      </w:r>
      <w:r w:rsidR="00924CC4">
        <w:t>ft</w:t>
      </w:r>
      <w:r w:rsidR="00022C1D" w:rsidRPr="00883125">
        <w:t xml:space="preserve"> </w:t>
      </w:r>
      <w:r w:rsidRPr="00883125">
        <w:t>decision. This is because:</w:t>
      </w:r>
    </w:p>
    <w:p w:rsidR="00C52695" w:rsidRPr="001D37D5" w:rsidRDefault="00C52695" w:rsidP="00C52695">
      <w:pPr>
        <w:pStyle w:val="AERbulletlistfirststyle"/>
      </w:pPr>
      <w:r w:rsidRPr="00883125">
        <w:t>We do not find Hathaway's reasoning for his conclusion</w:t>
      </w:r>
      <w:r w:rsidRPr="001D37D5">
        <w:t xml:space="preserve"> convincing.</w:t>
      </w:r>
    </w:p>
    <w:p w:rsidR="00C52695" w:rsidRPr="00883125" w:rsidRDefault="00C52695" w:rsidP="00C52695">
      <w:pPr>
        <w:pStyle w:val="AERbulletlistfirststyle"/>
      </w:pPr>
      <w:r w:rsidRPr="00883125">
        <w:t>This conclusion does not appear contingent on any new information provided by the release of the 2011–12 statistics. Therefore, this conclusion would appear to have been open to Hathaway, NERA and Handley previously, yet none of them came to it.</w:t>
      </w:r>
    </w:p>
    <w:p w:rsidR="00C52695" w:rsidRDefault="00C52695" w:rsidP="00C52695">
      <w:r w:rsidRPr="00883125">
        <w:t>We also note the report is still marked draft nearly one year after initially being completed.</w:t>
      </w:r>
    </w:p>
    <w:p w:rsidR="00E37CE4" w:rsidRDefault="00E37CE4" w:rsidP="00C52695"/>
    <w:p w:rsidR="00E37CE4" w:rsidRPr="00883125" w:rsidRDefault="00E37CE4" w:rsidP="00C52695"/>
    <w:p w:rsidR="00C52695" w:rsidRPr="00883125" w:rsidRDefault="00C52695" w:rsidP="00C52695">
      <w:pPr>
        <w:pStyle w:val="Heading8"/>
      </w:pPr>
      <w:bookmarkStart w:id="362" w:name="_Ref403481535"/>
      <w:bookmarkStart w:id="363" w:name="_Toc436049452"/>
      <w:bookmarkStart w:id="364" w:name="_Toc451842258"/>
      <w:bookmarkStart w:id="365" w:name="_Toc451938312"/>
      <w:bookmarkStart w:id="366" w:name="_Toc456614331"/>
      <w:bookmarkStart w:id="367" w:name="_Toc462823337"/>
      <w:bookmarkStart w:id="368" w:name="_Toc487014092"/>
      <w:r w:rsidRPr="00883125">
        <w:t>Application of rate of return criteria to evidence on the utilisation rate</w:t>
      </w:r>
      <w:bookmarkEnd w:id="362"/>
      <w:bookmarkEnd w:id="363"/>
      <w:bookmarkEnd w:id="364"/>
      <w:bookmarkEnd w:id="365"/>
      <w:bookmarkEnd w:id="366"/>
      <w:bookmarkEnd w:id="367"/>
      <w:bookmarkEnd w:id="368"/>
    </w:p>
    <w:p w:rsidR="00C52695" w:rsidRPr="00883125" w:rsidRDefault="00C52695" w:rsidP="00C52695">
      <w:pPr>
        <w:numPr>
          <w:ilvl w:val="0"/>
          <w:numId w:val="24"/>
        </w:numPr>
      </w:pPr>
      <w:r w:rsidRPr="00883125">
        <w:t xml:space="preserve">Our main assessment of the various approaches to estimating the utilisation rate is set out in section </w:t>
      </w:r>
      <w:r w:rsidR="001A5B30">
        <w:fldChar w:fldCharType="begin"/>
      </w:r>
      <w:r w:rsidR="001A5B30">
        <w:instrText xml:space="preserve"> REF _Ref475439085 \r \h </w:instrText>
      </w:r>
      <w:r w:rsidR="001A5B30">
        <w:fldChar w:fldCharType="separate"/>
      </w:r>
      <w:r w:rsidR="007E3457">
        <w:t>4.4</w:t>
      </w:r>
      <w:r w:rsidR="001A5B30">
        <w:fldChar w:fldCharType="end"/>
      </w:r>
      <w:r w:rsidRPr="00883125">
        <w:t xml:space="preserve"> of attachment 4, with supporting evidence provided in this appendix. However, we have also considered these approaches and the evidence they employ against the criteria used to assess evidence on the allowed rate of return (</w:t>
      </w:r>
      <w:r w:rsidRPr="00883125">
        <w:fldChar w:fldCharType="begin"/>
      </w:r>
      <w:r w:rsidRPr="00883125">
        <w:instrText xml:space="preserve"> REF  _Ref415046112 \* Lower \h </w:instrText>
      </w:r>
      <w:r w:rsidRPr="00883125">
        <w:fldChar w:fldCharType="separate"/>
      </w:r>
      <w:r w:rsidR="007E3457" w:rsidRPr="00883125">
        <w:t xml:space="preserve">table </w:t>
      </w:r>
      <w:r w:rsidR="007E3457">
        <w:rPr>
          <w:noProof/>
        </w:rPr>
        <w:t>4</w:t>
      </w:r>
      <w:r w:rsidR="007E3457">
        <w:noBreakHyphen/>
      </w:r>
      <w:r w:rsidR="007E3457">
        <w:rPr>
          <w:noProof/>
        </w:rPr>
        <w:t>15</w:t>
      </w:r>
      <w:r w:rsidRPr="00883125">
        <w:fldChar w:fldCharType="end"/>
      </w:r>
      <w:r w:rsidRPr="00883125">
        <w:t>). Assessment against these criteria broadly supports our main assessment of the approaches.</w:t>
      </w:r>
    </w:p>
    <w:p w:rsidR="00C52695" w:rsidRPr="00883125" w:rsidRDefault="00C52695" w:rsidP="00C52695">
      <w:pPr>
        <w:numPr>
          <w:ilvl w:val="0"/>
          <w:numId w:val="24"/>
        </w:numPr>
      </w:pPr>
    </w:p>
    <w:p w:rsidR="00C52695" w:rsidRPr="00883125" w:rsidRDefault="00C52695" w:rsidP="00C52695">
      <w:pPr>
        <w:sectPr w:rsidR="00C52695" w:rsidRPr="00883125" w:rsidSect="006425B8">
          <w:pgSz w:w="11906" w:h="16838"/>
          <w:pgMar w:top="1440" w:right="1440" w:bottom="1440" w:left="1440" w:header="708" w:footer="708" w:gutter="0"/>
          <w:pgNumType w:chapStyle="1"/>
          <w:cols w:space="708"/>
          <w:docGrid w:linePitch="360"/>
        </w:sectPr>
      </w:pPr>
    </w:p>
    <w:tbl>
      <w:tblPr>
        <w:tblStyle w:val="AERtable-text0"/>
        <w:tblpPr w:leftFromText="180" w:rightFromText="180" w:vertAnchor="page" w:horzAnchor="margin" w:tblpY="2071"/>
        <w:tblW w:w="14152" w:type="dxa"/>
        <w:tblLayout w:type="fixed"/>
        <w:tblLook w:val="04A0" w:firstRow="1" w:lastRow="0" w:firstColumn="1" w:lastColumn="0" w:noHBand="0" w:noVBand="1"/>
      </w:tblPr>
      <w:tblGrid>
        <w:gridCol w:w="3936"/>
        <w:gridCol w:w="3140"/>
        <w:gridCol w:w="3238"/>
        <w:gridCol w:w="3838"/>
      </w:tblGrid>
      <w:tr w:rsidR="00C52695" w:rsidRPr="00FE391A" w:rsidTr="006425B8">
        <w:trPr>
          <w:cnfStyle w:val="100000000000" w:firstRow="1" w:lastRow="0" w:firstColumn="0" w:lastColumn="0" w:oddVBand="0" w:evenVBand="0" w:oddHBand="0" w:evenHBand="0" w:firstRowFirstColumn="0" w:firstRowLastColumn="0" w:lastRowFirstColumn="0" w:lastRowLastColumn="0"/>
          <w:cantSplit/>
        </w:trPr>
        <w:tc>
          <w:tcPr>
            <w:tcW w:w="3936" w:type="dxa"/>
          </w:tcPr>
          <w:p w:rsidR="00C52695" w:rsidRPr="00883125" w:rsidRDefault="00C52695" w:rsidP="00C52695">
            <w:pPr>
              <w:pStyle w:val="ListParagraph"/>
              <w:numPr>
                <w:ilvl w:val="0"/>
                <w:numId w:val="24"/>
              </w:numPr>
            </w:pPr>
            <w:r>
              <w:t>Criteria</w:t>
            </w:r>
            <w:r w:rsidRPr="00E30AF3">
              <w:rPr>
                <w:rStyle w:val="AERsuperscript"/>
              </w:rPr>
              <w:t>(a)</w:t>
            </w:r>
          </w:p>
        </w:tc>
        <w:tc>
          <w:tcPr>
            <w:tcW w:w="3140" w:type="dxa"/>
          </w:tcPr>
          <w:p w:rsidR="00C52695" w:rsidRPr="00C52695" w:rsidRDefault="00C52695" w:rsidP="00C52695">
            <w:r>
              <w:t>Equity ownership approach</w:t>
            </w:r>
          </w:p>
        </w:tc>
        <w:tc>
          <w:tcPr>
            <w:tcW w:w="3238" w:type="dxa"/>
          </w:tcPr>
          <w:p w:rsidR="00C52695" w:rsidRPr="00C52695" w:rsidRDefault="00C52695" w:rsidP="00C52695">
            <w:r>
              <w:t>Tax statistics</w:t>
            </w:r>
          </w:p>
        </w:tc>
        <w:tc>
          <w:tcPr>
            <w:tcW w:w="3838" w:type="dxa"/>
          </w:tcPr>
          <w:p w:rsidR="00C52695" w:rsidRPr="00C52695" w:rsidRDefault="00C52695" w:rsidP="00C52695">
            <w:r>
              <w:t>Implied market value studies</w:t>
            </w:r>
          </w:p>
        </w:tc>
      </w:tr>
      <w:tr w:rsidR="00C52695" w:rsidRPr="00FE391A" w:rsidTr="006425B8">
        <w:trPr>
          <w:cantSplit/>
        </w:trPr>
        <w:tc>
          <w:tcPr>
            <w:tcW w:w="3936" w:type="dxa"/>
          </w:tcPr>
          <w:p w:rsidR="00C52695" w:rsidRPr="00883125" w:rsidRDefault="00C52695" w:rsidP="00C52695">
            <w:pPr>
              <w:pStyle w:val="ListParagraph"/>
              <w:numPr>
                <w:ilvl w:val="0"/>
                <w:numId w:val="24"/>
              </w:numPr>
            </w:pPr>
            <w:r w:rsidRPr="00883125">
              <w:t xml:space="preserve">Where applicable, reflective of economic and finance principles and market information. </w:t>
            </w:r>
          </w:p>
          <w:p w:rsidR="00C52695" w:rsidRPr="00883125" w:rsidRDefault="00C52695" w:rsidP="00C52695">
            <w:pPr>
              <w:pStyle w:val="ListParagraph"/>
              <w:numPr>
                <w:ilvl w:val="0"/>
                <w:numId w:val="24"/>
              </w:numPr>
            </w:pPr>
            <w:r w:rsidRPr="00883125">
              <w:t>- Estimation methods and financial models are consistent with well accepted economic and finance principles and informed by sound empirical analysis and robust data.</w:t>
            </w:r>
          </w:p>
        </w:tc>
        <w:tc>
          <w:tcPr>
            <w:tcW w:w="3140" w:type="dxa"/>
          </w:tcPr>
          <w:p w:rsidR="00C52695" w:rsidRPr="00C52695" w:rsidRDefault="00C52695" w:rsidP="00C52695">
            <w:r w:rsidRPr="00883125">
              <w:t>Accords with Monkhouse framework and principle of investor rationality (e.g. eligible investors expected to utilise</w:t>
            </w:r>
            <w:r w:rsidRPr="00C52695">
              <w:t xml:space="preserve"> credits to which they are entitled).</w:t>
            </w:r>
          </w:p>
          <w:p w:rsidR="00C52695" w:rsidRPr="00C52695" w:rsidRDefault="00C52695" w:rsidP="00C52695">
            <w:r w:rsidRPr="00883125">
              <w:t xml:space="preserve">Analysis is </w:t>
            </w:r>
            <w:r w:rsidRPr="00C52695">
              <w:t>straightforward and sound. Data is from credible source (ABS).</w:t>
            </w:r>
          </w:p>
        </w:tc>
        <w:tc>
          <w:tcPr>
            <w:tcW w:w="3238" w:type="dxa"/>
          </w:tcPr>
          <w:p w:rsidR="00C52695" w:rsidRPr="00C52695" w:rsidRDefault="00C52695" w:rsidP="00C52695">
            <w:r w:rsidRPr="00883125">
              <w:t>Market information on the amount of imputation credits utilised.</w:t>
            </w:r>
          </w:p>
          <w:p w:rsidR="00C52695" w:rsidRPr="00C52695" w:rsidRDefault="00C52695" w:rsidP="00C52695">
            <w:r w:rsidRPr="00883125">
              <w:t>Analysis is straightforward and sound. Data is from credible source (ATO), but some data concerns have been identified.</w:t>
            </w:r>
          </w:p>
        </w:tc>
        <w:tc>
          <w:tcPr>
            <w:tcW w:w="3838" w:type="dxa"/>
          </w:tcPr>
          <w:p w:rsidR="00C52695" w:rsidRPr="00C52695" w:rsidRDefault="00C52695" w:rsidP="00C52695">
            <w:r w:rsidRPr="00883125">
              <w:t>Mainly based on the principle that share prices reflect the present value of future dividends (and imputation credits) and 'no arbitrage'.</w:t>
            </w:r>
          </w:p>
          <w:p w:rsidR="00C52695" w:rsidRPr="00C52695" w:rsidRDefault="00C52695" w:rsidP="00C52695">
            <w:r w:rsidRPr="00883125">
              <w:t>Varying opinions on the soundness of analysis across studies. Underlying data is typically from credible sources (e.g. Bloomberg, ASX).</w:t>
            </w:r>
          </w:p>
        </w:tc>
      </w:tr>
      <w:tr w:rsidR="00C52695" w:rsidRPr="00FE391A" w:rsidTr="006425B8">
        <w:trPr>
          <w:cnfStyle w:val="000000010000" w:firstRow="0" w:lastRow="0" w:firstColumn="0" w:lastColumn="0" w:oddVBand="0" w:evenVBand="0" w:oddHBand="0" w:evenHBand="1" w:firstRowFirstColumn="0" w:firstRowLastColumn="0" w:lastRowFirstColumn="0" w:lastRowLastColumn="0"/>
          <w:cantSplit/>
        </w:trPr>
        <w:tc>
          <w:tcPr>
            <w:tcW w:w="3936" w:type="dxa"/>
          </w:tcPr>
          <w:p w:rsidR="00C52695" w:rsidRPr="00C52695" w:rsidRDefault="00C52695" w:rsidP="00C52695">
            <w:r w:rsidRPr="00883125">
              <w:t xml:space="preserve">Fit for purpose. </w:t>
            </w:r>
          </w:p>
          <w:p w:rsidR="00C52695" w:rsidRPr="00C52695" w:rsidRDefault="00C52695" w:rsidP="00C52695">
            <w:r w:rsidRPr="00883125">
              <w:t xml:space="preserve">- The use of estimation methods, financial models, market data and other evidence should be consistent with the original purpose for which it was compiled and have regard to the limitations of that purpose. </w:t>
            </w:r>
          </w:p>
          <w:p w:rsidR="00C52695" w:rsidRPr="00C52695" w:rsidRDefault="00C52695" w:rsidP="00C52695">
            <w:r w:rsidRPr="00883125">
              <w:t xml:space="preserve">- Promote simple </w:t>
            </w:r>
            <w:r w:rsidRPr="00C52695">
              <w:t>over complex approaches where appropriate.</w:t>
            </w:r>
          </w:p>
        </w:tc>
        <w:tc>
          <w:tcPr>
            <w:tcW w:w="3140" w:type="dxa"/>
          </w:tcPr>
          <w:p w:rsidR="00C52695" w:rsidRPr="00C52695" w:rsidRDefault="00C52695" w:rsidP="00C52695">
            <w:r w:rsidRPr="00883125">
              <w:t>ABS data used to estimate the domestic ownership share of Australian equity, which is consistent with its purpose. Approach is simple.</w:t>
            </w:r>
          </w:p>
        </w:tc>
        <w:tc>
          <w:tcPr>
            <w:tcW w:w="3238" w:type="dxa"/>
          </w:tcPr>
          <w:p w:rsidR="00C52695" w:rsidRPr="00C52695" w:rsidRDefault="00C52695" w:rsidP="00C52695">
            <w:r w:rsidRPr="00883125">
              <w:t>ATO statistics used to observe the reported amount of imputation credits utilised by investors, which is consistent with their purpose. Approach is simple.</w:t>
            </w:r>
          </w:p>
        </w:tc>
        <w:tc>
          <w:tcPr>
            <w:tcW w:w="3838" w:type="dxa"/>
          </w:tcPr>
          <w:p w:rsidR="00C52695" w:rsidRPr="00C52695" w:rsidRDefault="00C52695" w:rsidP="00C52695">
            <w:r w:rsidRPr="00883125">
              <w:t>Some studies undertaken for the specific purpose of estimating the utilisation rate for regulatory purposes. Results of some studies need to be interpreted carefully to be consistent with the regulatory framework. Studies can employ complex and sometimes problematic estimation methodologies.</w:t>
            </w:r>
          </w:p>
        </w:tc>
      </w:tr>
      <w:tr w:rsidR="00C52695" w:rsidRPr="00FE391A" w:rsidTr="006425B8">
        <w:trPr>
          <w:cantSplit/>
        </w:trPr>
        <w:tc>
          <w:tcPr>
            <w:tcW w:w="3936" w:type="dxa"/>
          </w:tcPr>
          <w:p w:rsidR="00C52695" w:rsidRPr="00C52695" w:rsidRDefault="00C52695" w:rsidP="00C52695">
            <w:r w:rsidRPr="00883125">
              <w:t xml:space="preserve">Implemented in accordance with good practice. </w:t>
            </w:r>
          </w:p>
          <w:p w:rsidR="00C52695" w:rsidRPr="00C52695" w:rsidRDefault="00C52695" w:rsidP="00C52695">
            <w:r w:rsidRPr="00883125">
              <w:t xml:space="preserve">- Supported by robust, transparent and </w:t>
            </w:r>
            <w:r w:rsidRPr="00C52695">
              <w:t>replicable analysis that is derived from available credible datasets.</w:t>
            </w:r>
          </w:p>
        </w:tc>
        <w:tc>
          <w:tcPr>
            <w:tcW w:w="3140" w:type="dxa"/>
          </w:tcPr>
          <w:p w:rsidR="00C52695" w:rsidRPr="00C52695" w:rsidRDefault="00C52695" w:rsidP="00C52695">
            <w:r w:rsidRPr="00883125">
              <w:t>Transparent and replicable using published data. Some knowledge of ABS classifications required.</w:t>
            </w:r>
          </w:p>
        </w:tc>
        <w:tc>
          <w:tcPr>
            <w:tcW w:w="3238" w:type="dxa"/>
          </w:tcPr>
          <w:p w:rsidR="00C52695" w:rsidRPr="00C52695" w:rsidRDefault="00C52695" w:rsidP="00C52695">
            <w:r w:rsidRPr="00883125">
              <w:t>Transparent and replicable using published data, although detailed knowledge of tax return labels required. Some data concerns have been identified.</w:t>
            </w:r>
          </w:p>
        </w:tc>
        <w:tc>
          <w:tcPr>
            <w:tcW w:w="3838" w:type="dxa"/>
          </w:tcPr>
          <w:p w:rsidR="00C52695" w:rsidRPr="00C52695" w:rsidRDefault="00C52695" w:rsidP="00C52695">
            <w:r w:rsidRPr="00883125">
              <w:t>Less transparent and replicable, as econometrics knowledge required and data not always publicly or freely available.</w:t>
            </w:r>
          </w:p>
        </w:tc>
      </w:tr>
      <w:tr w:rsidR="00C52695" w:rsidRPr="00FE391A" w:rsidTr="006425B8">
        <w:trPr>
          <w:cnfStyle w:val="000000010000" w:firstRow="0" w:lastRow="0" w:firstColumn="0" w:lastColumn="0" w:oddVBand="0" w:evenVBand="0" w:oddHBand="0" w:evenHBand="1" w:firstRowFirstColumn="0" w:firstRowLastColumn="0" w:lastRowFirstColumn="0" w:lastRowLastColumn="0"/>
          <w:cantSplit/>
        </w:trPr>
        <w:tc>
          <w:tcPr>
            <w:tcW w:w="3936" w:type="dxa"/>
          </w:tcPr>
          <w:p w:rsidR="00C52695" w:rsidRPr="00C52695" w:rsidRDefault="00C52695" w:rsidP="00C52695">
            <w:r w:rsidRPr="00883125">
              <w:t xml:space="preserve">Where market data and other information is used, this information is: credible and verifiable; comparable and timely; and clearly </w:t>
            </w:r>
            <w:r w:rsidRPr="00C52695">
              <w:t>sourced.</w:t>
            </w:r>
          </w:p>
        </w:tc>
        <w:tc>
          <w:tcPr>
            <w:tcW w:w="3140" w:type="dxa"/>
          </w:tcPr>
          <w:p w:rsidR="00C52695" w:rsidRPr="00C52695" w:rsidRDefault="00C52695" w:rsidP="00C52695">
            <w:r w:rsidRPr="00883125">
              <w:t xml:space="preserve">ABS is a credible source. Relevant statistics are published online on a quarterly basis. </w:t>
            </w:r>
          </w:p>
        </w:tc>
        <w:tc>
          <w:tcPr>
            <w:tcW w:w="3238" w:type="dxa"/>
          </w:tcPr>
          <w:p w:rsidR="00C52695" w:rsidRPr="00C52695" w:rsidRDefault="00C52695" w:rsidP="00C52695">
            <w:r w:rsidRPr="00883125">
              <w:t>ATO is a credible source. Relevant statistics are published online on an annual basis, with a two-year lag (e.g. 2011–12 statistics published in 2014). Some data concerns have been identified.</w:t>
            </w:r>
          </w:p>
        </w:tc>
        <w:tc>
          <w:tcPr>
            <w:tcW w:w="3838" w:type="dxa"/>
          </w:tcPr>
          <w:p w:rsidR="00C52695" w:rsidRPr="00C52695" w:rsidRDefault="00C52695" w:rsidP="00C52695">
            <w:r w:rsidRPr="00883125">
              <w:t>Underlying data typically from credible sources (e.g. Bloomberg, ASX) and is produced on a timely basis. Data not always publicly or freely available.</w:t>
            </w:r>
          </w:p>
          <w:p w:rsidR="00C52695" w:rsidRPr="00C52695" w:rsidRDefault="00C52695" w:rsidP="00C52695">
            <w:r w:rsidRPr="00883125">
              <w:t>Use of econometrics makes the results difficult and complex to verify.</w:t>
            </w:r>
          </w:p>
        </w:tc>
      </w:tr>
      <w:tr w:rsidR="00C52695" w:rsidRPr="00FE391A" w:rsidTr="006425B8">
        <w:trPr>
          <w:cantSplit/>
        </w:trPr>
        <w:tc>
          <w:tcPr>
            <w:tcW w:w="3936" w:type="dxa"/>
          </w:tcPr>
          <w:p w:rsidR="00C52695" w:rsidRPr="00C52695" w:rsidRDefault="00C52695" w:rsidP="00C52695">
            <w:r w:rsidRPr="00883125">
              <w:t xml:space="preserve">Sufficiently flexible as to </w:t>
            </w:r>
            <w:r w:rsidRPr="00C52695">
              <w:t>allow changing market conditions and new information to be reflected in regulatory outcomes, as appropriate.</w:t>
            </w:r>
          </w:p>
        </w:tc>
        <w:tc>
          <w:tcPr>
            <w:tcW w:w="3140" w:type="dxa"/>
          </w:tcPr>
          <w:p w:rsidR="00C52695" w:rsidRPr="00C52695" w:rsidRDefault="00C52695" w:rsidP="00C52695">
            <w:r w:rsidRPr="00883125">
              <w:t xml:space="preserve">Reflects current ownership of Australian equities. However, might not reflect any tax law changes that reduce eligible investors’ utilisation rates below 1.  </w:t>
            </w:r>
          </w:p>
        </w:tc>
        <w:tc>
          <w:tcPr>
            <w:tcW w:w="3238" w:type="dxa"/>
          </w:tcPr>
          <w:p w:rsidR="00C52695" w:rsidRPr="00C52695" w:rsidRDefault="00C52695" w:rsidP="00C52695">
            <w:r w:rsidRPr="00883125">
              <w:t>Reflects conditions up to two years ago.</w:t>
            </w:r>
          </w:p>
        </w:tc>
        <w:tc>
          <w:tcPr>
            <w:tcW w:w="3838" w:type="dxa"/>
          </w:tcPr>
          <w:p w:rsidR="00C52695" w:rsidRPr="00C52695" w:rsidRDefault="00C52695" w:rsidP="00C52695">
            <w:r w:rsidRPr="00883125">
              <w:t>Reflects current conditions to the extent that recent data is used. Different studies span various time periods.</w:t>
            </w:r>
          </w:p>
        </w:tc>
      </w:tr>
    </w:tbl>
    <w:p w:rsidR="00C52695" w:rsidRPr="00883125" w:rsidRDefault="00C52695" w:rsidP="00C52695">
      <w:pPr>
        <w:pStyle w:val="Caption"/>
      </w:pPr>
      <w:bookmarkStart w:id="369" w:name="_Ref415046112"/>
      <w:r w:rsidRPr="00883125">
        <w:t xml:space="preserve">Table </w:t>
      </w:r>
      <w:r w:rsidRPr="001D37D5">
        <w:fldChar w:fldCharType="begin"/>
      </w:r>
      <w:r>
        <w:instrText xml:space="preserve"> STYLEREF 1 \s </w:instrText>
      </w:r>
      <w:r w:rsidRPr="001D37D5">
        <w:fldChar w:fldCharType="separate"/>
      </w:r>
      <w:r w:rsidR="007E3457">
        <w:rPr>
          <w:noProof/>
        </w:rPr>
        <w:t>4</w:t>
      </w:r>
      <w:r w:rsidRPr="001D37D5">
        <w:fldChar w:fldCharType="end"/>
      </w:r>
      <w:r>
        <w:noBreakHyphen/>
      </w:r>
      <w:r w:rsidRPr="001D37D5">
        <w:fldChar w:fldCharType="begin"/>
      </w:r>
      <w:r>
        <w:instrText xml:space="preserve"> SEQ Table \* ARABIC \s 1 </w:instrText>
      </w:r>
      <w:r w:rsidRPr="001D37D5">
        <w:fldChar w:fldCharType="separate"/>
      </w:r>
      <w:r w:rsidR="007E3457">
        <w:rPr>
          <w:noProof/>
        </w:rPr>
        <w:t>15</w:t>
      </w:r>
      <w:r w:rsidRPr="001D37D5">
        <w:fldChar w:fldCharType="end"/>
      </w:r>
      <w:bookmarkEnd w:id="369"/>
      <w:r w:rsidRPr="00883125">
        <w:tab/>
        <w:t>Application of rate of return criteria to evidence on the utilisation rate</w:t>
      </w:r>
    </w:p>
    <w:p w:rsidR="00C52695" w:rsidRPr="00883125" w:rsidRDefault="00C52695" w:rsidP="00C52695">
      <w:pPr>
        <w:pStyle w:val="AERtablesource"/>
      </w:pPr>
      <w:r w:rsidRPr="00883125">
        <w:t xml:space="preserve">Source: </w:t>
      </w:r>
      <w:r w:rsidRPr="00883125">
        <w:tab/>
        <w:t>AER analysis.</w:t>
      </w:r>
    </w:p>
    <w:p w:rsidR="00C52695" w:rsidRPr="00883125" w:rsidRDefault="00C52695" w:rsidP="00C52695">
      <w:pPr>
        <w:pStyle w:val="AERtablesource"/>
      </w:pPr>
      <w:r w:rsidRPr="00883125">
        <w:t>(a):</w:t>
      </w:r>
      <w:r w:rsidRPr="00883125">
        <w:tab/>
        <w:t>The criteria relating specifically to return on equity and return on debt quantitative models are excluded because they are not applicable.</w:t>
      </w:r>
    </w:p>
    <w:p w:rsidR="00C52695" w:rsidRPr="00883125" w:rsidRDefault="00C52695" w:rsidP="00C52695">
      <w:pPr>
        <w:sectPr w:rsidR="00C52695" w:rsidRPr="00883125" w:rsidSect="006425B8">
          <w:pgSz w:w="16838" w:h="11906" w:orient="landscape"/>
          <w:pgMar w:top="1440" w:right="1440" w:bottom="1440" w:left="1440" w:header="709" w:footer="709" w:gutter="0"/>
          <w:pgNumType w:chapStyle="1"/>
          <w:cols w:space="720"/>
          <w:docGrid w:linePitch="326"/>
        </w:sectPr>
      </w:pPr>
    </w:p>
    <w:p w:rsidR="00C52695" w:rsidRPr="00883125" w:rsidRDefault="00C52695" w:rsidP="00C52695">
      <w:pPr>
        <w:pStyle w:val="Heading8"/>
      </w:pPr>
      <w:bookmarkStart w:id="370" w:name="_Ref415049811"/>
      <w:bookmarkStart w:id="371" w:name="_Toc436049453"/>
      <w:bookmarkStart w:id="372" w:name="_Toc451842259"/>
      <w:bookmarkStart w:id="373" w:name="_Toc451938313"/>
      <w:bookmarkStart w:id="374" w:name="_Toc456614332"/>
      <w:bookmarkStart w:id="375" w:name="_Toc462823338"/>
      <w:bookmarkStart w:id="376" w:name="_Toc487014093"/>
      <w:r w:rsidRPr="00883125">
        <w:t>The equity ownership approach</w:t>
      </w:r>
      <w:bookmarkEnd w:id="370"/>
      <w:bookmarkEnd w:id="371"/>
      <w:bookmarkEnd w:id="372"/>
      <w:bookmarkEnd w:id="373"/>
      <w:bookmarkEnd w:id="374"/>
      <w:bookmarkEnd w:id="375"/>
      <w:bookmarkEnd w:id="376"/>
    </w:p>
    <w:p w:rsidR="00C52695" w:rsidRPr="00883125" w:rsidRDefault="00C52695" w:rsidP="00C52695">
      <w:pPr>
        <w:numPr>
          <w:ilvl w:val="0"/>
          <w:numId w:val="24"/>
        </w:numPr>
      </w:pPr>
      <w:r w:rsidRPr="00883125">
        <w:t>Recalling that eligible investors have a utilisation rate of 1 and ineligible investors have a utilisation rate of 0, we consider that the value-weighted proportion of domestic investors in the Australian equity market is a reasonable estimate of the utilisation rate. This is because, in general, domestic investors are eligible to utilise imputation credits and foreign investors are not. We refer to this approach as the 'equity ownership approach', and we use data from the National Accounts to estimate the domestic ownership share.</w:t>
      </w:r>
      <w:r w:rsidRPr="00883125">
        <w:rPr>
          <w:rStyle w:val="FootnoteReference"/>
        </w:rPr>
        <w:footnoteReference w:id="669"/>
      </w:r>
    </w:p>
    <w:p w:rsidR="00C52695" w:rsidRPr="00883125" w:rsidRDefault="00C52695" w:rsidP="00C52695">
      <w:pPr>
        <w:numPr>
          <w:ilvl w:val="0"/>
          <w:numId w:val="24"/>
        </w:numPr>
      </w:pPr>
      <w:r w:rsidRPr="00883125">
        <w:t xml:space="preserve">Our views on the equity ownership approach to estimating the utilisation rate are set out in section </w:t>
      </w:r>
      <w:r w:rsidR="001A5B30">
        <w:fldChar w:fldCharType="begin"/>
      </w:r>
      <w:r w:rsidR="001A5B30">
        <w:instrText xml:space="preserve"> REF _Ref475439085 \r \h </w:instrText>
      </w:r>
      <w:r w:rsidR="001A5B30">
        <w:fldChar w:fldCharType="separate"/>
      </w:r>
      <w:r w:rsidR="007E3457">
        <w:t>4.4</w:t>
      </w:r>
      <w:r w:rsidR="001A5B30">
        <w:fldChar w:fldCharType="end"/>
      </w:r>
      <w:r w:rsidRPr="00883125">
        <w:t xml:space="preserve"> of attachment 4. In this section, we provide further detail on our application of the approach. We also compare our assessment of the approach in this </w:t>
      </w:r>
      <w:r w:rsidR="00830AD2">
        <w:t>draft</w:t>
      </w:r>
      <w:r w:rsidR="00022C1D">
        <w:t xml:space="preserve"> </w:t>
      </w:r>
      <w:r w:rsidRPr="00883125">
        <w:t>decision with our assessment in the Guideline.</w:t>
      </w:r>
    </w:p>
    <w:p w:rsidR="00C52695" w:rsidRPr="00883125" w:rsidRDefault="00C52695" w:rsidP="00C52695">
      <w:pPr>
        <w:numPr>
          <w:ilvl w:val="0"/>
          <w:numId w:val="24"/>
        </w:numPr>
      </w:pPr>
      <w:r w:rsidRPr="00883125">
        <w:t xml:space="preserve">We place significant reliance on the equity ownership approach for the reasons set out in section </w:t>
      </w:r>
      <w:r w:rsidR="001A5B30">
        <w:fldChar w:fldCharType="begin"/>
      </w:r>
      <w:r w:rsidR="001A5B30">
        <w:instrText xml:space="preserve"> REF _Ref475439085 \r \h </w:instrText>
      </w:r>
      <w:r w:rsidR="001A5B30">
        <w:fldChar w:fldCharType="separate"/>
      </w:r>
      <w:r w:rsidR="007E3457">
        <w:t>4.4</w:t>
      </w:r>
      <w:r w:rsidR="001A5B30">
        <w:fldChar w:fldCharType="end"/>
      </w:r>
      <w:r w:rsidRPr="00883125">
        <w:t xml:space="preserve"> of attachment 4. We have regard also to the limitations of this approach, but we do not consider them significant:</w:t>
      </w:r>
    </w:p>
    <w:p w:rsidR="00C52695" w:rsidRPr="001D37D5" w:rsidRDefault="00C52695" w:rsidP="00C52695">
      <w:pPr>
        <w:pStyle w:val="AERbulletlistfirststyle"/>
      </w:pPr>
      <w:r w:rsidRPr="00883125">
        <w:t xml:space="preserve">The approach does not take into account the effect of the 45-day holding rule (or any other rules that can affect the eligibility of domestic investors to claim imputation credits). However, as discussed in section </w:t>
      </w:r>
      <w:r w:rsidRPr="001D37D5">
        <w:fldChar w:fldCharType="begin"/>
      </w:r>
      <w:r w:rsidRPr="001D37D5">
        <w:instrText xml:space="preserve"> REF _Ref414099389 \r \h </w:instrText>
      </w:r>
      <w:r w:rsidRPr="001D37D5">
        <w:fldChar w:fldCharType="separate"/>
      </w:r>
      <w:r w:rsidR="007E3457">
        <w:t>A.8.3</w:t>
      </w:r>
      <w:r w:rsidRPr="001D37D5">
        <w:fldChar w:fldCharType="end"/>
      </w:r>
      <w:r w:rsidRPr="001D37D5">
        <w:t>, we do not consider that there is clear evidence as to effect that these rules have or should be expected to have. Moreover, we consider that the most relevant evidence on the effect of these rules suggest that they have a negligible effect.</w:t>
      </w:r>
    </w:p>
    <w:p w:rsidR="00C52695" w:rsidRPr="001D37D5" w:rsidRDefault="00C52695" w:rsidP="00C52695">
      <w:pPr>
        <w:pStyle w:val="AERbulletlistfirststyle"/>
      </w:pPr>
      <w:r w:rsidRPr="00883125">
        <w:t>The approach allows investors' utilisation rates to be weighted by wealth, but not by risk aversion, as required by the definition of the utilisation rate in the Monkhouse framework.  However, we do not consider that we can feasibly weight our estimates in this regard, as this would require specific calculations or assumptions regarding the portfolios and risk preferences of individuals or classes of investors. Moreover, neither Handley nor Lally identified the inability to weight by risk aversion as an unacceptable limitation of the approach.</w:t>
      </w:r>
      <w:r w:rsidRPr="001D37D5">
        <w:rPr>
          <w:rStyle w:val="FootnoteReference"/>
        </w:rPr>
        <w:footnoteReference w:id="670"/>
      </w:r>
    </w:p>
    <w:p w:rsidR="00C52695" w:rsidRDefault="00C52695" w:rsidP="00C52695">
      <w:pPr>
        <w:numPr>
          <w:ilvl w:val="0"/>
          <w:numId w:val="24"/>
        </w:numPr>
      </w:pPr>
      <w:r>
        <w:t>Lally considers the utilisation value is a weighted average over the utilisation rates for investors, equal to 1 for those who are eligible to use the credits and zero otherwise.</w:t>
      </w:r>
      <w:r>
        <w:rPr>
          <w:rStyle w:val="FootnoteReference"/>
        </w:rPr>
        <w:footnoteReference w:id="671"/>
      </w:r>
      <w:r>
        <w:t xml:space="preserve"> This is consistent with our equity ownership approach.</w:t>
      </w:r>
      <w:r>
        <w:rPr>
          <w:rStyle w:val="FootnoteReference"/>
        </w:rPr>
        <w:footnoteReference w:id="672"/>
      </w:r>
    </w:p>
    <w:p w:rsidR="00C52695" w:rsidRPr="00883125" w:rsidRDefault="00C52695" w:rsidP="00C52695">
      <w:pPr>
        <w:numPr>
          <w:ilvl w:val="0"/>
          <w:numId w:val="24"/>
        </w:numPr>
      </w:pPr>
      <w:r w:rsidRPr="00883125">
        <w:t>We consider that a reasonable estimate for the utilisation rate from the equity ownership approach is between:</w:t>
      </w:r>
    </w:p>
    <w:p w:rsidR="00C52695" w:rsidRPr="00883125" w:rsidRDefault="00C52695" w:rsidP="00C52695">
      <w:pPr>
        <w:pStyle w:val="AERbulletlistfirststyle"/>
      </w:pPr>
      <w:r w:rsidRPr="00883125">
        <w:t>0.56 and 0.68, if all equity is considered, and</w:t>
      </w:r>
    </w:p>
    <w:p w:rsidR="00C52695" w:rsidRPr="00883125" w:rsidRDefault="00C52695" w:rsidP="00C52695">
      <w:pPr>
        <w:pStyle w:val="AERbulletlistfirststyle"/>
      </w:pPr>
      <w:r w:rsidRPr="00883125">
        <w:t>0.38 and 0.55, if only listed equity is considered.</w:t>
      </w:r>
    </w:p>
    <w:p w:rsidR="00C52695" w:rsidRPr="00883125" w:rsidRDefault="00C52695" w:rsidP="00C52695">
      <w:pPr>
        <w:numPr>
          <w:ilvl w:val="0"/>
          <w:numId w:val="24"/>
        </w:numPr>
      </w:pPr>
      <w:r w:rsidRPr="00883125">
        <w:t>In the Guideline, we considered that the equity ownership approach supported a utilisation rate between 0.7 and 0.8. This range was based on:</w:t>
      </w:r>
    </w:p>
    <w:p w:rsidR="00C52695" w:rsidRPr="001D37D5" w:rsidRDefault="00C52695" w:rsidP="00C52695">
      <w:pPr>
        <w:pStyle w:val="AERbulletlistfirststyle"/>
      </w:pPr>
      <w:r w:rsidRPr="00883125">
        <w:t>A 2007 feature article by the ABS, in which it was estimated using data from the National Accounts that domestic investors held 71 per cent of Australian equity.</w:t>
      </w:r>
      <w:r w:rsidRPr="001D37D5">
        <w:rPr>
          <w:rStyle w:val="FootnoteReference"/>
        </w:rPr>
        <w:footnoteReference w:id="673"/>
      </w:r>
    </w:p>
    <w:p w:rsidR="00C52695" w:rsidRPr="001D37D5" w:rsidRDefault="00C52695" w:rsidP="00C52695">
      <w:pPr>
        <w:pStyle w:val="AERbulletlistfirststyle"/>
      </w:pPr>
      <w:r w:rsidRPr="00883125">
        <w:t>A graph in a September 2013 report by Hathaway, which suggested that the domestic ownership share of Australian equity had fluctuated between 75 and 81 per cent over the period 1988 to 2012.</w:t>
      </w:r>
      <w:r w:rsidRPr="001D37D5">
        <w:rPr>
          <w:rStyle w:val="FootnoteReference"/>
        </w:rPr>
        <w:footnoteReference w:id="674"/>
      </w:r>
      <w:r w:rsidRPr="001D37D5">
        <w:t xml:space="preserve"> The data underlying this graph also came from the National Accounts.</w:t>
      </w:r>
    </w:p>
    <w:p w:rsidR="00C52695" w:rsidRPr="00883125" w:rsidRDefault="00C52695" w:rsidP="00C52695">
      <w:r w:rsidRPr="00883125">
        <w:t xml:space="preserve">Since the Guideline's publication, we have examined more closely the relevant data from the National Accounts. This has allowed us to update and refine our estimates. Moreover, we now express estimates for both all equity and only listed equity, consistent with the approach set out in section </w:t>
      </w:r>
      <w:r>
        <w:fldChar w:fldCharType="begin"/>
      </w:r>
      <w:r>
        <w:instrText xml:space="preserve"> REF _Ref451790065 \r \h </w:instrText>
      </w:r>
      <w:r>
        <w:fldChar w:fldCharType="separate"/>
      </w:r>
      <w:r w:rsidR="007E3457">
        <w:t>A.9</w:t>
      </w:r>
      <w:r>
        <w:fldChar w:fldCharType="end"/>
      </w:r>
      <w:r>
        <w:t xml:space="preserve"> and </w:t>
      </w:r>
      <w:r>
        <w:fldChar w:fldCharType="begin"/>
      </w:r>
      <w:r>
        <w:instrText xml:space="preserve"> REF _Ref401133206 \r \h </w:instrText>
      </w:r>
      <w:r>
        <w:fldChar w:fldCharType="separate"/>
      </w:r>
      <w:r w:rsidR="007E3457">
        <w:t>A.10</w:t>
      </w:r>
      <w:r>
        <w:fldChar w:fldCharType="end"/>
      </w:r>
      <w:r w:rsidRPr="00883125">
        <w:t>.</w:t>
      </w:r>
    </w:p>
    <w:p w:rsidR="00C52695" w:rsidRPr="00883125" w:rsidRDefault="00C52695" w:rsidP="00C52695">
      <w:pPr>
        <w:numPr>
          <w:ilvl w:val="0"/>
          <w:numId w:val="24"/>
        </w:numPr>
      </w:pPr>
      <w:r w:rsidRPr="00883125">
        <w:t>We consider that the equity ownership approach can be refined by filtering the National Accounts data to focus on the types of equity that we consider most relevant to the benchmark entity, and the specific classes of investor that are expected to either utilise or waste the imputation credits they receive. That is, we can:</w:t>
      </w:r>
    </w:p>
    <w:p w:rsidR="00C52695" w:rsidRPr="00883125" w:rsidRDefault="00C52695" w:rsidP="00C52695">
      <w:pPr>
        <w:pStyle w:val="AERbulletlistfirststyle"/>
      </w:pPr>
      <w:r w:rsidRPr="00883125">
        <w:t>Exclude from the calculation equity in entities that are wholly owned by the public sector. In the National Accounts, this is equity issued by the 'central bank', 'central borrowing authorities' and 'public non-financial corporations'.</w:t>
      </w:r>
    </w:p>
    <w:p w:rsidR="00C52695" w:rsidRPr="001D37D5" w:rsidRDefault="00C52695" w:rsidP="00C52695">
      <w:pPr>
        <w:pStyle w:val="AERbulletlistfirststyle"/>
      </w:pPr>
      <w:r w:rsidRPr="00AC2168">
        <w:t xml:space="preserve">Calculate the equity held by those classes of investor that are eligible to utilise imputation credits as a share of the equity held by all classes of investor that either utilise or waste credits. In the National Accounts, this is calculated as the equity held by 'households', 'pension funds' and 'life insurance corporations' as a share of the equity held by these classes plus 'rest of world'. In the draft decisions released in 2014, our calculation of the refined domestic ownership share effectively assumed that governments 'wasted' the imputation credits they received. We noted in the draft decisions that there was no clear case for making this assumption. In this </w:t>
      </w:r>
      <w:r w:rsidR="00C42924">
        <w:t>draft</w:t>
      </w:r>
      <w:r w:rsidR="00022C1D">
        <w:t xml:space="preserve"> </w:t>
      </w:r>
      <w:r w:rsidRPr="00AC2168">
        <w:t xml:space="preserve">decision, consistent with the approach we took for the decisions we released in </w:t>
      </w:r>
      <w:r>
        <w:t>2015 (</w:t>
      </w:r>
      <w:r w:rsidRPr="00AC2168">
        <w:t>October</w:t>
      </w:r>
      <w:r>
        <w:t xml:space="preserve"> and </w:t>
      </w:r>
      <w:r w:rsidRPr="00AC2168">
        <w:t>November</w:t>
      </w:r>
      <w:r>
        <w:t>)</w:t>
      </w:r>
      <w:r w:rsidR="00C42924">
        <w:t>,</w:t>
      </w:r>
      <w:r>
        <w:t xml:space="preserve"> 2016 (May</w:t>
      </w:r>
      <w:r w:rsidR="00FE3642">
        <w:t xml:space="preserve"> and September</w:t>
      </w:r>
      <w:r>
        <w:t>)</w:t>
      </w:r>
      <w:r w:rsidR="00C42924">
        <w:t xml:space="preserve"> and 2017 (April),</w:t>
      </w:r>
      <w:r w:rsidRPr="00AC2168">
        <w:t xml:space="preserve"> we exclude government-held equity from the calculation of the refined domestic ownership share. This is because the value of imputation credits forms part of our determination of the rate of return required by private investors in the benchmark efficient entity.</w:t>
      </w:r>
      <w:r w:rsidRPr="001D37D5">
        <w:rPr>
          <w:rStyle w:val="FootnoteReference"/>
        </w:rPr>
        <w:footnoteReference w:id="675"/>
      </w:r>
      <w:r w:rsidRPr="001D37D5">
        <w:t xml:space="preserve"> In doing this we are estimating market-wide utilisation rates (for both listed and all equity) reflective of the capital invested by private investors. We do not consider this is inconsistent with other parameter estimates used for estimating the WACC and consider this will lead to an overall return that should lead to efficient i</w:t>
      </w:r>
      <w:r w:rsidR="00FE3642">
        <w:t>nvestment in regulated assets.</w:t>
      </w:r>
    </w:p>
    <w:p w:rsidR="00C52695" w:rsidRDefault="00C52695" w:rsidP="00C52695">
      <w:pPr>
        <w:numPr>
          <w:ilvl w:val="0"/>
          <w:numId w:val="24"/>
        </w:numPr>
      </w:pPr>
      <w:r w:rsidRPr="00883125">
        <w:t xml:space="preserve">The </w:t>
      </w:r>
      <w:r>
        <w:t>service providers</w:t>
      </w:r>
      <w:r w:rsidRPr="00883125">
        <w:t xml:space="preserve"> have submitted that </w:t>
      </w:r>
      <w:r>
        <w:t>our</w:t>
      </w:r>
      <w:r w:rsidRPr="00883125">
        <w:t xml:space="preserve"> refinement of the data may not be complete as it is limited by the coarseness of the data and that there are a number of concerns with the quality of the data as documented by the ABS.</w:t>
      </w:r>
      <w:r w:rsidRPr="00883125">
        <w:rPr>
          <w:rStyle w:val="FootnoteReference"/>
        </w:rPr>
        <w:footnoteReference w:id="676"/>
      </w:r>
      <w:r w:rsidRPr="00883125">
        <w:t xml:space="preserve"> </w:t>
      </w:r>
      <w:r>
        <w:t xml:space="preserve">Further, </w:t>
      </w:r>
      <w:r w:rsidR="00A91911">
        <w:t>Frontier</w:t>
      </w:r>
      <w:r>
        <w:t xml:space="preserve"> considers that if the redemption rate is to be estimated as a market-wide parameter, then all of the credits in the market should be considered and not just a subset of the market.</w:t>
      </w:r>
      <w:r>
        <w:rPr>
          <w:rStyle w:val="FootnoteReference"/>
        </w:rPr>
        <w:footnoteReference w:id="677"/>
      </w:r>
      <w:r>
        <w:t xml:space="preserve"> Frontier considers the AER's equity ownership rate is neither a market wide nor a firm specific estimate.</w:t>
      </w:r>
      <w:r>
        <w:rPr>
          <w:rStyle w:val="FootnoteReference"/>
        </w:rPr>
        <w:footnoteReference w:id="678"/>
      </w:r>
    </w:p>
    <w:p w:rsidR="00C52695" w:rsidRPr="00883125" w:rsidRDefault="00C52695" w:rsidP="00C52695">
      <w:pPr>
        <w:numPr>
          <w:ilvl w:val="0"/>
          <w:numId w:val="24"/>
        </w:numPr>
      </w:pPr>
      <w:r>
        <w:t>First</w:t>
      </w:r>
      <w:r w:rsidRPr="00883125">
        <w:t xml:space="preserve">, </w:t>
      </w:r>
      <w:r>
        <w:t>we</w:t>
      </w:r>
      <w:r w:rsidRPr="00883125">
        <w:t xml:space="preserve"> do not consider that the data limitations that may exist in all datasets is a valid reason not to refine data. </w:t>
      </w:r>
      <w:r>
        <w:t>We</w:t>
      </w:r>
      <w:r w:rsidRPr="00883125">
        <w:t xml:space="preserve"> consider there are valid reasons to refine the ABS data. </w:t>
      </w:r>
      <w:r>
        <w:t>Second, i</w:t>
      </w:r>
      <w:r w:rsidRPr="00883125">
        <w:t xml:space="preserve">t should be noted that </w:t>
      </w:r>
      <w:r>
        <w:t>our</w:t>
      </w:r>
      <w:r w:rsidRPr="00883125">
        <w:t xml:space="preserve"> approach to removing the government sector is conservative. Alternatively, </w:t>
      </w:r>
      <w:r>
        <w:t>we</w:t>
      </w:r>
      <w:r w:rsidRPr="00883125">
        <w:t xml:space="preserve"> could have assumed the government sector has a utilisation value of 1 given this equity is Australian owned.</w:t>
      </w:r>
    </w:p>
    <w:p w:rsidR="00C52695" w:rsidRPr="00883125" w:rsidRDefault="00C52695" w:rsidP="00C52695">
      <w:pPr>
        <w:numPr>
          <w:ilvl w:val="0"/>
          <w:numId w:val="24"/>
        </w:numPr>
      </w:pPr>
      <w:r w:rsidRPr="00883125">
        <w:t xml:space="preserve">Further, </w:t>
      </w:r>
      <w:r>
        <w:t xml:space="preserve">we </w:t>
      </w:r>
      <w:r w:rsidRPr="00883125">
        <w:t xml:space="preserve">do not consider the refinement of the ABS data is what drives the difference between the equity ownership approach and taxation statistics. </w:t>
      </w:r>
      <w:r>
        <w:t>We</w:t>
      </w:r>
      <w:r w:rsidRPr="00883125">
        <w:t xml:space="preserve"> consider the difference is primarily driven by data issues with taxation statics and other issues. This is further discussed in section </w:t>
      </w:r>
      <w:r w:rsidRPr="00883125">
        <w:fldChar w:fldCharType="begin"/>
      </w:r>
      <w:r w:rsidRPr="00883125">
        <w:instrText xml:space="preserve"> REF _Ref450299464 \r \h </w:instrText>
      </w:r>
      <w:r w:rsidRPr="00883125">
        <w:fldChar w:fldCharType="separate"/>
      </w:r>
      <w:r w:rsidR="007E3457">
        <w:t>A.14</w:t>
      </w:r>
      <w:r w:rsidRPr="00883125">
        <w:fldChar w:fldCharType="end"/>
      </w:r>
      <w:r w:rsidRPr="00883125">
        <w:t>.</w:t>
      </w:r>
    </w:p>
    <w:p w:rsidR="00C52695" w:rsidRPr="00883125" w:rsidRDefault="00C52695" w:rsidP="00C52695">
      <w:pPr>
        <w:numPr>
          <w:ilvl w:val="0"/>
          <w:numId w:val="24"/>
        </w:numPr>
      </w:pPr>
      <w:r w:rsidRPr="00883125">
        <w:t xml:space="preserve">Our estimate ranges in this </w:t>
      </w:r>
      <w:r w:rsidR="006A327F">
        <w:t>draft</w:t>
      </w:r>
      <w:r w:rsidR="003819D6">
        <w:t xml:space="preserve"> </w:t>
      </w:r>
      <w:r w:rsidRPr="00883125">
        <w:t>decision differ from the corresponding ranges in the draft decisions released in 2014. These changes in part reflect the views of service providers, Gray (for SFG) and Handley. We discuss our consideration of these views below.</w:t>
      </w:r>
    </w:p>
    <w:p w:rsidR="00C52695" w:rsidRPr="00883125" w:rsidRDefault="00C52695" w:rsidP="00C52695">
      <w:r w:rsidRPr="00883125">
        <w:t>A number of service providers have submitted that we erred in our earlier decisions because:</w:t>
      </w:r>
      <w:r w:rsidRPr="00883125">
        <w:rPr>
          <w:rStyle w:val="FootnoteReference"/>
        </w:rPr>
        <w:footnoteReference w:id="679"/>
      </w:r>
    </w:p>
    <w:p w:rsidR="00C52695" w:rsidRPr="00883125" w:rsidRDefault="00C52695" w:rsidP="00C52695">
      <w:pPr>
        <w:pStyle w:val="AERquote"/>
      </w:pPr>
      <w:r w:rsidRPr="00883125">
        <w:t>…the ranges used by the AER for the equity ownership rate are inconsistent with the evidence in the Draft Decision.</w:t>
      </w:r>
    </w:p>
    <w:p w:rsidR="00C52695" w:rsidRPr="00883125" w:rsidRDefault="00C52695" w:rsidP="00C52695">
      <w:r w:rsidRPr="00883125">
        <w:t>The service providers then referred to the data presented in the draft decisions released in 2014 on the refined domestic ownership share (figures 4.4 and 4.5 of the draft decisions). However, as indicated in the draft decisions, our estimates were based on evidence across both the refined domestic ownership share (figures 4.4 and 4.5 of the draft decisions) and simple domestic ownership share (figures 4.2 and 4.3 of the draft decisions).</w:t>
      </w:r>
    </w:p>
    <w:p w:rsidR="00C52695" w:rsidRPr="00883125" w:rsidRDefault="00C52695" w:rsidP="00C52695">
      <w:r w:rsidRPr="00883125">
        <w:t>In his recent advice, Handley advised that, although it is reasonable to rely on both the simple and refined domestic ownership share, 'the refined share should (subject to the limitations in the data) be more relevant by construction'.</w:t>
      </w:r>
      <w:r w:rsidRPr="00883125">
        <w:rPr>
          <w:rStyle w:val="FootnoteReference"/>
        </w:rPr>
        <w:footnoteReference w:id="680"/>
      </w:r>
      <w:r w:rsidRPr="00883125">
        <w:t xml:space="preserve"> Accordingly, as we did in the decisions released in 2015</w:t>
      </w:r>
      <w:r>
        <w:t xml:space="preserve"> (</w:t>
      </w:r>
      <w:r w:rsidRPr="00883125">
        <w:t>April, June, October and November</w:t>
      </w:r>
      <w:r>
        <w:t>)</w:t>
      </w:r>
      <w:r w:rsidR="006A327F">
        <w:t>,</w:t>
      </w:r>
      <w:r>
        <w:t xml:space="preserve"> 2016 (May</w:t>
      </w:r>
      <w:r w:rsidR="00E4076C">
        <w:t xml:space="preserve">, </w:t>
      </w:r>
      <w:r w:rsidR="00BF1C4B">
        <w:t xml:space="preserve">July </w:t>
      </w:r>
      <w:r w:rsidR="00E4076C">
        <w:t>and September</w:t>
      </w:r>
      <w:r>
        <w:t>)</w:t>
      </w:r>
      <w:r w:rsidR="006A327F">
        <w:t xml:space="preserve"> and 2017 (April),</w:t>
      </w:r>
      <w:r w:rsidRPr="00883125">
        <w:t xml:space="preserve"> in this </w:t>
      </w:r>
      <w:r w:rsidR="006A327F">
        <w:t>draft</w:t>
      </w:r>
      <w:r w:rsidR="003F15A6" w:rsidRPr="00883125">
        <w:t xml:space="preserve"> </w:t>
      </w:r>
      <w:r w:rsidRPr="00883125">
        <w:t>decision we rely only on the refined domestic ownership share.</w:t>
      </w:r>
    </w:p>
    <w:p w:rsidR="00C52695" w:rsidRDefault="00C52695" w:rsidP="00C52695">
      <w:r w:rsidRPr="00883125">
        <w:t>Service providers have also submitted that only the most recent point estimates of the equity ownership share are relevant.</w:t>
      </w:r>
      <w:r w:rsidRPr="00883125">
        <w:rPr>
          <w:rStyle w:val="FootnoteReference"/>
        </w:rPr>
        <w:footnoteReference w:id="681"/>
      </w:r>
      <w:r w:rsidRPr="00883125">
        <w:t xml:space="preserve"> </w:t>
      </w:r>
      <w:r>
        <w:t>Frontier, also considers that the prevailing rate for equity ownership should be used.</w:t>
      </w:r>
      <w:r>
        <w:rPr>
          <w:rStyle w:val="FootnoteReference"/>
        </w:rPr>
        <w:footnoteReference w:id="682"/>
      </w:r>
    </w:p>
    <w:p w:rsidR="00C52695" w:rsidRPr="00883125" w:rsidRDefault="00C52695" w:rsidP="00C52695">
      <w:r>
        <w:t>However, w</w:t>
      </w:r>
      <w:r w:rsidRPr="00883125">
        <w:t>e disagree. Given that the series exhibits considerable volatility, we think it is reasonable to not rely solely on the most recent point estimate. Handley supported this view:</w:t>
      </w:r>
      <w:r w:rsidRPr="00883125">
        <w:rPr>
          <w:rStyle w:val="FootnoteReference"/>
        </w:rPr>
        <w:footnoteReference w:id="683"/>
      </w:r>
    </w:p>
    <w:p w:rsidR="00C52695" w:rsidRPr="00883125" w:rsidRDefault="00C52695" w:rsidP="00C52695">
      <w:pPr>
        <w:pStyle w:val="AERquote"/>
      </w:pPr>
      <w:r w:rsidRPr="00883125">
        <w:t>Referring to the refined data, it is apparent that there is substantial volatility in the reported ABS estimates over time. There are also residual issues with the ABS data. This suggests that more than just the most recent estimates should be taken into consideration, although the length of period to be considered is open to judgment.</w:t>
      </w:r>
    </w:p>
    <w:p w:rsidR="00C52695" w:rsidRDefault="00C52695" w:rsidP="00C52695">
      <w:r>
        <w:t>Frontier, considers that there is insufficient support for the upper bound of the range for listed equity (0.6) and for all equity (0.7) for the equity ownership approach ranges we adopted.</w:t>
      </w:r>
      <w:r>
        <w:rPr>
          <w:rStyle w:val="FootnoteReference"/>
        </w:rPr>
        <w:footnoteReference w:id="684"/>
      </w:r>
      <w:r>
        <w:t xml:space="preserve"> However, as outlined in </w:t>
      </w:r>
      <w:r>
        <w:fldChar w:fldCharType="begin"/>
      </w:r>
      <w:r>
        <w:instrText xml:space="preserve"> REF _Ref414273399 \h </w:instrText>
      </w:r>
      <w:r>
        <w:fldChar w:fldCharType="separate"/>
      </w:r>
      <w:r w:rsidR="007E3457" w:rsidRPr="00883125">
        <w:t xml:space="preserve">Figure </w:t>
      </w:r>
      <w:r w:rsidR="007E3457">
        <w:rPr>
          <w:noProof/>
        </w:rPr>
        <w:t>4</w:t>
      </w:r>
      <w:r w:rsidR="007E3457" w:rsidRPr="00883125">
        <w:t>.</w:t>
      </w:r>
      <w:r w:rsidR="007E3457">
        <w:rPr>
          <w:noProof/>
        </w:rPr>
        <w:t>3</w:t>
      </w:r>
      <w:r>
        <w:fldChar w:fldCharType="end"/>
      </w:r>
      <w:r>
        <w:t>, the upper estimate of the range we relied upon is 0.55 for listed equity and 0.68 for all equity.</w:t>
      </w:r>
    </w:p>
    <w:p w:rsidR="00C52695" w:rsidRDefault="00C52695" w:rsidP="00C52695">
      <w:r>
        <w:t>In determining whether to use the current value of equity ownership or a historical average, Lally considers that it depends on whether the series is following a random walk or mean reversion.</w:t>
      </w:r>
      <w:r>
        <w:rPr>
          <w:rStyle w:val="FootnoteReference"/>
        </w:rPr>
        <w:footnoteReference w:id="685"/>
      </w:r>
      <w:r>
        <w:t xml:space="preserve"> Lally does not concluded whether the series is mean reverting or not and states the current observation are not unusually high or low. He suggests that even if the series are mean reverting, a reasonable point estimate for the next five years would still be approximately the latest values.</w:t>
      </w:r>
      <w:r>
        <w:rPr>
          <w:rStyle w:val="FootnoteReference"/>
        </w:rPr>
        <w:footnoteReference w:id="686"/>
      </w:r>
      <w:r>
        <w:t xml:space="preserve"> We note that Lally uses the current equity ownership rate of all equity to estimate an utilisation value of at least 0.6. In contrast we assess the utilisation value for all equity using the lowest point of the range over the last 15 years. As a result, for the equity ownership approach for all equity our approach of using a value towards the bottom end of the range is conservative relative to Lally's use of a value of around the current estimate.</w:t>
      </w:r>
    </w:p>
    <w:p w:rsidR="00C52695" w:rsidRPr="00883125" w:rsidRDefault="00C52695" w:rsidP="00C52695">
      <w:r w:rsidRPr="00883125">
        <w:t>On Handley's point regarding the length of period to considered, we agree with Gray's view (for SFG) that:</w:t>
      </w:r>
      <w:r w:rsidRPr="00883125">
        <w:rPr>
          <w:rStyle w:val="FootnoteReference"/>
        </w:rPr>
        <w:footnoteReference w:id="687"/>
      </w:r>
    </w:p>
    <w:p w:rsidR="00C52695" w:rsidRPr="00883125" w:rsidRDefault="00C52695" w:rsidP="00C52695">
      <w:pPr>
        <w:pStyle w:val="AERquote"/>
      </w:pPr>
      <w:r w:rsidRPr="00883125">
        <w:t>It is not clear why estimates of what the domestic equity ownership proportion was in the 1980s are relevant to the current determination for the forthcoming regulatory period.</w:t>
      </w:r>
    </w:p>
    <w:p w:rsidR="00C52695" w:rsidRPr="00883125" w:rsidRDefault="00C52695" w:rsidP="00C52695">
      <w:r w:rsidRPr="00883125">
        <w:t>We consider that the most relevant period to consider is that since July 2000, when eligible investors became entitled for a refund of excess credits. This accords with one of the periods Handley considered relevant.</w:t>
      </w:r>
      <w:r w:rsidRPr="00883125">
        <w:rPr>
          <w:rStyle w:val="FootnoteReference"/>
        </w:rPr>
        <w:footnoteReference w:id="688"/>
      </w:r>
      <w:r w:rsidRPr="00883125">
        <w:t xml:space="preserve"> It is also consistent with the service providers' proposed estimation of the value of distributed credits via SFG's dividend drop off study. This study employs data from July 2001 to October 2012.</w:t>
      </w:r>
    </w:p>
    <w:p w:rsidR="00C52695" w:rsidRPr="00883125" w:rsidRDefault="00C52695" w:rsidP="00C52695">
      <w:r w:rsidRPr="00883125">
        <w:t>The service providers submit that the July 2000 start date is arbitrary and that more recent events such as the GFC could provide a more appropriate start date.</w:t>
      </w:r>
      <w:r w:rsidRPr="00883125">
        <w:rPr>
          <w:rStyle w:val="FootnoteReference"/>
        </w:rPr>
        <w:footnoteReference w:id="689"/>
      </w:r>
      <w:r w:rsidRPr="00883125">
        <w:t xml:space="preserve"> However, the AER considers that the service provider have not provided any evidence why the GFC would result in a structural change in the value of imputation credits. The AER considers that the 2000 tax law change is a structural change and would be expected to increase the value of imputation credits to investors. The same cannot be said about the GFC where the impact on imputation credits is unclear.</w:t>
      </w:r>
    </w:p>
    <w:p w:rsidR="00C52695" w:rsidRPr="00883125" w:rsidRDefault="00C52695" w:rsidP="00C52695">
      <w:pPr>
        <w:rPr>
          <w:rStyle w:val="AERbody"/>
        </w:rPr>
      </w:pPr>
      <w:r w:rsidRPr="00883125">
        <w:rPr>
          <w:rStyle w:val="AERbody"/>
        </w:rPr>
        <w:t>Gray (for Frontier) submitted that we are incorrect to exclude from the equity ownership calculation entities that are wholly owned by the public sector and to the extent we exclude them theta will be upward biased.</w:t>
      </w:r>
      <w:r w:rsidRPr="00883125">
        <w:rPr>
          <w:rStyle w:val="FootnoteReference"/>
        </w:rPr>
        <w:footnoteReference w:id="690"/>
      </w:r>
      <w:r w:rsidRPr="00883125">
        <w:rPr>
          <w:rStyle w:val="AERbody"/>
        </w:rPr>
        <w:t xml:space="preserve"> We disagree for the reasons stated above as set out in our April and June 2015 decisions. We consider that the Vanilla WACC framework as embedded in the rules is aimed at ensuring private investors are fairly compensated. This should ensure efficient investment and use of regulated network infrastructure. We consider an estimate of gamma reduced due to government entities being assumed to not red</w:t>
      </w:r>
      <w:r w:rsidR="001453E4">
        <w:rPr>
          <w:rStyle w:val="AERbody"/>
        </w:rPr>
        <w:t>eem credits is not appropriate.</w:t>
      </w:r>
    </w:p>
    <w:p w:rsidR="00C52695" w:rsidRDefault="00413BA1" w:rsidP="00C52695">
      <w:r>
        <w:rPr>
          <w:rStyle w:val="AERbody"/>
        </w:rPr>
        <w:t>T</w:t>
      </w:r>
      <w:r w:rsidRPr="00883125">
        <w:rPr>
          <w:rStyle w:val="AERbody"/>
        </w:rPr>
        <w:t xml:space="preserve">he </w:t>
      </w:r>
      <w:r>
        <w:rPr>
          <w:rStyle w:val="AERbody"/>
        </w:rPr>
        <w:t xml:space="preserve">Ausgrid </w:t>
      </w:r>
      <w:r w:rsidR="00C52695" w:rsidRPr="00883125">
        <w:rPr>
          <w:rStyle w:val="AERbody"/>
        </w:rPr>
        <w:t xml:space="preserve">Tribunal </w:t>
      </w:r>
      <w:r w:rsidR="00C52695">
        <w:rPr>
          <w:rStyle w:val="AERbody"/>
        </w:rPr>
        <w:t xml:space="preserve">in its decision handed down on 26 February 2016 </w:t>
      </w:r>
      <w:r w:rsidR="00C52695" w:rsidRPr="00883125">
        <w:rPr>
          <w:rStyle w:val="AERbody"/>
        </w:rPr>
        <w:t xml:space="preserve">found that the </w:t>
      </w:r>
      <w:r w:rsidR="00C52695" w:rsidRPr="00883125">
        <w:t>equity ownership approach overstates the redemption rates and would only be useful as a further check on other estimates.</w:t>
      </w:r>
      <w:r w:rsidR="00C52695" w:rsidRPr="00883125">
        <w:rPr>
          <w:rStyle w:val="FootnoteReference"/>
        </w:rPr>
        <w:footnoteReference w:id="691"/>
      </w:r>
      <w:r w:rsidR="00C52695" w:rsidRPr="00883125">
        <w:t xml:space="preserve"> In this decision the </w:t>
      </w:r>
      <w:r w:rsidR="00ED4259">
        <w:t xml:space="preserve">Ausgrid </w:t>
      </w:r>
      <w:r w:rsidR="00C52695" w:rsidRPr="00883125">
        <w:t xml:space="preserve">Tribunal also indicated that since the equity ownership approach utilisation value is higher than the </w:t>
      </w:r>
      <w:r w:rsidR="00C52695">
        <w:t xml:space="preserve">estimation of the redemption rate from </w:t>
      </w:r>
      <w:r w:rsidR="00C52695" w:rsidRPr="00883125">
        <w:t xml:space="preserve">tax statistics this implies that there are investors who </w:t>
      </w:r>
      <w:r w:rsidR="00C52695">
        <w:t>we</w:t>
      </w:r>
      <w:r w:rsidR="00C52695" w:rsidRPr="00883125">
        <w:t xml:space="preserve"> assume are eligible to redeem imputation credits but, for whatever reasons, either cannot redeem them or attribute so little value to the credits that they do not </w:t>
      </w:r>
      <w:r w:rsidR="00C52695">
        <w:t>redeem</w:t>
      </w:r>
      <w:r w:rsidR="00C52695" w:rsidRPr="00883125">
        <w:t xml:space="preserve"> them.</w:t>
      </w:r>
      <w:r w:rsidR="00C52695" w:rsidRPr="00883125">
        <w:rPr>
          <w:rStyle w:val="FootnoteReference"/>
        </w:rPr>
        <w:footnoteReference w:id="692"/>
      </w:r>
      <w:r w:rsidR="00C52695" w:rsidRPr="00883125">
        <w:t xml:space="preserve"> </w:t>
      </w:r>
      <w:r w:rsidR="00C52695">
        <w:t>We have</w:t>
      </w:r>
      <w:r w:rsidR="00C52695" w:rsidRPr="00883125">
        <w:t xml:space="preserve"> carefully considered the </w:t>
      </w:r>
      <w:r w:rsidR="00C25A56">
        <w:t xml:space="preserve">Ausgrid </w:t>
      </w:r>
      <w:r w:rsidR="00C52695" w:rsidRPr="00883125">
        <w:t xml:space="preserve">Tribunal reasoning and remain of the view that the equity ownership approach </w:t>
      </w:r>
      <w:r w:rsidR="00C52695">
        <w:t xml:space="preserve">based estimate </w:t>
      </w:r>
      <w:r w:rsidR="00C52695" w:rsidRPr="00883125">
        <w:t>can be used as a point estimate for the utilisation value.</w:t>
      </w:r>
      <w:r w:rsidR="00C52695">
        <w:t xml:space="preserve"> Lally supports this view by noting the equity ownership approach is not an upper bound on the utilisation value but an unbiased estimate.</w:t>
      </w:r>
      <w:r w:rsidR="00C52695">
        <w:rPr>
          <w:rStyle w:val="FootnoteReference"/>
        </w:rPr>
        <w:footnoteReference w:id="693"/>
      </w:r>
    </w:p>
    <w:p w:rsidR="00C52695" w:rsidRPr="00883125" w:rsidRDefault="00413BA1" w:rsidP="00C52695">
      <w:pPr>
        <w:rPr>
          <w:rStyle w:val="AERbody"/>
        </w:rPr>
      </w:pPr>
      <w:r>
        <w:t>T</w:t>
      </w:r>
      <w:r w:rsidRPr="00883125">
        <w:t xml:space="preserve">he </w:t>
      </w:r>
      <w:r>
        <w:t xml:space="preserve">Ausgrid </w:t>
      </w:r>
      <w:r w:rsidR="00C52695" w:rsidRPr="00883125">
        <w:t xml:space="preserve">Tribunal found that </w:t>
      </w:r>
      <w:r w:rsidR="00C52695">
        <w:t>we are</w:t>
      </w:r>
      <w:r w:rsidR="00C52695" w:rsidRPr="00883125">
        <w:t xml:space="preserve"> effectively redefining the utilisation value as the proportion of distributed imputation credits available for redemption, and this is inconsistent with the concept of gamma in the Office</w:t>
      </w:r>
      <w:r w:rsidR="00C52695">
        <w:t>r</w:t>
      </w:r>
      <w:r w:rsidR="00C52695" w:rsidRPr="00883125">
        <w:t xml:space="preserve"> Framework for the WACC.</w:t>
      </w:r>
      <w:r w:rsidR="00C52695" w:rsidRPr="00883125">
        <w:rPr>
          <w:rStyle w:val="FootnoteReference"/>
        </w:rPr>
        <w:footnoteReference w:id="694"/>
      </w:r>
      <w:r w:rsidR="00C52695" w:rsidRPr="00883125">
        <w:t xml:space="preserve"> </w:t>
      </w:r>
      <w:r w:rsidR="00C52695">
        <w:t xml:space="preserve">As set out in sections </w:t>
      </w:r>
      <w:r w:rsidR="00C52695">
        <w:fldChar w:fldCharType="begin"/>
      </w:r>
      <w:r w:rsidR="00C52695">
        <w:instrText xml:space="preserve"> REF _Ref415144114 \r \h </w:instrText>
      </w:r>
      <w:r w:rsidR="00C52695">
        <w:fldChar w:fldCharType="separate"/>
      </w:r>
      <w:r w:rsidR="007E3457">
        <w:t>A.5</w:t>
      </w:r>
      <w:r w:rsidR="00C52695">
        <w:fldChar w:fldCharType="end"/>
      </w:r>
      <w:r w:rsidR="00C52695">
        <w:t xml:space="preserve">, </w:t>
      </w:r>
      <w:r w:rsidR="00C52695">
        <w:fldChar w:fldCharType="begin"/>
      </w:r>
      <w:r w:rsidR="00C52695">
        <w:instrText xml:space="preserve"> REF _Ref451826492 \r \h </w:instrText>
      </w:r>
      <w:r w:rsidR="00C52695">
        <w:fldChar w:fldCharType="separate"/>
      </w:r>
      <w:r w:rsidR="007E3457">
        <w:t>A.6</w:t>
      </w:r>
      <w:r w:rsidR="00C52695">
        <w:fldChar w:fldCharType="end"/>
      </w:r>
      <w:r w:rsidR="00C52695">
        <w:t xml:space="preserve"> and </w:t>
      </w:r>
      <w:r w:rsidR="00C52695">
        <w:fldChar w:fldCharType="begin"/>
      </w:r>
      <w:r w:rsidR="00C52695">
        <w:instrText xml:space="preserve"> REF _Ref451849752 \r \h </w:instrText>
      </w:r>
      <w:r w:rsidR="00C52695">
        <w:fldChar w:fldCharType="separate"/>
      </w:r>
      <w:r w:rsidR="007E3457">
        <w:t>A.7</w:t>
      </w:r>
      <w:r w:rsidR="00C52695">
        <w:fldChar w:fldCharType="end"/>
      </w:r>
      <w:r w:rsidR="00C52695">
        <w:t>, we</w:t>
      </w:r>
      <w:r w:rsidR="00C52695" w:rsidRPr="00883125">
        <w:t xml:space="preserve"> consider </w:t>
      </w:r>
      <w:r w:rsidR="00C52695">
        <w:t>our</w:t>
      </w:r>
      <w:r w:rsidR="00C52695" w:rsidRPr="00883125">
        <w:t xml:space="preserve"> approach is consistent with the post-tax Officer Framework for the WACC. </w:t>
      </w:r>
      <w:r w:rsidR="00C52695">
        <w:t>We</w:t>
      </w:r>
      <w:r w:rsidR="00C52695" w:rsidRPr="00883125">
        <w:t xml:space="preserve"> consider the face value of imputation credits is the post</w:t>
      </w:r>
      <w:r w:rsidR="00C52695">
        <w:t>-company pre-personal</w:t>
      </w:r>
      <w:r w:rsidR="00C52695" w:rsidRPr="00883125">
        <w:t xml:space="preserve"> </w:t>
      </w:r>
      <w:r w:rsidR="00C52695">
        <w:t xml:space="preserve">tax </w:t>
      </w:r>
      <w:r w:rsidR="00C52695" w:rsidRPr="00883125">
        <w:t xml:space="preserve">value of imputation credits </w:t>
      </w:r>
      <w:r w:rsidR="00C52695">
        <w:t xml:space="preserve">distributed to eligible investors </w:t>
      </w:r>
      <w:r w:rsidR="00C52695" w:rsidRPr="00883125">
        <w:t xml:space="preserve">and reflects the cost of </w:t>
      </w:r>
      <w:r w:rsidR="00C52695">
        <w:t xml:space="preserve">these </w:t>
      </w:r>
      <w:r w:rsidR="00C52695" w:rsidRPr="00883125">
        <w:t>imputation credits to the regulated businesses</w:t>
      </w:r>
      <w:r w:rsidR="00C52695">
        <w:t xml:space="preserve">. The face value of imputation credits distributed to eligible investors also reflects </w:t>
      </w:r>
      <w:r w:rsidR="00C52695" w:rsidRPr="00883125">
        <w:t>the post</w:t>
      </w:r>
      <w:r w:rsidR="00C52695">
        <w:t xml:space="preserve">-company pre-personal </w:t>
      </w:r>
      <w:r w:rsidR="00C52695" w:rsidRPr="00883125">
        <w:t xml:space="preserve">tax value of </w:t>
      </w:r>
      <w:r w:rsidR="00C52695">
        <w:t xml:space="preserve">distributed </w:t>
      </w:r>
      <w:r w:rsidR="00C52695" w:rsidRPr="00883125">
        <w:t xml:space="preserve">imputation credits to </w:t>
      </w:r>
      <w:r w:rsidR="00C52695">
        <w:t xml:space="preserve">these </w:t>
      </w:r>
      <w:r w:rsidR="00C52695" w:rsidRPr="00883125">
        <w:t>equity investors.</w:t>
      </w:r>
      <w:r w:rsidR="00D06BBC">
        <w:t xml:space="preserve"> As note above, the Full Federal Court found error in the Tribunal's approach to construction of the term "the value of imputation credits" and found 'it was not an error of construction for the AER to focus on utilisation rather than on implied market value'.</w:t>
      </w:r>
      <w:r w:rsidR="00D06BBC">
        <w:rPr>
          <w:rStyle w:val="FootnoteReference"/>
        </w:rPr>
        <w:footnoteReference w:id="695"/>
      </w:r>
    </w:p>
    <w:p w:rsidR="00C52695" w:rsidRDefault="00C52695" w:rsidP="00C52695">
      <w:r w:rsidRPr="00883125">
        <w:rPr>
          <w:rStyle w:val="AERbody"/>
        </w:rPr>
        <w:t>With</w:t>
      </w:r>
      <w:r w:rsidRPr="00883125">
        <w:t xml:space="preserve"> regard to these considerations, the relevant data is shown in </w:t>
      </w:r>
      <w:r w:rsidRPr="00883125">
        <w:fldChar w:fldCharType="begin"/>
      </w:r>
      <w:r w:rsidRPr="00883125">
        <w:instrText xml:space="preserve"> REF  _Ref414273399 \* Lower \h </w:instrText>
      </w:r>
      <w:r w:rsidRPr="00883125">
        <w:fldChar w:fldCharType="separate"/>
      </w:r>
      <w:r w:rsidR="007E3457" w:rsidRPr="00883125">
        <w:t xml:space="preserve">figure </w:t>
      </w:r>
      <w:r w:rsidR="007E3457">
        <w:rPr>
          <w:noProof/>
        </w:rPr>
        <w:t>4</w:t>
      </w:r>
      <w:r w:rsidR="007E3457" w:rsidRPr="00883125">
        <w:t>.</w:t>
      </w:r>
      <w:r w:rsidR="007E3457">
        <w:rPr>
          <w:noProof/>
        </w:rPr>
        <w:t>3</w:t>
      </w:r>
      <w:r w:rsidRPr="00883125">
        <w:fldChar w:fldCharType="end"/>
      </w:r>
      <w:r w:rsidRPr="00883125">
        <w:t>.</w:t>
      </w:r>
    </w:p>
    <w:p w:rsidR="00C52695" w:rsidRPr="00883125" w:rsidRDefault="00C52695" w:rsidP="00C52695">
      <w:pPr>
        <w:pStyle w:val="Caption"/>
      </w:pPr>
      <w:bookmarkStart w:id="377" w:name="_Ref414273399"/>
      <w:r w:rsidRPr="00883125">
        <w:t xml:space="preserve">Figure </w:t>
      </w:r>
      <w:r w:rsidRPr="00B27BE5">
        <w:fldChar w:fldCharType="begin"/>
      </w:r>
      <w:r>
        <w:instrText xml:space="preserve"> STYLEREF 1 \s </w:instrText>
      </w:r>
      <w:r w:rsidRPr="00B27BE5">
        <w:fldChar w:fldCharType="separate"/>
      </w:r>
      <w:r w:rsidR="007E3457">
        <w:rPr>
          <w:noProof/>
        </w:rPr>
        <w:t>4</w:t>
      </w:r>
      <w:r w:rsidRPr="00B27BE5">
        <w:fldChar w:fldCharType="end"/>
      </w:r>
      <w:r w:rsidRPr="00883125">
        <w:t>.</w:t>
      </w:r>
      <w:r w:rsidRPr="00B27BE5">
        <w:fldChar w:fldCharType="begin"/>
      </w:r>
      <w:r>
        <w:instrText xml:space="preserve"> SEQ Figure \* ARABIC \s 1 </w:instrText>
      </w:r>
      <w:r w:rsidRPr="00B27BE5">
        <w:fldChar w:fldCharType="separate"/>
      </w:r>
      <w:r w:rsidR="007E3457">
        <w:rPr>
          <w:noProof/>
        </w:rPr>
        <w:t>3</w:t>
      </w:r>
      <w:r w:rsidRPr="00B27BE5">
        <w:fldChar w:fldCharType="end"/>
      </w:r>
      <w:bookmarkEnd w:id="377"/>
      <w:r w:rsidRPr="00883125">
        <w:tab/>
        <w:t>Refined domestic ownership share of Australian equity</w:t>
      </w:r>
    </w:p>
    <w:p w:rsidR="00037D9B" w:rsidRDefault="00037D9B" w:rsidP="00C52695">
      <w:pPr>
        <w:pStyle w:val="AERtablesource"/>
      </w:pPr>
      <w:r w:rsidRPr="00037D9B">
        <w:rPr>
          <w:noProof/>
          <w:lang w:eastAsia="en-AU"/>
        </w:rPr>
        <w:drawing>
          <wp:inline distT="0" distB="0" distL="0" distR="0" wp14:anchorId="0E5D3324" wp14:editId="287FACD1">
            <wp:extent cx="5382895" cy="3522461"/>
            <wp:effectExtent l="0" t="0" r="8255" b="1905"/>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C52695" w:rsidRPr="00883125" w:rsidRDefault="00C52695" w:rsidP="00037D9B">
      <w:pPr>
        <w:pStyle w:val="AERtablesource"/>
        <w:ind w:left="0" w:firstLine="0"/>
      </w:pPr>
      <w:r w:rsidRPr="00883125">
        <w:t xml:space="preserve">Source: </w:t>
      </w:r>
      <w:r w:rsidRPr="00883125">
        <w:tab/>
        <w:t>Australian National Accounts: Finance and Wealth (ABS cat. 5232.0), tables 47 and 48.</w:t>
      </w:r>
    </w:p>
    <w:p w:rsidR="00C52695" w:rsidRPr="00883125" w:rsidRDefault="00C52695" w:rsidP="00C52695">
      <w:r w:rsidRPr="00883125">
        <w:fldChar w:fldCharType="begin"/>
      </w:r>
      <w:r w:rsidRPr="00883125">
        <w:instrText xml:space="preserve"> REF _Ref414273399 \h </w:instrText>
      </w:r>
      <w:r w:rsidRPr="00883125">
        <w:fldChar w:fldCharType="separate"/>
      </w:r>
      <w:r w:rsidR="007E3457" w:rsidRPr="00883125">
        <w:t xml:space="preserve">Figure </w:t>
      </w:r>
      <w:r w:rsidR="007E3457">
        <w:rPr>
          <w:noProof/>
        </w:rPr>
        <w:t>4</w:t>
      </w:r>
      <w:r w:rsidR="007E3457" w:rsidRPr="00883125">
        <w:t>.</w:t>
      </w:r>
      <w:r w:rsidR="007E3457">
        <w:rPr>
          <w:noProof/>
        </w:rPr>
        <w:t>3</w:t>
      </w:r>
      <w:r w:rsidRPr="00883125">
        <w:fldChar w:fldCharType="end"/>
      </w:r>
      <w:r w:rsidRPr="00883125">
        <w:t xml:space="preserve"> indicates that the refined domestic ownership share of total equity has ranged from 0.56 to 0.68 over the relevant period, while the refined domestic ownership share of only listed equity has ranged from 0.38 to 0.55.</w:t>
      </w:r>
    </w:p>
    <w:p w:rsidR="00C52695" w:rsidRPr="00883125" w:rsidRDefault="00C52695" w:rsidP="00C52695">
      <w:pPr>
        <w:pStyle w:val="Heading8"/>
      </w:pPr>
      <w:bookmarkStart w:id="378" w:name="_Ref402179420"/>
      <w:bookmarkStart w:id="379" w:name="_Toc436049454"/>
      <w:bookmarkStart w:id="380" w:name="_Toc451842260"/>
      <w:bookmarkStart w:id="381" w:name="_Toc451938314"/>
      <w:bookmarkStart w:id="382" w:name="_Toc456614333"/>
      <w:bookmarkStart w:id="383" w:name="_Toc462823339"/>
      <w:bookmarkStart w:id="384" w:name="_Toc487014094"/>
      <w:r w:rsidRPr="00883125">
        <w:t>Tax statistics</w:t>
      </w:r>
      <w:bookmarkEnd w:id="378"/>
      <w:bookmarkEnd w:id="379"/>
      <w:bookmarkEnd w:id="380"/>
      <w:bookmarkEnd w:id="381"/>
      <w:bookmarkEnd w:id="382"/>
      <w:bookmarkEnd w:id="383"/>
      <w:bookmarkEnd w:id="384"/>
    </w:p>
    <w:p w:rsidR="00C52695" w:rsidRPr="00883125" w:rsidRDefault="00C52695" w:rsidP="00C52695">
      <w:pPr>
        <w:numPr>
          <w:ilvl w:val="0"/>
          <w:numId w:val="24"/>
        </w:numPr>
      </w:pPr>
      <w:r w:rsidRPr="00883125">
        <w:t>The ATO publishes aggregate statistics on the tax returns submitted by individuals, superannuation funds and companies, as well as on the imputation credits refunded to certain income tax exempt entities (for example, charities).</w:t>
      </w:r>
      <w:r w:rsidRPr="00883125">
        <w:rPr>
          <w:rStyle w:val="FootnoteReference"/>
        </w:rPr>
        <w:footnoteReference w:id="696"/>
      </w:r>
      <w:r w:rsidRPr="00883125">
        <w:t xml:space="preserve"> These statistics can be used to derive a measure of the total amount of imputation credits utilised by eligible investors to offset tax or to be refunded. As discussed in relation to the distribution rate, ATO statistics also provide estimates of the amount of imputation credits distributed. We consider that the reported value of credits utilised divided by the reported value of credits distributed is a reasonable estimate of the utilisation rate.</w:t>
      </w:r>
    </w:p>
    <w:p w:rsidR="00C52695" w:rsidRPr="00883125" w:rsidRDefault="00C52695" w:rsidP="00C52695">
      <w:pPr>
        <w:numPr>
          <w:ilvl w:val="0"/>
          <w:numId w:val="24"/>
        </w:numPr>
      </w:pPr>
      <w:r w:rsidRPr="00883125">
        <w:t xml:space="preserve">Our position on the use of tax statistics to estimate the utilisation rate is set out in section </w:t>
      </w:r>
      <w:r w:rsidR="00F32DCE">
        <w:fldChar w:fldCharType="begin"/>
      </w:r>
      <w:r w:rsidR="00F32DCE">
        <w:instrText xml:space="preserve"> REF _Ref475454898 \r \h </w:instrText>
      </w:r>
      <w:r w:rsidR="00F32DCE">
        <w:fldChar w:fldCharType="separate"/>
      </w:r>
      <w:r w:rsidR="007E3457">
        <w:t>4.4</w:t>
      </w:r>
      <w:r w:rsidR="00F32DCE">
        <w:fldChar w:fldCharType="end"/>
      </w:r>
      <w:r w:rsidRPr="00883125">
        <w:t xml:space="preserve"> of attachment 4. In this section, we explain how our position has changed compared to that in the Guideline.</w:t>
      </w:r>
    </w:p>
    <w:p w:rsidR="00C52695" w:rsidRPr="00883125" w:rsidRDefault="00C52695" w:rsidP="00C52695">
      <w:pPr>
        <w:numPr>
          <w:ilvl w:val="0"/>
          <w:numId w:val="24"/>
        </w:numPr>
      </w:pPr>
      <w:r w:rsidRPr="00883125">
        <w:t>In the Guideline, we considered that tax statistics supported a utilisation rate between 0.4 and 0.8. This was based on:</w:t>
      </w:r>
    </w:p>
    <w:p w:rsidR="00C52695" w:rsidRPr="001D37D5" w:rsidRDefault="00C52695" w:rsidP="00C52695">
      <w:pPr>
        <w:pStyle w:val="AERbulletlistfirststyle"/>
      </w:pPr>
      <w:r w:rsidRPr="00883125">
        <w:t>A 2013 report by Hathaway, which sought to estimate the proportion of distributed credits that have been utilised. This report produced two estimates for the period 2004 to 2011: 0.43 and 0.61.</w:t>
      </w:r>
      <w:r w:rsidRPr="001D37D5" w:rsidDel="005F06A5">
        <w:t xml:space="preserve"> </w:t>
      </w:r>
      <w:r w:rsidRPr="001D37D5">
        <w:t xml:space="preserve">The two estimates reflect two alternative measures of the value of credits distributed, which in turn imply two alternative estimates of the distribution rate (as discussed in section </w:t>
      </w:r>
      <w:r w:rsidRPr="001D37D5">
        <w:fldChar w:fldCharType="begin"/>
      </w:r>
      <w:r w:rsidRPr="001D37D5">
        <w:instrText xml:space="preserve"> REF _Ref401133206 \r \h </w:instrText>
      </w:r>
      <w:r w:rsidRPr="001D37D5">
        <w:fldChar w:fldCharType="separate"/>
      </w:r>
      <w:r w:rsidR="007E3457">
        <w:t>A.10</w:t>
      </w:r>
      <w:r w:rsidRPr="001D37D5">
        <w:fldChar w:fldCharType="end"/>
      </w:r>
      <w:r w:rsidRPr="001D37D5">
        <w:t>). The 0.43 and 0.61 estimates of the utilisation rate correspond to estimates of the distribution rate of around 0.7 and 0.5 respectively.</w:t>
      </w:r>
      <w:r w:rsidRPr="001D37D5">
        <w:rPr>
          <w:rStyle w:val="FootnoteReference"/>
        </w:rPr>
        <w:footnoteReference w:id="697"/>
      </w:r>
      <w:r w:rsidRPr="001D37D5">
        <w:t xml:space="preserve"> </w:t>
      </w:r>
    </w:p>
    <w:p w:rsidR="00C52695" w:rsidRPr="00883125" w:rsidRDefault="00C52695" w:rsidP="00C52695">
      <w:pPr>
        <w:pStyle w:val="AERbulletlistfirststyle"/>
      </w:pPr>
      <w:r w:rsidRPr="00883125">
        <w:t>A 2004 paper by Handley and Maheswaran, which sought to estimate the proportion of distributed credits that were used to reduce investors' tax liabilities. This paper produced an estimate for the period 2001 to 2004 of 0.81.</w:t>
      </w:r>
    </w:p>
    <w:p w:rsidR="00C52695" w:rsidRPr="00883125" w:rsidRDefault="00C52695" w:rsidP="00C52695">
      <w:pPr>
        <w:numPr>
          <w:ilvl w:val="0"/>
          <w:numId w:val="24"/>
        </w:numPr>
      </w:pPr>
      <w:r w:rsidRPr="00883125">
        <w:t xml:space="preserve">Since the Guideline we have continued to examine this evidence. We now consider that </w:t>
      </w:r>
      <w:r>
        <w:t>greater reliance should be placed up</w:t>
      </w:r>
      <w:r w:rsidRPr="00883125">
        <w:t>on estimates that are:</w:t>
      </w:r>
    </w:p>
    <w:p w:rsidR="00C52695" w:rsidRPr="001D37D5" w:rsidRDefault="00C52695" w:rsidP="00C52695">
      <w:pPr>
        <w:pStyle w:val="AERbulletlistfirststyle"/>
      </w:pPr>
      <w:r w:rsidRPr="00883125">
        <w:t>derived from post-2004 data, consistent with Hathaway's findings that the ATO statistics are subject to a number of issues prior to 2004,</w:t>
      </w:r>
      <w:r w:rsidRPr="001D37D5">
        <w:rPr>
          <w:rStyle w:val="FootnoteReference"/>
        </w:rPr>
        <w:footnoteReference w:id="698"/>
      </w:r>
      <w:r w:rsidRPr="001D37D5">
        <w:t xml:space="preserve"> and</w:t>
      </w:r>
    </w:p>
    <w:p w:rsidR="00C52695" w:rsidRPr="001D37D5" w:rsidRDefault="00C52695" w:rsidP="00C52695">
      <w:pPr>
        <w:pStyle w:val="AERbulletlistfirststyle"/>
      </w:pPr>
      <w:r w:rsidRPr="00883125">
        <w:t>consistent with our preferred estimates of the distribution rate</w:t>
      </w:r>
      <w:r w:rsidRPr="001D37D5">
        <w:t xml:space="preserve"> estimated using cumulative distribution rate data. However, we note this consistency principle does not preclude the combination of a utilisation rate estimated based on this principle with a higher estimate of the distribution rate for the benchmark efficient entity based on Lally's latest advice.  </w:t>
      </w:r>
    </w:p>
    <w:p w:rsidR="00C52695" w:rsidRPr="00883125" w:rsidRDefault="00C52695" w:rsidP="00C52695">
      <w:pPr>
        <w:numPr>
          <w:ilvl w:val="0"/>
          <w:numId w:val="24"/>
        </w:numPr>
      </w:pPr>
      <w:r w:rsidRPr="00883125">
        <w:t>Applying these considerations, in our prior decisions</w:t>
      </w:r>
      <w:r>
        <w:t>,</w:t>
      </w:r>
      <w:r w:rsidRPr="00883125">
        <w:t xml:space="preserve"> we did not rely on:</w:t>
      </w:r>
    </w:p>
    <w:p w:rsidR="00C52695" w:rsidRPr="00883125" w:rsidRDefault="00C52695" w:rsidP="00C52695">
      <w:pPr>
        <w:pStyle w:val="AERbulletlistfirststyle"/>
      </w:pPr>
      <w:r w:rsidRPr="00883125">
        <w:t>Handley and Maheswaran's estimate of 0.81, because this is (predominantly) derived from pre-2004 data.</w:t>
      </w:r>
    </w:p>
    <w:p w:rsidR="00C52695" w:rsidRPr="001D37D5" w:rsidRDefault="00C52695" w:rsidP="00C52695">
      <w:pPr>
        <w:pStyle w:val="AERbulletlistfirststyle"/>
      </w:pPr>
      <w:r w:rsidRPr="00883125">
        <w:t>Hathaway's estimate of 0.61, because this corresponds to an estimate of the distribution rate of around 0.5 whereas we adopt an estimate of the distribution rate over all equity of 0.7.</w:t>
      </w:r>
      <w:r w:rsidRPr="001D37D5">
        <w:t xml:space="preserve"> We note this does not apply to Lally's latest analysis, as he determines the distribution rate from annual reports and not tax statistics. Lally considers that the difference between the two Hathaway's utilisation rate estimates demonstrates the unreliability of tax statistics data.</w:t>
      </w:r>
      <w:r w:rsidRPr="001D37D5">
        <w:rPr>
          <w:rStyle w:val="FootnoteReference"/>
        </w:rPr>
        <w:footnoteReference w:id="699"/>
      </w:r>
      <w:r w:rsidRPr="001D37D5">
        <w:t xml:space="preserve"> </w:t>
      </w:r>
    </w:p>
    <w:p w:rsidR="00C52695" w:rsidRDefault="00C52695" w:rsidP="00C52695">
      <w:r w:rsidRPr="00883125">
        <w:t xml:space="preserve">NERA updated analysis of the ATO data to the 2012 tax year </w:t>
      </w:r>
      <w:r>
        <w:t>and</w:t>
      </w:r>
      <w:r w:rsidRPr="00883125">
        <w:t xml:space="preserve"> f</w:t>
      </w:r>
      <w:r>
        <w:t>ound</w:t>
      </w:r>
      <w:r w:rsidRPr="00883125">
        <w:t xml:space="preserve"> a</w:t>
      </w:r>
      <w:r>
        <w:t>n estimated</w:t>
      </w:r>
      <w:r w:rsidRPr="00883125">
        <w:t xml:space="preserve"> utilisation rate of 0.45.</w:t>
      </w:r>
      <w:r w:rsidRPr="00883125">
        <w:rPr>
          <w:rStyle w:val="FootnoteReference"/>
        </w:rPr>
        <w:footnoteReference w:id="700"/>
      </w:r>
      <w:r w:rsidRPr="00883125">
        <w:t xml:space="preserve"> This analysis </w:t>
      </w:r>
      <w:r>
        <w:t>was subsequently</w:t>
      </w:r>
      <w:r w:rsidRPr="00883125">
        <w:t xml:space="preserve"> update</w:t>
      </w:r>
      <w:r>
        <w:t>d</w:t>
      </w:r>
      <w:r w:rsidRPr="00883125">
        <w:t xml:space="preserve"> by Frontier to the 2013 tax year which f</w:t>
      </w:r>
      <w:r>
        <w:t>ound</w:t>
      </w:r>
      <w:r w:rsidRPr="00883125">
        <w:t xml:space="preserve"> a</w:t>
      </w:r>
      <w:r>
        <w:t>n estimated</w:t>
      </w:r>
      <w:r w:rsidRPr="00883125">
        <w:t xml:space="preserve"> utilisation rate of 0.46.</w:t>
      </w:r>
      <w:r w:rsidRPr="00883125">
        <w:rPr>
          <w:rStyle w:val="FootnoteReference"/>
        </w:rPr>
        <w:footnoteReference w:id="701"/>
      </w:r>
      <w:r w:rsidRPr="00883125">
        <w:t xml:space="preserve"> </w:t>
      </w:r>
      <w:r>
        <w:t>We</w:t>
      </w:r>
      <w:r w:rsidRPr="00883125">
        <w:t xml:space="preserve"> further updated </w:t>
      </w:r>
      <w:r>
        <w:t xml:space="preserve">the estimate using </w:t>
      </w:r>
      <w:r w:rsidRPr="00883125">
        <w:t xml:space="preserve">tax statistics to the 2014 </w:t>
      </w:r>
      <w:r>
        <w:t xml:space="preserve">tax year </w:t>
      </w:r>
      <w:r w:rsidRPr="00883125">
        <w:t>and f</w:t>
      </w:r>
      <w:r>
        <w:t>ound</w:t>
      </w:r>
      <w:r w:rsidR="001453E4">
        <w:t xml:space="preserve"> a utilisation value of 0.48.</w:t>
      </w:r>
    </w:p>
    <w:p w:rsidR="00C52695" w:rsidRPr="00883125" w:rsidRDefault="00C52695" w:rsidP="00C52695">
      <w:r w:rsidRPr="00883125">
        <w:t xml:space="preserve">As discussed in section </w:t>
      </w:r>
      <w:r w:rsidRPr="00883125">
        <w:fldChar w:fldCharType="begin"/>
      </w:r>
      <w:r w:rsidRPr="00883125">
        <w:instrText xml:space="preserve"> REF _Ref401133206 \r \h </w:instrText>
      </w:r>
      <w:r w:rsidRPr="00883125">
        <w:fldChar w:fldCharType="separate"/>
      </w:r>
      <w:r w:rsidR="007E3457">
        <w:t>A.10</w:t>
      </w:r>
      <w:r w:rsidRPr="00883125">
        <w:fldChar w:fldCharType="end"/>
      </w:r>
      <w:r w:rsidRPr="00883125">
        <w:t>, for this decision we place no reliance on Hathaway's new report and therefore it does not change our conclusions regarding the utilisation rate indicated by tax statistics.</w:t>
      </w:r>
    </w:p>
    <w:p w:rsidR="005516CF" w:rsidRDefault="00413BA1" w:rsidP="00C52695">
      <w:r>
        <w:t>T</w:t>
      </w:r>
      <w:r w:rsidR="00C52695" w:rsidRPr="00883125">
        <w:t xml:space="preserve">he </w:t>
      </w:r>
      <w:r>
        <w:t xml:space="preserve">Ausgrid </w:t>
      </w:r>
      <w:r w:rsidR="00C52695" w:rsidRPr="00883125">
        <w:t>Tribunal considers that tax statistics can only provide an upper bound on the estimate of theta.</w:t>
      </w:r>
      <w:r w:rsidR="00C52695" w:rsidRPr="00883125">
        <w:rPr>
          <w:rStyle w:val="FootnoteReference"/>
        </w:rPr>
        <w:footnoteReference w:id="702"/>
      </w:r>
      <w:r w:rsidR="00C52695" w:rsidRPr="00883125">
        <w:t xml:space="preserve"> </w:t>
      </w:r>
      <w:r w:rsidR="00C52695">
        <w:t>Frontier, also consider redemption rates are at best an upper bound for theta if theta is defined as the value of imputation credits.</w:t>
      </w:r>
      <w:r w:rsidR="00C52695">
        <w:rPr>
          <w:rStyle w:val="FootnoteReference"/>
        </w:rPr>
        <w:footnoteReference w:id="703"/>
      </w:r>
      <w:r w:rsidR="00C52695">
        <w:t xml:space="preserve"> We</w:t>
      </w:r>
      <w:r w:rsidR="00C52695" w:rsidRPr="00883125">
        <w:t xml:space="preserve"> remain of the view that tax statistics can be used as </w:t>
      </w:r>
      <w:r w:rsidR="00C52695">
        <w:t xml:space="preserve">a </w:t>
      </w:r>
      <w:r w:rsidR="00C52695" w:rsidRPr="00883125">
        <w:t>point estimate for the utilisation value</w:t>
      </w:r>
      <w:r w:rsidR="00C52695">
        <w:t xml:space="preserve"> (see section </w:t>
      </w:r>
      <w:r w:rsidR="00C52695">
        <w:fldChar w:fldCharType="begin"/>
      </w:r>
      <w:r w:rsidR="00C52695">
        <w:instrText xml:space="preserve"> REF _Ref450761230 \r \h </w:instrText>
      </w:r>
      <w:r w:rsidR="00C52695">
        <w:fldChar w:fldCharType="separate"/>
      </w:r>
      <w:r w:rsidR="007E3457">
        <w:t>4.4.1</w:t>
      </w:r>
      <w:r w:rsidR="00C52695">
        <w:fldChar w:fldCharType="end"/>
      </w:r>
      <w:r w:rsidR="00C52695">
        <w:t xml:space="preserve"> and our reasoning below)</w:t>
      </w:r>
      <w:r w:rsidR="00C52695" w:rsidRPr="00883125">
        <w:t>.</w:t>
      </w:r>
      <w:r w:rsidR="00FE3642">
        <w:t xml:space="preserve"> </w:t>
      </w:r>
      <w:r w:rsidR="00C52695">
        <w:t xml:space="preserve">We consider tax statistics produce estimates of the utilisation rate. These estimates are uncertain and dependent on the quality of the underlying data (which is an issue for tax statistics, as shown in section </w:t>
      </w:r>
      <w:r w:rsidR="00C52695">
        <w:fldChar w:fldCharType="begin"/>
      </w:r>
      <w:r w:rsidR="00C52695">
        <w:instrText xml:space="preserve"> REF _Ref450761230 \r \h </w:instrText>
      </w:r>
      <w:r w:rsidR="00C52695">
        <w:fldChar w:fldCharType="separate"/>
      </w:r>
      <w:r w:rsidR="007E3457">
        <w:t>4.4.1</w:t>
      </w:r>
      <w:r w:rsidR="00C52695">
        <w:fldChar w:fldCharType="end"/>
      </w:r>
      <w:r w:rsidR="00C52695">
        <w:t xml:space="preserve">). As such, </w:t>
      </w:r>
      <w:r w:rsidR="00C52695" w:rsidRPr="00883125">
        <w:t>the true (unknown) value could be higher or lower.</w:t>
      </w:r>
      <w:r w:rsidR="00C52695">
        <w:t xml:space="preserve"> We consider this cannot constitute an upper bound for the true utilisation rate.</w:t>
      </w:r>
      <w:r w:rsidR="00C03DF6" w:rsidRPr="00C03DF6">
        <w:t xml:space="preserve"> </w:t>
      </w:r>
      <w:r w:rsidR="00962A4A">
        <w:t>Having considered all the information before us</w:t>
      </w:r>
      <w:r w:rsidR="00BC1E8B">
        <w:t>,</w:t>
      </w:r>
      <w:r w:rsidR="00962A4A">
        <w:t xml:space="preserve"> we remain of the view</w:t>
      </w:r>
      <w:r w:rsidR="00C03DF6">
        <w:t xml:space="preserve"> </w:t>
      </w:r>
      <w:r w:rsidR="00114985">
        <w:t xml:space="preserve">that </w:t>
      </w:r>
      <w:r w:rsidR="00C03DF6">
        <w:t>tax statistics do not provide an upper bound for the utilisation rate, but rather a</w:t>
      </w:r>
      <w:r w:rsidR="00FE3642">
        <w:t>n</w:t>
      </w:r>
      <w:r w:rsidR="00C03DF6">
        <w:t xml:space="preserve"> </w:t>
      </w:r>
      <w:r w:rsidR="00BD6891">
        <w:t>unreliable</w:t>
      </w:r>
      <w:r w:rsidR="00C03DF6">
        <w:t xml:space="preserve"> estimate.</w:t>
      </w:r>
      <w:r w:rsidR="00962A4A">
        <w:t xml:space="preserve"> We note the SAPN Tribunal decision supports this view</w:t>
      </w:r>
      <w:r w:rsidR="00102BE4">
        <w:t>.</w:t>
      </w:r>
      <w:r w:rsidR="00C03DF6" w:rsidRPr="005A1971">
        <w:rPr>
          <w:rStyle w:val="FootnoteReference"/>
        </w:rPr>
        <w:footnoteReference w:id="704"/>
      </w:r>
    </w:p>
    <w:p w:rsidR="00177813" w:rsidRPr="00177813" w:rsidRDefault="00C52695" w:rsidP="00177813">
      <w:pPr>
        <w:rPr>
          <w:lang w:val="en-US"/>
        </w:rPr>
      </w:pPr>
      <w:r>
        <w:t>Lally considers that the correctly measured tax statistics provides an upward biased estimate for the utilisation value.</w:t>
      </w:r>
      <w:r>
        <w:rPr>
          <w:rStyle w:val="FootnoteReference"/>
        </w:rPr>
        <w:footnoteReference w:id="705"/>
      </w:r>
      <w:r>
        <w:t xml:space="preserve"> This is because local investors tilt their shareholding to stocks with higher imputation credit yields. However, Lally considers our estimate of 0.45 (updated to 0.48 in this decision) is not an upper bound as tax statistics are unreliable and we use the lower of two possible tax statistics estimates for the utilisation rate.</w:t>
      </w:r>
      <w:r>
        <w:rPr>
          <w:rStyle w:val="FootnoteReference"/>
        </w:rPr>
        <w:footnoteReference w:id="706"/>
      </w:r>
    </w:p>
    <w:p w:rsidR="00E24154" w:rsidRDefault="00524BC1" w:rsidP="00C52695">
      <w:r w:rsidRPr="00BF2DCE">
        <w:t xml:space="preserve">Further, Lally notes that the Ausgrid Tribunal considered tax statistics produce an upper bound estimate on utilisation value, </w:t>
      </w:r>
      <w:r w:rsidRPr="00E750F8">
        <w:t>due to time delays, administrative costs in distributing the credits, portfolio effects, and the effect of the 45 day rule.</w:t>
      </w:r>
      <w:r w:rsidR="00BF2DCE" w:rsidRPr="00BF2DCE">
        <w:rPr>
          <w:rStyle w:val="FootnoteReference"/>
        </w:rPr>
        <w:footnoteReference w:id="707"/>
      </w:r>
      <w:r w:rsidRPr="00E750F8">
        <w:t xml:space="preserve"> Lally considers the Ausgrid Tribunal based this on the belief that the utilisation </w:t>
      </w:r>
      <w:r w:rsidRPr="00BF2DCE">
        <w:t xml:space="preserve">value </w:t>
      </w:r>
      <w:r w:rsidR="00BF2DCE" w:rsidRPr="00BF2DCE">
        <w:t xml:space="preserve">is a market value and </w:t>
      </w:r>
      <w:r w:rsidRPr="00E750F8">
        <w:t>the fact that these phenomena would depress the market value of the credi</w:t>
      </w:r>
      <w:r w:rsidR="00BF2DCE" w:rsidRPr="00E750F8">
        <w:t>ts.</w:t>
      </w:r>
      <w:r w:rsidR="00BF2DCE" w:rsidRPr="00BF2DCE">
        <w:rPr>
          <w:rStyle w:val="FootnoteReference"/>
        </w:rPr>
        <w:footnoteReference w:id="708"/>
      </w:r>
      <w:r w:rsidR="00BF2DCE" w:rsidRPr="00BF2DCE">
        <w:t xml:space="preserve"> However, Lally considers that the utilisation value is not a market value, rather it is </w:t>
      </w:r>
      <w:r w:rsidRPr="00E750F8">
        <w:t xml:space="preserve">a weighted-average of investors’ </w:t>
      </w:r>
      <w:r w:rsidR="00BF2DCE">
        <w:t>utilisation</w:t>
      </w:r>
      <w:r w:rsidRPr="00E750F8">
        <w:t xml:space="preserve"> rates for </w:t>
      </w:r>
      <w:r w:rsidR="00BF2DCE">
        <w:t>imputation</w:t>
      </w:r>
      <w:r w:rsidRPr="00E750F8">
        <w:t xml:space="preserve"> credits, and this alone </w:t>
      </w:r>
      <w:r w:rsidR="00BF2DCE">
        <w:t>undermines the Ausgrid Tribunal's reasoning.</w:t>
      </w:r>
      <w:r w:rsidR="00E24154">
        <w:rPr>
          <w:rStyle w:val="FootnoteReference"/>
        </w:rPr>
        <w:footnoteReference w:id="709"/>
      </w:r>
      <w:r w:rsidR="004741BD">
        <w:t xml:space="preserve"> Furthermore, Lally considers that the inability to estimate the redemption rate from ATO data would also preclude any such estimate being an upper bound on theta</w:t>
      </w:r>
      <w:r w:rsidR="00BD6891">
        <w:t xml:space="preserve">, although noting that </w:t>
      </w:r>
      <w:r w:rsidR="004741BD">
        <w:t>if anything the ATO data would be biased up.</w:t>
      </w:r>
      <w:r w:rsidR="004741BD">
        <w:rPr>
          <w:rStyle w:val="FootnoteReference"/>
        </w:rPr>
        <w:footnoteReference w:id="710"/>
      </w:r>
    </w:p>
    <w:p w:rsidR="00C52695" w:rsidRPr="00883125" w:rsidRDefault="00C52695" w:rsidP="00C52695">
      <w:r>
        <w:t>Ultimately, as set out above, w</w:t>
      </w:r>
      <w:r w:rsidRPr="00EA5224">
        <w:t xml:space="preserve">e consider any uncertain estimate is not an upper bound. Given the uncertainty </w:t>
      </w:r>
      <w:r>
        <w:t xml:space="preserve">associated </w:t>
      </w:r>
      <w:r w:rsidRPr="00EA5224">
        <w:t>with the utilisation rate estimate, we also do not consider the tax statistics would be inconsistent with a higher estimate of gamma than 0.4 for the benchmark efficient entity.</w:t>
      </w:r>
      <w:r>
        <w:t xml:space="preserve"> In particular, we note</w:t>
      </w:r>
      <w:r w:rsidRPr="004635C5">
        <w:t xml:space="preserve"> an estimate of gamma of approximately 0.4 is obtained when combining a utilisation rate of 0.48 (</w:t>
      </w:r>
      <w:r>
        <w:t xml:space="preserve">consistent with </w:t>
      </w:r>
      <w:r w:rsidRPr="004635C5">
        <w:t>FAB data) with Lally's preferred estimate of the distribution rate for a benchmark efficient entity of 0.83.</w:t>
      </w:r>
      <w:r>
        <w:rPr>
          <w:rStyle w:val="FootnoteReference"/>
        </w:rPr>
        <w:footnoteReference w:id="711"/>
      </w:r>
    </w:p>
    <w:p w:rsidR="00D76D53" w:rsidRDefault="00C52695" w:rsidP="00C52695">
      <w:r w:rsidRPr="00883125">
        <w:t xml:space="preserve">Given the concerns with tax statistics data, </w:t>
      </w:r>
      <w:r>
        <w:t>we</w:t>
      </w:r>
      <w:r w:rsidRPr="00883125">
        <w:t xml:space="preserve"> consider the equity ownership approach provides </w:t>
      </w:r>
      <w:r>
        <w:t>the best</w:t>
      </w:r>
      <w:r w:rsidRPr="00883125">
        <w:t xml:space="preserve"> point estimate for the utilisation value</w:t>
      </w:r>
      <w:r>
        <w:t xml:space="preserve"> currently available</w:t>
      </w:r>
      <w:r w:rsidRPr="00883125">
        <w:t xml:space="preserve">. This is due to the value of imputation credits being equal to face value on a </w:t>
      </w:r>
      <w:r>
        <w:t xml:space="preserve">post-company </w:t>
      </w:r>
      <w:r w:rsidRPr="00883125">
        <w:t xml:space="preserve">pre-personal tax and pre-personal cost basis. Given the 45 day holding rule should not be having a material impact on the utilisation of imputation credits (see section </w:t>
      </w:r>
      <w:r>
        <w:fldChar w:fldCharType="begin"/>
      </w:r>
      <w:r>
        <w:instrText xml:space="preserve"> REF _Ref414099389 \r \h </w:instrText>
      </w:r>
      <w:r>
        <w:fldChar w:fldCharType="separate"/>
      </w:r>
      <w:r w:rsidR="007E3457">
        <w:t>A.8.3</w:t>
      </w:r>
      <w:r>
        <w:fldChar w:fldCharType="end"/>
      </w:r>
      <w:r w:rsidRPr="00883125">
        <w:t xml:space="preserve">), </w:t>
      </w:r>
      <w:r>
        <w:t>w</w:t>
      </w:r>
      <w:r w:rsidRPr="00883125">
        <w:t>e consider the proportion of local investor in the equity markets is a</w:t>
      </w:r>
      <w:r>
        <w:t xml:space="preserve"> reasonable point estimate of the utilisation value.</w:t>
      </w:r>
    </w:p>
    <w:p w:rsidR="000D5934" w:rsidRDefault="00882758" w:rsidP="00C52695">
      <w:r>
        <w:t>Frontier considers that gamma can be measure</w:t>
      </w:r>
      <w:r w:rsidR="00487822">
        <w:t>d</w:t>
      </w:r>
      <w:r>
        <w:t xml:space="preserve"> reliably from tax statistics as the ratio of credits redeemed and credits created.</w:t>
      </w:r>
      <w:r w:rsidR="00487822">
        <w:rPr>
          <w:rStyle w:val="FootnoteReference"/>
        </w:rPr>
        <w:footnoteReference w:id="712"/>
      </w:r>
      <w:r w:rsidR="00487822">
        <w:t xml:space="preserve"> It submit</w:t>
      </w:r>
      <w:r w:rsidR="00FA19F3">
        <w:t>s</w:t>
      </w:r>
      <w:r w:rsidR="00487822">
        <w:t xml:space="preserve"> that the </w:t>
      </w:r>
      <w:r w:rsidR="000D5934">
        <w:t xml:space="preserve">credits distributed data is the unreliable data in </w:t>
      </w:r>
      <w:r w:rsidR="00D157E2">
        <w:t xml:space="preserve">the </w:t>
      </w:r>
      <w:r w:rsidR="000D5934">
        <w:t>tax statistics and this data is not required to determine gamma directly.</w:t>
      </w:r>
      <w:r w:rsidR="000D5934">
        <w:rPr>
          <w:rStyle w:val="FootnoteReference"/>
        </w:rPr>
        <w:footnoteReference w:id="713"/>
      </w:r>
      <w:r w:rsidR="000D5934">
        <w:t xml:space="preserve"> This data is only required when the gamma statistic is separated into two components, theta and distribution rate. Frontier considers that the gamma estimate from tax statistic is at best an upper bound for gamma.</w:t>
      </w:r>
      <w:r w:rsidR="00221105">
        <w:rPr>
          <w:rStyle w:val="FootnoteReference"/>
        </w:rPr>
        <w:footnoteReference w:id="714"/>
      </w:r>
    </w:p>
    <w:p w:rsidR="000D5934" w:rsidRDefault="000B4231" w:rsidP="00C52695">
      <w:r>
        <w:t>However, we do not agree that tax statistics are reliable</w:t>
      </w:r>
      <w:r w:rsidR="005516CF">
        <w:t xml:space="preserve"> to estimate any parameter concerned with franking credits. This is supported by </w:t>
      </w:r>
      <w:r>
        <w:t>Neville Hathaway</w:t>
      </w:r>
      <w:r w:rsidR="00D32E5E">
        <w:t>,</w:t>
      </w:r>
      <w:r>
        <w:t xml:space="preserve"> </w:t>
      </w:r>
      <w:r w:rsidR="006B14BA">
        <w:t>who</w:t>
      </w:r>
      <w:r w:rsidR="008E1126">
        <w:t xml:space="preserve"> considers that caution should be exercised when using ATO statistics.</w:t>
      </w:r>
    </w:p>
    <w:p w:rsidR="000B4231" w:rsidRDefault="000B4231" w:rsidP="00E750F8">
      <w:pPr>
        <w:pStyle w:val="AERquoteindent3"/>
      </w:pPr>
      <w:r>
        <w:t xml:space="preserve">Until </w:t>
      </w:r>
      <w:r w:rsidR="00D32E5E">
        <w:t>the reconciliation has occurred or it can be explained to me how to account for those credits, I urge all caution in using ATO statistics for any estimates of parameters concerned with franking credits.</w:t>
      </w:r>
      <w:r w:rsidR="00D32E5E">
        <w:rPr>
          <w:rStyle w:val="FootnoteReference"/>
        </w:rPr>
        <w:footnoteReference w:id="715"/>
      </w:r>
    </w:p>
    <w:p w:rsidR="00485A29" w:rsidRDefault="00697C8E" w:rsidP="00C52695">
      <w:r>
        <w:t>We recognise</w:t>
      </w:r>
      <w:r w:rsidR="005516CF">
        <w:t xml:space="preserve"> Hathaway's comment that the tax data of the ATO is the most likely to be accurate </w:t>
      </w:r>
      <w:r w:rsidR="003D4F01">
        <w:t>as</w:t>
      </w:r>
      <w:r w:rsidR="005516CF">
        <w:t xml:space="preserve"> after all what other </w:t>
      </w:r>
      <w:r>
        <w:t>tax data is there but tax collection by the ATO. However, we also note Hathaway</w:t>
      </w:r>
      <w:r w:rsidR="006B14BA">
        <w:t>'s</w:t>
      </w:r>
      <w:r>
        <w:t xml:space="preserve"> statement in regards to estimating gamma directly</w:t>
      </w:r>
      <w:r w:rsidR="00283230">
        <w:t xml:space="preserve"> [emphasis added]</w:t>
      </w:r>
      <w:r>
        <w:t>:</w:t>
      </w:r>
    </w:p>
    <w:p w:rsidR="00697C8E" w:rsidRDefault="00187ED0" w:rsidP="00697C8E">
      <w:pPr>
        <w:pStyle w:val="AERquoteindent3"/>
      </w:pPr>
      <w:r>
        <w:t xml:space="preserve">This overall approach is reasonable as the tax statistics are </w:t>
      </w:r>
      <w:r w:rsidRPr="00E750F8">
        <w:rPr>
          <w:rStyle w:val="Strong"/>
        </w:rPr>
        <w:t>unlikely to be in major error</w:t>
      </w:r>
      <w:r>
        <w:t xml:space="preserve"> for the amount of tax paid and the amount of tax credits claimed</w:t>
      </w:r>
      <w:r w:rsidR="00697C8E">
        <w:t>.</w:t>
      </w:r>
      <w:r w:rsidR="00697C8E">
        <w:rPr>
          <w:rStyle w:val="FootnoteReference"/>
        </w:rPr>
        <w:footnoteReference w:id="716"/>
      </w:r>
    </w:p>
    <w:p w:rsidR="00697C8E" w:rsidRDefault="00187ED0" w:rsidP="00C52695">
      <w:r>
        <w:t xml:space="preserve">Stating that a data set is unlikely to be in major error is not equivalent to saying that the data is reliable. </w:t>
      </w:r>
    </w:p>
    <w:p w:rsidR="00C03DF6" w:rsidRDefault="004C4498" w:rsidP="00C52695">
      <w:r>
        <w:t xml:space="preserve">Further, we note that Hathaway </w:t>
      </w:r>
      <w:r w:rsidR="00F76631">
        <w:t xml:space="preserve">states that the only reliable estimate that can be obtained </w:t>
      </w:r>
      <w:r w:rsidR="0023036D">
        <w:t>from the taxation statistics is the access fraction (imputation distribution rate), which is obtained from FAB data.</w:t>
      </w:r>
      <w:r w:rsidR="0023036D">
        <w:rPr>
          <w:rStyle w:val="FootnoteReference"/>
        </w:rPr>
        <w:footnoteReference w:id="717"/>
      </w:r>
      <w:r w:rsidR="0023036D">
        <w:t xml:space="preserve"> </w:t>
      </w:r>
      <w:r w:rsidR="005A1971">
        <w:t>Hathaway considers there are too many unreconciled problems with the ATO data for reliable estimate to be made about the utilisation of franking credits.</w:t>
      </w:r>
      <w:r w:rsidR="005A1971">
        <w:rPr>
          <w:rStyle w:val="FootnoteReference"/>
        </w:rPr>
        <w:footnoteReference w:id="718"/>
      </w:r>
      <w:r w:rsidR="005A1971">
        <w:t xml:space="preserve"> Consistent with Hathaway's statement of conclusions we consider caution should be exercised with using ATO statistics to estimate any parameters concerned with franking credit which include gamma, distribution rate and utilisation value.</w:t>
      </w:r>
    </w:p>
    <w:p w:rsidR="00944EFE" w:rsidRDefault="00586F6B" w:rsidP="00C52695">
      <w:r>
        <w:t xml:space="preserve">Lally also has concerns </w:t>
      </w:r>
      <w:r w:rsidR="00944EFE">
        <w:t>with Frontier</w:t>
      </w:r>
      <w:r w:rsidR="006B14BA">
        <w:t>'</w:t>
      </w:r>
      <w:r w:rsidR="00944EFE">
        <w:t>s argument that tax statistics produce a reliable estimate for gamma, such as:</w:t>
      </w:r>
    </w:p>
    <w:p w:rsidR="003A0C07" w:rsidRDefault="00944EFE" w:rsidP="00E750F8">
      <w:pPr>
        <w:pStyle w:val="AERbulletlistfirststyle"/>
      </w:pPr>
      <w:r>
        <w:t xml:space="preserve">The Officer model requires an estimate of the utilisation value to determine the MRP. Given the data reliability issues tax statistics cannot produce </w:t>
      </w:r>
      <w:r w:rsidR="003A0C07">
        <w:t>a reliable estimate of the utilisation value.</w:t>
      </w:r>
      <w:r w:rsidR="003A0C07" w:rsidRPr="003A0C07">
        <w:rPr>
          <w:rStyle w:val="FootnoteReference"/>
        </w:rPr>
        <w:t xml:space="preserve"> </w:t>
      </w:r>
      <w:r w:rsidR="003A0C07" w:rsidRPr="003A0C07">
        <w:rPr>
          <w:rStyle w:val="FootnoteReference"/>
        </w:rPr>
        <w:footnoteReference w:id="719"/>
      </w:r>
    </w:p>
    <w:p w:rsidR="003A0C07" w:rsidRDefault="003A0C07" w:rsidP="00E750F8">
      <w:pPr>
        <w:pStyle w:val="AERbulletlistfirststyle"/>
      </w:pPr>
      <w:r>
        <w:t xml:space="preserve">Using tax statistics to directly estimate </w:t>
      </w:r>
      <w:r w:rsidR="00A041D8">
        <w:t xml:space="preserve">gamma </w:t>
      </w:r>
      <w:r>
        <w:t>require</w:t>
      </w:r>
      <w:r w:rsidR="00A041D8">
        <w:t>s</w:t>
      </w:r>
      <w:r>
        <w:t xml:space="preserve"> all equity data to be used for both the distribution rate and the utilisation value. However, Lally considers there is no necessity to do so and good reason for not doing so. Lally considers that the distribution rate should be determined by listed equity only and the utilisation rate should be set with reference to all equity.</w:t>
      </w:r>
      <w:r w:rsidRPr="003A0C07">
        <w:rPr>
          <w:rStyle w:val="FootnoteReference"/>
        </w:rPr>
        <w:footnoteReference w:id="720"/>
      </w:r>
    </w:p>
    <w:p w:rsidR="00586F6B" w:rsidRPr="00E750F8" w:rsidRDefault="003A0C07" w:rsidP="00E750F8">
      <w:pPr>
        <w:pStyle w:val="AERbulletlistfirststyle"/>
      </w:pPr>
      <w:r>
        <w:t>W</w:t>
      </w:r>
      <w:r w:rsidR="00586F6B" w:rsidRPr="00E750F8">
        <w:t xml:space="preserve">hilst the problems in the ATO may be limited to </w:t>
      </w:r>
      <w:r w:rsidR="002928B6">
        <w:t>credits distributed</w:t>
      </w:r>
      <w:r w:rsidR="00586F6B" w:rsidRPr="00E750F8">
        <w:t xml:space="preserve"> (because the data offers two conflicting estimates of that </w:t>
      </w:r>
      <w:r w:rsidR="002928B6">
        <w:t>quantity, from dividend data and FAB data</w:t>
      </w:r>
      <w:r w:rsidR="00586F6B" w:rsidRPr="00E750F8">
        <w:t xml:space="preserve">), the credibility of the entire ATO database is damaged by both the conflicting estimates of the </w:t>
      </w:r>
      <w:r w:rsidR="002928B6">
        <w:t xml:space="preserve">credit </w:t>
      </w:r>
      <w:r w:rsidR="00586F6B" w:rsidRPr="00E750F8">
        <w:t>distribution rate and the inability of the ATO to identify the source of that conflict.</w:t>
      </w:r>
      <w:r w:rsidR="00BF2DCE" w:rsidRPr="00BF2DCE">
        <w:rPr>
          <w:rStyle w:val="FootnoteReference"/>
        </w:rPr>
        <w:footnoteReference w:id="721"/>
      </w:r>
    </w:p>
    <w:p w:rsidR="00C641FD" w:rsidRDefault="00C641FD" w:rsidP="00C52695">
      <w:r>
        <w:t xml:space="preserve">Finally, we note that even if the taxation data did produce a reasonable estimate of gamma (across the economy), something we do not consider it does based on expert advice, it is not necessarily the correct value for gamma for the benchmark efficient entity. This is because the distribution rate is not market wide. </w:t>
      </w:r>
    </w:p>
    <w:p w:rsidR="00C52695" w:rsidRPr="00883125" w:rsidRDefault="00C52695" w:rsidP="00C52695">
      <w:r w:rsidRPr="00883125">
        <w:t xml:space="preserve">In comparison to tax statistics market studies do not provide as appropriate an estimate of the utilisation value as they are determined by the marginal investor and </w:t>
      </w:r>
      <w:r w:rsidR="00AF0CB7">
        <w:t>not the</w:t>
      </w:r>
      <w:r w:rsidRPr="00883125">
        <w:t xml:space="preserve"> aggregate investors. As a result, we consider market studies do not provide as good an estimate of the value of distributed imputation credits as estimates from the equity ownership approach and tax statistics. </w:t>
      </w:r>
      <w:r w:rsidR="00DA2D69">
        <w:t>M</w:t>
      </w:r>
      <w:r w:rsidRPr="00883125">
        <w:t xml:space="preserve">arket studies are also influenced by differential personal tax and personal cost factors </w:t>
      </w:r>
      <w:r>
        <w:t xml:space="preserve">and do not reflect a post-company pre-personal tax rate of imputation credits under our post-tax framework </w:t>
      </w:r>
      <w:r w:rsidRPr="00883125">
        <w:t xml:space="preserve">(see section </w:t>
      </w:r>
      <w:r w:rsidRPr="00883125">
        <w:fldChar w:fldCharType="begin"/>
      </w:r>
      <w:r w:rsidRPr="00883125">
        <w:instrText xml:space="preserve"> REF _Ref435171205 \r \h </w:instrText>
      </w:r>
      <w:r w:rsidRPr="00883125">
        <w:fldChar w:fldCharType="separate"/>
      </w:r>
      <w:r w:rsidR="007E3457">
        <w:t>A.15.3</w:t>
      </w:r>
      <w:r w:rsidRPr="00883125">
        <w:fldChar w:fldCharType="end"/>
      </w:r>
      <w:r w:rsidRPr="00883125">
        <w:t>). For these reasons we provide them relatively less weight.</w:t>
      </w:r>
    </w:p>
    <w:p w:rsidR="00C52695" w:rsidRPr="00883125" w:rsidRDefault="00C52695" w:rsidP="00C52695">
      <w:pPr>
        <w:pStyle w:val="Heading8"/>
      </w:pPr>
      <w:bookmarkStart w:id="385" w:name="_Ref450298682"/>
      <w:bookmarkStart w:id="386" w:name="_Ref450299464"/>
      <w:bookmarkStart w:id="387" w:name="_Toc451842261"/>
      <w:bookmarkStart w:id="388" w:name="_Toc451938315"/>
      <w:bookmarkStart w:id="389" w:name="_Toc456614334"/>
      <w:bookmarkStart w:id="390" w:name="_Toc462823340"/>
      <w:bookmarkStart w:id="391" w:name="_Toc487014095"/>
      <w:bookmarkStart w:id="392" w:name="_Ref401080753"/>
      <w:bookmarkStart w:id="393" w:name="_Toc436049455"/>
      <w:r w:rsidRPr="00883125">
        <w:t>Difference between equity ownership approach and tax statistics</w:t>
      </w:r>
      <w:bookmarkEnd w:id="385"/>
      <w:bookmarkEnd w:id="386"/>
      <w:bookmarkEnd w:id="387"/>
      <w:bookmarkEnd w:id="388"/>
      <w:bookmarkEnd w:id="389"/>
      <w:bookmarkEnd w:id="390"/>
      <w:bookmarkEnd w:id="391"/>
    </w:p>
    <w:p w:rsidR="00C52695" w:rsidRPr="00883125" w:rsidRDefault="00C52695" w:rsidP="00C52695">
      <w:r w:rsidRPr="00883125">
        <w:t xml:space="preserve">In </w:t>
      </w:r>
      <w:r>
        <w:t>its</w:t>
      </w:r>
      <w:r w:rsidRPr="00883125">
        <w:t xml:space="preserve"> decision</w:t>
      </w:r>
      <w:r>
        <w:t>s</w:t>
      </w:r>
      <w:r w:rsidRPr="00883125">
        <w:t xml:space="preserve">, the </w:t>
      </w:r>
      <w:r w:rsidR="00E85280">
        <w:t xml:space="preserve">Ausgrid </w:t>
      </w:r>
      <w:r w:rsidRPr="00883125">
        <w:t xml:space="preserve">Tribunal considered it is apparent there are investors who </w:t>
      </w:r>
      <w:r>
        <w:t>the AER</w:t>
      </w:r>
      <w:r w:rsidRPr="00883125">
        <w:t xml:space="preserve"> assume</w:t>
      </w:r>
      <w:r>
        <w:t>s</w:t>
      </w:r>
      <w:r w:rsidRPr="00883125">
        <w:t xml:space="preserve"> are eligible to redeem imputation credits but, for whatever reasons, either cannot redeem them or attribute so little value to the credits that they do not utilise them.</w:t>
      </w:r>
      <w:r w:rsidRPr="00883125">
        <w:rPr>
          <w:rStyle w:val="FootnoteReference"/>
        </w:rPr>
        <w:footnoteReference w:id="722"/>
      </w:r>
      <w:r w:rsidRPr="00883125">
        <w:t xml:space="preserve"> This is due to the equity ownership approach indicating</w:t>
      </w:r>
      <w:r>
        <w:t xml:space="preserve"> the</w:t>
      </w:r>
      <w:r w:rsidRPr="00883125">
        <w:t xml:space="preserve"> utilisation</w:t>
      </w:r>
      <w:r>
        <w:t xml:space="preserve"> rate</w:t>
      </w:r>
      <w:r w:rsidRPr="00883125">
        <w:t xml:space="preserve"> is above the </w:t>
      </w:r>
      <w:r>
        <w:t>estimate</w:t>
      </w:r>
      <w:r w:rsidRPr="00883125">
        <w:t xml:space="preserve"> specified through tax statistics. Further, the</w:t>
      </w:r>
      <w:r w:rsidR="00E85280">
        <w:t xml:space="preserve"> Ausgrid</w:t>
      </w:r>
      <w:r w:rsidRPr="00883125">
        <w:t xml:space="preserve"> Tribunal considered the value of the utilisation value produced by taxation statistics is evidence that Australian investors do not value imputation credits at their face value, because they may be unable to use them.</w:t>
      </w:r>
      <w:r w:rsidRPr="00883125">
        <w:rPr>
          <w:rStyle w:val="FootnoteReference"/>
        </w:rPr>
        <w:footnoteReference w:id="723"/>
      </w:r>
    </w:p>
    <w:p w:rsidR="00C52695" w:rsidRDefault="00C52695" w:rsidP="00C52695">
      <w:r>
        <w:t>We have</w:t>
      </w:r>
      <w:r w:rsidRPr="00883125">
        <w:t xml:space="preserve"> considered the </w:t>
      </w:r>
      <w:r w:rsidR="00E85280">
        <w:t xml:space="preserve">Ausgrid </w:t>
      </w:r>
      <w:r w:rsidRPr="00883125">
        <w:t xml:space="preserve">Tribunal's reasoning and consider there is no reason to </w:t>
      </w:r>
      <w:r>
        <w:t>expect</w:t>
      </w:r>
      <w:r w:rsidRPr="00883125">
        <w:t xml:space="preserve"> that the equity ownership approach and the taxation statistics should result in the same utilisation value. </w:t>
      </w:r>
      <w:r>
        <w:t>We</w:t>
      </w:r>
      <w:r w:rsidRPr="00883125">
        <w:t xml:space="preserve"> do not consider the difference is likely to be driven either by the 45 day holding rule or by investors valuing imputation credits at less than face value because they may be unable to use them. We </w:t>
      </w:r>
      <w:r>
        <w:t>consider</w:t>
      </w:r>
      <w:r w:rsidRPr="00883125">
        <w:t xml:space="preserve"> the difference between the equity ownership approach and tax statistics is likely driven primarily by data issues </w:t>
      </w:r>
      <w:r>
        <w:t xml:space="preserve">associated </w:t>
      </w:r>
      <w:r w:rsidRPr="00883125">
        <w:t xml:space="preserve">with the tax statistics. The data issues with tax statistics was recognised by the </w:t>
      </w:r>
      <w:r w:rsidR="00E85280">
        <w:t xml:space="preserve">Ausgrid </w:t>
      </w:r>
      <w:r w:rsidRPr="00883125">
        <w:t>Tribunal.</w:t>
      </w:r>
      <w:r w:rsidRPr="00883125">
        <w:rPr>
          <w:rStyle w:val="FootnoteReference"/>
        </w:rPr>
        <w:footnoteReference w:id="724"/>
      </w:r>
      <w:r w:rsidRPr="00883125">
        <w:t xml:space="preserve"> </w:t>
      </w:r>
      <w:r>
        <w:t>Lally supports this view by noting that the most obvious explanation for the difference between the equity ownership and tax statistics is explained by our tax statistics estimate being too low.</w:t>
      </w:r>
      <w:r>
        <w:rPr>
          <w:rStyle w:val="FootnoteReference"/>
        </w:rPr>
        <w:footnoteReference w:id="725"/>
      </w:r>
      <w:r>
        <w:t xml:space="preserve"> Although, we note that </w:t>
      </w:r>
      <w:r w:rsidRPr="00645287">
        <w:t xml:space="preserve">an estimate of gamma of approximately 0.4 </w:t>
      </w:r>
      <w:r>
        <w:t>is be</w:t>
      </w:r>
      <w:r w:rsidRPr="00645287">
        <w:t xml:space="preserve"> obtained when combining a utilisation rate of 0.48 (</w:t>
      </w:r>
      <w:r>
        <w:t>consistent with</w:t>
      </w:r>
      <w:r w:rsidRPr="00645287">
        <w:t xml:space="preserve"> </w:t>
      </w:r>
      <w:r>
        <w:t xml:space="preserve">tax statistics, </w:t>
      </w:r>
      <w:r w:rsidRPr="00645287">
        <w:t>FAB data) with Lally's preferred estimate of the distribution rate for a benchmark efficient entity of 0.83.</w:t>
      </w:r>
      <w:r>
        <w:rPr>
          <w:rStyle w:val="FootnoteReference"/>
        </w:rPr>
        <w:footnoteReference w:id="726"/>
      </w:r>
    </w:p>
    <w:p w:rsidR="00C52695" w:rsidRPr="00883125" w:rsidRDefault="00C52695" w:rsidP="00C52695">
      <w:r>
        <w:t>Further, w</w:t>
      </w:r>
      <w:r w:rsidRPr="00883125">
        <w:t xml:space="preserve">e note there is no compelling evidence before </w:t>
      </w:r>
      <w:r>
        <w:t>us</w:t>
      </w:r>
      <w:r w:rsidRPr="00883125">
        <w:t xml:space="preserve"> that the 45 day rule is having a material impact, or that investors are valuing imputation credits at less than their face value because they may be unable to use them. As noted earlier, the estimate from tax statistics</w:t>
      </w:r>
      <w:r>
        <w:t xml:space="preserve"> that we rely upon </w:t>
      </w:r>
      <w:r w:rsidRPr="00883125">
        <w:t>is not an upper bound on the utilisation value.</w:t>
      </w:r>
      <w:r w:rsidRPr="00C20CE6">
        <w:rPr>
          <w:rStyle w:val="FootnoteReference"/>
        </w:rPr>
        <w:t xml:space="preserve"> </w:t>
      </w:r>
      <w:r>
        <w:rPr>
          <w:rStyle w:val="FootnoteReference"/>
        </w:rPr>
        <w:footnoteReference w:id="727"/>
      </w:r>
    </w:p>
    <w:p w:rsidR="00C52695" w:rsidRDefault="00C52695" w:rsidP="00C52695">
      <w:r w:rsidRPr="00883125">
        <w:t xml:space="preserve">Finally we note that even if the data was </w:t>
      </w:r>
      <w:r>
        <w:t xml:space="preserve">highly </w:t>
      </w:r>
      <w:r w:rsidRPr="00883125">
        <w:t>reliable</w:t>
      </w:r>
      <w:r>
        <w:t>,</w:t>
      </w:r>
      <w:r w:rsidRPr="00883125">
        <w:t xml:space="preserve"> the equity ownership approach and taxation statistics are </w:t>
      </w:r>
      <w:r>
        <w:t xml:space="preserve">a </w:t>
      </w:r>
      <w:r w:rsidRPr="00883125">
        <w:t>slight</w:t>
      </w:r>
      <w:r>
        <w:t>ly</w:t>
      </w:r>
      <w:r w:rsidRPr="00883125">
        <w:t xml:space="preserve"> different measures based on different data sets and methodologies</w:t>
      </w:r>
      <w:r>
        <w:t>. Therefore,</w:t>
      </w:r>
      <w:r w:rsidRPr="00883125">
        <w:t xml:space="preserve"> there should be no expectation that both measures should yield exactly the same estimates of the utilisation value. </w:t>
      </w:r>
      <w:r>
        <w:t>We</w:t>
      </w:r>
      <w:r w:rsidRPr="00883125">
        <w:t xml:space="preserve"> consider both measure are relevant in determining gamma. However, </w:t>
      </w:r>
      <w:r>
        <w:t>we</w:t>
      </w:r>
      <w:r w:rsidRPr="00883125">
        <w:t xml:space="preserve"> place more reliance on the equity ownership approach given </w:t>
      </w:r>
      <w:r>
        <w:t xml:space="preserve">they are conceptually more correct (see section </w:t>
      </w:r>
      <w:r>
        <w:fldChar w:fldCharType="begin"/>
      </w:r>
      <w:r>
        <w:instrText xml:space="preserve"> REF _Ref415049811 \r \h </w:instrText>
      </w:r>
      <w:r>
        <w:fldChar w:fldCharType="separate"/>
      </w:r>
      <w:r w:rsidR="007E3457">
        <w:t>A.12</w:t>
      </w:r>
      <w:r>
        <w:fldChar w:fldCharType="end"/>
      </w:r>
      <w:r>
        <w:t>) and there are</w:t>
      </w:r>
      <w:r w:rsidRPr="00883125">
        <w:t xml:space="preserve"> data issue</w:t>
      </w:r>
      <w:r>
        <w:t>s associated</w:t>
      </w:r>
      <w:r w:rsidRPr="00883125">
        <w:t xml:space="preserve"> with tax statistics. The </w:t>
      </w:r>
      <w:r w:rsidR="00E10FAC">
        <w:t xml:space="preserve">Ausgrid </w:t>
      </w:r>
      <w:r w:rsidRPr="00883125">
        <w:t>Tribunal itself has acknowledged these data issues in its latest decision.</w:t>
      </w:r>
      <w:r w:rsidRPr="00883125">
        <w:rPr>
          <w:rStyle w:val="FootnoteReference"/>
        </w:rPr>
        <w:footnoteReference w:id="728"/>
      </w:r>
      <w:r w:rsidRPr="00883125">
        <w:t xml:space="preserve"> In light of the </w:t>
      </w:r>
      <w:r w:rsidR="00E10FAC">
        <w:t xml:space="preserve">Ausgrid </w:t>
      </w:r>
      <w:r w:rsidRPr="00883125">
        <w:t xml:space="preserve">Tribunals acknowledgement of the data issues, </w:t>
      </w:r>
      <w:r>
        <w:t xml:space="preserve">we consider </w:t>
      </w:r>
      <w:r w:rsidRPr="00883125">
        <w:t>taxation statistics cannot be used to infer the upper bound for theta</w:t>
      </w:r>
      <w:r>
        <w:t xml:space="preserve"> (see section </w:t>
      </w:r>
      <w:r>
        <w:fldChar w:fldCharType="begin"/>
      </w:r>
      <w:r>
        <w:instrText xml:space="preserve"> REF _Ref402179420 \r \h </w:instrText>
      </w:r>
      <w:r>
        <w:fldChar w:fldCharType="separate"/>
      </w:r>
      <w:r w:rsidR="007E3457">
        <w:t>A.13</w:t>
      </w:r>
      <w:r>
        <w:fldChar w:fldCharType="end"/>
      </w:r>
      <w:r>
        <w:t>)</w:t>
      </w:r>
      <w:r w:rsidRPr="00883125">
        <w:t>.</w:t>
      </w:r>
      <w:r>
        <w:t xml:space="preserve"> Moreover, h</w:t>
      </w:r>
      <w:r w:rsidRPr="009A225F">
        <w:t xml:space="preserve">aving regard to the potential data limitations and alternate estimates, </w:t>
      </w:r>
      <w:r>
        <w:t xml:space="preserve">we consider </w:t>
      </w:r>
      <w:r w:rsidRPr="009A225F">
        <w:t>the evidence from tax statistics is not inconsistent with the evidence from the equity ownership approach</w:t>
      </w:r>
      <w:r>
        <w:t>.</w:t>
      </w:r>
      <w:r w:rsidRPr="00883125">
        <w:t xml:space="preserve"> </w:t>
      </w:r>
    </w:p>
    <w:p w:rsidR="002915B0" w:rsidRDefault="006C6181" w:rsidP="00C52695">
      <w:r>
        <w:t xml:space="preserve">The variability in the annual tax statistics and quarterly equity ownership data is evident </w:t>
      </w:r>
      <w:r w:rsidR="0048667E">
        <w:t xml:space="preserve">in </w:t>
      </w:r>
      <w:r>
        <w:fldChar w:fldCharType="begin"/>
      </w:r>
      <w:r>
        <w:instrText xml:space="preserve"> REF _Ref477347991 \h </w:instrText>
      </w:r>
      <w:r>
        <w:fldChar w:fldCharType="separate"/>
      </w:r>
      <w:r w:rsidR="007E3457" w:rsidRPr="00883125">
        <w:t xml:space="preserve">Figure </w:t>
      </w:r>
      <w:r w:rsidR="007E3457">
        <w:rPr>
          <w:noProof/>
        </w:rPr>
        <w:t>4</w:t>
      </w:r>
      <w:r w:rsidR="007E3457" w:rsidRPr="00883125">
        <w:t>.</w:t>
      </w:r>
      <w:r w:rsidR="007E3457">
        <w:rPr>
          <w:noProof/>
        </w:rPr>
        <w:t>4</w:t>
      </w:r>
      <w:r>
        <w:fldChar w:fldCharType="end"/>
      </w:r>
      <w:r>
        <w:t xml:space="preserve"> below. </w:t>
      </w:r>
      <w:r w:rsidR="0048667E">
        <w:t>H</w:t>
      </w:r>
      <w:r>
        <w:t>istorically the equity ownership data was higher than</w:t>
      </w:r>
      <w:r w:rsidR="0048667E">
        <w:t xml:space="preserve"> the redemption data from</w:t>
      </w:r>
      <w:r>
        <w:t xml:space="preserve"> tax statistic</w:t>
      </w:r>
      <w:r w:rsidR="0048667E">
        <w:t>s, but this has changed recently. In 2013 tax statistics redemption rates were higher than the proportion of all equity held locally. W</w:t>
      </w:r>
      <w:r w:rsidR="00944227">
        <w:t>hile w</w:t>
      </w:r>
      <w:r w:rsidR="0048667E">
        <w:t>e do not consider that prevailing quarterly or annual data should be used to determine gamma</w:t>
      </w:r>
      <w:r w:rsidR="00944227">
        <w:t xml:space="preserve"> due to volatility in the data</w:t>
      </w:r>
      <w:r w:rsidR="0048667E">
        <w:t xml:space="preserve">, we </w:t>
      </w:r>
      <w:r w:rsidR="00283230">
        <w:t>note that current estimate</w:t>
      </w:r>
      <w:r w:rsidR="00944227">
        <w:t>s from both approaches currently support a gamma estimate of at least 0.40</w:t>
      </w:r>
      <w:r w:rsidR="0048667E">
        <w:t>.</w:t>
      </w:r>
    </w:p>
    <w:p w:rsidR="002915B0" w:rsidRDefault="002915B0" w:rsidP="008B1CA1">
      <w:pPr>
        <w:pStyle w:val="Caption"/>
      </w:pPr>
      <w:bookmarkStart w:id="394" w:name="_Ref477347991"/>
      <w:r w:rsidRPr="00883125">
        <w:t xml:space="preserve">Figure </w:t>
      </w:r>
      <w:r w:rsidRPr="00B27BE5">
        <w:fldChar w:fldCharType="begin"/>
      </w:r>
      <w:r>
        <w:instrText xml:space="preserve"> STYLEREF 1 \s </w:instrText>
      </w:r>
      <w:r w:rsidRPr="00B27BE5">
        <w:fldChar w:fldCharType="separate"/>
      </w:r>
      <w:r w:rsidR="007E3457">
        <w:rPr>
          <w:noProof/>
        </w:rPr>
        <w:t>4</w:t>
      </w:r>
      <w:r w:rsidRPr="00B27BE5">
        <w:fldChar w:fldCharType="end"/>
      </w:r>
      <w:r w:rsidRPr="00883125">
        <w:t>.</w:t>
      </w:r>
      <w:r w:rsidRPr="00B27BE5">
        <w:fldChar w:fldCharType="begin"/>
      </w:r>
      <w:r>
        <w:instrText xml:space="preserve"> SEQ Figure \* ARABIC \s 1 </w:instrText>
      </w:r>
      <w:r w:rsidRPr="00B27BE5">
        <w:fldChar w:fldCharType="separate"/>
      </w:r>
      <w:r w:rsidR="007E3457">
        <w:rPr>
          <w:noProof/>
        </w:rPr>
        <w:t>4</w:t>
      </w:r>
      <w:r w:rsidRPr="00B27BE5">
        <w:fldChar w:fldCharType="end"/>
      </w:r>
      <w:bookmarkEnd w:id="394"/>
      <w:r w:rsidRPr="00883125">
        <w:tab/>
      </w:r>
      <w:r>
        <w:t xml:space="preserve">Variability </w:t>
      </w:r>
      <w:r w:rsidR="006C6181">
        <w:t>in tax statistics and equity ownership</w:t>
      </w:r>
      <w:r w:rsidR="00D42C73">
        <w:rPr>
          <w:noProof/>
          <w:lang w:eastAsia="en-AU"/>
        </w:rPr>
        <w:drawing>
          <wp:inline distT="0" distB="0" distL="0" distR="0" wp14:anchorId="6D4A5C6F" wp14:editId="58C90E73">
            <wp:extent cx="5274259" cy="3163094"/>
            <wp:effectExtent l="0" t="0" r="317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272409" cy="3161984"/>
                    </a:xfrm>
                    <a:prstGeom prst="rect">
                      <a:avLst/>
                    </a:prstGeom>
                    <a:noFill/>
                  </pic:spPr>
                </pic:pic>
              </a:graphicData>
            </a:graphic>
          </wp:inline>
        </w:drawing>
      </w:r>
    </w:p>
    <w:p w:rsidR="008E1126" w:rsidRPr="00883125" w:rsidRDefault="008E1126" w:rsidP="00C52695"/>
    <w:p w:rsidR="00C52695" w:rsidRPr="00883125" w:rsidRDefault="00C52695" w:rsidP="00C52695">
      <w:pPr>
        <w:pStyle w:val="Heading8"/>
      </w:pPr>
      <w:bookmarkStart w:id="395" w:name="_Ref451184082"/>
      <w:bookmarkStart w:id="396" w:name="_Ref451186079"/>
      <w:bookmarkStart w:id="397" w:name="_Ref451242641"/>
      <w:bookmarkStart w:id="398" w:name="_Ref451266265"/>
      <w:bookmarkStart w:id="399" w:name="_Ref451267181"/>
      <w:bookmarkStart w:id="400" w:name="_Ref451267267"/>
      <w:bookmarkStart w:id="401" w:name="_Ref451267696"/>
      <w:bookmarkStart w:id="402" w:name="_Ref451267729"/>
      <w:bookmarkStart w:id="403" w:name="_Ref451267750"/>
      <w:bookmarkStart w:id="404" w:name="_Toc451842262"/>
      <w:bookmarkStart w:id="405" w:name="_Toc451938316"/>
      <w:bookmarkStart w:id="406" w:name="_Toc456614335"/>
      <w:bookmarkStart w:id="407" w:name="_Toc462823341"/>
      <w:bookmarkStart w:id="408" w:name="_Toc487014096"/>
      <w:r w:rsidRPr="00883125">
        <w:t>Implied market value studies</w:t>
      </w:r>
      <w:bookmarkEnd w:id="392"/>
      <w:bookmarkEnd w:id="393"/>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p>
    <w:p w:rsidR="00C52695" w:rsidRPr="00883125" w:rsidRDefault="00C52695" w:rsidP="00C52695">
      <w:pPr>
        <w:numPr>
          <w:ilvl w:val="0"/>
          <w:numId w:val="24"/>
        </w:numPr>
      </w:pPr>
      <w:r w:rsidRPr="00883125">
        <w:t xml:space="preserve">Implied market value studies seek to infer from market prices the value of distributed imputation credits. Our position on the use of implied market value studies to estimate the utilisation rate is set out in section </w:t>
      </w:r>
      <w:r w:rsidR="00B630B5">
        <w:fldChar w:fldCharType="begin"/>
      </w:r>
      <w:r w:rsidR="00B630B5">
        <w:instrText xml:space="preserve"> REF _Ref475456919 \r \h </w:instrText>
      </w:r>
      <w:r w:rsidR="00B630B5">
        <w:fldChar w:fldCharType="separate"/>
      </w:r>
      <w:r w:rsidR="007E3457">
        <w:t>4.4</w:t>
      </w:r>
      <w:r w:rsidR="00B630B5">
        <w:fldChar w:fldCharType="end"/>
      </w:r>
      <w:r w:rsidR="001453E4">
        <w:t xml:space="preserve"> of attachment 4.</w:t>
      </w:r>
    </w:p>
    <w:p w:rsidR="00C52695" w:rsidRPr="00883125" w:rsidRDefault="00C52695" w:rsidP="00C52695">
      <w:pPr>
        <w:numPr>
          <w:ilvl w:val="0"/>
          <w:numId w:val="24"/>
        </w:numPr>
      </w:pPr>
      <w:r w:rsidRPr="00883125">
        <w:t xml:space="preserve">This section sets out further evidence which supports our position on the use of implied market value studies to estimate the utilisation rate. It describes the types of study available, and estimates from these studies. As we discuss in section </w:t>
      </w:r>
      <w:r w:rsidR="00B630B5" w:rsidRPr="00B630B5">
        <w:fldChar w:fldCharType="begin"/>
      </w:r>
      <w:r w:rsidR="00B630B5" w:rsidRPr="00B630B5">
        <w:instrText xml:space="preserve"> REF _Ref475456919 \r \h </w:instrText>
      </w:r>
      <w:r w:rsidR="00B630B5" w:rsidRPr="00B630B5">
        <w:fldChar w:fldCharType="separate"/>
      </w:r>
      <w:r w:rsidR="007E3457">
        <w:t>4.4</w:t>
      </w:r>
      <w:r w:rsidR="00B630B5" w:rsidRPr="00B630B5">
        <w:fldChar w:fldCharType="end"/>
      </w:r>
      <w:r w:rsidRPr="00883125">
        <w:t xml:space="preserve"> of attachment 4, the level of reliance we place on implied market value studies reflects the limitations of these studies. We discuss the limitations of the most common type of implied market value study, dividend drop off studies, in sections </w:t>
      </w:r>
      <w:r w:rsidRPr="00883125">
        <w:fldChar w:fldCharType="begin"/>
      </w:r>
      <w:r w:rsidRPr="00883125">
        <w:instrText xml:space="preserve"> REF _Ref414624721 \r \h </w:instrText>
      </w:r>
      <w:r w:rsidRPr="00883125">
        <w:fldChar w:fldCharType="separate"/>
      </w:r>
      <w:r w:rsidR="007E3457">
        <w:t>A.15.5</w:t>
      </w:r>
      <w:r w:rsidRPr="00883125">
        <w:fldChar w:fldCharType="end"/>
      </w:r>
      <w:r w:rsidRPr="00883125">
        <w:t>.</w:t>
      </w:r>
    </w:p>
    <w:p w:rsidR="00C52695" w:rsidRPr="00883125" w:rsidRDefault="00C52695" w:rsidP="00C52695">
      <w:pPr>
        <w:pStyle w:val="Heading9"/>
      </w:pPr>
      <w:bookmarkStart w:id="409" w:name="_Ref402791521"/>
      <w:bookmarkStart w:id="410" w:name="_Toc456614336"/>
      <w:bookmarkStart w:id="411" w:name="_Toc462823342"/>
      <w:bookmarkStart w:id="412" w:name="_Toc487014097"/>
      <w:r w:rsidRPr="00883125">
        <w:t>Types of implied market value studies</w:t>
      </w:r>
      <w:bookmarkEnd w:id="409"/>
      <w:bookmarkEnd w:id="410"/>
      <w:bookmarkEnd w:id="411"/>
      <w:bookmarkEnd w:id="412"/>
    </w:p>
    <w:p w:rsidR="00C52695" w:rsidRPr="00883125" w:rsidRDefault="00C52695" w:rsidP="00C52695">
      <w:pPr>
        <w:numPr>
          <w:ilvl w:val="0"/>
          <w:numId w:val="24"/>
        </w:numPr>
      </w:pPr>
      <w:r w:rsidRPr="00883125">
        <w:t>In this section, we describe the key characteristics of dividend drop off studies and other implied market value studies.</w:t>
      </w:r>
    </w:p>
    <w:p w:rsidR="00C52695" w:rsidRPr="00883125" w:rsidRDefault="00C52695" w:rsidP="007F6EED">
      <w:pPr>
        <w:pStyle w:val="HeadingBoldItalic"/>
      </w:pPr>
      <w:bookmarkStart w:id="413" w:name="_Toc456614337"/>
      <w:bookmarkStart w:id="414" w:name="_Toc481056717"/>
      <w:bookmarkStart w:id="415" w:name="_Toc481061511"/>
      <w:r w:rsidRPr="00883125">
        <w:t>Dividend drop off studies</w:t>
      </w:r>
      <w:bookmarkEnd w:id="413"/>
      <w:bookmarkEnd w:id="414"/>
      <w:bookmarkEnd w:id="415"/>
    </w:p>
    <w:p w:rsidR="00C52695" w:rsidRPr="00883125" w:rsidRDefault="00C52695" w:rsidP="00C52695">
      <w:pPr>
        <w:numPr>
          <w:ilvl w:val="0"/>
          <w:numId w:val="24"/>
        </w:numPr>
      </w:pPr>
      <w:r w:rsidRPr="00883125">
        <w:t>Dividend drop off studies are the most common type of implied market value study. These studies involve comparing share prices between:</w:t>
      </w:r>
    </w:p>
    <w:p w:rsidR="00C52695" w:rsidRPr="00883125" w:rsidRDefault="00C52695" w:rsidP="00C52695">
      <w:pPr>
        <w:pStyle w:val="AERbulletlistfirststyle"/>
      </w:pPr>
      <w:r w:rsidRPr="00883125">
        <w:t>the cum-dividend date—the last day on which investors owning shares will be eligible to receive dividends and the attached imputation credits, and</w:t>
      </w:r>
    </w:p>
    <w:p w:rsidR="00C52695" w:rsidRPr="00883125" w:rsidRDefault="00C52695" w:rsidP="00C52695">
      <w:pPr>
        <w:pStyle w:val="AERbulletlistfirststyle"/>
      </w:pPr>
      <w:r w:rsidRPr="00883125">
        <w:t>the ex-dividend date—the first day on which investors owning shares will not be eligible to receive dividends and attached imputation credits.</w:t>
      </w:r>
    </w:p>
    <w:p w:rsidR="00C52695" w:rsidRPr="00883125" w:rsidRDefault="00C52695" w:rsidP="00C52695">
      <w:pPr>
        <w:numPr>
          <w:ilvl w:val="0"/>
          <w:numId w:val="24"/>
        </w:numPr>
      </w:pPr>
      <w:r w:rsidRPr="00883125">
        <w:t>That is, an investor that buys a share on the cum-dividend date will be eligible to receive a dividend from that company. An investor who buys a share on the ex-dividend date will not. The difference in these prices should therefore reflect investors' valuation of the combined package of dividends and imputation credits, all other things being equal. Dividend drop off studies often will report this as a dividend drop off ratio. This is the reduction in the share price as a proportion of the face value of dividends paid out.</w:t>
      </w:r>
    </w:p>
    <w:p w:rsidR="00C52695" w:rsidRPr="00883125" w:rsidRDefault="00C52695" w:rsidP="00C52695">
      <w:pPr>
        <w:numPr>
          <w:ilvl w:val="0"/>
          <w:numId w:val="24"/>
        </w:numPr>
      </w:pPr>
      <w:r w:rsidRPr="00883125">
        <w:fldChar w:fldCharType="begin"/>
      </w:r>
      <w:r w:rsidRPr="00883125">
        <w:instrText xml:space="preserve"> REF _Ref401075742 \h </w:instrText>
      </w:r>
      <w:r w:rsidRPr="00883125">
        <w:fldChar w:fldCharType="separate"/>
      </w:r>
      <w:r w:rsidR="007E3457" w:rsidRPr="00883125">
        <w:t xml:space="preserve">Table </w:t>
      </w:r>
      <w:r w:rsidR="007E3457">
        <w:rPr>
          <w:noProof/>
        </w:rPr>
        <w:t>4</w:t>
      </w:r>
      <w:r w:rsidR="007E3457">
        <w:noBreakHyphen/>
      </w:r>
      <w:r w:rsidR="007E3457">
        <w:rPr>
          <w:noProof/>
        </w:rPr>
        <w:t>16</w:t>
      </w:r>
      <w:r w:rsidRPr="00883125">
        <w:fldChar w:fldCharType="end"/>
      </w:r>
      <w:r w:rsidRPr="00883125">
        <w:t xml:space="preserve"> identifies the dividend drop off studies that we are aware of, and describes the methodology of each study. The results from these studies are presented in </w:t>
      </w:r>
      <w:r w:rsidRPr="00883125">
        <w:fldChar w:fldCharType="begin"/>
      </w:r>
      <w:r w:rsidRPr="00883125">
        <w:instrText xml:space="preserve"> REF  _Ref401075676 \* Lower \h </w:instrText>
      </w:r>
      <w:r w:rsidRPr="00883125">
        <w:fldChar w:fldCharType="separate"/>
      </w:r>
      <w:r w:rsidR="007E3457" w:rsidRPr="00883125">
        <w:t xml:space="preserve">table </w:t>
      </w:r>
      <w:r w:rsidR="007E3457">
        <w:rPr>
          <w:noProof/>
        </w:rPr>
        <w:t>4</w:t>
      </w:r>
      <w:r w:rsidR="007E3457">
        <w:noBreakHyphen/>
      </w:r>
      <w:r w:rsidR="007E3457">
        <w:rPr>
          <w:noProof/>
        </w:rPr>
        <w:t>19</w:t>
      </w:r>
      <w:r w:rsidRPr="00883125">
        <w:fldChar w:fldCharType="end"/>
      </w:r>
      <w:r w:rsidRPr="00883125">
        <w:t>.</w:t>
      </w:r>
    </w:p>
    <w:p w:rsidR="00C52695" w:rsidRPr="00883125" w:rsidRDefault="00C52695" w:rsidP="00C52695">
      <w:pPr>
        <w:pStyle w:val="Caption"/>
      </w:pPr>
      <w:bookmarkStart w:id="416" w:name="_Ref401075742"/>
      <w:r w:rsidRPr="00883125">
        <w:t xml:space="preserve">Table </w:t>
      </w:r>
      <w:r w:rsidRPr="001D37D5">
        <w:fldChar w:fldCharType="begin"/>
      </w:r>
      <w:r>
        <w:instrText xml:space="preserve"> STYLEREF 1 \s </w:instrText>
      </w:r>
      <w:r w:rsidRPr="001D37D5">
        <w:fldChar w:fldCharType="separate"/>
      </w:r>
      <w:r w:rsidR="007E3457">
        <w:rPr>
          <w:noProof/>
        </w:rPr>
        <w:t>4</w:t>
      </w:r>
      <w:r w:rsidRPr="001D37D5">
        <w:fldChar w:fldCharType="end"/>
      </w:r>
      <w:r>
        <w:noBreakHyphen/>
      </w:r>
      <w:r w:rsidRPr="001D37D5">
        <w:fldChar w:fldCharType="begin"/>
      </w:r>
      <w:r>
        <w:instrText xml:space="preserve"> SEQ Table \* ARABIC \s 1 </w:instrText>
      </w:r>
      <w:r w:rsidRPr="001D37D5">
        <w:fldChar w:fldCharType="separate"/>
      </w:r>
      <w:r w:rsidR="007E3457">
        <w:rPr>
          <w:noProof/>
        </w:rPr>
        <w:t>16</w:t>
      </w:r>
      <w:r w:rsidRPr="001D37D5">
        <w:fldChar w:fldCharType="end"/>
      </w:r>
      <w:bookmarkEnd w:id="416"/>
      <w:r w:rsidRPr="00883125">
        <w:tab/>
        <w:t>Summary of available dividend drop off studies</w:t>
      </w:r>
    </w:p>
    <w:tbl>
      <w:tblPr>
        <w:tblStyle w:val="AERtable-text0"/>
        <w:tblW w:w="0" w:type="auto"/>
        <w:tblLook w:val="04A0" w:firstRow="1" w:lastRow="0" w:firstColumn="1" w:lastColumn="0" w:noHBand="0" w:noVBand="1"/>
      </w:tblPr>
      <w:tblGrid>
        <w:gridCol w:w="2414"/>
        <w:gridCol w:w="1217"/>
        <w:gridCol w:w="5062"/>
      </w:tblGrid>
      <w:tr w:rsidR="00C52695" w:rsidTr="00FD3860">
        <w:trPr>
          <w:cnfStyle w:val="100000000000" w:firstRow="1" w:lastRow="0" w:firstColumn="0" w:lastColumn="0" w:oddVBand="0" w:evenVBand="0" w:oddHBand="0" w:evenHBand="0" w:firstRowFirstColumn="0" w:firstRowLastColumn="0" w:lastRowFirstColumn="0" w:lastRowLastColumn="0"/>
          <w:cantSplit/>
          <w:tblHeader/>
        </w:trPr>
        <w:tc>
          <w:tcPr>
            <w:tcW w:w="2414" w:type="dxa"/>
          </w:tcPr>
          <w:p w:rsidR="00C52695" w:rsidRPr="00C52695" w:rsidRDefault="00C52695" w:rsidP="00C52695">
            <w:r w:rsidRPr="00883125">
              <w:t>Authors</w:t>
            </w:r>
          </w:p>
        </w:tc>
        <w:tc>
          <w:tcPr>
            <w:tcW w:w="1217" w:type="dxa"/>
          </w:tcPr>
          <w:p w:rsidR="00C52695" w:rsidRPr="00C52695" w:rsidRDefault="00C52695" w:rsidP="00C52695">
            <w:r w:rsidRPr="00883125">
              <w:t>Data range</w:t>
            </w:r>
          </w:p>
        </w:tc>
        <w:tc>
          <w:tcPr>
            <w:tcW w:w="5062" w:type="dxa"/>
          </w:tcPr>
          <w:p w:rsidR="00C52695" w:rsidRPr="00C52695" w:rsidRDefault="00C52695" w:rsidP="00C52695">
            <w:r w:rsidRPr="00883125">
              <w:t>Assessment relative to other studies</w:t>
            </w:r>
            <w:r w:rsidRPr="00C52695">
              <w:t xml:space="preserve"> in that class</w:t>
            </w:r>
          </w:p>
        </w:tc>
      </w:tr>
      <w:tr w:rsidR="00C52695" w:rsidTr="00FD3860">
        <w:trPr>
          <w:cantSplit/>
        </w:trPr>
        <w:tc>
          <w:tcPr>
            <w:tcW w:w="8693" w:type="dxa"/>
            <w:gridSpan w:val="3"/>
          </w:tcPr>
          <w:p w:rsidR="00C52695" w:rsidRPr="00883125" w:rsidRDefault="00C52695" w:rsidP="00C52695">
            <w:pPr>
              <w:numPr>
                <w:ilvl w:val="0"/>
                <w:numId w:val="24"/>
              </w:numPr>
            </w:pPr>
            <w:r w:rsidRPr="00883125">
              <w:rPr>
                <w:rStyle w:val="Strong"/>
              </w:rPr>
              <w:t>Dividend drop off study</w:t>
            </w:r>
            <w:r w:rsidRPr="00883125">
              <w:t xml:space="preserve"> – Compare share prices before and after dividend events (with and without imputation credits).</w:t>
            </w:r>
          </w:p>
        </w:tc>
      </w:tr>
      <w:tr w:rsidR="00FD3860" w:rsidTr="00FD3860">
        <w:trPr>
          <w:cnfStyle w:val="000000010000" w:firstRow="0" w:lastRow="0" w:firstColumn="0" w:lastColumn="0" w:oddVBand="0" w:evenVBand="0" w:oddHBand="0" w:evenHBand="1" w:firstRowFirstColumn="0" w:firstRowLastColumn="0" w:lastRowFirstColumn="0" w:lastRowLastColumn="0"/>
          <w:cantSplit/>
        </w:trPr>
        <w:tc>
          <w:tcPr>
            <w:tcW w:w="2414" w:type="dxa"/>
          </w:tcPr>
          <w:p w:rsidR="00FD3860" w:rsidRPr="00FD3860" w:rsidRDefault="00FD3860" w:rsidP="00FD3860">
            <w:r>
              <w:t>Frontier (2016)</w:t>
            </w:r>
            <w:r w:rsidRPr="00FD3860">
              <w:rPr>
                <w:rStyle w:val="FootnoteReference"/>
              </w:rPr>
              <w:footnoteReference w:id="729"/>
            </w:r>
          </w:p>
        </w:tc>
        <w:tc>
          <w:tcPr>
            <w:tcW w:w="1217" w:type="dxa"/>
          </w:tcPr>
          <w:p w:rsidR="00FD3860" w:rsidRPr="00FD3860" w:rsidRDefault="00FD3860" w:rsidP="00FD3860">
            <w:r>
              <w:t>2001-2016</w:t>
            </w:r>
          </w:p>
        </w:tc>
        <w:tc>
          <w:tcPr>
            <w:tcW w:w="5062" w:type="dxa"/>
          </w:tcPr>
          <w:p w:rsidR="00FD3860" w:rsidRPr="00FD3860" w:rsidRDefault="00FD3860" w:rsidP="00FD3860">
            <w:r w:rsidRPr="00883125">
              <w:t>Updates SFG (2011) – same author, longer data series.</w:t>
            </w:r>
          </w:p>
        </w:tc>
      </w:tr>
      <w:tr w:rsidR="00FD3860" w:rsidTr="00FD3860">
        <w:trPr>
          <w:cantSplit/>
        </w:trPr>
        <w:tc>
          <w:tcPr>
            <w:tcW w:w="2414" w:type="dxa"/>
          </w:tcPr>
          <w:p w:rsidR="00FD3860" w:rsidRPr="00FD3860" w:rsidRDefault="00FD3860" w:rsidP="00FD3860">
            <w:r w:rsidRPr="00883125">
              <w:t>Vo et al (2013</w:t>
            </w:r>
            <w:r w:rsidRPr="00FD3860">
              <w:t>)</w:t>
            </w:r>
            <w:r w:rsidRPr="00FD3860">
              <w:rPr>
                <w:rStyle w:val="FootnoteReference"/>
              </w:rPr>
              <w:footnoteReference w:id="730"/>
            </w:r>
          </w:p>
        </w:tc>
        <w:tc>
          <w:tcPr>
            <w:tcW w:w="1217" w:type="dxa"/>
          </w:tcPr>
          <w:p w:rsidR="00FD3860" w:rsidRPr="00FD3860" w:rsidRDefault="00FD3860" w:rsidP="00FD3860">
            <w:r w:rsidRPr="00883125">
              <w:t>2001-2012</w:t>
            </w:r>
          </w:p>
        </w:tc>
        <w:tc>
          <w:tcPr>
            <w:tcW w:w="5062" w:type="dxa"/>
          </w:tcPr>
          <w:p w:rsidR="00FD3860" w:rsidRPr="00FD3860" w:rsidRDefault="00FD3860" w:rsidP="00FD3860">
            <w:r w:rsidRPr="00883125">
              <w:t>Builds on SFG (2011), includes additional econometric permutations and sensitivity analysis.</w:t>
            </w:r>
          </w:p>
        </w:tc>
      </w:tr>
      <w:tr w:rsidR="00FD3860" w:rsidTr="00FD3860">
        <w:trPr>
          <w:cnfStyle w:val="000000010000" w:firstRow="0" w:lastRow="0" w:firstColumn="0" w:lastColumn="0" w:oddVBand="0" w:evenVBand="0" w:oddHBand="0" w:evenHBand="1" w:firstRowFirstColumn="0" w:firstRowLastColumn="0" w:lastRowFirstColumn="0" w:lastRowLastColumn="0"/>
          <w:cantSplit/>
        </w:trPr>
        <w:tc>
          <w:tcPr>
            <w:tcW w:w="2414" w:type="dxa"/>
          </w:tcPr>
          <w:p w:rsidR="00FD3860" w:rsidRPr="00FD3860" w:rsidRDefault="00FD3860" w:rsidP="00FD3860">
            <w:r w:rsidRPr="00883125">
              <w:t>SFG (2013a)</w:t>
            </w:r>
            <w:r w:rsidRPr="00FD3860">
              <w:rPr>
                <w:rStyle w:val="FootnoteReference"/>
              </w:rPr>
              <w:footnoteReference w:id="731"/>
            </w:r>
          </w:p>
        </w:tc>
        <w:tc>
          <w:tcPr>
            <w:tcW w:w="1217" w:type="dxa"/>
          </w:tcPr>
          <w:p w:rsidR="00FD3860" w:rsidRPr="00FD3860" w:rsidRDefault="00FD3860" w:rsidP="00FD3860">
            <w:r w:rsidRPr="00883125">
              <w:t>2001-2012</w:t>
            </w:r>
          </w:p>
        </w:tc>
        <w:tc>
          <w:tcPr>
            <w:tcW w:w="5062" w:type="dxa"/>
          </w:tcPr>
          <w:p w:rsidR="00FD3860" w:rsidRPr="00FD3860" w:rsidRDefault="00FD3860" w:rsidP="00FD3860">
            <w:r w:rsidRPr="00883125">
              <w:t>Updates SFG (2011) – same author, longer data series.</w:t>
            </w:r>
          </w:p>
        </w:tc>
      </w:tr>
      <w:tr w:rsidR="00FD3860" w:rsidTr="00FD3860">
        <w:trPr>
          <w:cantSplit/>
        </w:trPr>
        <w:tc>
          <w:tcPr>
            <w:tcW w:w="2414" w:type="dxa"/>
          </w:tcPr>
          <w:p w:rsidR="00FD3860" w:rsidRPr="00FD3860" w:rsidRDefault="00FD3860" w:rsidP="00FD3860">
            <w:r w:rsidRPr="00883125">
              <w:t>SFG (2011)</w:t>
            </w:r>
            <w:r w:rsidRPr="00FD3860">
              <w:rPr>
                <w:rStyle w:val="FootnoteReference"/>
              </w:rPr>
              <w:footnoteReference w:id="732"/>
            </w:r>
          </w:p>
        </w:tc>
        <w:tc>
          <w:tcPr>
            <w:tcW w:w="1217" w:type="dxa"/>
          </w:tcPr>
          <w:p w:rsidR="00FD3860" w:rsidRPr="00FD3860" w:rsidRDefault="00FD3860" w:rsidP="00FD3860">
            <w:r w:rsidRPr="00883125">
              <w:t>2001-2010</w:t>
            </w:r>
          </w:p>
        </w:tc>
        <w:tc>
          <w:tcPr>
            <w:tcW w:w="5062" w:type="dxa"/>
          </w:tcPr>
          <w:p w:rsidR="00FD3860" w:rsidRPr="00FD3860" w:rsidRDefault="00FD3860" w:rsidP="00FD3860">
            <w:r w:rsidRPr="00883125">
              <w:t>Study commissioned by the Australian Competition Tribunal.</w:t>
            </w:r>
          </w:p>
        </w:tc>
      </w:tr>
      <w:tr w:rsidR="00FD3860" w:rsidTr="00FD3860">
        <w:trPr>
          <w:cnfStyle w:val="000000010000" w:firstRow="0" w:lastRow="0" w:firstColumn="0" w:lastColumn="0" w:oddVBand="0" w:evenVBand="0" w:oddHBand="0" w:evenHBand="1" w:firstRowFirstColumn="0" w:firstRowLastColumn="0" w:lastRowFirstColumn="0" w:lastRowLastColumn="0"/>
          <w:cantSplit/>
        </w:trPr>
        <w:tc>
          <w:tcPr>
            <w:tcW w:w="2414" w:type="dxa"/>
          </w:tcPr>
          <w:p w:rsidR="00FD3860" w:rsidRPr="00FD3860" w:rsidRDefault="00FD3860" w:rsidP="00FD3860">
            <w:r w:rsidRPr="00883125">
              <w:t>Minney (2010)</w:t>
            </w:r>
            <w:r w:rsidRPr="00FD3860">
              <w:rPr>
                <w:rStyle w:val="FootnoteReference"/>
              </w:rPr>
              <w:footnoteReference w:id="733"/>
            </w:r>
          </w:p>
        </w:tc>
        <w:tc>
          <w:tcPr>
            <w:tcW w:w="1217" w:type="dxa"/>
          </w:tcPr>
          <w:p w:rsidR="00FD3860" w:rsidRPr="00FD3860" w:rsidRDefault="00FD3860" w:rsidP="00FD3860">
            <w:r w:rsidRPr="00883125">
              <w:t>2001–2009</w:t>
            </w:r>
          </w:p>
        </w:tc>
        <w:tc>
          <w:tcPr>
            <w:tcW w:w="5062" w:type="dxa"/>
          </w:tcPr>
          <w:p w:rsidR="00FD3860" w:rsidRPr="00FD3860" w:rsidRDefault="00FD3860" w:rsidP="00FD3860">
            <w:r w:rsidRPr="00883125">
              <w:t xml:space="preserve">Partitions by firm size; </w:t>
            </w:r>
            <w:r w:rsidRPr="00FD3860">
              <w:t>sub-periods 2001–2005 and 2006–2009.</w:t>
            </w:r>
          </w:p>
        </w:tc>
      </w:tr>
      <w:tr w:rsidR="00FD3860" w:rsidTr="00FD3860">
        <w:trPr>
          <w:cantSplit/>
        </w:trPr>
        <w:tc>
          <w:tcPr>
            <w:tcW w:w="2414" w:type="dxa"/>
          </w:tcPr>
          <w:p w:rsidR="00FD3860" w:rsidRPr="00FD3860" w:rsidRDefault="00FD3860" w:rsidP="00FD3860">
            <w:r w:rsidRPr="00883125">
              <w:t>Beggs and Skeels (2006)</w:t>
            </w:r>
            <w:r w:rsidRPr="00FD3860">
              <w:rPr>
                <w:rStyle w:val="FootnoteReference"/>
              </w:rPr>
              <w:footnoteReference w:id="734"/>
            </w:r>
          </w:p>
        </w:tc>
        <w:tc>
          <w:tcPr>
            <w:tcW w:w="1217" w:type="dxa"/>
          </w:tcPr>
          <w:p w:rsidR="00FD3860" w:rsidRPr="00FD3860" w:rsidRDefault="00FD3860" w:rsidP="00FD3860">
            <w:r w:rsidRPr="00883125">
              <w:t>1986-2004</w:t>
            </w:r>
          </w:p>
        </w:tc>
        <w:tc>
          <w:tcPr>
            <w:tcW w:w="5062" w:type="dxa"/>
          </w:tcPr>
          <w:p w:rsidR="00FD3860" w:rsidRPr="00FD3860" w:rsidRDefault="00FD3860" w:rsidP="00FD3860">
            <w:r w:rsidRPr="00883125">
              <w:t>Key study in the AER's 2009 review of rate of return parameters. Data calculated yearly.</w:t>
            </w:r>
          </w:p>
        </w:tc>
      </w:tr>
      <w:tr w:rsidR="00FD3860" w:rsidTr="00FD3860">
        <w:trPr>
          <w:cnfStyle w:val="000000010000" w:firstRow="0" w:lastRow="0" w:firstColumn="0" w:lastColumn="0" w:oddVBand="0" w:evenVBand="0" w:oddHBand="0" w:evenHBand="1" w:firstRowFirstColumn="0" w:firstRowLastColumn="0" w:lastRowFirstColumn="0" w:lastRowLastColumn="0"/>
          <w:cantSplit/>
        </w:trPr>
        <w:tc>
          <w:tcPr>
            <w:tcW w:w="2414" w:type="dxa"/>
          </w:tcPr>
          <w:p w:rsidR="00FD3860" w:rsidRPr="00FD3860" w:rsidRDefault="00FD3860" w:rsidP="00FD3860">
            <w:r w:rsidRPr="00883125">
              <w:t>Hathaway and Officer (2004)</w:t>
            </w:r>
            <w:r w:rsidRPr="00FD3860">
              <w:rPr>
                <w:rStyle w:val="FootnoteReference"/>
              </w:rPr>
              <w:footnoteReference w:id="735"/>
            </w:r>
          </w:p>
        </w:tc>
        <w:tc>
          <w:tcPr>
            <w:tcW w:w="1217" w:type="dxa"/>
          </w:tcPr>
          <w:p w:rsidR="00FD3860" w:rsidRPr="00FD3860" w:rsidRDefault="00FD3860" w:rsidP="00FD3860">
            <w:r w:rsidRPr="00883125">
              <w:t>1986-2004</w:t>
            </w:r>
          </w:p>
        </w:tc>
        <w:tc>
          <w:tcPr>
            <w:tcW w:w="5062" w:type="dxa"/>
          </w:tcPr>
          <w:p w:rsidR="00FD3860" w:rsidRPr="00FD3860" w:rsidRDefault="00FD3860" w:rsidP="00FD3860">
            <w:r w:rsidRPr="00883125">
              <w:t>Study partitions by firm size, dividend yield level.</w:t>
            </w:r>
          </w:p>
        </w:tc>
      </w:tr>
      <w:tr w:rsidR="00FD3860" w:rsidTr="00FD3860">
        <w:trPr>
          <w:cantSplit/>
        </w:trPr>
        <w:tc>
          <w:tcPr>
            <w:tcW w:w="2414" w:type="dxa"/>
          </w:tcPr>
          <w:p w:rsidR="00FD3860" w:rsidRPr="00FD3860" w:rsidRDefault="00FD3860" w:rsidP="00FD3860">
            <w:r w:rsidRPr="00883125">
              <w:t>Bellamy and Gray (2004)</w:t>
            </w:r>
            <w:r w:rsidRPr="00FD3860">
              <w:rPr>
                <w:rStyle w:val="FootnoteReference"/>
              </w:rPr>
              <w:footnoteReference w:id="736"/>
            </w:r>
          </w:p>
        </w:tc>
        <w:tc>
          <w:tcPr>
            <w:tcW w:w="1217" w:type="dxa"/>
          </w:tcPr>
          <w:p w:rsidR="00FD3860" w:rsidRPr="00FD3860" w:rsidRDefault="00FD3860" w:rsidP="00FD3860">
            <w:r w:rsidRPr="00883125">
              <w:t>1995-2002</w:t>
            </w:r>
          </w:p>
        </w:tc>
        <w:tc>
          <w:tcPr>
            <w:tcW w:w="5062" w:type="dxa"/>
          </w:tcPr>
          <w:p w:rsidR="00FD3860" w:rsidRPr="00FD3860" w:rsidRDefault="00FD3860" w:rsidP="00FD3860">
            <w:r w:rsidRPr="00883125">
              <w:t xml:space="preserve">Several </w:t>
            </w:r>
            <w:r w:rsidRPr="00FD3860">
              <w:t>regression forms and sample selections. Partitions by size and time period (pre and post 45-day holding rule). Use of simulation to inform regression equation.</w:t>
            </w:r>
          </w:p>
        </w:tc>
      </w:tr>
      <w:tr w:rsidR="00FD3860" w:rsidTr="00FD3860">
        <w:trPr>
          <w:cnfStyle w:val="000000010000" w:firstRow="0" w:lastRow="0" w:firstColumn="0" w:lastColumn="0" w:oddVBand="0" w:evenVBand="0" w:oddHBand="0" w:evenHBand="1" w:firstRowFirstColumn="0" w:firstRowLastColumn="0" w:lastRowFirstColumn="0" w:lastRowLastColumn="0"/>
          <w:cantSplit/>
        </w:trPr>
        <w:tc>
          <w:tcPr>
            <w:tcW w:w="2414" w:type="dxa"/>
          </w:tcPr>
          <w:p w:rsidR="00FD3860" w:rsidRPr="00FD3860" w:rsidRDefault="00FD3860" w:rsidP="00FD3860">
            <w:r w:rsidRPr="00883125">
              <w:t>Bruckner et al (1994)</w:t>
            </w:r>
            <w:r w:rsidRPr="00FD3860">
              <w:rPr>
                <w:rStyle w:val="FootnoteReference"/>
              </w:rPr>
              <w:footnoteReference w:id="737"/>
            </w:r>
          </w:p>
        </w:tc>
        <w:tc>
          <w:tcPr>
            <w:tcW w:w="1217" w:type="dxa"/>
          </w:tcPr>
          <w:p w:rsidR="00FD3860" w:rsidRPr="00FD3860" w:rsidRDefault="00FD3860" w:rsidP="00FD3860">
            <w:r w:rsidRPr="00883125">
              <w:t>1987-1993</w:t>
            </w:r>
          </w:p>
        </w:tc>
        <w:tc>
          <w:tcPr>
            <w:tcW w:w="5062" w:type="dxa"/>
          </w:tcPr>
          <w:p w:rsidR="00FD3860" w:rsidRPr="00FD3860" w:rsidRDefault="00FD3860" w:rsidP="00FD3860">
            <w:r w:rsidRPr="00883125">
              <w:t>Early study with limited data; sub-periods 1987–1990 and 1991–1993.</w:t>
            </w:r>
          </w:p>
        </w:tc>
      </w:tr>
      <w:tr w:rsidR="00FD3860" w:rsidTr="00FD3860">
        <w:trPr>
          <w:cantSplit/>
        </w:trPr>
        <w:tc>
          <w:tcPr>
            <w:tcW w:w="2414" w:type="dxa"/>
          </w:tcPr>
          <w:p w:rsidR="00FD3860" w:rsidRPr="00FD3860" w:rsidRDefault="00FD3860" w:rsidP="00FD3860">
            <w:r w:rsidRPr="00883125">
              <w:t>Brown and Clarke (1993)</w:t>
            </w:r>
            <w:r w:rsidRPr="00FD3860">
              <w:rPr>
                <w:rStyle w:val="FootnoteReference"/>
              </w:rPr>
              <w:footnoteReference w:id="738"/>
            </w:r>
          </w:p>
        </w:tc>
        <w:tc>
          <w:tcPr>
            <w:tcW w:w="1217" w:type="dxa"/>
          </w:tcPr>
          <w:p w:rsidR="00FD3860" w:rsidRPr="00FD3860" w:rsidRDefault="00FD3860" w:rsidP="00FD3860">
            <w:r w:rsidRPr="00883125">
              <w:t>1973–1991</w:t>
            </w:r>
          </w:p>
        </w:tc>
        <w:tc>
          <w:tcPr>
            <w:tcW w:w="5062" w:type="dxa"/>
          </w:tcPr>
          <w:p w:rsidR="00FD3860" w:rsidRPr="00FD3860" w:rsidRDefault="00FD3860" w:rsidP="00FD3860">
            <w:r w:rsidRPr="00883125">
              <w:t>Compares dividend drop off before and after imputation; presents yearly figures and sub-periods.</w:t>
            </w:r>
          </w:p>
        </w:tc>
      </w:tr>
    </w:tbl>
    <w:p w:rsidR="00C52695" w:rsidRPr="00883125" w:rsidRDefault="00C52695" w:rsidP="00C52695">
      <w:pPr>
        <w:pStyle w:val="AERtablesource"/>
      </w:pPr>
      <w:r w:rsidRPr="00883125">
        <w:t xml:space="preserve">Source: </w:t>
      </w:r>
      <w:r w:rsidRPr="00883125">
        <w:tab/>
        <w:t>As specified in table.</w:t>
      </w:r>
    </w:p>
    <w:p w:rsidR="00C52695" w:rsidRPr="00883125" w:rsidRDefault="00C52695" w:rsidP="007F6EED">
      <w:pPr>
        <w:pStyle w:val="HeadingBoldItalic"/>
      </w:pPr>
      <w:bookmarkStart w:id="417" w:name="_Toc456614338"/>
      <w:bookmarkStart w:id="418" w:name="_Toc481056718"/>
      <w:bookmarkStart w:id="419" w:name="_Toc481061512"/>
      <w:r w:rsidRPr="00883125">
        <w:t>Alternative implied market value studies</w:t>
      </w:r>
      <w:bookmarkEnd w:id="417"/>
      <w:bookmarkEnd w:id="418"/>
      <w:bookmarkEnd w:id="419"/>
    </w:p>
    <w:p w:rsidR="00C52695" w:rsidRPr="00883125" w:rsidRDefault="00C52695" w:rsidP="00C52695">
      <w:pPr>
        <w:numPr>
          <w:ilvl w:val="0"/>
          <w:numId w:val="24"/>
        </w:numPr>
      </w:pPr>
      <w:r w:rsidRPr="00883125">
        <w:t>Besides dividend drop off studies, there are alternative market-based implied valuation approaches to estimating the utilisation rate. Generally, these studies are based on similar arbitrage principles to dividend drop off studies. This means they compare two security prices where one security includes the entitlement and one security excludes the entitlement. They then assume the difference reflects the market valuation of the entitlement. However, they are designed to avoid the other influences in the data that affect traditional dividend drop off analysis. In particular, these studies typically use simultaneous price differentials that make them less affected by general market movements. That is, the differentials should more accurately reflect the implied market value of the specific dividend event. Some examples of alternative market-based valuation approaches involve:</w:t>
      </w:r>
    </w:p>
    <w:p w:rsidR="00C52695" w:rsidRPr="00883125" w:rsidRDefault="00C52695" w:rsidP="00C52695">
      <w:pPr>
        <w:pStyle w:val="AERbulletlistfirststyle"/>
      </w:pPr>
      <w:r w:rsidRPr="00883125">
        <w:t>Simultaneous trading of shares with and without entitlements.</w:t>
      </w:r>
    </w:p>
    <w:p w:rsidR="00C52695" w:rsidRPr="00883125" w:rsidRDefault="00C52695" w:rsidP="00C52695">
      <w:pPr>
        <w:pStyle w:val="AERbulletlistfirststyle"/>
      </w:pPr>
      <w:r w:rsidRPr="00883125">
        <w:t>Simultaneous trading of derivatives and futures and of their underlying shares.</w:t>
      </w:r>
    </w:p>
    <w:p w:rsidR="00C52695" w:rsidRPr="00883125" w:rsidRDefault="00C52695" w:rsidP="00C52695">
      <w:pPr>
        <w:pStyle w:val="AERbulletlistfirststyle"/>
      </w:pPr>
      <w:r w:rsidRPr="00883125">
        <w:t>Hybrid securities which trade with imputation credits.</w:t>
      </w:r>
    </w:p>
    <w:p w:rsidR="00C52695" w:rsidRPr="00883125" w:rsidRDefault="00C52695" w:rsidP="00C52695">
      <w:pPr>
        <w:pStyle w:val="AERbulletlistfirststyle"/>
      </w:pPr>
      <w:r w:rsidRPr="00883125">
        <w:t>Comparison of the capital gains and (cash) dividend returns across time.</w:t>
      </w:r>
    </w:p>
    <w:p w:rsidR="00C52695" w:rsidRDefault="00C52695" w:rsidP="00C52695">
      <w:pPr>
        <w:rPr>
          <w:rStyle w:val="AERbody"/>
        </w:rPr>
      </w:pPr>
      <w:r w:rsidRPr="00B27BE5">
        <w:rPr>
          <w:rStyle w:val="AERbody"/>
        </w:rPr>
        <w:fldChar w:fldCharType="begin"/>
      </w:r>
      <w:r w:rsidRPr="00B27BE5">
        <w:rPr>
          <w:rStyle w:val="AERbody"/>
        </w:rPr>
        <w:instrText xml:space="preserve"> REF _Ref401075839 \h </w:instrText>
      </w:r>
      <w:r w:rsidRPr="00883125">
        <w:rPr>
          <w:rStyle w:val="AERbody"/>
        </w:rPr>
        <w:instrText xml:space="preserve"> \* MERGEFORMAT </w:instrText>
      </w:r>
      <w:r w:rsidRPr="00B27BE5">
        <w:rPr>
          <w:rStyle w:val="AERbody"/>
        </w:rPr>
      </w:r>
      <w:r w:rsidRPr="00B27BE5">
        <w:rPr>
          <w:rStyle w:val="AERbody"/>
        </w:rPr>
        <w:fldChar w:fldCharType="separate"/>
      </w:r>
      <w:r w:rsidR="007E3457" w:rsidRPr="007E3457">
        <w:rPr>
          <w:rStyle w:val="AERbody"/>
        </w:rPr>
        <w:t>Table 4</w:t>
      </w:r>
      <w:r w:rsidR="007E3457" w:rsidRPr="007E3457">
        <w:rPr>
          <w:rStyle w:val="AERbody"/>
        </w:rPr>
        <w:noBreakHyphen/>
        <w:t>17</w:t>
      </w:r>
      <w:r w:rsidRPr="00B27BE5">
        <w:rPr>
          <w:rStyle w:val="AERbody"/>
        </w:rPr>
        <w:fldChar w:fldCharType="end"/>
      </w:r>
      <w:r w:rsidRPr="00B27BE5">
        <w:rPr>
          <w:rStyle w:val="AERbody"/>
        </w:rPr>
        <w:t xml:space="preserve"> identifies the alternative implied market value studies that we are aware of, and describes the methodology of each study. The results from these studies are presented in</w:t>
      </w:r>
      <w:r w:rsidRPr="00883125">
        <w:rPr>
          <w:rStyle w:val="AERbody"/>
        </w:rPr>
        <w:t xml:space="preserve"> </w:t>
      </w:r>
      <w:r w:rsidRPr="00883125">
        <w:rPr>
          <w:rStyle w:val="AERbody"/>
        </w:rPr>
        <w:fldChar w:fldCharType="begin"/>
      </w:r>
      <w:r w:rsidRPr="00883125">
        <w:rPr>
          <w:rStyle w:val="AERbody"/>
        </w:rPr>
        <w:instrText xml:space="preserve"> REF _Ref449538408 \h </w:instrText>
      </w:r>
      <w:r w:rsidRPr="00883125">
        <w:rPr>
          <w:rStyle w:val="AERbody"/>
        </w:rPr>
      </w:r>
      <w:r w:rsidRPr="00883125">
        <w:rPr>
          <w:rStyle w:val="AERbody"/>
        </w:rPr>
        <w:fldChar w:fldCharType="separate"/>
      </w:r>
      <w:r w:rsidR="007E3457" w:rsidRPr="00883125">
        <w:t xml:space="preserve">Table </w:t>
      </w:r>
      <w:r w:rsidR="007E3457">
        <w:rPr>
          <w:noProof/>
        </w:rPr>
        <w:t>4</w:t>
      </w:r>
      <w:r w:rsidR="007E3457">
        <w:noBreakHyphen/>
      </w:r>
      <w:r w:rsidR="007E3457">
        <w:rPr>
          <w:noProof/>
        </w:rPr>
        <w:t>20</w:t>
      </w:r>
      <w:r w:rsidRPr="00883125">
        <w:rPr>
          <w:rStyle w:val="AERbody"/>
        </w:rPr>
        <w:fldChar w:fldCharType="end"/>
      </w:r>
      <w:r w:rsidRPr="00883125">
        <w:rPr>
          <w:rStyle w:val="AERbody"/>
        </w:rPr>
        <w:t>.</w:t>
      </w:r>
    </w:p>
    <w:p w:rsidR="001453E4" w:rsidRPr="00B27BE5" w:rsidRDefault="001453E4" w:rsidP="00C52695">
      <w:pPr>
        <w:rPr>
          <w:rStyle w:val="AERbody"/>
        </w:rPr>
      </w:pPr>
    </w:p>
    <w:p w:rsidR="00C52695" w:rsidRPr="00883125" w:rsidRDefault="00C52695" w:rsidP="00C52695">
      <w:pPr>
        <w:pStyle w:val="Caption"/>
      </w:pPr>
      <w:bookmarkStart w:id="420" w:name="_Ref401075839"/>
      <w:r w:rsidRPr="00883125">
        <w:t xml:space="preserve">Table </w:t>
      </w:r>
      <w:r w:rsidRPr="001D37D5">
        <w:fldChar w:fldCharType="begin"/>
      </w:r>
      <w:r>
        <w:instrText xml:space="preserve"> STYLEREF 1 \s </w:instrText>
      </w:r>
      <w:r w:rsidRPr="001D37D5">
        <w:fldChar w:fldCharType="separate"/>
      </w:r>
      <w:r w:rsidR="007E3457">
        <w:rPr>
          <w:noProof/>
        </w:rPr>
        <w:t>4</w:t>
      </w:r>
      <w:r w:rsidRPr="001D37D5">
        <w:fldChar w:fldCharType="end"/>
      </w:r>
      <w:r>
        <w:noBreakHyphen/>
      </w:r>
      <w:r w:rsidRPr="001D37D5">
        <w:fldChar w:fldCharType="begin"/>
      </w:r>
      <w:r>
        <w:instrText xml:space="preserve"> SEQ Table \* ARABIC \s 1 </w:instrText>
      </w:r>
      <w:r w:rsidRPr="001D37D5">
        <w:fldChar w:fldCharType="separate"/>
      </w:r>
      <w:r w:rsidR="007E3457">
        <w:rPr>
          <w:noProof/>
        </w:rPr>
        <w:t>17</w:t>
      </w:r>
      <w:r w:rsidRPr="001D37D5">
        <w:fldChar w:fldCharType="end"/>
      </w:r>
      <w:bookmarkEnd w:id="420"/>
      <w:r w:rsidRPr="00883125">
        <w:tab/>
        <w:t>Summary of alternative implied market value studies</w:t>
      </w:r>
    </w:p>
    <w:tbl>
      <w:tblPr>
        <w:tblStyle w:val="AERtable-text0"/>
        <w:tblW w:w="0" w:type="auto"/>
        <w:tblLook w:val="04A0" w:firstRow="1" w:lastRow="0" w:firstColumn="1" w:lastColumn="0" w:noHBand="0" w:noVBand="1"/>
      </w:tblPr>
      <w:tblGrid>
        <w:gridCol w:w="2536"/>
        <w:gridCol w:w="1072"/>
        <w:gridCol w:w="5085"/>
      </w:tblGrid>
      <w:tr w:rsidR="00C52695" w:rsidTr="006425B8">
        <w:trPr>
          <w:cnfStyle w:val="100000000000" w:firstRow="1" w:lastRow="0" w:firstColumn="0" w:lastColumn="0" w:oddVBand="0" w:evenVBand="0" w:oddHBand="0" w:evenHBand="0" w:firstRowFirstColumn="0" w:firstRowLastColumn="0" w:lastRowFirstColumn="0" w:lastRowLastColumn="0"/>
          <w:cantSplit/>
          <w:tblHeader/>
        </w:trPr>
        <w:tc>
          <w:tcPr>
            <w:tcW w:w="2683" w:type="dxa"/>
          </w:tcPr>
          <w:p w:rsidR="00C52695" w:rsidRPr="00883125" w:rsidRDefault="00C52695" w:rsidP="00C52695">
            <w:pPr>
              <w:numPr>
                <w:ilvl w:val="0"/>
                <w:numId w:val="24"/>
              </w:numPr>
            </w:pPr>
            <w:r w:rsidRPr="00883125">
              <w:t>Authors</w:t>
            </w:r>
          </w:p>
        </w:tc>
        <w:tc>
          <w:tcPr>
            <w:tcW w:w="1111" w:type="dxa"/>
          </w:tcPr>
          <w:p w:rsidR="00C52695" w:rsidRPr="00883125" w:rsidRDefault="00C52695" w:rsidP="00C52695">
            <w:pPr>
              <w:numPr>
                <w:ilvl w:val="0"/>
                <w:numId w:val="24"/>
              </w:numPr>
            </w:pPr>
            <w:r w:rsidRPr="00883125">
              <w:t>Data range</w:t>
            </w:r>
          </w:p>
        </w:tc>
        <w:tc>
          <w:tcPr>
            <w:tcW w:w="5448" w:type="dxa"/>
          </w:tcPr>
          <w:p w:rsidR="00C52695" w:rsidRPr="00883125" w:rsidRDefault="00C52695" w:rsidP="00C52695">
            <w:pPr>
              <w:numPr>
                <w:ilvl w:val="0"/>
                <w:numId w:val="24"/>
              </w:numPr>
            </w:pPr>
            <w:r w:rsidRPr="00883125">
              <w:t>Assessment relative to other studies in that class</w:t>
            </w:r>
          </w:p>
        </w:tc>
      </w:tr>
      <w:tr w:rsidR="00C52695" w:rsidTr="006425B8">
        <w:trPr>
          <w:cantSplit/>
        </w:trPr>
        <w:tc>
          <w:tcPr>
            <w:tcW w:w="9242" w:type="dxa"/>
            <w:gridSpan w:val="3"/>
          </w:tcPr>
          <w:p w:rsidR="00C52695" w:rsidRPr="00883125" w:rsidRDefault="00C52695" w:rsidP="00C52695">
            <w:pPr>
              <w:numPr>
                <w:ilvl w:val="0"/>
                <w:numId w:val="24"/>
              </w:numPr>
            </w:pPr>
            <w:r w:rsidRPr="00883125">
              <w:rPr>
                <w:rStyle w:val="Strong"/>
              </w:rPr>
              <w:t>Dividend drop off using hybrids</w:t>
            </w:r>
            <w:r w:rsidRPr="00883125">
              <w:t xml:space="preserve"> – Similar to standard DDO but using debt/equity hybrid securities.</w:t>
            </w:r>
          </w:p>
        </w:tc>
      </w:tr>
      <w:tr w:rsidR="00C52695" w:rsidTr="006425B8">
        <w:trPr>
          <w:cnfStyle w:val="000000010000" w:firstRow="0" w:lastRow="0" w:firstColumn="0" w:lastColumn="0" w:oddVBand="0" w:evenVBand="0" w:oddHBand="0" w:evenHBand="1" w:firstRowFirstColumn="0" w:firstRowLastColumn="0" w:lastRowFirstColumn="0" w:lastRowLastColumn="0"/>
          <w:cantSplit/>
        </w:trPr>
        <w:tc>
          <w:tcPr>
            <w:tcW w:w="2683" w:type="dxa"/>
          </w:tcPr>
          <w:p w:rsidR="00C52695" w:rsidRPr="00C52695" w:rsidRDefault="00C52695" w:rsidP="00C52695">
            <w:r w:rsidRPr="00883125">
              <w:t>Feuerherdt et al (2010)</w:t>
            </w:r>
            <w:r w:rsidRPr="00C52695">
              <w:rPr>
                <w:rStyle w:val="FootnoteReference"/>
              </w:rPr>
              <w:footnoteReference w:id="739"/>
            </w:r>
          </w:p>
        </w:tc>
        <w:tc>
          <w:tcPr>
            <w:tcW w:w="1111" w:type="dxa"/>
          </w:tcPr>
          <w:p w:rsidR="00C52695" w:rsidRPr="00C52695" w:rsidRDefault="00C52695" w:rsidP="00C52695">
            <w:r w:rsidRPr="00883125">
              <w:t>1995–2002</w:t>
            </w:r>
          </w:p>
        </w:tc>
        <w:tc>
          <w:tcPr>
            <w:tcW w:w="5448" w:type="dxa"/>
          </w:tcPr>
          <w:p w:rsidR="00C52695" w:rsidRPr="00C52695" w:rsidRDefault="00C52695" w:rsidP="00C52695">
            <w:r w:rsidRPr="00883125">
              <w:t xml:space="preserve">Uses hybrid securities (such as convertible preference shares), 165 ex-dividend events for 46 securities which </w:t>
            </w:r>
            <w:r w:rsidRPr="00C52695">
              <w:t>are primarily fully franked.</w:t>
            </w:r>
          </w:p>
        </w:tc>
      </w:tr>
      <w:tr w:rsidR="00C52695" w:rsidTr="006425B8">
        <w:trPr>
          <w:cantSplit/>
        </w:trPr>
        <w:tc>
          <w:tcPr>
            <w:tcW w:w="9242" w:type="dxa"/>
            <w:gridSpan w:val="3"/>
          </w:tcPr>
          <w:p w:rsidR="00C52695" w:rsidRPr="00883125" w:rsidRDefault="00C52695" w:rsidP="00C52695">
            <w:pPr>
              <w:numPr>
                <w:ilvl w:val="0"/>
                <w:numId w:val="24"/>
              </w:numPr>
            </w:pPr>
            <w:r w:rsidRPr="00883125">
              <w:rPr>
                <w:rStyle w:val="Strong"/>
              </w:rPr>
              <w:t>Futures study (using individual firms or index)</w:t>
            </w:r>
            <w:r w:rsidRPr="00883125">
              <w:t xml:space="preserve"> – Compare simultaneous prices for securities and futures contracts.</w:t>
            </w:r>
          </w:p>
        </w:tc>
      </w:tr>
      <w:tr w:rsidR="00C52695" w:rsidTr="006425B8">
        <w:trPr>
          <w:cnfStyle w:val="000000010000" w:firstRow="0" w:lastRow="0" w:firstColumn="0" w:lastColumn="0" w:oddVBand="0" w:evenVBand="0" w:oddHBand="0" w:evenHBand="1" w:firstRowFirstColumn="0" w:firstRowLastColumn="0" w:lastRowFirstColumn="0" w:lastRowLastColumn="0"/>
          <w:cantSplit/>
        </w:trPr>
        <w:tc>
          <w:tcPr>
            <w:tcW w:w="2683" w:type="dxa"/>
          </w:tcPr>
          <w:p w:rsidR="00C52695" w:rsidRPr="00C52695" w:rsidRDefault="00C52695" w:rsidP="00C52695">
            <w:r w:rsidRPr="00883125">
              <w:t>SFG (2013b)</w:t>
            </w:r>
            <w:r w:rsidRPr="00C52695">
              <w:rPr>
                <w:rStyle w:val="FootnoteReference"/>
              </w:rPr>
              <w:footnoteReference w:id="740"/>
            </w:r>
          </w:p>
        </w:tc>
        <w:tc>
          <w:tcPr>
            <w:tcW w:w="1111" w:type="dxa"/>
          </w:tcPr>
          <w:p w:rsidR="00C52695" w:rsidRPr="00C52695" w:rsidRDefault="00C52695" w:rsidP="00C52695">
            <w:r w:rsidRPr="00883125">
              <w:t>2000–2013</w:t>
            </w:r>
          </w:p>
        </w:tc>
        <w:tc>
          <w:tcPr>
            <w:tcW w:w="5448" w:type="dxa"/>
          </w:tcPr>
          <w:p w:rsidR="00C52695" w:rsidRPr="00C52695" w:rsidRDefault="00C52695" w:rsidP="00C52695">
            <w:r w:rsidRPr="00883125">
              <w:t>Updates Cannavan et al (2004). Compares matched trades in individual shares to futures</w:t>
            </w:r>
            <w:r w:rsidRPr="00C52695">
              <w:t xml:space="preserve"> contracts and low exercise price options for 98 firms (over 52,000 trades).</w:t>
            </w:r>
          </w:p>
        </w:tc>
      </w:tr>
      <w:tr w:rsidR="00C52695" w:rsidTr="006425B8">
        <w:trPr>
          <w:cantSplit/>
        </w:trPr>
        <w:tc>
          <w:tcPr>
            <w:tcW w:w="2683" w:type="dxa"/>
          </w:tcPr>
          <w:p w:rsidR="00C52695" w:rsidRPr="00C52695" w:rsidRDefault="00C52695" w:rsidP="00C52695">
            <w:r w:rsidRPr="00883125">
              <w:t>Cannavan et al (2004)</w:t>
            </w:r>
            <w:r w:rsidRPr="00C52695">
              <w:rPr>
                <w:rStyle w:val="FootnoteReference"/>
              </w:rPr>
              <w:footnoteReference w:id="741"/>
            </w:r>
          </w:p>
        </w:tc>
        <w:tc>
          <w:tcPr>
            <w:tcW w:w="1111" w:type="dxa"/>
          </w:tcPr>
          <w:p w:rsidR="00C52695" w:rsidRPr="00C52695" w:rsidRDefault="00C52695" w:rsidP="00C52695">
            <w:r w:rsidRPr="00883125">
              <w:t>1994–1999</w:t>
            </w:r>
          </w:p>
        </w:tc>
        <w:tc>
          <w:tcPr>
            <w:tcW w:w="5448" w:type="dxa"/>
          </w:tcPr>
          <w:p w:rsidR="00C52695" w:rsidRPr="00C52695" w:rsidRDefault="00C52695" w:rsidP="00C52695">
            <w:r w:rsidRPr="00883125">
              <w:t>Uses matched trades (four minute window) in individual shares and futures contracts for 19 firms (over 14,000 trades). Sub-periods 1994–1997 and 1997–1999.</w:t>
            </w:r>
          </w:p>
        </w:tc>
      </w:tr>
      <w:tr w:rsidR="00C52695" w:rsidTr="006425B8">
        <w:trPr>
          <w:cnfStyle w:val="000000010000" w:firstRow="0" w:lastRow="0" w:firstColumn="0" w:lastColumn="0" w:oddVBand="0" w:evenVBand="0" w:oddHBand="0" w:evenHBand="1" w:firstRowFirstColumn="0" w:firstRowLastColumn="0" w:lastRowFirstColumn="0" w:lastRowLastColumn="0"/>
          <w:cantSplit/>
        </w:trPr>
        <w:tc>
          <w:tcPr>
            <w:tcW w:w="2683" w:type="dxa"/>
          </w:tcPr>
          <w:p w:rsidR="00C52695" w:rsidRPr="00C52695" w:rsidRDefault="00C52695" w:rsidP="00C52695">
            <w:r w:rsidRPr="00883125">
              <w:t>Cummings and Frino (2008)</w:t>
            </w:r>
            <w:r w:rsidRPr="00C52695">
              <w:rPr>
                <w:rStyle w:val="FootnoteReference"/>
              </w:rPr>
              <w:footnoteReference w:id="742"/>
            </w:r>
          </w:p>
        </w:tc>
        <w:tc>
          <w:tcPr>
            <w:tcW w:w="1111" w:type="dxa"/>
          </w:tcPr>
          <w:p w:rsidR="00C52695" w:rsidRPr="00C52695" w:rsidRDefault="00C52695" w:rsidP="00C52695">
            <w:r w:rsidRPr="00883125">
              <w:t>2002-2005</w:t>
            </w:r>
          </w:p>
        </w:tc>
        <w:tc>
          <w:tcPr>
            <w:tcW w:w="5448" w:type="dxa"/>
          </w:tcPr>
          <w:p w:rsidR="00C52695" w:rsidRPr="00C52695" w:rsidRDefault="00C52695" w:rsidP="00C52695">
            <w:r w:rsidRPr="00883125">
              <w:t xml:space="preserve">Uses entire ASX200 index (rather than specific firms) and futures over the index, distinct from other studies in this class (which use individual shares). </w:t>
            </w:r>
          </w:p>
        </w:tc>
      </w:tr>
      <w:tr w:rsidR="00C52695" w:rsidTr="006425B8">
        <w:trPr>
          <w:cantSplit/>
        </w:trPr>
        <w:tc>
          <w:tcPr>
            <w:tcW w:w="9242" w:type="dxa"/>
            <w:gridSpan w:val="3"/>
          </w:tcPr>
          <w:p w:rsidR="00C52695" w:rsidRPr="00883125" w:rsidRDefault="00C52695" w:rsidP="00C52695">
            <w:pPr>
              <w:numPr>
                <w:ilvl w:val="0"/>
                <w:numId w:val="24"/>
              </w:numPr>
            </w:pPr>
            <w:r w:rsidRPr="00883125">
              <w:rPr>
                <w:rStyle w:val="Strong"/>
              </w:rPr>
              <w:t>Rate of return study</w:t>
            </w:r>
            <w:r w:rsidRPr="00883125">
              <w:t xml:space="preserve"> – Compare past returns (capital gains and cash dividends) or future returns (dividend forecasts).</w:t>
            </w:r>
          </w:p>
        </w:tc>
      </w:tr>
      <w:tr w:rsidR="00C52695" w:rsidTr="006425B8">
        <w:trPr>
          <w:cnfStyle w:val="000000010000" w:firstRow="0" w:lastRow="0" w:firstColumn="0" w:lastColumn="0" w:oddVBand="0" w:evenVBand="0" w:oddHBand="0" w:evenHBand="1" w:firstRowFirstColumn="0" w:firstRowLastColumn="0" w:lastRowFirstColumn="0" w:lastRowLastColumn="0"/>
          <w:cantSplit/>
        </w:trPr>
        <w:tc>
          <w:tcPr>
            <w:tcW w:w="2683" w:type="dxa"/>
          </w:tcPr>
          <w:p w:rsidR="00C52695" w:rsidRPr="00C52695" w:rsidRDefault="00C52695" w:rsidP="00C52695">
            <w:r w:rsidRPr="00883125">
              <w:t>NERA (2013b)</w:t>
            </w:r>
            <w:r w:rsidRPr="00C52695">
              <w:rPr>
                <w:rStyle w:val="FootnoteReference"/>
              </w:rPr>
              <w:footnoteReference w:id="743"/>
            </w:r>
          </w:p>
        </w:tc>
        <w:tc>
          <w:tcPr>
            <w:tcW w:w="1111" w:type="dxa"/>
          </w:tcPr>
          <w:p w:rsidR="00C52695" w:rsidRPr="00C52695" w:rsidRDefault="00C52695" w:rsidP="00C52695">
            <w:r w:rsidRPr="00883125">
              <w:t>1987–2012</w:t>
            </w:r>
          </w:p>
        </w:tc>
        <w:tc>
          <w:tcPr>
            <w:tcW w:w="5448" w:type="dxa"/>
          </w:tcPr>
          <w:p w:rsidR="00C52695" w:rsidRPr="00C52695" w:rsidRDefault="00C52695" w:rsidP="00C52695">
            <w:r w:rsidRPr="00883125">
              <w:t xml:space="preserve">Updates the </w:t>
            </w:r>
            <w:r w:rsidRPr="00C52695">
              <w:t>Lajbcygier and Wheatley paper; same author and more relevant data set. Sub-period splits 1987–2000 and 2000–2012.</w:t>
            </w:r>
          </w:p>
        </w:tc>
      </w:tr>
      <w:tr w:rsidR="00C52695" w:rsidTr="006425B8">
        <w:trPr>
          <w:cantSplit/>
        </w:trPr>
        <w:tc>
          <w:tcPr>
            <w:tcW w:w="2683" w:type="dxa"/>
          </w:tcPr>
          <w:p w:rsidR="00C52695" w:rsidRPr="00C52695" w:rsidRDefault="00C52695" w:rsidP="00C52695">
            <w:r w:rsidRPr="00883125">
              <w:t>Lajbcygier and Wheatley (2012)</w:t>
            </w:r>
            <w:r w:rsidRPr="00C52695">
              <w:rPr>
                <w:rStyle w:val="FootnoteReference"/>
              </w:rPr>
              <w:footnoteReference w:id="744"/>
            </w:r>
          </w:p>
        </w:tc>
        <w:tc>
          <w:tcPr>
            <w:tcW w:w="1111" w:type="dxa"/>
          </w:tcPr>
          <w:p w:rsidR="00C52695" w:rsidRPr="00C52695" w:rsidRDefault="00C52695" w:rsidP="00C52695">
            <w:r w:rsidRPr="00883125">
              <w:t>1987–2009</w:t>
            </w:r>
          </w:p>
        </w:tc>
        <w:tc>
          <w:tcPr>
            <w:tcW w:w="5448" w:type="dxa"/>
          </w:tcPr>
          <w:p w:rsidR="00C52695" w:rsidRPr="00C52695" w:rsidRDefault="00C52695" w:rsidP="00C52695">
            <w:r w:rsidRPr="00883125">
              <w:t xml:space="preserve">Compares current prices to past returns </w:t>
            </w:r>
            <w:r w:rsidRPr="00C52695">
              <w:t>from capital gains and dividends. Includes sub-periods from 1987–2000 and 2000-2009.</w:t>
            </w:r>
          </w:p>
        </w:tc>
      </w:tr>
      <w:tr w:rsidR="00C52695" w:rsidTr="006425B8">
        <w:trPr>
          <w:cnfStyle w:val="000000010000" w:firstRow="0" w:lastRow="0" w:firstColumn="0" w:lastColumn="0" w:oddVBand="0" w:evenVBand="0" w:oddHBand="0" w:evenHBand="1" w:firstRowFirstColumn="0" w:firstRowLastColumn="0" w:lastRowFirstColumn="0" w:lastRowLastColumn="0"/>
          <w:cantSplit/>
        </w:trPr>
        <w:tc>
          <w:tcPr>
            <w:tcW w:w="2683" w:type="dxa"/>
          </w:tcPr>
          <w:p w:rsidR="00C52695" w:rsidRPr="00C52695" w:rsidRDefault="00C52695" w:rsidP="00C52695">
            <w:r w:rsidRPr="00883125">
              <w:t>Siau et al (2013)</w:t>
            </w:r>
            <w:r w:rsidRPr="00C52695">
              <w:rPr>
                <w:rStyle w:val="FootnoteReference"/>
              </w:rPr>
              <w:footnoteReference w:id="745"/>
            </w:r>
          </w:p>
        </w:tc>
        <w:tc>
          <w:tcPr>
            <w:tcW w:w="1111" w:type="dxa"/>
          </w:tcPr>
          <w:p w:rsidR="00C52695" w:rsidRPr="00C52695" w:rsidRDefault="00C52695" w:rsidP="00C52695">
            <w:r w:rsidRPr="00883125">
              <w:t>1996–2011</w:t>
            </w:r>
          </w:p>
        </w:tc>
        <w:tc>
          <w:tcPr>
            <w:tcW w:w="5448" w:type="dxa"/>
          </w:tcPr>
          <w:p w:rsidR="00C52695" w:rsidRPr="00C52695" w:rsidRDefault="00C52695" w:rsidP="00C52695">
            <w:r w:rsidRPr="00883125">
              <w:t xml:space="preserve">Compares current prices to expected future returns. Uses ASX300 index firms and consensus analyst dividend forecasts. </w:t>
            </w:r>
          </w:p>
        </w:tc>
      </w:tr>
      <w:tr w:rsidR="00C52695" w:rsidTr="006425B8">
        <w:trPr>
          <w:cantSplit/>
        </w:trPr>
        <w:tc>
          <w:tcPr>
            <w:tcW w:w="2683" w:type="dxa"/>
          </w:tcPr>
          <w:p w:rsidR="00C52695" w:rsidRPr="00C52695" w:rsidRDefault="00C52695" w:rsidP="00C52695">
            <w:r w:rsidRPr="00883125">
              <w:t>Siau et al (2015)</w:t>
            </w:r>
            <w:r w:rsidRPr="00C52695">
              <w:rPr>
                <w:rStyle w:val="FootnoteReference"/>
              </w:rPr>
              <w:footnoteReference w:id="746"/>
            </w:r>
          </w:p>
        </w:tc>
        <w:tc>
          <w:tcPr>
            <w:tcW w:w="1111" w:type="dxa"/>
          </w:tcPr>
          <w:p w:rsidR="00C52695" w:rsidRPr="00C52695" w:rsidRDefault="00C52695" w:rsidP="00C52695">
            <w:r w:rsidRPr="00883125">
              <w:t>1996-2011</w:t>
            </w:r>
          </w:p>
        </w:tc>
        <w:tc>
          <w:tcPr>
            <w:tcW w:w="5448" w:type="dxa"/>
          </w:tcPr>
          <w:p w:rsidR="00C52695" w:rsidRPr="00C52695" w:rsidRDefault="00C52695" w:rsidP="00C52695">
            <w:r w:rsidRPr="00883125">
              <w:t xml:space="preserve">Journal published version of the 2013 paper by Siau et al with relatively minor editorial changes </w:t>
            </w:r>
          </w:p>
        </w:tc>
      </w:tr>
      <w:tr w:rsidR="00C52695" w:rsidTr="006425B8">
        <w:trPr>
          <w:cnfStyle w:val="000000010000" w:firstRow="0" w:lastRow="0" w:firstColumn="0" w:lastColumn="0" w:oddVBand="0" w:evenVBand="0" w:oddHBand="0" w:evenHBand="1" w:firstRowFirstColumn="0" w:firstRowLastColumn="0" w:lastRowFirstColumn="0" w:lastRowLastColumn="0"/>
          <w:cantSplit/>
        </w:trPr>
        <w:tc>
          <w:tcPr>
            <w:tcW w:w="2683" w:type="dxa"/>
          </w:tcPr>
          <w:p w:rsidR="00C52695" w:rsidRPr="00C52695" w:rsidRDefault="00C52695" w:rsidP="00C52695">
            <w:r w:rsidRPr="00883125">
              <w:t>NERA (2015)</w:t>
            </w:r>
            <w:r w:rsidRPr="00C52695">
              <w:rPr>
                <w:rStyle w:val="FootnoteReference"/>
              </w:rPr>
              <w:footnoteReference w:id="747"/>
            </w:r>
          </w:p>
        </w:tc>
        <w:tc>
          <w:tcPr>
            <w:tcW w:w="1111" w:type="dxa"/>
          </w:tcPr>
          <w:p w:rsidR="00C52695" w:rsidRPr="00C52695" w:rsidRDefault="00C52695" w:rsidP="00C52695">
            <w:r w:rsidRPr="00883125">
              <w:t>1987-2013</w:t>
            </w:r>
          </w:p>
        </w:tc>
        <w:tc>
          <w:tcPr>
            <w:tcW w:w="5448" w:type="dxa"/>
          </w:tcPr>
          <w:p w:rsidR="00C52695" w:rsidRPr="00C52695" w:rsidRDefault="00C52695" w:rsidP="00C52695">
            <w:r w:rsidRPr="00883125">
              <w:t>Updates the results of the Lajbcygier and Wheatley and NERA (2013) studies.</w:t>
            </w:r>
          </w:p>
        </w:tc>
      </w:tr>
      <w:tr w:rsidR="00C52695" w:rsidTr="006425B8">
        <w:trPr>
          <w:cantSplit/>
        </w:trPr>
        <w:tc>
          <w:tcPr>
            <w:tcW w:w="9242" w:type="dxa"/>
            <w:gridSpan w:val="3"/>
          </w:tcPr>
          <w:p w:rsidR="00C52695" w:rsidRPr="00883125" w:rsidRDefault="00C52695" w:rsidP="00C52695">
            <w:pPr>
              <w:numPr>
                <w:ilvl w:val="0"/>
                <w:numId w:val="24"/>
              </w:numPr>
            </w:pPr>
            <w:r w:rsidRPr="00883125">
              <w:rPr>
                <w:rStyle w:val="Strong"/>
              </w:rPr>
              <w:t>Simultaneous share trades</w:t>
            </w:r>
            <w:r w:rsidRPr="00883125">
              <w:t xml:space="preserve"> – Compare simultaneous prices for shares that are/are not entitled to imputation credits.</w:t>
            </w:r>
          </w:p>
        </w:tc>
      </w:tr>
      <w:tr w:rsidR="00C52695" w:rsidTr="006425B8">
        <w:trPr>
          <w:cnfStyle w:val="000000010000" w:firstRow="0" w:lastRow="0" w:firstColumn="0" w:lastColumn="0" w:oddVBand="0" w:evenVBand="0" w:oddHBand="0" w:evenHBand="1" w:firstRowFirstColumn="0" w:firstRowLastColumn="0" w:lastRowFirstColumn="0" w:lastRowLastColumn="0"/>
          <w:cantSplit/>
        </w:trPr>
        <w:tc>
          <w:tcPr>
            <w:tcW w:w="2683" w:type="dxa"/>
          </w:tcPr>
          <w:p w:rsidR="00C52695" w:rsidRPr="00C52695" w:rsidRDefault="00C52695" w:rsidP="00C52695">
            <w:r w:rsidRPr="00883125">
              <w:t>Chu and Partington (2008)</w:t>
            </w:r>
            <w:r w:rsidRPr="00C52695">
              <w:rPr>
                <w:rStyle w:val="FootnoteReference"/>
              </w:rPr>
              <w:footnoteReference w:id="748"/>
            </w:r>
          </w:p>
        </w:tc>
        <w:tc>
          <w:tcPr>
            <w:tcW w:w="1111" w:type="dxa"/>
          </w:tcPr>
          <w:p w:rsidR="00C52695" w:rsidRPr="00C52695" w:rsidRDefault="00C52695" w:rsidP="00C52695">
            <w:r w:rsidRPr="00883125">
              <w:t>1996</w:t>
            </w:r>
          </w:p>
        </w:tc>
        <w:tc>
          <w:tcPr>
            <w:tcW w:w="5448" w:type="dxa"/>
          </w:tcPr>
          <w:p w:rsidR="00C52695" w:rsidRPr="00C52695" w:rsidRDefault="00C52695" w:rsidP="00C52695">
            <w:r w:rsidRPr="00883125">
              <w:t xml:space="preserve">Uses shares trading in two forms (one with dividend, one without) as a result of the CRA bonus issue. 154 matched trades (one minute window) across 3 </w:t>
            </w:r>
            <w:r w:rsidRPr="00C52695">
              <w:t>months.</w:t>
            </w:r>
          </w:p>
        </w:tc>
      </w:tr>
      <w:tr w:rsidR="00C52695" w:rsidTr="006425B8">
        <w:trPr>
          <w:cantSplit/>
        </w:trPr>
        <w:tc>
          <w:tcPr>
            <w:tcW w:w="2683" w:type="dxa"/>
          </w:tcPr>
          <w:p w:rsidR="00C52695" w:rsidRPr="00C52695" w:rsidRDefault="00C52695" w:rsidP="00C52695">
            <w:r w:rsidRPr="00883125">
              <w:t>Chu and Partington (2001)</w:t>
            </w:r>
            <w:r w:rsidRPr="00C52695">
              <w:rPr>
                <w:rStyle w:val="FootnoteReference"/>
              </w:rPr>
              <w:footnoteReference w:id="749"/>
            </w:r>
          </w:p>
        </w:tc>
        <w:tc>
          <w:tcPr>
            <w:tcW w:w="1111" w:type="dxa"/>
          </w:tcPr>
          <w:p w:rsidR="00C52695" w:rsidRPr="00C52695" w:rsidRDefault="00C52695" w:rsidP="00C52695">
            <w:r w:rsidRPr="00883125">
              <w:t>1991–1999</w:t>
            </w:r>
          </w:p>
        </w:tc>
        <w:tc>
          <w:tcPr>
            <w:tcW w:w="5448" w:type="dxa"/>
          </w:tcPr>
          <w:p w:rsidR="00C52695" w:rsidRPr="00C52695" w:rsidDel="003D6627" w:rsidRDefault="00C52695" w:rsidP="00C52695">
            <w:r w:rsidRPr="00883125">
              <w:t>Uses shares trading simultaneously with and without dividend</w:t>
            </w:r>
            <w:r w:rsidRPr="00C52695">
              <w:t xml:space="preserve"> after certain rights issues - 3,356 trades (matched within a minute) from 26 rights issues for 23 firms.</w:t>
            </w:r>
          </w:p>
        </w:tc>
      </w:tr>
      <w:tr w:rsidR="00C52695" w:rsidTr="006425B8">
        <w:trPr>
          <w:cnfStyle w:val="000000010000" w:firstRow="0" w:lastRow="0" w:firstColumn="0" w:lastColumn="0" w:oddVBand="0" w:evenVBand="0" w:oddHBand="0" w:evenHBand="1" w:firstRowFirstColumn="0" w:firstRowLastColumn="0" w:lastRowFirstColumn="0" w:lastRowLastColumn="0"/>
          <w:cantSplit/>
        </w:trPr>
        <w:tc>
          <w:tcPr>
            <w:tcW w:w="2683" w:type="dxa"/>
          </w:tcPr>
          <w:p w:rsidR="00C52695" w:rsidRPr="00C52695" w:rsidRDefault="00C52695" w:rsidP="00C52695">
            <w:r w:rsidRPr="00883125">
              <w:t>Walker and Partington (1999)</w:t>
            </w:r>
            <w:r w:rsidRPr="00C52695">
              <w:rPr>
                <w:rStyle w:val="FootnoteReference"/>
              </w:rPr>
              <w:footnoteReference w:id="750"/>
            </w:r>
          </w:p>
        </w:tc>
        <w:tc>
          <w:tcPr>
            <w:tcW w:w="1111" w:type="dxa"/>
          </w:tcPr>
          <w:p w:rsidR="00C52695" w:rsidRPr="00C52695" w:rsidRDefault="00C52695" w:rsidP="00C52695">
            <w:r w:rsidRPr="00883125">
              <w:t>1995–1997</w:t>
            </w:r>
          </w:p>
        </w:tc>
        <w:tc>
          <w:tcPr>
            <w:tcW w:w="5448" w:type="dxa"/>
          </w:tcPr>
          <w:p w:rsidR="00C52695" w:rsidRPr="00C52695" w:rsidRDefault="00C52695" w:rsidP="00C52695">
            <w:r w:rsidRPr="00883125">
              <w:t>Looks at shares trading cum-dividend in the ex-dividend period. 1,015 data points (trades matched within a minute) for 93 ex-dividend events from 50 securities.</w:t>
            </w:r>
          </w:p>
        </w:tc>
      </w:tr>
    </w:tbl>
    <w:p w:rsidR="00C52695" w:rsidRPr="00883125" w:rsidRDefault="00C52695" w:rsidP="00C52695">
      <w:pPr>
        <w:pStyle w:val="AERtablesource"/>
      </w:pPr>
      <w:r w:rsidRPr="00883125">
        <w:t xml:space="preserve">Source: </w:t>
      </w:r>
      <w:r w:rsidRPr="00883125">
        <w:tab/>
        <w:t>As specified in table.</w:t>
      </w:r>
    </w:p>
    <w:p w:rsidR="00C52695" w:rsidRPr="00883125" w:rsidRDefault="00C52695" w:rsidP="00C52695">
      <w:pPr>
        <w:pStyle w:val="Heading9"/>
      </w:pPr>
      <w:bookmarkStart w:id="421" w:name="_Ref403482459"/>
      <w:bookmarkStart w:id="422" w:name="_Toc456614339"/>
      <w:bookmarkStart w:id="423" w:name="_Toc462823343"/>
      <w:bookmarkStart w:id="424" w:name="_Toc487014098"/>
      <w:r w:rsidRPr="00883125">
        <w:t>Estimates from implied market value studies</w:t>
      </w:r>
      <w:bookmarkEnd w:id="421"/>
      <w:bookmarkEnd w:id="422"/>
      <w:bookmarkEnd w:id="423"/>
      <w:bookmarkEnd w:id="424"/>
    </w:p>
    <w:p w:rsidR="00C52695" w:rsidRPr="00883125" w:rsidRDefault="00C52695" w:rsidP="00C52695">
      <w:pPr>
        <w:numPr>
          <w:ilvl w:val="0"/>
          <w:numId w:val="24"/>
        </w:numPr>
      </w:pPr>
      <w:r w:rsidRPr="00883125">
        <w:t>This section presents the results from the available implied market value studies.</w:t>
      </w:r>
    </w:p>
    <w:p w:rsidR="00B52287" w:rsidRPr="00883125" w:rsidRDefault="00C52695" w:rsidP="00C25A56">
      <w:pPr>
        <w:numPr>
          <w:ilvl w:val="0"/>
          <w:numId w:val="24"/>
        </w:numPr>
      </w:pPr>
      <w:r w:rsidRPr="00883125">
        <w:fldChar w:fldCharType="begin"/>
      </w:r>
      <w:r w:rsidRPr="00883125">
        <w:instrText xml:space="preserve"> REF _Ref401075676 \h </w:instrText>
      </w:r>
      <w:r w:rsidRPr="00883125">
        <w:fldChar w:fldCharType="separate"/>
      </w:r>
      <w:r w:rsidR="007E3457" w:rsidRPr="00883125">
        <w:t xml:space="preserve">Table </w:t>
      </w:r>
      <w:r w:rsidR="007E3457">
        <w:rPr>
          <w:noProof/>
        </w:rPr>
        <w:t>4</w:t>
      </w:r>
      <w:r w:rsidR="007E3457">
        <w:noBreakHyphen/>
      </w:r>
      <w:r w:rsidR="007E3457">
        <w:rPr>
          <w:noProof/>
        </w:rPr>
        <w:t>19</w:t>
      </w:r>
      <w:r w:rsidRPr="00883125">
        <w:fldChar w:fldCharType="end"/>
      </w:r>
      <w:r w:rsidRPr="00883125">
        <w:t xml:space="preserve"> reports estimates of the utilisation rate from the set of available dividend drop off studies. As a high level summary table, it attempts to report the single utilisation rate preferred by the authors for the scenario most relevant to our rate of return framework. The service providers consider the AER does not have regard to the estimation period for the market value studies and in particular to whether the analysis is based on pre or post 2000.</w:t>
      </w:r>
      <w:r w:rsidRPr="00883125">
        <w:rPr>
          <w:rStyle w:val="FootnoteReference"/>
        </w:rPr>
        <w:footnoteReference w:id="751"/>
      </w:r>
      <w:r w:rsidRPr="00883125">
        <w:t xml:space="preserve"> This is not true as seen in </w:t>
      </w:r>
      <w:r w:rsidR="00B81184">
        <w:fldChar w:fldCharType="begin"/>
      </w:r>
      <w:r w:rsidR="00B81184">
        <w:instrText xml:space="preserve"> REF _Ref401075676 \h </w:instrText>
      </w:r>
      <w:r w:rsidR="00B81184">
        <w:fldChar w:fldCharType="separate"/>
      </w:r>
      <w:r w:rsidR="007E3457" w:rsidRPr="00883125">
        <w:t xml:space="preserve">Table </w:t>
      </w:r>
      <w:r w:rsidR="007E3457">
        <w:rPr>
          <w:noProof/>
        </w:rPr>
        <w:t>4</w:t>
      </w:r>
      <w:r w:rsidR="007E3457">
        <w:noBreakHyphen/>
      </w:r>
      <w:r w:rsidR="007E3457">
        <w:rPr>
          <w:noProof/>
        </w:rPr>
        <w:t>19</w:t>
      </w:r>
      <w:r w:rsidR="00B81184">
        <w:fldChar w:fldCharType="end"/>
      </w:r>
      <w:r w:rsidR="00B81184">
        <w:t xml:space="preserve"> </w:t>
      </w:r>
      <w:r w:rsidRPr="00883125">
        <w:t>where the table separately reports results based on whether the underlying data is (primarily) from before or after 2000, when the change in tax law entitled eligible investors to a full refund of excess imputation credits. In the recent</w:t>
      </w:r>
      <w:r w:rsidR="00C25A56">
        <w:t xml:space="preserve"> Ausgrid</w:t>
      </w:r>
      <w:r w:rsidRPr="00883125">
        <w:t xml:space="preserve"> Tribunal decision, the </w:t>
      </w:r>
      <w:r w:rsidR="00C25A56">
        <w:t xml:space="preserve">Ausgrid </w:t>
      </w:r>
      <w:r w:rsidRPr="00883125">
        <w:t>Tribunal stated that the AER could have excluded earlier market based studies that were not relevant, such as the studies that were conducted on pre 2000 data.</w:t>
      </w:r>
      <w:r w:rsidRPr="00883125">
        <w:rPr>
          <w:rStyle w:val="FootnoteReference"/>
        </w:rPr>
        <w:footnoteReference w:id="752"/>
      </w:r>
    </w:p>
    <w:p w:rsidR="00CA7D6A" w:rsidRDefault="00C52695" w:rsidP="00D85C45">
      <w:pPr>
        <w:numPr>
          <w:ilvl w:val="0"/>
          <w:numId w:val="24"/>
        </w:numPr>
      </w:pPr>
      <w:r w:rsidRPr="00883125">
        <w:t>When determining the point estimate from the range in the equity ownership approach (0.4 to 0.4</w:t>
      </w:r>
      <w:r>
        <w:t>1</w:t>
      </w:r>
      <w:r w:rsidRPr="00883125">
        <w:t xml:space="preserve">), the AER considers that studies post 2000 are more relevant, but still has regard to pre 2000 studies. </w:t>
      </w:r>
      <w:r w:rsidR="00756336">
        <w:t xml:space="preserve">Post 2000 is the most relevant period, as the year 2000 is </w:t>
      </w:r>
      <w:r w:rsidR="00D85C45">
        <w:t xml:space="preserve">the year </w:t>
      </w:r>
      <w:r w:rsidR="00756336">
        <w:t xml:space="preserve">when the last significant event </w:t>
      </w:r>
      <w:r w:rsidR="00A041D8">
        <w:t>that</w:t>
      </w:r>
      <w:r w:rsidR="00DC246F">
        <w:t xml:space="preserve"> </w:t>
      </w:r>
      <w:r w:rsidR="00812A72">
        <w:t>affects</w:t>
      </w:r>
      <w:r w:rsidR="00756336">
        <w:t xml:space="preserve"> the value of imputation credits </w:t>
      </w:r>
      <w:r w:rsidR="00A041D8">
        <w:t>occurred</w:t>
      </w:r>
      <w:r w:rsidR="00756336">
        <w:t xml:space="preserve">. </w:t>
      </w:r>
      <w:r w:rsidR="006B66C7">
        <w:fldChar w:fldCharType="begin"/>
      </w:r>
      <w:r w:rsidR="006B66C7">
        <w:instrText xml:space="preserve"> REF _Ref483235002 \h </w:instrText>
      </w:r>
      <w:r w:rsidR="006B66C7">
        <w:fldChar w:fldCharType="separate"/>
      </w:r>
      <w:r w:rsidR="007E3457" w:rsidRPr="00883125">
        <w:t xml:space="preserve">Table </w:t>
      </w:r>
      <w:r w:rsidR="007E3457">
        <w:rPr>
          <w:noProof/>
        </w:rPr>
        <w:t>4</w:t>
      </w:r>
      <w:r w:rsidR="007E3457">
        <w:noBreakHyphen/>
      </w:r>
      <w:r w:rsidR="007E3457">
        <w:rPr>
          <w:noProof/>
        </w:rPr>
        <w:t>18</w:t>
      </w:r>
      <w:r w:rsidR="006B66C7">
        <w:fldChar w:fldCharType="end"/>
      </w:r>
      <w:r w:rsidR="006B66C7">
        <w:t xml:space="preserve"> </w:t>
      </w:r>
      <w:r w:rsidR="00D85C45">
        <w:t xml:space="preserve">highlights the significant events that occurred since the imputation tax system was introduced in Australia. </w:t>
      </w:r>
      <w:r w:rsidRPr="00883125">
        <w:t xml:space="preserve">However, </w:t>
      </w:r>
      <w:r w:rsidR="00D85C45">
        <w:t xml:space="preserve">it should be noted that </w:t>
      </w:r>
      <w:r w:rsidRPr="00883125">
        <w:t xml:space="preserve">even if the AER was to completely disregard the pre 2000 </w:t>
      </w:r>
      <w:r w:rsidR="004E55C5">
        <w:t xml:space="preserve">market </w:t>
      </w:r>
      <w:r w:rsidRPr="00883125">
        <w:t xml:space="preserve">studies this would not change the outcome of selecting the lowest point estimate in the range from the equity ownership approach. </w:t>
      </w:r>
    </w:p>
    <w:p w:rsidR="00756336" w:rsidRPr="00883125" w:rsidRDefault="00756336" w:rsidP="00756336">
      <w:pPr>
        <w:pStyle w:val="Caption"/>
      </w:pPr>
      <w:bookmarkStart w:id="425" w:name="_Ref483235002"/>
      <w:r w:rsidRPr="00883125">
        <w:t xml:space="preserve">Table </w:t>
      </w:r>
      <w:r w:rsidRPr="001D37D5">
        <w:fldChar w:fldCharType="begin"/>
      </w:r>
      <w:r>
        <w:instrText xml:space="preserve"> STYLEREF 1 \s </w:instrText>
      </w:r>
      <w:r w:rsidRPr="001D37D5">
        <w:fldChar w:fldCharType="separate"/>
      </w:r>
      <w:r w:rsidR="007E3457">
        <w:rPr>
          <w:noProof/>
        </w:rPr>
        <w:t>4</w:t>
      </w:r>
      <w:r w:rsidRPr="001D37D5">
        <w:fldChar w:fldCharType="end"/>
      </w:r>
      <w:r>
        <w:noBreakHyphen/>
      </w:r>
      <w:r w:rsidRPr="001D37D5">
        <w:fldChar w:fldCharType="begin"/>
      </w:r>
      <w:r>
        <w:instrText xml:space="preserve"> SEQ Table \* ARABIC \s 1 </w:instrText>
      </w:r>
      <w:r w:rsidRPr="001D37D5">
        <w:fldChar w:fldCharType="separate"/>
      </w:r>
      <w:r w:rsidR="007E3457">
        <w:rPr>
          <w:noProof/>
        </w:rPr>
        <w:t>18</w:t>
      </w:r>
      <w:r w:rsidRPr="001D37D5">
        <w:fldChar w:fldCharType="end"/>
      </w:r>
      <w:bookmarkEnd w:id="425"/>
      <w:r w:rsidRPr="00883125">
        <w:tab/>
        <w:t>S</w:t>
      </w:r>
      <w:r w:rsidR="00D85C45">
        <w:t xml:space="preserve">ignificant events </w:t>
      </w:r>
    </w:p>
    <w:tbl>
      <w:tblPr>
        <w:tblStyle w:val="AERtable-text0"/>
        <w:tblW w:w="0" w:type="auto"/>
        <w:tblLook w:val="04A0" w:firstRow="1" w:lastRow="0" w:firstColumn="1" w:lastColumn="0" w:noHBand="0" w:noVBand="1"/>
      </w:tblPr>
      <w:tblGrid>
        <w:gridCol w:w="2235"/>
        <w:gridCol w:w="1430"/>
        <w:gridCol w:w="5028"/>
      </w:tblGrid>
      <w:tr w:rsidR="00756336" w:rsidTr="00E750F8">
        <w:trPr>
          <w:cnfStyle w:val="100000000000" w:firstRow="1" w:lastRow="0" w:firstColumn="0" w:lastColumn="0" w:oddVBand="0" w:evenVBand="0" w:oddHBand="0" w:evenHBand="0" w:firstRowFirstColumn="0" w:firstRowLastColumn="0" w:lastRowFirstColumn="0" w:lastRowLastColumn="0"/>
          <w:cantSplit/>
          <w:tblHeader/>
        </w:trPr>
        <w:tc>
          <w:tcPr>
            <w:tcW w:w="2235" w:type="dxa"/>
          </w:tcPr>
          <w:p w:rsidR="00756336" w:rsidRPr="00883125" w:rsidRDefault="00D85C45" w:rsidP="00756336">
            <w:pPr>
              <w:numPr>
                <w:ilvl w:val="0"/>
                <w:numId w:val="24"/>
              </w:numPr>
            </w:pPr>
            <w:r>
              <w:t>Event:</w:t>
            </w:r>
          </w:p>
        </w:tc>
        <w:tc>
          <w:tcPr>
            <w:tcW w:w="1430" w:type="dxa"/>
          </w:tcPr>
          <w:p w:rsidR="00756336" w:rsidRPr="00883125" w:rsidRDefault="00D85C45" w:rsidP="00756336">
            <w:pPr>
              <w:numPr>
                <w:ilvl w:val="0"/>
                <w:numId w:val="24"/>
              </w:numPr>
            </w:pPr>
            <w:r>
              <w:t>Date</w:t>
            </w:r>
          </w:p>
        </w:tc>
        <w:tc>
          <w:tcPr>
            <w:tcW w:w="5028" w:type="dxa"/>
          </w:tcPr>
          <w:p w:rsidR="00756336" w:rsidRPr="00883125" w:rsidRDefault="00D85C45" w:rsidP="00756336">
            <w:pPr>
              <w:numPr>
                <w:ilvl w:val="0"/>
                <w:numId w:val="24"/>
              </w:numPr>
            </w:pPr>
            <w:r>
              <w:t>Impact on the value of imputation credits</w:t>
            </w:r>
          </w:p>
        </w:tc>
      </w:tr>
      <w:tr w:rsidR="00756336" w:rsidTr="00E750F8">
        <w:trPr>
          <w:cantSplit/>
        </w:trPr>
        <w:tc>
          <w:tcPr>
            <w:tcW w:w="2235" w:type="dxa"/>
          </w:tcPr>
          <w:p w:rsidR="00756336" w:rsidRPr="00756336" w:rsidRDefault="00D85C45" w:rsidP="00756336">
            <w:r>
              <w:t>45-day rule</w:t>
            </w:r>
          </w:p>
        </w:tc>
        <w:tc>
          <w:tcPr>
            <w:tcW w:w="1430" w:type="dxa"/>
          </w:tcPr>
          <w:p w:rsidR="00756336" w:rsidRPr="00756336" w:rsidRDefault="00DC246F" w:rsidP="00DC246F">
            <w:r>
              <w:t>July 1997</w:t>
            </w:r>
          </w:p>
        </w:tc>
        <w:tc>
          <w:tcPr>
            <w:tcW w:w="5028" w:type="dxa"/>
          </w:tcPr>
          <w:p w:rsidR="00756336" w:rsidRPr="00756336" w:rsidRDefault="00DC246F" w:rsidP="00DC246F">
            <w:r>
              <w:t xml:space="preserve">The holding period rule requires investors to continuously hold shares 'at risk' for at least 45 days (90 days for certain preference shares) to be eligible for a franking tax offset. </w:t>
            </w:r>
          </w:p>
        </w:tc>
      </w:tr>
      <w:tr w:rsidR="00756336" w:rsidTr="00E750F8">
        <w:trPr>
          <w:cnfStyle w:val="000000010000" w:firstRow="0" w:lastRow="0" w:firstColumn="0" w:lastColumn="0" w:oddVBand="0" w:evenVBand="0" w:oddHBand="0" w:evenHBand="1" w:firstRowFirstColumn="0" w:firstRowLastColumn="0" w:lastRowFirstColumn="0" w:lastRowLastColumn="0"/>
          <w:cantSplit/>
        </w:trPr>
        <w:tc>
          <w:tcPr>
            <w:tcW w:w="2235" w:type="dxa"/>
          </w:tcPr>
          <w:p w:rsidR="00756336" w:rsidRPr="00756336" w:rsidRDefault="00DC246F" w:rsidP="00756336">
            <w:r>
              <w:t>Capital gains tax</w:t>
            </w:r>
          </w:p>
        </w:tc>
        <w:tc>
          <w:tcPr>
            <w:tcW w:w="1430" w:type="dxa"/>
          </w:tcPr>
          <w:p w:rsidR="00756336" w:rsidRPr="00756336" w:rsidRDefault="00DC246F" w:rsidP="00756336">
            <w:r>
              <w:t xml:space="preserve">September </w:t>
            </w:r>
            <w:r w:rsidR="00D85C45">
              <w:t>1999</w:t>
            </w:r>
          </w:p>
        </w:tc>
        <w:tc>
          <w:tcPr>
            <w:tcW w:w="5028" w:type="dxa"/>
          </w:tcPr>
          <w:p w:rsidR="00756336" w:rsidRPr="00756336" w:rsidRDefault="00DC246F" w:rsidP="00756336">
            <w:r>
              <w:t>The method to calculate capital gains tax change from the indexation method to the CGT discount method.</w:t>
            </w:r>
          </w:p>
        </w:tc>
      </w:tr>
      <w:tr w:rsidR="00D85C45" w:rsidTr="00E750F8">
        <w:trPr>
          <w:cantSplit/>
        </w:trPr>
        <w:tc>
          <w:tcPr>
            <w:tcW w:w="2235" w:type="dxa"/>
          </w:tcPr>
          <w:p w:rsidR="00D85C45" w:rsidRPr="00756336" w:rsidRDefault="00957389" w:rsidP="00756336">
            <w:r>
              <w:t>Refund of excess credits</w:t>
            </w:r>
          </w:p>
        </w:tc>
        <w:tc>
          <w:tcPr>
            <w:tcW w:w="1430" w:type="dxa"/>
          </w:tcPr>
          <w:p w:rsidR="00D85C45" w:rsidRPr="00756336" w:rsidRDefault="00D85C45" w:rsidP="00756336">
            <w:r>
              <w:t>July 2000</w:t>
            </w:r>
          </w:p>
        </w:tc>
        <w:tc>
          <w:tcPr>
            <w:tcW w:w="5028" w:type="dxa"/>
          </w:tcPr>
          <w:p w:rsidR="00D85C45" w:rsidRPr="00756336" w:rsidRDefault="00957389" w:rsidP="00756336">
            <w:r w:rsidRPr="00A3318E">
              <w:t xml:space="preserve">If the </w:t>
            </w:r>
            <w:r w:rsidRPr="00957389">
              <w:t>amount of imputation credits received exceeds an investor's tax liability, that investor can receive a cash refund for the balance</w:t>
            </w:r>
          </w:p>
        </w:tc>
      </w:tr>
    </w:tbl>
    <w:p w:rsidR="00C52695" w:rsidRPr="00B27BE5" w:rsidRDefault="00C52695" w:rsidP="00C52695">
      <w:r w:rsidRPr="00B27BE5">
        <w:fldChar w:fldCharType="begin"/>
      </w:r>
      <w:r w:rsidRPr="00B27BE5">
        <w:instrText xml:space="preserve"> REF _Ref449538408 \h </w:instrText>
      </w:r>
      <w:r w:rsidRPr="00B27BE5">
        <w:fldChar w:fldCharType="separate"/>
      </w:r>
      <w:r w:rsidR="007E3457" w:rsidRPr="00883125">
        <w:t xml:space="preserve">Table </w:t>
      </w:r>
      <w:r w:rsidR="007E3457">
        <w:rPr>
          <w:noProof/>
        </w:rPr>
        <w:t>4</w:t>
      </w:r>
      <w:r w:rsidR="007E3457">
        <w:noBreakHyphen/>
      </w:r>
      <w:r w:rsidR="007E3457">
        <w:rPr>
          <w:noProof/>
        </w:rPr>
        <w:t>20</w:t>
      </w:r>
      <w:r w:rsidRPr="00B27BE5">
        <w:fldChar w:fldCharType="end"/>
      </w:r>
      <w:r w:rsidRPr="00B27BE5">
        <w:t xml:space="preserve"> is the equivalent table for alternative implied market value studies. In this table, several results are recorded as 'N/A', even though there is a specific date range provided. In such cases, that particular technique (or data limitations) did not permit the disaggregation of the value of the dividend component and the imputation credit. In this situation, the study typically reports the combined value of the cash dividend and imputation credit together. The minimum value for the imputation credit component of this package will arise if the cash dividend is fully valued, and these estimates are presented in the 'notes' column.</w:t>
      </w:r>
    </w:p>
    <w:p w:rsidR="00C52695" w:rsidRPr="00883125" w:rsidRDefault="00C52695" w:rsidP="00C52695">
      <w:pPr>
        <w:pStyle w:val="Caption"/>
      </w:pPr>
      <w:bookmarkStart w:id="426" w:name="_Ref401075676"/>
      <w:r w:rsidRPr="00883125">
        <w:t xml:space="preserve">Table </w:t>
      </w:r>
      <w:r w:rsidRPr="001D37D5">
        <w:fldChar w:fldCharType="begin"/>
      </w:r>
      <w:r>
        <w:instrText xml:space="preserve"> STYLEREF 1 \s </w:instrText>
      </w:r>
      <w:r w:rsidRPr="001D37D5">
        <w:fldChar w:fldCharType="separate"/>
      </w:r>
      <w:r w:rsidR="007E3457">
        <w:rPr>
          <w:noProof/>
        </w:rPr>
        <w:t>4</w:t>
      </w:r>
      <w:r w:rsidRPr="001D37D5">
        <w:fldChar w:fldCharType="end"/>
      </w:r>
      <w:r>
        <w:noBreakHyphen/>
      </w:r>
      <w:r w:rsidRPr="001D37D5">
        <w:fldChar w:fldCharType="begin"/>
      </w:r>
      <w:r>
        <w:instrText xml:space="preserve"> SEQ Table \* ARABIC \s 1 </w:instrText>
      </w:r>
      <w:r w:rsidRPr="001D37D5">
        <w:fldChar w:fldCharType="separate"/>
      </w:r>
      <w:r w:rsidR="007E3457">
        <w:rPr>
          <w:noProof/>
        </w:rPr>
        <w:t>19</w:t>
      </w:r>
      <w:r w:rsidRPr="001D37D5">
        <w:fldChar w:fldCharType="end"/>
      </w:r>
      <w:bookmarkEnd w:id="426"/>
      <w:r w:rsidRPr="00883125">
        <w:tab/>
        <w:t>Estimates of the utilisation rate from dividend drop off studies</w:t>
      </w:r>
    </w:p>
    <w:tbl>
      <w:tblPr>
        <w:tblStyle w:val="AERtable-text0"/>
        <w:tblW w:w="9180" w:type="dxa"/>
        <w:tblLayout w:type="fixed"/>
        <w:tblLook w:val="04A0" w:firstRow="1" w:lastRow="0" w:firstColumn="1" w:lastColumn="0" w:noHBand="0" w:noVBand="1"/>
      </w:tblPr>
      <w:tblGrid>
        <w:gridCol w:w="250"/>
        <w:gridCol w:w="142"/>
        <w:gridCol w:w="2835"/>
        <w:gridCol w:w="1346"/>
        <w:gridCol w:w="1347"/>
        <w:gridCol w:w="3260"/>
      </w:tblGrid>
      <w:tr w:rsidR="00C52695" w:rsidRPr="00222643" w:rsidTr="00BF1C4B">
        <w:trPr>
          <w:cnfStyle w:val="100000000000" w:firstRow="1" w:lastRow="0" w:firstColumn="0" w:lastColumn="0" w:oddVBand="0" w:evenVBand="0" w:oddHBand="0" w:evenHBand="0" w:firstRowFirstColumn="0" w:firstRowLastColumn="0" w:lastRowFirstColumn="0" w:lastRowLastColumn="0"/>
          <w:cantSplit/>
          <w:tblHeader/>
        </w:trPr>
        <w:tc>
          <w:tcPr>
            <w:tcW w:w="392" w:type="dxa"/>
            <w:gridSpan w:val="2"/>
          </w:tcPr>
          <w:p w:rsidR="00C52695" w:rsidRPr="00883125" w:rsidRDefault="00C52695" w:rsidP="00C52695"/>
        </w:tc>
        <w:tc>
          <w:tcPr>
            <w:tcW w:w="2835" w:type="dxa"/>
          </w:tcPr>
          <w:p w:rsidR="00C52695" w:rsidRPr="00C52695" w:rsidRDefault="00C52695" w:rsidP="00C52695">
            <w:r w:rsidRPr="00883125">
              <w:t>Authors</w:t>
            </w:r>
          </w:p>
        </w:tc>
        <w:tc>
          <w:tcPr>
            <w:tcW w:w="1346" w:type="dxa"/>
          </w:tcPr>
          <w:p w:rsidR="00C52695" w:rsidRPr="00C52695" w:rsidRDefault="00C52695" w:rsidP="00C52695">
            <w:r w:rsidRPr="00883125">
              <w:t>Pre-2000 results</w:t>
            </w:r>
          </w:p>
        </w:tc>
        <w:tc>
          <w:tcPr>
            <w:tcW w:w="1347" w:type="dxa"/>
          </w:tcPr>
          <w:p w:rsidR="00C52695" w:rsidRPr="00C52695" w:rsidRDefault="00C52695" w:rsidP="00C52695">
            <w:r w:rsidRPr="00883125">
              <w:t>Post-2000 results</w:t>
            </w:r>
          </w:p>
        </w:tc>
        <w:tc>
          <w:tcPr>
            <w:tcW w:w="3260" w:type="dxa"/>
          </w:tcPr>
          <w:p w:rsidR="00C52695" w:rsidRPr="00C52695" w:rsidRDefault="00C52695" w:rsidP="00C52695">
            <w:r w:rsidRPr="00883125">
              <w:t>Notes</w:t>
            </w:r>
          </w:p>
        </w:tc>
      </w:tr>
      <w:tr w:rsidR="00C52695" w:rsidRPr="00222643" w:rsidTr="00BF1C4B">
        <w:trPr>
          <w:cantSplit/>
          <w:trHeight w:val="426"/>
        </w:trPr>
        <w:tc>
          <w:tcPr>
            <w:tcW w:w="3227" w:type="dxa"/>
            <w:gridSpan w:val="3"/>
          </w:tcPr>
          <w:p w:rsidR="00C52695" w:rsidRPr="00C52695" w:rsidRDefault="00C52695" w:rsidP="00C52695">
            <w:pPr>
              <w:rPr>
                <w:rStyle w:val="Strong"/>
              </w:rPr>
            </w:pPr>
            <w:r w:rsidRPr="00883125">
              <w:rPr>
                <w:rStyle w:val="Strong"/>
              </w:rPr>
              <w:t xml:space="preserve">Dividend drop off </w:t>
            </w:r>
            <w:r w:rsidRPr="00C52695">
              <w:rPr>
                <w:rStyle w:val="Strong"/>
              </w:rPr>
              <w:t>study</w:t>
            </w:r>
          </w:p>
        </w:tc>
        <w:tc>
          <w:tcPr>
            <w:tcW w:w="1346" w:type="dxa"/>
          </w:tcPr>
          <w:p w:rsidR="00C52695" w:rsidRPr="00883125" w:rsidRDefault="00C52695" w:rsidP="00C52695"/>
        </w:tc>
        <w:tc>
          <w:tcPr>
            <w:tcW w:w="1347" w:type="dxa"/>
          </w:tcPr>
          <w:p w:rsidR="00C52695" w:rsidRPr="00883125" w:rsidRDefault="00C52695" w:rsidP="00C52695"/>
        </w:tc>
        <w:tc>
          <w:tcPr>
            <w:tcW w:w="3260" w:type="dxa"/>
          </w:tcPr>
          <w:p w:rsidR="00C52695" w:rsidRPr="00883125" w:rsidRDefault="00C52695" w:rsidP="00C52695"/>
        </w:tc>
      </w:tr>
      <w:tr w:rsidR="00DA4BFB" w:rsidRPr="00222643" w:rsidTr="00BF1C4B">
        <w:trPr>
          <w:cnfStyle w:val="000000010000" w:firstRow="0" w:lastRow="0" w:firstColumn="0" w:lastColumn="0" w:oddVBand="0" w:evenVBand="0" w:oddHBand="0" w:evenHBand="1" w:firstRowFirstColumn="0" w:firstRowLastColumn="0" w:lastRowFirstColumn="0" w:lastRowLastColumn="0"/>
          <w:cantSplit/>
          <w:trHeight w:val="406"/>
        </w:trPr>
        <w:tc>
          <w:tcPr>
            <w:tcW w:w="250" w:type="dxa"/>
          </w:tcPr>
          <w:p w:rsidR="00DA4BFB" w:rsidRPr="00883125" w:rsidRDefault="00DA4BFB" w:rsidP="00C52695"/>
        </w:tc>
        <w:tc>
          <w:tcPr>
            <w:tcW w:w="2977" w:type="dxa"/>
            <w:gridSpan w:val="2"/>
          </w:tcPr>
          <w:p w:rsidR="00DA4BFB" w:rsidRPr="00883125" w:rsidRDefault="00DA4BFB" w:rsidP="00C52695">
            <w:r>
              <w:t>F</w:t>
            </w:r>
            <w:r w:rsidRPr="00DA4BFB">
              <w:t>rontier (2016)</w:t>
            </w:r>
            <w:r w:rsidRPr="00DA4BFB">
              <w:rPr>
                <w:rStyle w:val="FootnoteReference"/>
              </w:rPr>
              <w:footnoteReference w:id="753"/>
            </w:r>
          </w:p>
        </w:tc>
        <w:tc>
          <w:tcPr>
            <w:tcW w:w="1346" w:type="dxa"/>
          </w:tcPr>
          <w:p w:rsidR="00DA4BFB" w:rsidRPr="00883125" w:rsidRDefault="00DA4BFB" w:rsidP="00C52695"/>
        </w:tc>
        <w:tc>
          <w:tcPr>
            <w:tcW w:w="1347" w:type="dxa"/>
          </w:tcPr>
          <w:p w:rsidR="00DA4BFB" w:rsidRPr="00883125" w:rsidRDefault="00DA4BFB" w:rsidP="00C52695">
            <w:r>
              <w:t>0.35</w:t>
            </w:r>
            <w:r>
              <w:br/>
              <w:t>(2001–2016</w:t>
            </w:r>
            <w:r w:rsidRPr="00883125">
              <w:t>)</w:t>
            </w:r>
          </w:p>
        </w:tc>
        <w:tc>
          <w:tcPr>
            <w:tcW w:w="3260" w:type="dxa"/>
          </w:tcPr>
          <w:p w:rsidR="00DA4BFB" w:rsidRPr="00883125" w:rsidRDefault="00E678B4" w:rsidP="00C52695">
            <w:r>
              <w:t>0.26 to 0.41 (95 per cent confidence interval for all of the specifications).</w:t>
            </w:r>
          </w:p>
        </w:tc>
      </w:tr>
      <w:tr w:rsidR="00C52695" w:rsidRPr="00222643" w:rsidTr="00BF1C4B">
        <w:trPr>
          <w:cantSplit/>
          <w:trHeight w:val="406"/>
        </w:trPr>
        <w:tc>
          <w:tcPr>
            <w:tcW w:w="250" w:type="dxa"/>
          </w:tcPr>
          <w:p w:rsidR="00C52695" w:rsidRPr="00883125" w:rsidRDefault="00C52695" w:rsidP="00C52695"/>
        </w:tc>
        <w:tc>
          <w:tcPr>
            <w:tcW w:w="2977" w:type="dxa"/>
            <w:gridSpan w:val="2"/>
          </w:tcPr>
          <w:p w:rsidR="00C52695" w:rsidRPr="00C52695" w:rsidRDefault="00C52695" w:rsidP="00C52695">
            <w:r w:rsidRPr="00883125">
              <w:t>Vo et al (2013)</w:t>
            </w:r>
            <w:r w:rsidRPr="00C52695">
              <w:rPr>
                <w:rStyle w:val="FootnoteReference"/>
              </w:rPr>
              <w:footnoteReference w:id="754"/>
            </w:r>
          </w:p>
        </w:tc>
        <w:tc>
          <w:tcPr>
            <w:tcW w:w="1346" w:type="dxa"/>
          </w:tcPr>
          <w:p w:rsidR="00C52695" w:rsidRPr="00883125" w:rsidRDefault="00C52695" w:rsidP="00C52695"/>
        </w:tc>
        <w:tc>
          <w:tcPr>
            <w:tcW w:w="1347" w:type="dxa"/>
          </w:tcPr>
          <w:p w:rsidR="00C52695" w:rsidRPr="00C52695" w:rsidRDefault="00C52695" w:rsidP="00C52695">
            <w:r w:rsidRPr="00883125">
              <w:t>0.35–0.55</w:t>
            </w:r>
            <w:r w:rsidRPr="00883125">
              <w:br/>
              <w:t>(2001–2012)</w:t>
            </w:r>
          </w:p>
        </w:tc>
        <w:tc>
          <w:tcPr>
            <w:tcW w:w="3260" w:type="dxa"/>
          </w:tcPr>
          <w:p w:rsidR="00C52695" w:rsidRPr="00C52695" w:rsidRDefault="00C52695" w:rsidP="00C52695">
            <w:r w:rsidRPr="00883125">
              <w:t>Range derived from large number of permutations and sensitivity tests.</w:t>
            </w:r>
          </w:p>
        </w:tc>
      </w:tr>
      <w:tr w:rsidR="00C52695" w:rsidRPr="00222643" w:rsidTr="00BF1C4B">
        <w:trPr>
          <w:cnfStyle w:val="000000010000" w:firstRow="0" w:lastRow="0" w:firstColumn="0" w:lastColumn="0" w:oddVBand="0" w:evenVBand="0" w:oddHBand="0" w:evenHBand="1" w:firstRowFirstColumn="0" w:firstRowLastColumn="0" w:lastRowFirstColumn="0" w:lastRowLastColumn="0"/>
          <w:cantSplit/>
        </w:trPr>
        <w:tc>
          <w:tcPr>
            <w:tcW w:w="250" w:type="dxa"/>
          </w:tcPr>
          <w:p w:rsidR="00C52695" w:rsidRPr="00883125" w:rsidRDefault="00C52695" w:rsidP="00C52695"/>
        </w:tc>
        <w:tc>
          <w:tcPr>
            <w:tcW w:w="2977" w:type="dxa"/>
            <w:gridSpan w:val="2"/>
          </w:tcPr>
          <w:p w:rsidR="00C52695" w:rsidRPr="00C52695" w:rsidRDefault="00C52695" w:rsidP="00C52695">
            <w:r w:rsidRPr="00883125">
              <w:t xml:space="preserve">SFG </w:t>
            </w:r>
            <w:r w:rsidRPr="00C52695">
              <w:t>(2013a)</w:t>
            </w:r>
            <w:r w:rsidRPr="00C52695">
              <w:rPr>
                <w:rStyle w:val="FootnoteReference"/>
              </w:rPr>
              <w:footnoteReference w:id="755"/>
            </w:r>
          </w:p>
        </w:tc>
        <w:tc>
          <w:tcPr>
            <w:tcW w:w="1346" w:type="dxa"/>
          </w:tcPr>
          <w:p w:rsidR="00C52695" w:rsidRPr="00883125" w:rsidRDefault="00C52695" w:rsidP="00C52695"/>
        </w:tc>
        <w:tc>
          <w:tcPr>
            <w:tcW w:w="1347" w:type="dxa"/>
          </w:tcPr>
          <w:p w:rsidR="00C52695" w:rsidRPr="00C52695" w:rsidRDefault="00C52695" w:rsidP="00C52695">
            <w:r w:rsidRPr="00883125">
              <w:t>0.35</w:t>
            </w:r>
            <w:r w:rsidRPr="00883125">
              <w:br/>
              <w:t>(2001–2012)</w:t>
            </w:r>
          </w:p>
        </w:tc>
        <w:tc>
          <w:tcPr>
            <w:tcW w:w="3260" w:type="dxa"/>
          </w:tcPr>
          <w:p w:rsidR="00C52695" w:rsidRPr="00C52695" w:rsidRDefault="00C52695" w:rsidP="00C52695">
            <w:r w:rsidRPr="00883125">
              <w:t xml:space="preserve">Author's point estimate </w:t>
            </w:r>
            <w:r w:rsidRPr="00C52695">
              <w:t>across a number of different regression forms.</w:t>
            </w:r>
          </w:p>
        </w:tc>
      </w:tr>
      <w:tr w:rsidR="00C52695" w:rsidRPr="00222643" w:rsidTr="00BF1C4B">
        <w:trPr>
          <w:cantSplit/>
        </w:trPr>
        <w:tc>
          <w:tcPr>
            <w:tcW w:w="250" w:type="dxa"/>
          </w:tcPr>
          <w:p w:rsidR="00C52695" w:rsidRPr="00883125" w:rsidRDefault="00C52695" w:rsidP="00C52695"/>
        </w:tc>
        <w:tc>
          <w:tcPr>
            <w:tcW w:w="2977" w:type="dxa"/>
            <w:gridSpan w:val="2"/>
          </w:tcPr>
          <w:p w:rsidR="00C52695" w:rsidRPr="00C52695" w:rsidRDefault="00C52695" w:rsidP="00C52695">
            <w:r w:rsidRPr="00883125">
              <w:t>SFG (2011)</w:t>
            </w:r>
            <w:r w:rsidRPr="00C52695">
              <w:rPr>
                <w:rStyle w:val="FootnoteReference"/>
              </w:rPr>
              <w:footnoteReference w:id="756"/>
            </w:r>
          </w:p>
        </w:tc>
        <w:tc>
          <w:tcPr>
            <w:tcW w:w="1346" w:type="dxa"/>
          </w:tcPr>
          <w:p w:rsidR="00C52695" w:rsidRPr="00883125" w:rsidRDefault="00C52695" w:rsidP="00C52695"/>
        </w:tc>
        <w:tc>
          <w:tcPr>
            <w:tcW w:w="1347" w:type="dxa"/>
          </w:tcPr>
          <w:p w:rsidR="00C52695" w:rsidRPr="00C52695" w:rsidRDefault="00C52695" w:rsidP="00C52695">
            <w:r w:rsidRPr="00883125">
              <w:t>0.35</w:t>
            </w:r>
            <w:r w:rsidRPr="00883125">
              <w:br/>
            </w:r>
            <w:r w:rsidRPr="00C52695">
              <w:t>(2001–2010)</w:t>
            </w:r>
          </w:p>
        </w:tc>
        <w:tc>
          <w:tcPr>
            <w:tcW w:w="3260" w:type="dxa"/>
          </w:tcPr>
          <w:p w:rsidR="00C52695" w:rsidRPr="00883125" w:rsidRDefault="00C52695" w:rsidP="00C52695"/>
        </w:tc>
      </w:tr>
      <w:tr w:rsidR="00C52695" w:rsidRPr="00222643" w:rsidTr="00BF1C4B">
        <w:trPr>
          <w:cnfStyle w:val="000000010000" w:firstRow="0" w:lastRow="0" w:firstColumn="0" w:lastColumn="0" w:oddVBand="0" w:evenVBand="0" w:oddHBand="0" w:evenHBand="1" w:firstRowFirstColumn="0" w:firstRowLastColumn="0" w:lastRowFirstColumn="0" w:lastRowLastColumn="0"/>
          <w:cantSplit/>
          <w:trHeight w:val="301"/>
        </w:trPr>
        <w:tc>
          <w:tcPr>
            <w:tcW w:w="250" w:type="dxa"/>
          </w:tcPr>
          <w:p w:rsidR="00C52695" w:rsidRPr="00883125" w:rsidRDefault="00C52695" w:rsidP="00C52695"/>
        </w:tc>
        <w:tc>
          <w:tcPr>
            <w:tcW w:w="2977" w:type="dxa"/>
            <w:gridSpan w:val="2"/>
          </w:tcPr>
          <w:p w:rsidR="00C52695" w:rsidRPr="00C52695" w:rsidRDefault="00C52695" w:rsidP="00C52695">
            <w:r w:rsidRPr="00883125">
              <w:t>Minney (2010)</w:t>
            </w:r>
            <w:r w:rsidRPr="00C52695">
              <w:rPr>
                <w:rStyle w:val="FootnoteReference"/>
              </w:rPr>
              <w:footnoteReference w:id="757"/>
            </w:r>
          </w:p>
        </w:tc>
        <w:tc>
          <w:tcPr>
            <w:tcW w:w="1346" w:type="dxa"/>
          </w:tcPr>
          <w:p w:rsidR="00C52695" w:rsidRPr="00883125" w:rsidRDefault="00C52695" w:rsidP="00C52695"/>
        </w:tc>
        <w:tc>
          <w:tcPr>
            <w:tcW w:w="1347" w:type="dxa"/>
          </w:tcPr>
          <w:p w:rsidR="00C52695" w:rsidRPr="00C52695" w:rsidRDefault="00C52695" w:rsidP="00C52695">
            <w:r w:rsidRPr="00883125">
              <w:t>0.39</w:t>
            </w:r>
            <w:r w:rsidRPr="00883125">
              <w:br/>
              <w:t>(2001–2009)</w:t>
            </w:r>
          </w:p>
        </w:tc>
        <w:tc>
          <w:tcPr>
            <w:tcW w:w="3260" w:type="dxa"/>
          </w:tcPr>
          <w:p w:rsidR="00C52695" w:rsidRPr="00C52695" w:rsidRDefault="00C52695" w:rsidP="00C52695">
            <w:r w:rsidRPr="00883125">
              <w:t xml:space="preserve">Average of results from 2001–2005 and 2006–2009 sub-periods. For the most recent </w:t>
            </w:r>
            <w:r w:rsidRPr="00C52695">
              <w:t>sub-period (2006–2009), utilisation rate is 0.53.</w:t>
            </w:r>
          </w:p>
        </w:tc>
      </w:tr>
      <w:tr w:rsidR="00C52695" w:rsidRPr="00222643" w:rsidTr="00BF1C4B">
        <w:trPr>
          <w:cantSplit/>
          <w:trHeight w:val="720"/>
        </w:trPr>
        <w:tc>
          <w:tcPr>
            <w:tcW w:w="250" w:type="dxa"/>
          </w:tcPr>
          <w:p w:rsidR="00C52695" w:rsidRPr="00883125" w:rsidRDefault="00C52695" w:rsidP="00C52695"/>
        </w:tc>
        <w:tc>
          <w:tcPr>
            <w:tcW w:w="2977" w:type="dxa"/>
            <w:gridSpan w:val="2"/>
          </w:tcPr>
          <w:p w:rsidR="00C52695" w:rsidRPr="00C52695" w:rsidRDefault="00C52695" w:rsidP="00C52695">
            <w:r w:rsidRPr="00883125">
              <w:t xml:space="preserve">Beggs </w:t>
            </w:r>
            <w:r w:rsidRPr="00C52695">
              <w:t>and Skeels (2006)</w:t>
            </w:r>
            <w:r w:rsidRPr="00C52695">
              <w:rPr>
                <w:rStyle w:val="FootnoteReference"/>
              </w:rPr>
              <w:footnoteReference w:id="758"/>
            </w:r>
          </w:p>
        </w:tc>
        <w:tc>
          <w:tcPr>
            <w:tcW w:w="1346" w:type="dxa"/>
          </w:tcPr>
          <w:p w:rsidR="00C52695" w:rsidRPr="00C52695" w:rsidRDefault="00C52695" w:rsidP="00C52695">
            <w:r w:rsidRPr="00883125">
              <w:t>0.20</w:t>
            </w:r>
            <w:r w:rsidRPr="00883125">
              <w:br/>
              <w:t>(1992–1997)</w:t>
            </w:r>
          </w:p>
        </w:tc>
        <w:tc>
          <w:tcPr>
            <w:tcW w:w="1347" w:type="dxa"/>
          </w:tcPr>
          <w:p w:rsidR="00C52695" w:rsidRPr="00C52695" w:rsidRDefault="00C52695" w:rsidP="00C52695">
            <w:r w:rsidRPr="00883125">
              <w:t>0.57</w:t>
            </w:r>
            <w:r w:rsidRPr="00883125">
              <w:br/>
              <w:t>(2001–2004)</w:t>
            </w:r>
          </w:p>
        </w:tc>
        <w:tc>
          <w:tcPr>
            <w:tcW w:w="3260" w:type="dxa"/>
          </w:tcPr>
          <w:p w:rsidR="00C52695" w:rsidRPr="00C52695" w:rsidRDefault="00C52695" w:rsidP="00C52695">
            <w:r w:rsidRPr="00883125">
              <w:t xml:space="preserve">Several other </w:t>
            </w:r>
            <w:r w:rsidRPr="00C52695">
              <w:t>pre-2000 periods are presented.</w:t>
            </w:r>
          </w:p>
        </w:tc>
      </w:tr>
      <w:tr w:rsidR="00C52695" w:rsidRPr="00222643" w:rsidTr="00BF1C4B">
        <w:trPr>
          <w:cnfStyle w:val="000000010000" w:firstRow="0" w:lastRow="0" w:firstColumn="0" w:lastColumn="0" w:oddVBand="0" w:evenVBand="0" w:oddHBand="0" w:evenHBand="1" w:firstRowFirstColumn="0" w:firstRowLastColumn="0" w:lastRowFirstColumn="0" w:lastRowLastColumn="0"/>
          <w:cantSplit/>
          <w:trHeight w:val="789"/>
        </w:trPr>
        <w:tc>
          <w:tcPr>
            <w:tcW w:w="250" w:type="dxa"/>
          </w:tcPr>
          <w:p w:rsidR="00C52695" w:rsidRPr="00883125" w:rsidRDefault="00C52695" w:rsidP="00C52695"/>
        </w:tc>
        <w:tc>
          <w:tcPr>
            <w:tcW w:w="2977" w:type="dxa"/>
            <w:gridSpan w:val="2"/>
          </w:tcPr>
          <w:p w:rsidR="00C52695" w:rsidRPr="00C52695" w:rsidRDefault="00C52695" w:rsidP="00C52695">
            <w:r w:rsidRPr="00883125">
              <w:t>Hathaway and Officer (2004)</w:t>
            </w:r>
            <w:r w:rsidRPr="00C52695">
              <w:rPr>
                <w:rStyle w:val="FootnoteReference"/>
              </w:rPr>
              <w:footnoteReference w:id="759"/>
            </w:r>
          </w:p>
        </w:tc>
        <w:tc>
          <w:tcPr>
            <w:tcW w:w="1346" w:type="dxa"/>
          </w:tcPr>
          <w:p w:rsidR="00C52695" w:rsidRPr="00C52695" w:rsidRDefault="00C52695" w:rsidP="00C52695">
            <w:r w:rsidRPr="00883125">
              <w:t>0.49</w:t>
            </w:r>
            <w:r w:rsidRPr="00883125">
              <w:br/>
              <w:t>(1986–2004)</w:t>
            </w:r>
          </w:p>
        </w:tc>
        <w:tc>
          <w:tcPr>
            <w:tcW w:w="1347" w:type="dxa"/>
          </w:tcPr>
          <w:p w:rsidR="00C52695" w:rsidRPr="00883125" w:rsidRDefault="00C52695" w:rsidP="00C52695"/>
        </w:tc>
        <w:tc>
          <w:tcPr>
            <w:tcW w:w="3260" w:type="dxa"/>
          </w:tcPr>
          <w:p w:rsidR="00C52695" w:rsidRPr="00C52695" w:rsidRDefault="00C52695" w:rsidP="00C52695">
            <w:r w:rsidRPr="00883125">
              <w:t xml:space="preserve">Authors suggest that estimate has increased </w:t>
            </w:r>
            <w:r w:rsidRPr="00C52695">
              <w:t>post-2000.</w:t>
            </w:r>
          </w:p>
        </w:tc>
      </w:tr>
      <w:tr w:rsidR="00C52695" w:rsidRPr="00222643" w:rsidTr="00BF1C4B">
        <w:trPr>
          <w:cantSplit/>
        </w:trPr>
        <w:tc>
          <w:tcPr>
            <w:tcW w:w="250" w:type="dxa"/>
          </w:tcPr>
          <w:p w:rsidR="00C52695" w:rsidRPr="00883125" w:rsidRDefault="00C52695" w:rsidP="00C52695"/>
        </w:tc>
        <w:tc>
          <w:tcPr>
            <w:tcW w:w="2977" w:type="dxa"/>
            <w:gridSpan w:val="2"/>
          </w:tcPr>
          <w:p w:rsidR="00C52695" w:rsidRPr="00C52695" w:rsidRDefault="00C52695" w:rsidP="00C52695">
            <w:r w:rsidRPr="00883125">
              <w:t>Bellamy and Gray (2004)</w:t>
            </w:r>
            <w:r w:rsidRPr="00C52695">
              <w:rPr>
                <w:rStyle w:val="FootnoteReference"/>
              </w:rPr>
              <w:footnoteReference w:id="760"/>
            </w:r>
          </w:p>
        </w:tc>
        <w:tc>
          <w:tcPr>
            <w:tcW w:w="1346" w:type="dxa"/>
          </w:tcPr>
          <w:p w:rsidR="00C52695" w:rsidRPr="00C52695" w:rsidRDefault="00C52695" w:rsidP="00C52695">
            <w:r w:rsidRPr="00883125">
              <w:t>0.36</w:t>
            </w:r>
            <w:r w:rsidRPr="00883125">
              <w:br/>
              <w:t>(1995–2002)</w:t>
            </w:r>
          </w:p>
        </w:tc>
        <w:tc>
          <w:tcPr>
            <w:tcW w:w="1347" w:type="dxa"/>
          </w:tcPr>
          <w:p w:rsidR="00C52695" w:rsidRPr="00883125" w:rsidRDefault="00C52695" w:rsidP="00C52695"/>
        </w:tc>
        <w:tc>
          <w:tcPr>
            <w:tcW w:w="3260" w:type="dxa"/>
          </w:tcPr>
          <w:p w:rsidR="00C52695" w:rsidRPr="00C52695" w:rsidRDefault="00C52695" w:rsidP="00C52695">
            <w:r w:rsidRPr="00883125">
              <w:t>Range of</w:t>
            </w:r>
            <w:r w:rsidRPr="00C52695">
              <w:t xml:space="preserve"> 0.0–0.60 is also presented.</w:t>
            </w:r>
          </w:p>
        </w:tc>
      </w:tr>
      <w:tr w:rsidR="00C52695" w:rsidRPr="00222643" w:rsidTr="00BF1C4B">
        <w:trPr>
          <w:cnfStyle w:val="000000010000" w:firstRow="0" w:lastRow="0" w:firstColumn="0" w:lastColumn="0" w:oddVBand="0" w:evenVBand="0" w:oddHBand="0" w:evenHBand="1" w:firstRowFirstColumn="0" w:firstRowLastColumn="0" w:lastRowFirstColumn="0" w:lastRowLastColumn="0"/>
          <w:cantSplit/>
        </w:trPr>
        <w:tc>
          <w:tcPr>
            <w:tcW w:w="250" w:type="dxa"/>
          </w:tcPr>
          <w:p w:rsidR="00C52695" w:rsidRPr="00883125" w:rsidRDefault="00C52695" w:rsidP="00C52695"/>
        </w:tc>
        <w:tc>
          <w:tcPr>
            <w:tcW w:w="2977" w:type="dxa"/>
            <w:gridSpan w:val="2"/>
          </w:tcPr>
          <w:p w:rsidR="00C52695" w:rsidRPr="00C52695" w:rsidRDefault="00C52695" w:rsidP="00C52695">
            <w:r w:rsidRPr="00883125">
              <w:t>Bruckner et al (1994)</w:t>
            </w:r>
            <w:r w:rsidRPr="00C52695">
              <w:rPr>
                <w:rStyle w:val="FootnoteReference"/>
              </w:rPr>
              <w:footnoteReference w:id="761"/>
            </w:r>
          </w:p>
        </w:tc>
        <w:tc>
          <w:tcPr>
            <w:tcW w:w="1346" w:type="dxa"/>
          </w:tcPr>
          <w:p w:rsidR="00C52695" w:rsidRPr="00C52695" w:rsidRDefault="00C52695" w:rsidP="00C52695">
            <w:r w:rsidRPr="00883125">
              <w:t>0.69</w:t>
            </w:r>
            <w:r w:rsidRPr="00883125">
              <w:br/>
            </w:r>
            <w:r w:rsidRPr="00C52695">
              <w:t>(1991–1993)</w:t>
            </w:r>
          </w:p>
        </w:tc>
        <w:tc>
          <w:tcPr>
            <w:tcW w:w="1347" w:type="dxa"/>
          </w:tcPr>
          <w:p w:rsidR="00C52695" w:rsidRPr="00883125" w:rsidRDefault="00C52695" w:rsidP="00C52695"/>
        </w:tc>
        <w:tc>
          <w:tcPr>
            <w:tcW w:w="3260" w:type="dxa"/>
          </w:tcPr>
          <w:p w:rsidR="00C52695" w:rsidRPr="00C52695" w:rsidRDefault="00C52695" w:rsidP="00C52695">
            <w:r w:rsidRPr="00883125">
              <w:t>Also present an earlier period (1987–1990).</w:t>
            </w:r>
          </w:p>
        </w:tc>
      </w:tr>
      <w:tr w:rsidR="00C52695" w:rsidRPr="00222643" w:rsidTr="00BF1C4B">
        <w:trPr>
          <w:cantSplit/>
        </w:trPr>
        <w:tc>
          <w:tcPr>
            <w:tcW w:w="250" w:type="dxa"/>
          </w:tcPr>
          <w:p w:rsidR="00C52695" w:rsidRPr="00883125" w:rsidRDefault="00C52695" w:rsidP="00C52695"/>
        </w:tc>
        <w:tc>
          <w:tcPr>
            <w:tcW w:w="2977" w:type="dxa"/>
            <w:gridSpan w:val="2"/>
          </w:tcPr>
          <w:p w:rsidR="00C52695" w:rsidRPr="00C52695" w:rsidRDefault="00C52695" w:rsidP="00C52695">
            <w:r w:rsidRPr="00883125">
              <w:t>Brown and Clarke (1993)</w:t>
            </w:r>
            <w:r w:rsidRPr="00C52695">
              <w:rPr>
                <w:rStyle w:val="FootnoteReference"/>
              </w:rPr>
              <w:footnoteReference w:id="762"/>
            </w:r>
          </w:p>
        </w:tc>
        <w:tc>
          <w:tcPr>
            <w:tcW w:w="1346" w:type="dxa"/>
          </w:tcPr>
          <w:p w:rsidR="00C52695" w:rsidRPr="00C52695" w:rsidRDefault="00C52695" w:rsidP="00C52695">
            <w:r w:rsidRPr="00883125">
              <w:t>0.80</w:t>
            </w:r>
            <w:r w:rsidRPr="00883125">
              <w:br/>
              <w:t>(1988–1991)</w:t>
            </w:r>
          </w:p>
        </w:tc>
        <w:tc>
          <w:tcPr>
            <w:tcW w:w="1347" w:type="dxa"/>
          </w:tcPr>
          <w:p w:rsidR="00C52695" w:rsidRPr="00883125" w:rsidRDefault="00C52695" w:rsidP="00C52695"/>
        </w:tc>
        <w:tc>
          <w:tcPr>
            <w:tcW w:w="3260" w:type="dxa"/>
          </w:tcPr>
          <w:p w:rsidR="00C52695" w:rsidRPr="00883125" w:rsidRDefault="00C52695" w:rsidP="00C52695"/>
        </w:tc>
      </w:tr>
    </w:tbl>
    <w:p w:rsidR="00C52695" w:rsidRPr="00883125" w:rsidRDefault="00C52695" w:rsidP="00C52695">
      <w:pPr>
        <w:pStyle w:val="AERtablesource"/>
      </w:pPr>
      <w:r w:rsidRPr="00883125">
        <w:t xml:space="preserve">Source: </w:t>
      </w:r>
      <w:r w:rsidRPr="00883125">
        <w:tab/>
        <w:t>As specified in table.</w:t>
      </w:r>
    </w:p>
    <w:p w:rsidR="00C52695" w:rsidRDefault="00C52695" w:rsidP="00C52695">
      <w:pPr>
        <w:rPr>
          <w:rStyle w:val="AERbody"/>
        </w:rPr>
      </w:pPr>
      <w:bookmarkStart w:id="427" w:name="_Ref401076250"/>
      <w:r w:rsidRPr="00883125">
        <w:rPr>
          <w:rStyle w:val="AERbody"/>
        </w:rPr>
        <w:t>As is evident in the table above</w:t>
      </w:r>
      <w:r w:rsidRPr="00B27BE5">
        <w:rPr>
          <w:rStyle w:val="AERbody"/>
        </w:rPr>
        <w:t xml:space="preserve">, dividend drop off studies suggest that the utilisation </w:t>
      </w:r>
      <w:r w:rsidRPr="00B27BE5">
        <w:t xml:space="preserve">value </w:t>
      </w:r>
      <w:r w:rsidRPr="00B27BE5">
        <w:rPr>
          <w:rStyle w:val="AERbody"/>
        </w:rPr>
        <w:t>is in the range of 0.35 to 0.57 when using post 2000 data and is in the range of 0.2 to 0.8 when using pre 2000 data. This is consistent with the finding in Ainsworth, Partington and Warren (2015) which considers that the dividend drop-off and comparative pricing studies they examine would suggest that imputation credits are partially priced at about $0.38 in the dollar.</w:t>
      </w:r>
      <w:r w:rsidRPr="00B27BE5">
        <w:rPr>
          <w:rStyle w:val="FootnoteReference"/>
        </w:rPr>
        <w:footnoteReference w:id="763"/>
      </w:r>
    </w:p>
    <w:p w:rsidR="002D1212" w:rsidRPr="00A962CC" w:rsidRDefault="000C5949" w:rsidP="00C52695">
      <w:pPr>
        <w:rPr>
          <w:rStyle w:val="AERbody"/>
        </w:rPr>
      </w:pPr>
      <w:r w:rsidRPr="00A962CC">
        <w:rPr>
          <w:rStyle w:val="AERbody"/>
        </w:rPr>
        <w:t>R</w:t>
      </w:r>
      <w:r w:rsidR="00D83160" w:rsidRPr="00A962CC">
        <w:rPr>
          <w:rStyle w:val="AERbody"/>
        </w:rPr>
        <w:t xml:space="preserve">egulated businesses </w:t>
      </w:r>
      <w:r w:rsidR="0045326E" w:rsidRPr="00A962CC">
        <w:rPr>
          <w:rStyle w:val="AERbody"/>
        </w:rPr>
        <w:t>have solely rel</w:t>
      </w:r>
      <w:r w:rsidR="0045326E" w:rsidRPr="00E2259C">
        <w:rPr>
          <w:rStyle w:val="AERbody"/>
        </w:rPr>
        <w:t>ied</w:t>
      </w:r>
      <w:r w:rsidR="00D83160" w:rsidRPr="00E2259C">
        <w:rPr>
          <w:rStyle w:val="AERbody"/>
        </w:rPr>
        <w:t xml:space="preserve"> </w:t>
      </w:r>
      <w:r w:rsidRPr="00B7446E">
        <w:rPr>
          <w:rStyle w:val="AERbody"/>
        </w:rPr>
        <w:t>on</w:t>
      </w:r>
      <w:r w:rsidRPr="007A77C1">
        <w:rPr>
          <w:rStyle w:val="AERbody"/>
        </w:rPr>
        <w:t xml:space="preserve"> the SFG 2011 dividend drop off study</w:t>
      </w:r>
      <w:r w:rsidRPr="00313CB3">
        <w:rPr>
          <w:rStyle w:val="AERbody"/>
        </w:rPr>
        <w:t xml:space="preserve"> </w:t>
      </w:r>
      <w:r w:rsidR="0045326E" w:rsidRPr="00B505F7">
        <w:rPr>
          <w:rStyle w:val="AERbody"/>
        </w:rPr>
        <w:t>to determine</w:t>
      </w:r>
      <w:r w:rsidRPr="00B505F7">
        <w:rPr>
          <w:rStyle w:val="AERbody"/>
        </w:rPr>
        <w:t xml:space="preserve"> their theta estimate. Frontier </w:t>
      </w:r>
      <w:r w:rsidRPr="005A48E0">
        <w:rPr>
          <w:rStyle w:val="AERbody"/>
        </w:rPr>
        <w:t xml:space="preserve">has updated </w:t>
      </w:r>
      <w:r w:rsidR="00630BA8" w:rsidRPr="005A48E0">
        <w:rPr>
          <w:rStyle w:val="AERbody"/>
        </w:rPr>
        <w:t>this</w:t>
      </w:r>
      <w:r w:rsidRPr="005A48E0">
        <w:rPr>
          <w:rStyle w:val="AERbody"/>
        </w:rPr>
        <w:t xml:space="preserve"> SFG study for the most recent data and </w:t>
      </w:r>
      <w:r w:rsidR="00630BA8" w:rsidRPr="005A48E0">
        <w:rPr>
          <w:rStyle w:val="AERbody"/>
        </w:rPr>
        <w:t xml:space="preserve">has </w:t>
      </w:r>
      <w:r w:rsidRPr="005A48E0">
        <w:rPr>
          <w:rStyle w:val="AERbody"/>
        </w:rPr>
        <w:t xml:space="preserve">concluded that a theta </w:t>
      </w:r>
      <w:r w:rsidR="00630BA8" w:rsidRPr="005A48E0">
        <w:rPr>
          <w:rStyle w:val="AERbody"/>
        </w:rPr>
        <w:t xml:space="preserve">estimate </w:t>
      </w:r>
      <w:r w:rsidRPr="005A48E0">
        <w:rPr>
          <w:rStyle w:val="AERbody"/>
        </w:rPr>
        <w:t xml:space="preserve">of 0.35 </w:t>
      </w:r>
      <w:r w:rsidR="00630BA8" w:rsidRPr="005A48E0">
        <w:rPr>
          <w:rStyle w:val="AERbody"/>
        </w:rPr>
        <w:t xml:space="preserve">still </w:t>
      </w:r>
      <w:r w:rsidRPr="005A48E0">
        <w:rPr>
          <w:rStyle w:val="AERbody"/>
        </w:rPr>
        <w:t>remains appropriate</w:t>
      </w:r>
      <w:r w:rsidR="00630BA8" w:rsidRPr="00A962CC">
        <w:rPr>
          <w:rStyle w:val="AERbody"/>
        </w:rPr>
        <w:t>.</w:t>
      </w:r>
      <w:r w:rsidR="00630BA8" w:rsidRPr="00A962CC">
        <w:rPr>
          <w:rStyle w:val="FootnoteReference"/>
        </w:rPr>
        <w:footnoteReference w:id="764"/>
      </w:r>
      <w:r w:rsidR="004D4040" w:rsidRPr="00A962CC">
        <w:rPr>
          <w:rStyle w:val="AERbody"/>
        </w:rPr>
        <w:t xml:space="preserve"> </w:t>
      </w:r>
      <w:r w:rsidR="002D1212" w:rsidRPr="00A962CC">
        <w:rPr>
          <w:rStyle w:val="AERbody"/>
        </w:rPr>
        <w:t>It is submitted that Professor Gray has exten</w:t>
      </w:r>
      <w:r w:rsidR="002D1212" w:rsidRPr="00E2259C">
        <w:rPr>
          <w:rStyle w:val="AERbody"/>
        </w:rPr>
        <w:t>ded the dataset from 2</w:t>
      </w:r>
      <w:r w:rsidR="00314175">
        <w:rPr>
          <w:rStyle w:val="AERbody"/>
        </w:rPr>
        <w:t>013 update through to June 2016. H</w:t>
      </w:r>
      <w:r w:rsidR="002D1212" w:rsidRPr="00E2259C">
        <w:rPr>
          <w:rStyle w:val="AERbody"/>
        </w:rPr>
        <w:t xml:space="preserve">aving undertaken the same analysis </w:t>
      </w:r>
      <w:r w:rsidR="00A041D8">
        <w:rPr>
          <w:rStyle w:val="AERbody"/>
        </w:rPr>
        <w:t>as in the SFG 2011 study</w:t>
      </w:r>
      <w:r w:rsidR="00314175">
        <w:rPr>
          <w:rStyle w:val="AERbody"/>
        </w:rPr>
        <w:t>,</w:t>
      </w:r>
      <w:r w:rsidR="00A041D8">
        <w:rPr>
          <w:rStyle w:val="AERbody"/>
        </w:rPr>
        <w:t xml:space="preserve"> Gray </w:t>
      </w:r>
      <w:r w:rsidR="002D1212" w:rsidRPr="00E2259C">
        <w:rPr>
          <w:rStyle w:val="AERbody"/>
        </w:rPr>
        <w:t xml:space="preserve">concludes that the updated </w:t>
      </w:r>
      <w:r w:rsidR="00A041D8">
        <w:rPr>
          <w:rStyle w:val="AERbody"/>
        </w:rPr>
        <w:t xml:space="preserve">data </w:t>
      </w:r>
      <w:r w:rsidR="002D1212" w:rsidRPr="00E2259C">
        <w:rPr>
          <w:rStyle w:val="AERbody"/>
        </w:rPr>
        <w:t xml:space="preserve">supports an unchanged theta </w:t>
      </w:r>
      <w:r w:rsidR="00A041D8" w:rsidRPr="00E2259C">
        <w:rPr>
          <w:rStyle w:val="AERbody"/>
        </w:rPr>
        <w:t xml:space="preserve">estimate </w:t>
      </w:r>
      <w:r w:rsidR="002D1212" w:rsidRPr="00E2259C">
        <w:rPr>
          <w:rStyle w:val="AERbody"/>
        </w:rPr>
        <w:t>of 0.35.</w:t>
      </w:r>
      <w:r w:rsidR="00283213" w:rsidRPr="00A962CC">
        <w:rPr>
          <w:rStyle w:val="FootnoteReference"/>
        </w:rPr>
        <w:footnoteReference w:id="765"/>
      </w:r>
    </w:p>
    <w:p w:rsidR="00EE34C4" w:rsidRPr="00B505F7" w:rsidRDefault="00EE34C4" w:rsidP="00C52695">
      <w:pPr>
        <w:rPr>
          <w:rStyle w:val="AERbody"/>
        </w:rPr>
      </w:pPr>
      <w:r w:rsidRPr="00E2259C">
        <w:rPr>
          <w:rStyle w:val="AERbody"/>
        </w:rPr>
        <w:t>Lally has reviewed the update</w:t>
      </w:r>
      <w:r w:rsidR="00314175">
        <w:rPr>
          <w:rStyle w:val="AERbody"/>
        </w:rPr>
        <w:t>d</w:t>
      </w:r>
      <w:r w:rsidRPr="00E2259C">
        <w:rPr>
          <w:rStyle w:val="AERbody"/>
        </w:rPr>
        <w:t xml:space="preserve"> dividend drop-off study and found</w:t>
      </w:r>
      <w:r w:rsidR="00FA0D11" w:rsidRPr="00B7446E">
        <w:rPr>
          <w:rStyle w:val="AERbody"/>
        </w:rPr>
        <w:t xml:space="preserve"> th</w:t>
      </w:r>
      <w:r w:rsidR="00FA0D11" w:rsidRPr="007A77C1">
        <w:rPr>
          <w:rStyle w:val="AERbody"/>
        </w:rPr>
        <w:t>at</w:t>
      </w:r>
      <w:r w:rsidRPr="00313CB3">
        <w:rPr>
          <w:rStyle w:val="AERbody"/>
        </w:rPr>
        <w:t>:</w:t>
      </w:r>
    </w:p>
    <w:p w:rsidR="00FA0D11" w:rsidRPr="00D75E7C" w:rsidRDefault="00B20921" w:rsidP="00E750F8">
      <w:pPr>
        <w:pStyle w:val="AERbulletlistfirststyle"/>
        <w:rPr>
          <w:rStyle w:val="AERbody"/>
        </w:rPr>
      </w:pPr>
      <w:r w:rsidRPr="00B505F7">
        <w:rPr>
          <w:rStyle w:val="AERbody"/>
        </w:rPr>
        <w:t>Other studies using market prices g</w:t>
      </w:r>
      <w:r w:rsidRPr="005A48E0">
        <w:rPr>
          <w:rStyle w:val="AERbody"/>
        </w:rPr>
        <w:t>enerated a very wide range in the estimates of the utilisation r</w:t>
      </w:r>
      <w:r w:rsidR="00A041D8">
        <w:rPr>
          <w:rStyle w:val="AERbody"/>
        </w:rPr>
        <w:t>ate, even over the same period. T</w:t>
      </w:r>
      <w:r w:rsidRPr="005A48E0">
        <w:rPr>
          <w:rStyle w:val="AERbody"/>
        </w:rPr>
        <w:t>his damages the credibility of all such estimates unless it can be demonstrated that one m</w:t>
      </w:r>
      <w:r w:rsidR="00314175">
        <w:rPr>
          <w:rStyle w:val="AERbody"/>
        </w:rPr>
        <w:t>ethodology is clearly superior, which has not been done</w:t>
      </w:r>
      <w:r w:rsidRPr="00D75E7C">
        <w:rPr>
          <w:rStyle w:val="AERbody"/>
        </w:rPr>
        <w:t>.</w:t>
      </w:r>
      <w:r w:rsidRPr="00D75E7C">
        <w:rPr>
          <w:rStyle w:val="FootnoteReference"/>
        </w:rPr>
        <w:footnoteReference w:id="766"/>
      </w:r>
    </w:p>
    <w:p w:rsidR="00037690" w:rsidRPr="001224E1" w:rsidRDefault="00037690" w:rsidP="00E750F8">
      <w:pPr>
        <w:pStyle w:val="AERbulletlistfirststyle"/>
        <w:rPr>
          <w:rStyle w:val="AERbody"/>
        </w:rPr>
      </w:pPr>
      <w:r w:rsidRPr="00A316DD">
        <w:rPr>
          <w:rStyle w:val="AERbody"/>
        </w:rPr>
        <w:t>The variation over time in results from the same methodology does not exhibit a pattern that is consistent with changes in the tax regime, and this also damages the credibi</w:t>
      </w:r>
      <w:r w:rsidRPr="00E11684">
        <w:rPr>
          <w:rStyle w:val="AERbody"/>
        </w:rPr>
        <w:t>lity of all such estimates.</w:t>
      </w:r>
      <w:r w:rsidRPr="001224E1">
        <w:rPr>
          <w:rStyle w:val="FootnoteReference"/>
        </w:rPr>
        <w:footnoteReference w:id="767"/>
      </w:r>
    </w:p>
    <w:p w:rsidR="004A20C0" w:rsidRPr="000028DB" w:rsidRDefault="004A20C0" w:rsidP="00E750F8">
      <w:pPr>
        <w:pStyle w:val="AERbulletlistfirststyle"/>
        <w:rPr>
          <w:rStyle w:val="AERbody"/>
        </w:rPr>
      </w:pPr>
      <w:r w:rsidRPr="000028DB">
        <w:rPr>
          <w:rStyle w:val="AERbody"/>
        </w:rPr>
        <w:t>Despite the very large sample size in Frontier's analysis, there is considerable statistical uncertainty in the results, arising from 'noise' in the data.</w:t>
      </w:r>
      <w:r w:rsidRPr="000028DB">
        <w:rPr>
          <w:rStyle w:val="FootnoteReference"/>
        </w:rPr>
        <w:footnoteReference w:id="768"/>
      </w:r>
    </w:p>
    <w:p w:rsidR="00283213" w:rsidRPr="00A962CC" w:rsidRDefault="00A041D8" w:rsidP="00E750F8">
      <w:pPr>
        <w:pStyle w:val="AERbulletlistfirststyle"/>
      </w:pPr>
      <w:r>
        <w:t>A</w:t>
      </w:r>
      <w:r w:rsidR="00283213" w:rsidRPr="000028DB">
        <w:t xml:space="preserve">pplying the same methodology and data filtering rules to data </w:t>
      </w:r>
      <w:r w:rsidR="00283213" w:rsidRPr="00F7654C">
        <w:t>from an almost identical period to that in SFG (2013), Vo et al (2013) generate</w:t>
      </w:r>
      <w:r w:rsidR="00E84AD8">
        <w:t>s</w:t>
      </w:r>
      <w:r w:rsidR="00283213" w:rsidRPr="00F7654C">
        <w:t xml:space="preserve"> some quite </w:t>
      </w:r>
      <w:r w:rsidR="00E84AD8" w:rsidRPr="00E84AD8">
        <w:t>significant differen</w:t>
      </w:r>
      <w:r w:rsidR="00E84AD8">
        <w:t>t</w:t>
      </w:r>
      <w:r w:rsidR="00283213" w:rsidRPr="00E750F8">
        <w:t xml:space="preserve"> point estimates for the coefficients on the credits and their standard errors</w:t>
      </w:r>
      <w:r w:rsidR="00E84AD8">
        <w:t xml:space="preserve"> in contrast to </w:t>
      </w:r>
      <w:r w:rsidR="00E84AD8" w:rsidRPr="00F7654C">
        <w:t>SFG (2013)</w:t>
      </w:r>
      <w:r w:rsidR="00283213" w:rsidRPr="00E750F8">
        <w:t>. This damages the credibility of both sets of estimates.</w:t>
      </w:r>
      <w:r w:rsidR="00283213" w:rsidRPr="00A962CC">
        <w:rPr>
          <w:rStyle w:val="FootnoteReference"/>
        </w:rPr>
        <w:t xml:space="preserve"> </w:t>
      </w:r>
      <w:r w:rsidR="00283213" w:rsidRPr="00A962CC">
        <w:rPr>
          <w:rStyle w:val="FootnoteReference"/>
        </w:rPr>
        <w:footnoteReference w:id="769"/>
      </w:r>
    </w:p>
    <w:p w:rsidR="00283213" w:rsidRPr="00A962CC" w:rsidRDefault="00875062" w:rsidP="00E750F8">
      <w:pPr>
        <w:pStyle w:val="AERbulletlistfirststyle"/>
      </w:pPr>
      <w:r w:rsidRPr="00E750F8">
        <w:t>Frontier’s method of assessing the impact of outliers on the result</w:t>
      </w:r>
      <w:r w:rsidRPr="00E750F8">
        <w:rPr>
          <w:rStyle w:val="FootnoteReference"/>
        </w:rPr>
        <w:footnoteReference w:id="770"/>
      </w:r>
      <w:r w:rsidRPr="00E750F8">
        <w:t xml:space="preserve"> is unconventional and would have the effect of suppressing the apparent impact of outliers upon the estimated franking credit coefficient. Consistent with this, Vo et al’s (2013) more conventional approach</w:t>
      </w:r>
      <w:r w:rsidRPr="00E750F8">
        <w:rPr>
          <w:rStyle w:val="FootnoteReference"/>
        </w:rPr>
        <w:footnoteReference w:id="771"/>
      </w:r>
      <w:r w:rsidRPr="00E750F8">
        <w:t xml:space="preserve"> shows more variation in the results.</w:t>
      </w:r>
      <w:r w:rsidRPr="00A962CC">
        <w:rPr>
          <w:rStyle w:val="FootnoteReference"/>
        </w:rPr>
        <w:footnoteReference w:id="772"/>
      </w:r>
    </w:p>
    <w:p w:rsidR="00875062" w:rsidRPr="00A962CC" w:rsidRDefault="00875062" w:rsidP="00E750F8">
      <w:pPr>
        <w:pStyle w:val="AERbulletlistfirststyle"/>
      </w:pPr>
      <w:r w:rsidRPr="00A962CC">
        <w:t>I</w:t>
      </w:r>
      <w:r w:rsidRPr="00E750F8">
        <w:t>n respect of the robust regression models used by both Frontier (2016a) and Vo et al (2013), Frontier adopts the default option value for the “tuning coefficient” in the models whilst Vo et al considers various values of this “tuning coefficient” and obtains significantly different estimates of the coefficient on franking credits to that of SFG (2013), across the range of values for the tuning coefficient and for each of SFG’s four models</w:t>
      </w:r>
      <w:r w:rsidRPr="00A962CC">
        <w:t>.</w:t>
      </w:r>
      <w:r w:rsidRPr="00A962CC">
        <w:rPr>
          <w:rStyle w:val="FootnoteReference"/>
        </w:rPr>
        <w:t xml:space="preserve"> </w:t>
      </w:r>
      <w:r w:rsidRPr="00A962CC">
        <w:rPr>
          <w:rStyle w:val="FootnoteReference"/>
        </w:rPr>
        <w:footnoteReference w:id="773"/>
      </w:r>
    </w:p>
    <w:p w:rsidR="00FF38EE" w:rsidRPr="00A962CC" w:rsidRDefault="00FF38EE" w:rsidP="00E750F8">
      <w:pPr>
        <w:pStyle w:val="AERbulletlistfirststyle"/>
      </w:pPr>
      <w:r w:rsidRPr="00E750F8">
        <w:t>Frontier do</w:t>
      </w:r>
      <w:r w:rsidR="009C7B80">
        <w:t>es</w:t>
      </w:r>
      <w:r w:rsidRPr="00E750F8">
        <w:t xml:space="preserve"> not include a constant in their regression model, the case for doing so is not clear, and </w:t>
      </w:r>
      <w:r w:rsidR="009C7B80">
        <w:t xml:space="preserve">the </w:t>
      </w:r>
      <w:r w:rsidRPr="00E750F8">
        <w:t>omission of the constant could materially alter the estimate for the coefficient on the franking credits.</w:t>
      </w:r>
      <w:r w:rsidRPr="00A962CC">
        <w:rPr>
          <w:rStyle w:val="FootnoteReference"/>
        </w:rPr>
        <w:footnoteReference w:id="774"/>
      </w:r>
    </w:p>
    <w:p w:rsidR="00FF38EE" w:rsidRPr="00A962CC" w:rsidRDefault="00FF38EE" w:rsidP="00E750F8">
      <w:pPr>
        <w:pStyle w:val="AERbulletlistfirststyle"/>
      </w:pPr>
      <w:r w:rsidRPr="00E750F8">
        <w:t>Frontier deletes observations from companies with a market cap below 0.03% of the market index. Since they also (sensibly) delete observations if trades are not present on both the cum and ex-dividend dates, this company size rule has no apparent merit. Furthermore, the choice of 0.03% is highly arbitrary, the rule tends to exclude observations that are least likely to be contaminated by tax arbitrage (the best ones), and the rule may have significantly biased Frontier’s results.</w:t>
      </w:r>
      <w:r w:rsidRPr="00A962CC">
        <w:rPr>
          <w:rStyle w:val="FootnoteReference"/>
        </w:rPr>
        <w:footnoteReference w:id="775"/>
      </w:r>
    </w:p>
    <w:p w:rsidR="00FF38EE" w:rsidRPr="00A962CC" w:rsidRDefault="00FF38EE" w:rsidP="00E750F8">
      <w:pPr>
        <w:pStyle w:val="AERbulletlistfirststyle"/>
      </w:pPr>
      <w:r w:rsidRPr="00E750F8">
        <w:t xml:space="preserve">Frontier </w:t>
      </w:r>
      <w:r w:rsidR="00B505F7" w:rsidRPr="00B505F7">
        <w:t>favours</w:t>
      </w:r>
      <w:r w:rsidRPr="00E750F8">
        <w:t xml:space="preserve"> results from Model 4, but their basis for doing so (as described in SFG, 2011) is inadequate in failing to use formal tests and in using the wrong type of graphical analysis.</w:t>
      </w:r>
      <w:r w:rsidRPr="00E750F8">
        <w:rPr>
          <w:rStyle w:val="FootnoteReference"/>
        </w:rPr>
        <w:footnoteReference w:id="776"/>
      </w:r>
    </w:p>
    <w:p w:rsidR="00A962CC" w:rsidRDefault="00A962CC" w:rsidP="00E750F8">
      <w:pPr>
        <w:pStyle w:val="AERbulletlistfirststyle"/>
      </w:pPr>
      <w:r>
        <w:t>A</w:t>
      </w:r>
      <w:r w:rsidRPr="00A962CC">
        <w:t xml:space="preserve">lthough the utilisation rate is a value-weighted average over all investors in the market, the use of DDO studies will produce an estimate of it that reflects the </w:t>
      </w:r>
      <w:r w:rsidR="0072638E">
        <w:t>action of tax arbitrageurs, and these investors</w:t>
      </w:r>
      <w:r w:rsidRPr="00A962CC">
        <w:t xml:space="preserve"> may be quite unrepresentative of the entire</w:t>
      </w:r>
      <w:r w:rsidR="0072638E">
        <w:t xml:space="preserve"> market</w:t>
      </w:r>
      <w:r w:rsidRPr="00A962CC">
        <w:t>.</w:t>
      </w:r>
      <w:r w:rsidRPr="00A962CC">
        <w:rPr>
          <w:rStyle w:val="FootnoteReference"/>
        </w:rPr>
        <w:footnoteReference w:id="777"/>
      </w:r>
    </w:p>
    <w:p w:rsidR="00A962CC" w:rsidRDefault="00A962CC" w:rsidP="00E750F8">
      <w:pPr>
        <w:pStyle w:val="AERbulletlistfirststyle"/>
      </w:pPr>
      <w:r>
        <w:t>M</w:t>
      </w:r>
      <w:r w:rsidRPr="00A962CC">
        <w:t>any DDO studies have identified various anomalies that cannot be attributed to any kind of tax explanation, this raises the possibility that ex-day behaviour is also affected by factors other than taxes, and this concern has been raised by a number of researchers in this area (including Professor Gray himself).</w:t>
      </w:r>
      <w:r w:rsidRPr="00A962CC">
        <w:rPr>
          <w:rStyle w:val="FootnoteReference"/>
        </w:rPr>
        <w:footnoteReference w:id="778"/>
      </w:r>
    </w:p>
    <w:p w:rsidR="00313CB3" w:rsidRDefault="00313CB3" w:rsidP="00C52695">
      <w:pPr>
        <w:rPr>
          <w:rStyle w:val="AERbody"/>
        </w:rPr>
      </w:pPr>
      <w:r>
        <w:rPr>
          <w:rStyle w:val="AERbody"/>
        </w:rPr>
        <w:t>Lally notes that most of the issues identified above are inherent in the dividend drop off approach and cannot be overcome by an alternative dividend drop off methodology.</w:t>
      </w:r>
      <w:r w:rsidRPr="00313CB3">
        <w:rPr>
          <w:rStyle w:val="FootnoteReference"/>
        </w:rPr>
        <w:t xml:space="preserve"> </w:t>
      </w:r>
      <w:r w:rsidRPr="00A962CC">
        <w:rPr>
          <w:rStyle w:val="FootnoteReference"/>
        </w:rPr>
        <w:footnoteReference w:id="779"/>
      </w:r>
      <w:r>
        <w:rPr>
          <w:rStyle w:val="AERbody"/>
        </w:rPr>
        <w:t xml:space="preserve"> However, some points can be overcome by:</w:t>
      </w:r>
      <w:r w:rsidRPr="00A962CC">
        <w:rPr>
          <w:rStyle w:val="FootnoteReference"/>
        </w:rPr>
        <w:footnoteReference w:id="780"/>
      </w:r>
    </w:p>
    <w:p w:rsidR="00313CB3" w:rsidRDefault="00313CB3" w:rsidP="00E750F8">
      <w:pPr>
        <w:pStyle w:val="AERbulletlistfirststyle"/>
        <w:rPr>
          <w:rStyle w:val="AERbody"/>
        </w:rPr>
      </w:pPr>
      <w:r>
        <w:rPr>
          <w:rStyle w:val="AERbody"/>
        </w:rPr>
        <w:t>Dividing the estimate coefficient</w:t>
      </w:r>
      <w:r w:rsidR="000A20C4">
        <w:rPr>
          <w:rStyle w:val="AERbody"/>
        </w:rPr>
        <w:t xml:space="preserve"> on the credit by </w:t>
      </w:r>
      <w:r w:rsidR="009C7B80">
        <w:rPr>
          <w:rStyle w:val="AERbody"/>
        </w:rPr>
        <w:t>the estimate</w:t>
      </w:r>
      <w:r w:rsidR="000A20C4">
        <w:rPr>
          <w:rStyle w:val="AERbody"/>
        </w:rPr>
        <w:t xml:space="preserve"> on cash dividends</w:t>
      </w:r>
    </w:p>
    <w:p w:rsidR="000A20C4" w:rsidRDefault="000A20C4" w:rsidP="00E750F8">
      <w:pPr>
        <w:pStyle w:val="AERbulletlistfirststyle"/>
        <w:rPr>
          <w:rStyle w:val="AERbody"/>
        </w:rPr>
      </w:pPr>
      <w:r>
        <w:rPr>
          <w:rStyle w:val="AERbody"/>
        </w:rPr>
        <w:t>Assessing the effect of outliers individually rather in pairs</w:t>
      </w:r>
    </w:p>
    <w:p w:rsidR="000A20C4" w:rsidRDefault="000A20C4" w:rsidP="00E750F8">
      <w:pPr>
        <w:pStyle w:val="AERbulletlistfirststyle"/>
        <w:rPr>
          <w:rStyle w:val="AERbody"/>
        </w:rPr>
      </w:pPr>
      <w:r>
        <w:rPr>
          <w:rStyle w:val="AERbody"/>
        </w:rPr>
        <w:t>Presenting resul</w:t>
      </w:r>
      <w:r w:rsidR="00927B0B">
        <w:rPr>
          <w:rStyle w:val="AERbody"/>
        </w:rPr>
        <w:t>ts for a range of values for th</w:t>
      </w:r>
      <w:r>
        <w:rPr>
          <w:rStyle w:val="AERbody"/>
        </w:rPr>
        <w:t>e tuning coefficient in robust regression</w:t>
      </w:r>
    </w:p>
    <w:p w:rsidR="000A20C4" w:rsidRDefault="000A20C4" w:rsidP="00E750F8">
      <w:pPr>
        <w:pStyle w:val="AERbulletlistfirststyle"/>
        <w:rPr>
          <w:rStyle w:val="AERbody"/>
        </w:rPr>
      </w:pPr>
      <w:r>
        <w:rPr>
          <w:rStyle w:val="AERbody"/>
        </w:rPr>
        <w:t>Additionally presenting results with a constant in the regression model</w:t>
      </w:r>
    </w:p>
    <w:p w:rsidR="00313CB3" w:rsidRDefault="009C7B80" w:rsidP="00E750F8">
      <w:pPr>
        <w:pStyle w:val="AERbulletlistfirststyle"/>
        <w:rPr>
          <w:rStyle w:val="AERbody"/>
        </w:rPr>
      </w:pPr>
      <w:r>
        <w:rPr>
          <w:rStyle w:val="AERbody"/>
        </w:rPr>
        <w:t>Not</w:t>
      </w:r>
      <w:r w:rsidR="000A20C4">
        <w:rPr>
          <w:rStyle w:val="AERbody"/>
        </w:rPr>
        <w:t xml:space="preserve"> deleting observations from small companies</w:t>
      </w:r>
    </w:p>
    <w:p w:rsidR="00EE34C4" w:rsidRDefault="00313CB3" w:rsidP="00C52695">
      <w:pPr>
        <w:rPr>
          <w:rStyle w:val="AERbody"/>
        </w:rPr>
      </w:pPr>
      <w:r>
        <w:rPr>
          <w:rStyle w:val="AERbody"/>
        </w:rPr>
        <w:t xml:space="preserve">As a result of the analysis from Lally, we </w:t>
      </w:r>
      <w:r w:rsidR="00944227">
        <w:rPr>
          <w:rStyle w:val="AERbody"/>
        </w:rPr>
        <w:t>remain of the view</w:t>
      </w:r>
      <w:r>
        <w:rPr>
          <w:rStyle w:val="AERbody"/>
        </w:rPr>
        <w:t xml:space="preserve"> </w:t>
      </w:r>
      <w:r w:rsidR="00944227">
        <w:rPr>
          <w:rStyle w:val="AERbody"/>
        </w:rPr>
        <w:t xml:space="preserve">that estimates from </w:t>
      </w:r>
      <w:r>
        <w:rPr>
          <w:rStyle w:val="AERbody"/>
        </w:rPr>
        <w:t>the 2011 SFG dividend drop off study and subsequent 2016 update</w:t>
      </w:r>
      <w:r w:rsidR="00944227">
        <w:rPr>
          <w:rStyle w:val="AERbody"/>
        </w:rPr>
        <w:t xml:space="preserve"> should be given less weight for estimating the value of theta than the use of estimates from taxation statistics and the equity ownership approach</w:t>
      </w:r>
      <w:r>
        <w:rPr>
          <w:rStyle w:val="AERbody"/>
        </w:rPr>
        <w:t>.</w:t>
      </w:r>
      <w:r w:rsidR="00177813">
        <w:rPr>
          <w:rStyle w:val="AERbody"/>
        </w:rPr>
        <w:t xml:space="preserve"> Lally considers that the drawbacks identified are so severs as to warrant giving the lowest weight on the results from </w:t>
      </w:r>
      <w:r w:rsidR="00986246">
        <w:rPr>
          <w:rStyle w:val="AERbody"/>
        </w:rPr>
        <w:t>dividend drop off studies</w:t>
      </w:r>
      <w:r w:rsidR="00177813">
        <w:rPr>
          <w:rStyle w:val="AERbody"/>
        </w:rPr>
        <w:t>.</w:t>
      </w:r>
      <w:r w:rsidR="00177813">
        <w:rPr>
          <w:rStyle w:val="FootnoteReference"/>
        </w:rPr>
        <w:footnoteReference w:id="781"/>
      </w:r>
    </w:p>
    <w:p w:rsidR="00C628EE" w:rsidRDefault="00EE34C4" w:rsidP="00C52695">
      <w:pPr>
        <w:rPr>
          <w:rStyle w:val="AERbody"/>
        </w:rPr>
      </w:pPr>
      <w:r>
        <w:rPr>
          <w:rStyle w:val="AERbody"/>
        </w:rPr>
        <w:t>Further</w:t>
      </w:r>
      <w:r w:rsidR="0093432E">
        <w:rPr>
          <w:rStyle w:val="AERbody"/>
        </w:rPr>
        <w:t>, we</w:t>
      </w:r>
      <w:r w:rsidR="002D1212">
        <w:rPr>
          <w:rStyle w:val="AERbody"/>
        </w:rPr>
        <w:t xml:space="preserve"> do not agree that Professor Gray has undertaken the same analysis that was undertaken in the 2011</w:t>
      </w:r>
      <w:r w:rsidR="00A962CC">
        <w:rPr>
          <w:rStyle w:val="AERbody"/>
        </w:rPr>
        <w:t xml:space="preserve"> study</w:t>
      </w:r>
      <w:r w:rsidR="000A20C4" w:rsidRPr="000A20C4">
        <w:rPr>
          <w:rStyle w:val="AERbody"/>
        </w:rPr>
        <w:t xml:space="preserve"> </w:t>
      </w:r>
      <w:r w:rsidR="000A20C4">
        <w:rPr>
          <w:rStyle w:val="AERbody"/>
        </w:rPr>
        <w:t>when updating the study for the most recent data</w:t>
      </w:r>
      <w:r w:rsidR="002D1212">
        <w:rPr>
          <w:rStyle w:val="AERbody"/>
        </w:rPr>
        <w:t>. We</w:t>
      </w:r>
      <w:r w:rsidR="0093432E">
        <w:rPr>
          <w:rStyle w:val="AERbody"/>
        </w:rPr>
        <w:t xml:space="preserve"> have reviewed </w:t>
      </w:r>
      <w:r w:rsidR="005E25EB">
        <w:rPr>
          <w:rStyle w:val="AERbody"/>
        </w:rPr>
        <w:t xml:space="preserve">the 2016 </w:t>
      </w:r>
      <w:r w:rsidR="0093432E">
        <w:rPr>
          <w:rStyle w:val="AERbody"/>
        </w:rPr>
        <w:t>Frontier</w:t>
      </w:r>
      <w:r w:rsidR="006B14BA">
        <w:rPr>
          <w:rStyle w:val="AERbody"/>
        </w:rPr>
        <w:t>'</w:t>
      </w:r>
      <w:r w:rsidR="0093432E">
        <w:rPr>
          <w:rStyle w:val="AERbody"/>
        </w:rPr>
        <w:t>s paper and note that it does not determine a new point estimate for theta using the most recent data</w:t>
      </w:r>
      <w:r w:rsidR="002D1212">
        <w:rPr>
          <w:rStyle w:val="AERbody"/>
        </w:rPr>
        <w:t xml:space="preserve"> as per the 2011 study</w:t>
      </w:r>
      <w:r w:rsidR="0093432E">
        <w:rPr>
          <w:rStyle w:val="AERbody"/>
        </w:rPr>
        <w:t>. Rather it determines whether a theta of 0.35 is within the confidence intervals around all of the specifications and hence remains an appropriate estimate for theta.</w:t>
      </w:r>
    </w:p>
    <w:p w:rsidR="0093432E" w:rsidRPr="00C32CF1" w:rsidRDefault="00B84FF5" w:rsidP="00C32CF1">
      <w:pPr>
        <w:pStyle w:val="AERquote"/>
        <w:rPr>
          <w:rStyle w:val="AERbody"/>
          <w:color w:val="000000"/>
          <w:sz w:val="20"/>
        </w:rPr>
      </w:pPr>
      <w:r w:rsidRPr="00C32CF1">
        <w:rPr>
          <w:rStyle w:val="AERbody"/>
          <w:color w:val="000000"/>
          <w:sz w:val="20"/>
        </w:rPr>
        <w:t>We begin by noting</w:t>
      </w:r>
      <w:r w:rsidR="003D5B8B" w:rsidRPr="00C32CF1">
        <w:rPr>
          <w:rStyle w:val="AERbody"/>
          <w:color w:val="000000"/>
          <w:sz w:val="20"/>
        </w:rPr>
        <w:t xml:space="preserve"> that our preferred final estimate </w:t>
      </w:r>
      <w:r w:rsidR="00300124" w:rsidRPr="00C32CF1">
        <w:rPr>
          <w:rStyle w:val="AERbody"/>
          <w:color w:val="000000"/>
          <w:sz w:val="20"/>
        </w:rPr>
        <w:t>of 0.35 lies within the standard statistical 95% confidence interval for all of the specifications. The rang</w:t>
      </w:r>
      <w:r w:rsidR="008500FA" w:rsidRPr="00CF236B">
        <w:rPr>
          <w:rStyle w:val="AERbody"/>
          <w:color w:val="000000"/>
          <w:sz w:val="20"/>
        </w:rPr>
        <w:t>e</w:t>
      </w:r>
      <w:r w:rsidR="00300124" w:rsidRPr="00CF236B">
        <w:rPr>
          <w:rStyle w:val="AERbody"/>
          <w:color w:val="000000"/>
          <w:sz w:val="20"/>
        </w:rPr>
        <w:t xml:space="preserve"> of overlap in the </w:t>
      </w:r>
      <w:r w:rsidR="008500FA" w:rsidRPr="00CF236B">
        <w:rPr>
          <w:rStyle w:val="AERbody"/>
          <w:color w:val="000000"/>
          <w:sz w:val="20"/>
        </w:rPr>
        <w:t xml:space="preserve">confidence intervals is from 0.26 to 0.41, which </w:t>
      </w:r>
      <w:r w:rsidR="00E91AA4" w:rsidRPr="00CF236B">
        <w:rPr>
          <w:rStyle w:val="AERbody"/>
          <w:color w:val="000000"/>
          <w:sz w:val="20"/>
        </w:rPr>
        <w:t>has a mid-point of</w:t>
      </w:r>
      <w:r w:rsidR="00E91AA4" w:rsidRPr="008F407D">
        <w:rPr>
          <w:rStyle w:val="AERbody"/>
          <w:color w:val="000000"/>
          <w:sz w:val="20"/>
        </w:rPr>
        <w:t xml:space="preserve"> 0.34.</w:t>
      </w:r>
      <w:r w:rsidR="002C7983" w:rsidRPr="00C32CF1">
        <w:rPr>
          <w:rStyle w:val="FootnoteReference"/>
        </w:rPr>
        <w:footnoteReference w:id="782"/>
      </w:r>
    </w:p>
    <w:p w:rsidR="00DF5547" w:rsidRDefault="00345A28" w:rsidP="00A3116F">
      <w:pPr>
        <w:rPr>
          <w:rStyle w:val="AERbody"/>
        </w:rPr>
      </w:pPr>
      <w:r>
        <w:rPr>
          <w:rStyle w:val="AERbody"/>
        </w:rPr>
        <w:t>However, we consider</w:t>
      </w:r>
      <w:r w:rsidR="00DF5547">
        <w:rPr>
          <w:rStyle w:val="AERbody"/>
        </w:rPr>
        <w:t xml:space="preserve"> that</w:t>
      </w:r>
      <w:r>
        <w:rPr>
          <w:rStyle w:val="AERbody"/>
        </w:rPr>
        <w:t xml:space="preserve"> </w:t>
      </w:r>
      <w:r w:rsidR="00865144">
        <w:rPr>
          <w:rStyle w:val="AERbody"/>
        </w:rPr>
        <w:t xml:space="preserve">such an approach is </w:t>
      </w:r>
      <w:r w:rsidR="00DF5547">
        <w:rPr>
          <w:rStyle w:val="AERbody"/>
        </w:rPr>
        <w:t>in</w:t>
      </w:r>
      <w:r w:rsidR="00865144">
        <w:rPr>
          <w:rStyle w:val="AERbody"/>
        </w:rPr>
        <w:t>appropriate and Frontier</w:t>
      </w:r>
      <w:r w:rsidR="00DF5547">
        <w:rPr>
          <w:rStyle w:val="AERbody"/>
        </w:rPr>
        <w:t xml:space="preserve"> should determine a new point estimate using the most recent data. In the 2011 study </w:t>
      </w:r>
      <w:r w:rsidR="002C7983">
        <w:rPr>
          <w:rStyle w:val="AERbody"/>
        </w:rPr>
        <w:t>SFG used the following methodology to get a point estimate:</w:t>
      </w:r>
    </w:p>
    <w:p w:rsidR="002C7983" w:rsidRPr="00E750F8" w:rsidRDefault="002C7983" w:rsidP="00C32CF1">
      <w:pPr>
        <w:pStyle w:val="AERquote"/>
        <w:rPr>
          <w:rStyle w:val="AERbody"/>
          <w:color w:val="000000"/>
          <w:sz w:val="20"/>
        </w:rPr>
      </w:pPr>
      <w:r w:rsidRPr="00113F3B">
        <w:rPr>
          <w:rStyle w:val="AERbody"/>
          <w:color w:val="000000"/>
          <w:sz w:val="20"/>
        </w:rPr>
        <w:t>In determining a final recommendation point estimate, we assign more weight to the results of Model specification 4 and to the results of robustness regression estimation. This is because these results are the most stable and consistent across the range of sensitivity analysis and robustness checks that we have performed. In this regards, we note that:</w:t>
      </w:r>
    </w:p>
    <w:p w:rsidR="002C7983" w:rsidRPr="00E750F8" w:rsidRDefault="00CF3F33" w:rsidP="00CF236B">
      <w:pPr>
        <w:pStyle w:val="AERquote"/>
        <w:rPr>
          <w:rStyle w:val="AERbody"/>
          <w:color w:val="000000"/>
          <w:sz w:val="20"/>
        </w:rPr>
      </w:pPr>
      <w:r w:rsidRPr="003D598E">
        <w:rPr>
          <w:rStyle w:val="AERbody"/>
          <w:color w:val="000000"/>
          <w:sz w:val="20"/>
        </w:rPr>
        <w:t xml:space="preserve">a. The average of the robust regression estimate of theta in Table 6 is 0.34; and </w:t>
      </w:r>
    </w:p>
    <w:p w:rsidR="00C32CF1" w:rsidRPr="00113F3B" w:rsidRDefault="00CF3F33" w:rsidP="008F407D">
      <w:pPr>
        <w:pStyle w:val="AERquote"/>
        <w:rPr>
          <w:rStyle w:val="AERbody"/>
          <w:color w:val="000000"/>
          <w:sz w:val="20"/>
        </w:rPr>
      </w:pPr>
      <w:r w:rsidRPr="003D598E">
        <w:rPr>
          <w:rStyle w:val="AERbody"/>
          <w:color w:val="000000"/>
          <w:sz w:val="20"/>
        </w:rPr>
        <w:t xml:space="preserve">b. </w:t>
      </w:r>
      <w:r w:rsidR="00C32CF1" w:rsidRPr="003D598E">
        <w:rPr>
          <w:rStyle w:val="AERbody"/>
          <w:color w:val="000000"/>
          <w:sz w:val="20"/>
        </w:rPr>
        <w:t>The average of the estimate of theta from Model Specification 4 across Table 5 to 8 is 0.35.</w:t>
      </w:r>
      <w:r w:rsidR="00C32CF1" w:rsidRPr="003D598E">
        <w:rPr>
          <w:rStyle w:val="FootnoteReference"/>
          <w:vertAlign w:val="baseline"/>
        </w:rPr>
        <w:t xml:space="preserve"> </w:t>
      </w:r>
      <w:r w:rsidR="00C32CF1" w:rsidRPr="00C32CF1">
        <w:rPr>
          <w:rStyle w:val="FootnoteReference"/>
        </w:rPr>
        <w:footnoteReference w:id="783"/>
      </w:r>
    </w:p>
    <w:p w:rsidR="00CB04CA" w:rsidRDefault="00CB04CA" w:rsidP="00A3116F">
      <w:pPr>
        <w:rPr>
          <w:rStyle w:val="AERbody"/>
        </w:rPr>
      </w:pPr>
      <w:r>
        <w:rPr>
          <w:rStyle w:val="AERbody"/>
        </w:rPr>
        <w:t xml:space="preserve">We note that Frontier </w:t>
      </w:r>
      <w:r w:rsidR="00957389">
        <w:rPr>
          <w:rStyle w:val="AERbody"/>
        </w:rPr>
        <w:t xml:space="preserve">in </w:t>
      </w:r>
      <w:r w:rsidR="006B14BA">
        <w:rPr>
          <w:rStyle w:val="AERbody"/>
        </w:rPr>
        <w:t>its</w:t>
      </w:r>
      <w:r w:rsidR="00957389">
        <w:rPr>
          <w:rStyle w:val="AERbody"/>
        </w:rPr>
        <w:t xml:space="preserve"> recent report </w:t>
      </w:r>
      <w:r w:rsidR="006B14BA">
        <w:rPr>
          <w:rStyle w:val="AERbody"/>
        </w:rPr>
        <w:t>has</w:t>
      </w:r>
      <w:r>
        <w:rPr>
          <w:rStyle w:val="AERbody"/>
        </w:rPr>
        <w:t xml:space="preserve"> not provided enough data to compute a new point estimate</w:t>
      </w:r>
      <w:r w:rsidR="00E84AD8">
        <w:rPr>
          <w:rStyle w:val="AERbody"/>
        </w:rPr>
        <w:t xml:space="preserve"> as per the methodology in the 2011 SFG study</w:t>
      </w:r>
      <w:r>
        <w:rPr>
          <w:rStyle w:val="AERbody"/>
        </w:rPr>
        <w:t xml:space="preserve">. However, from the data that has been presented it appears the point estimate may have </w:t>
      </w:r>
      <w:r w:rsidR="00B505F7">
        <w:rPr>
          <w:rStyle w:val="AERbody"/>
        </w:rPr>
        <w:t xml:space="preserve">slightly </w:t>
      </w:r>
      <w:r>
        <w:rPr>
          <w:rStyle w:val="AERbody"/>
        </w:rPr>
        <w:t>increased.</w:t>
      </w:r>
      <w:r>
        <w:rPr>
          <w:rStyle w:val="FootnoteReference"/>
        </w:rPr>
        <w:footnoteReference w:id="784"/>
      </w:r>
      <w:r>
        <w:rPr>
          <w:rStyle w:val="AERbody"/>
        </w:rPr>
        <w:t xml:space="preserve"> Overall from the </w:t>
      </w:r>
      <w:r w:rsidR="0040224B">
        <w:rPr>
          <w:rStyle w:val="AERbody"/>
        </w:rPr>
        <w:t xml:space="preserve">recent </w:t>
      </w:r>
      <w:r>
        <w:rPr>
          <w:rStyle w:val="AERbody"/>
        </w:rPr>
        <w:t>Frontier report the only outcome that can be obtained is that theta is in between 0.26 to 0.41.</w:t>
      </w:r>
    </w:p>
    <w:p w:rsidR="00B505F7" w:rsidRDefault="00B505F7" w:rsidP="00A3116F">
      <w:pPr>
        <w:rPr>
          <w:rStyle w:val="AERbody"/>
        </w:rPr>
      </w:pPr>
      <w:r>
        <w:rPr>
          <w:rStyle w:val="AERbody"/>
        </w:rPr>
        <w:t>Lally considers that given Frontier methodology and results, and having a preference for Model 4, a 0.35 theta estimate is reasonable.</w:t>
      </w:r>
      <w:r w:rsidRPr="00B505F7">
        <w:rPr>
          <w:rStyle w:val="FootnoteReference"/>
        </w:rPr>
        <w:footnoteReference w:id="785"/>
      </w:r>
      <w:r>
        <w:rPr>
          <w:rStyle w:val="AERbody"/>
        </w:rPr>
        <w:t xml:space="preserve"> However, Lally does have concerns with the methodology and this has been highlighted above.</w:t>
      </w:r>
      <w:r w:rsidRPr="00B505F7">
        <w:rPr>
          <w:rStyle w:val="FootnoteReference"/>
        </w:rPr>
        <w:footnoteReference w:id="786"/>
      </w:r>
    </w:p>
    <w:p w:rsidR="00C52695" w:rsidRPr="00CA67C0" w:rsidRDefault="00C52695" w:rsidP="00C52695">
      <w:pPr>
        <w:rPr>
          <w:rStyle w:val="AERbody"/>
        </w:rPr>
      </w:pPr>
      <w:r>
        <w:rPr>
          <w:rStyle w:val="AERbody"/>
        </w:rPr>
        <w:br w:type="page"/>
      </w:r>
    </w:p>
    <w:p w:rsidR="00C52695" w:rsidRPr="00883125" w:rsidRDefault="00C52695" w:rsidP="00C52695">
      <w:pPr>
        <w:pStyle w:val="Caption"/>
      </w:pPr>
      <w:bookmarkStart w:id="428" w:name="_Ref449538408"/>
      <w:r w:rsidRPr="00883125">
        <w:t xml:space="preserve">Table </w:t>
      </w:r>
      <w:r w:rsidRPr="001D37D5">
        <w:fldChar w:fldCharType="begin"/>
      </w:r>
      <w:r>
        <w:instrText xml:space="preserve"> STYLEREF 1 \s </w:instrText>
      </w:r>
      <w:r w:rsidRPr="001D37D5">
        <w:fldChar w:fldCharType="separate"/>
      </w:r>
      <w:r w:rsidR="007E3457">
        <w:rPr>
          <w:noProof/>
        </w:rPr>
        <w:t>4</w:t>
      </w:r>
      <w:r w:rsidRPr="001D37D5">
        <w:fldChar w:fldCharType="end"/>
      </w:r>
      <w:r>
        <w:noBreakHyphen/>
      </w:r>
      <w:r w:rsidRPr="001D37D5">
        <w:fldChar w:fldCharType="begin"/>
      </w:r>
      <w:r>
        <w:instrText xml:space="preserve"> SEQ Table \* ARABIC \s 1 </w:instrText>
      </w:r>
      <w:r w:rsidRPr="001D37D5">
        <w:fldChar w:fldCharType="separate"/>
      </w:r>
      <w:r w:rsidR="007E3457">
        <w:rPr>
          <w:noProof/>
        </w:rPr>
        <w:t>20</w:t>
      </w:r>
      <w:r w:rsidRPr="001D37D5">
        <w:fldChar w:fldCharType="end"/>
      </w:r>
      <w:bookmarkEnd w:id="427"/>
      <w:bookmarkEnd w:id="428"/>
      <w:r w:rsidRPr="00883125">
        <w:tab/>
        <w:t>Estimates of the utilisation rate from alternative market value studies</w:t>
      </w:r>
    </w:p>
    <w:tbl>
      <w:tblPr>
        <w:tblStyle w:val="AERtable-text0"/>
        <w:tblW w:w="0" w:type="auto"/>
        <w:tblLayout w:type="fixed"/>
        <w:tblLook w:val="04A0" w:firstRow="1" w:lastRow="0" w:firstColumn="1" w:lastColumn="0" w:noHBand="0" w:noVBand="1"/>
      </w:tblPr>
      <w:tblGrid>
        <w:gridCol w:w="392"/>
        <w:gridCol w:w="2835"/>
        <w:gridCol w:w="1346"/>
        <w:gridCol w:w="1347"/>
        <w:gridCol w:w="3260"/>
        <w:gridCol w:w="62"/>
      </w:tblGrid>
      <w:tr w:rsidR="00C52695" w:rsidRPr="00222643" w:rsidTr="006425B8">
        <w:trPr>
          <w:gridAfter w:val="1"/>
          <w:cnfStyle w:val="100000000000" w:firstRow="1" w:lastRow="0" w:firstColumn="0" w:lastColumn="0" w:oddVBand="0" w:evenVBand="0" w:oddHBand="0" w:evenHBand="0" w:firstRowFirstColumn="0" w:firstRowLastColumn="0" w:lastRowFirstColumn="0" w:lastRowLastColumn="0"/>
          <w:wAfter w:w="62" w:type="dxa"/>
          <w:cantSplit/>
          <w:tblHeader/>
        </w:trPr>
        <w:tc>
          <w:tcPr>
            <w:tcW w:w="392" w:type="dxa"/>
          </w:tcPr>
          <w:p w:rsidR="00C52695" w:rsidRPr="00883125" w:rsidRDefault="00C52695" w:rsidP="00C52695"/>
        </w:tc>
        <w:tc>
          <w:tcPr>
            <w:tcW w:w="2835" w:type="dxa"/>
          </w:tcPr>
          <w:p w:rsidR="00C52695" w:rsidRPr="00C52695" w:rsidRDefault="00C52695" w:rsidP="00C52695">
            <w:r w:rsidRPr="00883125">
              <w:t>Authors</w:t>
            </w:r>
          </w:p>
        </w:tc>
        <w:tc>
          <w:tcPr>
            <w:tcW w:w="1346" w:type="dxa"/>
          </w:tcPr>
          <w:p w:rsidR="00C52695" w:rsidRPr="00C52695" w:rsidRDefault="00C52695" w:rsidP="00C52695">
            <w:r w:rsidRPr="00883125">
              <w:t>Pre-2000 results</w:t>
            </w:r>
          </w:p>
        </w:tc>
        <w:tc>
          <w:tcPr>
            <w:tcW w:w="1347" w:type="dxa"/>
          </w:tcPr>
          <w:p w:rsidR="00C52695" w:rsidRPr="00C52695" w:rsidRDefault="00C52695" w:rsidP="00C52695">
            <w:r w:rsidRPr="00883125">
              <w:t>Post-2000 results</w:t>
            </w:r>
          </w:p>
        </w:tc>
        <w:tc>
          <w:tcPr>
            <w:tcW w:w="3260" w:type="dxa"/>
          </w:tcPr>
          <w:p w:rsidR="00C52695" w:rsidRPr="00C52695" w:rsidRDefault="00C52695" w:rsidP="00C52695">
            <w:r w:rsidRPr="00883125">
              <w:t>Notes</w:t>
            </w:r>
          </w:p>
        </w:tc>
      </w:tr>
      <w:tr w:rsidR="00C52695" w:rsidRPr="00222643" w:rsidTr="006425B8">
        <w:trPr>
          <w:cantSplit/>
          <w:trHeight w:val="479"/>
        </w:trPr>
        <w:tc>
          <w:tcPr>
            <w:tcW w:w="3227" w:type="dxa"/>
            <w:gridSpan w:val="2"/>
          </w:tcPr>
          <w:p w:rsidR="00C52695" w:rsidRPr="00C52695" w:rsidRDefault="00C52695" w:rsidP="00C52695">
            <w:pPr>
              <w:rPr>
                <w:rStyle w:val="Strong"/>
              </w:rPr>
            </w:pPr>
            <w:r w:rsidRPr="00883125">
              <w:rPr>
                <w:rStyle w:val="Strong"/>
              </w:rPr>
              <w:t>Dividend drop off study using hybrids</w:t>
            </w:r>
          </w:p>
        </w:tc>
        <w:tc>
          <w:tcPr>
            <w:tcW w:w="1346" w:type="dxa"/>
          </w:tcPr>
          <w:p w:rsidR="00C52695" w:rsidRPr="00883125" w:rsidRDefault="00C52695" w:rsidP="00C52695"/>
        </w:tc>
        <w:tc>
          <w:tcPr>
            <w:tcW w:w="1347" w:type="dxa"/>
          </w:tcPr>
          <w:p w:rsidR="00C52695" w:rsidRPr="00883125" w:rsidRDefault="00C52695" w:rsidP="00C52695"/>
        </w:tc>
        <w:tc>
          <w:tcPr>
            <w:tcW w:w="3322" w:type="dxa"/>
            <w:gridSpan w:val="2"/>
          </w:tcPr>
          <w:p w:rsidR="00C52695" w:rsidRPr="00883125" w:rsidRDefault="00C52695" w:rsidP="00C52695"/>
        </w:tc>
      </w:tr>
      <w:tr w:rsidR="00C52695" w:rsidRPr="00222643" w:rsidTr="006425B8">
        <w:trPr>
          <w:cnfStyle w:val="000000010000" w:firstRow="0" w:lastRow="0" w:firstColumn="0" w:lastColumn="0" w:oddVBand="0" w:evenVBand="0" w:oddHBand="0" w:evenHBand="1" w:firstRowFirstColumn="0" w:firstRowLastColumn="0" w:lastRowFirstColumn="0" w:lastRowLastColumn="0"/>
          <w:cantSplit/>
        </w:trPr>
        <w:tc>
          <w:tcPr>
            <w:tcW w:w="392" w:type="dxa"/>
          </w:tcPr>
          <w:p w:rsidR="00C52695" w:rsidRPr="00883125" w:rsidRDefault="00C52695" w:rsidP="00C52695"/>
        </w:tc>
        <w:tc>
          <w:tcPr>
            <w:tcW w:w="2835" w:type="dxa"/>
          </w:tcPr>
          <w:p w:rsidR="00C52695" w:rsidRPr="00C52695" w:rsidRDefault="00C52695" w:rsidP="00C52695">
            <w:r w:rsidRPr="00883125">
              <w:t>Feuerherdt, Gray and Hall (2010)</w:t>
            </w:r>
            <w:r w:rsidRPr="00C52695">
              <w:rPr>
                <w:rStyle w:val="FootnoteReference"/>
              </w:rPr>
              <w:footnoteReference w:id="787"/>
            </w:r>
          </w:p>
        </w:tc>
        <w:tc>
          <w:tcPr>
            <w:tcW w:w="1346" w:type="dxa"/>
          </w:tcPr>
          <w:p w:rsidR="00C52695" w:rsidRPr="00C52695" w:rsidRDefault="00C52695" w:rsidP="00C52695">
            <w:r w:rsidRPr="00883125">
              <w:t>N/A</w:t>
            </w:r>
            <w:r w:rsidRPr="00883125">
              <w:br/>
              <w:t>(1995–2002)</w:t>
            </w:r>
          </w:p>
        </w:tc>
        <w:tc>
          <w:tcPr>
            <w:tcW w:w="1347" w:type="dxa"/>
          </w:tcPr>
          <w:p w:rsidR="00C52695" w:rsidRPr="00883125" w:rsidRDefault="00C52695" w:rsidP="00C52695"/>
        </w:tc>
        <w:tc>
          <w:tcPr>
            <w:tcW w:w="3322" w:type="dxa"/>
            <w:gridSpan w:val="2"/>
          </w:tcPr>
          <w:p w:rsidR="00C52695" w:rsidRPr="00C52695" w:rsidRDefault="00C52695" w:rsidP="00C52695">
            <w:r w:rsidRPr="00883125">
              <w:t xml:space="preserve">Combined drop </w:t>
            </w:r>
            <w:r w:rsidRPr="00C52695">
              <w:t>off of 1.0. With dividends at full value, this is a utilisation rate of 0.</w:t>
            </w:r>
          </w:p>
        </w:tc>
      </w:tr>
      <w:tr w:rsidR="00C52695" w:rsidRPr="00222643" w:rsidTr="006425B8">
        <w:trPr>
          <w:cantSplit/>
        </w:trPr>
        <w:tc>
          <w:tcPr>
            <w:tcW w:w="3227" w:type="dxa"/>
            <w:gridSpan w:val="2"/>
          </w:tcPr>
          <w:p w:rsidR="00C52695" w:rsidRPr="00C52695" w:rsidRDefault="00C52695" w:rsidP="00C52695">
            <w:pPr>
              <w:rPr>
                <w:rStyle w:val="Strong"/>
              </w:rPr>
            </w:pPr>
            <w:r w:rsidRPr="00883125">
              <w:rPr>
                <w:rStyle w:val="Strong"/>
              </w:rPr>
              <w:t xml:space="preserve">Futures study (individual or </w:t>
            </w:r>
            <w:r w:rsidRPr="00C52695">
              <w:rPr>
                <w:rStyle w:val="Strong"/>
              </w:rPr>
              <w:t>index)</w:t>
            </w:r>
          </w:p>
        </w:tc>
        <w:tc>
          <w:tcPr>
            <w:tcW w:w="1346" w:type="dxa"/>
          </w:tcPr>
          <w:p w:rsidR="00C52695" w:rsidRPr="00883125" w:rsidRDefault="00C52695" w:rsidP="00C52695">
            <w:pPr>
              <w:rPr>
                <w:rStyle w:val="Strong"/>
              </w:rPr>
            </w:pPr>
          </w:p>
        </w:tc>
        <w:tc>
          <w:tcPr>
            <w:tcW w:w="1347" w:type="dxa"/>
          </w:tcPr>
          <w:p w:rsidR="00C52695" w:rsidRPr="00883125" w:rsidRDefault="00C52695" w:rsidP="00C52695"/>
        </w:tc>
        <w:tc>
          <w:tcPr>
            <w:tcW w:w="3322" w:type="dxa"/>
            <w:gridSpan w:val="2"/>
          </w:tcPr>
          <w:p w:rsidR="00C52695" w:rsidRPr="00883125" w:rsidRDefault="00C52695" w:rsidP="00C52695"/>
        </w:tc>
      </w:tr>
      <w:tr w:rsidR="00C52695" w:rsidRPr="00222643" w:rsidTr="006425B8">
        <w:trPr>
          <w:cnfStyle w:val="000000010000" w:firstRow="0" w:lastRow="0" w:firstColumn="0" w:lastColumn="0" w:oddVBand="0" w:evenVBand="0" w:oddHBand="0" w:evenHBand="1" w:firstRowFirstColumn="0" w:firstRowLastColumn="0" w:lastRowFirstColumn="0" w:lastRowLastColumn="0"/>
          <w:cantSplit/>
          <w:trHeight w:val="542"/>
        </w:trPr>
        <w:tc>
          <w:tcPr>
            <w:tcW w:w="392" w:type="dxa"/>
          </w:tcPr>
          <w:p w:rsidR="00C52695" w:rsidRPr="00883125" w:rsidRDefault="00C52695" w:rsidP="00C52695"/>
        </w:tc>
        <w:tc>
          <w:tcPr>
            <w:tcW w:w="2835" w:type="dxa"/>
          </w:tcPr>
          <w:p w:rsidR="00C52695" w:rsidRPr="00C52695" w:rsidRDefault="00C52695" w:rsidP="00C52695">
            <w:r w:rsidRPr="00883125">
              <w:t xml:space="preserve">SFG </w:t>
            </w:r>
            <w:r w:rsidRPr="00C52695">
              <w:t>(2013b)</w:t>
            </w:r>
            <w:r w:rsidRPr="00C52695">
              <w:rPr>
                <w:rStyle w:val="FootnoteReference"/>
              </w:rPr>
              <w:footnoteReference w:id="788"/>
            </w:r>
          </w:p>
        </w:tc>
        <w:tc>
          <w:tcPr>
            <w:tcW w:w="1346" w:type="dxa"/>
          </w:tcPr>
          <w:p w:rsidR="00C52695" w:rsidRPr="00883125" w:rsidRDefault="00C52695" w:rsidP="00C52695"/>
        </w:tc>
        <w:tc>
          <w:tcPr>
            <w:tcW w:w="1347" w:type="dxa"/>
          </w:tcPr>
          <w:p w:rsidR="00C52695" w:rsidRPr="00C52695" w:rsidRDefault="00C52695" w:rsidP="00C52695">
            <w:r w:rsidRPr="00883125">
              <w:t>0.12</w:t>
            </w:r>
            <w:r w:rsidRPr="00883125">
              <w:br/>
              <w:t>(2000–2013)</w:t>
            </w:r>
          </w:p>
        </w:tc>
        <w:tc>
          <w:tcPr>
            <w:tcW w:w="3322" w:type="dxa"/>
            <w:gridSpan w:val="2"/>
          </w:tcPr>
          <w:p w:rsidR="00C52695" w:rsidRPr="00C52695" w:rsidRDefault="00C52695" w:rsidP="00C52695">
            <w:r w:rsidRPr="00883125">
              <w:t>Uses individual firms.</w:t>
            </w:r>
          </w:p>
        </w:tc>
      </w:tr>
      <w:tr w:rsidR="00C52695" w:rsidRPr="00222643" w:rsidTr="006425B8">
        <w:trPr>
          <w:cantSplit/>
          <w:trHeight w:val="465"/>
        </w:trPr>
        <w:tc>
          <w:tcPr>
            <w:tcW w:w="392" w:type="dxa"/>
          </w:tcPr>
          <w:p w:rsidR="00C52695" w:rsidRPr="00883125" w:rsidRDefault="00C52695" w:rsidP="00C52695"/>
        </w:tc>
        <w:tc>
          <w:tcPr>
            <w:tcW w:w="2835" w:type="dxa"/>
          </w:tcPr>
          <w:p w:rsidR="00C52695" w:rsidRPr="00C52695" w:rsidRDefault="00C52695" w:rsidP="00C52695">
            <w:r w:rsidRPr="00883125">
              <w:t>Cannavan et al (2004)</w:t>
            </w:r>
            <w:r w:rsidRPr="00C52695">
              <w:rPr>
                <w:rStyle w:val="FootnoteReference"/>
              </w:rPr>
              <w:footnoteReference w:id="789"/>
            </w:r>
          </w:p>
        </w:tc>
        <w:tc>
          <w:tcPr>
            <w:tcW w:w="1346" w:type="dxa"/>
          </w:tcPr>
          <w:p w:rsidR="00C52695" w:rsidRPr="00C52695" w:rsidRDefault="00C52695" w:rsidP="00C52695">
            <w:r w:rsidRPr="00883125">
              <w:t>0–0.15</w:t>
            </w:r>
            <w:r w:rsidRPr="00883125">
              <w:br/>
              <w:t>(1994–1999)</w:t>
            </w:r>
          </w:p>
        </w:tc>
        <w:tc>
          <w:tcPr>
            <w:tcW w:w="1347" w:type="dxa"/>
          </w:tcPr>
          <w:p w:rsidR="00C52695" w:rsidRPr="00883125" w:rsidRDefault="00C52695" w:rsidP="00C52695"/>
        </w:tc>
        <w:tc>
          <w:tcPr>
            <w:tcW w:w="3322" w:type="dxa"/>
            <w:gridSpan w:val="2"/>
          </w:tcPr>
          <w:p w:rsidR="00C52695" w:rsidRPr="00C52695" w:rsidRDefault="00C52695" w:rsidP="00C52695">
            <w:r w:rsidRPr="00883125">
              <w:t>Uses individual firms.</w:t>
            </w:r>
          </w:p>
        </w:tc>
      </w:tr>
      <w:tr w:rsidR="00C52695" w:rsidRPr="00222643" w:rsidTr="006425B8">
        <w:trPr>
          <w:cnfStyle w:val="000000010000" w:firstRow="0" w:lastRow="0" w:firstColumn="0" w:lastColumn="0" w:oddVBand="0" w:evenVBand="0" w:oddHBand="0" w:evenHBand="1" w:firstRowFirstColumn="0" w:firstRowLastColumn="0" w:lastRowFirstColumn="0" w:lastRowLastColumn="0"/>
          <w:cantSplit/>
        </w:trPr>
        <w:tc>
          <w:tcPr>
            <w:tcW w:w="392" w:type="dxa"/>
          </w:tcPr>
          <w:p w:rsidR="00C52695" w:rsidRPr="00883125" w:rsidRDefault="00C52695" w:rsidP="00C52695"/>
        </w:tc>
        <w:tc>
          <w:tcPr>
            <w:tcW w:w="2835" w:type="dxa"/>
          </w:tcPr>
          <w:p w:rsidR="00C52695" w:rsidRPr="00C52695" w:rsidRDefault="00C52695" w:rsidP="00C52695">
            <w:r w:rsidRPr="00883125">
              <w:t xml:space="preserve">Cummings and </w:t>
            </w:r>
            <w:r w:rsidRPr="00C52695">
              <w:t>Frino (2008)</w:t>
            </w:r>
            <w:r w:rsidRPr="00C52695">
              <w:rPr>
                <w:rStyle w:val="FootnoteReference"/>
              </w:rPr>
              <w:footnoteReference w:id="790"/>
            </w:r>
          </w:p>
        </w:tc>
        <w:tc>
          <w:tcPr>
            <w:tcW w:w="1346" w:type="dxa"/>
          </w:tcPr>
          <w:p w:rsidR="00C52695" w:rsidRPr="00883125" w:rsidRDefault="00C52695" w:rsidP="00C52695"/>
        </w:tc>
        <w:tc>
          <w:tcPr>
            <w:tcW w:w="1347" w:type="dxa"/>
          </w:tcPr>
          <w:p w:rsidR="00C52695" w:rsidRPr="00C52695" w:rsidRDefault="00C52695" w:rsidP="00C52695">
            <w:r w:rsidRPr="00883125">
              <w:t>0.52</w:t>
            </w:r>
            <w:r w:rsidRPr="00883125">
              <w:br/>
              <w:t>(2002–2005)</w:t>
            </w:r>
          </w:p>
        </w:tc>
        <w:tc>
          <w:tcPr>
            <w:tcW w:w="3322" w:type="dxa"/>
            <w:gridSpan w:val="2"/>
          </w:tcPr>
          <w:p w:rsidR="00C52695" w:rsidRPr="00C52695" w:rsidRDefault="00C52695" w:rsidP="00C52695">
            <w:r w:rsidRPr="00883125">
              <w:t>Uses index.</w:t>
            </w:r>
          </w:p>
        </w:tc>
      </w:tr>
      <w:tr w:rsidR="00C52695" w:rsidRPr="00222643" w:rsidTr="006425B8">
        <w:trPr>
          <w:cantSplit/>
        </w:trPr>
        <w:tc>
          <w:tcPr>
            <w:tcW w:w="3227" w:type="dxa"/>
            <w:gridSpan w:val="2"/>
          </w:tcPr>
          <w:p w:rsidR="00C52695" w:rsidRPr="00C52695" w:rsidRDefault="00C52695" w:rsidP="00C52695">
            <w:pPr>
              <w:rPr>
                <w:rStyle w:val="Strong"/>
              </w:rPr>
            </w:pPr>
            <w:r w:rsidRPr="00883125">
              <w:rPr>
                <w:rStyle w:val="Strong"/>
              </w:rPr>
              <w:t>Rate of return study</w:t>
            </w:r>
          </w:p>
        </w:tc>
        <w:tc>
          <w:tcPr>
            <w:tcW w:w="1346" w:type="dxa"/>
          </w:tcPr>
          <w:p w:rsidR="00C52695" w:rsidRPr="00883125" w:rsidRDefault="00C52695" w:rsidP="00C52695"/>
        </w:tc>
        <w:tc>
          <w:tcPr>
            <w:tcW w:w="1347" w:type="dxa"/>
          </w:tcPr>
          <w:p w:rsidR="00C52695" w:rsidRPr="00883125" w:rsidRDefault="00C52695" w:rsidP="00C52695"/>
        </w:tc>
        <w:tc>
          <w:tcPr>
            <w:tcW w:w="3322" w:type="dxa"/>
            <w:gridSpan w:val="2"/>
          </w:tcPr>
          <w:p w:rsidR="00C52695" w:rsidRPr="00883125" w:rsidRDefault="00C52695" w:rsidP="00C52695"/>
        </w:tc>
      </w:tr>
      <w:tr w:rsidR="00C52695" w:rsidRPr="00222643" w:rsidTr="006425B8">
        <w:trPr>
          <w:cnfStyle w:val="000000010000" w:firstRow="0" w:lastRow="0" w:firstColumn="0" w:lastColumn="0" w:oddVBand="0" w:evenVBand="0" w:oddHBand="0" w:evenHBand="1" w:firstRowFirstColumn="0" w:firstRowLastColumn="0" w:lastRowFirstColumn="0" w:lastRowLastColumn="0"/>
          <w:cantSplit/>
        </w:trPr>
        <w:tc>
          <w:tcPr>
            <w:tcW w:w="392" w:type="dxa"/>
          </w:tcPr>
          <w:p w:rsidR="00C52695" w:rsidRPr="00883125" w:rsidRDefault="00C52695" w:rsidP="00C52695"/>
        </w:tc>
        <w:tc>
          <w:tcPr>
            <w:tcW w:w="2835" w:type="dxa"/>
          </w:tcPr>
          <w:p w:rsidR="00C52695" w:rsidRPr="00C52695" w:rsidRDefault="00C52695" w:rsidP="00C52695">
            <w:r w:rsidRPr="00883125">
              <w:t>NERA (2013b)</w:t>
            </w:r>
            <w:r w:rsidRPr="00C52695">
              <w:rPr>
                <w:rStyle w:val="FootnoteReference"/>
              </w:rPr>
              <w:footnoteReference w:id="791"/>
            </w:r>
          </w:p>
        </w:tc>
        <w:tc>
          <w:tcPr>
            <w:tcW w:w="1346" w:type="dxa"/>
          </w:tcPr>
          <w:p w:rsidR="00C52695" w:rsidRPr="00C52695" w:rsidRDefault="00C52695" w:rsidP="00C52695">
            <w:r w:rsidRPr="00883125">
              <w:t>-1.57</w:t>
            </w:r>
            <w:r w:rsidRPr="00883125">
              <w:br/>
              <w:t>(1987–2000)</w:t>
            </w:r>
          </w:p>
        </w:tc>
        <w:tc>
          <w:tcPr>
            <w:tcW w:w="1347" w:type="dxa"/>
          </w:tcPr>
          <w:p w:rsidR="00C52695" w:rsidRPr="00C52695" w:rsidRDefault="00C52695" w:rsidP="00C52695">
            <w:r w:rsidRPr="00883125">
              <w:t>-1.90</w:t>
            </w:r>
            <w:r w:rsidRPr="00883125">
              <w:br/>
              <w:t>(2000–2012)</w:t>
            </w:r>
          </w:p>
        </w:tc>
        <w:tc>
          <w:tcPr>
            <w:tcW w:w="3322" w:type="dxa"/>
            <w:gridSpan w:val="2"/>
          </w:tcPr>
          <w:p w:rsidR="00C52695" w:rsidRPr="00C52695" w:rsidRDefault="00C52695" w:rsidP="00C52695">
            <w:r w:rsidRPr="00883125">
              <w:t>Uses past returns. For the entire period, estimate is -1.50.</w:t>
            </w:r>
          </w:p>
        </w:tc>
      </w:tr>
      <w:tr w:rsidR="00C52695" w:rsidRPr="00222643" w:rsidTr="006425B8">
        <w:trPr>
          <w:cantSplit/>
          <w:trHeight w:val="535"/>
        </w:trPr>
        <w:tc>
          <w:tcPr>
            <w:tcW w:w="392" w:type="dxa"/>
          </w:tcPr>
          <w:p w:rsidR="00C52695" w:rsidRPr="00883125" w:rsidRDefault="00C52695" w:rsidP="00C52695"/>
        </w:tc>
        <w:tc>
          <w:tcPr>
            <w:tcW w:w="2835" w:type="dxa"/>
          </w:tcPr>
          <w:p w:rsidR="00C52695" w:rsidRPr="00C52695" w:rsidRDefault="00C52695" w:rsidP="00C52695">
            <w:r w:rsidRPr="00883125">
              <w:t>Lajbcygier and Wheatley (2012)</w:t>
            </w:r>
            <w:r w:rsidRPr="00C52695">
              <w:rPr>
                <w:rStyle w:val="FootnoteReference"/>
              </w:rPr>
              <w:footnoteReference w:id="792"/>
            </w:r>
          </w:p>
        </w:tc>
        <w:tc>
          <w:tcPr>
            <w:tcW w:w="1346" w:type="dxa"/>
          </w:tcPr>
          <w:p w:rsidR="00C52695" w:rsidRPr="00C52695" w:rsidRDefault="00C52695" w:rsidP="00C52695">
            <w:r w:rsidRPr="00883125">
              <w:t>-1.57</w:t>
            </w:r>
            <w:r w:rsidRPr="00883125">
              <w:br/>
              <w:t>(1987–2000)</w:t>
            </w:r>
          </w:p>
        </w:tc>
        <w:tc>
          <w:tcPr>
            <w:tcW w:w="1347" w:type="dxa"/>
          </w:tcPr>
          <w:p w:rsidR="00C52695" w:rsidRPr="00C52695" w:rsidRDefault="00C52695" w:rsidP="00C52695">
            <w:r w:rsidRPr="00883125">
              <w:t>-1.68</w:t>
            </w:r>
            <w:r w:rsidRPr="00883125">
              <w:br/>
            </w:r>
            <w:r w:rsidRPr="00C52695">
              <w:t>(2000–2009)</w:t>
            </w:r>
          </w:p>
        </w:tc>
        <w:tc>
          <w:tcPr>
            <w:tcW w:w="3322" w:type="dxa"/>
            <w:gridSpan w:val="2"/>
          </w:tcPr>
          <w:p w:rsidR="00C52695" w:rsidRPr="00C52695" w:rsidRDefault="00C52695" w:rsidP="00C52695">
            <w:r w:rsidRPr="00883125">
              <w:t>Uses</w:t>
            </w:r>
            <w:r w:rsidRPr="00C52695">
              <w:t xml:space="preserve"> past returns. For the entire period, estimate is -1.88</w:t>
            </w:r>
          </w:p>
        </w:tc>
      </w:tr>
      <w:tr w:rsidR="00C52695" w:rsidRPr="00222643" w:rsidTr="006425B8">
        <w:trPr>
          <w:cnfStyle w:val="000000010000" w:firstRow="0" w:lastRow="0" w:firstColumn="0" w:lastColumn="0" w:oddVBand="0" w:evenVBand="0" w:oddHBand="0" w:evenHBand="1" w:firstRowFirstColumn="0" w:firstRowLastColumn="0" w:lastRowFirstColumn="0" w:lastRowLastColumn="0"/>
          <w:cantSplit/>
          <w:trHeight w:val="299"/>
        </w:trPr>
        <w:tc>
          <w:tcPr>
            <w:tcW w:w="392" w:type="dxa"/>
          </w:tcPr>
          <w:p w:rsidR="00C52695" w:rsidRPr="00883125" w:rsidRDefault="00C52695" w:rsidP="00C52695"/>
        </w:tc>
        <w:tc>
          <w:tcPr>
            <w:tcW w:w="2835" w:type="dxa"/>
          </w:tcPr>
          <w:p w:rsidR="00C52695" w:rsidRPr="00C52695" w:rsidRDefault="00C52695" w:rsidP="00C52695">
            <w:r w:rsidRPr="00883125">
              <w:t>Siau et al (2013)</w:t>
            </w:r>
            <w:r w:rsidRPr="00C52695">
              <w:rPr>
                <w:rStyle w:val="FootnoteReference"/>
              </w:rPr>
              <w:footnoteReference w:id="793"/>
            </w:r>
          </w:p>
        </w:tc>
        <w:tc>
          <w:tcPr>
            <w:tcW w:w="1346" w:type="dxa"/>
          </w:tcPr>
          <w:p w:rsidR="00C52695" w:rsidRPr="00883125" w:rsidRDefault="00C52695" w:rsidP="00C52695"/>
        </w:tc>
        <w:tc>
          <w:tcPr>
            <w:tcW w:w="1347" w:type="dxa"/>
          </w:tcPr>
          <w:p w:rsidR="00C52695" w:rsidRPr="00C52695" w:rsidRDefault="00C52695" w:rsidP="00C52695">
            <w:r w:rsidRPr="00883125">
              <w:t>-0.29–0.30</w:t>
            </w:r>
            <w:r w:rsidRPr="00883125">
              <w:br/>
              <w:t>(1996–2011)</w:t>
            </w:r>
          </w:p>
        </w:tc>
        <w:tc>
          <w:tcPr>
            <w:tcW w:w="3322" w:type="dxa"/>
            <w:gridSpan w:val="2"/>
          </w:tcPr>
          <w:p w:rsidR="00C52695" w:rsidRPr="00C52695" w:rsidRDefault="00C52695" w:rsidP="00C52695">
            <w:r w:rsidRPr="00883125">
              <w:t xml:space="preserve">Uses forecast </w:t>
            </w:r>
            <w:r w:rsidRPr="00C52695">
              <w:t>returns. Note range is from negative 0.29 to positive 0.30.</w:t>
            </w:r>
          </w:p>
        </w:tc>
      </w:tr>
      <w:tr w:rsidR="00C52695" w:rsidRPr="00222643" w:rsidTr="006425B8">
        <w:trPr>
          <w:cantSplit/>
          <w:trHeight w:val="299"/>
        </w:trPr>
        <w:tc>
          <w:tcPr>
            <w:tcW w:w="392" w:type="dxa"/>
          </w:tcPr>
          <w:p w:rsidR="00C52695" w:rsidRPr="00883125" w:rsidRDefault="00C52695" w:rsidP="00C52695"/>
        </w:tc>
        <w:tc>
          <w:tcPr>
            <w:tcW w:w="2835" w:type="dxa"/>
          </w:tcPr>
          <w:p w:rsidR="00C52695" w:rsidRPr="00C52695" w:rsidRDefault="00C52695" w:rsidP="00C52695">
            <w:r w:rsidRPr="00883125">
              <w:t>Siau et al (2015)</w:t>
            </w:r>
            <w:r w:rsidRPr="00C52695">
              <w:rPr>
                <w:rStyle w:val="FootnoteReference"/>
              </w:rPr>
              <w:footnoteReference w:id="794"/>
            </w:r>
          </w:p>
        </w:tc>
        <w:tc>
          <w:tcPr>
            <w:tcW w:w="1346" w:type="dxa"/>
          </w:tcPr>
          <w:p w:rsidR="00C52695" w:rsidRPr="00883125" w:rsidRDefault="00C52695" w:rsidP="00C52695"/>
        </w:tc>
        <w:tc>
          <w:tcPr>
            <w:tcW w:w="1347" w:type="dxa"/>
          </w:tcPr>
          <w:p w:rsidR="00C52695" w:rsidRPr="00C52695" w:rsidRDefault="00C52695" w:rsidP="00C52695">
            <w:r w:rsidRPr="00883125">
              <w:t>-0.29–0.30</w:t>
            </w:r>
            <w:r w:rsidRPr="00883125">
              <w:br/>
              <w:t>(1996–2011)</w:t>
            </w:r>
          </w:p>
        </w:tc>
        <w:tc>
          <w:tcPr>
            <w:tcW w:w="3322" w:type="dxa"/>
            <w:gridSpan w:val="2"/>
          </w:tcPr>
          <w:p w:rsidR="00C52695" w:rsidRPr="00C52695" w:rsidRDefault="00C52695" w:rsidP="00C52695">
            <w:r w:rsidRPr="00883125">
              <w:t xml:space="preserve">Uses forecast returns. Note range is from negative 0.29 to positive 0.30. </w:t>
            </w:r>
          </w:p>
        </w:tc>
      </w:tr>
      <w:tr w:rsidR="00C52695" w:rsidRPr="00222643" w:rsidTr="006425B8">
        <w:trPr>
          <w:cnfStyle w:val="000000010000" w:firstRow="0" w:lastRow="0" w:firstColumn="0" w:lastColumn="0" w:oddVBand="0" w:evenVBand="0" w:oddHBand="0" w:evenHBand="1" w:firstRowFirstColumn="0" w:firstRowLastColumn="0" w:lastRowFirstColumn="0" w:lastRowLastColumn="0"/>
          <w:cantSplit/>
          <w:trHeight w:val="299"/>
        </w:trPr>
        <w:tc>
          <w:tcPr>
            <w:tcW w:w="392" w:type="dxa"/>
          </w:tcPr>
          <w:p w:rsidR="00C52695" w:rsidRPr="00883125" w:rsidRDefault="00C52695" w:rsidP="00C52695"/>
        </w:tc>
        <w:tc>
          <w:tcPr>
            <w:tcW w:w="2835" w:type="dxa"/>
          </w:tcPr>
          <w:p w:rsidR="00C52695" w:rsidRPr="00C52695" w:rsidRDefault="00C52695" w:rsidP="00C52695">
            <w:r w:rsidRPr="00883125">
              <w:t>NERA (2015)</w:t>
            </w:r>
            <w:r w:rsidRPr="00C52695">
              <w:rPr>
                <w:rStyle w:val="FootnoteReference"/>
              </w:rPr>
              <w:footnoteReference w:id="795"/>
            </w:r>
          </w:p>
        </w:tc>
        <w:tc>
          <w:tcPr>
            <w:tcW w:w="1346" w:type="dxa"/>
          </w:tcPr>
          <w:p w:rsidR="00C52695" w:rsidRPr="00C52695" w:rsidRDefault="00C52695" w:rsidP="00C52695">
            <w:r w:rsidRPr="00883125">
              <w:t>-0.90                         (1987-2000)</w:t>
            </w:r>
          </w:p>
        </w:tc>
        <w:tc>
          <w:tcPr>
            <w:tcW w:w="1347" w:type="dxa"/>
          </w:tcPr>
          <w:p w:rsidR="00C52695" w:rsidRPr="00C52695" w:rsidRDefault="00C52695" w:rsidP="00C52695">
            <w:r w:rsidRPr="00883125">
              <w:t xml:space="preserve">-3.18              </w:t>
            </w:r>
            <w:r w:rsidRPr="00C52695">
              <w:t xml:space="preserve">      (2000-2013)</w:t>
            </w:r>
          </w:p>
        </w:tc>
        <w:tc>
          <w:tcPr>
            <w:tcW w:w="3322" w:type="dxa"/>
            <w:gridSpan w:val="2"/>
          </w:tcPr>
          <w:p w:rsidR="00C52695" w:rsidRPr="00C52695" w:rsidRDefault="00C52695" w:rsidP="00C52695">
            <w:r w:rsidRPr="00883125">
              <w:t>Uses past returns. For the entire period, estimate is -1.76</w:t>
            </w:r>
          </w:p>
        </w:tc>
      </w:tr>
      <w:tr w:rsidR="00C52695" w:rsidRPr="00222643" w:rsidTr="006425B8">
        <w:trPr>
          <w:cantSplit/>
          <w:trHeight w:val="402"/>
        </w:trPr>
        <w:tc>
          <w:tcPr>
            <w:tcW w:w="3227" w:type="dxa"/>
            <w:gridSpan w:val="2"/>
          </w:tcPr>
          <w:p w:rsidR="00C52695" w:rsidRPr="00C52695" w:rsidRDefault="00C52695" w:rsidP="00C52695">
            <w:pPr>
              <w:rPr>
                <w:rStyle w:val="Strong"/>
              </w:rPr>
            </w:pPr>
            <w:r w:rsidRPr="00883125">
              <w:rPr>
                <w:rStyle w:val="Strong"/>
              </w:rPr>
              <w:t>Simultaneous share trades</w:t>
            </w:r>
          </w:p>
        </w:tc>
        <w:tc>
          <w:tcPr>
            <w:tcW w:w="1346" w:type="dxa"/>
          </w:tcPr>
          <w:p w:rsidR="00C52695" w:rsidRPr="00883125" w:rsidRDefault="00C52695" w:rsidP="00C52695"/>
        </w:tc>
        <w:tc>
          <w:tcPr>
            <w:tcW w:w="1347" w:type="dxa"/>
          </w:tcPr>
          <w:p w:rsidR="00C52695" w:rsidRPr="00883125" w:rsidRDefault="00C52695" w:rsidP="00C52695"/>
        </w:tc>
        <w:tc>
          <w:tcPr>
            <w:tcW w:w="3322" w:type="dxa"/>
            <w:gridSpan w:val="2"/>
          </w:tcPr>
          <w:p w:rsidR="00C52695" w:rsidRPr="00883125" w:rsidRDefault="00C52695" w:rsidP="00C52695"/>
        </w:tc>
      </w:tr>
      <w:tr w:rsidR="00C52695" w:rsidRPr="00222643" w:rsidTr="006425B8">
        <w:trPr>
          <w:cnfStyle w:val="000000010000" w:firstRow="0" w:lastRow="0" w:firstColumn="0" w:lastColumn="0" w:oddVBand="0" w:evenVBand="0" w:oddHBand="0" w:evenHBand="1" w:firstRowFirstColumn="0" w:firstRowLastColumn="0" w:lastRowFirstColumn="0" w:lastRowLastColumn="0"/>
          <w:cantSplit/>
          <w:trHeight w:val="402"/>
        </w:trPr>
        <w:tc>
          <w:tcPr>
            <w:tcW w:w="392" w:type="dxa"/>
          </w:tcPr>
          <w:p w:rsidR="00C52695" w:rsidRPr="00883125" w:rsidRDefault="00C52695" w:rsidP="00C52695"/>
        </w:tc>
        <w:tc>
          <w:tcPr>
            <w:tcW w:w="2835" w:type="dxa"/>
          </w:tcPr>
          <w:p w:rsidR="00C52695" w:rsidRPr="00C52695" w:rsidRDefault="00C52695" w:rsidP="00C52695">
            <w:r w:rsidRPr="00883125">
              <w:t>Chu and Partington (2008)</w:t>
            </w:r>
            <w:r w:rsidRPr="00C52695">
              <w:rPr>
                <w:rStyle w:val="FootnoteReference"/>
              </w:rPr>
              <w:footnoteReference w:id="796"/>
            </w:r>
          </w:p>
        </w:tc>
        <w:tc>
          <w:tcPr>
            <w:tcW w:w="1346" w:type="dxa"/>
          </w:tcPr>
          <w:p w:rsidR="00C52695" w:rsidRPr="00C52695" w:rsidRDefault="00C52695" w:rsidP="00C52695">
            <w:r w:rsidRPr="00883125">
              <w:t>N/A</w:t>
            </w:r>
            <w:r w:rsidRPr="00883125">
              <w:br/>
              <w:t>(1996)</w:t>
            </w:r>
          </w:p>
        </w:tc>
        <w:tc>
          <w:tcPr>
            <w:tcW w:w="1347" w:type="dxa"/>
          </w:tcPr>
          <w:p w:rsidR="00C52695" w:rsidRPr="00883125" w:rsidRDefault="00C52695" w:rsidP="00C52695"/>
        </w:tc>
        <w:tc>
          <w:tcPr>
            <w:tcW w:w="3322" w:type="dxa"/>
            <w:gridSpan w:val="2"/>
          </w:tcPr>
          <w:p w:rsidR="00C52695" w:rsidRPr="00C52695" w:rsidRDefault="00C52695" w:rsidP="00C52695">
            <w:r w:rsidRPr="00883125">
              <w:t>Combined drop off of 1.29. With dividends at full value, this is a utilisation rate of 0.68.</w:t>
            </w:r>
          </w:p>
        </w:tc>
      </w:tr>
      <w:tr w:rsidR="00C52695" w:rsidRPr="00222643" w:rsidTr="006425B8">
        <w:trPr>
          <w:cantSplit/>
          <w:trHeight w:val="284"/>
        </w:trPr>
        <w:tc>
          <w:tcPr>
            <w:tcW w:w="392" w:type="dxa"/>
          </w:tcPr>
          <w:p w:rsidR="00C52695" w:rsidRPr="00883125" w:rsidRDefault="00C52695" w:rsidP="00C52695"/>
        </w:tc>
        <w:tc>
          <w:tcPr>
            <w:tcW w:w="2835" w:type="dxa"/>
          </w:tcPr>
          <w:p w:rsidR="00C52695" w:rsidRPr="00C52695" w:rsidRDefault="00C52695" w:rsidP="00C52695">
            <w:r w:rsidRPr="00883125">
              <w:t xml:space="preserve">Walker and </w:t>
            </w:r>
            <w:r w:rsidRPr="00C52695">
              <w:t>Partington (1999)</w:t>
            </w:r>
            <w:r w:rsidRPr="00C52695">
              <w:rPr>
                <w:rStyle w:val="FootnoteReference"/>
              </w:rPr>
              <w:footnoteReference w:id="797"/>
            </w:r>
          </w:p>
        </w:tc>
        <w:tc>
          <w:tcPr>
            <w:tcW w:w="1346" w:type="dxa"/>
          </w:tcPr>
          <w:p w:rsidR="00C52695" w:rsidRPr="00C52695" w:rsidRDefault="00C52695" w:rsidP="00C52695">
            <w:r w:rsidRPr="00883125">
              <w:t>0.88–0.96</w:t>
            </w:r>
            <w:r w:rsidRPr="00883125">
              <w:br/>
              <w:t>(1995–1997)</w:t>
            </w:r>
          </w:p>
        </w:tc>
        <w:tc>
          <w:tcPr>
            <w:tcW w:w="1347" w:type="dxa"/>
          </w:tcPr>
          <w:p w:rsidR="00C52695" w:rsidRPr="00883125" w:rsidRDefault="00C52695" w:rsidP="00C52695"/>
        </w:tc>
        <w:tc>
          <w:tcPr>
            <w:tcW w:w="3322" w:type="dxa"/>
            <w:gridSpan w:val="2"/>
          </w:tcPr>
          <w:p w:rsidR="00C52695" w:rsidRPr="00883125" w:rsidDel="003D6627" w:rsidRDefault="00C52695" w:rsidP="00C52695"/>
        </w:tc>
      </w:tr>
      <w:tr w:rsidR="00C52695" w:rsidRPr="00222643" w:rsidTr="006425B8">
        <w:trPr>
          <w:cnfStyle w:val="000000010000" w:firstRow="0" w:lastRow="0" w:firstColumn="0" w:lastColumn="0" w:oddVBand="0" w:evenVBand="0" w:oddHBand="0" w:evenHBand="1" w:firstRowFirstColumn="0" w:firstRowLastColumn="0" w:lastRowFirstColumn="0" w:lastRowLastColumn="0"/>
          <w:cantSplit/>
          <w:trHeight w:val="658"/>
        </w:trPr>
        <w:tc>
          <w:tcPr>
            <w:tcW w:w="392" w:type="dxa"/>
          </w:tcPr>
          <w:p w:rsidR="00C52695" w:rsidRPr="00883125" w:rsidRDefault="00C52695" w:rsidP="00C52695"/>
        </w:tc>
        <w:tc>
          <w:tcPr>
            <w:tcW w:w="2835" w:type="dxa"/>
          </w:tcPr>
          <w:p w:rsidR="00C52695" w:rsidRPr="00C52695" w:rsidRDefault="00C52695" w:rsidP="00C52695">
            <w:r w:rsidRPr="00883125">
              <w:t>Chu and Partington (2001)</w:t>
            </w:r>
            <w:r w:rsidRPr="00C52695">
              <w:rPr>
                <w:rStyle w:val="FootnoteReference"/>
              </w:rPr>
              <w:footnoteReference w:id="798"/>
            </w:r>
          </w:p>
        </w:tc>
        <w:tc>
          <w:tcPr>
            <w:tcW w:w="1346" w:type="dxa"/>
          </w:tcPr>
          <w:p w:rsidR="00C52695" w:rsidRPr="00C52695" w:rsidRDefault="00C52695" w:rsidP="00C52695">
            <w:r w:rsidRPr="00883125">
              <w:t>N/A</w:t>
            </w:r>
            <w:r w:rsidRPr="00883125">
              <w:br/>
              <w:t>(1991–1999)</w:t>
            </w:r>
          </w:p>
        </w:tc>
        <w:tc>
          <w:tcPr>
            <w:tcW w:w="1347" w:type="dxa"/>
          </w:tcPr>
          <w:p w:rsidR="00C52695" w:rsidRPr="00883125" w:rsidRDefault="00C52695" w:rsidP="00C52695"/>
        </w:tc>
        <w:tc>
          <w:tcPr>
            <w:tcW w:w="3322" w:type="dxa"/>
            <w:gridSpan w:val="2"/>
          </w:tcPr>
          <w:p w:rsidR="00C52695" w:rsidRPr="00C52695" w:rsidDel="003D6627" w:rsidRDefault="00C52695" w:rsidP="00C52695">
            <w:r w:rsidRPr="00883125">
              <w:t>Combined drop off</w:t>
            </w:r>
            <w:r w:rsidRPr="00C52695">
              <w:t xml:space="preserve"> of 1.5. With dividends at full value, this is a utilisation rate above 1.</w:t>
            </w:r>
          </w:p>
        </w:tc>
      </w:tr>
    </w:tbl>
    <w:p w:rsidR="00C52695" w:rsidRPr="00883125" w:rsidRDefault="00C52695" w:rsidP="00C52695">
      <w:pPr>
        <w:pStyle w:val="AERtablesource"/>
      </w:pPr>
      <w:r w:rsidRPr="00883125">
        <w:t xml:space="preserve">Source: </w:t>
      </w:r>
      <w:r w:rsidRPr="00883125">
        <w:tab/>
        <w:t>As specified in table.</w:t>
      </w:r>
    </w:p>
    <w:p w:rsidR="00C52695" w:rsidRPr="00883125" w:rsidRDefault="00C52695" w:rsidP="00A3116F">
      <w:r w:rsidRPr="00883125">
        <w:t>In relation to the 2015 study by Siau et al, this is an academic journal published version of the early study by Siau et al already considered by us. The 2015 paper has relatively minor editorial changes and gives us no cause to change our views.</w:t>
      </w:r>
      <w:r w:rsidRPr="00883125">
        <w:rPr>
          <w:rStyle w:val="FootnoteReference"/>
        </w:rPr>
        <w:footnoteReference w:id="799"/>
      </w:r>
    </w:p>
    <w:p w:rsidR="00C52695" w:rsidRDefault="00C52695" w:rsidP="00A3116F">
      <w:r w:rsidRPr="00883125">
        <w:t>In relation to the 2015 study by NERA, this is an update of the 2013 study by NERA using one extra year's data. The results are somewhat similar to the 2013 study and we consider the results do not provide compelling evidence on the value of imputation credits, particularly given the large negative estimate for the value of imputation credits.</w:t>
      </w:r>
      <w:r w:rsidRPr="00883125">
        <w:rPr>
          <w:rStyle w:val="FootnoteReference"/>
        </w:rPr>
        <w:footnoteReference w:id="800"/>
      </w:r>
      <w:r w:rsidRPr="00883125">
        <w:t xml:space="preserve"> While NERA has responded to the criticism effectively stating the results may indicate there is something wrong with the SLCAPM</w:t>
      </w:r>
      <w:r w:rsidRPr="00883125">
        <w:rPr>
          <w:rStyle w:val="FootnoteReference"/>
        </w:rPr>
        <w:footnoteReference w:id="801"/>
      </w:r>
      <w:r w:rsidRPr="00883125">
        <w:t>, this does not resolve the issue of the reliability of the theta estimate for use in the SLCAPM.</w:t>
      </w:r>
      <w:r w:rsidRPr="00883125">
        <w:rPr>
          <w:rStyle w:val="FootnoteReference"/>
        </w:rPr>
        <w:footnoteReference w:id="802"/>
      </w:r>
      <w:r w:rsidRPr="00883125">
        <w:t xml:space="preserve"> </w:t>
      </w:r>
      <w:r>
        <w:t>A</w:t>
      </w:r>
      <w:r w:rsidRPr="00883125">
        <w:t>s outlined by Ainsworth, Partington and Warren (2015) the negative value on imputation credits is implausible and the sign on the coefficient probably flags issues with the empirical method.</w:t>
      </w:r>
      <w:r w:rsidRPr="00883125">
        <w:rPr>
          <w:rStyle w:val="FootnoteReference"/>
        </w:rPr>
        <w:footnoteReference w:id="803"/>
      </w:r>
    </w:p>
    <w:p w:rsidR="00C52695" w:rsidRPr="00CA67C0" w:rsidRDefault="00C52695" w:rsidP="008B1CA1">
      <w:pPr>
        <w:pStyle w:val="Heading9"/>
        <w:keepNext/>
      </w:pPr>
      <w:bookmarkStart w:id="429" w:name="_Ref435171205"/>
      <w:bookmarkStart w:id="430" w:name="_Toc456614340"/>
      <w:bookmarkStart w:id="431" w:name="_Toc462823344"/>
      <w:bookmarkStart w:id="432" w:name="_Toc487014099"/>
      <w:r w:rsidRPr="00883125">
        <w:t>Comparison with other market-based estimation approaches</w:t>
      </w:r>
      <w:bookmarkEnd w:id="429"/>
      <w:bookmarkEnd w:id="430"/>
      <w:bookmarkEnd w:id="431"/>
      <w:bookmarkEnd w:id="432"/>
    </w:p>
    <w:p w:rsidR="00C52695" w:rsidRPr="00CA67C0" w:rsidRDefault="00C52695" w:rsidP="008B1CA1">
      <w:pPr>
        <w:keepNext/>
      </w:pPr>
      <w:r w:rsidRPr="00883125">
        <w:t>The majority of service providers have submitted that the use of implied market value studies to estimate the value of imputation credits is consistent with the approach to estimating other rate of return parameters.</w:t>
      </w:r>
      <w:r w:rsidRPr="00CA67C0">
        <w:rPr>
          <w:rStyle w:val="FootnoteReference"/>
        </w:rPr>
        <w:footnoteReference w:id="804"/>
      </w:r>
      <w:r w:rsidRPr="00CA67C0">
        <w:t xml:space="preserve"> </w:t>
      </w:r>
      <w:r w:rsidR="003D52F6">
        <w:t>Multi</w:t>
      </w:r>
      <w:r w:rsidR="00D26221">
        <w:t>N</w:t>
      </w:r>
      <w:r w:rsidR="003D52F6">
        <w:t xml:space="preserve">et </w:t>
      </w:r>
      <w:r w:rsidR="0077122A">
        <w:t xml:space="preserve">and AusNet Gas </w:t>
      </w:r>
      <w:r w:rsidR="00946610">
        <w:t xml:space="preserve">Distribution </w:t>
      </w:r>
      <w:r w:rsidR="003D52F6">
        <w:t>ha</w:t>
      </w:r>
      <w:r w:rsidR="0077122A">
        <w:t>ve</w:t>
      </w:r>
      <w:r w:rsidR="003D52F6">
        <w:t xml:space="preserve"> submitted a new report</w:t>
      </w:r>
      <w:r w:rsidR="001E3B1D">
        <w:t xml:space="preserve"> by Frontier</w:t>
      </w:r>
      <w:r w:rsidR="003D52F6">
        <w:t xml:space="preserve"> in support of this</w:t>
      </w:r>
      <w:r w:rsidR="002A7E2F">
        <w:t>.</w:t>
      </w:r>
      <w:r w:rsidR="002A7E2F">
        <w:rPr>
          <w:rStyle w:val="FootnoteReference"/>
        </w:rPr>
        <w:footnoteReference w:id="805"/>
      </w:r>
      <w:r w:rsidR="002A7E2F">
        <w:t xml:space="preserve"> </w:t>
      </w:r>
      <w:r w:rsidRPr="00CA67C0">
        <w:t xml:space="preserve">We disagree. As we set our prior decisions, we consider that the use of market prices to estimate the value of imputation credits is fundamentally different to using market prices to estimate other rate of return parameters. </w:t>
      </w:r>
      <w:r w:rsidR="0006482A">
        <w:t xml:space="preserve">This is further discussed in section </w:t>
      </w:r>
      <w:r w:rsidR="00001B62">
        <w:fldChar w:fldCharType="begin"/>
      </w:r>
      <w:r w:rsidR="00001B62">
        <w:instrText xml:space="preserve"> REF _Ref450298425 \r \h </w:instrText>
      </w:r>
      <w:r w:rsidR="00001B62">
        <w:fldChar w:fldCharType="separate"/>
      </w:r>
      <w:r w:rsidR="007E3457">
        <w:t>A.8.2</w:t>
      </w:r>
      <w:r w:rsidR="00001B62">
        <w:fldChar w:fldCharType="end"/>
      </w:r>
      <w:r w:rsidR="00CB5775">
        <w:t>, which shows our approach is internally consistent.</w:t>
      </w:r>
    </w:p>
    <w:p w:rsidR="00C52695" w:rsidRPr="00883125" w:rsidRDefault="00C52695" w:rsidP="00C52695">
      <w:r w:rsidRPr="00883125">
        <w:t>For example, bonds are separately and (generally) regularly traded, and we can observe the market price that arises from this trading. As correctly noted by Gray (for SFG), '…when estimating the cost of debt the AER uses traded bond prices which reflect the value of those bonds to investors…'.</w:t>
      </w:r>
      <w:r w:rsidRPr="00883125">
        <w:rPr>
          <w:rStyle w:val="FootnoteReference"/>
        </w:rPr>
        <w:footnoteReference w:id="806"/>
      </w:r>
      <w:r w:rsidRPr="00883125">
        <w:t xml:space="preserve"> By contrast, imputation credits are not separately traded. Therefore, no market price exists for imputation credits in the same manner as that for separately traded assets.</w:t>
      </w:r>
    </w:p>
    <w:p w:rsidR="00C52695" w:rsidRPr="00883125" w:rsidRDefault="00C52695" w:rsidP="00C52695">
      <w:r w:rsidRPr="00883125">
        <w:t>Further, when returns are calculated on bonds for the cost of debt, and capital gains/loss for the return on equity, these returns are</w:t>
      </w:r>
      <w:r>
        <w:t xml:space="preserve"> post (company) tax</w:t>
      </w:r>
      <w:r w:rsidRPr="00883125">
        <w:t xml:space="preserve"> </w:t>
      </w:r>
      <w:r>
        <w:t>(pre-personal tax) returns</w:t>
      </w:r>
      <w:r w:rsidRPr="00883125">
        <w:t>. However, imputation credits and dividends market values derived from drop off studies are influenced by differential personal tax</w:t>
      </w:r>
      <w:r>
        <w:t xml:space="preserve"> resulting in these values being neither pre nor post personal tax values</w:t>
      </w:r>
      <w:r w:rsidRPr="00883125">
        <w:t xml:space="preserve">. </w:t>
      </w:r>
      <w:r>
        <w:t>Lally notes that differential personal taxes on different types of income should affect the pre personal tax costs of debt and equity but they should not affect the estimate of theta.</w:t>
      </w:r>
      <w:r w:rsidRPr="00B64830">
        <w:rPr>
          <w:rStyle w:val="FootnoteReference"/>
        </w:rPr>
        <w:t xml:space="preserve"> </w:t>
      </w:r>
      <w:r>
        <w:rPr>
          <w:rStyle w:val="FootnoteReference"/>
        </w:rPr>
        <w:footnoteReference w:id="807"/>
      </w:r>
      <w:r>
        <w:t xml:space="preserve"> </w:t>
      </w:r>
      <w:r w:rsidRPr="00883125">
        <w:t xml:space="preserve">This is further discussed in detail in section </w:t>
      </w:r>
      <w:r>
        <w:fldChar w:fldCharType="begin"/>
      </w:r>
      <w:r>
        <w:instrText xml:space="preserve"> REF _Ref450840388 \r \h </w:instrText>
      </w:r>
      <w:r>
        <w:fldChar w:fldCharType="separate"/>
      </w:r>
      <w:r w:rsidR="007E3457">
        <w:t>A.8.2</w:t>
      </w:r>
      <w:r>
        <w:fldChar w:fldCharType="end"/>
      </w:r>
      <w:r w:rsidRPr="00883125">
        <w:t xml:space="preserve"> and an example is provided to demonstrate the impact below.</w:t>
      </w:r>
    </w:p>
    <w:p w:rsidR="00C52695" w:rsidRPr="00883125" w:rsidRDefault="00C52695" w:rsidP="00C52695">
      <w:r w:rsidRPr="00883125">
        <w:t>We also noted in the decisions released in 2014 and April and June 2015 that, because no market price exists for imputation credits in the same manner as that for separately traded assets, dividend drop off studies must infer using ex-dividend price changes and econometric techniques the value attributed to imputation credits by investors. This is in contrast to simply observing or measuring the value attributed to imputation credits by investors via prices resulting from market transactions in imputation credits. Gray (for both SFG and Frontier) noted that we apply econometric techniques (that is, regression analysis) to observed market prices when estimating beta.</w:t>
      </w:r>
      <w:r w:rsidRPr="00883125">
        <w:rPr>
          <w:rStyle w:val="FootnoteReference"/>
        </w:rPr>
        <w:footnoteReference w:id="808"/>
      </w:r>
      <w:r w:rsidRPr="00883125">
        <w:t xml:space="preserve"> This is correct, but beta is not a measure of the value attributed to an asset by investors; for example, Gray's definition of beta (for SFG) is ‘the risk of the asset or firm in question relative to the average firm or asset’.</w:t>
      </w:r>
      <w:r w:rsidRPr="00883125">
        <w:rPr>
          <w:rStyle w:val="FootnoteReference"/>
        </w:rPr>
        <w:footnoteReference w:id="809"/>
      </w:r>
    </w:p>
    <w:p w:rsidR="00C52695" w:rsidRPr="00883125" w:rsidRDefault="00C52695" w:rsidP="00C52695">
      <w:r w:rsidRPr="00883125">
        <w:t>A number of service providers also submitted, consistent with advice from Gray (for SFG), that we do not seek to adjust other rate of return parameters for personal costs.</w:t>
      </w:r>
      <w:r w:rsidRPr="00883125">
        <w:rPr>
          <w:rStyle w:val="FootnoteReference"/>
        </w:rPr>
        <w:footnoteReference w:id="810"/>
      </w:r>
      <w:r w:rsidRPr="00883125">
        <w:t xml:space="preserve"> They consider that the value of imputation credits will reflect transaction costs</w:t>
      </w:r>
      <w:r>
        <w:t xml:space="preserve"> that are associated </w:t>
      </w:r>
      <w:r w:rsidRPr="00883125">
        <w:t>with redeeming imputation credits.</w:t>
      </w:r>
      <w:r w:rsidRPr="00883125">
        <w:rPr>
          <w:rStyle w:val="FootnoteReference"/>
        </w:rPr>
        <w:footnoteReference w:id="811"/>
      </w:r>
    </w:p>
    <w:p w:rsidR="00C52695" w:rsidRPr="00883125" w:rsidRDefault="00C52695" w:rsidP="00C52695">
      <w:r w:rsidRPr="00883125">
        <w:t>However, this consideration did not change Handley’s view—which we accept—that the value of imputation credits should be estimated on a before-personal-tax and before-personal-costs basis:</w:t>
      </w:r>
      <w:r w:rsidRPr="00883125">
        <w:rPr>
          <w:rStyle w:val="FootnoteReference"/>
        </w:rPr>
        <w:footnoteReference w:id="812"/>
      </w:r>
    </w:p>
    <w:p w:rsidR="00C52695" w:rsidRPr="00883125" w:rsidRDefault="00C52695" w:rsidP="00C52695">
      <w:pPr>
        <w:pStyle w:val="AERquote"/>
      </w:pPr>
      <w:r w:rsidRPr="00883125">
        <w:t xml:space="preserve">In other words, the per dollar value of an imputation credit </w:t>
      </w:r>
      <m:oMath>
        <m:r>
          <w:rPr>
            <w:rFonts w:ascii="Cambria Math" w:hAnsi="Cambria Math"/>
          </w:rPr>
          <m:t>γ</m:t>
        </m:r>
      </m:oMath>
      <w:r w:rsidRPr="00883125">
        <w:t xml:space="preserve"> gamma should be measured prior to any personal tax on the credit and prior to any personal costs associated with the receipt of the credit. This approach is also consistent with the standard approach to calculating a return in a classical tax system – you take the observed capital gain and the observed dividend without making any adjustment for personal taxes or personal costs associated with trading the share or receiving the dividend.</w:t>
      </w:r>
    </w:p>
    <w:p w:rsidR="00C52695" w:rsidRPr="00883125" w:rsidRDefault="00C52695" w:rsidP="00C52695">
      <w:r w:rsidRPr="00883125">
        <w:t>That is, we take the observed distribution of $1 of dividends to yield $1 of value to investors. We do not take it to yield $1 of value minus personal taxes and personal costs associated with that dividend. Similarly, we take a $1 change in stock prices (capital gain) to yield $1 of value to investors. We do not take it to yield $1 of value minus personal taxes and personal costs associated with that capital gain.</w:t>
      </w:r>
    </w:p>
    <w:p w:rsidR="00C52695" w:rsidRPr="00883125" w:rsidRDefault="00C52695" w:rsidP="00C52695">
      <w:r w:rsidRPr="00883125">
        <w:t>To explain how personal taxes influence market price/returns in the dividend drop off studies we present a simple example below. Dividend drop off studies work on a no arbitrage argument</w:t>
      </w:r>
      <w:r>
        <w:t>. In perfect capital with no transaction cost, no differential tax on dividends relative to capital gains and no risk, the theory of no arbitrage predicts an ex-dividend drop-off being equal to the face value of the dividend. A representative</w:t>
      </w:r>
      <w:r w:rsidRPr="00883125">
        <w:t xml:space="preserve"> investor should be indifferent between the two following strategies:</w:t>
      </w:r>
      <w:r w:rsidRPr="00883125">
        <w:rPr>
          <w:rStyle w:val="FootnoteReference"/>
        </w:rPr>
        <w:footnoteReference w:id="813"/>
      </w:r>
    </w:p>
    <w:p w:rsidR="00C52695" w:rsidRPr="001D37D5" w:rsidRDefault="00C52695" w:rsidP="00C52695">
      <w:pPr>
        <w:pStyle w:val="AERbulletlistfirststyle"/>
      </w:pPr>
      <w:r w:rsidRPr="00883125">
        <w:t>Sell</w:t>
      </w:r>
      <w:r w:rsidRPr="001D37D5">
        <w:t>ing their stock the day before the shareholder is entitled to receive the dividend at the cum-dividend price (P</w:t>
      </w:r>
      <w:r w:rsidRPr="001D37D5">
        <w:rPr>
          <w:rStyle w:val="AERsubscript"/>
        </w:rPr>
        <w:t>cum-div</w:t>
      </w:r>
      <w:r w:rsidRPr="001D37D5">
        <w:t>). In this scenario the shareholder receives only the proceeds from the sale of the shares.</w:t>
      </w:r>
    </w:p>
    <w:p w:rsidR="00C52695" w:rsidRPr="001D37D5" w:rsidRDefault="00C52695" w:rsidP="00C52695">
      <w:pPr>
        <w:pStyle w:val="AERbulletlistfirststyle"/>
      </w:pPr>
      <w:r w:rsidRPr="00883125">
        <w:t>Se</w:t>
      </w:r>
      <w:r w:rsidRPr="001D37D5">
        <w:t>lling their stock when the shareholder is entitled to receive the dividend at the ex-dividend price (P</w:t>
      </w:r>
      <w:r w:rsidRPr="001D37D5">
        <w:rPr>
          <w:rStyle w:val="AERsubscript"/>
        </w:rPr>
        <w:t>ex-div</w:t>
      </w:r>
      <w:r w:rsidRPr="001D37D5">
        <w:t>). In this scenario the shareholder receives both the dividend (D) and proceeds from the sale of the shares.</w:t>
      </w:r>
    </w:p>
    <w:p w:rsidR="00C52695" w:rsidRPr="00883125" w:rsidRDefault="00C52695" w:rsidP="00C52695">
      <w:r w:rsidRPr="00883125">
        <w:t>An investor should be indifferent between the two strategies given that if one strategy is more profitable then arbitrage opportunities will exist. However, arbitrage opportunities will be eliminated as the buying pressure on the more profitable strategy combined with the selling pressure on less profitable strategy will result in an equilibrium outcome, where the two strategies yield the same return.</w:t>
      </w:r>
      <w:r>
        <w:t xml:space="preserve"> Note that </w:t>
      </w:r>
      <w:r w:rsidRPr="00883125">
        <w:t>investors care about their post-personal tax return and not their pre-personal tax return. What is important to investors is the return they get after paying their taxes and not what they receive before taxes.</w:t>
      </w:r>
    </w:p>
    <w:p w:rsidR="00C52695" w:rsidRPr="00883125" w:rsidRDefault="00C52695" w:rsidP="00C52695">
      <w:r>
        <w:t xml:space="preserve">Where income and capital gains are taxed at the same rate, </w:t>
      </w:r>
      <w:r w:rsidRPr="00883125">
        <w:t>the investor should be indifferent between receiving the cum-dividend price or the ex-divide</w:t>
      </w:r>
      <w:r w:rsidR="00FE3642">
        <w:t>nd price plus the dividend. That is,</w:t>
      </w:r>
    </w:p>
    <w:p w:rsidR="00C52695" w:rsidRPr="00883125" w:rsidRDefault="00C52695" w:rsidP="00C52695"/>
    <w:p w:rsidR="00C52695" w:rsidRDefault="00C52695" w:rsidP="00C52695">
      <w:pPr>
        <w:pStyle w:val="AERbodytextcentre"/>
      </w:pPr>
      <w:r w:rsidRPr="00883125">
        <w:t>P</w:t>
      </w:r>
      <w:r w:rsidRPr="00B27BE5">
        <w:rPr>
          <w:rStyle w:val="AERsubscript"/>
        </w:rPr>
        <w:t>cum-div</w:t>
      </w:r>
      <w:r w:rsidRPr="00B27BE5">
        <w:t xml:space="preserve"> = P</w:t>
      </w:r>
      <w:r w:rsidRPr="00B27BE5">
        <w:rPr>
          <w:rStyle w:val="AERsubscript"/>
        </w:rPr>
        <w:t>ex-div</w:t>
      </w:r>
      <w:r w:rsidRPr="00B27BE5">
        <w:t xml:space="preserve"> + D</w:t>
      </w:r>
    </w:p>
    <w:p w:rsidR="00C52695" w:rsidRPr="00B27BE5" w:rsidRDefault="00C52695" w:rsidP="00C52695"/>
    <w:p w:rsidR="00C52695" w:rsidRPr="00883125" w:rsidRDefault="00C52695" w:rsidP="00C52695">
      <w:r>
        <w:t xml:space="preserve">More generally, </w:t>
      </w:r>
      <w:r w:rsidRPr="00883125">
        <w:t xml:space="preserve">the results </w:t>
      </w:r>
      <w:r>
        <w:t xml:space="preserve">of market studies </w:t>
      </w:r>
      <w:r w:rsidRPr="00883125">
        <w:t>are influenced by personal taxes and need to be interpreted in light of this. For our regulatory purposes the efficient costs that are imposed on the benchmark efficient firm is what matters. That is, the pre personal taxes and personal costs impact. Market parameter estimates that are influenced by personal tax and personal cost factors which do not correctly reflect the efficient post-</w:t>
      </w:r>
      <w:r>
        <w:t xml:space="preserve">company </w:t>
      </w:r>
      <w:r w:rsidRPr="00883125">
        <w:t xml:space="preserve">tax costs faced by the benchmark efficient entity are not appropriate estimates under our post tax regulatory framework. </w:t>
      </w:r>
    </w:p>
    <w:p w:rsidR="00C52695" w:rsidRPr="00883125" w:rsidRDefault="00C52695" w:rsidP="00C52695">
      <w:r w:rsidRPr="00883125">
        <w:t>To demonstrate assume an investor faces the following investment scenario:</w:t>
      </w:r>
    </w:p>
    <w:p w:rsidR="00C52695" w:rsidRPr="00B27BE5" w:rsidRDefault="00C52695" w:rsidP="00D414CC">
      <w:pPr>
        <w:pStyle w:val="AERbulletlistfirststyle"/>
      </w:pPr>
      <w:r w:rsidRPr="00883125">
        <w:t>(P</w:t>
      </w:r>
      <w:r w:rsidRPr="00B27BE5">
        <w:rPr>
          <w:rStyle w:val="AERsubscript"/>
        </w:rPr>
        <w:t>cost</w:t>
      </w:r>
      <w:r w:rsidRPr="00B27BE5">
        <w:t>) Purchased share in 2010 for $10</w:t>
      </w:r>
    </w:p>
    <w:p w:rsidR="00C52695" w:rsidRPr="00B27BE5" w:rsidRDefault="00C52695" w:rsidP="00D414CC">
      <w:pPr>
        <w:pStyle w:val="AERbulletlistfirststyle"/>
      </w:pPr>
      <w:r w:rsidRPr="00883125">
        <w:t>(P</w:t>
      </w:r>
      <w:r w:rsidRPr="00B27BE5">
        <w:rPr>
          <w:rStyle w:val="AERsubscript"/>
        </w:rPr>
        <w:t>cum-div</w:t>
      </w:r>
      <w:r w:rsidRPr="00B27BE5">
        <w:t>) Current cum dividend price in 2016 is $20</w:t>
      </w:r>
    </w:p>
    <w:p w:rsidR="00C52695" w:rsidRPr="00B27BE5" w:rsidRDefault="00C52695" w:rsidP="00D414CC">
      <w:pPr>
        <w:pStyle w:val="AERbulletlistfirststyle"/>
      </w:pPr>
      <w:r w:rsidRPr="00883125">
        <w:t xml:space="preserve">(D) </w:t>
      </w:r>
      <w:r w:rsidRPr="00B27BE5">
        <w:t>2016 dividend is $1 assume fully unfranked</w:t>
      </w:r>
    </w:p>
    <w:p w:rsidR="00C52695" w:rsidRPr="00B27BE5" w:rsidRDefault="00C52695" w:rsidP="00D414CC">
      <w:pPr>
        <w:pStyle w:val="AERbulletlistfirststyle"/>
      </w:pPr>
      <w:r w:rsidRPr="00883125">
        <w:t>(P</w:t>
      </w:r>
      <w:r w:rsidRPr="00B27BE5">
        <w:rPr>
          <w:rStyle w:val="AERsubscript"/>
        </w:rPr>
        <w:t>ex-div</w:t>
      </w:r>
      <w:r w:rsidRPr="00B27BE5">
        <w:t>) Ex-dividend price in 2016 is $19 (calculated as cum-div price minus dividend)</w:t>
      </w:r>
    </w:p>
    <w:p w:rsidR="00C52695" w:rsidRPr="00B27BE5" w:rsidRDefault="00C52695" w:rsidP="00D414CC">
      <w:pPr>
        <w:pStyle w:val="AERbulletlistfirststyle"/>
      </w:pPr>
      <w:r w:rsidRPr="00883125">
        <w:t xml:space="preserve">(MTR) </w:t>
      </w:r>
      <w:r w:rsidRPr="00B27BE5">
        <w:t>Investors marginal tax rate = 47 %</w:t>
      </w:r>
    </w:p>
    <w:p w:rsidR="00C52695" w:rsidRPr="00B27BE5" w:rsidRDefault="00C52695" w:rsidP="00D414CC">
      <w:pPr>
        <w:pStyle w:val="AERbulletlistfirststyle"/>
      </w:pPr>
      <w:r w:rsidRPr="00883125">
        <w:t>(CGT</w:t>
      </w:r>
      <w:r w:rsidRPr="00B27BE5">
        <w:rPr>
          <w:rStyle w:val="AERsubscript"/>
        </w:rPr>
        <w:t>discount</w:t>
      </w:r>
      <w:r w:rsidRPr="00B27BE5">
        <w:t>) capital gains discount (0.5 when shares held for more than 12 months, otherwise 1)</w:t>
      </w:r>
    </w:p>
    <w:p w:rsidR="00C52695" w:rsidRPr="00B27BE5" w:rsidRDefault="00C52695" w:rsidP="00D414CC">
      <w:pPr>
        <w:pStyle w:val="AERbulletlistfirststyle"/>
      </w:pPr>
      <w:r w:rsidRPr="00883125">
        <w:t xml:space="preserve">For the time being it will </w:t>
      </w:r>
      <w:r w:rsidRPr="00B27BE5">
        <w:t>be assumed that there is one type of investor in the economy, however, this assumption will be relaxed.</w:t>
      </w:r>
    </w:p>
    <w:p w:rsidR="00C52695" w:rsidRPr="00E1560E" w:rsidRDefault="00C52695" w:rsidP="00C52695">
      <w:pPr>
        <w:rPr>
          <w:rStyle w:val="AERbody"/>
        </w:rPr>
      </w:pPr>
      <w:r w:rsidRPr="00E1560E">
        <w:rPr>
          <w:rStyle w:val="AERbody"/>
        </w:rPr>
        <w:t>Under this scenario ex-dividend and cum-dividend returns are equal on a pre-personal tax basis:</w:t>
      </w:r>
    </w:p>
    <w:p w:rsidR="00C52695" w:rsidRPr="00883125" w:rsidRDefault="00C52695" w:rsidP="00C52695">
      <w:pPr>
        <w:rPr>
          <w:rStyle w:val="AERbody"/>
        </w:rPr>
      </w:pPr>
    </w:p>
    <w:p w:rsidR="00C52695" w:rsidRPr="00883125" w:rsidRDefault="00C52695" w:rsidP="00C52695">
      <w:pPr>
        <w:pStyle w:val="AERbodytextcentre"/>
      </w:pPr>
      <w:r w:rsidRPr="00883125">
        <w:t>P</w:t>
      </w:r>
      <w:r w:rsidRPr="00883125">
        <w:rPr>
          <w:rStyle w:val="AERsubscript"/>
        </w:rPr>
        <w:t>cum-div</w:t>
      </w:r>
      <w:r w:rsidRPr="00883125">
        <w:t xml:space="preserve"> = P</w:t>
      </w:r>
      <w:r w:rsidRPr="00883125">
        <w:rPr>
          <w:rStyle w:val="AERsubscript"/>
        </w:rPr>
        <w:t>ex-div</w:t>
      </w:r>
      <w:r w:rsidRPr="00883125">
        <w:t xml:space="preserve"> + D</w:t>
      </w:r>
    </w:p>
    <w:p w:rsidR="00C52695" w:rsidRPr="00883125" w:rsidRDefault="00C52695" w:rsidP="00C52695">
      <w:pPr>
        <w:pStyle w:val="AERbodytextcentre"/>
      </w:pPr>
      <w:r w:rsidRPr="00883125">
        <w:t>20 = 19 +1</w:t>
      </w:r>
    </w:p>
    <w:p w:rsidR="00C52695" w:rsidRPr="00B27BE5" w:rsidRDefault="00C52695" w:rsidP="00C52695">
      <w:pPr>
        <w:rPr>
          <w:rStyle w:val="AERbody"/>
        </w:rPr>
      </w:pPr>
    </w:p>
    <w:p w:rsidR="00C52695" w:rsidRPr="00B27BE5" w:rsidRDefault="00C52695" w:rsidP="00C52695">
      <w:pPr>
        <w:rPr>
          <w:rStyle w:val="AERbody"/>
        </w:rPr>
      </w:pPr>
      <w:r w:rsidRPr="00B27BE5">
        <w:rPr>
          <w:rStyle w:val="AERbody"/>
        </w:rPr>
        <w:t>However, investors care about their post personal tax return and not their pre-personal tax returns. As a result, the investors post personal tax return if they sell cum-dividend is:</w:t>
      </w:r>
    </w:p>
    <w:p w:rsidR="00C52695" w:rsidRPr="00B27BE5" w:rsidRDefault="00C52695" w:rsidP="00C52695">
      <w:pPr>
        <w:rPr>
          <w:rStyle w:val="AERbody"/>
        </w:rPr>
      </w:pPr>
    </w:p>
    <w:p w:rsidR="00C52695" w:rsidRPr="00883125" w:rsidRDefault="00C52695" w:rsidP="00C52695">
      <w:pPr>
        <w:pStyle w:val="AERbodytextcentre"/>
      </w:pPr>
      <w:r w:rsidRPr="00883125">
        <w:t>Post Tax return = P</w:t>
      </w:r>
      <w:r w:rsidRPr="00883125">
        <w:rPr>
          <w:rStyle w:val="AERsubscript"/>
        </w:rPr>
        <w:t>cum-div</w:t>
      </w:r>
      <w:r w:rsidRPr="00883125">
        <w:t xml:space="preserve"> - Personal Tax (CGT)</w:t>
      </w:r>
    </w:p>
    <w:p w:rsidR="00C52695" w:rsidRPr="00883125" w:rsidRDefault="00C52695" w:rsidP="00C52695">
      <w:pPr>
        <w:pStyle w:val="AERbodytextcentre"/>
      </w:pPr>
      <w:r w:rsidRPr="00883125">
        <w:t>Personal Tax (CGT) = (P</w:t>
      </w:r>
      <w:r w:rsidRPr="00883125">
        <w:rPr>
          <w:rStyle w:val="AERsubscript"/>
        </w:rPr>
        <w:t xml:space="preserve">cum-div </w:t>
      </w:r>
      <w:r w:rsidRPr="00883125">
        <w:t>- P</w:t>
      </w:r>
      <w:r w:rsidRPr="00883125">
        <w:rPr>
          <w:rStyle w:val="AERsubscript"/>
        </w:rPr>
        <w:t>cost</w:t>
      </w:r>
      <w:r w:rsidRPr="00883125">
        <w:t>) * MTR * CGT</w:t>
      </w:r>
      <w:r w:rsidRPr="00883125">
        <w:rPr>
          <w:rStyle w:val="AERsubscript"/>
        </w:rPr>
        <w:t>discount</w:t>
      </w:r>
    </w:p>
    <w:p w:rsidR="00C52695" w:rsidRPr="00883125" w:rsidRDefault="00C52695" w:rsidP="00C52695">
      <w:pPr>
        <w:pStyle w:val="AERbodytextcentre"/>
      </w:pPr>
      <w:r w:rsidRPr="00883125">
        <w:t>Personal Tax Capital Gain = (20-10) * 0.5 * 0.47</w:t>
      </w:r>
    </w:p>
    <w:p w:rsidR="00C52695" w:rsidRPr="00883125" w:rsidRDefault="00C52695" w:rsidP="00C52695">
      <w:pPr>
        <w:pStyle w:val="AERbodytextcentre"/>
      </w:pPr>
      <w:r w:rsidRPr="00883125">
        <w:t>Personal Tax Capital Gain = 2.35</w:t>
      </w:r>
    </w:p>
    <w:p w:rsidR="00C52695" w:rsidRPr="00883125" w:rsidRDefault="00C52695" w:rsidP="00C52695">
      <w:pPr>
        <w:pStyle w:val="AERbodytextcentre"/>
      </w:pPr>
      <w:r w:rsidRPr="00883125">
        <w:t>Post Tax return = 20 - 2.35 = 17.65</w:t>
      </w:r>
    </w:p>
    <w:p w:rsidR="00C52695" w:rsidRPr="00883125" w:rsidRDefault="00C52695" w:rsidP="00C52695"/>
    <w:p w:rsidR="00C52695" w:rsidRPr="00883125" w:rsidRDefault="00C52695" w:rsidP="00C52695">
      <w:r w:rsidRPr="00883125">
        <w:t>The investors post personal tax return if they sell ex-dividend is:</w:t>
      </w:r>
    </w:p>
    <w:p w:rsidR="00C52695" w:rsidRPr="00883125" w:rsidRDefault="00C52695" w:rsidP="00C52695"/>
    <w:p w:rsidR="00C52695" w:rsidRPr="00883125" w:rsidRDefault="00C52695" w:rsidP="00C52695">
      <w:pPr>
        <w:pStyle w:val="AERbodytextcentre"/>
      </w:pPr>
      <w:r w:rsidRPr="00883125">
        <w:t>Post Tax return = P</w:t>
      </w:r>
      <w:r w:rsidRPr="00883125">
        <w:rPr>
          <w:rStyle w:val="AERsubscript"/>
        </w:rPr>
        <w:t>ex-div</w:t>
      </w:r>
      <w:r w:rsidRPr="00883125">
        <w:t xml:space="preserve"> + D - Personal Tax (CGT) - Personal Tax (Dividend)</w:t>
      </w:r>
    </w:p>
    <w:p w:rsidR="00C52695" w:rsidRPr="00883125" w:rsidRDefault="00C52695" w:rsidP="00C52695">
      <w:pPr>
        <w:pStyle w:val="AERbodytextcentre"/>
      </w:pPr>
      <w:r w:rsidRPr="00883125">
        <w:t>Personal Tax (CGT) = (19-10) * 0.5 * 0.47 = 2.115</w:t>
      </w:r>
    </w:p>
    <w:p w:rsidR="00C52695" w:rsidRPr="00883125" w:rsidRDefault="00C52695" w:rsidP="00C52695">
      <w:pPr>
        <w:pStyle w:val="AERbodytextcentre"/>
      </w:pPr>
      <w:r w:rsidRPr="00883125">
        <w:t>Personal Tax (Dividend) = 1 * 0.47 = 0.47</w:t>
      </w:r>
    </w:p>
    <w:p w:rsidR="00C52695" w:rsidRPr="00883125" w:rsidRDefault="00C52695" w:rsidP="00C52695">
      <w:pPr>
        <w:pStyle w:val="AERbodytextcentre"/>
      </w:pPr>
      <w:r w:rsidRPr="00883125">
        <w:t>Total Tax = 2.115 + 0.47 = 2.585</w:t>
      </w:r>
    </w:p>
    <w:p w:rsidR="00C52695" w:rsidRPr="00883125" w:rsidRDefault="00C52695" w:rsidP="00C52695">
      <w:pPr>
        <w:pStyle w:val="AERbodytextcentre"/>
      </w:pPr>
      <w:r w:rsidRPr="00883125">
        <w:t>Post Tax return = P</w:t>
      </w:r>
      <w:r w:rsidRPr="00883125">
        <w:rPr>
          <w:rStyle w:val="AERsubscript"/>
        </w:rPr>
        <w:t>ex-div</w:t>
      </w:r>
      <w:r w:rsidRPr="00883125">
        <w:t xml:space="preserve"> + D - Personal Tax (CGT) - Personal Tax (Dividend)</w:t>
      </w:r>
    </w:p>
    <w:p w:rsidR="00C52695" w:rsidRPr="00883125" w:rsidRDefault="00C52695" w:rsidP="00C52695">
      <w:pPr>
        <w:pStyle w:val="AERbodytextcentre"/>
      </w:pPr>
      <w:r w:rsidRPr="00883125">
        <w:t>Post Tax return = 19 + 1 - 2.115 - 0.47 = 17.415</w:t>
      </w:r>
    </w:p>
    <w:p w:rsidR="00C52695" w:rsidRPr="00883125" w:rsidRDefault="00C52695" w:rsidP="00C52695"/>
    <w:p w:rsidR="00C52695" w:rsidRPr="00B27BE5" w:rsidRDefault="00C52695" w:rsidP="00C52695">
      <w:r w:rsidRPr="00883125">
        <w:t xml:space="preserve">As is evident on a post personal tax basis the investor is better off </w:t>
      </w:r>
      <w:r w:rsidRPr="00B27BE5">
        <w:t xml:space="preserve">by selling cum-dividend ($17.65) in contrast to selling ex-dividend ($17.415). Such a situation cannot exist in practice as arbitrage opportunities would exist. These arbitrage opportunities would increase </w:t>
      </w:r>
      <w:r>
        <w:t>supply</w:t>
      </w:r>
      <w:r w:rsidRPr="00B27BE5">
        <w:t xml:space="preserve"> for cum-dividend pushing </w:t>
      </w:r>
      <w:r>
        <w:t>down</w:t>
      </w:r>
      <w:r w:rsidRPr="00B27BE5">
        <w:t xml:space="preserve"> the cum-dividend price and increased </w:t>
      </w:r>
      <w:r>
        <w:t>demand for</w:t>
      </w:r>
      <w:r w:rsidRPr="00B27BE5">
        <w:t xml:space="preserve"> ex-dividend would push the ex-dividend price </w:t>
      </w:r>
      <w:r>
        <w:t>up</w:t>
      </w:r>
      <w:r w:rsidRPr="00B27BE5">
        <w:t>.</w:t>
      </w:r>
    </w:p>
    <w:p w:rsidR="00C52695" w:rsidRPr="00B27BE5" w:rsidRDefault="00C52695" w:rsidP="00C52695">
      <w:r w:rsidRPr="00883125">
        <w:t>For</w:t>
      </w:r>
      <w:r w:rsidRPr="00B27BE5">
        <w:t xml:space="preserve"> no arbitrage opportunities to exist the post personal tax return must be the same cum dividend and ex-dividend</w:t>
      </w:r>
      <w:r>
        <w:t>,</w:t>
      </w:r>
      <w:r w:rsidRPr="00B27BE5">
        <w:t xml:space="preserve"> ignoring market volatility between cum-dividend price and ex-dividend price</w:t>
      </w:r>
      <w:r>
        <w:t xml:space="preserve"> for simplicity</w:t>
      </w:r>
      <w:r w:rsidRPr="00B27BE5">
        <w:t>. Therefore:</w:t>
      </w:r>
    </w:p>
    <w:p w:rsidR="00C52695" w:rsidRPr="00883125" w:rsidRDefault="00C52695" w:rsidP="00C52695"/>
    <w:p w:rsidR="00C52695" w:rsidRPr="00883125" w:rsidRDefault="00C52695" w:rsidP="00C52695">
      <w:pPr>
        <w:pStyle w:val="AERbodytextcentre"/>
      </w:pPr>
      <w:r w:rsidRPr="00883125">
        <w:t>Post Tax return cum div = Post Tax return ex div</w:t>
      </w:r>
    </w:p>
    <w:p w:rsidR="00C52695" w:rsidRPr="00883125" w:rsidRDefault="00C52695" w:rsidP="00C52695">
      <w:pPr>
        <w:pStyle w:val="AERbodytextcentre"/>
      </w:pPr>
      <w:r w:rsidRPr="00883125">
        <w:t>P</w:t>
      </w:r>
      <w:r w:rsidRPr="00883125">
        <w:rPr>
          <w:rStyle w:val="AERsubscript"/>
        </w:rPr>
        <w:t>cum-div</w:t>
      </w:r>
      <w:r w:rsidRPr="00883125">
        <w:t xml:space="preserve"> - Personal Tax (CGT) = P</w:t>
      </w:r>
      <w:r w:rsidRPr="00883125">
        <w:rPr>
          <w:rStyle w:val="AERsubscript"/>
        </w:rPr>
        <w:t>ex-div</w:t>
      </w:r>
      <w:r w:rsidRPr="00883125">
        <w:t xml:space="preserve"> + D - Personal Tax (CGT) - Personal Tax (Dividend)</w:t>
      </w:r>
    </w:p>
    <w:p w:rsidR="00C52695" w:rsidRPr="00883125" w:rsidRDefault="00C52695" w:rsidP="00C52695">
      <w:pPr>
        <w:pStyle w:val="AERbodytextcentre"/>
      </w:pPr>
      <w:r w:rsidRPr="00883125">
        <w:t>P</w:t>
      </w:r>
      <w:r w:rsidRPr="00883125">
        <w:rPr>
          <w:rStyle w:val="AERsubscript"/>
        </w:rPr>
        <w:t>cum-div</w:t>
      </w:r>
      <w:r w:rsidRPr="00883125">
        <w:t xml:space="preserve"> - (P</w:t>
      </w:r>
      <w:r w:rsidRPr="00883125">
        <w:rPr>
          <w:rStyle w:val="AERsubscript"/>
        </w:rPr>
        <w:t>cum-div</w:t>
      </w:r>
      <w:r w:rsidRPr="00883125">
        <w:t xml:space="preserve"> - P</w:t>
      </w:r>
      <w:r w:rsidRPr="00883125">
        <w:rPr>
          <w:rStyle w:val="AERsubscript"/>
        </w:rPr>
        <w:t>cost</w:t>
      </w:r>
      <w:r w:rsidRPr="00883125">
        <w:t>)* CGT</w:t>
      </w:r>
      <w:r w:rsidRPr="00883125">
        <w:rPr>
          <w:rStyle w:val="AERsubscript"/>
        </w:rPr>
        <w:t>discount</w:t>
      </w:r>
      <w:r w:rsidRPr="00883125">
        <w:t>*MTR = P</w:t>
      </w:r>
      <w:r w:rsidRPr="00883125">
        <w:rPr>
          <w:rStyle w:val="AERsubscript"/>
        </w:rPr>
        <w:t>ex-div</w:t>
      </w:r>
      <w:r w:rsidRPr="00883125">
        <w:t xml:space="preserve"> + D - (P</w:t>
      </w:r>
      <w:r w:rsidRPr="00883125">
        <w:rPr>
          <w:rStyle w:val="AERsubscript"/>
        </w:rPr>
        <w:t>ex-div</w:t>
      </w:r>
      <w:r w:rsidRPr="00883125">
        <w:t xml:space="preserve"> - P</w:t>
      </w:r>
      <w:r w:rsidRPr="00883125">
        <w:rPr>
          <w:rStyle w:val="AERsubscript"/>
        </w:rPr>
        <w:t>cost</w:t>
      </w:r>
      <w:r w:rsidRPr="00883125">
        <w:t>)* CGT</w:t>
      </w:r>
      <w:r w:rsidRPr="00883125">
        <w:rPr>
          <w:rStyle w:val="AERsubscript"/>
        </w:rPr>
        <w:t>discount</w:t>
      </w:r>
      <w:r w:rsidRPr="00883125">
        <w:t>*MTR - D*MTR</w:t>
      </w:r>
    </w:p>
    <w:p w:rsidR="00C52695" w:rsidRPr="00883125" w:rsidRDefault="00C52695" w:rsidP="00C52695">
      <w:pPr>
        <w:pStyle w:val="AERbodytextcentre"/>
      </w:pPr>
      <w:r w:rsidRPr="00883125">
        <w:t>This is the equilibrium condition.</w:t>
      </w:r>
    </w:p>
    <w:p w:rsidR="00C52695" w:rsidRPr="00883125" w:rsidRDefault="00C52695" w:rsidP="00C52695"/>
    <w:p w:rsidR="00C52695" w:rsidRPr="00B27BE5" w:rsidRDefault="00C52695" w:rsidP="00C52695">
      <w:r w:rsidRPr="00883125">
        <w:t>Let: P</w:t>
      </w:r>
      <w:r w:rsidRPr="00B27BE5">
        <w:rPr>
          <w:rStyle w:val="AERsubscript"/>
        </w:rPr>
        <w:t xml:space="preserve">ex-div </w:t>
      </w:r>
      <w:r w:rsidRPr="00B27BE5">
        <w:t>= P</w:t>
      </w:r>
      <w:r w:rsidRPr="00B27BE5">
        <w:rPr>
          <w:rStyle w:val="AERsubscript"/>
        </w:rPr>
        <w:t>cum-div</w:t>
      </w:r>
      <w:r w:rsidRPr="00B27BE5">
        <w:t xml:space="preserve"> - xD where x is the market value of dividends implied by the dividend drop off studies. </w:t>
      </w:r>
      <w:r>
        <w:t xml:space="preserve">In this example, x is the dividend drop off ratio. </w:t>
      </w:r>
      <w:r w:rsidRPr="00B27BE5">
        <w:t xml:space="preserve">Also </w:t>
      </w:r>
      <w:r>
        <w:t xml:space="preserve">for simplicity, </w:t>
      </w:r>
      <w:r w:rsidRPr="00B27BE5">
        <w:t xml:space="preserve">assume the arbitrage opportunities only influence the ex-dividend price and not the cum-dividend price. With this assumption the equilibrium condition </w:t>
      </w:r>
      <w:r>
        <w:t>is</w:t>
      </w:r>
      <w:r w:rsidRPr="00B27BE5">
        <w:t xml:space="preserve"> as:</w:t>
      </w:r>
    </w:p>
    <w:p w:rsidR="00C52695" w:rsidRPr="00883125" w:rsidRDefault="00C52695" w:rsidP="00C52695"/>
    <w:p w:rsidR="00C52695" w:rsidRPr="00883125" w:rsidRDefault="00C52695" w:rsidP="00C52695">
      <w:pPr>
        <w:pStyle w:val="AERbodytextcentre"/>
      </w:pPr>
      <w:r w:rsidRPr="00883125">
        <w:t>P</w:t>
      </w:r>
      <w:r w:rsidRPr="00883125">
        <w:rPr>
          <w:rStyle w:val="AERsubscript"/>
        </w:rPr>
        <w:t>cum-div</w:t>
      </w:r>
      <w:r w:rsidRPr="00883125">
        <w:t xml:space="preserve"> - (P</w:t>
      </w:r>
      <w:r w:rsidRPr="00883125">
        <w:rPr>
          <w:rStyle w:val="AERsubscript"/>
        </w:rPr>
        <w:t>cum-div</w:t>
      </w:r>
      <w:r w:rsidRPr="00883125">
        <w:t xml:space="preserve"> - P</w:t>
      </w:r>
      <w:r w:rsidRPr="00883125">
        <w:rPr>
          <w:rStyle w:val="AERsubscript"/>
        </w:rPr>
        <w:t>cost</w:t>
      </w:r>
      <w:r w:rsidRPr="00883125">
        <w:t>)* CGT</w:t>
      </w:r>
      <w:r w:rsidRPr="00883125">
        <w:rPr>
          <w:rStyle w:val="AERsubscript"/>
        </w:rPr>
        <w:t>discount</w:t>
      </w:r>
      <w:r w:rsidRPr="00883125">
        <w:t>*MTR = P</w:t>
      </w:r>
      <w:r w:rsidRPr="00883125">
        <w:rPr>
          <w:rStyle w:val="AERsubscript"/>
        </w:rPr>
        <w:t>cum-div</w:t>
      </w:r>
      <w:r w:rsidRPr="00883125">
        <w:t xml:space="preserve"> - xD + D - (P</w:t>
      </w:r>
      <w:r w:rsidRPr="00883125">
        <w:rPr>
          <w:rStyle w:val="AERsubscript"/>
        </w:rPr>
        <w:t>cum-div</w:t>
      </w:r>
      <w:r w:rsidRPr="00883125">
        <w:t xml:space="preserve"> - xD - P</w:t>
      </w:r>
      <w:r w:rsidRPr="00883125">
        <w:rPr>
          <w:rStyle w:val="AERsubscript"/>
        </w:rPr>
        <w:t>cost</w:t>
      </w:r>
      <w:r w:rsidRPr="00883125">
        <w:t>)* CGT</w:t>
      </w:r>
      <w:r w:rsidRPr="00883125">
        <w:rPr>
          <w:rStyle w:val="AERsubscript"/>
        </w:rPr>
        <w:t>discount</w:t>
      </w:r>
      <w:r w:rsidRPr="00883125">
        <w:t>*MTR - D*MTR</w:t>
      </w:r>
    </w:p>
    <w:p w:rsidR="00C52695" w:rsidRPr="00883125" w:rsidRDefault="00C52695" w:rsidP="00C52695"/>
    <w:p w:rsidR="00C52695" w:rsidRPr="00B27BE5" w:rsidRDefault="00C52695" w:rsidP="00A3116F">
      <w:r w:rsidRPr="00883125">
        <w:t>S</w:t>
      </w:r>
      <w:r w:rsidRPr="00B27BE5">
        <w:t>ubstituting in all the parameters into the formula and solving for D we get the following:</w:t>
      </w:r>
    </w:p>
    <w:p w:rsidR="00C52695" w:rsidRPr="00883125" w:rsidRDefault="00C52695" w:rsidP="00C52695"/>
    <w:p w:rsidR="00C52695" w:rsidRPr="00883125" w:rsidRDefault="00C52695" w:rsidP="00C52695">
      <w:pPr>
        <w:pStyle w:val="AERbodytextcentre"/>
      </w:pPr>
      <w:r w:rsidRPr="00883125">
        <w:t>20 - (20 - 10)* 0.5*0.47 = 20 - x + 1 - (20 - x - 10) * 0.5 * 0.47 - 0.47</w:t>
      </w:r>
    </w:p>
    <w:p w:rsidR="00C52695" w:rsidRPr="00883125" w:rsidRDefault="00C52695" w:rsidP="00C52695">
      <w:pPr>
        <w:pStyle w:val="AERbodytextcentre"/>
      </w:pPr>
      <w:r w:rsidRPr="00883125">
        <w:t xml:space="preserve">17.65 = 21 - x - (10 - x) * 0.235 - 0.47 </w:t>
      </w:r>
    </w:p>
    <w:p w:rsidR="00C52695" w:rsidRPr="00883125" w:rsidRDefault="00C52695" w:rsidP="00C52695">
      <w:pPr>
        <w:pStyle w:val="AERbodytextcentre"/>
      </w:pPr>
      <w:r w:rsidRPr="00883125">
        <w:t>X = 0.6928</w:t>
      </w:r>
    </w:p>
    <w:p w:rsidR="00C52695" w:rsidRPr="00883125" w:rsidRDefault="00C52695" w:rsidP="00C52695"/>
    <w:p w:rsidR="00C52695" w:rsidRPr="00883125" w:rsidRDefault="00C52695" w:rsidP="00C52695">
      <w:r w:rsidRPr="00883125">
        <w:t>As a result, for arbitrage opportunities to not exist the dollar face value dividend must be worth 69 cents in the dividend drop off study. In such a situation the following market prices will persist in the market:</w:t>
      </w:r>
    </w:p>
    <w:p w:rsidR="00C52695" w:rsidRPr="00883125" w:rsidRDefault="00C52695" w:rsidP="00C52695"/>
    <w:p w:rsidR="00C52695" w:rsidRPr="00883125" w:rsidRDefault="00C52695" w:rsidP="00D414CC">
      <w:pPr>
        <w:pStyle w:val="AERbulletlistfirststyle"/>
      </w:pPr>
      <w:r w:rsidRPr="00883125">
        <w:t>P</w:t>
      </w:r>
      <w:r w:rsidRPr="00883125">
        <w:rPr>
          <w:rStyle w:val="AERsubscript"/>
        </w:rPr>
        <w:t>cum-div</w:t>
      </w:r>
      <w:r w:rsidRPr="00883125">
        <w:t>: $20</w:t>
      </w:r>
    </w:p>
    <w:p w:rsidR="00C52695" w:rsidRPr="00883125" w:rsidRDefault="00C52695" w:rsidP="00D414CC">
      <w:pPr>
        <w:pStyle w:val="AERbulletlistfirststyle"/>
      </w:pPr>
      <w:r w:rsidRPr="00883125">
        <w:t>D: Face value = $1, as per dividend drop off $0.6928</w:t>
      </w:r>
    </w:p>
    <w:p w:rsidR="00C52695" w:rsidRPr="00883125" w:rsidRDefault="00C52695" w:rsidP="00D414CC">
      <w:pPr>
        <w:pStyle w:val="AERbulletlistfirststyle"/>
      </w:pPr>
      <w:r w:rsidRPr="00883125">
        <w:t>P</w:t>
      </w:r>
      <w:r w:rsidRPr="00883125">
        <w:rPr>
          <w:rStyle w:val="AERsubscript"/>
        </w:rPr>
        <w:t>ex-div</w:t>
      </w:r>
      <w:r w:rsidRPr="00883125">
        <w:t>: $19.3072</w:t>
      </w:r>
      <w:r w:rsidRPr="00883125">
        <w:rPr>
          <w:rStyle w:val="FootnoteReference"/>
        </w:rPr>
        <w:footnoteReference w:id="814"/>
      </w:r>
    </w:p>
    <w:p w:rsidR="00C52695" w:rsidRPr="00883125" w:rsidRDefault="00C52695" w:rsidP="00FE3642">
      <w:pPr>
        <w:pStyle w:val="AERbulletlistfirststyle"/>
        <w:numPr>
          <w:ilvl w:val="0"/>
          <w:numId w:val="0"/>
        </w:numPr>
      </w:pPr>
    </w:p>
    <w:p w:rsidR="00C52695" w:rsidRPr="00883125" w:rsidRDefault="00C52695" w:rsidP="00C52695">
      <w:r w:rsidRPr="00883125">
        <w:t>With these arbitrage free market parameters the investors post personal tax return is as follows:</w:t>
      </w:r>
    </w:p>
    <w:p w:rsidR="00C52695" w:rsidRPr="00883125" w:rsidRDefault="00C52695" w:rsidP="00C52695"/>
    <w:p w:rsidR="00C52695" w:rsidRPr="00883125" w:rsidRDefault="00C52695" w:rsidP="00C52695">
      <w:pPr>
        <w:pStyle w:val="AERbodytextcentre"/>
      </w:pPr>
      <w:r w:rsidRPr="00883125">
        <w:t>Post Tax return cum div = P</w:t>
      </w:r>
      <w:r w:rsidRPr="00883125">
        <w:rPr>
          <w:rStyle w:val="AERsubscript"/>
        </w:rPr>
        <w:t>cum-div</w:t>
      </w:r>
      <w:r w:rsidRPr="00883125">
        <w:t xml:space="preserve"> - Personal Tax (CGT)</w:t>
      </w:r>
    </w:p>
    <w:p w:rsidR="00C52695" w:rsidRPr="00883125" w:rsidRDefault="00C52695" w:rsidP="00C52695">
      <w:pPr>
        <w:pStyle w:val="AERbodytextcentre"/>
      </w:pPr>
      <w:r w:rsidRPr="00883125">
        <w:t>Post Tax return cum div = 20 - 0.5 * 0.47 * (20-10)</w:t>
      </w:r>
    </w:p>
    <w:p w:rsidR="00C52695" w:rsidRPr="00AC2168" w:rsidRDefault="00C52695" w:rsidP="00C52695">
      <w:pPr>
        <w:pStyle w:val="AERbodytextcentre"/>
      </w:pPr>
      <w:r w:rsidRPr="00AC2168">
        <w:t>Post Tax return cum div = 20 - 2.35 = 17.65</w:t>
      </w:r>
    </w:p>
    <w:p w:rsidR="00C52695" w:rsidRPr="00883125" w:rsidRDefault="00C52695" w:rsidP="00C52695"/>
    <w:p w:rsidR="00C52695" w:rsidRPr="00883125" w:rsidRDefault="00C52695" w:rsidP="00C52695">
      <w:pPr>
        <w:pStyle w:val="AERbodytextcentre"/>
      </w:pPr>
      <w:r w:rsidRPr="00883125">
        <w:t>Post Tax return ex div = P</w:t>
      </w:r>
      <w:r w:rsidRPr="00883125">
        <w:rPr>
          <w:rStyle w:val="AERsubscript"/>
        </w:rPr>
        <w:t>ex-div</w:t>
      </w:r>
      <w:r w:rsidRPr="00883125">
        <w:t xml:space="preserve"> + D - Personal Tax (CGT) - Personal Tax (Dividend)</w:t>
      </w:r>
    </w:p>
    <w:p w:rsidR="00C52695" w:rsidRPr="00883125" w:rsidRDefault="00C52695" w:rsidP="00C52695">
      <w:pPr>
        <w:pStyle w:val="AERbodytextcentre"/>
      </w:pPr>
      <w:r w:rsidRPr="00883125">
        <w:t>Post Tax return ex div = 19.3072 + 1 - ((19.3072 - 10)*0.47*0.5) - 1*0.47</w:t>
      </w:r>
    </w:p>
    <w:p w:rsidR="00C52695" w:rsidRPr="00883125" w:rsidRDefault="00C52695" w:rsidP="00C52695">
      <w:pPr>
        <w:pStyle w:val="AERbodytextcentre"/>
      </w:pPr>
      <w:r w:rsidRPr="00883125">
        <w:t xml:space="preserve">Post Tax return ex div = </w:t>
      </w:r>
      <w:r w:rsidRPr="00AC2168">
        <w:t>17.65</w:t>
      </w:r>
    </w:p>
    <w:p w:rsidR="00C52695" w:rsidRPr="00883125" w:rsidRDefault="00C52695" w:rsidP="00C52695">
      <w:pPr>
        <w:rPr>
          <w:rStyle w:val="AERbody"/>
        </w:rPr>
      </w:pPr>
    </w:p>
    <w:p w:rsidR="00C52695" w:rsidRPr="00CB38D8" w:rsidRDefault="00C52695" w:rsidP="00C52695">
      <w:pPr>
        <w:rPr>
          <w:rStyle w:val="AERbody"/>
        </w:rPr>
      </w:pPr>
      <w:r w:rsidRPr="00CB38D8">
        <w:rPr>
          <w:rStyle w:val="AERbody"/>
        </w:rPr>
        <w:t>As evident from above, the post-personal tax return cum dividend is equal to the post-personal tax return ex dividend. I.e. no arbitrage opportunities exist and the investor is indifferent between selling their share the day before they are entitled to receive the dividend and the next day when they are entitled to the dividend. This is ignoring the market volatility that may exist between the cum-div price and the ex-div price.</w:t>
      </w:r>
    </w:p>
    <w:p w:rsidR="00C52695" w:rsidRPr="00CB38D8" w:rsidRDefault="00C52695" w:rsidP="00C52695">
      <w:pPr>
        <w:rPr>
          <w:rStyle w:val="AERbody"/>
        </w:rPr>
      </w:pPr>
      <w:r w:rsidRPr="00CB38D8">
        <w:rPr>
          <w:rStyle w:val="AERbody"/>
        </w:rPr>
        <w:t>As a result, the investor's pre-personal tax return is:</w:t>
      </w:r>
    </w:p>
    <w:p w:rsidR="00C52695" w:rsidRPr="00B27BE5" w:rsidRDefault="00C52695" w:rsidP="00D414CC">
      <w:pPr>
        <w:pStyle w:val="AERbulletlistfirststyle"/>
        <w:rPr>
          <w:rStyle w:val="AERbody"/>
        </w:rPr>
      </w:pPr>
      <w:r w:rsidRPr="00883125">
        <w:rPr>
          <w:rStyle w:val="AERbody"/>
        </w:rPr>
        <w:t>$20 if they sold on the cum-dividend date</w:t>
      </w:r>
    </w:p>
    <w:p w:rsidR="00C52695" w:rsidRPr="00B27BE5" w:rsidRDefault="00C52695" w:rsidP="00D414CC">
      <w:pPr>
        <w:pStyle w:val="AERbulletlistfirststyle"/>
        <w:rPr>
          <w:rStyle w:val="AERbody"/>
        </w:rPr>
      </w:pPr>
      <w:r w:rsidRPr="00883125">
        <w:rPr>
          <w:rStyle w:val="AERbody"/>
        </w:rPr>
        <w:t xml:space="preserve">$20.3072 </w:t>
      </w:r>
      <w:r w:rsidRPr="00B27BE5">
        <w:rPr>
          <w:rStyle w:val="AERbody"/>
        </w:rPr>
        <w:t>($19.3072 + $1) if they sold on the ex-dividend date</w:t>
      </w:r>
      <w:r w:rsidR="00E37CE4">
        <w:rPr>
          <w:rStyle w:val="AERbody"/>
        </w:rPr>
        <w:t>.</w:t>
      </w:r>
    </w:p>
    <w:p w:rsidR="00C52695" w:rsidRPr="00883125" w:rsidRDefault="00C52695" w:rsidP="00C52695">
      <w:pPr>
        <w:rPr>
          <w:rStyle w:val="AERbody"/>
        </w:rPr>
      </w:pPr>
      <w:r w:rsidRPr="00883125">
        <w:rPr>
          <w:rStyle w:val="AERbody"/>
        </w:rPr>
        <w:t>The investor's post-personal tax return is:</w:t>
      </w:r>
    </w:p>
    <w:p w:rsidR="00C52695" w:rsidRPr="00883125" w:rsidRDefault="00C52695" w:rsidP="00D414CC">
      <w:pPr>
        <w:pStyle w:val="AERbulletlistfirststyle"/>
        <w:rPr>
          <w:rStyle w:val="AERbody"/>
        </w:rPr>
      </w:pPr>
      <w:r w:rsidRPr="00883125">
        <w:rPr>
          <w:rStyle w:val="AERbody"/>
        </w:rPr>
        <w:t>$17.65 ($20 - $2.35) if they sold on the cum-dividend date</w:t>
      </w:r>
    </w:p>
    <w:p w:rsidR="00C52695" w:rsidRPr="00883125" w:rsidRDefault="00C52695" w:rsidP="00D414CC">
      <w:pPr>
        <w:pStyle w:val="AERbulletlistfirststyle"/>
        <w:rPr>
          <w:rStyle w:val="AERbody"/>
        </w:rPr>
      </w:pPr>
      <w:r w:rsidRPr="00883125">
        <w:rPr>
          <w:rStyle w:val="AERbody"/>
        </w:rPr>
        <w:t>$17.65 ($20.3072 - $2.6572) if they sold on the ex-dividend date</w:t>
      </w:r>
      <w:r w:rsidR="00E37CE4">
        <w:rPr>
          <w:rStyle w:val="AERbody"/>
        </w:rPr>
        <w:t>.</w:t>
      </w:r>
    </w:p>
    <w:p w:rsidR="00C52695" w:rsidRPr="00883125" w:rsidRDefault="00C52695" w:rsidP="00C52695">
      <w:r w:rsidRPr="00883125">
        <w:rPr>
          <w:rStyle w:val="AERbody"/>
        </w:rPr>
        <w:t xml:space="preserve">On a pre-personal tax basis, the investor values the dividend at $1. On a post-personal tax basis, the investor values the dividend at $0.53 ($1 - </w:t>
      </w:r>
      <w:r>
        <w:rPr>
          <w:rStyle w:val="AERbody"/>
        </w:rPr>
        <w:t>$</w:t>
      </w:r>
      <w:r w:rsidRPr="00883125">
        <w:rPr>
          <w:rStyle w:val="AERbody"/>
        </w:rPr>
        <w:t>1*0.47). The $0.</w:t>
      </w:r>
      <w:r w:rsidRPr="00883125">
        <w:t>6928 dividend value that is derived from dividend drop off studies is neither a pre-personal or post-personal value of the dividend. It is the difference between the cum-dividend and ex-dividend price, which is determined by the face value of the dividend and the relative difference in in the tax level on ordinary income (of which dividends are classed) and on capital gains. It is driven by investor's preference for capital gains over dividend income, as capital gains are taxed at a concessional rate relative to dividends assuming the shares are held for more than 12 months.</w:t>
      </w:r>
    </w:p>
    <w:p w:rsidR="00C52695" w:rsidRPr="00883125" w:rsidRDefault="00C52695" w:rsidP="00C52695">
      <w:r w:rsidRPr="00883125">
        <w:t xml:space="preserve">As will be shown below, only when dividends and capital gains are taxed at the same rate will the dividend drop off studies yield a value of the dividend on a correct pre-personal tax basis (i.e. not impacted by differential personal taxes on dividends and capital gains). </w:t>
      </w:r>
      <w:r w:rsidR="00AD7E20">
        <w:t>This supported by Lally.</w:t>
      </w:r>
      <w:r w:rsidR="00AD7E20">
        <w:rPr>
          <w:rStyle w:val="FootnoteReference"/>
        </w:rPr>
        <w:footnoteReference w:id="815"/>
      </w:r>
    </w:p>
    <w:p w:rsidR="00C52695" w:rsidRPr="00883125" w:rsidRDefault="00C52695" w:rsidP="00C52695">
      <w:pPr>
        <w:rPr>
          <w:rStyle w:val="AERbody"/>
        </w:rPr>
      </w:pPr>
      <w:r w:rsidRPr="00883125">
        <w:t xml:space="preserve">For regulatory purposes what matters is the investor's pre-personal tax value of dividends which is $1, which is equal to the cost of the dividend imposed on the firm (i.e. the post company tax cost). The AER uses the full face value of dividends in its estimation of the MRP (i.e. it assumes $1 of distributed dividend income has a post company tax value of $1 to investors). The AER does not use the </w:t>
      </w:r>
      <w:r>
        <w:t xml:space="preserve">market </w:t>
      </w:r>
      <w:r w:rsidRPr="00883125">
        <w:t>value of dividends from dividend drop off studies to estimate the MRP. To do so would be incorrect given this value is influenced by differential personal taxes on dividends and capital gains.</w:t>
      </w:r>
      <w:r w:rsidRPr="00883125">
        <w:rPr>
          <w:rStyle w:val="FootnoteReference"/>
        </w:rPr>
        <w:footnoteReference w:id="816"/>
      </w:r>
    </w:p>
    <w:p w:rsidR="00C52695" w:rsidRPr="00883125" w:rsidRDefault="00C52695" w:rsidP="00C52695">
      <w:pPr>
        <w:rPr>
          <w:rStyle w:val="AERbody"/>
        </w:rPr>
      </w:pPr>
      <w:r w:rsidRPr="00883125">
        <w:rPr>
          <w:rStyle w:val="AERbody"/>
        </w:rPr>
        <w:t>Earlier an assumption was made that the investor's tax rate was 47 per cent and that investor purchased the</w:t>
      </w:r>
      <w:r>
        <w:rPr>
          <w:rStyle w:val="AERbody"/>
        </w:rPr>
        <w:t xml:space="preserve"> share</w:t>
      </w:r>
      <w:r w:rsidRPr="00883125">
        <w:rPr>
          <w:rStyle w:val="AERbody"/>
        </w:rPr>
        <w:t xml:space="preserve"> more than 12 months ago which allowed them to receive a 50 per cent discount on capital gains tax. We will now relax these assumptions and see how it changes the market value of the dividends in the dividend drop off study. As shown above, for post personal tax return to be equal </w:t>
      </w:r>
      <w:r>
        <w:rPr>
          <w:rStyle w:val="AERbody"/>
        </w:rPr>
        <w:t xml:space="preserve">between </w:t>
      </w:r>
      <w:r w:rsidRPr="00883125">
        <w:rPr>
          <w:rStyle w:val="AERbody"/>
        </w:rPr>
        <w:t>cum-dividend and ex-dividend the following condition must hold:</w:t>
      </w:r>
    </w:p>
    <w:p w:rsidR="00C52695" w:rsidRPr="00883125" w:rsidRDefault="00C52695" w:rsidP="00C52695">
      <w:pPr>
        <w:rPr>
          <w:rStyle w:val="AERbody"/>
        </w:rPr>
      </w:pPr>
    </w:p>
    <w:p w:rsidR="00C52695" w:rsidRPr="00883125" w:rsidRDefault="00C52695" w:rsidP="00C52695">
      <w:pPr>
        <w:pStyle w:val="AERbodytextcentre"/>
      </w:pPr>
      <w:r w:rsidRPr="00883125">
        <w:t>P</w:t>
      </w:r>
      <w:r w:rsidRPr="00883125">
        <w:rPr>
          <w:rStyle w:val="AERsubscript"/>
        </w:rPr>
        <w:t>cum-div</w:t>
      </w:r>
      <w:r w:rsidRPr="00883125">
        <w:t xml:space="preserve"> - (P</w:t>
      </w:r>
      <w:r w:rsidRPr="00883125">
        <w:rPr>
          <w:rStyle w:val="AERsubscript"/>
        </w:rPr>
        <w:t>cum-div</w:t>
      </w:r>
      <w:r w:rsidRPr="00883125">
        <w:t xml:space="preserve"> - P</w:t>
      </w:r>
      <w:r w:rsidRPr="00883125">
        <w:rPr>
          <w:rStyle w:val="AERsubscript"/>
        </w:rPr>
        <w:t>cost</w:t>
      </w:r>
      <w:r w:rsidRPr="00883125">
        <w:t>)* CGT</w:t>
      </w:r>
      <w:r w:rsidRPr="00883125">
        <w:rPr>
          <w:rStyle w:val="AERsubscript"/>
        </w:rPr>
        <w:t>discount</w:t>
      </w:r>
      <w:r w:rsidRPr="00883125">
        <w:t>*MTR = P</w:t>
      </w:r>
      <w:r w:rsidRPr="00883125">
        <w:rPr>
          <w:rStyle w:val="AERsubscript"/>
        </w:rPr>
        <w:t>cum-div</w:t>
      </w:r>
      <w:r w:rsidRPr="00883125">
        <w:t xml:space="preserve"> - xD + D - (P</w:t>
      </w:r>
      <w:r w:rsidRPr="00883125">
        <w:rPr>
          <w:rStyle w:val="AERsubscript"/>
        </w:rPr>
        <w:t>cum-div</w:t>
      </w:r>
      <w:r w:rsidRPr="00883125">
        <w:t xml:space="preserve"> - xD - P</w:t>
      </w:r>
      <w:r w:rsidRPr="00883125">
        <w:rPr>
          <w:rStyle w:val="AERsubscript"/>
        </w:rPr>
        <w:t>cost</w:t>
      </w:r>
      <w:r w:rsidRPr="00883125">
        <w:t>)* CGT</w:t>
      </w:r>
      <w:r w:rsidRPr="00883125">
        <w:rPr>
          <w:rStyle w:val="AERsubscript"/>
        </w:rPr>
        <w:t>discount</w:t>
      </w:r>
      <w:r w:rsidRPr="00883125">
        <w:t>*MTR - D*MTR</w:t>
      </w:r>
    </w:p>
    <w:p w:rsidR="00C52695" w:rsidRPr="00883125" w:rsidRDefault="00C52695" w:rsidP="00C52695">
      <w:pPr>
        <w:pStyle w:val="AERbodytextcentre"/>
      </w:pPr>
      <w:r w:rsidRPr="00883125">
        <w:t>Solving for X the formula simplifies to:</w:t>
      </w:r>
    </w:p>
    <w:p w:rsidR="00C52695" w:rsidRPr="00B27BE5" w:rsidRDefault="00C52695" w:rsidP="00C52695">
      <w:pPr>
        <w:pStyle w:val="AERbodytextcentre"/>
      </w:pPr>
      <m:oMathPara>
        <m:oMath>
          <m:r>
            <w:rPr>
              <w:rFonts w:ascii="Cambria Math" w:hAnsi="Cambria Math"/>
            </w:rPr>
            <m:t>X=</m:t>
          </m:r>
          <m:f>
            <m:fPr>
              <m:ctrlPr>
                <w:rPr>
                  <w:rFonts w:ascii="Cambria Math" w:hAnsi="Cambria Math"/>
                </w:rPr>
              </m:ctrlPr>
            </m:fPr>
            <m:num>
              <m:r>
                <w:rPr>
                  <w:rFonts w:ascii="Cambria Math" w:hAnsi="Cambria Math"/>
                </w:rPr>
                <m:t>1-MTR</m:t>
              </m:r>
            </m:num>
            <m:den>
              <m:r>
                <w:rPr>
                  <w:rFonts w:ascii="Cambria Math" w:hAnsi="Cambria Math"/>
                </w:rPr>
                <m:t>1-</m:t>
              </m:r>
              <m:sSub>
                <m:sSubPr>
                  <m:ctrlPr>
                    <w:rPr>
                      <w:rFonts w:ascii="Cambria Math" w:hAnsi="Cambria Math"/>
                    </w:rPr>
                  </m:ctrlPr>
                </m:sSubPr>
                <m:e>
                  <m:r>
                    <w:rPr>
                      <w:rFonts w:ascii="Cambria Math" w:hAnsi="Cambria Math"/>
                    </w:rPr>
                    <m:t>CGT</m:t>
                  </m:r>
                </m:e>
                <m:sub>
                  <m:r>
                    <w:rPr>
                      <w:rFonts w:ascii="Cambria Math" w:hAnsi="Cambria Math"/>
                    </w:rPr>
                    <m:t>discount</m:t>
                  </m:r>
                </m:sub>
              </m:sSub>
              <m:r>
                <w:rPr>
                  <w:rFonts w:ascii="Cambria Math" w:hAnsi="Cambria Math"/>
                </w:rPr>
                <m:t>*MTR</m:t>
              </m:r>
            </m:den>
          </m:f>
        </m:oMath>
      </m:oMathPara>
    </w:p>
    <w:p w:rsidR="00C52695" w:rsidRPr="00883125" w:rsidRDefault="00C52695" w:rsidP="00C52695">
      <w:pPr>
        <w:pStyle w:val="AERbodytextcentre"/>
        <w:rPr>
          <w:rStyle w:val="AERbody"/>
        </w:rPr>
      </w:pPr>
    </w:p>
    <w:p w:rsidR="00C52695" w:rsidRPr="00883125" w:rsidRDefault="00C52695" w:rsidP="00C52695">
      <w:pPr>
        <w:rPr>
          <w:rStyle w:val="AERbody"/>
        </w:rPr>
      </w:pPr>
      <w:r w:rsidRPr="00883125">
        <w:rPr>
          <w:rStyle w:val="AERbody"/>
        </w:rPr>
        <w:t>This is consistent with the formula in the Elton and Gruber (1970) paper which defined ex-dividend behaviour as:</w:t>
      </w:r>
      <w:r w:rsidRPr="00883125">
        <w:rPr>
          <w:rStyle w:val="FootnoteReference"/>
        </w:rPr>
        <w:footnoteReference w:id="817"/>
      </w:r>
    </w:p>
    <w:p w:rsidR="00C52695" w:rsidRPr="00883125" w:rsidRDefault="00C52695" w:rsidP="00C52695">
      <w:pPr>
        <w:rPr>
          <w:rStyle w:val="AERbody"/>
        </w:rPr>
      </w:pPr>
    </w:p>
    <w:p w:rsidR="00C52695" w:rsidRPr="00883125" w:rsidRDefault="007E3457" w:rsidP="00C52695">
      <w:pPr>
        <w:rPr>
          <w:rStyle w:val="AERbody"/>
        </w:rPr>
      </w:pPr>
      <m:oMathPara>
        <m:oMath>
          <m:f>
            <m:fPr>
              <m:ctrlPr>
                <w:rPr>
                  <w:rFonts w:ascii="Cambria Math" w:hAnsi="Cambria Math"/>
                </w:rPr>
              </m:ctrlPr>
            </m:fPr>
            <m:num>
              <m:sSub>
                <m:sSubPr>
                  <m:ctrlPr>
                    <w:rPr>
                      <w:rFonts w:ascii="Cambria Math" w:hAnsi="Cambria Math"/>
                    </w:rPr>
                  </m:ctrlPr>
                </m:sSubPr>
                <m:e>
                  <m:r>
                    <m:rPr>
                      <m:sty m:val="p"/>
                    </m:rPr>
                    <w:rPr>
                      <w:rFonts w:ascii="Cambria Math" w:hAnsi="Cambria Math"/>
                    </w:rPr>
                    <m:t>P</m:t>
                  </m:r>
                </m:e>
                <m:sub>
                  <m:r>
                    <m:rPr>
                      <m:sty m:val="p"/>
                    </m:rPr>
                    <w:rPr>
                      <w:rStyle w:val="AERsubscript"/>
                      <w:rFonts w:ascii="Cambria Math" w:hAnsi="Cambria Math"/>
                    </w:rPr>
                    <m:t>cum-div</m:t>
                  </m:r>
                </m:sub>
              </m:sSub>
              <m:r>
                <m:rPr>
                  <m:sty m:val="p"/>
                </m:rPr>
                <w:rPr>
                  <w:rStyle w:val="AERsubscript"/>
                  <w:rFonts w:ascii="Cambria Math" w:hAnsi="Cambria Math"/>
                </w:rPr>
                <m:t xml:space="preserve">- </m:t>
              </m:r>
              <m:sSub>
                <m:sSubPr>
                  <m:ctrlPr>
                    <w:rPr>
                      <w:rFonts w:ascii="Cambria Math" w:hAnsi="Cambria Math"/>
                    </w:rPr>
                  </m:ctrlPr>
                </m:sSubPr>
                <m:e>
                  <m:r>
                    <m:rPr>
                      <m:sty m:val="p"/>
                    </m:rPr>
                    <w:rPr>
                      <w:rFonts w:ascii="Cambria Math" w:hAnsi="Cambria Math"/>
                    </w:rPr>
                    <m:t>P</m:t>
                  </m:r>
                </m:e>
                <m:sub>
                  <m:r>
                    <m:rPr>
                      <m:sty m:val="p"/>
                    </m:rPr>
                    <w:rPr>
                      <w:rStyle w:val="AERsubscript"/>
                      <w:rFonts w:ascii="Cambria Math" w:hAnsi="Cambria Math"/>
                    </w:rPr>
                    <m:t>ex-div</m:t>
                  </m:r>
                </m:sub>
              </m:sSub>
            </m:num>
            <m:den>
              <m:r>
                <w:rPr>
                  <w:rFonts w:ascii="Cambria Math" w:hAnsi="Cambria Math"/>
                </w:rPr>
                <m:t>D</m:t>
              </m:r>
            </m:den>
          </m:f>
          <m:r>
            <w:rPr>
              <w:rFonts w:ascii="Cambria Math" w:hAnsi="Cambria Math"/>
            </w:rPr>
            <m:t>=</m:t>
          </m:r>
          <m:f>
            <m:fPr>
              <m:ctrlPr>
                <w:rPr>
                  <w:rFonts w:ascii="Cambria Math" w:hAnsi="Cambria Math"/>
                </w:rPr>
              </m:ctrlPr>
            </m:fPr>
            <m:num>
              <m:r>
                <w:rPr>
                  <w:rFonts w:ascii="Cambria Math" w:hAnsi="Cambria Math"/>
                </w:rPr>
                <m:t>1-</m:t>
              </m:r>
              <m:sSub>
                <m:sSubPr>
                  <m:ctrlPr>
                    <w:rPr>
                      <w:rFonts w:ascii="Cambria Math" w:hAnsi="Cambria Math"/>
                    </w:rPr>
                  </m:ctrlPr>
                </m:sSubPr>
                <m:e>
                  <m:r>
                    <m:rPr>
                      <m:sty m:val="p"/>
                    </m:rPr>
                    <w:rPr>
                      <w:rFonts w:ascii="Cambria Math" w:hAnsi="Cambria Math"/>
                    </w:rPr>
                    <m:t>t</m:t>
                  </m:r>
                </m:e>
                <m:sub>
                  <m:r>
                    <m:rPr>
                      <m:sty m:val="p"/>
                    </m:rPr>
                    <w:rPr>
                      <w:rStyle w:val="AERsubscript"/>
                      <w:rFonts w:ascii="Cambria Math" w:hAnsi="Cambria Math"/>
                    </w:rPr>
                    <m:t>0</m:t>
                  </m:r>
                </m:sub>
              </m:sSub>
            </m:num>
            <m:den>
              <m:r>
                <w:rPr>
                  <w:rFonts w:ascii="Cambria Math" w:hAnsi="Cambria Math"/>
                </w:rPr>
                <m:t>1-</m:t>
              </m:r>
              <m:sSub>
                <m:sSubPr>
                  <m:ctrlPr>
                    <w:rPr>
                      <w:rFonts w:ascii="Cambria Math" w:hAnsi="Cambria Math"/>
                    </w:rPr>
                  </m:ctrlPr>
                </m:sSubPr>
                <m:e>
                  <m:r>
                    <m:rPr>
                      <m:sty m:val="p"/>
                    </m:rPr>
                    <w:rPr>
                      <w:rFonts w:ascii="Cambria Math" w:hAnsi="Cambria Math"/>
                    </w:rPr>
                    <m:t>t</m:t>
                  </m:r>
                </m:e>
                <m:sub>
                  <m:r>
                    <m:rPr>
                      <m:sty m:val="p"/>
                    </m:rPr>
                    <w:rPr>
                      <w:rStyle w:val="AERsubscript"/>
                      <w:rFonts w:ascii="Cambria Math" w:hAnsi="Cambria Math"/>
                    </w:rPr>
                    <m:t>c</m:t>
                  </m:r>
                </m:sub>
              </m:sSub>
            </m:den>
          </m:f>
        </m:oMath>
      </m:oMathPara>
    </w:p>
    <w:p w:rsidR="00C52695" w:rsidRPr="00883125" w:rsidRDefault="00C52695" w:rsidP="00C52695">
      <w:pPr>
        <w:rPr>
          <w:rStyle w:val="AERbody"/>
        </w:rPr>
      </w:pPr>
    </w:p>
    <w:p w:rsidR="00C52695" w:rsidRPr="00883125" w:rsidRDefault="00C52695" w:rsidP="00C52695">
      <w:pPr>
        <w:rPr>
          <w:rStyle w:val="AERbody"/>
        </w:rPr>
      </w:pPr>
      <w:r w:rsidRPr="00883125">
        <w:rPr>
          <w:rStyle w:val="AERbody"/>
        </w:rPr>
        <w:t xml:space="preserve">Where </w:t>
      </w:r>
      <w:r w:rsidRPr="00883125">
        <w:t>t</w:t>
      </w:r>
      <w:r w:rsidRPr="00883125">
        <w:rPr>
          <w:rStyle w:val="AERsubscript"/>
        </w:rPr>
        <w:t>0</w:t>
      </w:r>
      <w:r w:rsidRPr="00883125">
        <w:t xml:space="preserve"> is the tax rate of ordinary income and t</w:t>
      </w:r>
      <w:r w:rsidRPr="00883125">
        <w:rPr>
          <w:rStyle w:val="AERsubscript"/>
        </w:rPr>
        <w:t xml:space="preserve">0 </w:t>
      </w:r>
      <w:r w:rsidRPr="00883125">
        <w:t xml:space="preserve">is the capital gains tax rate. </w:t>
      </w:r>
    </w:p>
    <w:p w:rsidR="00C52695" w:rsidRDefault="00C52695" w:rsidP="00C52695">
      <w:r>
        <w:t>Further, Lally generalises the dividend relationship to the following:</w:t>
      </w:r>
      <w:r>
        <w:rPr>
          <w:rStyle w:val="FootnoteReference"/>
        </w:rPr>
        <w:footnoteReference w:id="818"/>
      </w:r>
    </w:p>
    <w:p w:rsidR="00C52695" w:rsidRDefault="00C52695" w:rsidP="00C52695"/>
    <w:p w:rsidR="00C52695" w:rsidRPr="00883125" w:rsidRDefault="00C52695" w:rsidP="00C52695">
      <w:pPr>
        <w:rPr>
          <w:rStyle w:val="AERbody"/>
        </w:rPr>
      </w:pPr>
      <m:oMathPara>
        <m:oMath>
          <m:r>
            <w:rPr>
              <w:rFonts w:ascii="Cambria Math" w:hAnsi="Cambria Math"/>
            </w:rPr>
            <m:t>∆P= δD+δθ</m:t>
          </m:r>
          <m:d>
            <m:dPr>
              <m:ctrlPr>
                <w:rPr>
                  <w:rFonts w:ascii="Cambria Math" w:hAnsi="Cambria Math"/>
                </w:rPr>
              </m:ctrlPr>
            </m:dPr>
            <m:e>
              <m:r>
                <w:rPr>
                  <w:rFonts w:ascii="Cambria Math" w:hAnsi="Cambria Math"/>
                </w:rPr>
                <m:t>IC</m:t>
              </m:r>
            </m:e>
          </m:d>
          <m:r>
            <w:rPr>
              <w:rFonts w:ascii="Cambria Math" w:hAnsi="Cambria Math"/>
            </w:rPr>
            <m:t>+ε</m:t>
          </m:r>
        </m:oMath>
      </m:oMathPara>
    </w:p>
    <w:p w:rsidR="00C52695" w:rsidRDefault="00C52695" w:rsidP="00C52695"/>
    <w:p w:rsidR="00C52695" w:rsidRDefault="00C52695" w:rsidP="00C52695">
      <w:r>
        <w:t xml:space="preserve">Where </w:t>
      </w:r>
      <m:oMath>
        <m:r>
          <w:rPr>
            <w:rFonts w:ascii="Cambria Math" w:hAnsi="Cambria Math"/>
          </w:rPr>
          <m:t>δ</m:t>
        </m:r>
      </m:oMath>
      <w:r>
        <w:t xml:space="preserve"> reflects the effect of the personal tax differential, risk, transaction costs and other frictions and </w:t>
      </w:r>
      <m:oMath>
        <m:r>
          <w:rPr>
            <w:rFonts w:ascii="Cambria Math" w:hAnsi="Cambria Math"/>
          </w:rPr>
          <m:t>ε</m:t>
        </m:r>
      </m:oMath>
      <w:r>
        <w:t xml:space="preserve"> reflects noise in the data.</w:t>
      </w:r>
      <w:r w:rsidRPr="002D2E1B">
        <w:rPr>
          <w:rStyle w:val="FootnoteReference"/>
        </w:rPr>
        <w:t xml:space="preserve"> </w:t>
      </w:r>
      <w:r>
        <w:rPr>
          <w:rStyle w:val="FootnoteReference"/>
        </w:rPr>
        <w:footnoteReference w:id="819"/>
      </w:r>
      <w:r>
        <w:rPr>
          <w:rStyle w:val="FootnoteReference"/>
        </w:rPr>
        <w:t xml:space="preserve"> </w:t>
      </w:r>
    </w:p>
    <w:p w:rsidR="00C52695" w:rsidRPr="00883125" w:rsidRDefault="00C52695" w:rsidP="00C52695">
      <w:r w:rsidRPr="00883125">
        <w:t>Using different values for MTR (0%, 15%, 21%, 34.5%. 39% 47%) and CGT discount (50% if shares held for more than 12 months and 100% if shares held for less than 12 months)</w:t>
      </w:r>
      <w:r>
        <w:rPr>
          <w:rStyle w:val="FootnoteReference"/>
        </w:rPr>
        <w:footnoteReference w:id="820"/>
      </w:r>
      <w:r w:rsidRPr="00883125">
        <w:t xml:space="preserve"> the market value for the dividend in the dividend drop off study changes. As seen in the table below a lower tax rate results in a higher </w:t>
      </w:r>
      <w:r>
        <w:t xml:space="preserve">market </w:t>
      </w:r>
      <w:r w:rsidRPr="00883125">
        <w:t xml:space="preserve">value of dividend in the dividend drop off studies. This is due </w:t>
      </w:r>
      <w:r>
        <w:t xml:space="preserve">to </w:t>
      </w:r>
      <w:r w:rsidRPr="00883125">
        <w:t>the differential taxes being smaller at a lower MTR.</w:t>
      </w:r>
    </w:p>
    <w:p w:rsidR="00C52695" w:rsidRPr="00883125" w:rsidRDefault="00C52695" w:rsidP="00C52695">
      <w:r>
        <w:t xml:space="preserve">The </w:t>
      </w:r>
      <w:r w:rsidRPr="00883125">
        <w:t xml:space="preserve">table </w:t>
      </w:r>
      <w:r>
        <w:t xml:space="preserve">also shows </w:t>
      </w:r>
      <w:r w:rsidRPr="00883125">
        <w:t>that when the stocks are held for less than 12 months and the CGT is taxed at the MTR rate rather than 50 per cent of the MTR, the dividends are worth one dollar in a dividend drop of study. This is because when the stocks are held for less than 12 months capital gains are taxed at the same rate as dividends. The same is also true for the 0 per cent tax rate when stocks are held for more than 12 months. In this situation dividend tax and capital gains tax is consistent at 0 per cent.</w:t>
      </w:r>
    </w:p>
    <w:p w:rsidR="00C52695" w:rsidRDefault="00C52695" w:rsidP="00C52695">
      <w:r w:rsidRPr="00883125">
        <w:t xml:space="preserve">As noted above, the difference between the cum-dividend price and ex-dividend price is driven by differential personal taxes on dividends and capital gains. Hence, </w:t>
      </w:r>
      <w:r>
        <w:t>only when</w:t>
      </w:r>
      <w:r w:rsidRPr="00883125">
        <w:t xml:space="preserve"> dividends and capital gains are taxed at the same rate, the drop off just represents the face value of the dividend. This is the value that is required for regulatory purposes and is the post company tax (pre-personal tax) value.</w:t>
      </w:r>
    </w:p>
    <w:p w:rsidR="00C52695" w:rsidRPr="00B27BE5" w:rsidRDefault="00C52695" w:rsidP="003E44A6">
      <w:pPr>
        <w:pStyle w:val="Caption"/>
      </w:pPr>
      <w:r w:rsidRPr="00883125">
        <w:t xml:space="preserve">Table </w:t>
      </w:r>
      <w:r w:rsidRPr="001D37D5">
        <w:fldChar w:fldCharType="begin"/>
      </w:r>
      <w:r>
        <w:instrText xml:space="preserve"> STYLEREF 1 \s </w:instrText>
      </w:r>
      <w:r w:rsidRPr="001D37D5">
        <w:fldChar w:fldCharType="separate"/>
      </w:r>
      <w:r w:rsidR="007E3457">
        <w:rPr>
          <w:noProof/>
        </w:rPr>
        <w:t>4</w:t>
      </w:r>
      <w:r w:rsidRPr="001D37D5">
        <w:fldChar w:fldCharType="end"/>
      </w:r>
      <w:r w:rsidRPr="00B27BE5">
        <w:noBreakHyphen/>
      </w:r>
      <w:r w:rsidRPr="001D37D5">
        <w:fldChar w:fldCharType="begin"/>
      </w:r>
      <w:r>
        <w:instrText xml:space="preserve"> SEQ Table \* ARABIC \s 1 </w:instrText>
      </w:r>
      <w:r w:rsidRPr="001D37D5">
        <w:fldChar w:fldCharType="separate"/>
      </w:r>
      <w:r w:rsidR="007E3457">
        <w:rPr>
          <w:noProof/>
        </w:rPr>
        <w:t>21</w:t>
      </w:r>
      <w:r w:rsidRPr="001D37D5">
        <w:fldChar w:fldCharType="end"/>
      </w:r>
      <w:r w:rsidRPr="00B27BE5">
        <w:tab/>
        <w:t xml:space="preserve">Dividend drop off ratio with varying </w:t>
      </w:r>
      <w:r>
        <w:t>tax rates</w:t>
      </w:r>
    </w:p>
    <w:tbl>
      <w:tblPr>
        <w:tblW w:w="4520" w:type="dxa"/>
        <w:tblInd w:w="93" w:type="dxa"/>
        <w:tblLook w:val="04A0" w:firstRow="1" w:lastRow="0" w:firstColumn="1" w:lastColumn="0" w:noHBand="0" w:noVBand="1"/>
      </w:tblPr>
      <w:tblGrid>
        <w:gridCol w:w="721"/>
        <w:gridCol w:w="1074"/>
        <w:gridCol w:w="2063"/>
        <w:gridCol w:w="1019"/>
      </w:tblGrid>
      <w:tr w:rsidR="00C52695" w:rsidRPr="00CF5360" w:rsidTr="006425B8">
        <w:trPr>
          <w:trHeight w:val="300"/>
        </w:trPr>
        <w:tc>
          <w:tcPr>
            <w:tcW w:w="1560" w:type="dxa"/>
            <w:gridSpan w:val="2"/>
            <w:vMerge w:val="restart"/>
            <w:tcBorders>
              <w:top w:val="single" w:sz="4" w:space="0" w:color="auto"/>
              <w:left w:val="single" w:sz="4" w:space="0" w:color="auto"/>
              <w:bottom w:val="single" w:sz="4" w:space="0" w:color="auto"/>
              <w:right w:val="single" w:sz="4" w:space="0" w:color="auto"/>
            </w:tcBorders>
            <w:shd w:val="clear" w:color="000000" w:fill="FDE9D9"/>
            <w:noWrap/>
            <w:vAlign w:val="bottom"/>
            <w:hideMark/>
          </w:tcPr>
          <w:p w:rsidR="00C52695" w:rsidRPr="00C52695" w:rsidRDefault="00C52695" w:rsidP="008B1CA1">
            <w:pPr>
              <w:pStyle w:val="ListContinue2"/>
              <w:keepNext/>
            </w:pPr>
            <w:r w:rsidRPr="00F1222E">
              <w:t> </w:t>
            </w:r>
          </w:p>
        </w:tc>
        <w:tc>
          <w:tcPr>
            <w:tcW w:w="2960" w:type="dxa"/>
            <w:gridSpan w:val="2"/>
            <w:tcBorders>
              <w:top w:val="single" w:sz="4" w:space="0" w:color="auto"/>
              <w:left w:val="nil"/>
              <w:bottom w:val="single" w:sz="4" w:space="0" w:color="auto"/>
              <w:right w:val="single" w:sz="4" w:space="0" w:color="auto"/>
            </w:tcBorders>
            <w:shd w:val="clear" w:color="000000" w:fill="FDE9D9"/>
            <w:noWrap/>
            <w:vAlign w:val="bottom"/>
            <w:hideMark/>
          </w:tcPr>
          <w:p w:rsidR="00C52695" w:rsidRPr="00C52695" w:rsidRDefault="00C52695" w:rsidP="008B1CA1">
            <w:pPr>
              <w:keepNext/>
            </w:pPr>
            <w:r w:rsidRPr="005764F6">
              <w:t>CGT</w:t>
            </w:r>
          </w:p>
        </w:tc>
      </w:tr>
      <w:tr w:rsidR="00C52695" w:rsidRPr="00CF5360" w:rsidTr="006425B8">
        <w:trPr>
          <w:trHeight w:val="300"/>
        </w:trPr>
        <w:tc>
          <w:tcPr>
            <w:tcW w:w="1560" w:type="dxa"/>
            <w:gridSpan w:val="2"/>
            <w:vMerge/>
            <w:tcBorders>
              <w:top w:val="single" w:sz="4" w:space="0" w:color="auto"/>
              <w:left w:val="single" w:sz="4" w:space="0" w:color="auto"/>
              <w:bottom w:val="single" w:sz="4" w:space="0" w:color="auto"/>
              <w:right w:val="single" w:sz="4" w:space="0" w:color="auto"/>
            </w:tcBorders>
            <w:vAlign w:val="center"/>
            <w:hideMark/>
          </w:tcPr>
          <w:p w:rsidR="00C52695" w:rsidRPr="00F1222E" w:rsidRDefault="00C52695" w:rsidP="008B1CA1">
            <w:pPr>
              <w:pStyle w:val="ListContinue2"/>
              <w:keepNext/>
            </w:pPr>
          </w:p>
        </w:tc>
        <w:tc>
          <w:tcPr>
            <w:tcW w:w="2063" w:type="dxa"/>
            <w:tcBorders>
              <w:top w:val="nil"/>
              <w:left w:val="nil"/>
              <w:bottom w:val="nil"/>
              <w:right w:val="single" w:sz="4" w:space="0" w:color="auto"/>
            </w:tcBorders>
            <w:shd w:val="clear" w:color="000000" w:fill="FDE9D9"/>
            <w:noWrap/>
            <w:vAlign w:val="bottom"/>
            <w:hideMark/>
          </w:tcPr>
          <w:p w:rsidR="00C52695" w:rsidRPr="00C52695" w:rsidRDefault="00C52695" w:rsidP="008B1CA1">
            <w:pPr>
              <w:keepNext/>
            </w:pPr>
            <w:r w:rsidRPr="005764F6">
              <w:t>50%</w:t>
            </w:r>
          </w:p>
        </w:tc>
        <w:tc>
          <w:tcPr>
            <w:tcW w:w="897" w:type="dxa"/>
            <w:tcBorders>
              <w:top w:val="nil"/>
              <w:left w:val="nil"/>
              <w:bottom w:val="nil"/>
              <w:right w:val="single" w:sz="4" w:space="0" w:color="auto"/>
            </w:tcBorders>
            <w:shd w:val="clear" w:color="000000" w:fill="FDE9D9"/>
            <w:noWrap/>
            <w:vAlign w:val="bottom"/>
            <w:hideMark/>
          </w:tcPr>
          <w:p w:rsidR="00C52695" w:rsidRPr="00C52695" w:rsidRDefault="00C52695" w:rsidP="008B1CA1">
            <w:pPr>
              <w:keepNext/>
            </w:pPr>
            <w:r w:rsidRPr="005764F6">
              <w:t>100%</w:t>
            </w:r>
          </w:p>
        </w:tc>
      </w:tr>
      <w:tr w:rsidR="00C52695" w:rsidRPr="00CF5360" w:rsidTr="006425B8">
        <w:trPr>
          <w:trHeight w:val="300"/>
        </w:trPr>
        <w:tc>
          <w:tcPr>
            <w:tcW w:w="486" w:type="dxa"/>
            <w:vMerge w:val="restart"/>
            <w:tcBorders>
              <w:top w:val="nil"/>
              <w:left w:val="single" w:sz="4" w:space="0" w:color="auto"/>
              <w:bottom w:val="single" w:sz="4" w:space="0" w:color="auto"/>
              <w:right w:val="single" w:sz="4" w:space="0" w:color="auto"/>
            </w:tcBorders>
            <w:shd w:val="clear" w:color="000000" w:fill="FDE9D9"/>
            <w:noWrap/>
            <w:textDirection w:val="btLr"/>
            <w:vAlign w:val="center"/>
            <w:hideMark/>
          </w:tcPr>
          <w:p w:rsidR="00C52695" w:rsidRPr="00C52695" w:rsidRDefault="00C52695" w:rsidP="008B1CA1">
            <w:pPr>
              <w:keepNext/>
            </w:pPr>
            <w:r w:rsidRPr="005764F6">
              <w:t>Tax Rate</w:t>
            </w:r>
          </w:p>
        </w:tc>
        <w:tc>
          <w:tcPr>
            <w:tcW w:w="1074" w:type="dxa"/>
            <w:tcBorders>
              <w:top w:val="nil"/>
              <w:left w:val="nil"/>
              <w:bottom w:val="single" w:sz="4" w:space="0" w:color="auto"/>
              <w:right w:val="single" w:sz="4" w:space="0" w:color="auto"/>
            </w:tcBorders>
            <w:shd w:val="clear" w:color="000000" w:fill="FDE9D9"/>
            <w:noWrap/>
            <w:vAlign w:val="bottom"/>
            <w:hideMark/>
          </w:tcPr>
          <w:p w:rsidR="00C52695" w:rsidRPr="00C52695" w:rsidRDefault="00C52695" w:rsidP="008B1CA1">
            <w:pPr>
              <w:keepNext/>
            </w:pPr>
            <w:r w:rsidRPr="005764F6">
              <w:t>0%</w:t>
            </w:r>
          </w:p>
        </w:tc>
        <w:tc>
          <w:tcPr>
            <w:tcW w:w="2063" w:type="dxa"/>
            <w:tcBorders>
              <w:top w:val="single" w:sz="4" w:space="0" w:color="auto"/>
              <w:left w:val="nil"/>
              <w:bottom w:val="single" w:sz="4" w:space="0" w:color="auto"/>
              <w:right w:val="single" w:sz="4" w:space="0" w:color="auto"/>
            </w:tcBorders>
            <w:shd w:val="clear" w:color="auto" w:fill="auto"/>
            <w:noWrap/>
            <w:vAlign w:val="bottom"/>
            <w:hideMark/>
          </w:tcPr>
          <w:p w:rsidR="00C52695" w:rsidRPr="00C52695" w:rsidRDefault="00C52695" w:rsidP="008B1CA1">
            <w:pPr>
              <w:pStyle w:val="ListContinue2"/>
              <w:keepNext/>
            </w:pPr>
            <w:r w:rsidRPr="00F1222E">
              <w:t>1</w:t>
            </w:r>
          </w:p>
        </w:tc>
        <w:tc>
          <w:tcPr>
            <w:tcW w:w="897" w:type="dxa"/>
            <w:tcBorders>
              <w:top w:val="single" w:sz="4" w:space="0" w:color="auto"/>
              <w:left w:val="nil"/>
              <w:bottom w:val="single" w:sz="4" w:space="0" w:color="auto"/>
              <w:right w:val="single" w:sz="4" w:space="0" w:color="auto"/>
            </w:tcBorders>
            <w:shd w:val="clear" w:color="auto" w:fill="auto"/>
            <w:noWrap/>
            <w:vAlign w:val="bottom"/>
            <w:hideMark/>
          </w:tcPr>
          <w:p w:rsidR="00C52695" w:rsidRPr="00C52695" w:rsidRDefault="00C52695" w:rsidP="008B1CA1">
            <w:pPr>
              <w:pStyle w:val="ListContinue2"/>
              <w:keepNext/>
            </w:pPr>
            <w:r w:rsidRPr="00F1222E">
              <w:t>1</w:t>
            </w:r>
          </w:p>
        </w:tc>
      </w:tr>
      <w:tr w:rsidR="00C52695" w:rsidRPr="00CF5360" w:rsidTr="006425B8">
        <w:trPr>
          <w:trHeight w:val="300"/>
        </w:trPr>
        <w:tc>
          <w:tcPr>
            <w:tcW w:w="486" w:type="dxa"/>
            <w:vMerge/>
            <w:tcBorders>
              <w:top w:val="nil"/>
              <w:left w:val="single" w:sz="4" w:space="0" w:color="auto"/>
              <w:bottom w:val="single" w:sz="4" w:space="0" w:color="auto"/>
              <w:right w:val="single" w:sz="4" w:space="0" w:color="auto"/>
            </w:tcBorders>
            <w:vAlign w:val="center"/>
            <w:hideMark/>
          </w:tcPr>
          <w:p w:rsidR="00C52695" w:rsidRPr="00AC2168" w:rsidRDefault="00C52695" w:rsidP="008B1CA1">
            <w:pPr>
              <w:keepNext/>
            </w:pPr>
          </w:p>
        </w:tc>
        <w:tc>
          <w:tcPr>
            <w:tcW w:w="1074" w:type="dxa"/>
            <w:tcBorders>
              <w:top w:val="nil"/>
              <w:left w:val="nil"/>
              <w:bottom w:val="single" w:sz="4" w:space="0" w:color="auto"/>
              <w:right w:val="single" w:sz="4" w:space="0" w:color="auto"/>
            </w:tcBorders>
            <w:shd w:val="clear" w:color="000000" w:fill="FDE9D9"/>
            <w:noWrap/>
            <w:vAlign w:val="bottom"/>
            <w:hideMark/>
          </w:tcPr>
          <w:p w:rsidR="00C52695" w:rsidRPr="00C52695" w:rsidRDefault="00C52695" w:rsidP="008B1CA1">
            <w:pPr>
              <w:keepNext/>
            </w:pPr>
            <w:r w:rsidRPr="005764F6">
              <w:t>15%</w:t>
            </w:r>
          </w:p>
        </w:tc>
        <w:tc>
          <w:tcPr>
            <w:tcW w:w="2063" w:type="dxa"/>
            <w:tcBorders>
              <w:top w:val="nil"/>
              <w:left w:val="nil"/>
              <w:bottom w:val="single" w:sz="4" w:space="0" w:color="auto"/>
              <w:right w:val="single" w:sz="4" w:space="0" w:color="auto"/>
            </w:tcBorders>
            <w:shd w:val="clear" w:color="auto" w:fill="auto"/>
            <w:noWrap/>
            <w:vAlign w:val="bottom"/>
            <w:hideMark/>
          </w:tcPr>
          <w:p w:rsidR="00C52695" w:rsidRPr="00C52695" w:rsidRDefault="00C52695" w:rsidP="008B1CA1">
            <w:pPr>
              <w:pStyle w:val="ListContinue2"/>
              <w:keepNext/>
            </w:pPr>
            <w:r w:rsidRPr="00F1222E">
              <w:t>0.9189</w:t>
            </w:r>
          </w:p>
        </w:tc>
        <w:tc>
          <w:tcPr>
            <w:tcW w:w="897" w:type="dxa"/>
            <w:tcBorders>
              <w:top w:val="nil"/>
              <w:left w:val="nil"/>
              <w:bottom w:val="single" w:sz="4" w:space="0" w:color="auto"/>
              <w:right w:val="single" w:sz="4" w:space="0" w:color="auto"/>
            </w:tcBorders>
            <w:shd w:val="clear" w:color="auto" w:fill="auto"/>
            <w:noWrap/>
            <w:vAlign w:val="bottom"/>
            <w:hideMark/>
          </w:tcPr>
          <w:p w:rsidR="00C52695" w:rsidRPr="00C52695" w:rsidRDefault="00C52695" w:rsidP="008B1CA1">
            <w:pPr>
              <w:pStyle w:val="ListContinue2"/>
              <w:keepNext/>
            </w:pPr>
            <w:r w:rsidRPr="00F1222E">
              <w:t>1</w:t>
            </w:r>
          </w:p>
        </w:tc>
      </w:tr>
      <w:tr w:rsidR="00C52695" w:rsidRPr="00CF5360" w:rsidTr="006425B8">
        <w:trPr>
          <w:trHeight w:val="300"/>
        </w:trPr>
        <w:tc>
          <w:tcPr>
            <w:tcW w:w="486" w:type="dxa"/>
            <w:vMerge/>
            <w:tcBorders>
              <w:top w:val="nil"/>
              <w:left w:val="single" w:sz="4" w:space="0" w:color="auto"/>
              <w:bottom w:val="single" w:sz="4" w:space="0" w:color="auto"/>
              <w:right w:val="single" w:sz="4" w:space="0" w:color="auto"/>
            </w:tcBorders>
            <w:vAlign w:val="center"/>
            <w:hideMark/>
          </w:tcPr>
          <w:p w:rsidR="00C52695" w:rsidRPr="00AC2168" w:rsidRDefault="00C52695" w:rsidP="008B1CA1">
            <w:pPr>
              <w:keepNext/>
            </w:pPr>
          </w:p>
        </w:tc>
        <w:tc>
          <w:tcPr>
            <w:tcW w:w="1074" w:type="dxa"/>
            <w:tcBorders>
              <w:top w:val="nil"/>
              <w:left w:val="nil"/>
              <w:bottom w:val="single" w:sz="4" w:space="0" w:color="auto"/>
              <w:right w:val="single" w:sz="4" w:space="0" w:color="auto"/>
            </w:tcBorders>
            <w:shd w:val="clear" w:color="000000" w:fill="FDE9D9"/>
            <w:noWrap/>
            <w:vAlign w:val="bottom"/>
            <w:hideMark/>
          </w:tcPr>
          <w:p w:rsidR="00C52695" w:rsidRPr="00C52695" w:rsidRDefault="00C52695" w:rsidP="008B1CA1">
            <w:pPr>
              <w:keepNext/>
            </w:pPr>
            <w:r w:rsidRPr="005764F6">
              <w:t>21%</w:t>
            </w:r>
          </w:p>
        </w:tc>
        <w:tc>
          <w:tcPr>
            <w:tcW w:w="2063" w:type="dxa"/>
            <w:tcBorders>
              <w:top w:val="nil"/>
              <w:left w:val="nil"/>
              <w:bottom w:val="single" w:sz="4" w:space="0" w:color="auto"/>
              <w:right w:val="single" w:sz="4" w:space="0" w:color="auto"/>
            </w:tcBorders>
            <w:shd w:val="clear" w:color="auto" w:fill="auto"/>
            <w:noWrap/>
            <w:vAlign w:val="bottom"/>
            <w:hideMark/>
          </w:tcPr>
          <w:p w:rsidR="00C52695" w:rsidRPr="00C52695" w:rsidRDefault="00C52695" w:rsidP="008B1CA1">
            <w:pPr>
              <w:pStyle w:val="ListContinue2"/>
              <w:keepNext/>
            </w:pPr>
            <w:r w:rsidRPr="00F1222E">
              <w:t>0.8827</w:t>
            </w:r>
          </w:p>
        </w:tc>
        <w:tc>
          <w:tcPr>
            <w:tcW w:w="897" w:type="dxa"/>
            <w:tcBorders>
              <w:top w:val="nil"/>
              <w:left w:val="nil"/>
              <w:bottom w:val="single" w:sz="4" w:space="0" w:color="auto"/>
              <w:right w:val="single" w:sz="4" w:space="0" w:color="auto"/>
            </w:tcBorders>
            <w:shd w:val="clear" w:color="auto" w:fill="auto"/>
            <w:noWrap/>
            <w:vAlign w:val="bottom"/>
            <w:hideMark/>
          </w:tcPr>
          <w:p w:rsidR="00C52695" w:rsidRPr="00C52695" w:rsidRDefault="00C52695" w:rsidP="008B1CA1">
            <w:pPr>
              <w:pStyle w:val="ListContinue2"/>
              <w:keepNext/>
            </w:pPr>
            <w:r w:rsidRPr="00F1222E">
              <w:t>1</w:t>
            </w:r>
          </w:p>
        </w:tc>
      </w:tr>
      <w:tr w:rsidR="00C52695" w:rsidRPr="00CF5360" w:rsidTr="006425B8">
        <w:trPr>
          <w:trHeight w:val="300"/>
        </w:trPr>
        <w:tc>
          <w:tcPr>
            <w:tcW w:w="486" w:type="dxa"/>
            <w:vMerge/>
            <w:tcBorders>
              <w:top w:val="nil"/>
              <w:left w:val="single" w:sz="4" w:space="0" w:color="auto"/>
              <w:bottom w:val="single" w:sz="4" w:space="0" w:color="auto"/>
              <w:right w:val="single" w:sz="4" w:space="0" w:color="auto"/>
            </w:tcBorders>
            <w:vAlign w:val="center"/>
            <w:hideMark/>
          </w:tcPr>
          <w:p w:rsidR="00C52695" w:rsidRPr="00AC2168" w:rsidRDefault="00C52695" w:rsidP="008B1CA1">
            <w:pPr>
              <w:keepNext/>
            </w:pPr>
          </w:p>
        </w:tc>
        <w:tc>
          <w:tcPr>
            <w:tcW w:w="1074" w:type="dxa"/>
            <w:tcBorders>
              <w:top w:val="nil"/>
              <w:left w:val="nil"/>
              <w:bottom w:val="single" w:sz="4" w:space="0" w:color="auto"/>
              <w:right w:val="single" w:sz="4" w:space="0" w:color="auto"/>
            </w:tcBorders>
            <w:shd w:val="clear" w:color="000000" w:fill="FDE9D9"/>
            <w:noWrap/>
            <w:vAlign w:val="bottom"/>
            <w:hideMark/>
          </w:tcPr>
          <w:p w:rsidR="00C52695" w:rsidRPr="00C52695" w:rsidRDefault="00C52695" w:rsidP="008B1CA1">
            <w:pPr>
              <w:keepNext/>
            </w:pPr>
            <w:r w:rsidRPr="005764F6">
              <w:t>34.50%</w:t>
            </w:r>
          </w:p>
        </w:tc>
        <w:tc>
          <w:tcPr>
            <w:tcW w:w="2063" w:type="dxa"/>
            <w:tcBorders>
              <w:top w:val="nil"/>
              <w:left w:val="nil"/>
              <w:bottom w:val="single" w:sz="4" w:space="0" w:color="auto"/>
              <w:right w:val="single" w:sz="4" w:space="0" w:color="auto"/>
            </w:tcBorders>
            <w:shd w:val="clear" w:color="auto" w:fill="auto"/>
            <w:noWrap/>
            <w:vAlign w:val="bottom"/>
            <w:hideMark/>
          </w:tcPr>
          <w:p w:rsidR="00C52695" w:rsidRPr="00C52695" w:rsidRDefault="00C52695" w:rsidP="008B1CA1">
            <w:pPr>
              <w:pStyle w:val="ListContinue2"/>
              <w:keepNext/>
            </w:pPr>
            <w:r w:rsidRPr="00F1222E">
              <w:t>0.7915</w:t>
            </w:r>
          </w:p>
        </w:tc>
        <w:tc>
          <w:tcPr>
            <w:tcW w:w="897" w:type="dxa"/>
            <w:tcBorders>
              <w:top w:val="nil"/>
              <w:left w:val="nil"/>
              <w:bottom w:val="single" w:sz="4" w:space="0" w:color="auto"/>
              <w:right w:val="single" w:sz="4" w:space="0" w:color="auto"/>
            </w:tcBorders>
            <w:shd w:val="clear" w:color="auto" w:fill="auto"/>
            <w:noWrap/>
            <w:vAlign w:val="bottom"/>
            <w:hideMark/>
          </w:tcPr>
          <w:p w:rsidR="00C52695" w:rsidRPr="00C52695" w:rsidRDefault="00C52695" w:rsidP="008B1CA1">
            <w:pPr>
              <w:pStyle w:val="ListContinue2"/>
              <w:keepNext/>
            </w:pPr>
            <w:r w:rsidRPr="00F1222E">
              <w:t>1</w:t>
            </w:r>
          </w:p>
        </w:tc>
      </w:tr>
      <w:tr w:rsidR="00C52695" w:rsidRPr="00CF5360" w:rsidTr="006425B8">
        <w:trPr>
          <w:trHeight w:val="300"/>
        </w:trPr>
        <w:tc>
          <w:tcPr>
            <w:tcW w:w="486" w:type="dxa"/>
            <w:vMerge/>
            <w:tcBorders>
              <w:top w:val="nil"/>
              <w:left w:val="single" w:sz="4" w:space="0" w:color="auto"/>
              <w:bottom w:val="single" w:sz="4" w:space="0" w:color="auto"/>
              <w:right w:val="single" w:sz="4" w:space="0" w:color="auto"/>
            </w:tcBorders>
            <w:vAlign w:val="center"/>
            <w:hideMark/>
          </w:tcPr>
          <w:p w:rsidR="00C52695" w:rsidRPr="00AC2168" w:rsidRDefault="00C52695" w:rsidP="008B1CA1">
            <w:pPr>
              <w:keepNext/>
            </w:pPr>
          </w:p>
        </w:tc>
        <w:tc>
          <w:tcPr>
            <w:tcW w:w="1074" w:type="dxa"/>
            <w:tcBorders>
              <w:top w:val="nil"/>
              <w:left w:val="nil"/>
              <w:bottom w:val="single" w:sz="4" w:space="0" w:color="auto"/>
              <w:right w:val="single" w:sz="4" w:space="0" w:color="auto"/>
            </w:tcBorders>
            <w:shd w:val="clear" w:color="000000" w:fill="FDE9D9"/>
            <w:noWrap/>
            <w:vAlign w:val="bottom"/>
            <w:hideMark/>
          </w:tcPr>
          <w:p w:rsidR="00C52695" w:rsidRPr="00C52695" w:rsidRDefault="00C52695" w:rsidP="008B1CA1">
            <w:pPr>
              <w:keepNext/>
            </w:pPr>
            <w:r w:rsidRPr="005764F6">
              <w:t>39%</w:t>
            </w:r>
          </w:p>
        </w:tc>
        <w:tc>
          <w:tcPr>
            <w:tcW w:w="2063" w:type="dxa"/>
            <w:tcBorders>
              <w:top w:val="nil"/>
              <w:left w:val="nil"/>
              <w:bottom w:val="single" w:sz="4" w:space="0" w:color="auto"/>
              <w:right w:val="single" w:sz="4" w:space="0" w:color="auto"/>
            </w:tcBorders>
            <w:shd w:val="clear" w:color="auto" w:fill="auto"/>
            <w:noWrap/>
            <w:vAlign w:val="bottom"/>
            <w:hideMark/>
          </w:tcPr>
          <w:p w:rsidR="00C52695" w:rsidRPr="00C52695" w:rsidRDefault="00C52695" w:rsidP="008B1CA1">
            <w:pPr>
              <w:pStyle w:val="ListContinue2"/>
              <w:keepNext/>
            </w:pPr>
            <w:r w:rsidRPr="00F1222E">
              <w:t>0.7578</w:t>
            </w:r>
          </w:p>
        </w:tc>
        <w:tc>
          <w:tcPr>
            <w:tcW w:w="897" w:type="dxa"/>
            <w:tcBorders>
              <w:top w:val="nil"/>
              <w:left w:val="nil"/>
              <w:bottom w:val="single" w:sz="4" w:space="0" w:color="auto"/>
              <w:right w:val="single" w:sz="4" w:space="0" w:color="auto"/>
            </w:tcBorders>
            <w:shd w:val="clear" w:color="auto" w:fill="auto"/>
            <w:noWrap/>
            <w:vAlign w:val="bottom"/>
            <w:hideMark/>
          </w:tcPr>
          <w:p w:rsidR="00C52695" w:rsidRPr="00C52695" w:rsidRDefault="00C52695" w:rsidP="008B1CA1">
            <w:pPr>
              <w:pStyle w:val="ListContinue2"/>
              <w:keepNext/>
            </w:pPr>
            <w:r w:rsidRPr="00F1222E">
              <w:t>1</w:t>
            </w:r>
          </w:p>
        </w:tc>
      </w:tr>
      <w:tr w:rsidR="00C52695" w:rsidRPr="00CF5360" w:rsidTr="006425B8">
        <w:trPr>
          <w:trHeight w:val="300"/>
        </w:trPr>
        <w:tc>
          <w:tcPr>
            <w:tcW w:w="486" w:type="dxa"/>
            <w:vMerge/>
            <w:tcBorders>
              <w:top w:val="nil"/>
              <w:left w:val="single" w:sz="4" w:space="0" w:color="auto"/>
              <w:bottom w:val="single" w:sz="4" w:space="0" w:color="auto"/>
              <w:right w:val="single" w:sz="4" w:space="0" w:color="auto"/>
            </w:tcBorders>
            <w:vAlign w:val="center"/>
            <w:hideMark/>
          </w:tcPr>
          <w:p w:rsidR="00C52695" w:rsidRPr="00AC2168" w:rsidRDefault="00C52695" w:rsidP="008B1CA1">
            <w:pPr>
              <w:keepNext/>
            </w:pPr>
          </w:p>
        </w:tc>
        <w:tc>
          <w:tcPr>
            <w:tcW w:w="1074" w:type="dxa"/>
            <w:tcBorders>
              <w:top w:val="nil"/>
              <w:left w:val="nil"/>
              <w:bottom w:val="single" w:sz="4" w:space="0" w:color="auto"/>
              <w:right w:val="single" w:sz="4" w:space="0" w:color="auto"/>
            </w:tcBorders>
            <w:shd w:val="clear" w:color="000000" w:fill="FDE9D9"/>
            <w:noWrap/>
            <w:vAlign w:val="bottom"/>
            <w:hideMark/>
          </w:tcPr>
          <w:p w:rsidR="00C52695" w:rsidRPr="00C52695" w:rsidRDefault="00C52695" w:rsidP="008B1CA1">
            <w:pPr>
              <w:keepNext/>
            </w:pPr>
            <w:r w:rsidRPr="005764F6">
              <w:t>47%</w:t>
            </w:r>
          </w:p>
        </w:tc>
        <w:tc>
          <w:tcPr>
            <w:tcW w:w="2063" w:type="dxa"/>
            <w:tcBorders>
              <w:top w:val="nil"/>
              <w:left w:val="nil"/>
              <w:bottom w:val="single" w:sz="4" w:space="0" w:color="auto"/>
              <w:right w:val="single" w:sz="4" w:space="0" w:color="auto"/>
            </w:tcBorders>
            <w:shd w:val="clear" w:color="auto" w:fill="auto"/>
            <w:noWrap/>
            <w:vAlign w:val="bottom"/>
            <w:hideMark/>
          </w:tcPr>
          <w:p w:rsidR="00C52695" w:rsidRPr="00C52695" w:rsidRDefault="00C52695" w:rsidP="008B1CA1">
            <w:pPr>
              <w:pStyle w:val="ListContinue2"/>
              <w:keepNext/>
            </w:pPr>
            <w:r w:rsidRPr="00F1222E">
              <w:t>0.6928</w:t>
            </w:r>
          </w:p>
        </w:tc>
        <w:tc>
          <w:tcPr>
            <w:tcW w:w="897" w:type="dxa"/>
            <w:tcBorders>
              <w:top w:val="nil"/>
              <w:left w:val="nil"/>
              <w:bottom w:val="single" w:sz="4" w:space="0" w:color="auto"/>
              <w:right w:val="single" w:sz="4" w:space="0" w:color="auto"/>
            </w:tcBorders>
            <w:shd w:val="clear" w:color="auto" w:fill="auto"/>
            <w:noWrap/>
            <w:vAlign w:val="bottom"/>
            <w:hideMark/>
          </w:tcPr>
          <w:p w:rsidR="00C52695" w:rsidRPr="00C52695" w:rsidRDefault="00C52695" w:rsidP="008B1CA1">
            <w:pPr>
              <w:pStyle w:val="ListContinue2"/>
              <w:keepNext/>
            </w:pPr>
            <w:r w:rsidRPr="00F1222E">
              <w:t>1</w:t>
            </w:r>
          </w:p>
        </w:tc>
      </w:tr>
    </w:tbl>
    <w:p w:rsidR="00C52695" w:rsidRPr="00883125" w:rsidRDefault="00C52695" w:rsidP="00C52695">
      <w:r w:rsidRPr="00883125">
        <w:t xml:space="preserve">The example shows why estimates of the value of dividends (and imputation credits) </w:t>
      </w:r>
      <w:r>
        <w:t>from</w:t>
      </w:r>
      <w:r w:rsidRPr="00883125">
        <w:t xml:space="preserve"> market based studies </w:t>
      </w:r>
      <w:r>
        <w:t>are</w:t>
      </w:r>
      <w:r w:rsidRPr="00883125">
        <w:t xml:space="preserve"> influenced by personal tax factors and this is not appropriate in our regulatory context. Adjustment for the impact of differential personal taxation of income and capital gains must be made to the estimates from dividend drop off studies to ensure the</w:t>
      </w:r>
      <w:r>
        <w:t>ir</w:t>
      </w:r>
      <w:r w:rsidRPr="00883125">
        <w:t xml:space="preserve"> consisten</w:t>
      </w:r>
      <w:r>
        <w:t>cy</w:t>
      </w:r>
      <w:r w:rsidRPr="00883125">
        <w:t xml:space="preserve"> with our post tax framework.</w:t>
      </w:r>
    </w:p>
    <w:p w:rsidR="00C52695" w:rsidRPr="00883125" w:rsidRDefault="00C52695" w:rsidP="00C52695">
      <w:r w:rsidRPr="00883125">
        <w:t>As is evident above, different investors have a different dividend drop off ratio and this is determined by many factors such as:</w:t>
      </w:r>
    </w:p>
    <w:p w:rsidR="00C52695" w:rsidRPr="00B27BE5" w:rsidRDefault="00C52695" w:rsidP="00D414CC">
      <w:pPr>
        <w:pStyle w:val="AERbulletlistfirststyle"/>
      </w:pPr>
      <w:r w:rsidRPr="00883125">
        <w:t xml:space="preserve">Investor </w:t>
      </w:r>
      <w:r w:rsidRPr="00B27BE5">
        <w:t>marginal income tax rate</w:t>
      </w:r>
    </w:p>
    <w:p w:rsidR="00C52695" w:rsidRDefault="00C52695" w:rsidP="00D414CC">
      <w:pPr>
        <w:pStyle w:val="AERbulletlistfirststyle"/>
      </w:pPr>
      <w:r w:rsidRPr="00883125">
        <w:t>Whether the investor held the share for more than 12 months</w:t>
      </w:r>
    </w:p>
    <w:p w:rsidR="00C52695" w:rsidRPr="00B27BE5" w:rsidRDefault="00C52695" w:rsidP="00D414CC">
      <w:pPr>
        <w:pStyle w:val="AERbulletlistfirststyle"/>
      </w:pPr>
      <w:r>
        <w:t>Whether the investor is super fund or not</w:t>
      </w:r>
    </w:p>
    <w:p w:rsidR="00C52695" w:rsidRPr="00B27BE5" w:rsidRDefault="00C52695" w:rsidP="00D414CC">
      <w:pPr>
        <w:pStyle w:val="AERbulletlistfirststyle"/>
      </w:pPr>
      <w:r w:rsidRPr="00883125">
        <w:t xml:space="preserve">Whether the investor is foreign and how foreign income is taxed </w:t>
      </w:r>
      <w:r w:rsidRPr="00B27BE5">
        <w:t>at their home country</w:t>
      </w:r>
      <w:r w:rsidR="00E37CE4">
        <w:t>.</w:t>
      </w:r>
    </w:p>
    <w:p w:rsidR="00C52695" w:rsidRPr="00883125" w:rsidRDefault="00C52695" w:rsidP="00C52695">
      <w:pPr>
        <w:rPr>
          <w:rStyle w:val="AERbody"/>
        </w:rPr>
      </w:pPr>
      <w:r w:rsidRPr="00883125">
        <w:rPr>
          <w:rStyle w:val="AERbody"/>
        </w:rPr>
        <w:t>What determines the dividend drop off price in the market is based on who the marginal investors are around the ex-dividend dates. For instance, if only local investors with a marginal tax rate of 39% are trading around the ex-dividend date then the dividend drop off should be 0.7578 cents per dollar of face value of dividends. If there is a mixture of investors trading around the ex-dividend date then the drop off price will be determined by supply and demand on those days.</w:t>
      </w:r>
      <w:r>
        <w:rPr>
          <w:rStyle w:val="AERbody"/>
        </w:rPr>
        <w:t xml:space="preserve"> In real capital markets with multiple types of investors facing differential tax rates and where those investors may or may not be able to utilise franking credits, the resulting equilibrium is much more complex.</w:t>
      </w:r>
      <w:r>
        <w:rPr>
          <w:rStyle w:val="FootnoteReference"/>
        </w:rPr>
        <w:footnoteReference w:id="821"/>
      </w:r>
    </w:p>
    <w:p w:rsidR="00C52695" w:rsidRPr="00883125" w:rsidRDefault="00C52695" w:rsidP="00C52695">
      <w:r w:rsidRPr="00883125">
        <w:t xml:space="preserve">In the analysis above we focused on the impact on cash (unfranked) dividends and ignored the effect of imputation credits. This was a simplifying assumption which should not distract from the fact that imputation credits are similarly impacted in market based studies by differential personal tax. </w:t>
      </w:r>
      <w:r>
        <w:t>The simple analysis can be extended to cover franked dividends.</w:t>
      </w:r>
      <w:r>
        <w:rPr>
          <w:rStyle w:val="FootnoteReference"/>
        </w:rPr>
        <w:footnoteReference w:id="822"/>
      </w:r>
      <w:r w:rsidRPr="00883125">
        <w:t xml:space="preserve"> Overall personal tax is levied on the grossed up dividend which is the </w:t>
      </w:r>
      <w:r>
        <w:t xml:space="preserve">face value of the cash </w:t>
      </w:r>
      <w:r w:rsidRPr="00883125">
        <w:t>dividend plus the face value of the attached imputation credit</w:t>
      </w:r>
      <w:r>
        <w:t xml:space="preserve"> that can be utilised</w:t>
      </w:r>
      <w:r w:rsidRPr="00883125">
        <w:t>, both of whic</w:t>
      </w:r>
      <w:r w:rsidR="001B2BD0">
        <w:t>h are taxed as ordinary income.</w:t>
      </w:r>
    </w:p>
    <w:p w:rsidR="00FE09C8" w:rsidRDefault="00C52695" w:rsidP="00C52695">
      <w:pPr>
        <w:rPr>
          <w:rStyle w:val="AERbody"/>
        </w:rPr>
      </w:pPr>
      <w:r>
        <w:rPr>
          <w:rStyle w:val="AERbody"/>
        </w:rPr>
        <w:t>Furthermore</w:t>
      </w:r>
      <w:r w:rsidRPr="00883125">
        <w:rPr>
          <w:rStyle w:val="AERbody"/>
        </w:rPr>
        <w:t xml:space="preserve">, the marginal investor's valuation is not relevant for the purposes of calculating the taxation building block. What is required is what proportion of the company tax is a prepayment of the investor's personal tax. For the taxation building block what matters is the value to all investors in aggregate and not the marginal investors that trade around the cum-dividend and ex-dividend dates. This would suggest that dividends drop off studies are not the best method for determining the gamma adjustment </w:t>
      </w:r>
      <w:r w:rsidR="001B2BD0">
        <w:rPr>
          <w:rStyle w:val="AERbody"/>
        </w:rPr>
        <w:t>to the taxation building block.</w:t>
      </w:r>
      <w:r w:rsidR="005C73D7">
        <w:rPr>
          <w:rStyle w:val="AERbody"/>
        </w:rPr>
        <w:t xml:space="preserve"> </w:t>
      </w:r>
    </w:p>
    <w:p w:rsidR="00C52695" w:rsidRPr="00883125" w:rsidRDefault="00C52695" w:rsidP="00C52695">
      <w:r w:rsidRPr="00883125">
        <w:t xml:space="preserve">In the recent </w:t>
      </w:r>
      <w:r w:rsidR="003249E9">
        <w:t xml:space="preserve">Ausgrid </w:t>
      </w:r>
      <w:r w:rsidRPr="00883125">
        <w:t xml:space="preserve">Tribunal decision, the </w:t>
      </w:r>
      <w:r w:rsidR="00C25A56">
        <w:t xml:space="preserve">Ausgrid </w:t>
      </w:r>
      <w:r w:rsidRPr="00883125">
        <w:t xml:space="preserve">Tribunal considered </w:t>
      </w:r>
      <w:r>
        <w:t>we were</w:t>
      </w:r>
      <w:r w:rsidRPr="00883125">
        <w:t xml:space="preserve"> being inconsistent with </w:t>
      </w:r>
      <w:r>
        <w:t>our</w:t>
      </w:r>
      <w:r w:rsidRPr="00883125">
        <w:t xml:space="preserve"> approach as other allowed rate of return parameters were determined by market prices which are influenced by personal taxes. </w:t>
      </w:r>
      <w:r w:rsidR="00107408" w:rsidRPr="00107408">
        <w:t xml:space="preserve">Frontier in its new report </w:t>
      </w:r>
      <w:r w:rsidR="00107408">
        <w:t xml:space="preserve">also </w:t>
      </w:r>
      <w:r w:rsidR="00107408" w:rsidRPr="00107408">
        <w:t>claims that the value of imputation credits estimated from market studies should be used given this is the same approach that is used to estimate every other WACC parameter.</w:t>
      </w:r>
      <w:r w:rsidR="00107408">
        <w:rPr>
          <w:rStyle w:val="FootnoteReference"/>
        </w:rPr>
        <w:footnoteReference w:id="823"/>
      </w:r>
      <w:r w:rsidR="00107408" w:rsidRPr="00107408">
        <w:t xml:space="preserve"> </w:t>
      </w:r>
      <w:r>
        <w:t>We</w:t>
      </w:r>
      <w:r w:rsidRPr="00883125">
        <w:t xml:space="preserve"> do not agree. Other allowed rate of return parameters in the cost of equity and cost of debt are not influence by personal tax factors in a manner that results in estimates not being a gen</w:t>
      </w:r>
      <w:r w:rsidR="001B2BD0">
        <w:t>uine expected post tax returns.</w:t>
      </w:r>
      <w:r w:rsidR="00047AD8">
        <w:t xml:space="preserve"> </w:t>
      </w:r>
    </w:p>
    <w:p w:rsidR="00C52695" w:rsidRPr="00883125" w:rsidRDefault="00C52695" w:rsidP="00C52695">
      <w:r w:rsidRPr="00883125">
        <w:t xml:space="preserve">For instance, </w:t>
      </w:r>
      <w:r>
        <w:t xml:space="preserve">the returns derived from </w:t>
      </w:r>
      <w:r w:rsidRPr="00883125">
        <w:t>equity price</w:t>
      </w:r>
      <w:r>
        <w:t>s</w:t>
      </w:r>
      <w:r w:rsidRPr="00883125">
        <w:t xml:space="preserve"> is a post company tax (pre-personal tax) </w:t>
      </w:r>
      <w:r>
        <w:t>return</w:t>
      </w:r>
      <w:r w:rsidRPr="00883125">
        <w:t xml:space="preserve"> that is subject to capital gains tax when it is sold by an investor. This contrast to the cash dividends and imputation credits estimate</w:t>
      </w:r>
      <w:r>
        <w:t>s</w:t>
      </w:r>
      <w:r w:rsidRPr="00883125">
        <w:t xml:space="preserve"> from market based dividend drop off studies which are neither pre nor post-personal tax estim</w:t>
      </w:r>
      <w:r w:rsidR="001B2BD0">
        <w:t>ates of the value to investors.</w:t>
      </w:r>
    </w:p>
    <w:p w:rsidR="00C52695" w:rsidRPr="00883125" w:rsidRDefault="00C52695" w:rsidP="00C52695">
      <w:r w:rsidRPr="00883125">
        <w:t>When calculating the MRP using historical data we use the face value of capital gains and dividends and not market value implied by dividend drop off studies. Likewise when calculating the MRP in the dividend growth model we discount the dividends at face value and not the value implied in the dividend drop off studies.</w:t>
      </w:r>
    </w:p>
    <w:p w:rsidR="00C52695" w:rsidRPr="00883125" w:rsidRDefault="00C52695" w:rsidP="00C52695">
      <w:r w:rsidRPr="00883125">
        <w:t xml:space="preserve">Similarly, </w:t>
      </w:r>
      <w:r>
        <w:t>t</w:t>
      </w:r>
      <w:r w:rsidRPr="00883125">
        <w:t xml:space="preserve">he bond </w:t>
      </w:r>
      <w:r>
        <w:t xml:space="preserve">returns derived from bond market </w:t>
      </w:r>
      <w:r w:rsidRPr="00883125">
        <w:t xml:space="preserve">price </w:t>
      </w:r>
      <w:r>
        <w:t>are</w:t>
      </w:r>
      <w:r w:rsidRPr="00883125">
        <w:t xml:space="preserve"> a post company tax (pre-personal tax) </w:t>
      </w:r>
      <w:r>
        <w:t>returns</w:t>
      </w:r>
      <w:r w:rsidRPr="00883125">
        <w:t xml:space="preserve">. When </w:t>
      </w:r>
      <w:r>
        <w:t>we</w:t>
      </w:r>
      <w:r w:rsidRPr="00883125">
        <w:t xml:space="preserve"> or a third party service provider calculates the yield to maturity on bonds and government securities, the face value of coupons and the face value of the principa</w:t>
      </w:r>
      <w:r w:rsidR="00A3116F">
        <w:t>l are used in the calculations.</w:t>
      </w:r>
    </w:p>
    <w:p w:rsidR="00C52695" w:rsidRPr="00883125" w:rsidRDefault="00C52695" w:rsidP="00C52695">
      <w:r w:rsidRPr="00883125">
        <w:t xml:space="preserve">The above examples demonstrate why </w:t>
      </w:r>
      <w:r>
        <w:t>we</w:t>
      </w:r>
      <w:r w:rsidRPr="00883125">
        <w:t xml:space="preserve"> consider its approach to estimating gamma is consistent with how it estimates the rate of return parameters when estimating in the allowed rate of return for the benchmark efficient entity. This is further discussed in section </w:t>
      </w:r>
      <w:r w:rsidRPr="00883125">
        <w:fldChar w:fldCharType="begin"/>
      </w:r>
      <w:r w:rsidRPr="00883125">
        <w:instrText xml:space="preserve"> REF _Ref450300692 \r \h </w:instrText>
      </w:r>
      <w:r w:rsidRPr="00883125">
        <w:fldChar w:fldCharType="separate"/>
      </w:r>
      <w:r w:rsidR="007E3457">
        <w:t>A.8.2</w:t>
      </w:r>
      <w:r w:rsidRPr="00883125">
        <w:fldChar w:fldCharType="end"/>
      </w:r>
      <w:r w:rsidRPr="00883125">
        <w:t>.</w:t>
      </w:r>
      <w:r w:rsidR="00047AD8">
        <w:t xml:space="preserve"> We also note that in its decision released on 24 May 2017 the Full Federal Court found error in the Tribunal's construction of the term 'the value of imputation credits' and upheld the AER's </w:t>
      </w:r>
      <w:r w:rsidR="00D95082">
        <w:t xml:space="preserve">applications for judicial review </w:t>
      </w:r>
      <w:r w:rsidR="00D26221">
        <w:t>on this point.</w:t>
      </w:r>
      <w:r w:rsidR="00047AD8">
        <w:rPr>
          <w:rStyle w:val="FootnoteReference"/>
        </w:rPr>
        <w:footnoteReference w:id="824"/>
      </w:r>
    </w:p>
    <w:p w:rsidR="00C52695" w:rsidRPr="00883125" w:rsidRDefault="00C52695" w:rsidP="00C52695">
      <w:r w:rsidRPr="00883125">
        <w:t xml:space="preserve">The above example shows that if market based dividend drop off studies are to be used to estimate </w:t>
      </w:r>
      <w:r>
        <w:t>the utilisation value</w:t>
      </w:r>
      <w:r w:rsidRPr="00883125">
        <w:t>, adjustments have to be made for the impact of personal tax and personal cost factors. However, for reasons outlined above this is not ideal. For estimating the taxation building block we want to know what proportion of corporate tax is a pre-payment of personal tax</w:t>
      </w:r>
      <w:r>
        <w:t xml:space="preserve"> (as this is the direct value investors will get from the reduction in their tax bill payable to the government, or via a rebate from the government)</w:t>
      </w:r>
      <w:r w:rsidRPr="00883125">
        <w:t xml:space="preserve">. We consider this is currently best estimated using the equity ownership approach. </w:t>
      </w:r>
    </w:p>
    <w:p w:rsidR="00C52695" w:rsidRPr="00883125" w:rsidRDefault="00C52695" w:rsidP="00C52695">
      <w:r w:rsidRPr="00883125">
        <w:t>The analysis above ignored the impact of personal transaction costs but they similarly impact the share price drop ratio as differential personal taxes. As outlined above, local shareholders that have held shares for more than 12 months prefer a dollar of capital gains over a dollar of unfranked dividends on a pre-personal tax basis. This is due to capital gains being more valuable as they are taxed at a concessional tax rate relative to unfranked dividends. Similarly, investors value the cash flow that has lower personal transaction costs more than the cash flow that has higher personal transaction costs. For example, investor on personal cost basis might value dividends more than capital gains. This is due to investor having to pay brokerage fees in order to realise a capital gains while dividends are distributed without brokerage costs. However, personal transaction costs are not relevant in our regulatory context as they are not costs impost on the regulated business (i.e. they are irrelevant to the post tax return under the Officer WACC framework).</w:t>
      </w:r>
    </w:p>
    <w:p w:rsidR="00C52695" w:rsidRPr="00883125" w:rsidRDefault="00C52695" w:rsidP="00C52695">
      <w:r w:rsidRPr="00883125">
        <w:t>The analysis above is based around dividend drop off studies but is equally applicable to alternative market value studies.</w:t>
      </w:r>
    </w:p>
    <w:p w:rsidR="00C52695" w:rsidRPr="00883125" w:rsidRDefault="00C52695" w:rsidP="00C52695">
      <w:pPr>
        <w:pStyle w:val="Heading9"/>
      </w:pPr>
      <w:bookmarkStart w:id="433" w:name="_Ref415065117"/>
      <w:bookmarkStart w:id="434" w:name="_Toc456614341"/>
      <w:bookmarkStart w:id="435" w:name="_Toc462823345"/>
      <w:bookmarkStart w:id="436" w:name="_Toc487014100"/>
      <w:r w:rsidRPr="00883125">
        <w:t>Adjustment of estimates from implied market value studies</w:t>
      </w:r>
      <w:bookmarkEnd w:id="433"/>
      <w:bookmarkEnd w:id="434"/>
      <w:bookmarkEnd w:id="435"/>
      <w:bookmarkEnd w:id="436"/>
    </w:p>
    <w:p w:rsidR="00C52695" w:rsidRDefault="00C52695" w:rsidP="00C52695">
      <w:r w:rsidRPr="00883125">
        <w:t>Although not proposing this approach, a number of service providers submitted that estimates of the utilisation rate from implied market value studies can be adjusted to make them consistent with the before-personal-tax and before-personal-costs value of imputation credits.</w:t>
      </w:r>
      <w:r w:rsidRPr="00883125">
        <w:rPr>
          <w:rStyle w:val="FootnoteReference"/>
        </w:rPr>
        <w:footnoteReference w:id="825"/>
      </w:r>
      <w:r w:rsidRPr="00883125">
        <w:t xml:space="preserve"> </w:t>
      </w:r>
      <w:r>
        <w:t>However, the service providers do not propose this adjustment as they consider it to be unnecessary and inappropriate.</w:t>
      </w:r>
      <w:r w:rsidRPr="00883125">
        <w:rPr>
          <w:rStyle w:val="FootnoteReference"/>
        </w:rPr>
        <w:footnoteReference w:id="826"/>
      </w:r>
    </w:p>
    <w:p w:rsidR="00C52695" w:rsidRPr="00883125" w:rsidRDefault="00C52695" w:rsidP="00C52695">
      <w:r>
        <w:t>W</w:t>
      </w:r>
      <w:r w:rsidRPr="00883125">
        <w:t xml:space="preserve">e do not consider that the relevant adjustment—proposed by Handley and Lally and discussed in section </w:t>
      </w:r>
      <w:r w:rsidR="00D647C5">
        <w:fldChar w:fldCharType="begin"/>
      </w:r>
      <w:r w:rsidR="00D647C5">
        <w:instrText xml:space="preserve"> REF _Ref475972971 \r \h </w:instrText>
      </w:r>
      <w:r w:rsidR="00D647C5">
        <w:fldChar w:fldCharType="separate"/>
      </w:r>
      <w:r w:rsidR="007E3457">
        <w:t>4.4</w:t>
      </w:r>
      <w:r w:rsidR="00D647C5">
        <w:fldChar w:fldCharType="end"/>
      </w:r>
      <w:r w:rsidRPr="00883125">
        <w:t>—will fully account for the potential effect of personal taxes and costs. This is because the proposed adjustment seeks to remove from the estimates of investors’ valuation of dividends and imputation credits the effect of factors that suggest that investors’ valuation of $1 of dividends is less than $1. However, according to Gray (for SFG), there are:</w:t>
      </w:r>
      <w:r w:rsidRPr="00883125">
        <w:rPr>
          <w:rStyle w:val="FootnoteReference"/>
        </w:rPr>
        <w:footnoteReference w:id="827"/>
      </w:r>
    </w:p>
    <w:p w:rsidR="00C52695" w:rsidRPr="00883125" w:rsidRDefault="00C52695" w:rsidP="00C52695">
      <w:pPr>
        <w:pStyle w:val="AERquote"/>
      </w:pPr>
      <w:r w:rsidRPr="00883125">
        <w:t>…costs that reasonable, efficient investors would incur in relation to imputation credits, which do not apply to dividends or capital gains.</w:t>
      </w:r>
    </w:p>
    <w:p w:rsidR="00C52695" w:rsidRPr="00883125" w:rsidRDefault="00C52695" w:rsidP="00C52695">
      <w:r w:rsidRPr="00883125">
        <w:t>Thus, Gray's view (for SFG) appears to be that there are factors which affect investors' valuation of imputation credits (as reflected in share prices) which do not affect investors' valuation of dividends.</w:t>
      </w:r>
      <w:r w:rsidRPr="00883125">
        <w:rPr>
          <w:rStyle w:val="FootnoteReference"/>
        </w:rPr>
        <w:footnoteReference w:id="828"/>
      </w:r>
      <w:r w:rsidRPr="00883125">
        <w:t xml:space="preserve"> Therefore, it does not appear that the proposed adjustment—which only addresses factors which affect both dividends and imputation credits—would exclude the effect of the factors identified by SFG as affecting just imputation credits.</w:t>
      </w:r>
    </w:p>
    <w:p w:rsidR="00C52695" w:rsidRDefault="00C52695" w:rsidP="00C52695">
      <w:r w:rsidRPr="00883125">
        <w:t xml:space="preserve">As outlined above in section </w:t>
      </w:r>
      <w:r w:rsidRPr="00883125">
        <w:fldChar w:fldCharType="begin"/>
      </w:r>
      <w:r w:rsidRPr="00883125">
        <w:instrText xml:space="preserve"> REF _Ref435171205 \r \h </w:instrText>
      </w:r>
      <w:r w:rsidRPr="00883125">
        <w:fldChar w:fldCharType="separate"/>
      </w:r>
      <w:r w:rsidR="007E3457">
        <w:t>A.15.3</w:t>
      </w:r>
      <w:r w:rsidRPr="00883125">
        <w:fldChar w:fldCharType="end"/>
      </w:r>
      <w:r w:rsidRPr="00883125">
        <w:t>, the adjustment for the impact of differential personal taxes is equivalent for dividends and imputation credits. Therefore, if market value studies are to be used to estimate the utilisation value then at a minimum the adjustment proposed by Lally and Handley should be used.</w:t>
      </w:r>
    </w:p>
    <w:p w:rsidR="00C52695" w:rsidRDefault="00C52695" w:rsidP="00C52695">
      <w:r>
        <w:t xml:space="preserve">Lally considered that the coefficient on imputation credits in dividend drop off studies is not </w:t>
      </w:r>
      <m:oMath>
        <m:r>
          <w:rPr>
            <w:rFonts w:ascii="Cambria Math" w:hAnsi="Cambria Math"/>
          </w:rPr>
          <m:t>θ</m:t>
        </m:r>
      </m:oMath>
      <w:r>
        <w:t xml:space="preserve"> but </w:t>
      </w:r>
      <m:oMath>
        <m:r>
          <w:rPr>
            <w:rFonts w:ascii="Cambria Math" w:hAnsi="Cambria Math"/>
          </w:rPr>
          <m:t>δθ</m:t>
        </m:r>
      </m:oMath>
      <w:r>
        <w:t>. Therefore the estimated value of imputation credits in the dividend drop off study must be divided by the estimate value of the cash dividend.</w:t>
      </w:r>
      <w:r>
        <w:rPr>
          <w:rStyle w:val="FootnoteReference"/>
        </w:rPr>
        <w:footnoteReference w:id="829"/>
      </w:r>
    </w:p>
    <w:p w:rsidR="00D0581B" w:rsidRDefault="00404C06" w:rsidP="00C52695">
      <w:r>
        <w:t xml:space="preserve">Frontier </w:t>
      </w:r>
      <w:r w:rsidR="009119B6">
        <w:t>submits</w:t>
      </w:r>
      <w:r w:rsidR="00483A35">
        <w:t xml:space="preserve"> that if the coefficient on the dividend is less than one</w:t>
      </w:r>
      <w:r w:rsidR="009119B6">
        <w:t>,</w:t>
      </w:r>
      <w:r w:rsidR="00483A35">
        <w:t xml:space="preserve"> </w:t>
      </w:r>
      <w:r w:rsidR="00D0581B">
        <w:t xml:space="preserve">then </w:t>
      </w:r>
      <w:r w:rsidR="00483A35">
        <w:t xml:space="preserve">the </w:t>
      </w:r>
      <w:r w:rsidR="009119B6">
        <w:t xml:space="preserve">total </w:t>
      </w:r>
      <w:r w:rsidR="00483A35">
        <w:t xml:space="preserve">revenue should be increased and not decreased as is the case with the AER's </w:t>
      </w:r>
      <w:r w:rsidR="009119B6">
        <w:t>proposed adjustment.</w:t>
      </w:r>
      <w:r w:rsidR="0095204D">
        <w:rPr>
          <w:rStyle w:val="FootnoteReference"/>
        </w:rPr>
        <w:footnoteReference w:id="830"/>
      </w:r>
      <w:r w:rsidR="009119B6">
        <w:t xml:space="preserve"> This is </w:t>
      </w:r>
      <w:r w:rsidR="00D0581B">
        <w:t>due to shareholders requiring a higher compensation for them valuing dividend at less than face value. However, Lally does not agree with this proposition.</w:t>
      </w:r>
      <w:r w:rsidR="00D0581B" w:rsidRPr="00BF2DCE">
        <w:rPr>
          <w:rStyle w:val="FootnoteReference"/>
        </w:rPr>
        <w:footnoteReference w:id="831"/>
      </w:r>
      <w:r w:rsidR="00D0581B">
        <w:t xml:space="preserve"> </w:t>
      </w:r>
      <w:r w:rsidR="0057145F">
        <w:t>Lally considers that if dividend drop off studies produce an estimate of cash dividends of less than one this implies that shareholders do not value dividends as highly as capital gain and this does not suggest that revenue should be increased.</w:t>
      </w:r>
      <w:r w:rsidR="0057145F" w:rsidRPr="00BF2DCE">
        <w:rPr>
          <w:rStyle w:val="FootnoteReference"/>
        </w:rPr>
        <w:footnoteReference w:id="832"/>
      </w:r>
      <w:r w:rsidR="0057145F">
        <w:t xml:space="preserve"> </w:t>
      </w:r>
      <w:r w:rsidR="00E21D08">
        <w:t>The result is an artefact of personal costs, almost certainly differential taxation on dividends and capital gains biasing the dividend drop off results.  The effect of differential taxation</w:t>
      </w:r>
      <w:r w:rsidR="005A5848">
        <w:t xml:space="preserve"> </w:t>
      </w:r>
      <w:r w:rsidR="0057145F">
        <w:t xml:space="preserve">is demonstrated in section </w:t>
      </w:r>
      <w:r w:rsidR="0057145F">
        <w:fldChar w:fldCharType="begin"/>
      </w:r>
      <w:r w:rsidR="0057145F">
        <w:instrText xml:space="preserve"> REF _Ref435171205 \r \h </w:instrText>
      </w:r>
      <w:r w:rsidR="0057145F">
        <w:fldChar w:fldCharType="separate"/>
      </w:r>
      <w:r w:rsidR="007E3457">
        <w:t>A.15.3</w:t>
      </w:r>
      <w:r w:rsidR="0057145F">
        <w:fldChar w:fldCharType="end"/>
      </w:r>
      <w:r w:rsidR="0057145F">
        <w:t xml:space="preserve"> above.</w:t>
      </w:r>
      <w:r w:rsidR="00E21D08">
        <w:t xml:space="preserve"> </w:t>
      </w:r>
    </w:p>
    <w:p w:rsidR="00C52695" w:rsidRPr="00883125" w:rsidRDefault="00C52695" w:rsidP="00C52695">
      <w:pPr>
        <w:pStyle w:val="Heading9"/>
      </w:pPr>
      <w:bookmarkStart w:id="437" w:name="_Ref414624721"/>
      <w:bookmarkStart w:id="438" w:name="_Toc456614342"/>
      <w:bookmarkStart w:id="439" w:name="_Toc462823346"/>
      <w:bookmarkStart w:id="440" w:name="_Toc487014101"/>
      <w:r w:rsidRPr="00883125">
        <w:t>Limitations of SFG's dividend drop off study</w:t>
      </w:r>
      <w:bookmarkEnd w:id="437"/>
      <w:bookmarkEnd w:id="438"/>
      <w:bookmarkEnd w:id="439"/>
      <w:bookmarkEnd w:id="440"/>
    </w:p>
    <w:p w:rsidR="00C52695" w:rsidRPr="00883125" w:rsidRDefault="00C52695" w:rsidP="00C52695">
      <w:r w:rsidRPr="00883125">
        <w:t>A number of service providers submitted that ‘several of the general limitations [of implied market value studies identified] do not apply to the SFG study’.</w:t>
      </w:r>
      <w:r w:rsidRPr="00883125">
        <w:rPr>
          <w:rStyle w:val="FootnoteReference"/>
        </w:rPr>
        <w:footnoteReference w:id="833"/>
      </w:r>
      <w:r w:rsidRPr="00883125">
        <w:t xml:space="preserve"> Namely, the service providers consider that the SFG dividend drop off study does not produce nonsensical results and is not subject to problematic estimation methodologies.</w:t>
      </w:r>
      <w:r w:rsidRPr="00883125">
        <w:rPr>
          <w:rStyle w:val="FootnoteReference"/>
        </w:rPr>
        <w:footnoteReference w:id="834"/>
      </w:r>
      <w:r w:rsidRPr="00883125">
        <w:t xml:space="preserve"> The service providers consider </w:t>
      </w:r>
      <w:r>
        <w:t>we</w:t>
      </w:r>
      <w:r w:rsidRPr="00883125">
        <w:t xml:space="preserve"> ha</w:t>
      </w:r>
      <w:r>
        <w:t>ve</w:t>
      </w:r>
      <w:r w:rsidRPr="00883125">
        <w:t xml:space="preserve"> not assessed the SFG study as a standalone basis, rather they consider </w:t>
      </w:r>
      <w:r>
        <w:t>we</w:t>
      </w:r>
      <w:r w:rsidRPr="00883125">
        <w:t xml:space="preserve"> assess it together with all drop off studies.</w:t>
      </w:r>
      <w:r w:rsidRPr="00883125">
        <w:rPr>
          <w:rStyle w:val="FootnoteReference"/>
        </w:rPr>
        <w:footnoteReference w:id="835"/>
      </w:r>
      <w:r w:rsidRPr="00883125">
        <w:t xml:space="preserve"> </w:t>
      </w:r>
      <w:r>
        <w:t>We</w:t>
      </w:r>
      <w:r w:rsidRPr="00883125">
        <w:t xml:space="preserve"> do not agree and below we set out the limitations that we consider apply generally to implied market value studies and consider whether these apply to SFG’s dividend drop off study on a standalone basis. We conclude that there is reasonable evidence to suggest that several of the limitations do apply to SFG's dividend drop off study. There appears to be no information in the proposals lodged in 201</w:t>
      </w:r>
      <w:r>
        <w:t>6</w:t>
      </w:r>
      <w:r w:rsidRPr="00883125">
        <w:t xml:space="preserve"> or in Gray's June 201</w:t>
      </w:r>
      <w:r>
        <w:t>6</w:t>
      </w:r>
      <w:r w:rsidRPr="00883125">
        <w:t xml:space="preserve"> report (for Frontier),</w:t>
      </w:r>
      <w:r w:rsidRPr="00883125">
        <w:rPr>
          <w:rStyle w:val="FootnoteReference"/>
        </w:rPr>
        <w:footnoteReference w:id="836"/>
      </w:r>
      <w:r w:rsidRPr="00883125">
        <w:t xml:space="preserve"> to warrant us changing our view on any of the material below set out in our decisions released in </w:t>
      </w:r>
      <w:r>
        <w:t>October</w:t>
      </w:r>
      <w:r w:rsidRPr="00883125">
        <w:t xml:space="preserve"> and </w:t>
      </w:r>
      <w:r>
        <w:t xml:space="preserve">November </w:t>
      </w:r>
      <w:r w:rsidRPr="00883125">
        <w:t xml:space="preserve"> 2015.</w:t>
      </w:r>
    </w:p>
    <w:p w:rsidR="00C52695" w:rsidRPr="001B2BD0" w:rsidRDefault="00C52695" w:rsidP="007F6EED">
      <w:pPr>
        <w:pStyle w:val="HeadingBoldItalic"/>
      </w:pPr>
      <w:bookmarkStart w:id="441" w:name="_Toc456614343"/>
      <w:bookmarkStart w:id="442" w:name="_Toc481056723"/>
      <w:bookmarkStart w:id="443" w:name="_Toc481061517"/>
      <w:r w:rsidRPr="001B2BD0">
        <w:t>These studies can produce nonsensical estimates of the utilisation rate; that is, greater than one or less than zero.</w:t>
      </w:r>
      <w:bookmarkEnd w:id="441"/>
      <w:bookmarkEnd w:id="442"/>
      <w:bookmarkEnd w:id="443"/>
    </w:p>
    <w:p w:rsidR="00C52695" w:rsidRPr="00883125" w:rsidRDefault="00C52695" w:rsidP="00C52695">
      <w:r w:rsidRPr="00883125">
        <w:t>We accept that this limitation does not apply to SFG’s study. Its estimate of the utilisation rate is 0.35.</w:t>
      </w:r>
    </w:p>
    <w:p w:rsidR="00C52695" w:rsidRPr="00D414CC" w:rsidRDefault="00C52695" w:rsidP="007F6EED">
      <w:pPr>
        <w:pStyle w:val="HeadingBoldItalic"/>
      </w:pPr>
      <w:bookmarkStart w:id="444" w:name="_Toc456614344"/>
      <w:bookmarkStart w:id="445" w:name="_Toc481056724"/>
      <w:bookmarkStart w:id="446" w:name="_Toc481061518"/>
      <w:r w:rsidRPr="00226744">
        <w:t>The results of these studies can reflect factors, such as differential personal taxes and risk, which are not relevant to the utilisation rate.</w:t>
      </w:r>
      <w:bookmarkEnd w:id="444"/>
      <w:bookmarkEnd w:id="445"/>
      <w:bookmarkEnd w:id="446"/>
    </w:p>
    <w:p w:rsidR="00C52695" w:rsidRPr="00883125" w:rsidRDefault="00C52695" w:rsidP="00C52695">
      <w:r w:rsidRPr="00883125">
        <w:t>Both Handley and Lally advised that the results from SFG’s dividend drop off study reflect these factors.</w:t>
      </w:r>
      <w:r w:rsidRPr="00883125">
        <w:rPr>
          <w:rStyle w:val="FootnoteReference"/>
        </w:rPr>
        <w:footnoteReference w:id="837"/>
      </w:r>
      <w:r w:rsidRPr="00883125">
        <w:t xml:space="preserve"> A number of service providers themselves also acknowledged this elsewhere in their proposals:</w:t>
      </w:r>
      <w:r w:rsidRPr="00883125">
        <w:rPr>
          <w:rStyle w:val="FootnoteReference"/>
        </w:rPr>
        <w:footnoteReference w:id="838"/>
      </w:r>
    </w:p>
    <w:p w:rsidR="00C52695" w:rsidRPr="00883125" w:rsidRDefault="00C52695" w:rsidP="00C52695">
      <w:pPr>
        <w:pStyle w:val="AERquote"/>
      </w:pPr>
      <w:r w:rsidRPr="00883125">
        <w:t>…even if the AER’s definition of theta were to be adopted, there is a relatively simple adjustment that can be made to estimates from market value studies to address this concern. As explained by Associate Professor Handley, this involves ‘grossing up’ the theta estimate from a market value study to reflect the effect of personal taxes and personal costs.</w:t>
      </w:r>
    </w:p>
    <w:p w:rsidR="00C52695" w:rsidRPr="00883125" w:rsidRDefault="00C52695" w:rsidP="00C52695">
      <w:r w:rsidRPr="00883125">
        <w:t>Therefore, we conclude that this limitation does apply to SFG’s study.</w:t>
      </w:r>
    </w:p>
    <w:p w:rsidR="00C52695" w:rsidRPr="00883125" w:rsidRDefault="00C52695" w:rsidP="00C52695">
      <w:r w:rsidRPr="00883125">
        <w:t xml:space="preserve">In section </w:t>
      </w:r>
      <w:r w:rsidRPr="00883125">
        <w:rPr>
          <w:rStyle w:val="AERtexthighlight"/>
        </w:rPr>
        <w:fldChar w:fldCharType="begin"/>
      </w:r>
      <w:r w:rsidRPr="00883125">
        <w:instrText xml:space="preserve"> REF _Ref435171205 \r \h </w:instrText>
      </w:r>
      <w:r w:rsidRPr="00883125">
        <w:rPr>
          <w:rStyle w:val="AERtexthighlight"/>
        </w:rPr>
      </w:r>
      <w:r w:rsidRPr="00883125">
        <w:rPr>
          <w:rStyle w:val="AERtexthighlight"/>
        </w:rPr>
        <w:fldChar w:fldCharType="separate"/>
      </w:r>
      <w:r w:rsidR="007E3457">
        <w:t>A.15.3</w:t>
      </w:r>
      <w:r w:rsidRPr="00883125">
        <w:rPr>
          <w:rStyle w:val="AERtexthighlight"/>
        </w:rPr>
        <w:fldChar w:fldCharType="end"/>
      </w:r>
      <w:r w:rsidRPr="00883125">
        <w:t xml:space="preserve"> we have also provided a worked example of how personal taxes influence market value of dividend and imputation credits in market studies.</w:t>
      </w:r>
    </w:p>
    <w:p w:rsidR="00C52695" w:rsidRPr="00D414CC" w:rsidRDefault="00C52695" w:rsidP="007F6EED">
      <w:pPr>
        <w:pStyle w:val="HeadingBoldItalic"/>
      </w:pPr>
      <w:bookmarkStart w:id="447" w:name="_Toc456614345"/>
      <w:bookmarkStart w:id="448" w:name="_Toc481056725"/>
      <w:bookmarkStart w:id="449" w:name="_Toc481061519"/>
      <w:r w:rsidRPr="00226744">
        <w:t>The results of these studies might not be reflective of the value o</w:t>
      </w:r>
      <w:r w:rsidRPr="00D414CC">
        <w:t>f imputation credits to investors in the market as a whole.</w:t>
      </w:r>
      <w:bookmarkEnd w:id="447"/>
      <w:bookmarkEnd w:id="448"/>
      <w:bookmarkEnd w:id="449"/>
    </w:p>
    <w:p w:rsidR="00C52695" w:rsidRPr="00883125" w:rsidRDefault="00C52695" w:rsidP="00C52695">
      <w:r w:rsidRPr="00883125">
        <w:t>Gray’s response to this point (for SFG) was:</w:t>
      </w:r>
      <w:r w:rsidRPr="00883125">
        <w:rPr>
          <w:rStyle w:val="FootnoteReference"/>
        </w:rPr>
        <w:footnoteReference w:id="839"/>
      </w:r>
    </w:p>
    <w:p w:rsidR="00C52695" w:rsidRPr="00883125" w:rsidRDefault="00C52695" w:rsidP="00C52695">
      <w:pPr>
        <w:pStyle w:val="AERquote"/>
      </w:pPr>
      <w:r w:rsidRPr="00883125">
        <w:t>The AER has previously argued that the increased trading volume that occurs around ex-dividend dates could potentially affect the estimates. I have previously responded to this point in great detail, explaining why, if anything, this additional trading would have the effect of increasing the estimate of theta.</w:t>
      </w:r>
    </w:p>
    <w:p w:rsidR="00C52695" w:rsidRPr="00883125" w:rsidRDefault="00C52695" w:rsidP="00C52695">
      <w:pPr>
        <w:pStyle w:val="AERquote"/>
      </w:pPr>
      <w:r w:rsidRPr="00883125">
        <w:t>I have previously addressed this issue at pp. 31-32 of SFG (2014 Gamma) and at ENA (2013), Section 7.9, pp.119-123.</w:t>
      </w:r>
    </w:p>
    <w:p w:rsidR="00C52695" w:rsidRPr="00883125" w:rsidRDefault="00C52695" w:rsidP="00C52695">
      <w:r w:rsidRPr="00883125">
        <w:t>The ENA (2013) report referred to by Gray (for SFG) was a response to our draft rate of return Guideline. Lally reviewed our draft Guideline and the ENA response. His conclusion was:</w:t>
      </w:r>
      <w:r w:rsidRPr="00883125">
        <w:rPr>
          <w:rStyle w:val="FootnoteReference"/>
        </w:rPr>
        <w:footnoteReference w:id="840"/>
      </w:r>
    </w:p>
    <w:p w:rsidR="00C52695" w:rsidRPr="00883125" w:rsidRDefault="00C52695" w:rsidP="00C52695">
      <w:pPr>
        <w:pStyle w:val="AERquote"/>
      </w:pPr>
      <w:r w:rsidRPr="00883125">
        <w:t>The AER’s third approach to estimating [the utilisation rate] involves estimates derived from market prices (AER, 2013, pp. 133–134, 239–247). The AER does not consider that these estimates are useful for a number of reasons.</w:t>
      </w:r>
    </w:p>
    <w:p w:rsidR="00C52695" w:rsidRPr="00883125" w:rsidRDefault="00C52695" w:rsidP="00C52695">
      <w:pPr>
        <w:pStyle w:val="AERquote"/>
      </w:pPr>
      <w:r w:rsidRPr="00883125">
        <w:t>…</w:t>
      </w:r>
    </w:p>
    <w:p w:rsidR="00C52695" w:rsidRPr="00883125" w:rsidRDefault="00C52695" w:rsidP="00C52695">
      <w:pPr>
        <w:pStyle w:val="AERquote"/>
      </w:pPr>
      <w:r w:rsidRPr="00883125">
        <w:t>I concur with all of these concerns, and I have additional concerns about these studies or their interpretation.</w:t>
      </w:r>
    </w:p>
    <w:p w:rsidR="00C52695" w:rsidRPr="00883125" w:rsidRDefault="00C52695" w:rsidP="00C52695">
      <w:r w:rsidRPr="00883125">
        <w:t>Regarding the particular limitation at hand, Lally noted:</w:t>
      </w:r>
      <w:r w:rsidRPr="00883125">
        <w:rPr>
          <w:rStyle w:val="FootnoteReference"/>
        </w:rPr>
        <w:footnoteReference w:id="841"/>
      </w:r>
    </w:p>
    <w:p w:rsidR="00C52695" w:rsidRPr="00883125" w:rsidRDefault="00C52695" w:rsidP="00C52695">
      <w:pPr>
        <w:pStyle w:val="AERquote"/>
      </w:pPr>
      <w:r w:rsidRPr="00883125">
        <w:t>Tenthly, although the utilisation rate is a value-weighted average over all investors in the market, the use of market prices will produce an estimate that reflects the tax position, transactions costs and motives of those investors who transact at the relevant times (such as tax arbitrageurs) and these investors may be quite unrepresentative of the entire market.</w:t>
      </w:r>
    </w:p>
    <w:p w:rsidR="00C52695" w:rsidRPr="00883125" w:rsidRDefault="00C52695" w:rsidP="00C52695">
      <w:r w:rsidRPr="00883125">
        <w:t>And on the effect of trading around the ex-dividend date, Lally noted:</w:t>
      </w:r>
      <w:r w:rsidRPr="00883125">
        <w:rPr>
          <w:rStyle w:val="FootnoteReference"/>
        </w:rPr>
        <w:footnoteReference w:id="842"/>
      </w:r>
    </w:p>
    <w:p w:rsidR="00C52695" w:rsidRPr="00883125" w:rsidRDefault="00C52695" w:rsidP="00C52695">
      <w:pPr>
        <w:pStyle w:val="AERquote"/>
      </w:pPr>
      <w:r w:rsidRPr="00883125">
        <w:t>In respect of tax arbitrage around dividend ex-days, the ENA (2013, section 7.9) argues that this would lead to [the utilisation rate] being overestimated by such studies (because these arbitrageurs would tend to drive up the prices of shares with large imputation credits prior to ex-day in the course of buying them, and then depress them shortly afterwards in the course of selling them).  This point would be plausible if tax considerations fully explained ex-dividend day results.  However, as described above, this is not the case.</w:t>
      </w:r>
    </w:p>
    <w:p w:rsidR="00C52695" w:rsidRPr="00883125" w:rsidRDefault="00C52695" w:rsidP="00C52695">
      <w:r w:rsidRPr="00883125">
        <w:t>Thus, Lally appeared unconvinced by the ENA’s views and provided no indication that SFG’s study (or any implied market value study) should necessarily be deemed free of this limitation.</w:t>
      </w:r>
    </w:p>
    <w:p w:rsidR="00C52695" w:rsidRPr="00883125" w:rsidRDefault="00C52695" w:rsidP="00C52695">
      <w:r w:rsidRPr="00883125">
        <w:t>Handley also appeared unconvinced by the views of Gray (for SFG) in his 2014 report on this limitation, noting in his September 2014 report:</w:t>
      </w:r>
      <w:r w:rsidRPr="00883125">
        <w:rPr>
          <w:rStyle w:val="FootnoteReference"/>
        </w:rPr>
        <w:footnoteReference w:id="843"/>
      </w:r>
    </w:p>
    <w:p w:rsidR="00C52695" w:rsidRPr="00883125" w:rsidRDefault="00C52695" w:rsidP="00C52695">
      <w:pPr>
        <w:pStyle w:val="AERquote"/>
      </w:pPr>
      <w:r w:rsidRPr="00883125">
        <w:t>…there remains a residual concern as to whether the composition of investors around the ex-dividend date is reflective of the composition of (long term) investors in the benchmark market who supply capital to firms (including to the benchmark efficient entity) and therefore whether the implied value of imputation credits around ex-dividend dates is representative of the value of imputation credits to the market as a whole.</w:t>
      </w:r>
    </w:p>
    <w:p w:rsidR="00C52695" w:rsidRPr="00883125" w:rsidRDefault="00C52695" w:rsidP="00C52695">
      <w:r w:rsidRPr="00883125">
        <w:t>Handley reiterated this view in his April 2015 report.</w:t>
      </w:r>
      <w:r w:rsidRPr="00883125">
        <w:rPr>
          <w:rStyle w:val="FootnoteReference"/>
        </w:rPr>
        <w:footnoteReference w:id="844"/>
      </w:r>
    </w:p>
    <w:p w:rsidR="00C52695" w:rsidRPr="00883125" w:rsidRDefault="00C52695" w:rsidP="00C52695">
      <w:r w:rsidRPr="00883125">
        <w:t>Finally, we note the South Australian Centre for Economic Studies recommended disregarding evidence from all dividend drop off studies due to this limitation entirely:</w:t>
      </w:r>
      <w:r w:rsidRPr="00883125">
        <w:rPr>
          <w:rStyle w:val="FootnoteReference"/>
        </w:rPr>
        <w:footnoteReference w:id="845"/>
      </w:r>
    </w:p>
    <w:p w:rsidR="00C52695" w:rsidRPr="00883125" w:rsidRDefault="00C52695" w:rsidP="00C52695">
      <w:pPr>
        <w:pStyle w:val="AERquote"/>
      </w:pPr>
      <w:r w:rsidRPr="00883125">
        <w:t>The studies included by SFG consulting in their review of estimates for theta all appear to be of good quality and are undertaken in a manner which reflects the current best practice in the literature.</w:t>
      </w:r>
    </w:p>
    <w:p w:rsidR="00C52695" w:rsidRPr="00883125" w:rsidRDefault="00C52695" w:rsidP="00C52695">
      <w:pPr>
        <w:pStyle w:val="AERquote"/>
      </w:pPr>
      <w:r w:rsidRPr="00883125">
        <w:t>However, purchase of stocks in any given period is dominated by a relatively small share of equity holders who engage in active trading equities. Overall ownership of equities, however, is dominated by those who trade infrequently. As such there is no reason to believe that the value placed on franking credits by active traders of equities is the same as that placed on franking credits by those who trade infrequently.</w:t>
      </w:r>
    </w:p>
    <w:p w:rsidR="00C52695" w:rsidRPr="00883125" w:rsidRDefault="00C52695" w:rsidP="00C52695">
      <w:pPr>
        <w:pStyle w:val="AERquote"/>
      </w:pPr>
      <w:r w:rsidRPr="00883125">
        <w:t>On the third point, listed firms are also only part of the stock of Australian equity. Data from the ABS’s ‘Australian National Accounts: Financial Accounts’ indicates that as at June 2014 unlisted shares comprised 44.5 per cent of the total value of shares in private firms (rising to 49.7 per cent if equity in government non-financial corporations is included).</w:t>
      </w:r>
    </w:p>
    <w:p w:rsidR="00C52695" w:rsidRPr="00883125" w:rsidRDefault="00C52695" w:rsidP="00C52695">
      <w:pPr>
        <w:pStyle w:val="AERquote"/>
      </w:pPr>
      <w:r w:rsidRPr="00883125">
        <w:t xml:space="preserve">Due to the unrepresentative nature of both traders in stock, and the ownership of listed stock, we believe that dropped dividend studies cannot be assumed to be informative about the value placed by median investor in the ‘benchmark efficient entity’. As such, </w:t>
      </w:r>
      <w:r w:rsidRPr="00883125">
        <w:rPr>
          <w:rStyle w:val="Strong"/>
        </w:rPr>
        <w:t>we recommend that estimates derived from dropped dividend studies be disregarded</w:t>
      </w:r>
      <w:r w:rsidRPr="00883125">
        <w:t>.</w:t>
      </w:r>
    </w:p>
    <w:p w:rsidR="00C52695" w:rsidRPr="00883125" w:rsidRDefault="00C52695" w:rsidP="00C52695">
      <w:r w:rsidRPr="00883125">
        <w:t>We consider that there is sufficient evidence in the expert views quoted above to suggest that SFG's dividend drop off study is subject to this limitation.</w:t>
      </w:r>
    </w:p>
    <w:p w:rsidR="00D45F43" w:rsidRDefault="00607633" w:rsidP="00C52695">
      <w:r>
        <w:t xml:space="preserve">In </w:t>
      </w:r>
      <w:r w:rsidR="006F68EC">
        <w:t>its</w:t>
      </w:r>
      <w:r>
        <w:t xml:space="preserve"> recent report, Frontier submits that McKenzie and Partington support that tax-induced trading around ex-dividend days would "inflate' the estimate of the utilisation rate.</w:t>
      </w:r>
      <w:r w:rsidR="0095204D">
        <w:rPr>
          <w:rStyle w:val="FootnoteReference"/>
        </w:rPr>
        <w:footnoteReference w:id="846"/>
      </w:r>
      <w:r>
        <w:t xml:space="preserve"> Lally does not agree and considers that Frontier is misrepresenting what McKenzie and Partington said </w:t>
      </w:r>
      <w:r w:rsidR="00CF3D56">
        <w:t>in their report:</w:t>
      </w:r>
      <w:r w:rsidR="00CF3D56" w:rsidRPr="00CF3D56">
        <w:rPr>
          <w:rStyle w:val="FootnoteReference"/>
        </w:rPr>
        <w:t xml:space="preserve"> </w:t>
      </w:r>
      <w:r w:rsidR="00CF3D56" w:rsidRPr="003A0C07">
        <w:rPr>
          <w:rStyle w:val="FootnoteReference"/>
        </w:rPr>
        <w:footnoteReference w:id="847"/>
      </w:r>
    </w:p>
    <w:p w:rsidR="00D45F43" w:rsidRPr="00CF3D56" w:rsidRDefault="00CF3D56" w:rsidP="00E750F8">
      <w:pPr>
        <w:pStyle w:val="AERquote"/>
      </w:pPr>
      <w:r w:rsidRPr="00CF3D56">
        <w:t xml:space="preserve">… </w:t>
      </w:r>
      <w:r w:rsidRPr="00E750F8">
        <w:t>the statements quoted by Frontier represent a summary from McKenzie and Partington of only two of the many papers examined by them.  Subsequently, in expressing their own views, McKenzie and Partington (2011, page 10) state that “Arbitrageurs can be engaged in both dividend avoidance (e.g.: foreign investors with lower franking credit values) and dividend capture (e.g.: domestic investors with higher franking credit values).”  The latter of these activities would raise the estimate of the utilization rate but the former would have the reverse effect.  McKenzie and Partington (2011, page 11) also state that “..if short-term traders did determine prices, then the observed price drop would underestimate the value of dividends and franking credits…” due to the effect of transactions costs.  McKenzie and Partington (2011, page 13) also summarise results from various papers that examine contemporaneous trades on cum and ex-dividend shares, which suggests that the dividend drop-off studies give “downward biased estimates of dividends and franking credit value.”</w:t>
      </w:r>
    </w:p>
    <w:p w:rsidR="00F354FC" w:rsidRDefault="00F354FC">
      <w:r>
        <w:t xml:space="preserve">In his </w:t>
      </w:r>
      <w:r w:rsidR="006F68EC">
        <w:t xml:space="preserve">recent </w:t>
      </w:r>
      <w:r>
        <w:t xml:space="preserve">report, Lally </w:t>
      </w:r>
      <w:r w:rsidR="00B57E75">
        <w:t>demonstrates tax-induced trading around the ex-dividend date can bias the utilisation rate in either direction and there is no apparent means of determining whether overall there will be an over or under estimation.</w:t>
      </w:r>
      <w:r w:rsidR="00B57E75" w:rsidRPr="003A0C07">
        <w:rPr>
          <w:rStyle w:val="FootnoteReference"/>
        </w:rPr>
        <w:footnoteReference w:id="848"/>
      </w:r>
      <w:r w:rsidR="0021673C">
        <w:rPr>
          <w:rStyle w:val="FootnoteReference"/>
        </w:rPr>
        <w:t xml:space="preserve"> </w:t>
      </w:r>
      <w:r w:rsidR="0021673C">
        <w:t>In his simple example, Lally demonstrates the if the actual utilisation value is 0.5 dividend drop off studies can produce a utilisation value in the range of 0 to 1.</w:t>
      </w:r>
      <w:r w:rsidR="0021673C">
        <w:rPr>
          <w:rStyle w:val="FootnoteReference"/>
        </w:rPr>
        <w:footnoteReference w:id="849"/>
      </w:r>
    </w:p>
    <w:p w:rsidR="00C52695" w:rsidRPr="00883125" w:rsidRDefault="00C52695" w:rsidP="00C52695">
      <w:r w:rsidRPr="00883125">
        <w:t xml:space="preserve">In section </w:t>
      </w:r>
      <w:r w:rsidRPr="00883125">
        <w:rPr>
          <w:rStyle w:val="AERtexthighlight"/>
        </w:rPr>
        <w:fldChar w:fldCharType="begin"/>
      </w:r>
      <w:r w:rsidRPr="00883125">
        <w:instrText xml:space="preserve"> REF _Ref435171205 \r \h </w:instrText>
      </w:r>
      <w:r w:rsidRPr="00883125">
        <w:rPr>
          <w:rStyle w:val="AERtexthighlight"/>
        </w:rPr>
      </w:r>
      <w:r w:rsidRPr="00883125">
        <w:rPr>
          <w:rStyle w:val="AERtexthighlight"/>
        </w:rPr>
        <w:fldChar w:fldCharType="separate"/>
      </w:r>
      <w:r w:rsidR="007E3457">
        <w:t>A.15.3</w:t>
      </w:r>
      <w:r w:rsidRPr="00883125">
        <w:rPr>
          <w:rStyle w:val="AERtexthighlight"/>
        </w:rPr>
        <w:fldChar w:fldCharType="end"/>
      </w:r>
      <w:r w:rsidRPr="00883125">
        <w:t xml:space="preserve"> it was outlined the dividend drop off ratio in market studies varies depending on the investor's marginal tax rate. Low (high) marginal tax rate investors have a higher (lower) dividend drop off ratio all else equal. The dividend drop off ratio that prevails in the market is determined by the marginal investor that trades around the ex-dividend date</w:t>
      </w:r>
      <w:r>
        <w:t>,</w:t>
      </w:r>
      <w:r w:rsidRPr="00883125">
        <w:t xml:space="preserve"> marginal tax rate. However, the marginal investor dividend drop off ratio is not relevant for estimating gamma in the regulatory context for two reasons:</w:t>
      </w:r>
    </w:p>
    <w:p w:rsidR="00C52695" w:rsidRPr="001D37D5" w:rsidRDefault="00C52695" w:rsidP="00C52695">
      <w:pPr>
        <w:pStyle w:val="AERbulletlistfirststyle"/>
      </w:pPr>
      <w:r w:rsidRPr="00883125">
        <w:t xml:space="preserve">The purpose of gamma </w:t>
      </w:r>
      <w:r w:rsidRPr="001D37D5">
        <w:t>is to deduct the proportion of company tax is a pre-payment of personal tax from the allowed regulated revenues. In order to determine this proportion the analysis has to focus on the aggregate investors and not the marginal investors that trade around the ex-dividend date.</w:t>
      </w:r>
    </w:p>
    <w:p w:rsidR="00C52695" w:rsidRPr="001D37D5" w:rsidRDefault="00C52695" w:rsidP="00C52695">
      <w:pPr>
        <w:pStyle w:val="AERbulletlistfirststyle"/>
      </w:pPr>
      <w:r w:rsidRPr="00883125">
        <w:t>This dividend drop off ratio is neither a pre-personal nor a post-persona tax measure of dividends</w:t>
      </w:r>
      <w:r w:rsidRPr="001D37D5">
        <w:t xml:space="preserve"> and imputation credits. It is just the change in the stock price between the cum and ex-dividend date which is determined by the size of the dividend, imputation credits and influenced by differential personal taxation of dividend/imputation credit and capital gains. This is further discussed in section </w:t>
      </w:r>
      <w:r w:rsidRPr="001D37D5">
        <w:rPr>
          <w:rStyle w:val="AERtexthighlight"/>
        </w:rPr>
        <w:fldChar w:fldCharType="begin"/>
      </w:r>
      <w:r w:rsidRPr="001D37D5">
        <w:instrText xml:space="preserve"> REF _Ref435171205 \r \h </w:instrText>
      </w:r>
      <w:r w:rsidRPr="001D37D5">
        <w:rPr>
          <w:rStyle w:val="AERtexthighlight"/>
        </w:rPr>
      </w:r>
      <w:r w:rsidRPr="001D37D5">
        <w:rPr>
          <w:rStyle w:val="AERtexthighlight"/>
        </w:rPr>
        <w:fldChar w:fldCharType="separate"/>
      </w:r>
      <w:r w:rsidR="007E3457">
        <w:t>A.15.3</w:t>
      </w:r>
      <w:r w:rsidRPr="001D37D5">
        <w:rPr>
          <w:rStyle w:val="AERtexthighlight"/>
        </w:rPr>
        <w:fldChar w:fldCharType="end"/>
      </w:r>
      <w:r w:rsidRPr="001D37D5">
        <w:t>.</w:t>
      </w:r>
    </w:p>
    <w:p w:rsidR="00C52695" w:rsidRPr="00D414CC" w:rsidRDefault="00C52695" w:rsidP="008B1CA1">
      <w:pPr>
        <w:pStyle w:val="HeadingBoldItalic"/>
        <w:keepNext/>
      </w:pPr>
      <w:bookmarkStart w:id="450" w:name="_Toc456614346"/>
      <w:bookmarkStart w:id="451" w:name="_Toc481056726"/>
      <w:bookmarkStart w:id="452" w:name="_Toc481061520"/>
      <w:r w:rsidRPr="00226744">
        <w:t>These studies can be data intensive and employ complex and sometimes problematic estimation methodologies.</w:t>
      </w:r>
      <w:bookmarkEnd w:id="450"/>
      <w:bookmarkEnd w:id="451"/>
      <w:bookmarkEnd w:id="452"/>
    </w:p>
    <w:p w:rsidR="00C52695" w:rsidRPr="00883125" w:rsidRDefault="00C52695" w:rsidP="008B1CA1">
      <w:pPr>
        <w:keepNext/>
      </w:pPr>
      <w:r w:rsidRPr="00883125">
        <w:t>We consider the idea that the SFG dividend drop off study is data intensive is evident in pages 4 to 14 of the 2011 version of that study and section 3 of the updated 2013 version.</w:t>
      </w:r>
      <w:r w:rsidRPr="00883125">
        <w:rPr>
          <w:rStyle w:val="FootnoteReference"/>
        </w:rPr>
        <w:footnoteReference w:id="850"/>
      </w:r>
    </w:p>
    <w:p w:rsidR="00C52695" w:rsidRPr="00883125" w:rsidRDefault="00C52695" w:rsidP="00C52695">
      <w:r w:rsidRPr="00883125">
        <w:t xml:space="preserve">Regarding whether the SFG study employs a complex and potentially problematic estimation methodology, we have regard to the views on dividend drop off studies expressed by academics and other regulators. A wide selection of these views is set out in section </w:t>
      </w:r>
      <w:r w:rsidR="001B2BD0">
        <w:fldChar w:fldCharType="begin"/>
      </w:r>
      <w:r w:rsidR="001B2BD0">
        <w:instrText xml:space="preserve"> REF _Ref415065117 \r \h </w:instrText>
      </w:r>
      <w:r w:rsidR="001B2BD0">
        <w:fldChar w:fldCharType="separate"/>
      </w:r>
      <w:r w:rsidR="007E3457">
        <w:t>A.15.4</w:t>
      </w:r>
      <w:r w:rsidR="001B2BD0">
        <w:fldChar w:fldCharType="end"/>
      </w:r>
      <w:r w:rsidRPr="00883125">
        <w:t xml:space="preserve"> below. All but one of these views were expressed subsequent to SFG's dividend drop off study. It is not clear why experts would continue to canvass the methodological issues associated with dividend drop off studies in general if SFG's dividend drop off study overcame these issues. This notwithstanding, we also have regard to the </w:t>
      </w:r>
      <w:r w:rsidR="00C25A56">
        <w:t xml:space="preserve">Energex </w:t>
      </w:r>
      <w:r w:rsidRPr="00883125">
        <w:t>Tribunal's acceptance of the results from SFG's dividend drop off study in 2011.</w:t>
      </w:r>
    </w:p>
    <w:p w:rsidR="00C52695" w:rsidRPr="00883125" w:rsidRDefault="00C52695" w:rsidP="00C52695">
      <w:r w:rsidRPr="00883125">
        <w:t>Therefore, we consider that there is evidence both for and against the idea that this limitation applies to SFG's dividend drop off study.</w:t>
      </w:r>
    </w:p>
    <w:p w:rsidR="00C52695" w:rsidRPr="00883125" w:rsidRDefault="00C52695" w:rsidP="00C52695">
      <w:r w:rsidRPr="00883125">
        <w:t>It is only the value of the combined package of dividends and imputation credits that can be observed in the market, and there is no consensus among experts on how to separate the value to the market of dividends from the value to the market of imputation credits.</w:t>
      </w:r>
    </w:p>
    <w:p w:rsidR="00C52695" w:rsidRDefault="00C52695" w:rsidP="00C52695">
      <w:r w:rsidRPr="00883125">
        <w:t>First, we note that it is strictly incorrect to say that the value of the combined package of dividends and imputation credits can be 'observed'. The service providers support this by quoting Gray that empirical evidence provides a very clear and consistent view of the combined value of credit and dividend.</w:t>
      </w:r>
      <w:r w:rsidRPr="00883125">
        <w:rPr>
          <w:rStyle w:val="FootnoteReference"/>
        </w:rPr>
        <w:footnoteReference w:id="851"/>
      </w:r>
      <w:r w:rsidRPr="00883125">
        <w:t xml:space="preserve"> This is because this value is actually estimated based on assumptions about what the ex-dividend price change represents. In any case, because imputation credits are only ever distributed with franked dividends, all dividend drop off studies must make this allocation/separation. Therefore this limitation applies to SFG's dividend drop off study. </w:t>
      </w:r>
      <w:bookmarkStart w:id="453" w:name="_Ref402180002"/>
      <w:bookmarkStart w:id="454" w:name="_Ref414619467"/>
    </w:p>
    <w:p w:rsidR="00C52695" w:rsidRPr="00B27BE5" w:rsidRDefault="00C52695" w:rsidP="008B1CA1">
      <w:pPr>
        <w:pStyle w:val="Heading9"/>
        <w:keepNext/>
      </w:pPr>
      <w:bookmarkStart w:id="455" w:name="_Toc456614347"/>
      <w:bookmarkStart w:id="456" w:name="_Toc462823347"/>
      <w:bookmarkStart w:id="457" w:name="_Toc487014102"/>
      <w:r w:rsidRPr="00883125">
        <w:t>The views of academics and other regulators</w:t>
      </w:r>
      <w:bookmarkEnd w:id="453"/>
      <w:r w:rsidRPr="00883125">
        <w:t xml:space="preserve"> on dividend drop off studies</w:t>
      </w:r>
      <w:bookmarkEnd w:id="454"/>
      <w:bookmarkEnd w:id="455"/>
      <w:bookmarkEnd w:id="456"/>
      <w:bookmarkEnd w:id="457"/>
    </w:p>
    <w:p w:rsidR="00C52695" w:rsidRPr="00883125" w:rsidRDefault="00C52695" w:rsidP="008B1CA1">
      <w:pPr>
        <w:keepNext/>
        <w:numPr>
          <w:ilvl w:val="0"/>
          <w:numId w:val="24"/>
        </w:numPr>
      </w:pPr>
      <w:r w:rsidRPr="00883125">
        <w:t xml:space="preserve">A number of academics and regulators have recognised the limitations of dividend drop off studies. Moreover, many of these concerns continue to be expressed even after the first version of SFG's dividend drop off study in 2011 (which was relied upon by the </w:t>
      </w:r>
      <w:r w:rsidR="00C25A56">
        <w:t xml:space="preserve">Energex </w:t>
      </w:r>
      <w:r w:rsidR="001B2BD0">
        <w:t>Tribunal), and the 2016</w:t>
      </w:r>
      <w:r w:rsidRPr="00883125">
        <w:t xml:space="preserve"> update of that study (which was relied upon in service providers' current proposals).</w:t>
      </w:r>
      <w:r w:rsidRPr="00883125">
        <w:rPr>
          <w:rStyle w:val="FootnoteReference"/>
        </w:rPr>
        <w:footnoteReference w:id="852"/>
      </w:r>
      <w:r w:rsidRPr="00883125">
        <w:t xml:space="preserve"> The comments of academics and other regulators support the lesser reliance we place on SFG's dividend drop off study in estimating the utilisation rate. </w:t>
      </w:r>
    </w:p>
    <w:p w:rsidR="00C52695" w:rsidRPr="00883125" w:rsidRDefault="00C52695" w:rsidP="00C52695">
      <w:pPr>
        <w:numPr>
          <w:ilvl w:val="0"/>
          <w:numId w:val="24"/>
        </w:numPr>
      </w:pPr>
      <w:r w:rsidRPr="00883125">
        <w:t>Some academics have identified a number of practical and methodological issues:</w:t>
      </w:r>
    </w:p>
    <w:p w:rsidR="00C52695" w:rsidRPr="00CA67C0" w:rsidRDefault="00C52695" w:rsidP="00C52695">
      <w:pPr>
        <w:pStyle w:val="AERbulletlistfirststyle"/>
      </w:pPr>
      <w:r w:rsidRPr="00883125">
        <w:t>Cannavan, Finn and Gray (2004):</w:t>
      </w:r>
      <w:r w:rsidRPr="00CA67C0">
        <w:rPr>
          <w:rStyle w:val="FootnoteReference"/>
        </w:rPr>
        <w:footnoteReference w:id="853"/>
      </w:r>
    </w:p>
    <w:p w:rsidR="00C52695" w:rsidRPr="00CA67C0" w:rsidRDefault="00C52695" w:rsidP="00C52695">
      <w:pPr>
        <w:pStyle w:val="AERquote"/>
      </w:pPr>
      <w:r w:rsidRPr="00883125">
        <w:t>…it is unlikely that the traditional ex-dividend day drop-off methodology will be able to separately identify the value of cash dividends and imputation credits.</w:t>
      </w:r>
    </w:p>
    <w:p w:rsidR="00C52695" w:rsidRPr="001D37D5" w:rsidRDefault="00C52695" w:rsidP="00C52695">
      <w:pPr>
        <w:pStyle w:val="AERbulletlistfirststyle"/>
      </w:pPr>
      <w:r w:rsidRPr="00883125">
        <w:t>Siau, Sault and Warren (2013):</w:t>
      </w:r>
      <w:r w:rsidRPr="001D37D5">
        <w:rPr>
          <w:rStyle w:val="FootnoteReference"/>
        </w:rPr>
        <w:footnoteReference w:id="854"/>
      </w:r>
    </w:p>
    <w:p w:rsidR="00C52695" w:rsidRPr="00883125" w:rsidRDefault="00C52695" w:rsidP="00C52695">
      <w:pPr>
        <w:pStyle w:val="AERquote"/>
      </w:pPr>
      <w:r w:rsidRPr="00883125">
        <w:t xml:space="preserve">Despite a large number of studies, the market value of imputation credits remains broadly disputed (see, for example, Gray and Hall, 2006; Lally, 2008; Partington and Truong, 2008; Gray, 2008). The majority of empirical studies have drawn inferences by focusing on the pricing of dividend distributions. This includes analysis of stock price declines around ex-dividend dates (‘ex-dividend drop-off studies’); and comparative pricing of instruments that differ only in their dividend and imputation entitlements. These studies are subject to a number of issues, such as imprecise estimates that may be influenced by the presence of short-term traders arbitraging dividends and limited samples in the case of comparative studies. </w:t>
      </w:r>
    </w:p>
    <w:p w:rsidR="00C52695" w:rsidRPr="00883125" w:rsidRDefault="00C52695" w:rsidP="00C52695">
      <w:pPr>
        <w:pStyle w:val="AERquote"/>
      </w:pPr>
      <w:r w:rsidRPr="00883125">
        <w:t>…</w:t>
      </w:r>
    </w:p>
    <w:p w:rsidR="00C52695" w:rsidRPr="00883125" w:rsidRDefault="00C52695" w:rsidP="00C52695">
      <w:pPr>
        <w:pStyle w:val="AERquote"/>
      </w:pPr>
      <w:r w:rsidRPr="00883125">
        <w:t>The variability of estimates joins with issues over design to cast some doubt over estimates for the market value of imputation credits arising from drop-off studies. A key methodological issue is that price movements around ex-dividend events encapsulate not only the tax differential effect, but may also reflect the presence of traders seeking to arbitrage dividends and noise associated with trading activity around ex-dividend dates. Drop-off ratios can be distorted by the need to compensate traders for transaction costs (Eades, Hess, and Kim ,1984); Lakonishok and Vermaelen, 1986; Karpoff and Walkling, 1988, 1990; Bali and Francis, 2011); or the risk involved (Fedenia and Grammatikos, 1993; Grammatikos, 1989; Heath and Jarrow, 1988; Michaely and Vila, 1995). Transaction costs may be substantial, and can drive the drop-off ratio below one (Kalay 1982, 1984; Boyd and Jagannathan, 1994). Market microstructure effects may also complicate estimation of market value, as discrete tick sizes can bias drop-off ratios downwards (Dubofsky, 1992; Bali and Hite, 1998).</w:t>
      </w:r>
    </w:p>
    <w:p w:rsidR="00C52695" w:rsidRPr="00883125" w:rsidRDefault="00C52695" w:rsidP="00C52695">
      <w:pPr>
        <w:pStyle w:val="AERquote"/>
      </w:pPr>
      <w:r w:rsidRPr="00883125">
        <w:t>A further key methodological issue is the difficulty in attributing the observed drop-off value between cash dividends and imputation credits. Dempsey and Partington (2008) nominate this identification problem as a serious limitation of ex-dividend drop-off studies. Drop-off studies are afflicted by multicollinearity issues. Cannavan et al. (2004) and Bellamy and Gray (2006) reveal that imputation credits are nearly perfectly collinear with their respective cash dividends. This is exacerbated by corporate tax rates being almost constant and partially-franked dividends being the exception rather than the norm. Gray (2008) points out that the value attributed to imputation credits is conditional on the assumed value on cash dividends by design, to the extent that they are supplementary components within a single package. This notion is reinforced by evidence of offsetting variation in the value attributed to dividends and imputation credits across samples (see Bellamy and Gray, 2006; Gray, 2008).</w:t>
      </w:r>
    </w:p>
    <w:p w:rsidR="00C52695" w:rsidRPr="001D37D5" w:rsidRDefault="00C52695" w:rsidP="00C52695">
      <w:pPr>
        <w:pStyle w:val="AERbulletlistfirststyle"/>
      </w:pPr>
      <w:r w:rsidRPr="00883125">
        <w:t>McKenzie and Partington (2013):</w:t>
      </w:r>
      <w:r w:rsidRPr="001D37D5">
        <w:rPr>
          <w:rStyle w:val="FootnoteReference"/>
        </w:rPr>
        <w:footnoteReference w:id="855"/>
      </w:r>
    </w:p>
    <w:p w:rsidR="00C52695" w:rsidRPr="00883125" w:rsidRDefault="00C52695" w:rsidP="00C52695">
      <w:pPr>
        <w:pStyle w:val="AERquote"/>
      </w:pPr>
      <w:r w:rsidRPr="00883125">
        <w:t>For over fifty years, academics have been trying to satisfactorily measure the market value of dividends. So far we have not reached a generally agreed consensus on the value or the method of measurement, which indicates the difficulty of the task. Thus, the basic task of measuring the package value of dividends and franking credits is a major challenge.</w:t>
      </w:r>
    </w:p>
    <w:p w:rsidR="00C52695" w:rsidRPr="00883125" w:rsidRDefault="00C52695" w:rsidP="00C52695">
      <w:pPr>
        <w:pStyle w:val="AERquote"/>
      </w:pPr>
      <w:r w:rsidRPr="00883125">
        <w:t>It is well understood that the market value of the package of dividends and franking credits mixes together not just dividends and credits, but the effects of income and capital gains taxes, transactions costs, discounting for time and risk and possibly market microstructure effects as well. This leads to what we call the allocation problem. That is how we attribute the value consequence of these effects between the value of dividends and the value of franking credits. All methods of splitting up the package value of dividends and franking credit involve an explicit or implicit allocation. The problem with allocations is that by their nature they are arbitrary. Thus, separating out the estimated value of the franking credits is also a major challenge.</w:t>
      </w:r>
    </w:p>
    <w:p w:rsidR="00C52695" w:rsidRPr="00883125" w:rsidRDefault="00C52695" w:rsidP="00C52695">
      <w:pPr>
        <w:pStyle w:val="AERquote"/>
      </w:pPr>
      <w:r w:rsidRPr="00883125">
        <w:t>One approach to the estimation of the value of dividends and franking credits is to measure the price drop when the stock goes ex-dividend. It is on the basis of [SFG's dividend drop off study] that theta was taken to be 0.35 and hence the value of gamma is given by 0.7 x 0.35, which rounded up furnishes a value of 0.25 or 25%.</w:t>
      </w:r>
    </w:p>
    <w:p w:rsidR="00C52695" w:rsidRPr="00883125" w:rsidRDefault="00C52695" w:rsidP="00C52695">
      <w:pPr>
        <w:pStyle w:val="AERquote"/>
      </w:pPr>
      <w:r w:rsidRPr="00883125">
        <w:t>We have several problems with this estimate of gamma. First, given the difficulties in estimating theta, the estimate of theta and hence gamma should not be based on one study, or on one method. Rather, it should be triangulated across multiple studies and multiple methods. In particular the estimate of theta should not just be reliant on ex-dividend studies, which are afflicted with many problems. This issue is discussed extensively in McKenzie and Partington (2010). In this paper, we argue that it is very unlikely that an accurate and reliable estimate of the value of franking credits will come out of a traditional ex-dividend study due to a number of problems including the extremely noisy data (it is not unusual to have a price movement up or down of more than twenty times the dividend on the ex-dividend day). Results are also sensitive to data filtering, the choice of estimation method and whether the ex-dividend day price is measured at the open or close of trading. Biased results can also arise from market microstructure effects such as bid-ask bounce. There are also abnormal volumes and abnormal returns about the ex-dividend day, which clearly indicate that trading is abnormal about the ex-dividend date. Consequently, it is an open question whether an ex-dividend study gives a dividend and franking credit valuation that reflects the clientele of investors normally holding the stock. Finally, there are conceptual and econometric problems. For example, multicollinearity in the regression equation used to separate the value of the dividends and franking credits. Reflecting the inaccuracy of the ex-dividend method and associated regression technique, the standard errors of the estimates from the regression equations are typically quite large.</w:t>
      </w:r>
    </w:p>
    <w:p w:rsidR="00C52695" w:rsidRPr="001D37D5" w:rsidRDefault="00C52695" w:rsidP="00C52695">
      <w:pPr>
        <w:pStyle w:val="AERbulletlistfirststyle"/>
      </w:pPr>
      <w:r w:rsidRPr="00883125">
        <w:t>Lally (2013):</w:t>
      </w:r>
      <w:r w:rsidRPr="001D37D5">
        <w:rPr>
          <w:rStyle w:val="FootnoteReference"/>
        </w:rPr>
        <w:footnoteReference w:id="856"/>
      </w:r>
    </w:p>
    <w:p w:rsidR="00C52695" w:rsidRPr="00883125" w:rsidRDefault="00C52695" w:rsidP="00C52695">
      <w:pPr>
        <w:pStyle w:val="AERquote"/>
      </w:pPr>
      <w:r w:rsidRPr="00883125">
        <w:t xml:space="preserve">The AER’s third approach to estimating </w:t>
      </w:r>
      <w:r w:rsidRPr="00883125">
        <w:rPr>
          <w:rStyle w:val="AERtextitalic"/>
        </w:rPr>
        <w:t>U</w:t>
      </w:r>
      <w:r w:rsidRPr="00883125">
        <w:t xml:space="preserve"> involves estimates derived from market prices (AER, 2013, pp. 133–134, 239–247).  The AER does not consider that these estimates are useful for a number of reasons.  In respect of dividend drop-off studies, these include evidence that trading activity around dividend ex-days is abnormal, that correction is required for market movements, and the sensitivity of results to data, outliers and model choices.  More generally these problems include the difficulties in separating the values of franking credits and dividends in these studies, the wide range of empirical results from such studies, the possibility of bias from ‘bid-ask bounce, and the exposure of such estimates to the tax circumstances and transactions costs of tax arbitrageurs.  Many of these problems are manifest in high standard errors on the estimates of the coefficients.</w:t>
      </w:r>
    </w:p>
    <w:p w:rsidR="00C52695" w:rsidRPr="00883125" w:rsidRDefault="00C52695" w:rsidP="00C52695">
      <w:pPr>
        <w:pStyle w:val="AERquote"/>
      </w:pPr>
      <w:r w:rsidRPr="00883125">
        <w:t>I concur with all of these concerns, and I have additional concerns about these studies or their interpretation.</w:t>
      </w:r>
    </w:p>
    <w:p w:rsidR="00C52695" w:rsidRPr="00883125" w:rsidRDefault="00C52695" w:rsidP="00C52695">
      <w:r w:rsidRPr="00883125">
        <w:t>Other academics have focussed on the specific issue of whether dividend drop off studies produce results that are reflective of investors in the market as a whole:</w:t>
      </w:r>
    </w:p>
    <w:p w:rsidR="00C52695" w:rsidRPr="001D37D5" w:rsidRDefault="00C52695" w:rsidP="00C52695">
      <w:pPr>
        <w:pStyle w:val="AERbulletlistfirststyle"/>
      </w:pPr>
      <w:r w:rsidRPr="00883125">
        <w:t>Handley (2014):</w:t>
      </w:r>
      <w:r w:rsidRPr="001D37D5">
        <w:rPr>
          <w:rStyle w:val="FootnoteReference"/>
        </w:rPr>
        <w:footnoteReference w:id="857"/>
      </w:r>
    </w:p>
    <w:p w:rsidR="00C52695" w:rsidRPr="00883125" w:rsidRDefault="00C52695" w:rsidP="00C52695">
      <w:pPr>
        <w:pStyle w:val="AERquote"/>
      </w:pPr>
      <w:r w:rsidRPr="00883125">
        <w:t>The second issue also concerns the correct interpretation of the regression coefficient – but at a more fundamental level. Adjusting the coefficient to remove the impact of differential personal taxes and risk gives us the (after-company-before-personal-tax) value of a dollar of imputation credits but the question is value to whom? In other words, there remains a residual concern as to whether the composition of investors around the ex-dividend date is reflective of the composition of (long term) investors in the benchmark market who supply capital to firms (including to the benchmark efficient entity) and therefore whether the implied value of imputation credits around ex-dividend dates is representative of the value of imputation credits to the market as a whole.</w:t>
      </w:r>
    </w:p>
    <w:p w:rsidR="00C52695" w:rsidRPr="00CA67C0" w:rsidRDefault="00C52695" w:rsidP="00C52695">
      <w:pPr>
        <w:pStyle w:val="AERbulletlistfirststyle"/>
      </w:pPr>
      <w:r w:rsidRPr="00883125">
        <w:t>South Australian Centre for Economic Studies (2015):</w:t>
      </w:r>
      <w:r w:rsidRPr="00CA67C0">
        <w:rPr>
          <w:rStyle w:val="FootnoteReference"/>
        </w:rPr>
        <w:footnoteReference w:id="858"/>
      </w:r>
    </w:p>
    <w:p w:rsidR="00C52695" w:rsidRPr="00CA67C0" w:rsidRDefault="00C52695" w:rsidP="00C52695">
      <w:pPr>
        <w:pStyle w:val="AERquote"/>
      </w:pPr>
      <w:r w:rsidRPr="00883125">
        <w:t>In order for a dividend drop-off study to provide useful evidence of the value of franking credits to a representative owner of equity three conditions need to be met:</w:t>
      </w:r>
    </w:p>
    <w:p w:rsidR="00C52695" w:rsidRPr="00883125" w:rsidRDefault="00C52695" w:rsidP="00C52695">
      <w:pPr>
        <w:pStyle w:val="AERquotebullet1"/>
      </w:pPr>
      <w:r w:rsidRPr="00883125">
        <w:t>the studies being drawn on need to be of high quality;</w:t>
      </w:r>
    </w:p>
    <w:p w:rsidR="00C52695" w:rsidRPr="00883125" w:rsidRDefault="00C52695" w:rsidP="00C52695">
      <w:pPr>
        <w:pStyle w:val="AERquotebullet1"/>
      </w:pPr>
      <w:r w:rsidRPr="00883125">
        <w:t>the equity holders who buy shares in the period after dividends are issued need to be representative of the whole class of equity holders; and</w:t>
      </w:r>
    </w:p>
    <w:p w:rsidR="00C52695" w:rsidRPr="00883125" w:rsidRDefault="00C52695" w:rsidP="00C52695">
      <w:pPr>
        <w:pStyle w:val="AERquotebullet1"/>
      </w:pPr>
      <w:r w:rsidRPr="00883125">
        <w:t>the equity for which data is drawn on for the dividend drop off study needs to be representative of the overall stock of equity in the Australian economy</w:t>
      </w:r>
    </w:p>
    <w:p w:rsidR="00C52695" w:rsidRPr="00883125" w:rsidRDefault="00C52695" w:rsidP="00C52695">
      <w:pPr>
        <w:pStyle w:val="AERquote"/>
      </w:pPr>
      <w:r w:rsidRPr="00883125">
        <w:t>We would contend that only the first of these three conditions is definitely met.</w:t>
      </w:r>
    </w:p>
    <w:p w:rsidR="00C52695" w:rsidRPr="00883125" w:rsidRDefault="00C52695" w:rsidP="00C52695">
      <w:pPr>
        <w:pStyle w:val="AERquote"/>
      </w:pPr>
      <w:r w:rsidRPr="00883125">
        <w:t>The studies included by SFG consulting in their review of estimates for theta all appear to be of good quality and are undertaken in a manner which reflects the current best practice in the literature.</w:t>
      </w:r>
    </w:p>
    <w:p w:rsidR="00C52695" w:rsidRPr="00883125" w:rsidRDefault="00C52695" w:rsidP="00C52695">
      <w:pPr>
        <w:pStyle w:val="AERquote"/>
      </w:pPr>
      <w:r w:rsidRPr="00883125">
        <w:t>However, purchase of stocks in any given period is dominated by a relatively small share of equity holders who engage in active trading equities. Overall ownership of equities, however, is dominated by those who trade infrequently. As such there is no reason to believe that the value placed on franking credits by active traders of equities is the same as that placed on franking credits by those who trade infrequently.</w:t>
      </w:r>
    </w:p>
    <w:p w:rsidR="00C52695" w:rsidRPr="00883125" w:rsidRDefault="00C52695" w:rsidP="00C52695">
      <w:pPr>
        <w:pStyle w:val="AERquote"/>
      </w:pPr>
      <w:r w:rsidRPr="00883125">
        <w:t>On the third point, listed firms are also only part of the stock of Australian equity. Data from the ABS’s ‘Australian National Accounts: Financial Accounts’ indicates that as at June 2014 unlisted shares comprised 44.5 per cent of the total value of shares in private firms (rising to 49.7 per cent if equity in government non-financial corporations is included).</w:t>
      </w:r>
    </w:p>
    <w:p w:rsidR="00C52695" w:rsidRPr="00883125" w:rsidRDefault="00C52695" w:rsidP="00C52695">
      <w:pPr>
        <w:pStyle w:val="AERquote"/>
      </w:pPr>
      <w:r w:rsidRPr="00883125">
        <w:t xml:space="preserve">Due to the unrepresentative nature of both traders in stock, and the ownership of listed stock, we believe that dropped dividend studies cannot be assumed to be informative about the value placed by median investor in the ‘benchmark efficient entity’. As such, </w:t>
      </w:r>
      <w:r w:rsidRPr="00883125">
        <w:rPr>
          <w:rStyle w:val="Strong"/>
        </w:rPr>
        <w:t>we recommend that estimates derived from dropped dividend studies be disregarded</w:t>
      </w:r>
      <w:r w:rsidRPr="00883125">
        <w:t>.</w:t>
      </w:r>
    </w:p>
    <w:p w:rsidR="00C52695" w:rsidRPr="00883125" w:rsidRDefault="00C52695" w:rsidP="00C52695">
      <w:r w:rsidRPr="00883125">
        <w:t>The limitations identified have been recognised by other regulators and reflected in their respective approaches to determining the utilisation rate:</w:t>
      </w:r>
    </w:p>
    <w:p w:rsidR="00C52695" w:rsidRPr="001D37D5" w:rsidRDefault="00C52695" w:rsidP="00C52695">
      <w:pPr>
        <w:pStyle w:val="AERbulletlistfirststyle"/>
      </w:pPr>
      <w:r w:rsidRPr="00883125">
        <w:t>QCA (2014):</w:t>
      </w:r>
      <w:r w:rsidRPr="001D37D5">
        <w:rPr>
          <w:rStyle w:val="FootnoteReference"/>
        </w:rPr>
        <w:footnoteReference w:id="859"/>
      </w:r>
    </w:p>
    <w:p w:rsidR="00C52695" w:rsidRPr="00883125" w:rsidRDefault="00C52695" w:rsidP="00C52695">
      <w:pPr>
        <w:pStyle w:val="AERquote"/>
      </w:pPr>
      <w:r w:rsidRPr="00883125">
        <w:t>Given the concerns identified, the QCA does not prefer an estimate of 0.35 for the utilisation rate. The estimate is the result from only one study from one class of evidence, and this class of evidence suffers from serious conceptual and empirical limitations. Therefore, the QCA has assessed and given more weight to alternative approaches to estimate the utilisation rate.</w:t>
      </w:r>
    </w:p>
    <w:p w:rsidR="00C52695" w:rsidRPr="001D37D5" w:rsidRDefault="00C52695" w:rsidP="00C52695">
      <w:pPr>
        <w:pStyle w:val="AERbulletlistfirststyle"/>
      </w:pPr>
      <w:r w:rsidRPr="00883125">
        <w:t>The ERA, which until the publication of a revised draft Guideline in November 2014 preferred the use of dividend drop off studies, stated:</w:t>
      </w:r>
      <w:r w:rsidRPr="001D37D5">
        <w:rPr>
          <w:rStyle w:val="FootnoteReference"/>
        </w:rPr>
        <w:footnoteReference w:id="860"/>
      </w:r>
    </w:p>
    <w:p w:rsidR="00C52695" w:rsidRPr="00883125" w:rsidRDefault="00C52695" w:rsidP="00C52695">
      <w:pPr>
        <w:pStyle w:val="AERquote"/>
      </w:pPr>
      <w:r w:rsidRPr="00883125">
        <w:t>…dividend drop-off studies are known to suffer from a variety of estimation issues that result in the estimated value of theta being vulnerable to the dividend sample, parametric form of the regression equation and regression technique used. As a consequence, the Authority is of the view that it is more appropriate to use a range of dividend drop-off studies.</w:t>
      </w:r>
    </w:p>
    <w:p w:rsidR="00C52695" w:rsidRPr="00373BE8" w:rsidRDefault="00C52695" w:rsidP="00C52695">
      <w:pPr>
        <w:pStyle w:val="Heading8"/>
      </w:pPr>
      <w:bookmarkStart w:id="458" w:name="_Ref403481482"/>
      <w:bookmarkStart w:id="459" w:name="_Toc433449226"/>
      <w:bookmarkStart w:id="460" w:name="_Toc451938317"/>
      <w:bookmarkStart w:id="461" w:name="_Toc456614348"/>
      <w:bookmarkStart w:id="462" w:name="_Toc462823348"/>
      <w:bookmarkStart w:id="463" w:name="_Toc487014103"/>
      <w:r w:rsidRPr="00373BE8">
        <w:t>Revised consideration of the conceptual goalposts approach</w:t>
      </w:r>
      <w:bookmarkEnd w:id="458"/>
      <w:bookmarkEnd w:id="459"/>
      <w:bookmarkEnd w:id="460"/>
      <w:bookmarkEnd w:id="461"/>
      <w:bookmarkEnd w:id="462"/>
      <w:bookmarkEnd w:id="463"/>
    </w:p>
    <w:p w:rsidR="00C52695" w:rsidRPr="00373BE8" w:rsidRDefault="00C52695" w:rsidP="00C52695">
      <w:pPr>
        <w:numPr>
          <w:ilvl w:val="0"/>
          <w:numId w:val="24"/>
        </w:numPr>
      </w:pPr>
      <w:r w:rsidRPr="00373BE8">
        <w:t>We placed a degree of reliance upon the conceptual goalposts approach when coming to an estimate for the utilisation rate in the Guideline. However, we do not rely on the conceptual goalposts approach in this decision. This is mainly to be consistent with Handley's advice on the conceptual framework, which we have accepted in making this</w:t>
      </w:r>
      <w:r>
        <w:t xml:space="preserve"> </w:t>
      </w:r>
      <w:r w:rsidR="00CB73DB">
        <w:t>draft</w:t>
      </w:r>
      <w:r w:rsidR="00022C1D" w:rsidRPr="00373BE8">
        <w:t xml:space="preserve"> </w:t>
      </w:r>
      <w:r w:rsidRPr="00373BE8">
        <w:t>decision. Further, we do not consider this to be a significant departure from the Guideline given we placed only limited reliance on the conceptual goalposts approach in the Guideline.</w:t>
      </w:r>
      <w:r w:rsidRPr="00373BE8" w:rsidDel="007E6C35">
        <w:t xml:space="preserve"> </w:t>
      </w:r>
      <w:r w:rsidRPr="00373BE8">
        <w:t>We note we do not consider Lally's support of the conceptual goal posts approach, upon which we do not rely, supports the proposition that our conceptual analysis is confused and unsafe.</w:t>
      </w:r>
      <w:r w:rsidRPr="00373BE8">
        <w:rPr>
          <w:rStyle w:val="FootnoteReference"/>
        </w:rPr>
        <w:footnoteReference w:id="861"/>
      </w:r>
      <w:r w:rsidRPr="00373BE8">
        <w:t xml:space="preserve"> We also note the preference for Handley's advice over Lally's is to the benefit of the service providers as it results in a lower estimate of the value for imputation credits than would have been the case had we followed Lally's advice on this issue. Our revised consideration of the approach is set out in this section.</w:t>
      </w:r>
    </w:p>
    <w:p w:rsidR="00C52695" w:rsidRPr="00373BE8" w:rsidRDefault="00C52695" w:rsidP="00C52695">
      <w:pPr>
        <w:pStyle w:val="Heading9"/>
      </w:pPr>
      <w:bookmarkStart w:id="464" w:name="_Toc456614349"/>
      <w:bookmarkStart w:id="465" w:name="_Toc462823349"/>
      <w:bookmarkStart w:id="466" w:name="_Toc487014104"/>
      <w:r w:rsidRPr="00373BE8">
        <w:t>Description of the approach</w:t>
      </w:r>
      <w:bookmarkEnd w:id="464"/>
      <w:bookmarkEnd w:id="465"/>
      <w:bookmarkEnd w:id="466"/>
    </w:p>
    <w:p w:rsidR="00C52695" w:rsidRPr="00373BE8" w:rsidRDefault="00C52695" w:rsidP="00C52695">
      <w:pPr>
        <w:numPr>
          <w:ilvl w:val="0"/>
          <w:numId w:val="24"/>
        </w:numPr>
      </w:pPr>
      <w:r w:rsidRPr="00373BE8">
        <w:t>The conceptual goalposts approach to informing estimates of the utilisation rate is based on a test devised by Lally to consider the 'reasonableness' of such estimates. To explain the approach, however, we must first explain some theoretical aspects of the modelling framework that we employ. The starting point for a CAPM is a given set of assets and a given set of investors who hold them.</w:t>
      </w:r>
      <w:r w:rsidRPr="00373BE8">
        <w:rPr>
          <w:rStyle w:val="FootnoteReference"/>
        </w:rPr>
        <w:footnoteReference w:id="862"/>
      </w:r>
      <w:r w:rsidRPr="00373BE8">
        <w:t xml:space="preserve"> In the Officer CAPM, the given set of assets is the domestic market and Lally considered that the given set of investors is domestic investors; that is, the domestic market is assumed to be 'fully segmented' from international markets.</w:t>
      </w:r>
      <w:r w:rsidRPr="00373BE8">
        <w:rPr>
          <w:rStyle w:val="FootnoteReference"/>
        </w:rPr>
        <w:footnoteReference w:id="863"/>
      </w:r>
    </w:p>
    <w:p w:rsidR="00C52695" w:rsidRPr="00373BE8" w:rsidRDefault="00C52695" w:rsidP="00C52695">
      <w:pPr>
        <w:numPr>
          <w:ilvl w:val="0"/>
          <w:numId w:val="24"/>
        </w:numPr>
      </w:pPr>
      <w:r w:rsidRPr="00373BE8">
        <w:t>Lally considered it paramount to estimate the utilisation rate consistently with the underlying theoretical framework:</w:t>
      </w:r>
      <w:r w:rsidRPr="00373BE8">
        <w:rPr>
          <w:rStyle w:val="FootnoteReference"/>
        </w:rPr>
        <w:footnoteReference w:id="864"/>
      </w:r>
    </w:p>
    <w:p w:rsidR="00C52695" w:rsidRPr="00373BE8" w:rsidRDefault="00C52695" w:rsidP="00C52695">
      <w:pPr>
        <w:pStyle w:val="AERquote"/>
      </w:pPr>
      <w:r w:rsidRPr="00373BE8">
        <w:t xml:space="preserve">In my view, the most important requirements in selecting a methodology for estimating </w:t>
      </w:r>
      <w:r w:rsidRPr="00373BE8">
        <w:rPr>
          <w:rStyle w:val="AERtextitalic"/>
        </w:rPr>
        <w:t>U</w:t>
      </w:r>
      <w:r w:rsidRPr="00373BE8">
        <w:t xml:space="preserve"> [the utilisation rate] are that the estimate be consistent with the definition of </w:t>
      </w:r>
      <w:r w:rsidRPr="00373BE8">
        <w:rPr>
          <w:rStyle w:val="AERtextitalic"/>
        </w:rPr>
        <w:t>U</w:t>
      </w:r>
      <w:r w:rsidRPr="00373BE8">
        <w:t>, as a value-weighted average over the utilisation rates of all investors who are relevant to the Officer CAPM, that the parameter estimate is likely to give rise to an estimated cost of equity from the Officer model that lies within the bounds arising from either complete segmentation or complete integration of equity markets, and that the estimate is reasonably precise.</w:t>
      </w:r>
    </w:p>
    <w:p w:rsidR="00C52695" w:rsidRPr="00373BE8" w:rsidRDefault="00C52695" w:rsidP="00C52695">
      <w:pPr>
        <w:numPr>
          <w:ilvl w:val="0"/>
          <w:numId w:val="24"/>
        </w:numPr>
      </w:pPr>
      <w:r w:rsidRPr="00373BE8">
        <w:t>The importance of theoretical consistency led Lally to recommend that the optimal estimate of the utilisation rate is 1, on these conceptual grounds:</w:t>
      </w:r>
      <w:r w:rsidRPr="00373BE8">
        <w:rPr>
          <w:rStyle w:val="FootnoteReference"/>
        </w:rPr>
        <w:footnoteReference w:id="865"/>
      </w:r>
    </w:p>
    <w:p w:rsidR="00C52695" w:rsidRPr="00373BE8" w:rsidRDefault="00C52695" w:rsidP="00C52695">
      <w:pPr>
        <w:pStyle w:val="AERquote"/>
      </w:pPr>
      <w:r w:rsidRPr="00373BE8">
        <w:t xml:space="preserve">In respect of </w:t>
      </w:r>
      <w:r w:rsidRPr="00373BE8">
        <w:rPr>
          <w:rStyle w:val="AERtextitalic"/>
        </w:rPr>
        <w:t>U</w:t>
      </w:r>
      <w:r w:rsidRPr="00373BE8">
        <w:t>, there are five possible approaches to estimating it. The first of these arises from the definition of the parameter as a weighted average across all investors; coupled with ignoring foreigners (consistent with the Officer CAPM), this yields an estimate of 1 (the utilisation rate of local investors).</w:t>
      </w:r>
    </w:p>
    <w:p w:rsidR="00C52695" w:rsidRPr="00373BE8" w:rsidRDefault="00C52695" w:rsidP="00C52695">
      <w:pPr>
        <w:pStyle w:val="AERquote"/>
      </w:pPr>
      <w:r w:rsidRPr="00373BE8">
        <w:t>…</w:t>
      </w:r>
    </w:p>
    <w:p w:rsidR="00C52695" w:rsidRPr="00373BE8" w:rsidRDefault="00C52695" w:rsidP="00C52695">
      <w:pPr>
        <w:pStyle w:val="AERquote"/>
      </w:pPr>
      <w:r w:rsidRPr="00373BE8">
        <w:t>Using the three criteria described above, my preferred estimate is 1 from the first approach…</w:t>
      </w:r>
    </w:p>
    <w:p w:rsidR="00C52695" w:rsidRPr="00373BE8" w:rsidRDefault="00C52695" w:rsidP="00C52695">
      <w:pPr>
        <w:numPr>
          <w:ilvl w:val="0"/>
          <w:numId w:val="24"/>
        </w:numPr>
      </w:pPr>
      <w:r w:rsidRPr="00373BE8">
        <w:t>An alternative to the 'domestic' Officer CAPM is an international CAPM, whereby the relevant set of assets is all assets in the world and the relevant set of investors is all investors in the world; that is, the domestic market is assumed to be 'fully integrated' with international markets.  Using this model would require inputs based on international benchmarks, including a utilisation rate of 0 because the proportion of global investors eligible to make use of domestic imputation credits  is close to zero.</w:t>
      </w:r>
    </w:p>
    <w:p w:rsidR="00C52695" w:rsidRPr="00373BE8" w:rsidRDefault="00C52695" w:rsidP="00C52695">
      <w:pPr>
        <w:numPr>
          <w:ilvl w:val="0"/>
          <w:numId w:val="24"/>
        </w:numPr>
      </w:pPr>
      <w:r w:rsidRPr="00373BE8">
        <w:t xml:space="preserve">Both in the Guideline and in this </w:t>
      </w:r>
      <w:r w:rsidR="00716D95">
        <w:t xml:space="preserve">draft </w:t>
      </w:r>
      <w:r w:rsidRPr="00373BE8">
        <w:t>decision, we propose an approach to estimating the utilisation rate that recognises foreign investors to the extent that they invest in the Australian market. Thus, our approach sits between the alternative positions of Lally's interpretation of the Officer framework (where only domestic investors are recognised) and an international framework. This was recognised by Lally:</w:t>
      </w:r>
      <w:r w:rsidRPr="00373BE8">
        <w:rPr>
          <w:rStyle w:val="FootnoteReference"/>
        </w:rPr>
        <w:footnoteReference w:id="866"/>
      </w:r>
    </w:p>
    <w:p w:rsidR="00C52695" w:rsidRPr="00373BE8" w:rsidRDefault="00C52695" w:rsidP="00C52695">
      <w:pPr>
        <w:pStyle w:val="AERquote"/>
      </w:pPr>
      <w:r w:rsidRPr="00373BE8">
        <w:t>The AER (2013, section 8.3.1, page 120) also includes foreign investors to the extent that they invest in the Australian market, to reflect the empirical reality of their existence. However this involves use of a model (the Officer CAPM) that assumes that national markets for risky assets are segmented along with the definition for a parameter (</w:t>
      </w:r>
      <w:r w:rsidRPr="00373BE8">
        <w:rPr>
          <w:rStyle w:val="AERtextitalic"/>
        </w:rPr>
        <w:t>U</w:t>
      </w:r>
      <w:r w:rsidRPr="00373BE8">
        <w:t>) that is inconsistent with this model.</w:t>
      </w:r>
    </w:p>
    <w:p w:rsidR="00C52695" w:rsidRPr="00373BE8" w:rsidRDefault="00C52695" w:rsidP="00C52695">
      <w:pPr>
        <w:numPr>
          <w:ilvl w:val="0"/>
          <w:numId w:val="24"/>
        </w:numPr>
      </w:pPr>
      <w:r w:rsidRPr="00373BE8">
        <w:t>Lally considered the overarching concern is whether the inconsistency between input parameters and model definitions might produce an unreasonable outcome. That is, even if the individual components are each justified in isolation, the combination might produce an overall result that is no longer reasonable:</w:t>
      </w:r>
      <w:r w:rsidRPr="00373BE8">
        <w:rPr>
          <w:rStyle w:val="FootnoteReference"/>
        </w:rPr>
        <w:footnoteReference w:id="867"/>
      </w:r>
      <w:r w:rsidRPr="00373BE8">
        <w:t xml:space="preserve"> </w:t>
      </w:r>
    </w:p>
    <w:p w:rsidR="00C52695" w:rsidRPr="00373BE8" w:rsidRDefault="00C52695" w:rsidP="00C52695">
      <w:pPr>
        <w:pStyle w:val="AERquote"/>
      </w:pPr>
      <w:r w:rsidRPr="00373BE8">
        <w:t xml:space="preserve">The Officer (1994) CAPM implicitly assumes that national markets for risky assets are completely segmented, in the sense that investors are precluded from purchasing foreign risky assets. However, most estimates of </w:t>
      </w:r>
      <w:r w:rsidRPr="00373BE8">
        <w:rPr>
          <w:rStyle w:val="AERtextitalic"/>
        </w:rPr>
        <w:t>U</w:t>
      </w:r>
      <w:r w:rsidRPr="00373BE8">
        <w:t xml:space="preserve"> reflect the presence of foreign investors. Consequently the potential for economically unreasonable estimates of the cost of equity arises, i.e., values that lie outside range of those arising under complete segmentation and complete integration of national markets for risky assets. In this event the partial recognition of foreign investors would effectively constitute cherry-picking that maximises the revenue or price cap, i.e., ignoring foreign investors when it is favourable to regulated firms (choosing the CAPM) and also estimating </w:t>
      </w:r>
      <w:r w:rsidRPr="00373BE8">
        <w:rPr>
          <w:rStyle w:val="AERtextitalic"/>
        </w:rPr>
        <w:t>U</w:t>
      </w:r>
      <w:r w:rsidRPr="00373BE8">
        <w:t xml:space="preserve"> by a methodology that reflects the presence of these investors when it is also favourable to regulated firms. We therefore assess whether various estimates of </w:t>
      </w:r>
      <w:r w:rsidRPr="00373BE8">
        <w:rPr>
          <w:rStyle w:val="AERtextitalic"/>
        </w:rPr>
        <w:t>U</w:t>
      </w:r>
      <w:r w:rsidRPr="00373BE8">
        <w:t xml:space="preserve"> lead to this outcome.</w:t>
      </w:r>
    </w:p>
    <w:p w:rsidR="00C52695" w:rsidRPr="00373BE8" w:rsidRDefault="00C52695" w:rsidP="00C52695">
      <w:pPr>
        <w:pStyle w:val="AERquote"/>
      </w:pPr>
      <w:r w:rsidRPr="00373BE8">
        <w:t>To do so it is necessary to consider the implications for the cost of equity of complete integration and complete segmentation of national markets for risky assets.</w:t>
      </w:r>
    </w:p>
    <w:p w:rsidR="00C52695" w:rsidRPr="00373BE8" w:rsidRDefault="00C52695" w:rsidP="00C52695">
      <w:pPr>
        <w:numPr>
          <w:ilvl w:val="0"/>
          <w:numId w:val="24"/>
        </w:numPr>
      </w:pPr>
      <w:r w:rsidRPr="00373BE8">
        <w:t>Lally pointed out that, while there is some uncertainty about the return on equity in a partial integration scenario, it must lie within two boundaries. At one end, there is the return on equity that would be required if the domestic market was fully segmented from international markets. At the other extreme is the return on equity if the capital market was fully integrated with international markets. To assess whether the approach in the draft Guideline passed this test, Lally estimated for the average Australian firm:</w:t>
      </w:r>
      <w:r w:rsidRPr="00373BE8">
        <w:rPr>
          <w:rStyle w:val="FootnoteReference"/>
        </w:rPr>
        <w:footnoteReference w:id="868"/>
      </w:r>
      <w:r w:rsidRPr="00373BE8">
        <w:t xml:space="preserve"> </w:t>
      </w:r>
    </w:p>
    <w:p w:rsidR="00C52695" w:rsidRPr="00373BE8" w:rsidRDefault="00C52695" w:rsidP="00C52695">
      <w:pPr>
        <w:pStyle w:val="AERbulletlistfirststyle"/>
      </w:pPr>
      <w:r w:rsidRPr="00373BE8">
        <w:t>The return on equity under segmentation, using a domestic-only (segmented) CAPM populated with domestic parameters. That is, a market risk premium for a segmented Australian market, an equity beta relative to the Australian market, and a utilisation rate of 1.</w:t>
      </w:r>
    </w:p>
    <w:p w:rsidR="00C52695" w:rsidRPr="00373BE8" w:rsidRDefault="00C52695" w:rsidP="00C52695">
      <w:pPr>
        <w:pStyle w:val="AERbulletlistfirststyle"/>
      </w:pPr>
      <w:r w:rsidRPr="00373BE8">
        <w:t>The return on equity under integration, using an international CAPM (based on Solnik, 1974) populated with global parameters. That is, using a market risk premium for an integrated (global) market, an equity beta relative to the global market and a utilisation rate of 0.</w:t>
      </w:r>
    </w:p>
    <w:p w:rsidR="00C52695" w:rsidRPr="00373BE8" w:rsidRDefault="00C52695" w:rsidP="00C52695">
      <w:pPr>
        <w:pStyle w:val="AERbulletlistfirststyle"/>
      </w:pPr>
      <w:r w:rsidRPr="00373BE8">
        <w:t xml:space="preserve">The return on equity using a segmented (Officer) CAPM, populated with parameters that accord with our 'partially integrated' market definition. That is, a market risk premium and an equity beta that reflect the domestic market, but recognising foreign investors to the extent that they invest in the domestic (Australian) market. </w:t>
      </w:r>
    </w:p>
    <w:p w:rsidR="00C52695" w:rsidRPr="00373BE8" w:rsidRDefault="00C52695" w:rsidP="00C52695">
      <w:pPr>
        <w:numPr>
          <w:ilvl w:val="0"/>
          <w:numId w:val="24"/>
        </w:numPr>
      </w:pPr>
      <w:r w:rsidRPr="00373BE8">
        <w:t>Lally's aim was to ascertain what utilisation rates under the third scenario will result in a return on equity that lies between the two 'goalposts' represented by the return on equity from the first two scenarios (full segmentation and full integration). This is how Lally presented the results of this assessment:</w:t>
      </w:r>
      <w:r w:rsidRPr="00373BE8">
        <w:rPr>
          <w:rStyle w:val="FootnoteReference"/>
        </w:rPr>
        <w:footnoteReference w:id="869"/>
      </w:r>
      <w:r w:rsidRPr="00373BE8">
        <w:t xml:space="preserve"> </w:t>
      </w:r>
    </w:p>
    <w:p w:rsidR="00C52695" w:rsidRPr="00373BE8" w:rsidRDefault="00C52695" w:rsidP="00C52695">
      <w:pPr>
        <w:pStyle w:val="AERquote"/>
      </w:pPr>
      <w:r w:rsidRPr="00373BE8">
        <w:t xml:space="preserve">In summary, in the face of an inconsistency between the use of the Officer model (which assumes that national equity markets are segmented) and an estimate of the utilisation rate on imputation credits that is less than 1 (which reflects the presence of foreign investors), a minimum requirement is that the results from this approach should lie within the bounds arising from complete segmentation of national equity markets and complete integration (to ensure that the cost of capital results are consistent with some scenario regarding segmentation or integration).  However, estimates of </w:t>
      </w:r>
      <w:r w:rsidRPr="00373BE8">
        <w:rPr>
          <w:rStyle w:val="AERtextitalic"/>
        </w:rPr>
        <w:t>U</w:t>
      </w:r>
      <w:r w:rsidRPr="00373BE8">
        <w:t xml:space="preserve"> that are significantly less than 1 fail this test in virtually every case examined, and are therefore deficient. In effect, combining Officer’s CAPM with a utilisation rate that is significantly less than 1 constitutes a defacto form of cherry-picking of parameter values and models that maximises the price or revenue cap for regulated businesses. By contrast, if the Officer model were combined with a utilisation rate on imputation credits of 1, or close to it, the test described here would be satisfied in most cases. All of this suggests that, if the Officer model is used, the only sensible estimate of the utilisation rate is at or close to 1.</w:t>
      </w:r>
    </w:p>
    <w:p w:rsidR="00C52695" w:rsidRPr="00373BE8" w:rsidRDefault="00C52695" w:rsidP="00C52695">
      <w:pPr>
        <w:numPr>
          <w:ilvl w:val="0"/>
          <w:numId w:val="24"/>
        </w:numPr>
      </w:pPr>
      <w:r w:rsidRPr="00373BE8">
        <w:t>This analysis contributes to Lally's conclusion that the utilisation rate should be 1 or close to it. To refine this estimate, we undertook further analysis using the approach set out by Lally. This indicated that utilisation rates between 0.8 and 1 generate a reasonable return on equity (that is, one that lies between the goalposts) in the majority of permutation scenarios.  Further, when interpreting this sensitivity analysis, it is also relevant to consider whether each particular scenario has arisen from an extreme permutation—that is, if the individual parameters are all at their highest (or lowest) possible values. Such a scenario is much less likely than a permutation where most of the parameters are at their expected values. A utilisation rate of 0.6 or below generates very few return on equity results that are reasonable (between the goalposts), and these all arise at extreme permutations.</w:t>
      </w:r>
    </w:p>
    <w:p w:rsidR="00C52695" w:rsidRPr="00373BE8" w:rsidRDefault="00C52695" w:rsidP="00C52695">
      <w:pPr>
        <w:numPr>
          <w:ilvl w:val="0"/>
          <w:numId w:val="24"/>
        </w:numPr>
      </w:pPr>
      <w:r w:rsidRPr="00373BE8">
        <w:t>In conclusion, in the Guideline we considered that the conceptual goalposts approach supported an estimate of the utilisation rate in the range 0.8 to 1. We considered also that it suggested that a utilisation rate of 0.6 or below was unreasonable.</w:t>
      </w:r>
    </w:p>
    <w:p w:rsidR="00C52695" w:rsidRPr="00CA67C0" w:rsidRDefault="00C52695" w:rsidP="00C52695">
      <w:pPr>
        <w:pStyle w:val="Heading9"/>
      </w:pPr>
      <w:bookmarkStart w:id="467" w:name="_Toc456614350"/>
      <w:bookmarkStart w:id="468" w:name="_Toc462823350"/>
      <w:bookmarkStart w:id="469" w:name="_Toc487014105"/>
      <w:r w:rsidRPr="00373BE8">
        <w:t>Advice received since the Guideline</w:t>
      </w:r>
      <w:bookmarkEnd w:id="467"/>
      <w:bookmarkEnd w:id="468"/>
      <w:bookmarkEnd w:id="469"/>
    </w:p>
    <w:p w:rsidR="00C52695" w:rsidRPr="00373BE8" w:rsidRDefault="00C52695" w:rsidP="00C52695">
      <w:pPr>
        <w:numPr>
          <w:ilvl w:val="0"/>
          <w:numId w:val="24"/>
        </w:numPr>
      </w:pPr>
      <w:r w:rsidRPr="00373BE8">
        <w:t>In advice received since the Guideline's publication, Handley advised that he does not consider the conceptual goalposts approach to be a reasonable approach to estimating the utilisation rate:</w:t>
      </w:r>
      <w:r w:rsidRPr="00373BE8">
        <w:rPr>
          <w:rStyle w:val="FootnoteReference"/>
        </w:rPr>
        <w:footnoteReference w:id="870"/>
      </w:r>
    </w:p>
    <w:p w:rsidR="00C52695" w:rsidRPr="00373BE8" w:rsidRDefault="00C52695" w:rsidP="00C52695">
      <w:pPr>
        <w:pStyle w:val="AERquote"/>
      </w:pPr>
      <w:r w:rsidRPr="00373BE8">
        <w:t>I do not consider the conceptual goalpost approach to be a reasonable approach to estimation as first, it is motivated by a faulty premise – that the CAPM suggested by Officer implicitly assumes that national markets for risky assets are completely segmented in the sense that all domestic assets are held by domestic investors only and all foreign assets are held by foreign investors only – and second, that it seeks to sure up one uncertain estimate by reference to two other estimates (the “goalposts”) which themselves are subject to substantial uncertainty.</w:t>
      </w:r>
    </w:p>
    <w:p w:rsidR="00C52695" w:rsidRPr="00373BE8" w:rsidRDefault="00C52695" w:rsidP="00C52695">
      <w:pPr>
        <w:numPr>
          <w:ilvl w:val="0"/>
          <w:numId w:val="24"/>
        </w:numPr>
      </w:pPr>
      <w:r w:rsidRPr="00373BE8">
        <w:t>Handley expanded on his first point elsewhere in his advice:</w:t>
      </w:r>
      <w:r w:rsidRPr="00373BE8">
        <w:rPr>
          <w:rStyle w:val="FootnoteReference"/>
        </w:rPr>
        <w:footnoteReference w:id="871"/>
      </w:r>
    </w:p>
    <w:p w:rsidR="00C52695" w:rsidRPr="00373BE8" w:rsidRDefault="00C52695" w:rsidP="00C52695">
      <w:pPr>
        <w:pStyle w:val="AERquote"/>
      </w:pPr>
      <w:r w:rsidRPr="00373BE8">
        <w:t xml:space="preserve">Lally (2013) adopts an unnecessarily narrow interpretation of segmentation in suggesting that foreign investors should be excluded completely. But once you choose a proxy for the market portfolio you define not only the set of assets that are relevant for pricing purposes but you also define the set of investors that are relevant for pricing purposes – in other words, it is a joint assumption. Lally’s suggestion that we include the full set of </w:t>
      </w:r>
      <w:r w:rsidRPr="00373BE8">
        <w:rPr>
          <w:rStyle w:val="AERtextitalic"/>
        </w:rPr>
        <w:t>n</w:t>
      </w:r>
      <w:r w:rsidRPr="00373BE8">
        <w:t xml:space="preserve"> assets but only a subset of the of </w:t>
      </w:r>
      <w:r w:rsidRPr="00373BE8">
        <w:rPr>
          <w:rStyle w:val="AERtextitalic"/>
        </w:rPr>
        <w:t>m</w:t>
      </w:r>
      <w:r w:rsidRPr="00373BE8">
        <w:t xml:space="preserve"> investors not only contradicts the starting point of the CAPM but also does not accord with the reality that foreign investors are present in and influence the pricing of assets in the domestic market. This notion of (complete) segmentation – that only domestic assets are held by domestic investors – is an assumption of Lally but is not an assumption of the CAPM.</w:t>
      </w:r>
    </w:p>
    <w:p w:rsidR="00C52695" w:rsidRPr="00373BE8" w:rsidRDefault="00C52695" w:rsidP="00C52695">
      <w:pPr>
        <w:numPr>
          <w:ilvl w:val="0"/>
          <w:numId w:val="24"/>
        </w:numPr>
      </w:pPr>
      <w:r w:rsidRPr="00373BE8">
        <w:t>Thus, Handley's first point is that he does not consider the return on equity yielded by a domestic CAPM that ignores foreign investors to be a reasonable goalpost against which to assess the return on equity yielded by our approach. Handley's second point appears to accord closely with his view that estimation of the utilisation rate and the value of imputation credits is imprecise.</w:t>
      </w:r>
      <w:r w:rsidRPr="00373BE8">
        <w:rPr>
          <w:rStyle w:val="FootnoteReference"/>
        </w:rPr>
        <w:footnoteReference w:id="872"/>
      </w:r>
    </w:p>
    <w:p w:rsidR="00C52695" w:rsidRDefault="00C52695" w:rsidP="00C52695">
      <w:r w:rsidRPr="00373BE8">
        <w:t>Gray (for SFG) also raised concerns with the approach, and a number of these have been responded to by Lally.</w:t>
      </w:r>
      <w:r w:rsidRPr="00373BE8">
        <w:rPr>
          <w:rStyle w:val="FootnoteReference"/>
        </w:rPr>
        <w:footnoteReference w:id="873"/>
      </w:r>
    </w:p>
    <w:p w:rsidR="00C52695" w:rsidRPr="00373BE8" w:rsidRDefault="00C52695" w:rsidP="00C52695"/>
    <w:p w:rsidR="000B321F" w:rsidRDefault="000B321F" w:rsidP="00C52695">
      <w:pPr>
        <w:rPr>
          <w:rStyle w:val="AERbody"/>
        </w:rPr>
      </w:pPr>
    </w:p>
    <w:sectPr w:rsidR="000B321F" w:rsidSect="00EE50D1">
      <w:pgSz w:w="11906" w:h="16838" w:code="9"/>
      <w:pgMar w:top="1440" w:right="1700" w:bottom="1582" w:left="1729" w:header="720" w:footer="0" w:gutter="0"/>
      <w:pgNumType w:chapStyle="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1E52" w:rsidRPr="00290C63" w:rsidRDefault="00B31E52" w:rsidP="00290C63">
      <w:r>
        <w:separator/>
      </w:r>
    </w:p>
    <w:p w:rsidR="00B31E52" w:rsidRDefault="00B31E52"/>
  </w:endnote>
  <w:endnote w:type="continuationSeparator" w:id="0">
    <w:p w:rsidR="00B31E52" w:rsidRPr="00290C63" w:rsidRDefault="00B31E52" w:rsidP="00290C63">
      <w:r>
        <w:continuationSeparator/>
      </w:r>
    </w:p>
    <w:p w:rsidR="00B31E52" w:rsidRDefault="00B31E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1"/>
    <w:family w:val="roman"/>
    <w:notTrueType/>
    <w:pitch w:val="variable"/>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E52" w:rsidRPr="00290C63" w:rsidRDefault="00B31E52"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B31E52" w:rsidRDefault="00B31E52"/>
  <w:p w:rsidR="00B31E52" w:rsidRDefault="00B31E52"/>
  <w:p w:rsidR="00B31E52" w:rsidRDefault="00B31E52"/>
  <w:p w:rsidR="00B31E52" w:rsidRDefault="00B31E52"/>
  <w:p w:rsidR="00B31E52" w:rsidRDefault="00B31E52"/>
  <w:p w:rsidR="00B31E52" w:rsidRDefault="00B31E52"/>
  <w:p w:rsidR="00B31E52" w:rsidRDefault="00B31E5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9487441"/>
      <w:docPartObj>
        <w:docPartGallery w:val="Page Numbers (Bottom of Page)"/>
        <w:docPartUnique/>
      </w:docPartObj>
    </w:sdtPr>
    <w:sdtEndPr/>
    <w:sdtContent>
      <w:p w:rsidR="00B31E52" w:rsidRPr="00022C1D" w:rsidRDefault="00B31E52" w:rsidP="00022C1D">
        <w:pPr>
          <w:pStyle w:val="Footer"/>
        </w:pPr>
        <w:r w:rsidRPr="00D81354">
          <w:fldChar w:fldCharType="begin"/>
        </w:r>
        <w:r w:rsidRPr="00022C1D">
          <w:instrText xml:space="preserve"> PAGE   \* MERGEFORMAT </w:instrText>
        </w:r>
        <w:r w:rsidRPr="00D81354">
          <w:fldChar w:fldCharType="separate"/>
        </w:r>
        <w:r w:rsidR="007E3457">
          <w:rPr>
            <w:noProof/>
          </w:rPr>
          <w:t>4-0</w:t>
        </w:r>
        <w:r w:rsidRPr="00D81354">
          <w:fldChar w:fldCharType="end"/>
        </w:r>
        <w:r w:rsidRPr="00D81354">
          <w:t xml:space="preserve">          Attachment 4 – Value of imputation credits | </w:t>
        </w:r>
        <w:r>
          <w:t>Draft decision - Multinet Gas access arrangement</w:t>
        </w:r>
        <w:r w:rsidRPr="00A318FD">
          <w:t xml:space="preserve"> 201</w:t>
        </w:r>
        <w:r>
          <w:t>8</w:t>
        </w:r>
        <w:r w:rsidRPr="00A318FD">
          <w:t>–</w:t>
        </w:r>
        <w:r>
          <w:t>22</w:t>
        </w:r>
      </w:p>
    </w:sdtContent>
  </w:sdt>
  <w:p w:rsidR="00B31E52" w:rsidRDefault="00B31E5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E52" w:rsidRPr="00290C63" w:rsidRDefault="00B31E52"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B31E52" w:rsidRDefault="00B31E52">
    <w:pPr>
      <w:pStyle w:val="Footer"/>
    </w:pPr>
  </w:p>
  <w:p w:rsidR="00B31E52" w:rsidRDefault="00B31E52"/>
  <w:p w:rsidR="00B31E52" w:rsidRDefault="00B31E52"/>
  <w:p w:rsidR="00B31E52" w:rsidRDefault="00B31E52"/>
  <w:p w:rsidR="00B31E52" w:rsidRDefault="00B31E52"/>
  <w:p w:rsidR="00B31E52" w:rsidRDefault="00B31E52"/>
  <w:p w:rsidR="00B31E52" w:rsidRDefault="00B31E52"/>
  <w:p w:rsidR="00B31E52" w:rsidRDefault="00B31E52"/>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2686420"/>
      <w:docPartObj>
        <w:docPartGallery w:val="Page Numbers (Bottom of Page)"/>
        <w:docPartUnique/>
      </w:docPartObj>
    </w:sdtPr>
    <w:sdtEndPr/>
    <w:sdtContent>
      <w:p w:rsidR="00B31E52" w:rsidRPr="00824CC8" w:rsidRDefault="00B31E52" w:rsidP="006425B8">
        <w:pPr>
          <w:pStyle w:val="Footer"/>
        </w:pPr>
        <w:r w:rsidRPr="00824CC8">
          <w:fldChar w:fldCharType="begin"/>
        </w:r>
        <w:r w:rsidRPr="00824CC8">
          <w:instrText xml:space="preserve"> PAGE   \* MERGEFORMAT </w:instrText>
        </w:r>
        <w:r w:rsidRPr="00824CC8">
          <w:fldChar w:fldCharType="separate"/>
        </w:r>
        <w:r>
          <w:rPr>
            <w:noProof/>
          </w:rPr>
          <w:t>4-186</w:t>
        </w:r>
        <w:r w:rsidRPr="00824CC8">
          <w:fldChar w:fldCharType="end"/>
        </w:r>
        <w:r w:rsidRPr="00824CC8">
          <w:tab/>
        </w:r>
        <w:r>
          <w:t xml:space="preserve">                                              </w:t>
        </w:r>
        <w:r w:rsidRPr="000A7330">
          <w:rPr>
            <w:rStyle w:val="AERbody"/>
          </w:rPr>
          <w:t xml:space="preserve">Attachment </w:t>
        </w:r>
        <w:r>
          <w:rPr>
            <w:rStyle w:val="AERbody"/>
          </w:rPr>
          <w:t>4: Value of imputation credits</w:t>
        </w:r>
        <w:r w:rsidRPr="00305E37">
          <w:rPr>
            <w:rStyle w:val="AERbody"/>
          </w:rPr>
          <w:t xml:space="preserve"> | Ausgrid draft decision</w:t>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E52" w:rsidRPr="00C86DFC" w:rsidRDefault="00B31E52" w:rsidP="006425B8">
    <w:pPr>
      <w:pStyle w:val="Footer"/>
    </w:pPr>
    <w:r w:rsidRPr="00C97C1E">
      <w:fldChar w:fldCharType="begin"/>
    </w:r>
    <w:r w:rsidRPr="00C97C1E">
      <w:instrText xml:space="preserve"> PAGE   \* MERGEFORMAT </w:instrText>
    </w:r>
    <w:r w:rsidRPr="00C97C1E">
      <w:fldChar w:fldCharType="separate"/>
    </w:r>
    <w:r w:rsidR="007E3457">
      <w:rPr>
        <w:noProof/>
      </w:rPr>
      <w:t>4-9</w:t>
    </w:r>
    <w:r w:rsidRPr="00C97C1E">
      <w:fldChar w:fldCharType="end"/>
    </w:r>
    <w:r w:rsidRPr="00C86DFC">
      <w:t xml:space="preserve">          </w:t>
    </w:r>
    <w:r w:rsidRPr="0052479E">
      <w:t xml:space="preserve">Attachment 4 – Value of imputation credits | </w:t>
    </w:r>
    <w:r>
      <w:t>Draft decision - Multinet Gas access arrangement</w:t>
    </w:r>
    <w:r w:rsidRPr="00A318FD">
      <w:t xml:space="preserve"> 201</w:t>
    </w:r>
    <w:r>
      <w:t>8</w:t>
    </w:r>
    <w:r w:rsidRPr="00A318FD">
      <w:t>–</w:t>
    </w:r>
    <w:r>
      <w:t>22</w:t>
    </w:r>
    <w:r w:rsidDel="00A318FD">
      <w:t xml:space="preserve"> </w:t>
    </w:r>
    <w:r w:rsidDel="00997BDC">
      <w:t xml:space="preserve"> </w:t>
    </w:r>
  </w:p>
  <w:p w:rsidR="00B31E52" w:rsidRPr="00C86DFC" w:rsidRDefault="00B31E52" w:rsidP="006425B8">
    <w:pPr>
      <w:pStyle w:val="Footer"/>
    </w:pPr>
  </w:p>
  <w:p w:rsidR="00B31E52" w:rsidRPr="00C97C1E" w:rsidRDefault="00B31E52" w:rsidP="006425B8">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2296171"/>
      <w:docPartObj>
        <w:docPartGallery w:val="Page Numbers (Bottom of Page)"/>
        <w:docPartUnique/>
      </w:docPartObj>
    </w:sdtPr>
    <w:sdtEndPr/>
    <w:sdtContent>
      <w:p w:rsidR="00B31E52" w:rsidRPr="00824CC8" w:rsidRDefault="00B31E52" w:rsidP="006425B8">
        <w:pPr>
          <w:pStyle w:val="Footer"/>
        </w:pPr>
        <w:r w:rsidRPr="00824CC8">
          <w:fldChar w:fldCharType="begin"/>
        </w:r>
        <w:r w:rsidRPr="00824CC8">
          <w:instrText xml:space="preserve"> PAGE   \* MERGEFORMAT </w:instrText>
        </w:r>
        <w:r w:rsidRPr="00824CC8">
          <w:fldChar w:fldCharType="separate"/>
        </w:r>
        <w:r>
          <w:rPr>
            <w:noProof/>
          </w:rPr>
          <w:t>4-186</w:t>
        </w:r>
        <w:r w:rsidRPr="00824CC8">
          <w:fldChar w:fldCharType="end"/>
        </w:r>
        <w:r w:rsidRPr="00824CC8">
          <w:tab/>
        </w:r>
        <w:r>
          <w:t xml:space="preserve">                                              </w:t>
        </w:r>
        <w:r w:rsidRPr="000A7330">
          <w:rPr>
            <w:rStyle w:val="AERbody"/>
          </w:rPr>
          <w:t xml:space="preserve">Attachment </w:t>
        </w:r>
        <w:r>
          <w:rPr>
            <w:rStyle w:val="AERbody"/>
          </w:rPr>
          <w:t>4: Value of imputation credits</w:t>
        </w:r>
        <w:r w:rsidRPr="00305E37">
          <w:rPr>
            <w:rStyle w:val="AERbody"/>
          </w:rPr>
          <w:t xml:space="preserve"> | Ausgrid draft decision</w:t>
        </w: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E52" w:rsidRPr="00C86DFC" w:rsidRDefault="00B31E52" w:rsidP="006425B8">
    <w:pPr>
      <w:pStyle w:val="Footer"/>
    </w:pPr>
    <w:r w:rsidRPr="00C97C1E">
      <w:fldChar w:fldCharType="begin"/>
    </w:r>
    <w:r w:rsidRPr="00C97C1E">
      <w:instrText xml:space="preserve"> PAGE   \* MERGEFORMAT </w:instrText>
    </w:r>
    <w:r w:rsidRPr="00C97C1E">
      <w:fldChar w:fldCharType="separate"/>
    </w:r>
    <w:r w:rsidR="007E3457">
      <w:rPr>
        <w:noProof/>
      </w:rPr>
      <w:t>4-183</w:t>
    </w:r>
    <w:r w:rsidRPr="00C97C1E">
      <w:fldChar w:fldCharType="end"/>
    </w:r>
    <w:r w:rsidRPr="00C86DFC">
      <w:t xml:space="preserve">          </w:t>
    </w:r>
    <w:r w:rsidRPr="0052479E">
      <w:t xml:space="preserve">Attachment 4 – Value of imputation credits | </w:t>
    </w:r>
    <w:r>
      <w:t>Draft decision - Multinet Gas access arrangement</w:t>
    </w:r>
    <w:r w:rsidRPr="00A318FD">
      <w:t xml:space="preserve"> 201</w:t>
    </w:r>
    <w:r>
      <w:t>8</w:t>
    </w:r>
    <w:r w:rsidRPr="00A318FD">
      <w:t>–</w:t>
    </w:r>
    <w:r>
      <w:t>22</w:t>
    </w:r>
  </w:p>
  <w:p w:rsidR="00B31E52" w:rsidRPr="00C86DFC" w:rsidRDefault="00B31E52" w:rsidP="006425B8">
    <w:pPr>
      <w:pStyle w:val="Footer"/>
    </w:pPr>
  </w:p>
  <w:p w:rsidR="00B31E52" w:rsidRPr="00C97C1E" w:rsidRDefault="00B31E52" w:rsidP="006425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1E52" w:rsidRPr="00290C63" w:rsidRDefault="00B31E52" w:rsidP="00290C63">
      <w:r>
        <w:separator/>
      </w:r>
    </w:p>
    <w:p w:rsidR="00B31E52" w:rsidRDefault="00B31E52"/>
  </w:footnote>
  <w:footnote w:type="continuationSeparator" w:id="0">
    <w:p w:rsidR="00B31E52" w:rsidRPr="00290C63" w:rsidRDefault="00B31E52" w:rsidP="00290C63">
      <w:r>
        <w:continuationSeparator/>
      </w:r>
    </w:p>
    <w:p w:rsidR="00B31E52" w:rsidRDefault="00B31E52"/>
  </w:footnote>
  <w:footnote w:id="1">
    <w:p w:rsidR="00B31E52" w:rsidRDefault="00B31E52" w:rsidP="00437CA2">
      <w:pPr>
        <w:pStyle w:val="FootnoteText"/>
      </w:pPr>
      <w:r>
        <w:rPr>
          <w:rStyle w:val="FootnoteReference"/>
        </w:rPr>
        <w:footnoteRef/>
      </w:r>
      <w:r>
        <w:t xml:space="preserve"> </w:t>
      </w:r>
      <w:r>
        <w:tab/>
      </w:r>
      <w:r w:rsidRPr="00890E69">
        <w:rPr>
          <w:rStyle w:val="AERtextitalic"/>
        </w:rPr>
        <w:t>Income Tax Assessment Act 1997</w:t>
      </w:r>
      <w:r>
        <w:t>, parts 3–6.</w:t>
      </w:r>
    </w:p>
  </w:footnote>
  <w:footnote w:id="2">
    <w:p w:rsidR="00B31E52" w:rsidRDefault="00B31E52" w:rsidP="00437CA2">
      <w:pPr>
        <w:pStyle w:val="FootnoteText"/>
      </w:pPr>
      <w:r>
        <w:rPr>
          <w:rStyle w:val="FootnoteReference"/>
        </w:rPr>
        <w:footnoteRef/>
      </w:r>
      <w:r>
        <w:t xml:space="preserve"> </w:t>
      </w:r>
      <w:r>
        <w:tab/>
        <w:t>While the return on equity is not reduced to take into account the value of imputation credits, we note our estimate of the market risk premium (MRP) does consider the value we use for imputation credits to ensure it reflects the value to investors in the domestic Australian market inclusive of credits.</w:t>
      </w:r>
    </w:p>
  </w:footnote>
  <w:footnote w:id="3">
    <w:p w:rsidR="00B31E52" w:rsidRDefault="00B31E52" w:rsidP="00437CA2">
      <w:pPr>
        <w:pStyle w:val="FootnoteText"/>
      </w:pPr>
      <w:r>
        <w:rPr>
          <w:rStyle w:val="FootnoteReference"/>
        </w:rPr>
        <w:footnoteRef/>
      </w:r>
      <w:r>
        <w:t xml:space="preserve"> </w:t>
      </w:r>
      <w:r>
        <w:tab/>
        <w:t>NER, cll. 6.4.3(a)(4), 6.4.3(b)(4), 6.5.3, 6A.5.4(a)(4), 6A.5.4(b)(4), 6A.6.4; NGR, rr. 76(c), 87A.</w:t>
      </w:r>
    </w:p>
  </w:footnote>
  <w:footnote w:id="4">
    <w:p w:rsidR="00B31E52" w:rsidRDefault="00B31E52">
      <w:pPr>
        <w:pStyle w:val="FootnoteText"/>
      </w:pPr>
      <w:r>
        <w:rPr>
          <w:rStyle w:val="FootnoteReference"/>
        </w:rPr>
        <w:footnoteRef/>
      </w:r>
      <w:r>
        <w:t xml:space="preserve"> </w:t>
      </w:r>
      <w:r>
        <w:tab/>
        <w:t xml:space="preserve">Frontier, </w:t>
      </w:r>
      <w:r w:rsidRPr="008B1CA1">
        <w:rPr>
          <w:rStyle w:val="AERtextitalic"/>
        </w:rPr>
        <w:t>perspectives for the estimation of gamma</w:t>
      </w:r>
      <w:r>
        <w:t>, December 2016</w:t>
      </w:r>
    </w:p>
  </w:footnote>
  <w:footnote w:id="5">
    <w:p w:rsidR="00B31E52" w:rsidRPr="00DA2C69" w:rsidRDefault="00B31E52" w:rsidP="00DA2C69">
      <w:pPr>
        <w:pStyle w:val="FootnoteText"/>
      </w:pPr>
      <w:r>
        <w:rPr>
          <w:rStyle w:val="FootnoteReference"/>
        </w:rPr>
        <w:footnoteRef/>
      </w:r>
      <w:r>
        <w:t xml:space="preserve"> </w:t>
      </w:r>
      <w:r>
        <w:tab/>
      </w:r>
      <w:r w:rsidRPr="00DA2C69">
        <w:t xml:space="preserve">Frontier Economics, </w:t>
      </w:r>
      <w:r w:rsidRPr="008B1CA1">
        <w:rPr>
          <w:rStyle w:val="AERtextitalic"/>
        </w:rPr>
        <w:t>Issues in the estimation of gamma</w:t>
      </w:r>
      <w:r w:rsidRPr="00DA2C69">
        <w:t>, September 2016</w:t>
      </w:r>
    </w:p>
    <w:p w:rsidR="00B31E52" w:rsidRDefault="00B31E52" w:rsidP="00DA2C69">
      <w:pPr>
        <w:pStyle w:val="FootnoteText"/>
      </w:pPr>
      <w:r>
        <w:tab/>
      </w:r>
      <w:r w:rsidRPr="00DA2C69">
        <w:t xml:space="preserve">Frontier Economics, </w:t>
      </w:r>
      <w:r w:rsidRPr="008B1CA1">
        <w:rPr>
          <w:rStyle w:val="AERtextitalic"/>
        </w:rPr>
        <w:t>Regulatory An updated dividend drop-off estimate of theta</w:t>
      </w:r>
      <w:r w:rsidRPr="00DA2C69">
        <w:t>, September 2016</w:t>
      </w:r>
    </w:p>
  </w:footnote>
  <w:footnote w:id="6">
    <w:p w:rsidR="00B31E52" w:rsidRDefault="00B31E52" w:rsidP="00437CA2">
      <w:pPr>
        <w:pStyle w:val="FootnoteText"/>
      </w:pPr>
      <w:r>
        <w:rPr>
          <w:rStyle w:val="FootnoteReference"/>
        </w:rPr>
        <w:footnoteRef/>
      </w:r>
      <w:r>
        <w:t xml:space="preserve"> </w:t>
      </w:r>
      <w:r>
        <w:tab/>
        <w:t xml:space="preserve">See section </w:t>
      </w:r>
      <w:r>
        <w:fldChar w:fldCharType="begin"/>
      </w:r>
      <w:r>
        <w:instrText xml:space="preserve"> REF _Ref414621676 \r \h </w:instrText>
      </w:r>
      <w:r>
        <w:fldChar w:fldCharType="separate"/>
      </w:r>
      <w:r w:rsidR="007E3457">
        <w:t>A.1</w:t>
      </w:r>
      <w:r>
        <w:fldChar w:fldCharType="end"/>
      </w:r>
      <w:r>
        <w:t xml:space="preserve"> of appendix A.</w:t>
      </w:r>
    </w:p>
  </w:footnote>
  <w:footnote w:id="7">
    <w:p w:rsidR="00B31E52" w:rsidRDefault="00B31E52" w:rsidP="00437CA2">
      <w:pPr>
        <w:pStyle w:val="FootnoteText"/>
      </w:pPr>
      <w:r>
        <w:rPr>
          <w:rStyle w:val="FootnoteReference"/>
        </w:rPr>
        <w:footnoteRef/>
      </w:r>
      <w:r>
        <w:t xml:space="preserve"> </w:t>
      </w:r>
      <w:r>
        <w:tab/>
        <w:t xml:space="preserve">The value of imputation credits must be between 0 and 1 because receiving an imputation credit cannot make an investor worse off, nor would an investor value an imputation credit more than its face value. </w:t>
      </w:r>
    </w:p>
  </w:footnote>
  <w:footnote w:id="8">
    <w:p w:rsidR="00B31E52" w:rsidRDefault="00B31E52" w:rsidP="00437CA2">
      <w:pPr>
        <w:pStyle w:val="FootnoteText"/>
      </w:pPr>
      <w:r>
        <w:rPr>
          <w:rStyle w:val="FootnoteReference"/>
        </w:rPr>
        <w:footnoteRef/>
      </w:r>
      <w:r>
        <w:t xml:space="preserve"> </w:t>
      </w:r>
      <w:r>
        <w:tab/>
        <w:t xml:space="preserve">The Officer framework is discussed in detail in section </w:t>
      </w:r>
      <w:r>
        <w:fldChar w:fldCharType="begin"/>
      </w:r>
      <w:r>
        <w:instrText xml:space="preserve"> REF _Ref400965182 \r \h </w:instrText>
      </w:r>
      <w:r>
        <w:fldChar w:fldCharType="separate"/>
      </w:r>
      <w:r w:rsidR="007E3457">
        <w:t>A.6</w:t>
      </w:r>
      <w:r>
        <w:fldChar w:fldCharType="end"/>
      </w:r>
      <w:r>
        <w:t>.</w:t>
      </w:r>
    </w:p>
  </w:footnote>
  <w:footnote w:id="9">
    <w:p w:rsidR="00B31E52" w:rsidRDefault="00B31E52" w:rsidP="00437CA2">
      <w:pPr>
        <w:pStyle w:val="FootnoteText"/>
      </w:pPr>
      <w:r>
        <w:rPr>
          <w:rStyle w:val="FootnoteReference"/>
        </w:rPr>
        <w:footnoteRef/>
      </w:r>
      <w:r>
        <w:t xml:space="preserve"> </w:t>
      </w:r>
      <w:r>
        <w:tab/>
        <w:t>Post-tax refers to after company tax and before personal tax.</w:t>
      </w:r>
    </w:p>
  </w:footnote>
  <w:footnote w:id="10">
    <w:p w:rsidR="00B31E52" w:rsidRDefault="00B31E52" w:rsidP="00437CA2">
      <w:pPr>
        <w:pStyle w:val="FootnoteText"/>
      </w:pPr>
      <w:r>
        <w:rPr>
          <w:rStyle w:val="FootnoteReference"/>
        </w:rPr>
        <w:footnoteRef/>
      </w:r>
      <w:r>
        <w:t xml:space="preserve"> </w:t>
      </w:r>
      <w:r>
        <w:tab/>
      </w:r>
      <w:r w:rsidRPr="00484B0E">
        <w:t>This means one dollar of claimed imputation credits has a post (company) tax value of one dollar to investors before personal taxes and personal transaction costs.</w:t>
      </w:r>
    </w:p>
  </w:footnote>
  <w:footnote w:id="11">
    <w:p w:rsidR="00B31E52" w:rsidRDefault="00B31E52" w:rsidP="00437CA2">
      <w:pPr>
        <w:pStyle w:val="FootnoteText"/>
      </w:pPr>
      <w:r>
        <w:rPr>
          <w:rStyle w:val="FootnoteReference"/>
        </w:rPr>
        <w:footnoteRef/>
      </w:r>
      <w:r>
        <w:t xml:space="preserve"> </w:t>
      </w:r>
      <w:r>
        <w:tab/>
        <w:t xml:space="preserve">In finance, the consistency principle requires that the definition of the cash flows in the numerator of a net present value (NPV) calculation must match the definition of the discount rate (or rate of return / cost of capital) in the denominator of the calculation (see </w:t>
      </w:r>
      <w:r w:rsidRPr="005A04E5">
        <w:t>Peirson, Brown, Easton, Howard</w:t>
      </w:r>
      <w:r>
        <w:t>,</w:t>
      </w:r>
      <w:r w:rsidRPr="005A04E5">
        <w:t xml:space="preserve"> Pinder, </w:t>
      </w:r>
      <w:r w:rsidRPr="0069770C">
        <w:rPr>
          <w:rStyle w:val="AERtextitalic"/>
        </w:rPr>
        <w:t>Business Finance</w:t>
      </w:r>
      <w:r w:rsidRPr="005A04E5">
        <w:t xml:space="preserve">, McGraw-Hill, </w:t>
      </w:r>
      <w:r>
        <w:t>Ed. 10</w:t>
      </w:r>
      <w:r w:rsidRPr="005A04E5">
        <w:t>,</w:t>
      </w:r>
      <w:r>
        <w:t xml:space="preserve"> 2009, p. 427). By maintaining this consistency principle, we provide a benchmark efficient entity with an </w:t>
      </w:r>
      <w:r w:rsidRPr="008C5136">
        <w:t>ex ante total return (inclusive of the value of imputation credits) commensurate with the efficient financing costs of a benchmark efficient entity.</w:t>
      </w:r>
    </w:p>
  </w:footnote>
  <w:footnote w:id="12">
    <w:p w:rsidR="00B31E52" w:rsidRDefault="00B31E52" w:rsidP="00437CA2">
      <w:pPr>
        <w:pStyle w:val="FootnoteText"/>
      </w:pPr>
      <w:r>
        <w:rPr>
          <w:rStyle w:val="FootnoteReference"/>
        </w:rPr>
        <w:footnoteRef/>
      </w:r>
      <w:r>
        <w:t xml:space="preserve"> </w:t>
      </w:r>
      <w:r>
        <w:tab/>
        <w:t xml:space="preserve">These sub-parameters are discussed further in section </w:t>
      </w:r>
      <w:r>
        <w:fldChar w:fldCharType="begin"/>
      </w:r>
      <w:r>
        <w:instrText xml:space="preserve"> REF _Ref476648777 \r \h </w:instrText>
      </w:r>
      <w:r>
        <w:fldChar w:fldCharType="separate"/>
      </w:r>
      <w:r w:rsidR="007E3457">
        <w:t>4.4</w:t>
      </w:r>
      <w:r>
        <w:fldChar w:fldCharType="end"/>
      </w:r>
      <w:r>
        <w:t>.</w:t>
      </w:r>
    </w:p>
  </w:footnote>
  <w:footnote w:id="13">
    <w:p w:rsidR="00B31E52" w:rsidRDefault="00B31E52" w:rsidP="00437CA2">
      <w:pPr>
        <w:pStyle w:val="FootnoteText"/>
      </w:pPr>
      <w:r>
        <w:rPr>
          <w:rStyle w:val="FootnoteReference"/>
        </w:rPr>
        <w:footnoteRef/>
      </w:r>
      <w:r>
        <w:t xml:space="preserve"> </w:t>
      </w:r>
      <w:r>
        <w:tab/>
      </w:r>
      <w:r w:rsidRPr="00883125">
        <w:t xml:space="preserve">In this decision we use the terms </w:t>
      </w:r>
      <w:r>
        <w:t xml:space="preserve">theta, </w:t>
      </w:r>
      <w:r w:rsidRPr="00883125">
        <w:t>utilisation value and utilisation rate interchangeably to mean the same thing.</w:t>
      </w:r>
    </w:p>
  </w:footnote>
  <w:footnote w:id="14">
    <w:p w:rsidR="00B31E52" w:rsidRDefault="00B31E52">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26 February 2016.</w:t>
      </w:r>
    </w:p>
  </w:footnote>
  <w:footnote w:id="15">
    <w:p w:rsidR="00B31E52" w:rsidRDefault="00B31E52">
      <w:pPr>
        <w:pStyle w:val="FootnoteText"/>
      </w:pPr>
      <w:r>
        <w:rPr>
          <w:rStyle w:val="FootnoteReference"/>
        </w:rPr>
        <w:footnoteRef/>
      </w:r>
      <w:r>
        <w:t xml:space="preserve"> </w:t>
      </w:r>
      <w:r>
        <w:tab/>
        <w:t xml:space="preserve">Federal Court of Australia, </w:t>
      </w:r>
      <w:r w:rsidRPr="008B1CA1">
        <w:rPr>
          <w:rStyle w:val="AERtextitalic"/>
        </w:rPr>
        <w:t>Australian Energy Regulator v Australian Competition Tribunal (No 2) [2017] FCAFC 79</w:t>
      </w:r>
      <w:r>
        <w:t>, May 2017.</w:t>
      </w:r>
    </w:p>
  </w:footnote>
  <w:footnote w:id="16">
    <w:p w:rsidR="00B31E52" w:rsidRDefault="00B31E52" w:rsidP="00484398">
      <w:pPr>
        <w:pStyle w:val="FootnoteText"/>
      </w:pPr>
      <w:r>
        <w:rPr>
          <w:rStyle w:val="FootnoteReference"/>
        </w:rPr>
        <w:footnoteRef/>
      </w:r>
      <w:r>
        <w:t xml:space="preserve"> </w:t>
      </w:r>
      <w:r>
        <w:tab/>
        <w:t xml:space="preserve">Federal Court of Australia, </w:t>
      </w:r>
      <w:r w:rsidRPr="00167805">
        <w:rPr>
          <w:rStyle w:val="AERtextitalic"/>
        </w:rPr>
        <w:t>Australian Energy Regulator v Australian Competition Tribunal (No 2) [2017] FCAFC 79</w:t>
      </w:r>
      <w:r>
        <w:t>, May 2017, p. 216.</w:t>
      </w:r>
    </w:p>
  </w:footnote>
  <w:footnote w:id="17">
    <w:p w:rsidR="00B31E52" w:rsidRDefault="00B31E52" w:rsidP="009545AC">
      <w:pPr>
        <w:pStyle w:val="FootnoteText"/>
      </w:pPr>
      <w:r>
        <w:rPr>
          <w:rStyle w:val="FootnoteReference"/>
        </w:rPr>
        <w:footnoteRef/>
      </w:r>
      <w:r>
        <w:t xml:space="preserve"> </w:t>
      </w:r>
      <w:r>
        <w:tab/>
        <w:t xml:space="preserve">Federal Court of Australia, </w:t>
      </w:r>
      <w:r w:rsidRPr="00167805">
        <w:rPr>
          <w:rStyle w:val="AERtextitalic"/>
        </w:rPr>
        <w:t>Australian Energy Regulator v Australian Competition Tribunal (No 2) [2017] FCAFC 79</w:t>
      </w:r>
      <w:r>
        <w:t>, May 2017, p. 216.</w:t>
      </w:r>
    </w:p>
  </w:footnote>
  <w:footnote w:id="18">
    <w:p w:rsidR="00B31E52" w:rsidRDefault="00B31E52">
      <w:pPr>
        <w:pStyle w:val="FootnoteText"/>
      </w:pPr>
      <w:r>
        <w:rPr>
          <w:rStyle w:val="FootnoteReference"/>
        </w:rPr>
        <w:footnoteRef/>
      </w:r>
      <w:r>
        <w:t xml:space="preserve"> </w:t>
      </w:r>
      <w:r>
        <w:tab/>
        <w:t xml:space="preserve">Federal Court of Australia, </w:t>
      </w:r>
      <w:r w:rsidRPr="00B23401">
        <w:rPr>
          <w:rStyle w:val="AERtextitalic"/>
        </w:rPr>
        <w:t>Australian Energy Regulator v Australian Competition Tribunal (No 2) [2017] FCAFC 79</w:t>
      </w:r>
      <w:r>
        <w:t>, May 2017, p. 216.</w:t>
      </w:r>
    </w:p>
  </w:footnote>
  <w:footnote w:id="19">
    <w:p w:rsidR="00B31E52" w:rsidRDefault="00B31E52">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SA Power Networks</w:t>
      </w:r>
      <w:r w:rsidRPr="000F2066">
        <w:rPr>
          <w:rStyle w:val="AERtextitalic"/>
        </w:rPr>
        <w:t xml:space="preserve"> [20</w:t>
      </w:r>
      <w:r>
        <w:rPr>
          <w:rStyle w:val="AERtextitalic"/>
        </w:rPr>
        <w:t>16</w:t>
      </w:r>
      <w:r w:rsidRPr="000F2066">
        <w:rPr>
          <w:rStyle w:val="AERtextitalic"/>
        </w:rPr>
        <w:t xml:space="preserve">] ACompT </w:t>
      </w:r>
      <w:r>
        <w:rPr>
          <w:rStyle w:val="AERtextitalic"/>
        </w:rPr>
        <w:t>11</w:t>
      </w:r>
      <w:r>
        <w:t>, 28 October 2016.</w:t>
      </w:r>
    </w:p>
  </w:footnote>
  <w:footnote w:id="20">
    <w:p w:rsidR="00B31E52" w:rsidRDefault="00B31E52">
      <w:pPr>
        <w:pStyle w:val="FootnoteText"/>
      </w:pPr>
      <w:r>
        <w:rPr>
          <w:rStyle w:val="FootnoteReference"/>
        </w:rPr>
        <w:footnoteRef/>
      </w:r>
      <w:r>
        <w:t xml:space="preserve"> </w:t>
      </w:r>
      <w:r>
        <w:tab/>
        <w:t xml:space="preserve">Federal Court of Australia, </w:t>
      </w:r>
      <w:r w:rsidRPr="00B23401">
        <w:rPr>
          <w:rStyle w:val="AERtextitalic"/>
        </w:rPr>
        <w:t>Australian Energy Regulator v Australian Competition Tribunal (No 2) [2017] FCAFC 79</w:t>
      </w:r>
      <w:r>
        <w:t>, May 2017, p. 215.</w:t>
      </w:r>
    </w:p>
  </w:footnote>
  <w:footnote w:id="21">
    <w:p w:rsidR="00B31E52" w:rsidRDefault="00B31E52" w:rsidP="00E26B5E">
      <w:pPr>
        <w:pStyle w:val="FootnoteText"/>
      </w:pPr>
      <w:r>
        <w:rPr>
          <w:rStyle w:val="FootnoteReference"/>
        </w:rPr>
        <w:footnoteRef/>
      </w:r>
      <w:r>
        <w:t xml:space="preserve"> </w:t>
      </w:r>
      <w:r>
        <w:tab/>
      </w:r>
      <w:r w:rsidRPr="009A6FC1">
        <w:t xml:space="preserve">Lally, </w:t>
      </w:r>
      <w:r w:rsidRPr="00CD376D">
        <w:rPr>
          <w:rStyle w:val="AERtextitalic"/>
        </w:rPr>
        <w:t>Gamma and the ACT Decision</w:t>
      </w:r>
      <w:r w:rsidRPr="009A6FC1">
        <w:t>, May 2016, pp. 18–20</w:t>
      </w:r>
      <w:r>
        <w:t xml:space="preserve">; Lally, </w:t>
      </w:r>
      <w:r w:rsidRPr="004744FB">
        <w:rPr>
          <w:rStyle w:val="AERtextitalic"/>
        </w:rPr>
        <w:t>Issues in the estimation of gamma</w:t>
      </w:r>
      <w:r>
        <w:t>, March 2017</w:t>
      </w:r>
      <w:r w:rsidRPr="00F5204A">
        <w:rPr>
          <w:rStyle w:val="AERtextitalic"/>
          <w:i w:val="0"/>
        </w:rPr>
        <w:t>, p. 13.</w:t>
      </w:r>
    </w:p>
  </w:footnote>
  <w:footnote w:id="22">
    <w:p w:rsidR="00B31E52" w:rsidRDefault="00B31E52" w:rsidP="001E6A60">
      <w:pPr>
        <w:pStyle w:val="FootnoteText"/>
      </w:pPr>
      <w:r>
        <w:rPr>
          <w:rStyle w:val="FootnoteReference"/>
        </w:rPr>
        <w:footnoteRef/>
      </w:r>
      <w:r>
        <w:t xml:space="preserve"> </w:t>
      </w:r>
      <w:r>
        <w:tab/>
      </w:r>
      <w:r w:rsidRPr="009A6FC1">
        <w:t xml:space="preserve">Australian Competition Tribunal, </w:t>
      </w:r>
      <w:r w:rsidRPr="00F143A3">
        <w:rPr>
          <w:rStyle w:val="AERtextitalic"/>
        </w:rPr>
        <w:t>Application by Public Interest Advocacy Centre Ltd and Ausgrid [2016] ACompT 1</w:t>
      </w:r>
      <w:r w:rsidRPr="009A6FC1">
        <w:t>, 26 February 2016, paras. 1048, 1090 and 1095.</w:t>
      </w:r>
    </w:p>
  </w:footnote>
  <w:footnote w:id="23">
    <w:p w:rsidR="00B31E52" w:rsidRDefault="00B31E52" w:rsidP="00493F01">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SA Power Networks</w:t>
      </w:r>
      <w:r w:rsidRPr="000F2066">
        <w:rPr>
          <w:rStyle w:val="AERtextitalic"/>
        </w:rPr>
        <w:t xml:space="preserve"> [20</w:t>
      </w:r>
      <w:r>
        <w:rPr>
          <w:rStyle w:val="AERtextitalic"/>
        </w:rPr>
        <w:t>16</w:t>
      </w:r>
      <w:r w:rsidRPr="000F2066">
        <w:rPr>
          <w:rStyle w:val="AERtextitalic"/>
        </w:rPr>
        <w:t xml:space="preserve">] ACompT </w:t>
      </w:r>
      <w:r>
        <w:rPr>
          <w:rStyle w:val="AERtextitalic"/>
        </w:rPr>
        <w:t>11</w:t>
      </w:r>
      <w:r>
        <w:t xml:space="preserve">, 28 October 2016, </w:t>
      </w:r>
      <w:r w:rsidRPr="008F5D24">
        <w:t xml:space="preserve">para. </w:t>
      </w:r>
      <w:r>
        <w:t>193</w:t>
      </w:r>
      <w:r w:rsidRPr="008F5D24">
        <w:t>.</w:t>
      </w:r>
    </w:p>
  </w:footnote>
  <w:footnote w:id="24">
    <w:p w:rsidR="00B31E52" w:rsidRDefault="00B31E52" w:rsidP="00E26B5E">
      <w:pPr>
        <w:pStyle w:val="FootnoteText"/>
      </w:pPr>
      <w:r>
        <w:rPr>
          <w:rStyle w:val="FootnoteReference"/>
        </w:rPr>
        <w:footnoteRef/>
      </w:r>
      <w:r>
        <w:t xml:space="preserve"> </w:t>
      </w:r>
      <w:r>
        <w:tab/>
      </w:r>
      <w:r w:rsidRPr="009A6FC1">
        <w:t xml:space="preserve">Lally, </w:t>
      </w:r>
      <w:r w:rsidRPr="00E750F8">
        <w:rPr>
          <w:rStyle w:val="AERtextitalic"/>
        </w:rPr>
        <w:t>Gamma and the ACT Decision</w:t>
      </w:r>
      <w:r>
        <w:t xml:space="preserve">, May 2016, p. 20; Lally, </w:t>
      </w:r>
      <w:r w:rsidRPr="004744FB">
        <w:rPr>
          <w:rStyle w:val="AERtextitalic"/>
        </w:rPr>
        <w:t>Issues in the estimation of gamma</w:t>
      </w:r>
      <w:r>
        <w:t>, March 2017</w:t>
      </w:r>
      <w:r w:rsidRPr="00E26B5E">
        <w:rPr>
          <w:rStyle w:val="AERtextitalic"/>
        </w:rPr>
        <w:t xml:space="preserve">, </w:t>
      </w:r>
      <w:r w:rsidRPr="00F5204A">
        <w:rPr>
          <w:rStyle w:val="AERtextitalic"/>
          <w:i w:val="0"/>
        </w:rPr>
        <w:t>p. 13.</w:t>
      </w:r>
    </w:p>
  </w:footnote>
  <w:footnote w:id="25">
    <w:p w:rsidR="00B31E52" w:rsidRDefault="00B31E52" w:rsidP="00E26B5E">
      <w:pPr>
        <w:pStyle w:val="FootnoteText"/>
      </w:pPr>
      <w:r>
        <w:rPr>
          <w:rStyle w:val="FootnoteReference"/>
        </w:rPr>
        <w:footnoteRef/>
      </w:r>
      <w:r>
        <w:t xml:space="preserve"> </w:t>
      </w:r>
      <w:r>
        <w:tab/>
      </w:r>
      <w:r w:rsidRPr="009A6FC1">
        <w:t xml:space="preserve">Lally, </w:t>
      </w:r>
      <w:r w:rsidRPr="00CD376D">
        <w:rPr>
          <w:rStyle w:val="AERtextitalic"/>
        </w:rPr>
        <w:t>Gamma and the ACT Decision</w:t>
      </w:r>
      <w:r w:rsidRPr="009A6FC1">
        <w:t>, May 2016, p. 22</w:t>
      </w:r>
      <w:r>
        <w:t xml:space="preserve">; Lally, </w:t>
      </w:r>
      <w:r w:rsidRPr="004744FB">
        <w:rPr>
          <w:rStyle w:val="AERtextitalic"/>
        </w:rPr>
        <w:t>Issues in the estimation of gamma</w:t>
      </w:r>
      <w:r>
        <w:t>, March 2017</w:t>
      </w:r>
      <w:r w:rsidRPr="00E26B5E">
        <w:rPr>
          <w:rStyle w:val="AERtextitalic"/>
        </w:rPr>
        <w:t>,</w:t>
      </w:r>
      <w:r w:rsidRPr="00F5204A">
        <w:rPr>
          <w:rStyle w:val="AERtextitalic"/>
          <w:i w:val="0"/>
        </w:rPr>
        <w:t xml:space="preserve"> p. 24.</w:t>
      </w:r>
    </w:p>
  </w:footnote>
  <w:footnote w:id="26">
    <w:p w:rsidR="00B31E52" w:rsidRDefault="00B31E52" w:rsidP="001E6A60">
      <w:pPr>
        <w:pStyle w:val="FootnoteText"/>
      </w:pPr>
      <w:r>
        <w:rPr>
          <w:rStyle w:val="FootnoteReference"/>
        </w:rPr>
        <w:footnoteRef/>
      </w:r>
      <w:r>
        <w:t xml:space="preserve"> </w:t>
      </w:r>
      <w:r>
        <w:tab/>
        <w:t xml:space="preserve">See M </w:t>
      </w:r>
      <w:r w:rsidRPr="001B2D3D">
        <w:t xml:space="preserve">Lally, </w:t>
      </w:r>
      <w:r w:rsidRPr="005764F6">
        <w:rPr>
          <w:rStyle w:val="AERtextitalic"/>
        </w:rPr>
        <w:t>Gamma and the ACT Decision</w:t>
      </w:r>
      <w:r>
        <w:t>, May 2016, pp. 24–26</w:t>
      </w:r>
      <w:r w:rsidRPr="001B2D3D">
        <w:t>.</w:t>
      </w:r>
    </w:p>
  </w:footnote>
  <w:footnote w:id="27">
    <w:p w:rsidR="00B31E52" w:rsidRPr="00EA3C68" w:rsidRDefault="00B31E52" w:rsidP="001E6A60">
      <w:pPr>
        <w:pStyle w:val="FootnoteText"/>
      </w:pPr>
      <w:r>
        <w:rPr>
          <w:rStyle w:val="FootnoteReference"/>
        </w:rPr>
        <w:footnoteRef/>
      </w:r>
      <w:r>
        <w:t xml:space="preserve"> </w:t>
      </w:r>
      <w:r>
        <w:tab/>
        <w:t xml:space="preserve">M. Lally, </w:t>
      </w:r>
      <w:r w:rsidRPr="00E750F8">
        <w:rPr>
          <w:rStyle w:val="AERtextitalic"/>
        </w:rPr>
        <w:t>Issues in the estimation of gamma</w:t>
      </w:r>
      <w:r>
        <w:t>, April 2017</w:t>
      </w:r>
      <w:r w:rsidRPr="000E71C3">
        <w:rPr>
          <w:rStyle w:val="AERtextitalic"/>
          <w:i w:val="0"/>
        </w:rPr>
        <w:t>, p. 13.</w:t>
      </w:r>
    </w:p>
  </w:footnote>
  <w:footnote w:id="28">
    <w:p w:rsidR="00B31E52" w:rsidRDefault="00B31E52" w:rsidP="001E6A60">
      <w:pPr>
        <w:pStyle w:val="FootnoteText"/>
      </w:pPr>
      <w:r>
        <w:rPr>
          <w:rStyle w:val="FootnoteReference"/>
        </w:rPr>
        <w:footnoteRef/>
      </w:r>
      <w:r>
        <w:t xml:space="preserve"> </w:t>
      </w:r>
      <w:r>
        <w:tab/>
      </w:r>
      <w:r w:rsidRPr="00E0166D">
        <w:t xml:space="preserve">Lally, </w:t>
      </w:r>
      <w:r w:rsidRPr="00886601">
        <w:rPr>
          <w:rStyle w:val="AERtextitalic"/>
        </w:rPr>
        <w:t>Gamma and the ACT Decision</w:t>
      </w:r>
      <w:r>
        <w:t>, May 2016, p. 4–6</w:t>
      </w:r>
      <w:r w:rsidRPr="00E0166D">
        <w:t>.</w:t>
      </w:r>
    </w:p>
  </w:footnote>
  <w:footnote w:id="29">
    <w:p w:rsidR="00B31E52" w:rsidRDefault="00B31E52" w:rsidP="001E6A60">
      <w:pPr>
        <w:pStyle w:val="FootnoteText"/>
      </w:pPr>
      <w:r>
        <w:rPr>
          <w:rStyle w:val="FootnoteReference"/>
        </w:rPr>
        <w:footnoteRef/>
      </w:r>
      <w:r>
        <w:t xml:space="preserve"> </w:t>
      </w:r>
      <w:r>
        <w:tab/>
      </w:r>
      <w:r w:rsidRPr="00F14413">
        <w:t xml:space="preserve">Lally, </w:t>
      </w:r>
      <w:r w:rsidRPr="005764F6">
        <w:rPr>
          <w:rStyle w:val="AERtextitalic"/>
        </w:rPr>
        <w:t>Gamma and the ACT Decision</w:t>
      </w:r>
      <w:r w:rsidRPr="00F14413">
        <w:t>, May 2016, p</w:t>
      </w:r>
      <w:r>
        <w:t>p. 3–6</w:t>
      </w:r>
      <w:r w:rsidRPr="00F14413">
        <w:t>.</w:t>
      </w:r>
    </w:p>
  </w:footnote>
  <w:footnote w:id="30">
    <w:p w:rsidR="00B31E52" w:rsidRDefault="00B31E52" w:rsidP="00437CA2">
      <w:pPr>
        <w:pStyle w:val="FootnoteText"/>
      </w:pPr>
      <w:r>
        <w:rPr>
          <w:rStyle w:val="FootnoteReference"/>
        </w:rPr>
        <w:footnoteRef/>
      </w:r>
      <w:r>
        <w:t xml:space="preserve"> </w:t>
      </w:r>
      <w:r>
        <w:tab/>
      </w:r>
      <w:r w:rsidRPr="005764F6">
        <w:t xml:space="preserve">Lally, </w:t>
      </w:r>
      <w:r w:rsidRPr="00583683">
        <w:rPr>
          <w:rStyle w:val="AERtextitalic"/>
        </w:rPr>
        <w:t>Gamma and the ACT Decision</w:t>
      </w:r>
      <w:r w:rsidRPr="005764F6">
        <w:t>, May 2016, p. 20.</w:t>
      </w:r>
    </w:p>
  </w:footnote>
  <w:footnote w:id="31">
    <w:p w:rsidR="00B31E52" w:rsidRDefault="00B31E52">
      <w:pPr>
        <w:pStyle w:val="FootnoteText"/>
      </w:pPr>
      <w:r>
        <w:rPr>
          <w:rStyle w:val="FootnoteReference"/>
        </w:rPr>
        <w:footnoteRef/>
      </w:r>
      <w:r>
        <w:t xml:space="preserve"> </w:t>
      </w:r>
      <w:r>
        <w:tab/>
        <w:t xml:space="preserve">Frontier Economics, </w:t>
      </w:r>
      <w:r>
        <w:rPr>
          <w:rStyle w:val="AERtextitalic"/>
        </w:rPr>
        <w:t>Issues in the estimation of gamma</w:t>
      </w:r>
      <w:r>
        <w:t>, September 2016, pp. 12-15.</w:t>
      </w:r>
    </w:p>
  </w:footnote>
  <w:footnote w:id="32">
    <w:p w:rsidR="00B31E52" w:rsidRDefault="00B31E52" w:rsidP="00437CA2">
      <w:pPr>
        <w:pStyle w:val="FootnoteText"/>
      </w:pPr>
      <w:r>
        <w:rPr>
          <w:rStyle w:val="FootnoteReference"/>
        </w:rPr>
        <w:footnoteRef/>
      </w:r>
      <w:r>
        <w:t xml:space="preserve"> </w:t>
      </w:r>
      <w:r>
        <w:tab/>
      </w:r>
      <w:r w:rsidRPr="005764F6">
        <w:t xml:space="preserve">Lally, </w:t>
      </w:r>
      <w:r w:rsidRPr="00583683">
        <w:rPr>
          <w:rStyle w:val="AERtextitalic"/>
        </w:rPr>
        <w:t>Gamma and the ACT Decision</w:t>
      </w:r>
      <w:r w:rsidRPr="005764F6">
        <w:t>, May 2016, pp. 19, 30.</w:t>
      </w:r>
    </w:p>
  </w:footnote>
  <w:footnote w:id="33">
    <w:p w:rsidR="00B31E52" w:rsidRDefault="00B31E52" w:rsidP="00437CA2">
      <w:pPr>
        <w:pStyle w:val="FootnoteText"/>
      </w:pPr>
      <w:r>
        <w:rPr>
          <w:rStyle w:val="FootnoteReference"/>
        </w:rPr>
        <w:footnoteRef/>
      </w:r>
      <w:r>
        <w:t xml:space="preserve"> </w:t>
      </w:r>
      <w:r>
        <w:tab/>
      </w:r>
      <w:r w:rsidRPr="005764F6">
        <w:t xml:space="preserve">Lally, </w:t>
      </w:r>
      <w:r w:rsidRPr="00583683">
        <w:rPr>
          <w:rStyle w:val="AERtextitalic"/>
        </w:rPr>
        <w:t>Gamma and the ACT Decision</w:t>
      </w:r>
      <w:r w:rsidRPr="005764F6">
        <w:t xml:space="preserve">, May 2016, p. 20. </w:t>
      </w:r>
      <w:r w:rsidRPr="00583683">
        <w:t>We note Lally considered the 0.45 from our previous decisions in his report. However, his analysis would hold with respect to our updated estimate from taxations statistics of 0.48.</w:t>
      </w:r>
    </w:p>
  </w:footnote>
  <w:footnote w:id="34">
    <w:p w:rsidR="00B31E52" w:rsidRDefault="00B31E52" w:rsidP="00437CA2">
      <w:pPr>
        <w:pStyle w:val="FootnoteText"/>
      </w:pPr>
      <w:r>
        <w:rPr>
          <w:rStyle w:val="FootnoteReference"/>
        </w:rPr>
        <w:footnoteRef/>
      </w:r>
      <w:r>
        <w:t xml:space="preserve"> </w:t>
      </w:r>
      <w:r>
        <w:tab/>
        <w:t xml:space="preserve">This relies on cumulative distribution rate based on FAB data being used which matches to the 0.48 tax statistic. </w:t>
      </w:r>
    </w:p>
  </w:footnote>
  <w:footnote w:id="35">
    <w:p w:rsidR="00B31E52" w:rsidRDefault="00B31E52" w:rsidP="00CD04C8">
      <w:pPr>
        <w:pStyle w:val="FootnoteText"/>
      </w:pPr>
      <w:r>
        <w:rPr>
          <w:rStyle w:val="FootnoteReference"/>
        </w:rPr>
        <w:footnoteRef/>
      </w:r>
      <w:r>
        <w:t xml:space="preserve"> </w:t>
      </w:r>
      <w:r>
        <w:tab/>
        <w:t>This utilisation rate is for all equity, as tax statistics do not provide data on the listed equity utilisation. For the purpose of the calculation of the listed equity value of imputation credits, this utilisation rate has been combined with the listed equity distribution rate.</w:t>
      </w:r>
    </w:p>
  </w:footnote>
  <w:footnote w:id="36">
    <w:p w:rsidR="00B31E52" w:rsidRDefault="00B31E52" w:rsidP="00437CA2">
      <w:pPr>
        <w:pStyle w:val="FootnoteText"/>
      </w:pPr>
      <w:r>
        <w:rPr>
          <w:rStyle w:val="FootnoteReference"/>
        </w:rPr>
        <w:footnoteRef/>
      </w:r>
      <w:r>
        <w:t xml:space="preserve"> </w:t>
      </w:r>
      <w:r>
        <w:tab/>
        <w:t>This relies on cumulative distribution rate based on FAB data being used which matches to the 0.48 tax statistic.</w:t>
      </w:r>
    </w:p>
  </w:footnote>
  <w:footnote w:id="37">
    <w:p w:rsidR="00B31E52" w:rsidRDefault="00B31E52">
      <w:pPr>
        <w:pStyle w:val="FootnoteText"/>
      </w:pPr>
      <w:r>
        <w:rPr>
          <w:rStyle w:val="FootnoteReference"/>
        </w:rPr>
        <w:footnoteRef/>
      </w:r>
      <w:r>
        <w:t xml:space="preserve"> </w:t>
      </w:r>
      <w:r>
        <w:tab/>
        <w:t xml:space="preserve">Depending on whether dividend data or FAB data is used, tax statistics can provide a different utilisation rate. See: </w:t>
      </w:r>
      <w:r w:rsidRPr="005764F6">
        <w:t xml:space="preserve">Lally, </w:t>
      </w:r>
      <w:r w:rsidRPr="00583683">
        <w:rPr>
          <w:rStyle w:val="AERtextitalic"/>
        </w:rPr>
        <w:t>Gamma and the ACT Decision</w:t>
      </w:r>
      <w:r>
        <w:t>, May 2016, p</w:t>
      </w:r>
      <w:r w:rsidRPr="005764F6">
        <w:t>. </w:t>
      </w:r>
      <w:r>
        <w:t>20</w:t>
      </w:r>
      <w:r w:rsidRPr="005764F6">
        <w:t>.</w:t>
      </w:r>
    </w:p>
  </w:footnote>
  <w:footnote w:id="38">
    <w:p w:rsidR="00B31E52" w:rsidRDefault="00B31E52" w:rsidP="00437CA2">
      <w:pPr>
        <w:pStyle w:val="FootnoteText"/>
      </w:pPr>
      <w:r>
        <w:rPr>
          <w:rStyle w:val="FootnoteReference"/>
        </w:rPr>
        <w:footnoteRef/>
      </w:r>
      <w:r>
        <w:t xml:space="preserve"> </w:t>
      </w:r>
      <w:r>
        <w:tab/>
        <w:t>This relies on the distribution rate of the top 20 firms. Lally considers that financial statements are more reliable to estimate the distribution rate that ATO data.</w:t>
      </w:r>
    </w:p>
  </w:footnote>
  <w:footnote w:id="39">
    <w:p w:rsidR="00B31E52" w:rsidRDefault="00B31E52" w:rsidP="00437CA2">
      <w:pPr>
        <w:pStyle w:val="FootnoteText"/>
      </w:pPr>
      <w:r>
        <w:rPr>
          <w:rStyle w:val="FootnoteReference"/>
        </w:rPr>
        <w:footnoteRef/>
      </w:r>
      <w:r>
        <w:t xml:space="preserve"> </w:t>
      </w:r>
      <w:r>
        <w:tab/>
        <w:t>We note even if the FAB data is reliable and therefore we can use an estimate a of the  utilisation rate of around 0.48 (with uncertainty around it), the 0.48 point estimate still gives an estimate of 0.4 when combined with Lally preferred estimate of the distribution rate for the efficient benchmark entity of 0.83.</w:t>
      </w:r>
    </w:p>
  </w:footnote>
  <w:footnote w:id="40">
    <w:p w:rsidR="00B31E52" w:rsidRDefault="00B31E52" w:rsidP="00437CA2">
      <w:pPr>
        <w:pStyle w:val="FootnoteText"/>
      </w:pPr>
      <w:r>
        <w:rPr>
          <w:rStyle w:val="FootnoteReference"/>
        </w:rPr>
        <w:footnoteRef/>
      </w:r>
      <w:r>
        <w:t xml:space="preserve"> </w:t>
      </w:r>
      <w:r>
        <w:tab/>
      </w:r>
      <w:r w:rsidRPr="004E65F8">
        <w:t xml:space="preserve">N. Hathaway, </w:t>
      </w:r>
      <w:r w:rsidRPr="00452E57">
        <w:rPr>
          <w:rStyle w:val="AERtextitalic"/>
        </w:rPr>
        <w:t>Imputation credit redemption ATO data 1988–2011: Where have all the credits gone?,</w:t>
      </w:r>
      <w:r w:rsidRPr="004E65F8">
        <w:t xml:space="preserve"> September 2013</w:t>
      </w:r>
      <w:r>
        <w:t>.</w:t>
      </w:r>
    </w:p>
  </w:footnote>
  <w:footnote w:id="41">
    <w:p w:rsidR="00B31E52" w:rsidRPr="00AB0B17" w:rsidRDefault="00B31E52" w:rsidP="00437CA2">
      <w:pPr>
        <w:pStyle w:val="FootnoteText"/>
      </w:pPr>
      <w:r>
        <w:rPr>
          <w:rStyle w:val="FootnoteReference"/>
        </w:rPr>
        <w:footnoteRef/>
      </w:r>
      <w:r>
        <w:t xml:space="preserve"> </w:t>
      </w:r>
      <w:r>
        <w:tab/>
      </w:r>
      <w:r w:rsidRPr="004E65F8">
        <w:t xml:space="preserve">N. Hathaway, </w:t>
      </w:r>
      <w:r w:rsidRPr="00452E57">
        <w:rPr>
          <w:rStyle w:val="AERtextitalic"/>
        </w:rPr>
        <w:t>Imputation credit redemption ATO data 1988–2011: Where have all the credits gone?,</w:t>
      </w:r>
      <w:r w:rsidRPr="004E65F8">
        <w:t xml:space="preserve"> September 2013.</w:t>
      </w:r>
    </w:p>
  </w:footnote>
  <w:footnote w:id="42">
    <w:p w:rsidR="00B31E52" w:rsidRDefault="00B31E52" w:rsidP="00437CA2">
      <w:pPr>
        <w:pStyle w:val="FootnoteText"/>
      </w:pPr>
      <w:r>
        <w:rPr>
          <w:rStyle w:val="FootnoteReference"/>
        </w:rPr>
        <w:footnoteRef/>
      </w:r>
      <w:r>
        <w:t xml:space="preserve"> </w:t>
      </w:r>
      <w:r>
        <w:tab/>
      </w:r>
      <w:r w:rsidRPr="005764F6">
        <w:t xml:space="preserve">Lally, </w:t>
      </w:r>
      <w:r w:rsidRPr="00583683">
        <w:rPr>
          <w:rStyle w:val="AERtextitalic"/>
        </w:rPr>
        <w:t>Gamma and the ACT Decision</w:t>
      </w:r>
      <w:r>
        <w:t xml:space="preserve">, </w:t>
      </w:r>
      <w:r w:rsidRPr="005764F6">
        <w:t>May 2016, p. 29.</w:t>
      </w:r>
    </w:p>
  </w:footnote>
  <w:footnote w:id="43">
    <w:p w:rsidR="00B31E52" w:rsidRDefault="00B31E52" w:rsidP="00437CA2">
      <w:pPr>
        <w:pStyle w:val="FootnoteText"/>
      </w:pPr>
      <w:r>
        <w:rPr>
          <w:rStyle w:val="FootnoteReference"/>
        </w:rPr>
        <w:footnoteRef/>
      </w:r>
      <w:r>
        <w:t xml:space="preserve"> </w:t>
      </w:r>
      <w:r>
        <w:tab/>
      </w:r>
      <w:r w:rsidRPr="005764F6">
        <w:t xml:space="preserve">Lally, </w:t>
      </w:r>
      <w:r w:rsidRPr="00583683">
        <w:rPr>
          <w:rStyle w:val="AERtextitalic"/>
        </w:rPr>
        <w:t>Gamma and the ACT Decision</w:t>
      </w:r>
      <w:r>
        <w:t xml:space="preserve">, </w:t>
      </w:r>
      <w:r w:rsidRPr="005764F6">
        <w:t>May 2016, p. 26.</w:t>
      </w:r>
    </w:p>
  </w:footnote>
  <w:footnote w:id="44">
    <w:p w:rsidR="00B31E52" w:rsidRPr="00142226" w:rsidRDefault="00B31E52" w:rsidP="00F5581D">
      <w:pPr>
        <w:pStyle w:val="FootnoteText"/>
      </w:pPr>
      <w:r>
        <w:rPr>
          <w:rStyle w:val="FootnoteReference"/>
        </w:rPr>
        <w:footnoteRef/>
      </w:r>
      <w:r>
        <w:t xml:space="preserve"> </w:t>
      </w:r>
      <w:r>
        <w:tab/>
      </w:r>
      <w:r w:rsidRPr="00142226">
        <w:t xml:space="preserve">Multinet, </w:t>
      </w:r>
      <w:r w:rsidRPr="00142226">
        <w:rPr>
          <w:rStyle w:val="AERtextitalic"/>
        </w:rPr>
        <w:t>2018 to 2022 Access Arrangement Information</w:t>
      </w:r>
      <w:r w:rsidRPr="00142226">
        <w:t>, December 2016, p.131</w:t>
      </w:r>
      <w:r>
        <w:t>;</w:t>
      </w:r>
      <w:r w:rsidRPr="00DB6F2B">
        <w:t xml:space="preserve">AusNet Services Gas Distribution, </w:t>
      </w:r>
      <w:r w:rsidRPr="008B1CA1">
        <w:rPr>
          <w:rStyle w:val="AERtextitalic"/>
        </w:rPr>
        <w:t>Access Arrangement Review 2018-22</w:t>
      </w:r>
      <w:r w:rsidRPr="00DB6F2B">
        <w:t>, December 2016, p.</w:t>
      </w:r>
      <w:r>
        <w:t>23</w:t>
      </w:r>
      <w:r w:rsidRPr="00DB6F2B">
        <w:t xml:space="preserve">6; RBP, </w:t>
      </w:r>
      <w:r w:rsidRPr="008B1CA1">
        <w:rPr>
          <w:rStyle w:val="AERtextitalic"/>
        </w:rPr>
        <w:t>Access arrangement submission 2017-22</w:t>
      </w:r>
      <w:r>
        <w:t>, 16 September 2016, p. 169</w:t>
      </w:r>
      <w:r w:rsidRPr="00DB6F2B">
        <w:t xml:space="preserve">; APA VTS, </w:t>
      </w:r>
      <w:r w:rsidRPr="008B1CA1">
        <w:rPr>
          <w:rStyle w:val="AERtextitalic"/>
        </w:rPr>
        <w:t>Victorian Transmission System Access Arrangement Submission</w:t>
      </w:r>
      <w:r w:rsidRPr="00DB6F2B">
        <w:t>, January 2017, p.</w:t>
      </w:r>
      <w:r>
        <w:t xml:space="preserve"> 186</w:t>
      </w:r>
      <w:r w:rsidRPr="00DB6F2B">
        <w:t>.</w:t>
      </w:r>
    </w:p>
    <w:p w:rsidR="00B31E52" w:rsidRDefault="00B31E52" w:rsidP="00882ECD">
      <w:pPr>
        <w:pStyle w:val="FootnoteText"/>
      </w:pPr>
      <w:r>
        <w:tab/>
        <w:t>That is</w:t>
      </w:r>
      <w:r w:rsidRPr="00142226">
        <w:t xml:space="preserve"> AusNet Services Gas Distribution, APA and RBP.</w:t>
      </w:r>
    </w:p>
  </w:footnote>
  <w:footnote w:id="45">
    <w:p w:rsidR="00B31E52" w:rsidRDefault="00B31E52" w:rsidP="00F5581D">
      <w:pPr>
        <w:pStyle w:val="FootnoteText"/>
      </w:pPr>
      <w:r>
        <w:rPr>
          <w:rStyle w:val="FootnoteReference"/>
        </w:rPr>
        <w:footnoteRef/>
      </w:r>
      <w:r>
        <w:t xml:space="preserve"> </w:t>
      </w:r>
      <w:r>
        <w:tab/>
      </w:r>
      <w:r w:rsidRPr="00882ECD">
        <w:t xml:space="preserve">Multinet, </w:t>
      </w:r>
      <w:r w:rsidRPr="00882ECD">
        <w:rPr>
          <w:rStyle w:val="AERtextitalic"/>
        </w:rPr>
        <w:t>2018 to 2022 Access Arrangement Information</w:t>
      </w:r>
      <w:r w:rsidRPr="00882ECD">
        <w:t>, December 2016, p.131</w:t>
      </w:r>
      <w:r>
        <w:t>;</w:t>
      </w:r>
      <w:r w:rsidRPr="00F5581D">
        <w:t xml:space="preserve"> </w:t>
      </w:r>
      <w:r w:rsidRPr="00DB6F2B">
        <w:t xml:space="preserve">AusNet Services Gas Distribution, </w:t>
      </w:r>
      <w:r w:rsidRPr="00704F01">
        <w:rPr>
          <w:rStyle w:val="AERtextitalic"/>
        </w:rPr>
        <w:t>Access Arrangement Review 2018-22</w:t>
      </w:r>
      <w:r w:rsidRPr="00DB6F2B">
        <w:t>, December 2016, p.</w:t>
      </w:r>
      <w:r>
        <w:t>23</w:t>
      </w:r>
      <w:r w:rsidRPr="00DB6F2B">
        <w:t xml:space="preserve">6; RBP, </w:t>
      </w:r>
      <w:r w:rsidRPr="00704F01">
        <w:rPr>
          <w:rStyle w:val="AERtextitalic"/>
        </w:rPr>
        <w:t>Access arrangement submission 2017-22</w:t>
      </w:r>
      <w:r>
        <w:t>, 16 September 2016, p. 169</w:t>
      </w:r>
      <w:r w:rsidRPr="00DB6F2B">
        <w:t xml:space="preserve">; APA VTS, </w:t>
      </w:r>
      <w:r w:rsidRPr="00704F01">
        <w:rPr>
          <w:rStyle w:val="AERtextitalic"/>
        </w:rPr>
        <w:t>Victorian Transmission System Access Arrangement Submission</w:t>
      </w:r>
      <w:r w:rsidRPr="00DB6F2B">
        <w:t>, January 2017, p.</w:t>
      </w:r>
      <w:r>
        <w:t xml:space="preserve"> 186</w:t>
      </w:r>
      <w:r w:rsidRPr="00DB6F2B">
        <w:t>.</w:t>
      </w:r>
    </w:p>
  </w:footnote>
  <w:footnote w:id="46">
    <w:p w:rsidR="00B31E52" w:rsidRDefault="00B31E52" w:rsidP="00B330EB">
      <w:pPr>
        <w:pStyle w:val="FootnoteText"/>
      </w:pPr>
      <w:r>
        <w:rPr>
          <w:rStyle w:val="FootnoteReference"/>
        </w:rPr>
        <w:footnoteRef/>
      </w:r>
      <w:r>
        <w:t xml:space="preserve"> </w:t>
      </w:r>
      <w:r>
        <w:tab/>
      </w:r>
      <w:r w:rsidRPr="00DB6F2B">
        <w:t xml:space="preserve">AGN, </w:t>
      </w:r>
      <w:r w:rsidRPr="00704F01">
        <w:rPr>
          <w:rStyle w:val="AERtextitalic"/>
        </w:rPr>
        <w:t>Final Plan: Access Arrangement Information for our Victorian and Albury natural gas distribution networks 2018-22</w:t>
      </w:r>
      <w:r w:rsidRPr="00DB6F2B">
        <w:t>,</w:t>
      </w:r>
      <w:r w:rsidRPr="001E1469">
        <w:t xml:space="preserve"> </w:t>
      </w:r>
      <w:r w:rsidRPr="00DB6F2B">
        <w:t>December, p. 121</w:t>
      </w:r>
      <w:r>
        <w:t>.</w:t>
      </w:r>
    </w:p>
  </w:footnote>
  <w:footnote w:id="47">
    <w:p w:rsidR="00B31E52" w:rsidRDefault="00B31E52" w:rsidP="00882ECD">
      <w:pPr>
        <w:pStyle w:val="FootnoteText"/>
      </w:pPr>
      <w:r>
        <w:rPr>
          <w:rStyle w:val="FootnoteReference"/>
        </w:rPr>
        <w:footnoteRef/>
      </w:r>
      <w:r>
        <w:t xml:space="preserve"> </w:t>
      </w:r>
      <w:r>
        <w:tab/>
      </w:r>
      <w:r w:rsidRPr="0014067F">
        <w:t xml:space="preserve">Multinet, </w:t>
      </w:r>
      <w:r w:rsidRPr="0014067F">
        <w:rPr>
          <w:rStyle w:val="AERtextitalic"/>
        </w:rPr>
        <w:t>Corporate Income Tax Overview</w:t>
      </w:r>
      <w:r>
        <w:t>, December 2016, p. 6;</w:t>
      </w:r>
      <w:r w:rsidRPr="00B330EB">
        <w:t xml:space="preserve"> </w:t>
      </w:r>
      <w:r w:rsidRPr="00DB6F2B">
        <w:t xml:space="preserve">AusNet Services Gas Distribution, </w:t>
      </w:r>
      <w:r w:rsidRPr="008B1CA1">
        <w:rPr>
          <w:rStyle w:val="AERtextitalic"/>
        </w:rPr>
        <w:t>Access Arrangement Review 2018-22</w:t>
      </w:r>
      <w:r w:rsidRPr="00DB6F2B">
        <w:t>, December 2016, p.</w:t>
      </w:r>
      <w:r>
        <w:t>23</w:t>
      </w:r>
      <w:r w:rsidRPr="00DB6F2B">
        <w:t>6</w:t>
      </w:r>
    </w:p>
  </w:footnote>
  <w:footnote w:id="48">
    <w:p w:rsidR="00B31E52" w:rsidRDefault="00B31E52">
      <w:pPr>
        <w:pStyle w:val="FootnoteText"/>
      </w:pPr>
      <w:r>
        <w:rPr>
          <w:rStyle w:val="FootnoteReference"/>
        </w:rPr>
        <w:footnoteRef/>
      </w:r>
      <w:r>
        <w:t xml:space="preserve"> </w:t>
      </w:r>
      <w:r>
        <w:tab/>
      </w:r>
      <w:r w:rsidRPr="0006499D">
        <w:t xml:space="preserve">AusNet Transmission, </w:t>
      </w:r>
      <w:r w:rsidRPr="0006499D">
        <w:rPr>
          <w:rStyle w:val="AERtextitalic"/>
        </w:rPr>
        <w:t>Transmission Revenue Proposal Review 2017-2022, Revised Revenue Proposal</w:t>
      </w:r>
      <w:r w:rsidRPr="0006499D">
        <w:t>, 21 September 2016, p. 198.</w:t>
      </w:r>
    </w:p>
  </w:footnote>
  <w:footnote w:id="49">
    <w:p w:rsidR="00B31E52" w:rsidRDefault="00B31E52">
      <w:pPr>
        <w:pStyle w:val="FootnoteText"/>
      </w:pPr>
      <w:r>
        <w:rPr>
          <w:rStyle w:val="FootnoteReference"/>
        </w:rPr>
        <w:footnoteRef/>
      </w:r>
      <w:r>
        <w:t xml:space="preserve"> </w:t>
      </w:r>
      <w:r>
        <w:tab/>
        <w:t xml:space="preserve">AusNet Transmission, </w:t>
      </w:r>
      <w:r>
        <w:rPr>
          <w:rStyle w:val="AERtextitalic"/>
        </w:rPr>
        <w:t>Transmission Revenue Proposal Review 2017-2022, Revised Revenue Proposal</w:t>
      </w:r>
      <w:r>
        <w:t>, 21 September 2016, p. 198.</w:t>
      </w:r>
    </w:p>
  </w:footnote>
  <w:footnote w:id="50">
    <w:p w:rsidR="00B31E52" w:rsidRDefault="00B31E52">
      <w:pPr>
        <w:pStyle w:val="FootnoteText"/>
      </w:pPr>
      <w:r>
        <w:rPr>
          <w:rStyle w:val="FootnoteReference"/>
        </w:rPr>
        <w:footnoteRef/>
      </w:r>
      <w:r>
        <w:t xml:space="preserve"> </w:t>
      </w:r>
      <w:r>
        <w:tab/>
        <w:t xml:space="preserve">AusNet Transmission, </w:t>
      </w:r>
      <w:r>
        <w:rPr>
          <w:rStyle w:val="AERtextitalic"/>
        </w:rPr>
        <w:t>Transmission Revenue Proposal Review 2017-2022, Revised Revenue Proposal</w:t>
      </w:r>
      <w:r>
        <w:t>, 21 September 2016, p. 209.</w:t>
      </w:r>
    </w:p>
  </w:footnote>
  <w:footnote w:id="51">
    <w:p w:rsidR="00B31E52" w:rsidRDefault="00B31E52" w:rsidP="003979E9">
      <w:pPr>
        <w:pStyle w:val="FootnoteText"/>
      </w:pPr>
      <w:r>
        <w:rPr>
          <w:rStyle w:val="FootnoteReference"/>
        </w:rPr>
        <w:footnoteRef/>
      </w:r>
      <w:r>
        <w:t xml:space="preserve"> </w:t>
      </w:r>
      <w:r>
        <w:tab/>
        <w:t xml:space="preserve">AusNet Transmission, </w:t>
      </w:r>
      <w:r>
        <w:rPr>
          <w:rStyle w:val="AERtextitalic"/>
        </w:rPr>
        <w:t>Transmission Revenue Proposal Review 2017-2022, Revised Revenue Proposal</w:t>
      </w:r>
      <w:r>
        <w:t xml:space="preserve">, 21 September 2016, p. 201; Frontier Economics, </w:t>
      </w:r>
      <w:r>
        <w:rPr>
          <w:rStyle w:val="AERtextitalic"/>
        </w:rPr>
        <w:t>Regulatory An updated dividend drop-off estimate of theta</w:t>
      </w:r>
      <w:r>
        <w:t xml:space="preserve">, September 2016 and Frontier Economics, </w:t>
      </w:r>
      <w:r>
        <w:rPr>
          <w:rStyle w:val="AERtextitalic"/>
        </w:rPr>
        <w:t>Issues in the estimation of gamma</w:t>
      </w:r>
      <w:r>
        <w:t>, September 2016.</w:t>
      </w:r>
    </w:p>
  </w:footnote>
  <w:footnote w:id="52">
    <w:p w:rsidR="00B31E52" w:rsidRDefault="00B31E52">
      <w:pPr>
        <w:pStyle w:val="FootnoteText"/>
      </w:pPr>
      <w:r>
        <w:rPr>
          <w:rStyle w:val="FootnoteReference"/>
        </w:rPr>
        <w:footnoteRef/>
      </w:r>
      <w:r>
        <w:t xml:space="preserve"> </w:t>
      </w:r>
      <w:r>
        <w:tab/>
        <w:t xml:space="preserve">Frontier Economics, </w:t>
      </w:r>
      <w:r>
        <w:rPr>
          <w:rStyle w:val="AERtextitalic"/>
        </w:rPr>
        <w:t>Regulatory An updated dividend drop-off estimate of theta</w:t>
      </w:r>
      <w:r>
        <w:t xml:space="preserve">, September 2016 and Frontier Economics, </w:t>
      </w:r>
      <w:r>
        <w:rPr>
          <w:rStyle w:val="AERtextitalic"/>
        </w:rPr>
        <w:t>Issues in the estimation of gamma</w:t>
      </w:r>
      <w:r>
        <w:t>, September 2016, p. 6.</w:t>
      </w:r>
    </w:p>
  </w:footnote>
  <w:footnote w:id="53">
    <w:p w:rsidR="00B31E52" w:rsidRDefault="00B31E52" w:rsidP="003C692F">
      <w:pPr>
        <w:pStyle w:val="FootnoteText"/>
      </w:pPr>
      <w:r>
        <w:rPr>
          <w:rStyle w:val="FootnoteReference"/>
        </w:rPr>
        <w:footnoteRef/>
      </w:r>
      <w:r>
        <w:t xml:space="preserve"> </w:t>
      </w:r>
      <w:r>
        <w:tab/>
        <w:t xml:space="preserve">Frontier Economics, </w:t>
      </w:r>
      <w:r>
        <w:rPr>
          <w:rStyle w:val="AERtextitalic"/>
        </w:rPr>
        <w:t>Issues in the estimation of gamma</w:t>
      </w:r>
      <w:r>
        <w:t>, September 2016, pp. 36-11.</w:t>
      </w:r>
    </w:p>
  </w:footnote>
  <w:footnote w:id="54">
    <w:p w:rsidR="00B31E52" w:rsidRDefault="00B31E52" w:rsidP="007D69CB">
      <w:pPr>
        <w:pStyle w:val="FootnoteText"/>
      </w:pPr>
      <w:r>
        <w:rPr>
          <w:rStyle w:val="FootnoteReference"/>
        </w:rPr>
        <w:footnoteRef/>
      </w:r>
      <w:r>
        <w:t xml:space="preserve"> </w:t>
      </w:r>
      <w:r>
        <w:tab/>
        <w:t xml:space="preserve">Frontier Economics, </w:t>
      </w:r>
      <w:r>
        <w:rPr>
          <w:rStyle w:val="AERtextitalic"/>
        </w:rPr>
        <w:t>Issues in the estimation of gamma</w:t>
      </w:r>
      <w:r>
        <w:t>, September 2016, pp. 12-15.</w:t>
      </w:r>
    </w:p>
  </w:footnote>
  <w:footnote w:id="55">
    <w:p w:rsidR="00B31E52" w:rsidRPr="00FA217B" w:rsidRDefault="00B31E52" w:rsidP="004423C9">
      <w:pPr>
        <w:pStyle w:val="FootnoteText"/>
        <w:rPr>
          <w:rStyle w:val="AERtextitalic"/>
          <w:i w:val="0"/>
        </w:rPr>
      </w:pPr>
      <w:r>
        <w:rPr>
          <w:rStyle w:val="FootnoteReference"/>
        </w:rPr>
        <w:footnoteRef/>
      </w:r>
      <w:r>
        <w:t xml:space="preserve"> </w:t>
      </w:r>
      <w:r>
        <w:tab/>
        <w:t xml:space="preserve">AusNet Services, </w:t>
      </w:r>
      <w:r>
        <w:rPr>
          <w:rStyle w:val="AERtextitalic"/>
        </w:rPr>
        <w:t xml:space="preserve">Submission on revised proposal, </w:t>
      </w:r>
      <w:r>
        <w:rPr>
          <w:rStyle w:val="AERtextitalic"/>
          <w:i w:val="0"/>
        </w:rPr>
        <w:t>20 December 2016, p. 4</w:t>
      </w:r>
      <w:r>
        <w:rPr>
          <w:rStyle w:val="AERtextitalic"/>
        </w:rPr>
        <w:t>.</w:t>
      </w:r>
    </w:p>
  </w:footnote>
  <w:footnote w:id="56">
    <w:p w:rsidR="00B31E52" w:rsidRDefault="00B31E52" w:rsidP="00882ECD">
      <w:pPr>
        <w:pStyle w:val="FootnoteText"/>
      </w:pPr>
      <w:r>
        <w:rPr>
          <w:rStyle w:val="FootnoteReference"/>
        </w:rPr>
        <w:footnoteRef/>
      </w:r>
      <w:r>
        <w:t xml:space="preserve"> </w:t>
      </w:r>
      <w:r>
        <w:tab/>
        <w:t xml:space="preserve">Frontier, </w:t>
      </w:r>
      <w:r w:rsidRPr="00274A1F">
        <w:rPr>
          <w:rStyle w:val="AERtextitalic"/>
        </w:rPr>
        <w:t>Perspectives for the estimation of gamma</w:t>
      </w:r>
      <w:r>
        <w:t>, December 2016</w:t>
      </w:r>
    </w:p>
    <w:p w:rsidR="00B31E52" w:rsidRDefault="00B31E52" w:rsidP="00882ECD">
      <w:pPr>
        <w:pStyle w:val="FootnoteText"/>
      </w:pPr>
      <w:r>
        <w:tab/>
        <w:t>That is AusNet Gas, AGN and Multinet.</w:t>
      </w:r>
    </w:p>
  </w:footnote>
  <w:footnote w:id="57">
    <w:p w:rsidR="00B31E52" w:rsidRDefault="00B31E52" w:rsidP="00F3718A">
      <w:pPr>
        <w:pStyle w:val="FootnoteText"/>
      </w:pPr>
      <w:r>
        <w:rPr>
          <w:rStyle w:val="FootnoteReference"/>
        </w:rPr>
        <w:footnoteRef/>
      </w:r>
      <w:r>
        <w:t xml:space="preserve"> </w:t>
      </w:r>
      <w:r>
        <w:tab/>
        <w:t xml:space="preserve">Frontier, </w:t>
      </w:r>
      <w:r w:rsidRPr="00993DE3">
        <w:rPr>
          <w:rStyle w:val="AERtextitalic"/>
        </w:rPr>
        <w:t>Perspectives for the estimation of gamma</w:t>
      </w:r>
      <w:r>
        <w:t>, December 2016,para 34</w:t>
      </w:r>
    </w:p>
  </w:footnote>
  <w:footnote w:id="58">
    <w:p w:rsidR="00B31E52" w:rsidRDefault="00B31E52">
      <w:pPr>
        <w:pStyle w:val="FootnoteText"/>
      </w:pPr>
      <w:r>
        <w:rPr>
          <w:rStyle w:val="FootnoteReference"/>
        </w:rPr>
        <w:footnoteRef/>
      </w:r>
      <w:r>
        <w:t xml:space="preserve"> </w:t>
      </w:r>
      <w:r>
        <w:tab/>
      </w:r>
      <w:r w:rsidRPr="00011421">
        <w:t xml:space="preserve">M. Lally, </w:t>
      </w:r>
      <w:r w:rsidRPr="001A43CB">
        <w:rPr>
          <w:rStyle w:val="AERtextitalic"/>
        </w:rPr>
        <w:t>Review of Frontier Report on Gamma</w:t>
      </w:r>
      <w:r>
        <w:t>, June</w:t>
      </w:r>
      <w:r w:rsidRPr="00011421">
        <w:t xml:space="preserve"> 2017</w:t>
      </w:r>
      <w:r>
        <w:t>, p. 9</w:t>
      </w:r>
      <w:r w:rsidRPr="00011421">
        <w:t>.</w:t>
      </w:r>
    </w:p>
  </w:footnote>
  <w:footnote w:id="59">
    <w:p w:rsidR="00B31E52" w:rsidRDefault="00B31E52" w:rsidP="00437CA2">
      <w:pPr>
        <w:pStyle w:val="FootnoteText"/>
      </w:pPr>
      <w:r>
        <w:rPr>
          <w:rStyle w:val="FootnoteReference"/>
        </w:rPr>
        <w:footnoteRef/>
      </w:r>
      <w:r>
        <w:t xml:space="preserve"> </w:t>
      </w:r>
      <w:r>
        <w:tab/>
        <w:t>NER, cll. 6.5.3, 6A.6.4; NGR, r. 87A.</w:t>
      </w:r>
    </w:p>
  </w:footnote>
  <w:footnote w:id="60">
    <w:p w:rsidR="00B31E52" w:rsidRDefault="00B31E52" w:rsidP="00437CA2">
      <w:pPr>
        <w:pStyle w:val="FootnoteText"/>
      </w:pPr>
      <w:r>
        <w:rPr>
          <w:rStyle w:val="FootnoteReference"/>
        </w:rPr>
        <w:footnoteRef/>
      </w:r>
      <w:r>
        <w:t xml:space="preserve"> </w:t>
      </w:r>
      <w:r>
        <w:tab/>
        <w:t>NER, cll. 6.5.2(d)(2), 6A.6.2(d)(2); NGR, r. 87(4)(b).</w:t>
      </w:r>
    </w:p>
  </w:footnote>
  <w:footnote w:id="61">
    <w:p w:rsidR="00B31E52" w:rsidRDefault="00B31E52" w:rsidP="00437CA2">
      <w:pPr>
        <w:pStyle w:val="FootnoteText"/>
      </w:pPr>
      <w:r>
        <w:rPr>
          <w:rStyle w:val="FootnoteReference"/>
        </w:rPr>
        <w:footnoteRef/>
      </w:r>
      <w:r>
        <w:t xml:space="preserve"> </w:t>
      </w:r>
      <w:r>
        <w:tab/>
      </w:r>
      <w:r w:rsidRPr="00800E44">
        <w:t xml:space="preserve">R. Officer, 'The cost of capital of a company under an imputation system', </w:t>
      </w:r>
      <w:r>
        <w:rPr>
          <w:rStyle w:val="AERtextitalic"/>
        </w:rPr>
        <w:t>Accounting and f</w:t>
      </w:r>
      <w:r w:rsidRPr="00800E44">
        <w:rPr>
          <w:rStyle w:val="AERtextitalic"/>
        </w:rPr>
        <w:t>inance</w:t>
      </w:r>
      <w:r w:rsidRPr="00800E44">
        <w:t>, vol. 34(1), May 1994,</w:t>
      </w:r>
      <w:r>
        <w:t xml:space="preserve"> </w:t>
      </w:r>
      <w:r w:rsidRPr="00800E44">
        <w:t>pp. 1–17.</w:t>
      </w:r>
    </w:p>
  </w:footnote>
  <w:footnote w:id="62">
    <w:p w:rsidR="00B31E52" w:rsidRDefault="00B31E52" w:rsidP="00437CA2">
      <w:pPr>
        <w:pStyle w:val="FootnoteText"/>
      </w:pPr>
      <w:r>
        <w:rPr>
          <w:rStyle w:val="FootnoteReference"/>
        </w:rPr>
        <w:footnoteRef/>
      </w:r>
      <w:r>
        <w:t xml:space="preserve"> </w:t>
      </w:r>
      <w:r>
        <w:tab/>
      </w:r>
      <w:r w:rsidRPr="00800E44">
        <w:t xml:space="preserve">R. Officer, 'The cost of capital of a company under an imputation system', </w:t>
      </w:r>
      <w:r>
        <w:rPr>
          <w:rStyle w:val="AERtextitalic"/>
        </w:rPr>
        <w:t>Accounting and f</w:t>
      </w:r>
      <w:r w:rsidRPr="00800E44">
        <w:rPr>
          <w:rStyle w:val="AERtextitalic"/>
        </w:rPr>
        <w:t>inance</w:t>
      </w:r>
      <w:r w:rsidRPr="00800E44">
        <w:t>, vol. 34(1), May 1994,</w:t>
      </w:r>
      <w:r>
        <w:t xml:space="preserve"> equation 2</w:t>
      </w:r>
      <w:r w:rsidRPr="00800E44">
        <w:t>.</w:t>
      </w:r>
    </w:p>
  </w:footnote>
  <w:footnote w:id="63">
    <w:p w:rsidR="00B31E52" w:rsidRDefault="00B31E52" w:rsidP="00437CA2">
      <w:pPr>
        <w:pStyle w:val="FootnoteText"/>
      </w:pPr>
      <w:r>
        <w:rPr>
          <w:rStyle w:val="FootnoteReference"/>
        </w:rPr>
        <w:footnoteRef/>
      </w:r>
      <w:r>
        <w:t xml:space="preserve"> </w:t>
      </w:r>
      <w:r>
        <w:tab/>
      </w:r>
      <w:r w:rsidRPr="00582678">
        <w:t xml:space="preserve">J. Handley, </w:t>
      </w:r>
      <w:r w:rsidRPr="00582678">
        <w:rPr>
          <w:rStyle w:val="AERtextitalic"/>
        </w:rPr>
        <w:t>Report prepared for the Australian Energy Regulator: Advice on the value of imputation credits</w:t>
      </w:r>
      <w:r w:rsidRPr="00582678">
        <w:t>, 29 September 2014</w:t>
      </w:r>
      <w:r>
        <w:t>, pp. 7–8.</w:t>
      </w:r>
    </w:p>
  </w:footnote>
  <w:footnote w:id="64">
    <w:p w:rsidR="00B31E52" w:rsidRDefault="00B31E52" w:rsidP="00437CA2">
      <w:pPr>
        <w:pStyle w:val="FootnoteText"/>
      </w:pPr>
      <w:r>
        <w:rPr>
          <w:rStyle w:val="FootnoteReference"/>
        </w:rPr>
        <w:footnoteRef/>
      </w:r>
      <w:r>
        <w:t xml:space="preserve"> </w:t>
      </w:r>
      <w:r>
        <w:tab/>
        <w:t xml:space="preserve">SFG, </w:t>
      </w:r>
      <w:r w:rsidRPr="007C38AD">
        <w:rPr>
          <w:rStyle w:val="AERtextitalic"/>
        </w:rPr>
        <w:t>Response to submissions on rule change proposals, Report for the AEMC</w:t>
      </w:r>
      <w:r>
        <w:t>, 5 November 2012, para. 2.</w:t>
      </w:r>
    </w:p>
  </w:footnote>
  <w:footnote w:id="65">
    <w:p w:rsidR="00B31E52" w:rsidRDefault="00B31E52" w:rsidP="00437CA2">
      <w:pPr>
        <w:pStyle w:val="FootnoteText"/>
      </w:pPr>
      <w:r>
        <w:rPr>
          <w:rStyle w:val="FootnoteReference"/>
        </w:rPr>
        <w:footnoteRef/>
      </w:r>
      <w:r>
        <w:t xml:space="preserve"> </w:t>
      </w:r>
      <w:r>
        <w:tab/>
        <w:t xml:space="preserve">ENA, </w:t>
      </w:r>
      <w:r>
        <w:rPr>
          <w:rStyle w:val="AERtextitalic"/>
        </w:rPr>
        <w:t>Response to the D</w:t>
      </w:r>
      <w:r w:rsidRPr="0006219D">
        <w:rPr>
          <w:rStyle w:val="AERtextitalic"/>
        </w:rPr>
        <w:t xml:space="preserve">raft </w:t>
      </w:r>
      <w:r>
        <w:rPr>
          <w:rStyle w:val="AERtextitalic"/>
        </w:rPr>
        <w:t>R</w:t>
      </w:r>
      <w:r w:rsidRPr="0006219D">
        <w:rPr>
          <w:rStyle w:val="AERtextitalic"/>
        </w:rPr>
        <w:t xml:space="preserve">ate of </w:t>
      </w:r>
      <w:r>
        <w:rPr>
          <w:rStyle w:val="AERtextitalic"/>
        </w:rPr>
        <w:t>R</w:t>
      </w:r>
      <w:r w:rsidRPr="0006219D">
        <w:rPr>
          <w:rStyle w:val="AERtextitalic"/>
        </w:rPr>
        <w:t xml:space="preserve">eturn </w:t>
      </w:r>
      <w:r>
        <w:rPr>
          <w:rStyle w:val="AERtextitalic"/>
        </w:rPr>
        <w:t>G</w:t>
      </w:r>
      <w:r w:rsidRPr="0006219D">
        <w:rPr>
          <w:rStyle w:val="AERtextitalic"/>
        </w:rPr>
        <w:t>uideline of the Australian Energy Regulator</w:t>
      </w:r>
      <w:r>
        <w:t xml:space="preserve">, 11 October 2013, p. 49. </w:t>
      </w:r>
    </w:p>
  </w:footnote>
  <w:footnote w:id="66">
    <w:p w:rsidR="00B31E52" w:rsidRDefault="00B31E52" w:rsidP="00437CA2">
      <w:pPr>
        <w:pStyle w:val="FootnoteText"/>
      </w:pPr>
      <w:r>
        <w:rPr>
          <w:rStyle w:val="FootnoteReference"/>
        </w:rPr>
        <w:footnoteRef/>
      </w:r>
      <w:r>
        <w:t xml:space="preserve"> </w:t>
      </w:r>
      <w:r>
        <w:tab/>
        <w:t>NER, cll. 6.5.2, 6A.6.2;</w:t>
      </w:r>
      <w:r w:rsidRPr="0042735A">
        <w:t xml:space="preserve"> </w:t>
      </w:r>
      <w:r>
        <w:t>NGR, r. 87.</w:t>
      </w:r>
    </w:p>
  </w:footnote>
  <w:footnote w:id="67">
    <w:p w:rsidR="00B31E52" w:rsidRDefault="00B31E52" w:rsidP="00437CA2">
      <w:pPr>
        <w:pStyle w:val="FootnoteText"/>
      </w:pPr>
      <w:r>
        <w:rPr>
          <w:rStyle w:val="FootnoteReference"/>
        </w:rPr>
        <w:footnoteRef/>
      </w:r>
      <w:r>
        <w:t xml:space="preserve"> </w:t>
      </w:r>
      <w:r>
        <w:tab/>
        <w:t xml:space="preserve">For a detailed discussion of the Officer framework, see: </w:t>
      </w:r>
      <w:r w:rsidRPr="00582678">
        <w:t xml:space="preserve">J. Handley, </w:t>
      </w:r>
      <w:r w:rsidRPr="00582678">
        <w:rPr>
          <w:rStyle w:val="AERtextitalic"/>
        </w:rPr>
        <w:t>Report prepared for the Australian Energy Regulator: Advice on the value of imputation credits</w:t>
      </w:r>
      <w:r w:rsidRPr="00582678">
        <w:t>, 29 September 2014</w:t>
      </w:r>
      <w:r>
        <w:t>, pp. 7–12.</w:t>
      </w:r>
    </w:p>
  </w:footnote>
  <w:footnote w:id="68">
    <w:p w:rsidR="00B31E52" w:rsidRDefault="00B31E52" w:rsidP="00437CA2">
      <w:pPr>
        <w:pStyle w:val="FootnoteText"/>
      </w:pPr>
      <w:r>
        <w:rPr>
          <w:rStyle w:val="FootnoteReference"/>
        </w:rPr>
        <w:footnoteRef/>
      </w:r>
      <w:r>
        <w:tab/>
        <w:t>NEL, s. 16(1)(a); NGL, s. 28(1)(a).</w:t>
      </w:r>
    </w:p>
  </w:footnote>
  <w:footnote w:id="69">
    <w:p w:rsidR="00B31E52" w:rsidRDefault="00B31E52" w:rsidP="00437CA2">
      <w:pPr>
        <w:pStyle w:val="FootnoteText"/>
      </w:pPr>
      <w:r>
        <w:rPr>
          <w:rStyle w:val="FootnoteReference"/>
        </w:rPr>
        <w:footnoteRef/>
      </w:r>
      <w:r>
        <w:t xml:space="preserve"> </w:t>
      </w:r>
      <w:r>
        <w:tab/>
        <w:t>Although the term 'personal' is used, we note that classes of investors other than individual persons can value imputation credits (for example, superannuation funds and charities). Therefore, an alternative characterisation might be 'before-investor-tax' and 'before-investor-costs'.</w:t>
      </w:r>
    </w:p>
  </w:footnote>
  <w:footnote w:id="70">
    <w:p w:rsidR="00B31E52" w:rsidRDefault="00B31E52" w:rsidP="00437CA2">
      <w:pPr>
        <w:pStyle w:val="FootnoteText"/>
      </w:pPr>
      <w:r>
        <w:rPr>
          <w:rStyle w:val="FootnoteReference"/>
        </w:rPr>
        <w:footnoteRef/>
      </w:r>
      <w:r>
        <w:t xml:space="preserve"> </w:t>
      </w:r>
      <w:r>
        <w:tab/>
        <w:t xml:space="preserve">J. Handley, </w:t>
      </w:r>
      <w:r w:rsidRPr="00626887">
        <w:rPr>
          <w:rStyle w:val="AERtextitalic"/>
        </w:rPr>
        <w:t>Report prepared for the Australian Energy Regulator: Further advice on the value of imputation credits</w:t>
      </w:r>
      <w:r>
        <w:t>, 16 April 2015, p. 5.</w:t>
      </w:r>
    </w:p>
  </w:footnote>
  <w:footnote w:id="71">
    <w:p w:rsidR="00B31E52" w:rsidRDefault="00B31E52" w:rsidP="00437CA2">
      <w:pPr>
        <w:pStyle w:val="FootnoteText"/>
      </w:pPr>
      <w:r>
        <w:rPr>
          <w:rStyle w:val="FootnoteReference"/>
        </w:rPr>
        <w:footnoteRef/>
      </w:r>
      <w:r>
        <w:tab/>
        <w:t>NEL, s. 16(1)(a); NGL, s. 28(1)(a).</w:t>
      </w:r>
    </w:p>
  </w:footnote>
  <w:footnote w:id="72">
    <w:p w:rsidR="00B31E52" w:rsidRDefault="00B31E52" w:rsidP="00437CA2">
      <w:pPr>
        <w:pStyle w:val="FootnoteText"/>
      </w:pPr>
      <w:r>
        <w:rPr>
          <w:rStyle w:val="FootnoteReference"/>
        </w:rPr>
        <w:footnoteRef/>
      </w:r>
      <w:r>
        <w:t xml:space="preserve"> </w:t>
      </w:r>
      <w:r>
        <w:tab/>
        <w:t>NEL, s. 16(2)(a)(i); NGL, s. 28(2)(a)(i).</w:t>
      </w:r>
    </w:p>
  </w:footnote>
  <w:footnote w:id="73">
    <w:p w:rsidR="00B31E52" w:rsidRDefault="00B31E52" w:rsidP="00437CA2">
      <w:pPr>
        <w:pStyle w:val="FootnoteText"/>
      </w:pPr>
      <w:r>
        <w:rPr>
          <w:rStyle w:val="FootnoteReference"/>
        </w:rPr>
        <w:footnoteRef/>
      </w:r>
      <w:r>
        <w:t xml:space="preserve"> </w:t>
      </w:r>
      <w:r>
        <w:tab/>
        <w:t>NEL, ss. 7A(2)–(7); NGL, ss. 24(2)–(7).</w:t>
      </w:r>
    </w:p>
  </w:footnote>
  <w:footnote w:id="74">
    <w:p w:rsidR="00B31E52" w:rsidRDefault="00B31E52" w:rsidP="00437CA2">
      <w:pPr>
        <w:pStyle w:val="FootnoteText"/>
      </w:pPr>
      <w:r>
        <w:rPr>
          <w:rStyle w:val="FootnoteReference"/>
        </w:rPr>
        <w:footnoteRef/>
      </w:r>
      <w:r>
        <w:t xml:space="preserve"> </w:t>
      </w:r>
      <w:r>
        <w:tab/>
        <w:t xml:space="preserve">The requirements to make and publish the Guideline are set out in: NER, cll. 6.5.2(m) and 6A.6.2(m); NGR, r. 87(13). </w:t>
      </w:r>
      <w:r w:rsidRPr="004B0617">
        <w:t xml:space="preserve">The </w:t>
      </w:r>
      <w:r>
        <w:t>Guideline</w:t>
      </w:r>
      <w:r w:rsidRPr="004B0617">
        <w:t xml:space="preserve"> is available at: </w:t>
      </w:r>
      <w:r w:rsidRPr="00F8556F">
        <w:t>http://www.aer.gov.au/node/18859</w:t>
      </w:r>
      <w:r>
        <w:t>.</w:t>
      </w:r>
    </w:p>
  </w:footnote>
  <w:footnote w:id="75">
    <w:p w:rsidR="00B31E52" w:rsidRDefault="00B31E52" w:rsidP="00437CA2">
      <w:pPr>
        <w:pStyle w:val="FootnoteText"/>
      </w:pPr>
      <w:r>
        <w:rPr>
          <w:rStyle w:val="FootnoteReference"/>
        </w:rPr>
        <w:footnoteRef/>
      </w:r>
      <w:r>
        <w:t xml:space="preserve"> </w:t>
      </w:r>
      <w:r>
        <w:tab/>
        <w:t>NER, cll. 6.5.2(n</w:t>
      </w:r>
      <w:r w:rsidRPr="0090536E">
        <w:t>)</w:t>
      </w:r>
      <w:r>
        <w:t>,</w:t>
      </w:r>
      <w:r w:rsidRPr="0090536E">
        <w:t xml:space="preserve"> </w:t>
      </w:r>
      <w:r>
        <w:t>6A.6.2(n); NGR, r. 87(14).</w:t>
      </w:r>
    </w:p>
  </w:footnote>
  <w:footnote w:id="76">
    <w:p w:rsidR="00B31E52" w:rsidRDefault="00B31E52" w:rsidP="00437CA2">
      <w:pPr>
        <w:pStyle w:val="FootnoteText"/>
      </w:pPr>
      <w:r>
        <w:rPr>
          <w:rStyle w:val="FootnoteReference"/>
        </w:rPr>
        <w:footnoteRef/>
      </w:r>
      <w:r>
        <w:t xml:space="preserve"> </w:t>
      </w:r>
      <w:r>
        <w:tab/>
        <w:t xml:space="preserve">NER, cll. </w:t>
      </w:r>
      <w:r w:rsidRPr="001E5B06">
        <w:t>6.5.2(n)</w:t>
      </w:r>
      <w:r>
        <w:t>(2), 6.A.6.2(n)(2); NGR, r. 87(14)(b).</w:t>
      </w:r>
    </w:p>
  </w:footnote>
  <w:footnote w:id="77">
    <w:p w:rsidR="00B31E52" w:rsidRDefault="00B31E52" w:rsidP="00437CA2">
      <w:pPr>
        <w:pStyle w:val="FootnoteText"/>
      </w:pPr>
      <w:r>
        <w:rPr>
          <w:rStyle w:val="FootnoteReference"/>
        </w:rPr>
        <w:footnoteRef/>
      </w:r>
      <w:r>
        <w:t xml:space="preserve"> </w:t>
      </w:r>
      <w:r>
        <w:tab/>
        <w:t>NER, cll. 6.2.8(c), 6A.2.3(c); NGR, r. 87(18).</w:t>
      </w:r>
    </w:p>
  </w:footnote>
  <w:footnote w:id="78">
    <w:p w:rsidR="00B31E52" w:rsidRDefault="00B31E52" w:rsidP="00437CA2">
      <w:pPr>
        <w:pStyle w:val="FootnoteText"/>
      </w:pPr>
      <w:r>
        <w:rPr>
          <w:rStyle w:val="FootnoteReference"/>
        </w:rPr>
        <w:footnoteRef/>
      </w:r>
      <w:r>
        <w:t xml:space="preserve"> </w:t>
      </w:r>
      <w:r>
        <w:tab/>
        <w:t xml:space="preserve">NER, ss. </w:t>
      </w:r>
      <w:r w:rsidRPr="00A609E3">
        <w:t>S6.1.3</w:t>
      </w:r>
      <w:r>
        <w:t>(9)–(9B), S6A.1.3(4)(vi),(4A)–(4C); NGR, r. 72(1)(g).</w:t>
      </w:r>
    </w:p>
  </w:footnote>
  <w:footnote w:id="79">
    <w:p w:rsidR="00B31E52" w:rsidRDefault="00B31E52" w:rsidP="00437CA2">
      <w:pPr>
        <w:pStyle w:val="FootnoteText"/>
      </w:pPr>
      <w:r>
        <w:rPr>
          <w:rStyle w:val="FootnoteReference"/>
        </w:rPr>
        <w:footnoteRef/>
      </w:r>
      <w:r>
        <w:t xml:space="preserve"> </w:t>
      </w:r>
      <w:r>
        <w:tab/>
      </w:r>
      <w:r w:rsidRPr="007646B1">
        <w:t xml:space="preserve">AER, </w:t>
      </w:r>
      <w:r w:rsidRPr="007646B1">
        <w:rPr>
          <w:rStyle w:val="AERtextitalic"/>
        </w:rPr>
        <w:t xml:space="preserve">Better </w:t>
      </w:r>
      <w:r>
        <w:rPr>
          <w:rStyle w:val="AERtextitalic"/>
        </w:rPr>
        <w:t>Regulation:</w:t>
      </w:r>
      <w:r w:rsidRPr="007646B1">
        <w:rPr>
          <w:rStyle w:val="AERtextitalic"/>
        </w:rPr>
        <w:t xml:space="preserve"> </w:t>
      </w:r>
      <w:r>
        <w:rPr>
          <w:rStyle w:val="AERtextitalic"/>
        </w:rPr>
        <w:t>R</w:t>
      </w:r>
      <w:r w:rsidRPr="007646B1">
        <w:rPr>
          <w:rStyle w:val="AERtextitalic"/>
        </w:rPr>
        <w:t>ate</w:t>
      </w:r>
      <w:r>
        <w:rPr>
          <w:rStyle w:val="AERtextitalic"/>
        </w:rPr>
        <w:t xml:space="preserve"> of Return Guideline</w:t>
      </w:r>
      <w:r w:rsidRPr="007646B1">
        <w:t>, December 2013</w:t>
      </w:r>
      <w:r>
        <w:t>, p. 8.</w:t>
      </w:r>
    </w:p>
  </w:footnote>
  <w:footnote w:id="80">
    <w:p w:rsidR="00B31E52" w:rsidRDefault="00B31E52" w:rsidP="00437CA2">
      <w:pPr>
        <w:pStyle w:val="FootnoteText"/>
      </w:pPr>
      <w:r>
        <w:rPr>
          <w:rStyle w:val="FootnoteReference"/>
        </w:rPr>
        <w:footnoteRef/>
      </w:r>
      <w:r>
        <w:t xml:space="preserve"> </w:t>
      </w:r>
      <w:r>
        <w:tab/>
        <w:t xml:space="preserve">CCP, </w:t>
      </w:r>
      <w:r w:rsidRPr="00CD06D5">
        <w:rPr>
          <w:rStyle w:val="AERtextitalic"/>
        </w:rPr>
        <w:t>Responding to NSW draft determinations and revised proposals from electricity distribution networks</w:t>
      </w:r>
      <w:r>
        <w:t>, February 2015, pp. 48–49.</w:t>
      </w:r>
    </w:p>
  </w:footnote>
  <w:footnote w:id="81">
    <w:p w:rsidR="00B31E52" w:rsidRDefault="00B31E52" w:rsidP="00437CA2">
      <w:pPr>
        <w:pStyle w:val="FootnoteText"/>
      </w:pPr>
      <w:r>
        <w:rPr>
          <w:rStyle w:val="FootnoteReference"/>
        </w:rPr>
        <w:footnoteRef/>
      </w:r>
      <w:r>
        <w:t xml:space="preserve"> </w:t>
      </w:r>
      <w:r>
        <w:tab/>
        <w:t xml:space="preserve">CCP, </w:t>
      </w:r>
      <w:r w:rsidRPr="00CD06D5">
        <w:rPr>
          <w:rStyle w:val="AERtextitalic"/>
        </w:rPr>
        <w:t>Responding to NSW draft determinations and revised proposals from electricity distribution networks</w:t>
      </w:r>
      <w:r>
        <w:t>, February 2015, p. 49.</w:t>
      </w:r>
    </w:p>
  </w:footnote>
  <w:footnote w:id="82">
    <w:p w:rsidR="00B31E52" w:rsidRDefault="00B31E52" w:rsidP="00437CA2">
      <w:pPr>
        <w:pStyle w:val="FootnoteText"/>
      </w:pPr>
      <w:r>
        <w:rPr>
          <w:rStyle w:val="FootnoteReference"/>
        </w:rPr>
        <w:footnoteRef/>
      </w:r>
      <w:r>
        <w:t xml:space="preserve"> </w:t>
      </w:r>
      <w:r>
        <w:tab/>
        <w:t>NER, cll. 6.5.2(d)(2), 6A.6.2(d)(2); NGR, r. 87(4)(b).</w:t>
      </w:r>
    </w:p>
  </w:footnote>
  <w:footnote w:id="83">
    <w:p w:rsidR="00B31E52" w:rsidRDefault="00B31E52" w:rsidP="00437CA2">
      <w:pPr>
        <w:pStyle w:val="FootnoteText"/>
      </w:pPr>
      <w:r>
        <w:rPr>
          <w:rStyle w:val="FootnoteReference"/>
        </w:rPr>
        <w:footnoteRef/>
      </w:r>
      <w:r>
        <w:t xml:space="preserve"> </w:t>
      </w:r>
      <w:r>
        <w:tab/>
      </w:r>
      <w:r w:rsidRPr="00582678">
        <w:t xml:space="preserve">M. Lally, </w:t>
      </w:r>
      <w:r w:rsidRPr="00582678">
        <w:rPr>
          <w:rStyle w:val="AERtextitalic"/>
        </w:rPr>
        <w:t>The estimation of gamma</w:t>
      </w:r>
      <w:r w:rsidRPr="00582678">
        <w:t>, 23 November 2013</w:t>
      </w:r>
      <w:r>
        <w:t>.</w:t>
      </w:r>
    </w:p>
  </w:footnote>
  <w:footnote w:id="84">
    <w:p w:rsidR="00B31E52" w:rsidRDefault="00B31E52" w:rsidP="00DB720E">
      <w:pPr>
        <w:pStyle w:val="FootnoteText"/>
      </w:pPr>
      <w:r>
        <w:rPr>
          <w:rStyle w:val="FootnoteReference"/>
        </w:rPr>
        <w:footnoteRef/>
      </w:r>
      <w:r>
        <w:t xml:space="preserve"> </w:t>
      </w:r>
      <w:r>
        <w:tab/>
      </w:r>
      <w:r w:rsidRPr="00583683">
        <w:t xml:space="preserve">J. Handley, </w:t>
      </w:r>
      <w:r w:rsidRPr="00583683">
        <w:rPr>
          <w:rStyle w:val="AERtextitalic"/>
        </w:rPr>
        <w:t>Report prepared for the Australian Energy Regulator: Advice on the value of imputation credits</w:t>
      </w:r>
      <w:r w:rsidRPr="00583683">
        <w:t xml:space="preserve">, 29 September 2014; J. Handley, </w:t>
      </w:r>
      <w:r w:rsidRPr="00583683">
        <w:rPr>
          <w:rStyle w:val="AERtextitalic"/>
        </w:rPr>
        <w:t>Report prepared for the Australian Energy Regulator: Further advice on the value of imputation credits</w:t>
      </w:r>
      <w:r w:rsidRPr="00583683">
        <w:t xml:space="preserve">, 16 April 2015. J. Handley, </w:t>
      </w:r>
      <w:r w:rsidRPr="00583683">
        <w:rPr>
          <w:rStyle w:val="AERtextitalic"/>
        </w:rPr>
        <w:t>Report prepared for the Australian Energy Regulator: Advice on the NERA report 'Estimating distribution and redemption rates from taxation statistics'</w:t>
      </w:r>
      <w:r w:rsidRPr="00583683">
        <w:t>, 20 May 2015</w:t>
      </w:r>
      <w:r>
        <w:t>;</w:t>
      </w:r>
      <w:r w:rsidRPr="00583683">
        <w:t xml:space="preserve"> Lally, </w:t>
      </w:r>
      <w:r w:rsidRPr="00583683">
        <w:rPr>
          <w:rStyle w:val="AERtextitalic"/>
        </w:rPr>
        <w:t>Gamma and the ACT decision</w:t>
      </w:r>
      <w:r w:rsidRPr="005764F6">
        <w:t>, May 2016</w:t>
      </w:r>
      <w:r>
        <w:t xml:space="preserve">; M. Lally, </w:t>
      </w:r>
      <w:r w:rsidRPr="00E750F8">
        <w:rPr>
          <w:rStyle w:val="AERtextitalic"/>
        </w:rPr>
        <w:t>Issues in the estimation of gamma</w:t>
      </w:r>
      <w:r>
        <w:t>, April 2017</w:t>
      </w:r>
      <w:r w:rsidRPr="009E16C6">
        <w:rPr>
          <w:rStyle w:val="AERtextitalic"/>
          <w:i w:val="0"/>
        </w:rPr>
        <w:t>.</w:t>
      </w:r>
    </w:p>
  </w:footnote>
  <w:footnote w:id="85">
    <w:p w:rsidR="00B31E52" w:rsidRDefault="00B31E52" w:rsidP="00437CA2">
      <w:pPr>
        <w:pStyle w:val="FootnoteText"/>
      </w:pPr>
      <w:r>
        <w:rPr>
          <w:rStyle w:val="FootnoteReference"/>
        </w:rPr>
        <w:footnoteRef/>
      </w:r>
      <w:r>
        <w:t xml:space="preserve"> </w:t>
      </w:r>
      <w:r>
        <w:tab/>
        <w:t xml:space="preserve">SFG, </w:t>
      </w:r>
      <w:r w:rsidRPr="00C014CC">
        <w:rPr>
          <w:rStyle w:val="AERtextitalic"/>
        </w:rPr>
        <w:t>An appropriate regulatory estimate of gamma</w:t>
      </w:r>
      <w:r>
        <w:t xml:space="preserve">, 21 May 2014; SFG, </w:t>
      </w:r>
      <w:r>
        <w:rPr>
          <w:rStyle w:val="AERtextitalic"/>
        </w:rPr>
        <w:t>Estimating gamma for regulatory purposes</w:t>
      </w:r>
      <w:r>
        <w:t xml:space="preserve">, 6 February 2015; Frontier Economics, </w:t>
      </w:r>
      <w:r w:rsidRPr="00D14DE4">
        <w:rPr>
          <w:rStyle w:val="AERtextitalic"/>
        </w:rPr>
        <w:t>An appropriate regulatory estimate of gamma</w:t>
      </w:r>
      <w:r>
        <w:t xml:space="preserve">, June 2015; Frontier, </w:t>
      </w:r>
      <w:r>
        <w:rPr>
          <w:i/>
        </w:rPr>
        <w:t xml:space="preserve">The appropriate use of tax statistics when estimating gamma, </w:t>
      </w:r>
      <w:r>
        <w:t xml:space="preserve">January 2016; Frontier, </w:t>
      </w:r>
      <w:r w:rsidRPr="0074444C">
        <w:rPr>
          <w:rStyle w:val="AERtextitalic"/>
        </w:rPr>
        <w:t xml:space="preserve">Regulatory estimation of gamma report prepared for </w:t>
      </w:r>
      <w:r>
        <w:rPr>
          <w:rStyle w:val="AERtextitalic"/>
        </w:rPr>
        <w:t>P</w:t>
      </w:r>
      <w:r w:rsidRPr="0074444C">
        <w:rPr>
          <w:rStyle w:val="AERtextitalic"/>
        </w:rPr>
        <w:t>owerlink</w:t>
      </w:r>
      <w:r w:rsidRPr="00213B4B">
        <w:t xml:space="preserve">, </w:t>
      </w:r>
      <w:r>
        <w:t xml:space="preserve">January 2016; </w:t>
      </w:r>
      <w:r w:rsidRPr="009C153C">
        <w:t xml:space="preserve"> </w:t>
      </w:r>
      <w:r>
        <w:t xml:space="preserve">Frontier Economics, </w:t>
      </w:r>
      <w:r>
        <w:rPr>
          <w:rStyle w:val="AERtextitalic"/>
        </w:rPr>
        <w:t>Regulatory An updated dividend drop-off estimate of theta</w:t>
      </w:r>
      <w:r>
        <w:t xml:space="preserve">, September 2016; Frontier Economics, </w:t>
      </w:r>
      <w:r>
        <w:rPr>
          <w:rStyle w:val="AERtextitalic"/>
        </w:rPr>
        <w:t>Issues in the estimation of gamma</w:t>
      </w:r>
      <w:r>
        <w:t>, September 2016.</w:t>
      </w:r>
    </w:p>
  </w:footnote>
  <w:footnote w:id="86">
    <w:p w:rsidR="00B31E52" w:rsidRDefault="00B31E52" w:rsidP="00437CA2">
      <w:pPr>
        <w:pStyle w:val="FootnoteText"/>
      </w:pPr>
      <w:r>
        <w:rPr>
          <w:rStyle w:val="FootnoteReference"/>
        </w:rPr>
        <w:footnoteRef/>
      </w:r>
      <w:r>
        <w:t xml:space="preserve"> </w:t>
      </w:r>
      <w:r>
        <w:tab/>
        <w:t xml:space="preserve">NERA, </w:t>
      </w:r>
      <w:r w:rsidRPr="00C26A14">
        <w:rPr>
          <w:rStyle w:val="AERtextitalic"/>
        </w:rPr>
        <w:t>Estimating distribution and redemption rates from taxation statistics</w:t>
      </w:r>
      <w:r>
        <w:t xml:space="preserve">, March 2015. NERA, </w:t>
      </w:r>
      <w:r w:rsidRPr="00906B59">
        <w:rPr>
          <w:rStyle w:val="AERtextitalic"/>
        </w:rPr>
        <w:t>Do imputation credits lower the cost of equity? Cross-sectional tests</w:t>
      </w:r>
      <w:r>
        <w:t xml:space="preserve">, April 2015; NERA, </w:t>
      </w:r>
      <w:r w:rsidRPr="00D54762">
        <w:rPr>
          <w:rStyle w:val="AERtextitalic"/>
        </w:rPr>
        <w:t>Estimating distribution and redemption rates: Response to the AER's final decisions for the NSW and ACT electricity distributors, and for Jemena Gas Networks</w:t>
      </w:r>
      <w:r>
        <w:t>, June 2015.</w:t>
      </w:r>
    </w:p>
  </w:footnote>
  <w:footnote w:id="87">
    <w:p w:rsidR="00B31E52" w:rsidRDefault="00B31E52" w:rsidP="00437CA2">
      <w:pPr>
        <w:pStyle w:val="FootnoteText"/>
      </w:pPr>
      <w:r>
        <w:rPr>
          <w:rStyle w:val="FootnoteReference"/>
        </w:rPr>
        <w:footnoteRef/>
      </w:r>
      <w:r>
        <w:t xml:space="preserve"> </w:t>
      </w:r>
      <w:r>
        <w:tab/>
        <w:t xml:space="preserve">M. Lally, </w:t>
      </w:r>
      <w:r w:rsidRPr="002519FD">
        <w:rPr>
          <w:rStyle w:val="AERtextitalic"/>
        </w:rPr>
        <w:t>Estimating gamma</w:t>
      </w:r>
      <w:r>
        <w:t xml:space="preserve">, 25 November 2013. M. Lally, </w:t>
      </w:r>
      <w:r w:rsidRPr="008916E4">
        <w:rPr>
          <w:rStyle w:val="AERtextitalic"/>
        </w:rPr>
        <w:t>Review of submissions to the QCA on the MRP, risk-free rate and gamma</w:t>
      </w:r>
      <w:r>
        <w:t>, 12 March 2014.</w:t>
      </w:r>
    </w:p>
  </w:footnote>
  <w:footnote w:id="88">
    <w:p w:rsidR="00B31E52" w:rsidRDefault="00B31E52" w:rsidP="00437CA2">
      <w:pPr>
        <w:pStyle w:val="FootnoteText"/>
      </w:pPr>
      <w:r>
        <w:rPr>
          <w:rStyle w:val="FootnoteReference"/>
        </w:rPr>
        <w:footnoteRef/>
      </w:r>
      <w:r>
        <w:t xml:space="preserve"> </w:t>
      </w:r>
      <w:r>
        <w:tab/>
        <w:t xml:space="preserve">M. McKenzie and G. Partington, </w:t>
      </w:r>
      <w:r w:rsidRPr="00523EF7">
        <w:rPr>
          <w:rStyle w:val="AERtextitalic"/>
        </w:rPr>
        <w:t>Report to the Queensland Resources Council: Review of Aurizon Network’s draft access undertaking</w:t>
      </w:r>
      <w:r>
        <w:t>, 5 October 2013.</w:t>
      </w:r>
    </w:p>
  </w:footnote>
  <w:footnote w:id="89">
    <w:p w:rsidR="00B31E52" w:rsidRDefault="00B31E52" w:rsidP="00437CA2">
      <w:pPr>
        <w:pStyle w:val="FootnoteText"/>
      </w:pPr>
      <w:r>
        <w:rPr>
          <w:rStyle w:val="FootnoteReference"/>
        </w:rPr>
        <w:footnoteRef/>
      </w:r>
      <w:r>
        <w:t xml:space="preserve"> </w:t>
      </w:r>
      <w:r>
        <w:tab/>
      </w:r>
      <w:r w:rsidRPr="00DF6BAC">
        <w:t xml:space="preserve">N. Hathaway, </w:t>
      </w:r>
      <w:r w:rsidRPr="00DF6BAC">
        <w:rPr>
          <w:rStyle w:val="AERtextitalic"/>
        </w:rPr>
        <w:t>Imputation credit redemption ATO data 1988–2011: Where have all the credits gone?</w:t>
      </w:r>
      <w:r w:rsidRPr="00DF6BAC">
        <w:t>, September 2013.</w:t>
      </w:r>
    </w:p>
  </w:footnote>
  <w:footnote w:id="90">
    <w:p w:rsidR="00B31E52" w:rsidRDefault="00B31E52" w:rsidP="00437CA2">
      <w:pPr>
        <w:pStyle w:val="FootnoteText"/>
      </w:pPr>
      <w:r>
        <w:rPr>
          <w:rStyle w:val="FootnoteReference"/>
        </w:rPr>
        <w:footnoteRef/>
      </w:r>
      <w:r>
        <w:t xml:space="preserve"> </w:t>
      </w:r>
      <w:r>
        <w:tab/>
      </w:r>
      <w:r w:rsidRPr="00DF6BAC">
        <w:t xml:space="preserve">NERA, </w:t>
      </w:r>
      <w:r w:rsidRPr="00DF6BAC">
        <w:rPr>
          <w:rStyle w:val="AERtextitalic"/>
        </w:rPr>
        <w:t>The payout ratio: A report for the Energy Networks Association</w:t>
      </w:r>
      <w:r w:rsidRPr="00DF6BAC">
        <w:t>, June 2013.</w:t>
      </w:r>
    </w:p>
  </w:footnote>
  <w:footnote w:id="91">
    <w:p w:rsidR="00B31E52" w:rsidRDefault="00B31E52" w:rsidP="00437CA2">
      <w:pPr>
        <w:pStyle w:val="FootnoteText"/>
      </w:pPr>
      <w:r>
        <w:rPr>
          <w:rStyle w:val="FootnoteReference"/>
        </w:rPr>
        <w:footnoteRef/>
      </w:r>
      <w:r>
        <w:t xml:space="preserve"> </w:t>
      </w:r>
      <w:r>
        <w:tab/>
        <w:t xml:space="preserve">See sections </w:t>
      </w:r>
      <w:r>
        <w:fldChar w:fldCharType="begin"/>
      </w:r>
      <w:r>
        <w:instrText xml:space="preserve"> REF _Ref414621676 \r \h </w:instrText>
      </w:r>
      <w:r>
        <w:fldChar w:fldCharType="separate"/>
      </w:r>
      <w:r w:rsidR="007E3457">
        <w:t>A.1</w:t>
      </w:r>
      <w:r>
        <w:fldChar w:fldCharType="end"/>
      </w:r>
      <w:r>
        <w:t xml:space="preserve"> and </w:t>
      </w:r>
      <w:r>
        <w:fldChar w:fldCharType="begin"/>
      </w:r>
      <w:r>
        <w:instrText xml:space="preserve"> REF _Ref414621875 \r \h </w:instrText>
      </w:r>
      <w:r>
        <w:fldChar w:fldCharType="separate"/>
      </w:r>
      <w:r w:rsidR="007E3457">
        <w:t>A.2</w:t>
      </w:r>
      <w:r>
        <w:fldChar w:fldCharType="end"/>
      </w:r>
      <w:r>
        <w:t xml:space="preserve"> of appendix A.</w:t>
      </w:r>
    </w:p>
  </w:footnote>
  <w:footnote w:id="92">
    <w:p w:rsidR="00B31E52" w:rsidRDefault="00B31E52" w:rsidP="00437CA2">
      <w:pPr>
        <w:pStyle w:val="FootnoteText"/>
      </w:pPr>
      <w:r>
        <w:rPr>
          <w:rStyle w:val="FootnoteReference"/>
        </w:rPr>
        <w:footnoteRef/>
      </w:r>
      <w:r>
        <w:t xml:space="preserve"> </w:t>
      </w:r>
      <w:r>
        <w:tab/>
        <w:t xml:space="preserve">See section </w:t>
      </w:r>
      <w:r>
        <w:fldChar w:fldCharType="begin"/>
      </w:r>
      <w:r>
        <w:instrText xml:space="preserve"> REF _Ref415144114 \r \h </w:instrText>
      </w:r>
      <w:r>
        <w:fldChar w:fldCharType="separate"/>
      </w:r>
      <w:r w:rsidR="007E3457">
        <w:t>A.5</w:t>
      </w:r>
      <w:r>
        <w:fldChar w:fldCharType="end"/>
      </w:r>
      <w:r>
        <w:t xml:space="preserve"> of appendix A.</w:t>
      </w:r>
    </w:p>
  </w:footnote>
  <w:footnote w:id="93">
    <w:p w:rsidR="00B31E52" w:rsidRDefault="00B31E52" w:rsidP="00437CA2">
      <w:pPr>
        <w:pStyle w:val="FootnoteText"/>
      </w:pPr>
      <w:r>
        <w:rPr>
          <w:rStyle w:val="FootnoteReference"/>
        </w:rPr>
        <w:footnoteRef/>
      </w:r>
      <w:r>
        <w:t xml:space="preserve"> </w:t>
      </w:r>
      <w:r>
        <w:tab/>
        <w:t xml:space="preserve">See sections </w:t>
      </w:r>
      <w:r>
        <w:fldChar w:fldCharType="begin"/>
      </w:r>
      <w:r>
        <w:instrText xml:space="preserve"> REF _Ref416802130 \r \h </w:instrText>
      </w:r>
      <w:r>
        <w:fldChar w:fldCharType="separate"/>
      </w:r>
      <w:r w:rsidR="007E3457">
        <w:t>4.3.1</w:t>
      </w:r>
      <w:r>
        <w:fldChar w:fldCharType="end"/>
      </w:r>
      <w:r>
        <w:t xml:space="preserve"> and </w:t>
      </w:r>
      <w:r>
        <w:fldChar w:fldCharType="begin"/>
      </w:r>
      <w:r>
        <w:instrText xml:space="preserve"> REF _Ref400965182 \r \h </w:instrText>
      </w:r>
      <w:r>
        <w:fldChar w:fldCharType="separate"/>
      </w:r>
      <w:r w:rsidR="007E3457">
        <w:t>A.6</w:t>
      </w:r>
      <w:r>
        <w:fldChar w:fldCharType="end"/>
      </w:r>
      <w:r>
        <w:t xml:space="preserve"> of appendix A.</w:t>
      </w:r>
    </w:p>
  </w:footnote>
  <w:footnote w:id="94">
    <w:p w:rsidR="00B31E52" w:rsidRDefault="00B31E52" w:rsidP="00437CA2">
      <w:pPr>
        <w:pStyle w:val="FootnoteText"/>
      </w:pPr>
      <w:r>
        <w:rPr>
          <w:rStyle w:val="FootnoteReference"/>
        </w:rPr>
        <w:footnoteRef/>
      </w:r>
      <w:r>
        <w:t xml:space="preserve"> </w:t>
      </w:r>
      <w:r>
        <w:tab/>
        <w:t xml:space="preserve">Assuming retained imputation credits have no value. See section </w:t>
      </w:r>
      <w:r>
        <w:fldChar w:fldCharType="begin"/>
      </w:r>
      <w:r>
        <w:instrText xml:space="preserve"> REF _Ref400965182 \r \h </w:instrText>
      </w:r>
      <w:r>
        <w:fldChar w:fldCharType="separate"/>
      </w:r>
      <w:r w:rsidR="007E3457">
        <w:t>A.6</w:t>
      </w:r>
      <w:r>
        <w:fldChar w:fldCharType="end"/>
      </w:r>
      <w:r>
        <w:t xml:space="preserve"> of appendix A.</w:t>
      </w:r>
    </w:p>
  </w:footnote>
  <w:footnote w:id="95">
    <w:p w:rsidR="00B31E52" w:rsidRDefault="00B31E52" w:rsidP="00437CA2">
      <w:pPr>
        <w:pStyle w:val="FootnoteText"/>
      </w:pPr>
      <w:r>
        <w:rPr>
          <w:rStyle w:val="FootnoteReference"/>
        </w:rPr>
        <w:footnoteRef/>
      </w:r>
      <w:r>
        <w:t xml:space="preserve"> </w:t>
      </w:r>
      <w:r>
        <w:tab/>
      </w:r>
      <w:r w:rsidRPr="00AB4156">
        <w:t xml:space="preserve">Lally, </w:t>
      </w:r>
      <w:r w:rsidRPr="005764F6">
        <w:rPr>
          <w:rStyle w:val="AERtextitalic"/>
        </w:rPr>
        <w:t>Gamma and the ACT Decision</w:t>
      </w:r>
      <w:r>
        <w:t>, May 2016, p. 29.</w:t>
      </w:r>
    </w:p>
  </w:footnote>
  <w:footnote w:id="96">
    <w:p w:rsidR="00B31E52" w:rsidRDefault="00B31E52" w:rsidP="00437CA2">
      <w:pPr>
        <w:pStyle w:val="FootnoteText"/>
      </w:pPr>
      <w:r>
        <w:rPr>
          <w:rStyle w:val="FootnoteReference"/>
        </w:rPr>
        <w:footnoteRef/>
      </w:r>
      <w:r>
        <w:t xml:space="preserve"> </w:t>
      </w:r>
      <w:r>
        <w:tab/>
        <w:t xml:space="preserve">See section </w:t>
      </w:r>
      <w:r>
        <w:fldChar w:fldCharType="begin"/>
      </w:r>
      <w:r>
        <w:instrText xml:space="preserve"> REF _Ref476520189 \r \h </w:instrText>
      </w:r>
      <w:r>
        <w:fldChar w:fldCharType="separate"/>
      </w:r>
      <w:r w:rsidR="007E3457">
        <w:t>4.4</w:t>
      </w:r>
      <w:r>
        <w:fldChar w:fldCharType="end"/>
      </w:r>
      <w:r>
        <w:t>.</w:t>
      </w:r>
    </w:p>
  </w:footnote>
  <w:footnote w:id="97">
    <w:p w:rsidR="00B31E52" w:rsidRDefault="00B31E52" w:rsidP="00437CA2">
      <w:pPr>
        <w:pStyle w:val="FootnoteText"/>
      </w:pPr>
      <w:r>
        <w:rPr>
          <w:rStyle w:val="FootnoteReference"/>
        </w:rPr>
        <w:footnoteRef/>
      </w:r>
      <w:r>
        <w:t xml:space="preserve"> </w:t>
      </w:r>
      <w:r>
        <w:tab/>
        <w:t xml:space="preserve">See section </w:t>
      </w:r>
      <w:r>
        <w:fldChar w:fldCharType="begin"/>
      </w:r>
      <w:r>
        <w:instrText xml:space="preserve"> REF _Ref476520204 \r \h </w:instrText>
      </w:r>
      <w:r>
        <w:fldChar w:fldCharType="separate"/>
      </w:r>
      <w:r w:rsidR="007E3457">
        <w:t>4.4</w:t>
      </w:r>
      <w:r>
        <w:fldChar w:fldCharType="end"/>
      </w:r>
      <w:r>
        <w:t>.</w:t>
      </w:r>
    </w:p>
  </w:footnote>
  <w:footnote w:id="98">
    <w:p w:rsidR="00B31E52" w:rsidRDefault="00B31E52" w:rsidP="00437CA2">
      <w:pPr>
        <w:pStyle w:val="FootnoteText"/>
      </w:pPr>
      <w:r>
        <w:rPr>
          <w:rStyle w:val="FootnoteReference"/>
        </w:rPr>
        <w:footnoteRef/>
      </w:r>
      <w:r>
        <w:t xml:space="preserve"> </w:t>
      </w:r>
      <w:r>
        <w:tab/>
        <w:t xml:space="preserve">See section </w:t>
      </w:r>
      <w:r>
        <w:fldChar w:fldCharType="begin"/>
      </w:r>
      <w:r>
        <w:instrText xml:space="preserve"> REF _Ref476520210 \r \h </w:instrText>
      </w:r>
      <w:r>
        <w:fldChar w:fldCharType="separate"/>
      </w:r>
      <w:r w:rsidR="007E3457">
        <w:t>4.4</w:t>
      </w:r>
      <w:r>
        <w:fldChar w:fldCharType="end"/>
      </w:r>
      <w:r>
        <w:t>.</w:t>
      </w:r>
    </w:p>
  </w:footnote>
  <w:footnote w:id="99">
    <w:p w:rsidR="00B31E52" w:rsidRDefault="00B31E52" w:rsidP="00437CA2">
      <w:pPr>
        <w:pStyle w:val="FootnoteText"/>
      </w:pPr>
      <w:r>
        <w:rPr>
          <w:rStyle w:val="FootnoteReference"/>
        </w:rPr>
        <w:footnoteRef/>
      </w:r>
      <w:r>
        <w:t xml:space="preserve"> </w:t>
      </w:r>
      <w:r>
        <w:tab/>
      </w:r>
      <w:r w:rsidRPr="005764F6">
        <w:t xml:space="preserve">Lally, </w:t>
      </w:r>
      <w:r w:rsidRPr="00583683">
        <w:rPr>
          <w:rStyle w:val="AERtextitalic"/>
        </w:rPr>
        <w:t>Gamma and the ACT Decision</w:t>
      </w:r>
      <w:r w:rsidRPr="005764F6">
        <w:t>, May 2016, pp. 4–5.</w:t>
      </w:r>
    </w:p>
  </w:footnote>
  <w:footnote w:id="100">
    <w:p w:rsidR="00B31E52" w:rsidRDefault="00B31E52" w:rsidP="00437CA2">
      <w:pPr>
        <w:pStyle w:val="FootnoteText"/>
      </w:pPr>
      <w:r>
        <w:rPr>
          <w:rStyle w:val="FootnoteReference"/>
        </w:rPr>
        <w:footnoteRef/>
      </w:r>
      <w:r>
        <w:t xml:space="preserve"> </w:t>
      </w:r>
      <w:r>
        <w:tab/>
      </w:r>
      <w:r w:rsidRPr="00DE7959">
        <w:t>Rather, they measure the dividend drop off ratio which is influenced</w:t>
      </w:r>
      <w:r>
        <w:t xml:space="preserve"> by personal tax factors. This i</w:t>
      </w:r>
      <w:r w:rsidRPr="00DE7959">
        <w:t>s not appropriate given our post (corporate) tax regulatory framework based on Officer's 1994 paper</w:t>
      </w:r>
      <w:r>
        <w:t xml:space="preserve"> (see </w:t>
      </w:r>
      <w:r w:rsidRPr="00800E44">
        <w:t xml:space="preserve">R. Officer, 'The cost of capital of a company under an imputation system', </w:t>
      </w:r>
      <w:r>
        <w:rPr>
          <w:rStyle w:val="AERtextitalic"/>
        </w:rPr>
        <w:t>Accounting and f</w:t>
      </w:r>
      <w:r w:rsidRPr="00800E44">
        <w:rPr>
          <w:rStyle w:val="AERtextitalic"/>
        </w:rPr>
        <w:t>inance</w:t>
      </w:r>
      <w:r w:rsidRPr="00800E44">
        <w:t>, vol. 34(1), May 1994</w:t>
      </w:r>
      <w:r>
        <w:t>)</w:t>
      </w:r>
      <w:r w:rsidRPr="00DE7959">
        <w:t>.</w:t>
      </w:r>
    </w:p>
  </w:footnote>
  <w:footnote w:id="101">
    <w:p w:rsidR="00B31E52" w:rsidRDefault="00B31E52" w:rsidP="00437CA2">
      <w:pPr>
        <w:pStyle w:val="FootnoteText"/>
      </w:pPr>
      <w:r>
        <w:rPr>
          <w:rStyle w:val="FootnoteReference"/>
        </w:rPr>
        <w:footnoteRef/>
      </w:r>
      <w:r>
        <w:t xml:space="preserve"> </w:t>
      </w:r>
      <w:r>
        <w:tab/>
        <w:t xml:space="preserve">For instance, some experts advocate use of evidence on just listed companies and their investors because this is considered to be more reflective of the benchmark efficient entity and its investors, and/or this is consistent with the use of evidence from just listed companies when estimating the market risk premium. We note that Lally, in his latest report, recommends that the distribution rate should be set with reference to the financial reports of the top 20 listed companies (as he considers this is most representative of the firm specific distribution rate for a benchmark efficient entity) and the utilisation rate should be set with reference to all equity (as he considers this likely the best estimate of the economy wide theta value) (see </w:t>
      </w:r>
      <w:r w:rsidRPr="00BD34F4">
        <w:t xml:space="preserve">Lally, </w:t>
      </w:r>
      <w:r w:rsidRPr="005764F6">
        <w:rPr>
          <w:rStyle w:val="AERtextitalic"/>
        </w:rPr>
        <w:t>Gamma and the ACT Decision</w:t>
      </w:r>
      <w:r>
        <w:t xml:space="preserve">, May 2016, pp. 4–6). See section </w:t>
      </w:r>
      <w:r>
        <w:fldChar w:fldCharType="begin"/>
      </w:r>
      <w:r>
        <w:instrText xml:space="preserve"> REF _Ref401048631 \r \h </w:instrText>
      </w:r>
      <w:r>
        <w:fldChar w:fldCharType="separate"/>
      </w:r>
      <w:r w:rsidR="007E3457">
        <w:t>A.9.1</w:t>
      </w:r>
      <w:r>
        <w:fldChar w:fldCharType="end"/>
      </w:r>
      <w:r>
        <w:t xml:space="preserve"> of appendix A for more discussion. </w:t>
      </w:r>
    </w:p>
  </w:footnote>
  <w:footnote w:id="102">
    <w:p w:rsidR="00B31E52" w:rsidRDefault="00B31E52" w:rsidP="00C52695">
      <w:pPr>
        <w:pStyle w:val="FootnoteText"/>
      </w:pPr>
      <w:r>
        <w:rPr>
          <w:rStyle w:val="FootnoteReference"/>
        </w:rPr>
        <w:footnoteRef/>
      </w:r>
      <w:r>
        <w:t xml:space="preserve"> </w:t>
      </w:r>
      <w:r>
        <w:tab/>
      </w:r>
      <w:r w:rsidRPr="00874F27">
        <w:t xml:space="preserve">J. Handley, </w:t>
      </w:r>
      <w:r w:rsidRPr="00874F27">
        <w:rPr>
          <w:rStyle w:val="AERtextitalic"/>
        </w:rPr>
        <w:t>Report prepared for the Australian Energy Regulator: Advice on the value of imputation credits</w:t>
      </w:r>
      <w:r w:rsidRPr="00874F27">
        <w:t>, 29 September 2014</w:t>
      </w:r>
      <w:r>
        <w:t>, p. 31</w:t>
      </w:r>
      <w:r w:rsidRPr="00874F27">
        <w:t>.</w:t>
      </w:r>
    </w:p>
  </w:footnote>
  <w:footnote w:id="103">
    <w:p w:rsidR="00B31E52" w:rsidRDefault="00B31E52" w:rsidP="007D69CB">
      <w:pPr>
        <w:pStyle w:val="FootnoteText"/>
      </w:pPr>
      <w:r>
        <w:rPr>
          <w:rStyle w:val="FootnoteReference"/>
        </w:rPr>
        <w:footnoteRef/>
      </w:r>
      <w:r>
        <w:t xml:space="preserve"> </w:t>
      </w:r>
      <w:r>
        <w:tab/>
      </w:r>
      <w:r w:rsidRPr="00582678">
        <w:t xml:space="preserve">M. Lally, </w:t>
      </w:r>
      <w:r w:rsidRPr="00582678">
        <w:rPr>
          <w:rStyle w:val="AERtextitalic"/>
        </w:rPr>
        <w:t>The estimation of gamma</w:t>
      </w:r>
      <w:r w:rsidRPr="00582678">
        <w:t>, 23 November 2013</w:t>
      </w:r>
      <w:r>
        <w:t xml:space="preserve">, p. 4 and M. Lally, </w:t>
      </w:r>
      <w:r w:rsidRPr="00E750F8">
        <w:rPr>
          <w:rStyle w:val="AERtextitalic"/>
        </w:rPr>
        <w:t>Issues in the estimation of gamma</w:t>
      </w:r>
      <w:r>
        <w:t>, April 2017</w:t>
      </w:r>
      <w:r w:rsidRPr="000E71C3">
        <w:rPr>
          <w:rStyle w:val="AERtextitalic"/>
          <w:i w:val="0"/>
        </w:rPr>
        <w:t>, pp. </w:t>
      </w:r>
      <w:r w:rsidRPr="00B12938">
        <w:rPr>
          <w:rStyle w:val="AERtextitalic"/>
          <w:i w:val="0"/>
        </w:rPr>
        <w:t>27,29</w:t>
      </w:r>
      <w:r>
        <w:t>; Lally's recommendation of a utilisation rate of 1 is based on his consideration that, because we use a domestic rate of return framework, we should assume that all investors in the market are domestic (and therefore eligible to make full use of imputation credits).</w:t>
      </w:r>
    </w:p>
  </w:footnote>
  <w:footnote w:id="104">
    <w:p w:rsidR="00B31E52" w:rsidRDefault="00B31E52" w:rsidP="00C52695">
      <w:pPr>
        <w:pStyle w:val="FootnoteText"/>
      </w:pPr>
      <w:r>
        <w:rPr>
          <w:rStyle w:val="FootnoteReference"/>
        </w:rPr>
        <w:footnoteRef/>
      </w:r>
      <w:r>
        <w:t xml:space="preserve"> </w:t>
      </w:r>
      <w:r>
        <w:tab/>
      </w:r>
      <w:r w:rsidRPr="00874F27">
        <w:t xml:space="preserve">J. Handley, </w:t>
      </w:r>
      <w:r w:rsidRPr="00874F27">
        <w:rPr>
          <w:rStyle w:val="AERtextitalic"/>
        </w:rPr>
        <w:t>Report prepared for the Australian Energy Regulator: Advice on the value of imputation credits</w:t>
      </w:r>
      <w:r w:rsidRPr="00874F27">
        <w:t>, 29 September 2014</w:t>
      </w:r>
      <w:r>
        <w:t>, p. 3</w:t>
      </w:r>
      <w:r w:rsidRPr="00874F27">
        <w:t>.</w:t>
      </w:r>
    </w:p>
  </w:footnote>
  <w:footnote w:id="105">
    <w:p w:rsidR="00B31E52" w:rsidRDefault="00B31E52" w:rsidP="00C52695">
      <w:pPr>
        <w:pStyle w:val="FootnoteText"/>
      </w:pPr>
      <w:r>
        <w:rPr>
          <w:rStyle w:val="FootnoteReference"/>
        </w:rPr>
        <w:footnoteRef/>
      </w:r>
      <w:r>
        <w:t xml:space="preserve"> </w:t>
      </w:r>
      <w:r>
        <w:tab/>
        <w:t xml:space="preserve">M. </w:t>
      </w:r>
      <w:r w:rsidRPr="005942A6">
        <w:t xml:space="preserve">Lally, </w:t>
      </w:r>
      <w:r w:rsidRPr="005764F6">
        <w:rPr>
          <w:rStyle w:val="AERtextitalic"/>
        </w:rPr>
        <w:t>Gamma and the ACT Decision</w:t>
      </w:r>
      <w:r w:rsidRPr="005942A6">
        <w:t xml:space="preserve">, </w:t>
      </w:r>
      <w:r>
        <w:t>May 2016, pp. 3–6</w:t>
      </w:r>
      <w:r w:rsidRPr="005942A6">
        <w:t>.</w:t>
      </w:r>
    </w:p>
  </w:footnote>
  <w:footnote w:id="106">
    <w:p w:rsidR="00B31E52" w:rsidRDefault="00B31E52" w:rsidP="00C52695">
      <w:pPr>
        <w:pStyle w:val="FootnoteText"/>
      </w:pPr>
      <w:r>
        <w:rPr>
          <w:rStyle w:val="FootnoteReference"/>
        </w:rPr>
        <w:footnoteRef/>
      </w:r>
      <w:r>
        <w:t xml:space="preserve"> </w:t>
      </w:r>
      <w:r>
        <w:tab/>
      </w:r>
      <w:r w:rsidRPr="00874F27">
        <w:t xml:space="preserve">J. Handley, </w:t>
      </w:r>
      <w:r w:rsidRPr="00874F27">
        <w:rPr>
          <w:rStyle w:val="AERtextitalic"/>
        </w:rPr>
        <w:t>Report prepared for the Australian Energy Regulator: Advice on the value of imputation credits</w:t>
      </w:r>
      <w:r w:rsidRPr="00874F27">
        <w:t>, 29 September 2014</w:t>
      </w:r>
      <w:r>
        <w:t>, p. 32</w:t>
      </w:r>
      <w:r w:rsidRPr="00874F27">
        <w:t>.</w:t>
      </w:r>
      <w:r>
        <w:t xml:space="preserve"> M. McKenzie and G. Partington, </w:t>
      </w:r>
      <w:r w:rsidRPr="00523EF7">
        <w:rPr>
          <w:rStyle w:val="AERtextitalic"/>
        </w:rPr>
        <w:t>Report to the Queensland Resources Council: Review of Aurizon Network’s draft access undertaking</w:t>
      </w:r>
      <w:r>
        <w:t xml:space="preserve">, 5 October 2013, pp. 31–35. See also section </w:t>
      </w:r>
      <w:r>
        <w:fldChar w:fldCharType="begin"/>
      </w:r>
      <w:r>
        <w:instrText xml:space="preserve"> REF _Ref414621676 \r \h </w:instrText>
      </w:r>
      <w:r>
        <w:fldChar w:fldCharType="separate"/>
      </w:r>
      <w:r w:rsidR="007E3457">
        <w:t>A.1</w:t>
      </w:r>
      <w:r>
        <w:fldChar w:fldCharType="end"/>
      </w:r>
      <w:r>
        <w:t xml:space="preserve"> of appendix A.</w:t>
      </w:r>
    </w:p>
  </w:footnote>
  <w:footnote w:id="107">
    <w:p w:rsidR="00B31E52" w:rsidRDefault="00B31E52" w:rsidP="00C52695">
      <w:pPr>
        <w:pStyle w:val="FootnoteText"/>
      </w:pPr>
      <w:r>
        <w:rPr>
          <w:rStyle w:val="FootnoteReference"/>
        </w:rPr>
        <w:footnoteRef/>
      </w:r>
      <w:r>
        <w:t xml:space="preserve"> </w:t>
      </w:r>
      <w:r>
        <w:tab/>
      </w:r>
      <w:r w:rsidRPr="00874F27">
        <w:t xml:space="preserve">J. Handley, </w:t>
      </w:r>
      <w:r w:rsidRPr="00874F27">
        <w:rPr>
          <w:rStyle w:val="AERtextitalic"/>
        </w:rPr>
        <w:t>Report prepared for the Australian Energy Regulator: Advice on the value of imputation credits</w:t>
      </w:r>
      <w:r w:rsidRPr="00874F27">
        <w:t>, 29 September 2014</w:t>
      </w:r>
      <w:r>
        <w:t>, p. 32</w:t>
      </w:r>
      <w:r w:rsidRPr="00874F27">
        <w:t>.</w:t>
      </w:r>
    </w:p>
  </w:footnote>
  <w:footnote w:id="108">
    <w:p w:rsidR="00B31E52" w:rsidRPr="00EA3C68" w:rsidRDefault="00B31E52" w:rsidP="00CF4EC3">
      <w:pPr>
        <w:pStyle w:val="FootnoteText"/>
      </w:pPr>
      <w:r>
        <w:rPr>
          <w:rStyle w:val="FootnoteReference"/>
        </w:rPr>
        <w:footnoteRef/>
      </w:r>
      <w:r>
        <w:t xml:space="preserve"> </w:t>
      </w:r>
      <w:r>
        <w:tab/>
        <w:t xml:space="preserve">M. Lally, </w:t>
      </w:r>
      <w:r w:rsidRPr="00E750F8">
        <w:rPr>
          <w:rStyle w:val="AERtextitalic"/>
        </w:rPr>
        <w:t>Issues in the estimation of gamma</w:t>
      </w:r>
      <w:r>
        <w:t>, April 2017</w:t>
      </w:r>
      <w:r w:rsidRPr="00F403D5">
        <w:rPr>
          <w:rStyle w:val="AERtextitalic"/>
          <w:i w:val="0"/>
        </w:rPr>
        <w:t>, p. 13.</w:t>
      </w:r>
    </w:p>
  </w:footnote>
  <w:footnote w:id="109">
    <w:p w:rsidR="00B31E52" w:rsidRDefault="00B31E52" w:rsidP="00C52695">
      <w:pPr>
        <w:pStyle w:val="FootnoteText"/>
      </w:pPr>
      <w:r>
        <w:rPr>
          <w:rStyle w:val="FootnoteReference"/>
        </w:rPr>
        <w:footnoteRef/>
      </w:r>
      <w:r>
        <w:t xml:space="preserve"> </w:t>
      </w:r>
      <w:r>
        <w:tab/>
      </w:r>
      <w:r w:rsidRPr="00712BC2">
        <w:t xml:space="preserve">M. Lally, </w:t>
      </w:r>
      <w:r>
        <w:rPr>
          <w:rStyle w:val="AERtextitalic"/>
        </w:rPr>
        <w:t>Gamma and the ACT Decision</w:t>
      </w:r>
      <w:r>
        <w:t xml:space="preserve">, May 2016, pp. 4–6, 18, 25. In making this choice, Lally considered there is </w:t>
      </w:r>
      <w:r w:rsidRPr="0035206C">
        <w:t>a trade-off between statistical reliability (</w:t>
      </w:r>
      <w:r>
        <w:t xml:space="preserve">which is </w:t>
      </w:r>
      <w:r w:rsidRPr="0035206C">
        <w:t xml:space="preserve">greater </w:t>
      </w:r>
      <w:r>
        <w:t xml:space="preserve">if </w:t>
      </w:r>
      <w:r w:rsidRPr="0035206C">
        <w:t>a market-wide estimate</w:t>
      </w:r>
      <w:r>
        <w:t xml:space="preserve"> is used</w:t>
      </w:r>
      <w:r w:rsidRPr="0035206C">
        <w:t>) versus potential bias (</w:t>
      </w:r>
      <w:r>
        <w:t>worse from a sector-wide estimate</w:t>
      </w:r>
      <w:r w:rsidRPr="0035206C">
        <w:t>).</w:t>
      </w:r>
      <w:r>
        <w:t xml:space="preserve"> Lally discussed various issues with using firm-specific data, industry averages and market-wide data to estimate the distribution rate.</w:t>
      </w:r>
    </w:p>
  </w:footnote>
  <w:footnote w:id="110">
    <w:p w:rsidR="00B31E52" w:rsidRDefault="00B31E52" w:rsidP="00C52695">
      <w:pPr>
        <w:pStyle w:val="FootnoteText"/>
      </w:pPr>
      <w:r>
        <w:rPr>
          <w:rStyle w:val="FootnoteReference"/>
        </w:rPr>
        <w:footnoteRef/>
      </w:r>
      <w:r>
        <w:t xml:space="preserve"> </w:t>
      </w:r>
      <w:r>
        <w:tab/>
        <w:t xml:space="preserve">Note that our estimates of the distribution rate for listed equity come from ATO data on public companies. Handley advised that it is not strictly correct to refer to ATO data on public companies as data on listed companies. This is because the ATO definition of a public company includes but is not limited to listed companies. However, Handley also advised that referring to the public company data as relating to listed companies is suitable for our purpose. </w:t>
      </w:r>
      <w:r w:rsidRPr="00874F27">
        <w:t xml:space="preserve">J. Handley, </w:t>
      </w:r>
      <w:r w:rsidRPr="00874F27">
        <w:rPr>
          <w:rStyle w:val="AERtextitalic"/>
        </w:rPr>
        <w:t xml:space="preserve">Report prepared for the Australian Energy Regulator: </w:t>
      </w:r>
      <w:r>
        <w:rPr>
          <w:rStyle w:val="AERtextitalic"/>
        </w:rPr>
        <w:t>Further a</w:t>
      </w:r>
      <w:r w:rsidRPr="00874F27">
        <w:rPr>
          <w:rStyle w:val="AERtextitalic"/>
        </w:rPr>
        <w:t>dvice on the value of imputation credits</w:t>
      </w:r>
      <w:r w:rsidRPr="00874F27">
        <w:t xml:space="preserve">, </w:t>
      </w:r>
      <w:r>
        <w:t>16 April 2015, footnote 26</w:t>
      </w:r>
      <w:r w:rsidRPr="00874F27">
        <w:t>.</w:t>
      </w:r>
    </w:p>
  </w:footnote>
  <w:footnote w:id="111">
    <w:p w:rsidR="00B31E52" w:rsidRDefault="00B31E52">
      <w:pPr>
        <w:pStyle w:val="FootnoteText"/>
      </w:pPr>
      <w:r>
        <w:rPr>
          <w:rStyle w:val="FootnoteReference"/>
        </w:rPr>
        <w:footnoteRef/>
      </w:r>
      <w:r>
        <w:t xml:space="preserve"> </w:t>
      </w:r>
      <w:r>
        <w:tab/>
        <w:t xml:space="preserve">Lally does no use a range for the utilisation rate, rather Lally recommends a utilisation rate of at least 0.6 (all equity). See </w:t>
      </w:r>
      <w:r w:rsidRPr="005764F6">
        <w:t xml:space="preserve">Lally, </w:t>
      </w:r>
      <w:r w:rsidRPr="00583683">
        <w:rPr>
          <w:rStyle w:val="AERtextitalic"/>
        </w:rPr>
        <w:t>Gamma and the ACT Decision</w:t>
      </w:r>
      <w:r w:rsidRPr="005764F6">
        <w:t>, May 2016, pp. </w:t>
      </w:r>
      <w:r>
        <w:t>5, 6, 21, 23, 31, 32</w:t>
      </w:r>
      <w:r w:rsidRPr="005764F6">
        <w:t>.</w:t>
      </w:r>
    </w:p>
  </w:footnote>
  <w:footnote w:id="112">
    <w:p w:rsidR="00B31E52" w:rsidRDefault="00B31E52" w:rsidP="00C52695">
      <w:pPr>
        <w:pStyle w:val="FootnoteText"/>
      </w:pPr>
      <w:r>
        <w:rPr>
          <w:rStyle w:val="FootnoteReference"/>
        </w:rPr>
        <w:footnoteRef/>
      </w:r>
      <w:r>
        <w:t xml:space="preserve"> </w:t>
      </w:r>
      <w:r>
        <w:tab/>
        <w:t>Lally recommends a gamma estimate of at least 0.5 which is based on a distribution rate of at least 0.83 and a utilisation rate of 0.6. See:</w:t>
      </w:r>
      <w:r w:rsidRPr="004B7D28">
        <w:t xml:space="preserve"> </w:t>
      </w:r>
      <w:r w:rsidRPr="00712BC2">
        <w:t xml:space="preserve">M. Lally, </w:t>
      </w:r>
      <w:r>
        <w:rPr>
          <w:rStyle w:val="AERtextitalic"/>
        </w:rPr>
        <w:t>Gamma and the ACT Decision</w:t>
      </w:r>
      <w:r>
        <w:t>, May 2016, p. 6.</w:t>
      </w:r>
    </w:p>
  </w:footnote>
  <w:footnote w:id="113">
    <w:p w:rsidR="00B31E52" w:rsidRDefault="00B31E52" w:rsidP="00C52695">
      <w:pPr>
        <w:pStyle w:val="FootnoteText"/>
      </w:pPr>
      <w:r>
        <w:rPr>
          <w:rStyle w:val="FootnoteReference"/>
        </w:rPr>
        <w:footnoteRef/>
      </w:r>
      <w:r>
        <w:t xml:space="preserve"> </w:t>
      </w:r>
      <w:r>
        <w:tab/>
        <w:t>Although implied market value studies produce estimates below 0.3 and above 0.5, we place less reliance on these studies.</w:t>
      </w:r>
    </w:p>
  </w:footnote>
  <w:footnote w:id="114">
    <w:p w:rsidR="00B31E52" w:rsidRPr="00C4634F" w:rsidRDefault="00B31E52" w:rsidP="00C4634F">
      <w:pPr>
        <w:pStyle w:val="FootnoteText"/>
      </w:pPr>
      <w:r>
        <w:rPr>
          <w:rStyle w:val="FootnoteReference"/>
        </w:rPr>
        <w:footnoteRef/>
      </w:r>
      <w:r>
        <w:t xml:space="preserve"> </w:t>
      </w:r>
      <w:r>
        <w:tab/>
        <w:t xml:space="preserve">M. Lally, </w:t>
      </w:r>
      <w:r w:rsidRPr="00E750F8">
        <w:rPr>
          <w:rStyle w:val="AERtextitalic"/>
        </w:rPr>
        <w:t>Issues in the estimation of gamma</w:t>
      </w:r>
      <w:r>
        <w:t>, April 2017</w:t>
      </w:r>
      <w:r w:rsidRPr="00AF1BD9">
        <w:rPr>
          <w:rStyle w:val="AERtextitalic"/>
          <w:i w:val="0"/>
        </w:rPr>
        <w:t>, p. 29.</w:t>
      </w:r>
    </w:p>
  </w:footnote>
  <w:footnote w:id="115">
    <w:p w:rsidR="00B31E52" w:rsidRDefault="00B31E52" w:rsidP="00C52695">
      <w:pPr>
        <w:pStyle w:val="FootnoteText"/>
      </w:pPr>
      <w:r>
        <w:rPr>
          <w:rStyle w:val="FootnoteReference"/>
        </w:rPr>
        <w:footnoteRef/>
      </w:r>
      <w:r>
        <w:t xml:space="preserve"> </w:t>
      </w:r>
      <w:r>
        <w:tab/>
        <w:t xml:space="preserve">For example, </w:t>
      </w:r>
      <w:r w:rsidRPr="00883125">
        <w:t>Handley and Lally advised that other classes of evidence are more valuable.</w:t>
      </w:r>
      <w:r w:rsidRPr="00E405F1">
        <w:t xml:space="preserve"> </w:t>
      </w:r>
      <w:r>
        <w:t xml:space="preserve">Handley considers that the equity ownership approach and tax statistics are more important to estimating the utilisation rate than implied market value studies: </w:t>
      </w:r>
      <w:r w:rsidRPr="00582678">
        <w:t xml:space="preserve">J. Handley, </w:t>
      </w:r>
      <w:r w:rsidRPr="00582678">
        <w:rPr>
          <w:rStyle w:val="AERtextitalic"/>
        </w:rPr>
        <w:t>Report prepared for the Australian Energy Regulator: Advice on the value of imputation credits</w:t>
      </w:r>
      <w:r w:rsidRPr="00582678">
        <w:t>, 29 September 2014</w:t>
      </w:r>
      <w:r>
        <w:t>, p. 31</w:t>
      </w:r>
      <w:r w:rsidRPr="00582678">
        <w:t>.</w:t>
      </w:r>
      <w:r>
        <w:t xml:space="preserve"> Lally prefers an estimate of the utilisation rate from the equity ownership approach to one from implied market value studies: </w:t>
      </w:r>
      <w:r w:rsidRPr="00582678">
        <w:t xml:space="preserve">M. Lally, </w:t>
      </w:r>
      <w:r w:rsidRPr="00582678">
        <w:rPr>
          <w:rStyle w:val="AERtextitalic"/>
        </w:rPr>
        <w:t>The estimation of gamma</w:t>
      </w:r>
      <w:r w:rsidRPr="00582678">
        <w:t>, 23 November 2013</w:t>
      </w:r>
      <w:r>
        <w:t>, p. 4</w:t>
      </w:r>
      <w:r w:rsidRPr="00582678">
        <w:t>.</w:t>
      </w:r>
      <w:r>
        <w:t xml:space="preserve"> We discuss the different approaches to estimating the utilisation rate in more detail in section </w:t>
      </w:r>
      <w:r>
        <w:fldChar w:fldCharType="begin"/>
      </w:r>
      <w:r>
        <w:instrText xml:space="preserve"> REF _Ref450761230 \r \h </w:instrText>
      </w:r>
      <w:r>
        <w:fldChar w:fldCharType="separate"/>
      </w:r>
      <w:r w:rsidR="007E3457">
        <w:t>4.4.1</w:t>
      </w:r>
      <w:r>
        <w:fldChar w:fldCharType="end"/>
      </w:r>
      <w:r>
        <w:t xml:space="preserve">. Also, </w:t>
      </w:r>
      <w:r w:rsidRPr="00883125">
        <w:t xml:space="preserve">McKenzie and Partington's report for the Queensland Resources Council </w:t>
      </w:r>
      <w:r>
        <w:t xml:space="preserve">also </w:t>
      </w:r>
      <w:r w:rsidRPr="00883125">
        <w:t>suggested that it is reasonable to have regard to other classes of evidence</w:t>
      </w:r>
      <w:r>
        <w:t xml:space="preserve">. McKenzie and Partington describe the approach to estimating the utilisation rate in our draft rate of return Guideline, which relied on evidence other than implied market value studies, as making a 'reasonable case' for the estimate adopted in that document; M. McKenzie and G. Partington, </w:t>
      </w:r>
      <w:r w:rsidRPr="00523EF7">
        <w:rPr>
          <w:rStyle w:val="AERtextitalic"/>
        </w:rPr>
        <w:t>Report to the Queensland Resources Council: Review of Aurizon Network’s draft access undertaking</w:t>
      </w:r>
      <w:r>
        <w:t>, 5 October 2013, p. 32.</w:t>
      </w:r>
    </w:p>
  </w:footnote>
  <w:footnote w:id="116">
    <w:p w:rsidR="00B31E52" w:rsidRDefault="00B31E52" w:rsidP="00C52695">
      <w:pPr>
        <w:pStyle w:val="FootnoteText"/>
      </w:pPr>
      <w:r>
        <w:rPr>
          <w:rStyle w:val="FootnoteReference"/>
        </w:rPr>
        <w:footnoteRef/>
      </w:r>
      <w:r>
        <w:t xml:space="preserve"> </w:t>
      </w:r>
      <w:r>
        <w:tab/>
        <w:t xml:space="preserve">SA Centre for Economic Studies suggested this in a </w:t>
      </w:r>
      <w:r w:rsidRPr="00883125">
        <w:t>report for the South Australian Council of Social Service</w:t>
      </w:r>
      <w:r>
        <w:t>.</w:t>
      </w:r>
      <w:r w:rsidRPr="00883125">
        <w:t xml:space="preserve"> </w:t>
      </w:r>
      <w:r>
        <w:t xml:space="preserve">See SA Centre for Economic Studies (2015), </w:t>
      </w:r>
      <w:r>
        <w:rPr>
          <w:rStyle w:val="AERtextitalic"/>
        </w:rPr>
        <w:t>Independent e</w:t>
      </w:r>
      <w:r w:rsidRPr="00253C46">
        <w:rPr>
          <w:rStyle w:val="AERtextitalic"/>
        </w:rPr>
        <w:t>stimate of the WACC for SA Power Networks 2015 to 2020</w:t>
      </w:r>
      <w:r>
        <w:rPr>
          <w:rStyle w:val="AERtextitalic"/>
        </w:rPr>
        <w:t xml:space="preserve">: </w:t>
      </w:r>
      <w:r w:rsidRPr="00EB47DF">
        <w:rPr>
          <w:rStyle w:val="AERtextitalic"/>
        </w:rPr>
        <w:t>Report commissioned by the</w:t>
      </w:r>
      <w:r>
        <w:rPr>
          <w:rStyle w:val="AERtextitalic"/>
        </w:rPr>
        <w:t xml:space="preserve"> SA</w:t>
      </w:r>
      <w:r w:rsidRPr="00EB47DF">
        <w:rPr>
          <w:rStyle w:val="AERtextitalic"/>
        </w:rPr>
        <w:t xml:space="preserve"> Council of Social Services</w:t>
      </w:r>
      <w:r>
        <w:t>, January 2015, p. 17.</w:t>
      </w:r>
    </w:p>
  </w:footnote>
  <w:footnote w:id="117">
    <w:p w:rsidR="00B31E52" w:rsidRDefault="00B31E52" w:rsidP="00C52695">
      <w:pPr>
        <w:pStyle w:val="FootnoteText"/>
      </w:pPr>
      <w:r>
        <w:rPr>
          <w:rStyle w:val="FootnoteReference"/>
        </w:rPr>
        <w:footnoteRef/>
      </w:r>
      <w:r>
        <w:t xml:space="preserve"> </w:t>
      </w:r>
      <w:r>
        <w:tab/>
      </w:r>
      <w:r w:rsidRPr="00CE62A1">
        <w:t xml:space="preserve">R. Officer, 'The cost of capital of a company under an imputation system', </w:t>
      </w:r>
      <w:r w:rsidRPr="00CE62A1">
        <w:rPr>
          <w:rStyle w:val="AERtextitalic"/>
        </w:rPr>
        <w:t>Accounting and finance</w:t>
      </w:r>
      <w:r w:rsidRPr="00CE62A1">
        <w:t>, vol. 34(1), May 1994, pg</w:t>
      </w:r>
      <w:r w:rsidRPr="005764F6">
        <w:t>. </w:t>
      </w:r>
      <w:r w:rsidRPr="00CE62A1">
        <w:t>8.</w:t>
      </w:r>
    </w:p>
  </w:footnote>
  <w:footnote w:id="118">
    <w:p w:rsidR="00B31E52" w:rsidRDefault="00B31E52" w:rsidP="00C52695">
      <w:pPr>
        <w:pStyle w:val="FootnoteText"/>
      </w:pPr>
      <w:r>
        <w:rPr>
          <w:rStyle w:val="FootnoteReference"/>
        </w:rPr>
        <w:footnoteRef/>
      </w:r>
      <w:r>
        <w:t xml:space="preserve"> </w:t>
      </w:r>
      <w:r>
        <w:tab/>
        <w:t xml:space="preserve">We note that there may be a very small diminution in value from face value due to the time value of money. However, we consider this immaterial for the reasons discussed in section </w:t>
      </w:r>
      <w:r>
        <w:fldChar w:fldCharType="begin"/>
      </w:r>
      <w:r>
        <w:instrText xml:space="preserve"> REF _Ref414099389 \r \h </w:instrText>
      </w:r>
      <w:r>
        <w:fldChar w:fldCharType="separate"/>
      </w:r>
      <w:r w:rsidR="007E3457">
        <w:t>A.8.3</w:t>
      </w:r>
      <w:r>
        <w:fldChar w:fldCharType="end"/>
      </w:r>
      <w:r>
        <w:t>.</w:t>
      </w:r>
    </w:p>
  </w:footnote>
  <w:footnote w:id="119">
    <w:p w:rsidR="00B31E52" w:rsidRDefault="00B31E52" w:rsidP="00C52695">
      <w:pPr>
        <w:pStyle w:val="FootnoteText"/>
      </w:pPr>
      <w:r>
        <w:rPr>
          <w:rStyle w:val="FootnoteReference"/>
        </w:rPr>
        <w:footnoteRef/>
      </w:r>
      <w:r>
        <w:t xml:space="preserve"> </w:t>
      </w:r>
      <w:r>
        <w:tab/>
        <w:t>In the Guideline we referred to the distribution rate as the 'payout ratio'. We have in this decision adopted 'distribution rate' as we consider this to be the more commonly used terminology. In the Guideline and this decision we attach the same meaning to these two different ways of describing the parameter. Note also that the distribution rate is referred to as the 'access fraction' in the Monkhouse framework.</w:t>
      </w:r>
    </w:p>
  </w:footnote>
  <w:footnote w:id="120">
    <w:p w:rsidR="00B31E52" w:rsidRDefault="00B31E52" w:rsidP="00C52695">
      <w:pPr>
        <w:pStyle w:val="FootnoteText"/>
      </w:pPr>
      <w:r>
        <w:rPr>
          <w:rStyle w:val="FootnoteReference"/>
        </w:rPr>
        <w:footnoteRef/>
      </w:r>
      <w:r>
        <w:t xml:space="preserve"> </w:t>
      </w:r>
      <w:r>
        <w:tab/>
      </w:r>
      <w:r w:rsidRPr="00712BC2">
        <w:t xml:space="preserve">M. Lally, </w:t>
      </w:r>
      <w:r>
        <w:rPr>
          <w:rStyle w:val="AERtextitalic"/>
        </w:rPr>
        <w:t>Gamma and the ACT Decision</w:t>
      </w:r>
      <w:r>
        <w:t>, May 2016, p. 6.</w:t>
      </w:r>
    </w:p>
  </w:footnote>
  <w:footnote w:id="121">
    <w:p w:rsidR="00B31E52" w:rsidRDefault="00B31E52" w:rsidP="00C52695">
      <w:pPr>
        <w:pStyle w:val="FootnoteText"/>
      </w:pPr>
      <w:r>
        <w:rPr>
          <w:rStyle w:val="FootnoteReference"/>
        </w:rPr>
        <w:footnoteRef/>
      </w:r>
      <w:r>
        <w:t xml:space="preserve"> </w:t>
      </w:r>
      <w:r>
        <w:tab/>
        <w:t xml:space="preserve">We discuss the cumulative payout approach and alternative approaches to estimating the distribution rate in </w:t>
      </w:r>
      <w:r w:rsidRPr="007F4E38">
        <w:t>section</w:t>
      </w:r>
      <w:r>
        <w:t xml:space="preserve"> </w:t>
      </w:r>
      <w:r>
        <w:fldChar w:fldCharType="begin"/>
      </w:r>
      <w:r>
        <w:instrText xml:space="preserve"> REF _Ref401133206 \r \h </w:instrText>
      </w:r>
      <w:r>
        <w:fldChar w:fldCharType="separate"/>
      </w:r>
      <w:r w:rsidR="007E3457">
        <w:t>A.10</w:t>
      </w:r>
      <w:r>
        <w:fldChar w:fldCharType="end"/>
      </w:r>
      <w:r w:rsidRPr="007F4E38">
        <w:t xml:space="preserve"> of </w:t>
      </w:r>
      <w:r>
        <w:t>appendix A.</w:t>
      </w:r>
    </w:p>
  </w:footnote>
  <w:footnote w:id="122">
    <w:p w:rsidR="00B31E52" w:rsidRDefault="00B31E52" w:rsidP="00C52695">
      <w:pPr>
        <w:pStyle w:val="FootnoteText"/>
      </w:pPr>
      <w:r>
        <w:rPr>
          <w:rStyle w:val="FootnoteReference"/>
        </w:rPr>
        <w:footnoteRef/>
      </w:r>
      <w:r>
        <w:t xml:space="preserve"> </w:t>
      </w:r>
      <w:r>
        <w:tab/>
        <w:t xml:space="preserve">SFG, </w:t>
      </w:r>
      <w:r w:rsidRPr="00C014CC">
        <w:rPr>
          <w:rStyle w:val="AERtextitalic"/>
        </w:rPr>
        <w:t>An appropriate regulatory estimate of gamma</w:t>
      </w:r>
      <w:r>
        <w:t xml:space="preserve">, 21 May 2014, paras. 84–92; </w:t>
      </w:r>
      <w:r w:rsidRPr="00874F27">
        <w:t xml:space="preserve">J. Handley, </w:t>
      </w:r>
      <w:r w:rsidRPr="00874F27">
        <w:rPr>
          <w:rStyle w:val="AERtextitalic"/>
        </w:rPr>
        <w:t>Report prepared for the Australian Energy Regulator: Advice on the value of imputation credits</w:t>
      </w:r>
      <w:r w:rsidRPr="00874F27">
        <w:t>, 29 September 2014</w:t>
      </w:r>
      <w:r>
        <w:t xml:space="preserve">, p. 25–30; M. McKenzie and G. Partington, </w:t>
      </w:r>
      <w:r w:rsidRPr="00523EF7">
        <w:rPr>
          <w:rStyle w:val="AERtextitalic"/>
        </w:rPr>
        <w:t>Report to the Queensland Resources Council: Review of Aurizon Network’s draft access undertaking</w:t>
      </w:r>
      <w:r>
        <w:t>, 5 October 2013, p. 31.</w:t>
      </w:r>
    </w:p>
  </w:footnote>
  <w:footnote w:id="123">
    <w:p w:rsidR="00B31E52" w:rsidRDefault="00B31E52" w:rsidP="00C52695">
      <w:pPr>
        <w:pStyle w:val="FootnoteText"/>
      </w:pPr>
      <w:r>
        <w:rPr>
          <w:rStyle w:val="FootnoteReference"/>
        </w:rPr>
        <w:footnoteRef/>
      </w:r>
      <w:r>
        <w:t xml:space="preserve"> </w:t>
      </w:r>
      <w:r>
        <w:tab/>
      </w:r>
      <w:r w:rsidRPr="00DF6BAC">
        <w:t xml:space="preserve">NERA, </w:t>
      </w:r>
      <w:r w:rsidRPr="00DF6BAC">
        <w:rPr>
          <w:rStyle w:val="AERtextitalic"/>
        </w:rPr>
        <w:t>The payout ratio: A report for the Energy Networks Association</w:t>
      </w:r>
      <w:r w:rsidRPr="00DF6BAC">
        <w:t>, June 2013.</w:t>
      </w:r>
    </w:p>
  </w:footnote>
  <w:footnote w:id="124">
    <w:p w:rsidR="00B31E52" w:rsidRDefault="00B31E52" w:rsidP="00C52695">
      <w:pPr>
        <w:pStyle w:val="FootnoteText"/>
      </w:pPr>
      <w:r>
        <w:rPr>
          <w:rStyle w:val="FootnoteReference"/>
        </w:rPr>
        <w:footnoteRef/>
      </w:r>
      <w:r>
        <w:t xml:space="preserve"> </w:t>
      </w:r>
      <w:r>
        <w:tab/>
      </w:r>
      <w:r w:rsidRPr="00DF6BAC">
        <w:t xml:space="preserve">N. Hathaway, </w:t>
      </w:r>
      <w:r w:rsidRPr="00DF6BAC">
        <w:rPr>
          <w:rStyle w:val="AERtextitalic"/>
        </w:rPr>
        <w:t>Imputation credit redemption ATO data 1988–2011: Where have all the credits gone?</w:t>
      </w:r>
      <w:r w:rsidRPr="00DF6BAC">
        <w:t>, September 2013.</w:t>
      </w:r>
    </w:p>
  </w:footnote>
  <w:footnote w:id="125">
    <w:p w:rsidR="00B31E52" w:rsidRDefault="00B31E52" w:rsidP="00C52695">
      <w:pPr>
        <w:pStyle w:val="FootnoteText"/>
      </w:pPr>
      <w:r>
        <w:rPr>
          <w:rStyle w:val="FootnoteReference"/>
        </w:rPr>
        <w:footnoteRef/>
      </w:r>
      <w:r>
        <w:t xml:space="preserve"> </w:t>
      </w:r>
      <w:r>
        <w:tab/>
        <w:t xml:space="preserve">We discuss this updated analysis in section </w:t>
      </w:r>
      <w:r>
        <w:fldChar w:fldCharType="begin"/>
      </w:r>
      <w:r>
        <w:instrText xml:space="preserve"> REF _Ref401133206 \r \h </w:instrText>
      </w:r>
      <w:r>
        <w:fldChar w:fldCharType="separate"/>
      </w:r>
      <w:r w:rsidR="007E3457">
        <w:t>A.10</w:t>
      </w:r>
      <w:r>
        <w:fldChar w:fldCharType="end"/>
      </w:r>
      <w:r>
        <w:t xml:space="preserve"> of appendix A. NERA, </w:t>
      </w:r>
      <w:r w:rsidRPr="001763FD">
        <w:rPr>
          <w:rStyle w:val="AERtextitalic"/>
        </w:rPr>
        <w:t>Estimating distribution and redemption rates from taxation statistics</w:t>
      </w:r>
      <w:r>
        <w:t xml:space="preserve">, March 2015. J. Handley, </w:t>
      </w:r>
      <w:r w:rsidRPr="005B7CF2">
        <w:rPr>
          <w:rStyle w:val="AERtextitalic"/>
        </w:rPr>
        <w:t>Report prepared for the Australian Energy Regulator: Advice on the NERA report 'Estimating distribution and redemption rates from taxation statistics'</w:t>
      </w:r>
      <w:r>
        <w:t>, 20 May 2015.</w:t>
      </w:r>
    </w:p>
  </w:footnote>
  <w:footnote w:id="126">
    <w:p w:rsidR="00B31E52" w:rsidRDefault="00B31E52" w:rsidP="00C52695">
      <w:pPr>
        <w:pStyle w:val="FootnoteText"/>
      </w:pPr>
      <w:r>
        <w:rPr>
          <w:rStyle w:val="FootnoteReference"/>
        </w:rPr>
        <w:footnoteRef/>
      </w:r>
      <w:r>
        <w:t xml:space="preserve"> </w:t>
      </w:r>
      <w:r>
        <w:tab/>
        <w:t xml:space="preserve">Frontier Economics, </w:t>
      </w:r>
      <w:r w:rsidRPr="005764F6">
        <w:rPr>
          <w:rStyle w:val="AERtextitalic"/>
        </w:rPr>
        <w:t>The appropriate use of tax statistics when estimating gamma</w:t>
      </w:r>
      <w:r>
        <w:t>, January 2016, pp. 7, 18-19.</w:t>
      </w:r>
    </w:p>
  </w:footnote>
  <w:footnote w:id="127">
    <w:p w:rsidR="00B31E52" w:rsidRDefault="00B31E52" w:rsidP="00C52695">
      <w:pPr>
        <w:pStyle w:val="FootnoteText"/>
      </w:pPr>
      <w:r>
        <w:rPr>
          <w:rStyle w:val="FootnoteReference"/>
        </w:rPr>
        <w:footnoteRef/>
      </w:r>
      <w:r>
        <w:t xml:space="preserve"> </w:t>
      </w:r>
      <w:r>
        <w:tab/>
        <w:t xml:space="preserve">Frontier Economics, </w:t>
      </w:r>
      <w:r w:rsidRPr="005764F6">
        <w:rPr>
          <w:rStyle w:val="AERtextitalic"/>
        </w:rPr>
        <w:t>The appropriate use of tax statistics when estimating gamma</w:t>
      </w:r>
      <w:r>
        <w:t>, January 2016, p. 7.</w:t>
      </w:r>
    </w:p>
  </w:footnote>
  <w:footnote w:id="128">
    <w:p w:rsidR="00B31E52" w:rsidRDefault="00B31E52" w:rsidP="00C52695">
      <w:pPr>
        <w:pStyle w:val="FootnoteText"/>
      </w:pPr>
      <w:r>
        <w:rPr>
          <w:rStyle w:val="FootnoteReference"/>
        </w:rPr>
        <w:footnoteRef/>
      </w:r>
      <w:r>
        <w:t xml:space="preserve"> </w:t>
      </w:r>
      <w:r>
        <w:tab/>
      </w:r>
      <w:r w:rsidRPr="00874F27">
        <w:t xml:space="preserve">J. Handley, </w:t>
      </w:r>
      <w:r w:rsidRPr="00874F27">
        <w:rPr>
          <w:rStyle w:val="AERtextitalic"/>
        </w:rPr>
        <w:t>Report prepared for the Australian Energy Regulator: Advice on the value of imputation credits</w:t>
      </w:r>
      <w:r w:rsidRPr="00874F27">
        <w:t>, 29 September 2014</w:t>
      </w:r>
      <w:r>
        <w:t>, pp. 28–29</w:t>
      </w:r>
      <w:r w:rsidRPr="00874F27">
        <w:t>.</w:t>
      </w:r>
    </w:p>
  </w:footnote>
  <w:footnote w:id="129">
    <w:p w:rsidR="00B31E52" w:rsidRDefault="00B31E52" w:rsidP="00C52695">
      <w:pPr>
        <w:pStyle w:val="FootnoteText"/>
      </w:pPr>
      <w:r>
        <w:rPr>
          <w:rStyle w:val="FootnoteReference"/>
        </w:rPr>
        <w:footnoteRef/>
      </w:r>
      <w:r>
        <w:t xml:space="preserve"> </w:t>
      </w:r>
      <w:r>
        <w:tab/>
        <w:t xml:space="preserve">See section </w:t>
      </w:r>
      <w:r>
        <w:fldChar w:fldCharType="begin"/>
      </w:r>
      <w:r>
        <w:instrText xml:space="preserve"> REF _Ref401133206 \r \h </w:instrText>
      </w:r>
      <w:r>
        <w:fldChar w:fldCharType="separate"/>
      </w:r>
      <w:r w:rsidR="007E3457">
        <w:t>A.10</w:t>
      </w:r>
      <w:r>
        <w:fldChar w:fldCharType="end"/>
      </w:r>
      <w:r>
        <w:t xml:space="preserve"> for more detail.</w:t>
      </w:r>
    </w:p>
  </w:footnote>
  <w:footnote w:id="130">
    <w:p w:rsidR="00B31E52" w:rsidRDefault="00B31E52" w:rsidP="00C52695">
      <w:pPr>
        <w:pStyle w:val="FootnoteText"/>
      </w:pPr>
      <w:r>
        <w:rPr>
          <w:rStyle w:val="FootnoteReference"/>
        </w:rPr>
        <w:footnoteRef/>
      </w:r>
      <w:r>
        <w:t xml:space="preserve"> </w:t>
      </w:r>
      <w:r>
        <w:tab/>
        <w:t xml:space="preserve">We discuss this updated analysis in section </w:t>
      </w:r>
      <w:r>
        <w:fldChar w:fldCharType="begin"/>
      </w:r>
      <w:r>
        <w:instrText xml:space="preserve"> REF _Ref401133206 \r \h </w:instrText>
      </w:r>
      <w:r>
        <w:fldChar w:fldCharType="separate"/>
      </w:r>
      <w:r w:rsidR="007E3457">
        <w:t>A.10</w:t>
      </w:r>
      <w:r>
        <w:fldChar w:fldCharType="end"/>
      </w:r>
      <w:r>
        <w:t xml:space="preserve"> of appendix A. </w:t>
      </w:r>
    </w:p>
  </w:footnote>
  <w:footnote w:id="131">
    <w:p w:rsidR="00B31E52" w:rsidRDefault="00B31E52" w:rsidP="00C52695">
      <w:pPr>
        <w:pStyle w:val="FootnoteText"/>
      </w:pPr>
      <w:r>
        <w:rPr>
          <w:rStyle w:val="FootnoteReference"/>
        </w:rPr>
        <w:footnoteRef/>
      </w:r>
      <w:r>
        <w:t xml:space="preserve"> </w:t>
      </w:r>
      <w:r>
        <w:tab/>
        <w:t xml:space="preserve">See </w:t>
      </w:r>
      <w:r w:rsidRPr="00712BC2">
        <w:t xml:space="preserve">M. Lally, </w:t>
      </w:r>
      <w:r>
        <w:rPr>
          <w:rStyle w:val="AERtextitalic"/>
        </w:rPr>
        <w:t>Gamma and the ACT Decision</w:t>
      </w:r>
      <w:r>
        <w:t>, May 2016, pp. 24–25.</w:t>
      </w:r>
    </w:p>
  </w:footnote>
  <w:footnote w:id="132">
    <w:p w:rsidR="00B31E52" w:rsidRDefault="00B31E52" w:rsidP="00C52695">
      <w:pPr>
        <w:pStyle w:val="FootnoteText"/>
      </w:pPr>
      <w:r>
        <w:rPr>
          <w:rStyle w:val="FootnoteReference"/>
        </w:rPr>
        <w:footnoteRef/>
      </w:r>
      <w:r>
        <w:t xml:space="preserve"> </w:t>
      </w:r>
      <w:r>
        <w:tab/>
      </w:r>
      <w:r w:rsidRPr="00712BC2">
        <w:t xml:space="preserve">M. Lally, </w:t>
      </w:r>
      <w:r>
        <w:rPr>
          <w:rStyle w:val="AERtextitalic"/>
        </w:rPr>
        <w:t>Gamma and the ACT Decision</w:t>
      </w:r>
      <w:r>
        <w:t>, May 2016, pp. 26, 28–29.</w:t>
      </w:r>
    </w:p>
  </w:footnote>
  <w:footnote w:id="133">
    <w:p w:rsidR="00B31E52" w:rsidRPr="00EA3C68" w:rsidRDefault="00B31E52" w:rsidP="00CF4EC3">
      <w:pPr>
        <w:pStyle w:val="FootnoteText"/>
      </w:pPr>
      <w:r>
        <w:rPr>
          <w:rStyle w:val="FootnoteReference"/>
        </w:rPr>
        <w:footnoteRef/>
      </w:r>
      <w:r>
        <w:t xml:space="preserve"> </w:t>
      </w:r>
      <w:r>
        <w:tab/>
        <w:t xml:space="preserve">M. Lally, </w:t>
      </w:r>
      <w:r w:rsidRPr="00E750F8">
        <w:rPr>
          <w:rStyle w:val="AERtextitalic"/>
        </w:rPr>
        <w:t>Issues in the estimation of gamma</w:t>
      </w:r>
      <w:r>
        <w:t>, April 2017</w:t>
      </w:r>
      <w:r w:rsidRPr="00F403D5">
        <w:rPr>
          <w:rStyle w:val="AERtextitalic"/>
          <w:i w:val="0"/>
        </w:rPr>
        <w:t>, p. 13.</w:t>
      </w:r>
    </w:p>
  </w:footnote>
  <w:footnote w:id="134">
    <w:p w:rsidR="00B31E52" w:rsidRDefault="00B31E52" w:rsidP="00C52695">
      <w:pPr>
        <w:pStyle w:val="FootnoteText"/>
      </w:pPr>
      <w:r>
        <w:rPr>
          <w:rStyle w:val="FootnoteReference"/>
        </w:rPr>
        <w:footnoteRef/>
      </w:r>
      <w:r>
        <w:t xml:space="preserve"> </w:t>
      </w:r>
      <w:r>
        <w:tab/>
      </w:r>
      <w:r w:rsidRPr="005764F6">
        <w:rPr>
          <w:rStyle w:val="FootnoteReference"/>
          <w:vertAlign w:val="baseline"/>
        </w:rPr>
        <w:t xml:space="preserve">Lally's view on this issue appears consistent with the views of Gray. See Frontier Economics, </w:t>
      </w:r>
      <w:r w:rsidRPr="00CE62A1">
        <w:rPr>
          <w:rStyle w:val="AERtextitalic"/>
        </w:rPr>
        <w:t>An appropriate regulatory estimate of gamma</w:t>
      </w:r>
      <w:r w:rsidRPr="005764F6">
        <w:rPr>
          <w:rStyle w:val="FootnoteReference"/>
          <w:vertAlign w:val="baseline"/>
        </w:rPr>
        <w:t>, June 2015, pp. 12–13.</w:t>
      </w:r>
    </w:p>
  </w:footnote>
  <w:footnote w:id="135">
    <w:p w:rsidR="00B31E52" w:rsidRDefault="00B31E52" w:rsidP="00C52695">
      <w:pPr>
        <w:pStyle w:val="FootnoteText"/>
      </w:pPr>
      <w:r>
        <w:rPr>
          <w:rStyle w:val="FootnoteReference"/>
        </w:rPr>
        <w:footnoteRef/>
      </w:r>
      <w:r>
        <w:t xml:space="preserve"> </w:t>
      </w:r>
      <w:r>
        <w:tab/>
      </w:r>
      <w:r w:rsidRPr="00712BC2">
        <w:t xml:space="preserve">M. Lally, </w:t>
      </w:r>
      <w:r>
        <w:rPr>
          <w:rStyle w:val="AERtextitalic"/>
        </w:rPr>
        <w:t>Gamma and the ACT Decision</w:t>
      </w:r>
      <w:r>
        <w:t>, May 2016, pp. 5–6, 24–26, 29.</w:t>
      </w:r>
      <w:r w:rsidRPr="00FF2881">
        <w:rPr>
          <w:rStyle w:val="FootnoteReference"/>
        </w:rPr>
        <w:t xml:space="preserve">. </w:t>
      </w:r>
    </w:p>
  </w:footnote>
  <w:footnote w:id="136">
    <w:p w:rsidR="00B31E52" w:rsidRPr="00EA3C68" w:rsidRDefault="00B31E52" w:rsidP="00AC26C8">
      <w:pPr>
        <w:pStyle w:val="FootnoteText"/>
      </w:pPr>
      <w:r>
        <w:rPr>
          <w:rStyle w:val="FootnoteReference"/>
        </w:rPr>
        <w:footnoteRef/>
      </w:r>
      <w:r>
        <w:t xml:space="preserve"> </w:t>
      </w:r>
      <w:r>
        <w:tab/>
        <w:t xml:space="preserve">M. Lally, </w:t>
      </w:r>
      <w:r w:rsidRPr="00E750F8">
        <w:rPr>
          <w:rStyle w:val="AERtextitalic"/>
        </w:rPr>
        <w:t>Issues in the estimation of gamma</w:t>
      </w:r>
      <w:r>
        <w:t xml:space="preserve">, </w:t>
      </w:r>
      <w:r w:rsidRPr="00AC26C8">
        <w:t>A</w:t>
      </w:r>
      <w:r w:rsidRPr="00A42583">
        <w:t>pril</w:t>
      </w:r>
      <w:r w:rsidRPr="00D81354">
        <w:t xml:space="preserve"> 2017</w:t>
      </w:r>
      <w:r w:rsidRPr="00D81354">
        <w:rPr>
          <w:rStyle w:val="AERtextitalic"/>
          <w:i w:val="0"/>
        </w:rPr>
        <w:t>, p. </w:t>
      </w:r>
      <w:r w:rsidRPr="004423C9">
        <w:rPr>
          <w:rStyle w:val="AERtextitalic"/>
          <w:i w:val="0"/>
        </w:rPr>
        <w:t>27</w:t>
      </w:r>
      <w:r w:rsidRPr="00AC26C8">
        <w:rPr>
          <w:rStyle w:val="AERtextitalic"/>
          <w:i w:val="0"/>
        </w:rPr>
        <w:t>.</w:t>
      </w:r>
    </w:p>
  </w:footnote>
  <w:footnote w:id="137">
    <w:p w:rsidR="00B31E52" w:rsidRDefault="00B31E52" w:rsidP="00C52695">
      <w:pPr>
        <w:pStyle w:val="FootnoteText"/>
      </w:pPr>
      <w:r>
        <w:rPr>
          <w:rStyle w:val="FootnoteReference"/>
        </w:rPr>
        <w:footnoteRef/>
      </w:r>
      <w:r>
        <w:t xml:space="preserve"> </w:t>
      </w:r>
      <w:r>
        <w:tab/>
      </w:r>
      <w:r w:rsidRPr="00883125">
        <w:t xml:space="preserve">In this decision we use the terms </w:t>
      </w:r>
      <w:r>
        <w:t xml:space="preserve">theta, </w:t>
      </w:r>
      <w:r w:rsidRPr="00883125">
        <w:t>utilisation value and utilisation rate interchangeably to mean the same thing.</w:t>
      </w:r>
    </w:p>
  </w:footnote>
  <w:footnote w:id="138">
    <w:p w:rsidR="00B31E52" w:rsidRDefault="00B31E52" w:rsidP="00C52695">
      <w:pPr>
        <w:pStyle w:val="FootnoteText"/>
      </w:pPr>
      <w:r>
        <w:rPr>
          <w:rStyle w:val="FootnoteReference"/>
        </w:rPr>
        <w:footnoteRef/>
      </w:r>
      <w:r>
        <w:t xml:space="preserve"> </w:t>
      </w:r>
      <w:r>
        <w:tab/>
        <w:t xml:space="preserve">This is the return to eligible investors before administrative costs, personal taxes and diversification costs. Handley advises that this is the desired basis for the utilisation rate. We discuss this further in section </w:t>
      </w:r>
      <w:r>
        <w:fldChar w:fldCharType="begin"/>
      </w:r>
      <w:r>
        <w:instrText xml:space="preserve"> REF _Ref401748758 \r \h </w:instrText>
      </w:r>
      <w:r>
        <w:fldChar w:fldCharType="separate"/>
      </w:r>
      <w:r w:rsidR="007E3457">
        <w:t>A.8.1</w:t>
      </w:r>
      <w:r>
        <w:fldChar w:fldCharType="end"/>
      </w:r>
      <w:r>
        <w:t xml:space="preserve"> of appendix A.</w:t>
      </w:r>
    </w:p>
  </w:footnote>
  <w:footnote w:id="139">
    <w:p w:rsidR="00B31E52" w:rsidRDefault="00B31E52" w:rsidP="00226CBF">
      <w:pPr>
        <w:pStyle w:val="FootnoteText"/>
      </w:pPr>
      <w:r>
        <w:rPr>
          <w:rStyle w:val="FootnoteReference"/>
        </w:rPr>
        <w:footnoteRef/>
      </w:r>
      <w:r>
        <w:t xml:space="preserve"> </w:t>
      </w:r>
      <w:r>
        <w:tab/>
        <w:t xml:space="preserve">M. Lally, </w:t>
      </w:r>
      <w:r w:rsidRPr="004744FB">
        <w:rPr>
          <w:rStyle w:val="AERtextitalic"/>
        </w:rPr>
        <w:t>Issues in the estimation of gamma</w:t>
      </w:r>
      <w:r>
        <w:t>, April 2017</w:t>
      </w:r>
      <w:r w:rsidRPr="00CA6B82">
        <w:rPr>
          <w:rStyle w:val="AERtextitalic"/>
        </w:rPr>
        <w:t xml:space="preserve">, </w:t>
      </w:r>
      <w:r w:rsidRPr="00F5204A">
        <w:rPr>
          <w:rStyle w:val="AERtextitalic"/>
          <w:i w:val="0"/>
        </w:rPr>
        <w:t>p</w:t>
      </w:r>
      <w:r w:rsidRPr="00434A21">
        <w:rPr>
          <w:rStyle w:val="AERtextitalic"/>
          <w:i w:val="0"/>
        </w:rPr>
        <w:t>p. </w:t>
      </w:r>
      <w:r w:rsidRPr="00BF534C">
        <w:rPr>
          <w:rStyle w:val="AERtextitalic"/>
          <w:i w:val="0"/>
        </w:rPr>
        <w:t>21-22.</w:t>
      </w:r>
    </w:p>
  </w:footnote>
  <w:footnote w:id="140">
    <w:p w:rsidR="00B31E52" w:rsidRDefault="00B31E52" w:rsidP="00C52695">
      <w:pPr>
        <w:pStyle w:val="FootnoteText"/>
      </w:pPr>
      <w:r>
        <w:rPr>
          <w:rStyle w:val="FootnoteReference"/>
        </w:rPr>
        <w:footnoteRef/>
      </w:r>
      <w:r>
        <w:t xml:space="preserve"> </w:t>
      </w:r>
      <w:r>
        <w:tab/>
      </w:r>
      <w:r w:rsidRPr="00800E44">
        <w:t xml:space="preserve">R. Officer, 'The cost of capital of a company under an imputation system', </w:t>
      </w:r>
      <w:r>
        <w:rPr>
          <w:rStyle w:val="AERtextitalic"/>
        </w:rPr>
        <w:t>Accounting and f</w:t>
      </w:r>
      <w:r w:rsidRPr="00800E44">
        <w:rPr>
          <w:rStyle w:val="AERtextitalic"/>
        </w:rPr>
        <w:t>inance</w:t>
      </w:r>
      <w:r w:rsidRPr="00800E44">
        <w:t>, vol. 34(1), May 1994</w:t>
      </w:r>
      <w:r>
        <w:t>.</w:t>
      </w:r>
    </w:p>
  </w:footnote>
  <w:footnote w:id="141">
    <w:p w:rsidR="00B31E52" w:rsidRDefault="00B31E52" w:rsidP="00C52695">
      <w:pPr>
        <w:pStyle w:val="FootnoteText"/>
      </w:pPr>
      <w:r>
        <w:rPr>
          <w:rStyle w:val="FootnoteReference"/>
        </w:rPr>
        <w:footnoteRef/>
      </w:r>
      <w:r>
        <w:t xml:space="preserve"> </w:t>
      </w:r>
      <w:r>
        <w:tab/>
        <w:t>Personal tax is levied on the gross dividend which is the sum of the face value of the franked dividend and the face value of the imputation credit.</w:t>
      </w:r>
    </w:p>
  </w:footnote>
  <w:footnote w:id="142">
    <w:p w:rsidR="00B31E52" w:rsidRDefault="00B31E52" w:rsidP="00C52695">
      <w:pPr>
        <w:pStyle w:val="FootnoteText"/>
      </w:pPr>
      <w:r>
        <w:rPr>
          <w:rStyle w:val="FootnoteReference"/>
        </w:rPr>
        <w:footnoteRef/>
      </w:r>
      <w:r>
        <w:t xml:space="preserve"> </w:t>
      </w:r>
      <w:r>
        <w:tab/>
      </w:r>
      <w:r w:rsidRPr="00712BC2">
        <w:t xml:space="preserve">M. Lally, </w:t>
      </w:r>
      <w:r>
        <w:rPr>
          <w:rStyle w:val="AERtextitalic"/>
        </w:rPr>
        <w:t>Gamma and the ACT Decision</w:t>
      </w:r>
      <w:r>
        <w:t>, May 2016, p. 22.</w:t>
      </w:r>
    </w:p>
  </w:footnote>
  <w:footnote w:id="143">
    <w:p w:rsidR="00B31E52" w:rsidRDefault="00B31E52">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SA Power Networks</w:t>
      </w:r>
      <w:r w:rsidRPr="000F2066">
        <w:rPr>
          <w:rStyle w:val="AERtextitalic"/>
        </w:rPr>
        <w:t xml:space="preserve"> [20</w:t>
      </w:r>
      <w:r>
        <w:rPr>
          <w:rStyle w:val="AERtextitalic"/>
        </w:rPr>
        <w:t>16</w:t>
      </w:r>
      <w:r w:rsidRPr="000F2066">
        <w:rPr>
          <w:rStyle w:val="AERtextitalic"/>
        </w:rPr>
        <w:t xml:space="preserve">] ACompT </w:t>
      </w:r>
      <w:r>
        <w:rPr>
          <w:rStyle w:val="AERtextitalic"/>
        </w:rPr>
        <w:t>11</w:t>
      </w:r>
      <w:r>
        <w:t xml:space="preserve">, 28 October 2016, </w:t>
      </w:r>
      <w:r w:rsidRPr="008F5D24">
        <w:t xml:space="preserve">para. </w:t>
      </w:r>
      <w:r>
        <w:t>159</w:t>
      </w:r>
      <w:r w:rsidRPr="008F5D24">
        <w:t>.</w:t>
      </w:r>
    </w:p>
  </w:footnote>
  <w:footnote w:id="144">
    <w:p w:rsidR="00B31E52" w:rsidRDefault="00B31E52" w:rsidP="00C52695">
      <w:pPr>
        <w:pStyle w:val="FootnoteText"/>
      </w:pPr>
      <w:r>
        <w:rPr>
          <w:rStyle w:val="FootnoteReference"/>
        </w:rPr>
        <w:footnoteRef/>
      </w:r>
      <w:r>
        <w:t xml:space="preserve"> </w:t>
      </w:r>
      <w:r>
        <w:tab/>
      </w:r>
      <w:r w:rsidRPr="00582678">
        <w:t xml:space="preserve">J. Handley, </w:t>
      </w:r>
      <w:r w:rsidRPr="00582678">
        <w:rPr>
          <w:rStyle w:val="AERtextitalic"/>
        </w:rPr>
        <w:t>Report prepared for the Australian Energy Regulator: Advice on the value of imputation credits</w:t>
      </w:r>
      <w:r w:rsidRPr="00582678">
        <w:t>, 29 September 2014</w:t>
      </w:r>
      <w:r>
        <w:t xml:space="preserve">, p. 31; </w:t>
      </w:r>
      <w:r w:rsidRPr="00582678">
        <w:t xml:space="preserve">M. Lally, </w:t>
      </w:r>
      <w:r w:rsidRPr="00582678">
        <w:rPr>
          <w:rStyle w:val="AERtextitalic"/>
        </w:rPr>
        <w:t>The estimation of gamma</w:t>
      </w:r>
      <w:r w:rsidRPr="00582678">
        <w:t>, 23 November 2013</w:t>
      </w:r>
      <w:r>
        <w:t xml:space="preserve">, p. 4; M. McKenzie and G. Partington, </w:t>
      </w:r>
      <w:r w:rsidRPr="00523EF7">
        <w:rPr>
          <w:rStyle w:val="AERtextitalic"/>
        </w:rPr>
        <w:t>Report to the Queensland Resources Council: Review of Aurizon Network’s draft access undertaking</w:t>
      </w:r>
      <w:r>
        <w:t>, 5 October 2013, p. 32.</w:t>
      </w:r>
    </w:p>
  </w:footnote>
  <w:footnote w:id="145">
    <w:p w:rsidR="00B31E52" w:rsidRDefault="00B31E52" w:rsidP="00C52695">
      <w:pPr>
        <w:pStyle w:val="FootnoteText"/>
      </w:pPr>
      <w:r>
        <w:rPr>
          <w:rStyle w:val="FootnoteReference"/>
        </w:rPr>
        <w:footnoteRef/>
      </w:r>
      <w:r>
        <w:t xml:space="preserve"> </w:t>
      </w:r>
      <w:r>
        <w:tab/>
        <w:t xml:space="preserve">We have also considered these approaches and the evidence they employ against the criteria used to assess evidence on the allowed rate of return. See section </w:t>
      </w:r>
      <w:r>
        <w:fldChar w:fldCharType="begin"/>
      </w:r>
      <w:r>
        <w:instrText xml:space="preserve"> REF _Ref403481535 \r \h </w:instrText>
      </w:r>
      <w:r>
        <w:fldChar w:fldCharType="separate"/>
      </w:r>
      <w:r w:rsidR="007E3457">
        <w:t>A.11</w:t>
      </w:r>
      <w:r>
        <w:fldChar w:fldCharType="end"/>
      </w:r>
      <w:r>
        <w:t xml:space="preserve"> of appendix A.</w:t>
      </w:r>
    </w:p>
  </w:footnote>
  <w:footnote w:id="146">
    <w:p w:rsidR="00B31E52" w:rsidRDefault="00B31E52" w:rsidP="00C52695">
      <w:pPr>
        <w:pStyle w:val="FootnoteText"/>
      </w:pPr>
      <w:r>
        <w:rPr>
          <w:rStyle w:val="FootnoteReference"/>
        </w:rPr>
        <w:footnoteRef/>
      </w:r>
      <w:r>
        <w:t xml:space="preserve"> </w:t>
      </w:r>
      <w:r>
        <w:tab/>
        <w:t xml:space="preserve">Specifically, we use data from </w:t>
      </w:r>
      <w:r w:rsidRPr="0061054A">
        <w:t>Australian National Accounts:</w:t>
      </w:r>
      <w:r>
        <w:t xml:space="preserve"> Finance and Wealth </w:t>
      </w:r>
      <w:r w:rsidRPr="0061054A">
        <w:t>(ABS cat. 5232.0)</w:t>
      </w:r>
      <w:r>
        <w:t>.</w:t>
      </w:r>
    </w:p>
  </w:footnote>
  <w:footnote w:id="147">
    <w:p w:rsidR="00B31E52" w:rsidRDefault="00B31E52" w:rsidP="00C52695">
      <w:pPr>
        <w:pStyle w:val="FootnoteText"/>
      </w:pPr>
      <w:r>
        <w:rPr>
          <w:rStyle w:val="FootnoteReference"/>
        </w:rPr>
        <w:footnoteRef/>
      </w:r>
      <w:r>
        <w:t xml:space="preserve"> </w:t>
      </w:r>
      <w:r>
        <w:tab/>
      </w:r>
      <w:r w:rsidRPr="00CE62A1">
        <w:t xml:space="preserve">Australian Competition Tribunal, </w:t>
      </w:r>
      <w:r w:rsidRPr="00CE62A1">
        <w:rPr>
          <w:rStyle w:val="AERtextitalic"/>
        </w:rPr>
        <w:t>Application by Public Interest Advocacy Centre Ltd and Ausgrid [2016] ACompT 1</w:t>
      </w:r>
      <w:r w:rsidRPr="00CE62A1">
        <w:t>, 26 February 2016, paras. 1048.</w:t>
      </w:r>
    </w:p>
  </w:footnote>
  <w:footnote w:id="148">
    <w:p w:rsidR="00B31E52" w:rsidRDefault="00B31E52" w:rsidP="00C52695">
      <w:pPr>
        <w:pStyle w:val="FootnoteText"/>
      </w:pPr>
      <w:r>
        <w:rPr>
          <w:rStyle w:val="FootnoteReference"/>
        </w:rPr>
        <w:footnoteRef/>
      </w:r>
      <w:r>
        <w:t xml:space="preserve"> </w:t>
      </w:r>
      <w:r>
        <w:tab/>
      </w:r>
      <w:r w:rsidRPr="00712BC2">
        <w:t xml:space="preserve">M. Lally, </w:t>
      </w:r>
      <w:r>
        <w:rPr>
          <w:rStyle w:val="AERtextitalic"/>
        </w:rPr>
        <w:t>Gamma and the ACT Decision</w:t>
      </w:r>
      <w:r>
        <w:t>, May 2016, p.  23.</w:t>
      </w:r>
    </w:p>
  </w:footnote>
  <w:footnote w:id="149">
    <w:p w:rsidR="00B31E52" w:rsidRDefault="00B31E52" w:rsidP="00C52695">
      <w:pPr>
        <w:pStyle w:val="FootnoteText"/>
      </w:pPr>
      <w:r>
        <w:rPr>
          <w:rStyle w:val="FootnoteReference"/>
        </w:rPr>
        <w:footnoteRef/>
      </w:r>
      <w:r>
        <w:t xml:space="preserve"> </w:t>
      </w:r>
      <w:r>
        <w:tab/>
      </w:r>
      <w:r w:rsidRPr="00712BC2">
        <w:t xml:space="preserve">M. Lally, </w:t>
      </w:r>
      <w:r>
        <w:rPr>
          <w:rStyle w:val="AERtextitalic"/>
        </w:rPr>
        <w:t>Gamma and the ACT Decision</w:t>
      </w:r>
      <w:r>
        <w:t>, May 2016, p.  17.</w:t>
      </w:r>
    </w:p>
  </w:footnote>
  <w:footnote w:id="150">
    <w:p w:rsidR="00B31E52" w:rsidRDefault="00B31E52" w:rsidP="00C52695">
      <w:pPr>
        <w:pStyle w:val="FootnoteText"/>
      </w:pPr>
      <w:r>
        <w:rPr>
          <w:rStyle w:val="FootnoteReference"/>
        </w:rPr>
        <w:footnoteRef/>
      </w:r>
      <w:r>
        <w:t xml:space="preserve"> </w:t>
      </w:r>
      <w:r>
        <w:tab/>
        <w:t xml:space="preserve">These statistics are available at: </w:t>
      </w:r>
      <w:r w:rsidRPr="00611553">
        <w:t>https://www.ato.gov.au/About-ATO/Research-and-statistics/Taxation-statistics/</w:t>
      </w:r>
      <w:r>
        <w:t>. Accessed 9 April 2015.</w:t>
      </w:r>
    </w:p>
  </w:footnote>
  <w:footnote w:id="151">
    <w:p w:rsidR="00B31E52" w:rsidRDefault="00B31E52" w:rsidP="00C52695">
      <w:pPr>
        <w:pStyle w:val="FootnoteText"/>
      </w:pPr>
      <w:r>
        <w:rPr>
          <w:rStyle w:val="FootnoteReference"/>
        </w:rPr>
        <w:footnoteRef/>
      </w:r>
      <w:r>
        <w:t xml:space="preserve"> </w:t>
      </w:r>
      <w:r>
        <w:tab/>
      </w:r>
      <w:r w:rsidRPr="00582678">
        <w:t xml:space="preserve">J. Handley, </w:t>
      </w:r>
      <w:r w:rsidRPr="00582678">
        <w:rPr>
          <w:rStyle w:val="AERtextitalic"/>
        </w:rPr>
        <w:t>Report prepared for the Australian Energy Regulator: Advice on the value of imputation credits</w:t>
      </w:r>
      <w:r w:rsidRPr="00582678">
        <w:t>, 29 September 2014</w:t>
      </w:r>
      <w:r>
        <w:t>, p. 31.</w:t>
      </w:r>
    </w:p>
  </w:footnote>
  <w:footnote w:id="152">
    <w:p w:rsidR="00B31E52" w:rsidRDefault="00B31E52" w:rsidP="00C52695">
      <w:pPr>
        <w:pStyle w:val="FootnoteText"/>
      </w:pPr>
      <w:r>
        <w:rPr>
          <w:rStyle w:val="FootnoteReference"/>
        </w:rPr>
        <w:footnoteRef/>
      </w:r>
      <w:r>
        <w:t xml:space="preserve"> </w:t>
      </w:r>
      <w:r>
        <w:tab/>
      </w:r>
      <w:r w:rsidRPr="00582678">
        <w:t xml:space="preserve">M. Lally, </w:t>
      </w:r>
      <w:r w:rsidRPr="00582678">
        <w:rPr>
          <w:rStyle w:val="AERtextitalic"/>
        </w:rPr>
        <w:t>The estimation of gamma</w:t>
      </w:r>
      <w:r w:rsidRPr="00582678">
        <w:t>, 23 November 2013</w:t>
      </w:r>
      <w:r>
        <w:t xml:space="preserve">, p. 4. Also see </w:t>
      </w:r>
      <w:r w:rsidRPr="00712BC2">
        <w:t xml:space="preserve">M. Lally, </w:t>
      </w:r>
      <w:r>
        <w:rPr>
          <w:rStyle w:val="AERtextitalic"/>
        </w:rPr>
        <w:t>Gamma and the ACT Decision</w:t>
      </w:r>
      <w:r>
        <w:t>, May 2016, p. 4–5.</w:t>
      </w:r>
    </w:p>
  </w:footnote>
  <w:footnote w:id="153">
    <w:p w:rsidR="00B31E52" w:rsidRDefault="00B31E52" w:rsidP="00C52695">
      <w:pPr>
        <w:pStyle w:val="FootnoteText"/>
      </w:pPr>
      <w:r>
        <w:rPr>
          <w:rStyle w:val="FootnoteReference"/>
        </w:rPr>
        <w:footnoteRef/>
      </w:r>
      <w:r>
        <w:t xml:space="preserve"> </w:t>
      </w:r>
      <w:r>
        <w:tab/>
      </w:r>
      <w:r w:rsidRPr="00582678">
        <w:t xml:space="preserve">M. Lally, </w:t>
      </w:r>
      <w:r w:rsidRPr="00582678">
        <w:rPr>
          <w:rStyle w:val="AERtextitalic"/>
        </w:rPr>
        <w:t>The estimation of gamma</w:t>
      </w:r>
      <w:r>
        <w:t>, 25</w:t>
      </w:r>
      <w:r w:rsidRPr="00582678">
        <w:t xml:space="preserve"> November 2013</w:t>
      </w:r>
      <w:r>
        <w:t xml:space="preserve">, p. 4. Also see </w:t>
      </w:r>
      <w:r w:rsidRPr="00712BC2">
        <w:t xml:space="preserve">M. Lally, </w:t>
      </w:r>
      <w:r>
        <w:rPr>
          <w:rStyle w:val="AERtextitalic"/>
        </w:rPr>
        <w:t>Gamma and the ACT Decision</w:t>
      </w:r>
      <w:r>
        <w:t>, May 2016, p. 4–5.</w:t>
      </w:r>
    </w:p>
  </w:footnote>
  <w:footnote w:id="154">
    <w:p w:rsidR="00B31E52" w:rsidRDefault="00B31E52" w:rsidP="00C52695">
      <w:pPr>
        <w:pStyle w:val="FootnoteText"/>
      </w:pPr>
      <w:r>
        <w:rPr>
          <w:rStyle w:val="FootnoteReference"/>
        </w:rPr>
        <w:footnoteRef/>
      </w:r>
      <w:r>
        <w:t xml:space="preserve"> </w:t>
      </w:r>
      <w:r>
        <w:tab/>
      </w:r>
      <w:r w:rsidRPr="00DF6BAC">
        <w:t xml:space="preserve">N. Hathaway, </w:t>
      </w:r>
      <w:r w:rsidRPr="00DF6BAC">
        <w:rPr>
          <w:rStyle w:val="AERtextitalic"/>
        </w:rPr>
        <w:t>Imputation credit redemption ATO data 1988–2011: Where have all the credits gone?</w:t>
      </w:r>
      <w:r>
        <w:t>, September 2013, paras. 9 and 99–100.</w:t>
      </w:r>
    </w:p>
  </w:footnote>
  <w:footnote w:id="155">
    <w:p w:rsidR="00B31E52" w:rsidRDefault="00B31E52" w:rsidP="00C52695">
      <w:pPr>
        <w:pStyle w:val="FootnoteText"/>
      </w:pPr>
      <w:r>
        <w:rPr>
          <w:rStyle w:val="FootnoteReference"/>
        </w:rPr>
        <w:footnoteRef/>
      </w:r>
      <w:r>
        <w:t xml:space="preserve"> </w:t>
      </w:r>
      <w:r>
        <w:tab/>
      </w:r>
      <w:r w:rsidRPr="00293592">
        <w:t xml:space="preserve">That is, statistics are published on the refunds to 'endorsed income tax-exempt entities and deductible gift recipients', but it is not clear whether this covers refunds to other entities entitled to a refund of </w:t>
      </w:r>
      <w:r>
        <w:t>imputation</w:t>
      </w:r>
      <w:r w:rsidRPr="00293592">
        <w:t xml:space="preserve"> </w:t>
      </w:r>
      <w:r>
        <w:t>credits. Such entities include</w:t>
      </w:r>
      <w:r w:rsidRPr="00293592">
        <w:t xml:space="preserve"> public fund</w:t>
      </w:r>
      <w:r>
        <w:t>s</w:t>
      </w:r>
      <w:r w:rsidRPr="00293592">
        <w:t xml:space="preserve"> declared by the Treasurer to be a</w:t>
      </w:r>
      <w:r>
        <w:t xml:space="preserve"> developing country relief fund and</w:t>
      </w:r>
      <w:r w:rsidRPr="00293592">
        <w:t xml:space="preserve"> exempt institution</w:t>
      </w:r>
      <w:r>
        <w:t>s that are</w:t>
      </w:r>
      <w:r w:rsidRPr="00293592">
        <w:t xml:space="preserve"> eligible for a refund under </w:t>
      </w:r>
      <w:r>
        <w:t>the regulations</w:t>
      </w:r>
      <w:r w:rsidRPr="00293592">
        <w:t>.</w:t>
      </w:r>
      <w:r>
        <w:t xml:space="preserve"> See: </w:t>
      </w:r>
      <w:r w:rsidRPr="00057D4F">
        <w:t>https://www.ato.gov.au/Non-profit/Franking-credits/In-detail/FAQs/Refund-of-franking-credits--endorsed-entities---FAQs/?page=3</w:t>
      </w:r>
      <w:r>
        <w:t>. Accessed 9 April 2015.</w:t>
      </w:r>
    </w:p>
  </w:footnote>
  <w:footnote w:id="156">
    <w:p w:rsidR="00B31E52" w:rsidRDefault="00B31E52" w:rsidP="00C52695">
      <w:pPr>
        <w:pStyle w:val="FootnoteText"/>
      </w:pPr>
      <w:r>
        <w:rPr>
          <w:rStyle w:val="FootnoteReference"/>
        </w:rPr>
        <w:footnoteRef/>
      </w:r>
      <w:r>
        <w:t xml:space="preserve"> </w:t>
      </w:r>
      <w:r>
        <w:tab/>
        <w:t xml:space="preserve">We discuss this issue further in section </w:t>
      </w:r>
      <w:r>
        <w:fldChar w:fldCharType="begin"/>
      </w:r>
      <w:r>
        <w:instrText xml:space="preserve"> REF _Ref401048631 \r \h </w:instrText>
      </w:r>
      <w:r>
        <w:fldChar w:fldCharType="separate"/>
      </w:r>
      <w:r w:rsidR="007E3457">
        <w:t>A.9.1</w:t>
      </w:r>
      <w:r>
        <w:fldChar w:fldCharType="end"/>
      </w:r>
      <w:r>
        <w:t xml:space="preserve"> of appendix A.</w:t>
      </w:r>
    </w:p>
  </w:footnote>
  <w:footnote w:id="157">
    <w:p w:rsidR="00B31E52" w:rsidRDefault="00B31E52" w:rsidP="00C52695">
      <w:pPr>
        <w:pStyle w:val="FootnoteText"/>
      </w:pPr>
      <w:r>
        <w:rPr>
          <w:rStyle w:val="FootnoteReference"/>
        </w:rPr>
        <w:footnoteRef/>
      </w:r>
      <w:r>
        <w:t xml:space="preserve"> </w:t>
      </w:r>
      <w:r>
        <w:tab/>
      </w:r>
      <w:r w:rsidRPr="00712BC2">
        <w:t xml:space="preserve">M. Lally, </w:t>
      </w:r>
      <w:r>
        <w:rPr>
          <w:rStyle w:val="AERtextitalic"/>
        </w:rPr>
        <w:t>Gamma and the ACT Decision</w:t>
      </w:r>
      <w:r>
        <w:t>, May 2016, pp. 19-20, 26, 30.</w:t>
      </w:r>
    </w:p>
  </w:footnote>
  <w:footnote w:id="158">
    <w:p w:rsidR="00B31E52" w:rsidRDefault="00B31E52" w:rsidP="00C52695">
      <w:pPr>
        <w:pStyle w:val="FootnoteText"/>
      </w:pPr>
      <w:r>
        <w:rPr>
          <w:rStyle w:val="FootnoteReference"/>
        </w:rPr>
        <w:footnoteRef/>
      </w:r>
      <w:r>
        <w:t xml:space="preserve"> </w:t>
      </w:r>
      <w:r>
        <w:tab/>
      </w:r>
      <w:r w:rsidRPr="00DF6BAC">
        <w:t xml:space="preserve">N. Hathaway, </w:t>
      </w:r>
      <w:r w:rsidRPr="00DF6BAC">
        <w:rPr>
          <w:rStyle w:val="AERtextitalic"/>
        </w:rPr>
        <w:t>Imputation credit redemption ATO data 1988–2011: Where have all the credits gone?</w:t>
      </w:r>
      <w:r>
        <w:t>, September 2013.</w:t>
      </w:r>
    </w:p>
  </w:footnote>
  <w:footnote w:id="159">
    <w:p w:rsidR="00B31E52" w:rsidRDefault="00B31E52" w:rsidP="00C52695">
      <w:pPr>
        <w:pStyle w:val="FootnoteText"/>
      </w:pPr>
      <w:r>
        <w:rPr>
          <w:rStyle w:val="FootnoteReference"/>
        </w:rPr>
        <w:footnoteRef/>
      </w:r>
      <w:r>
        <w:t xml:space="preserve"> </w:t>
      </w:r>
      <w:r>
        <w:tab/>
      </w:r>
      <w:r w:rsidRPr="00DF6BAC">
        <w:t xml:space="preserve">N. Hathaway, </w:t>
      </w:r>
      <w:r w:rsidRPr="00DF6BAC">
        <w:rPr>
          <w:rStyle w:val="AERtextitalic"/>
        </w:rPr>
        <w:t>Imputation credit redemption ATO data 1988–2011: Where have all the credits gone?</w:t>
      </w:r>
      <w:r>
        <w:t>, September 2013, para. 32.</w:t>
      </w:r>
    </w:p>
  </w:footnote>
  <w:footnote w:id="160">
    <w:p w:rsidR="00B31E52" w:rsidRDefault="00B31E52" w:rsidP="00C52695">
      <w:pPr>
        <w:pStyle w:val="FootnoteText"/>
      </w:pPr>
      <w:r>
        <w:rPr>
          <w:rStyle w:val="FootnoteReference"/>
        </w:rPr>
        <w:footnoteRef/>
      </w:r>
      <w:r>
        <w:t xml:space="preserve"> </w:t>
      </w:r>
      <w:r>
        <w:tab/>
      </w:r>
      <w:r w:rsidRPr="00712BC2">
        <w:t xml:space="preserve">M. Lally, </w:t>
      </w:r>
      <w:r>
        <w:rPr>
          <w:rStyle w:val="AERtextitalic"/>
        </w:rPr>
        <w:t>Gamma and the ACT Decision</w:t>
      </w:r>
      <w:r>
        <w:t>, May 2016, pp. 5, 25.</w:t>
      </w:r>
    </w:p>
  </w:footnote>
  <w:footnote w:id="161">
    <w:p w:rsidR="00B31E52" w:rsidRDefault="00B31E52" w:rsidP="00C52695">
      <w:pPr>
        <w:pStyle w:val="FootnoteText"/>
      </w:pPr>
      <w:r>
        <w:rPr>
          <w:rStyle w:val="FootnoteReference"/>
        </w:rPr>
        <w:footnoteRef/>
      </w:r>
      <w:r>
        <w:t xml:space="preserve"> </w:t>
      </w:r>
      <w:r>
        <w:tab/>
        <w:t xml:space="preserve">NERA, </w:t>
      </w:r>
      <w:r w:rsidRPr="001763FD">
        <w:rPr>
          <w:rStyle w:val="AERtextitalic"/>
        </w:rPr>
        <w:t>Estimating distribution and redemption rates from taxation statistics</w:t>
      </w:r>
      <w:r>
        <w:t>, March 2015.</w:t>
      </w:r>
    </w:p>
  </w:footnote>
  <w:footnote w:id="162">
    <w:p w:rsidR="00B31E52" w:rsidRDefault="00B31E52">
      <w:pPr>
        <w:pStyle w:val="FootnoteText"/>
      </w:pPr>
      <w:r>
        <w:rPr>
          <w:rStyle w:val="FootnoteReference"/>
        </w:rPr>
        <w:footnoteRef/>
      </w:r>
      <w:r>
        <w:t xml:space="preserve"> </w:t>
      </w:r>
      <w:r>
        <w:tab/>
        <w:t xml:space="preserve">Frontier Economics, </w:t>
      </w:r>
      <w:r>
        <w:rPr>
          <w:rStyle w:val="AERtextitalic"/>
        </w:rPr>
        <w:t>Issues in the estimation of gamma</w:t>
      </w:r>
      <w:r>
        <w:t>, September 2016, pp. 34, 12-15.</w:t>
      </w:r>
    </w:p>
  </w:footnote>
  <w:footnote w:id="163">
    <w:p w:rsidR="00B31E52" w:rsidRDefault="00B31E52" w:rsidP="00C52695">
      <w:pPr>
        <w:pStyle w:val="FootnoteText"/>
      </w:pPr>
      <w:r>
        <w:rPr>
          <w:rStyle w:val="FootnoteReference"/>
        </w:rPr>
        <w:footnoteRef/>
      </w:r>
      <w:r>
        <w:t xml:space="preserve"> </w:t>
      </w:r>
      <w:r>
        <w:tab/>
      </w:r>
      <w:r w:rsidRPr="00582678">
        <w:t xml:space="preserve">J. Handley, </w:t>
      </w:r>
      <w:r w:rsidRPr="00582678">
        <w:rPr>
          <w:rStyle w:val="AERtextitalic"/>
        </w:rPr>
        <w:t>Report prepared for the Australian Energy Regulator: Advice on the value of imputation credits</w:t>
      </w:r>
      <w:r w:rsidRPr="00582678">
        <w:t>, 29 September 2014</w:t>
      </w:r>
      <w:r>
        <w:t>, p. 31.</w:t>
      </w:r>
    </w:p>
  </w:footnote>
  <w:footnote w:id="164">
    <w:p w:rsidR="00B31E52" w:rsidRDefault="00B31E52" w:rsidP="00AA7999">
      <w:pPr>
        <w:pStyle w:val="FootnoteText"/>
      </w:pPr>
      <w:r>
        <w:rPr>
          <w:rStyle w:val="FootnoteReference"/>
        </w:rPr>
        <w:footnoteRef/>
      </w:r>
      <w:r>
        <w:t xml:space="preserve"> </w:t>
      </w:r>
      <w:r>
        <w:tab/>
      </w:r>
      <w:r w:rsidRPr="00582678">
        <w:t xml:space="preserve">M. Lally, </w:t>
      </w:r>
      <w:r w:rsidRPr="00582678">
        <w:rPr>
          <w:rStyle w:val="AERtextitalic"/>
        </w:rPr>
        <w:t>The estimation of gamma</w:t>
      </w:r>
      <w:r w:rsidRPr="00582678">
        <w:t>, 23 November 2013</w:t>
      </w:r>
      <w:r>
        <w:t xml:space="preserve">, p. 4; M. Lally, </w:t>
      </w:r>
      <w:r w:rsidRPr="00E750F8">
        <w:rPr>
          <w:rStyle w:val="AERtextitalic"/>
        </w:rPr>
        <w:t>Issues in the estimation of gamma</w:t>
      </w:r>
      <w:r>
        <w:t>, April 2017</w:t>
      </w:r>
      <w:r w:rsidRPr="00AF1BD9">
        <w:rPr>
          <w:rStyle w:val="AERtextitalic"/>
          <w:i w:val="0"/>
        </w:rPr>
        <w:t>, p</w:t>
      </w:r>
      <w:r w:rsidRPr="009E16C6">
        <w:rPr>
          <w:rStyle w:val="AERtextitalic"/>
          <w:i w:val="0"/>
        </w:rPr>
        <w:t>p</w:t>
      </w:r>
      <w:r w:rsidRPr="00705600">
        <w:rPr>
          <w:rStyle w:val="AERtextitalic"/>
          <w:i w:val="0"/>
        </w:rPr>
        <w:t>.</w:t>
      </w:r>
      <w:r w:rsidRPr="009A213E">
        <w:rPr>
          <w:rStyle w:val="AERtextitalic"/>
          <w:i w:val="0"/>
        </w:rPr>
        <w:t> 4-6.</w:t>
      </w:r>
    </w:p>
  </w:footnote>
  <w:footnote w:id="165">
    <w:p w:rsidR="00B31E52" w:rsidRDefault="00B31E52" w:rsidP="00C52695">
      <w:pPr>
        <w:pStyle w:val="FootnoteText"/>
      </w:pPr>
      <w:r>
        <w:rPr>
          <w:rStyle w:val="FootnoteReference"/>
        </w:rPr>
        <w:footnoteRef/>
      </w:r>
      <w:r>
        <w:t xml:space="preserve"> </w:t>
      </w:r>
      <w:r>
        <w:tab/>
      </w:r>
      <w:r w:rsidRPr="00712BC2">
        <w:t xml:space="preserve">M. Lally, </w:t>
      </w:r>
      <w:r>
        <w:rPr>
          <w:rStyle w:val="AERtextitalic"/>
        </w:rPr>
        <w:t>Gamma and the ACT Decision</w:t>
      </w:r>
      <w:r>
        <w:t>, May 2016, pp. 4–5.</w:t>
      </w:r>
    </w:p>
  </w:footnote>
  <w:footnote w:id="166">
    <w:p w:rsidR="00B31E52" w:rsidRDefault="00B31E52">
      <w:pPr>
        <w:pStyle w:val="FootnoteText"/>
      </w:pPr>
      <w:r>
        <w:rPr>
          <w:rStyle w:val="FootnoteReference"/>
        </w:rPr>
        <w:footnoteRef/>
      </w:r>
      <w:r>
        <w:t xml:space="preserve"> </w:t>
      </w:r>
      <w:r>
        <w:tab/>
        <w:t xml:space="preserve">Federal Court of Australia, </w:t>
      </w:r>
      <w:r w:rsidRPr="00B23401">
        <w:rPr>
          <w:rStyle w:val="AERtextitalic"/>
        </w:rPr>
        <w:t>Australian Energy Regulator v Australian Competition Tribunal (No 2) [2017] FCAFC 79</w:t>
      </w:r>
      <w:r>
        <w:t>, May 2017, p. 215.</w:t>
      </w:r>
    </w:p>
  </w:footnote>
  <w:footnote w:id="167">
    <w:p w:rsidR="00B31E52" w:rsidRDefault="00B31E52">
      <w:pPr>
        <w:pStyle w:val="FootnoteText"/>
      </w:pPr>
      <w:r>
        <w:rPr>
          <w:rStyle w:val="FootnoteReference"/>
        </w:rPr>
        <w:footnoteRef/>
      </w:r>
      <w:r>
        <w:t xml:space="preserve"> </w:t>
      </w:r>
      <w:r>
        <w:tab/>
        <w:t xml:space="preserve">Federal Court of Australia, </w:t>
      </w:r>
      <w:r w:rsidRPr="00B23401">
        <w:rPr>
          <w:rStyle w:val="AERtextitalic"/>
        </w:rPr>
        <w:t>Australian Energy Regulator v Australian Competition Tribunal (No 2) [2017] FCAFC 79</w:t>
      </w:r>
      <w:r>
        <w:t>, May 2017, p. 216.</w:t>
      </w:r>
    </w:p>
  </w:footnote>
  <w:footnote w:id="168">
    <w:p w:rsidR="00B31E52" w:rsidRDefault="00B31E52">
      <w:pPr>
        <w:pStyle w:val="FootnoteText"/>
      </w:pPr>
      <w:r>
        <w:rPr>
          <w:rStyle w:val="FootnoteReference"/>
        </w:rPr>
        <w:footnoteRef/>
      </w:r>
      <w:r>
        <w:t xml:space="preserve"> </w:t>
      </w:r>
      <w:r>
        <w:tab/>
        <w:t xml:space="preserve">Federal Court of Australia, </w:t>
      </w:r>
      <w:r w:rsidRPr="00B23401">
        <w:rPr>
          <w:rStyle w:val="AERtextitalic"/>
        </w:rPr>
        <w:t>Australian Energy Regulator v Australian Competition Tribunal (No 2) [2017] FCAFC 79</w:t>
      </w:r>
      <w:r>
        <w:t>, May 2017, p. 216.</w:t>
      </w:r>
    </w:p>
  </w:footnote>
  <w:footnote w:id="169">
    <w:p w:rsidR="00B31E52" w:rsidRDefault="00B31E52" w:rsidP="002439E6">
      <w:pPr>
        <w:pStyle w:val="FootnoteText"/>
      </w:pPr>
      <w:r>
        <w:rPr>
          <w:rStyle w:val="FootnoteReference"/>
        </w:rPr>
        <w:footnoteRef/>
      </w:r>
      <w:r>
        <w:t xml:space="preserve"> </w:t>
      </w:r>
      <w:r>
        <w:tab/>
      </w:r>
      <w:r w:rsidRPr="00582678">
        <w:t xml:space="preserve">J. Handley, </w:t>
      </w:r>
      <w:r w:rsidRPr="00582678">
        <w:rPr>
          <w:rStyle w:val="AERtextitalic"/>
        </w:rPr>
        <w:t>Report prepared for the Australian Energy Regulator: Advice on the value of imputation credits</w:t>
      </w:r>
      <w:r w:rsidRPr="00582678">
        <w:t>, 29 September 2014</w:t>
      </w:r>
      <w:r>
        <w:t xml:space="preserve">, p. 44; A. Ainsworth, G. Partington and G. Warren, </w:t>
      </w:r>
      <w:r w:rsidRPr="00814197">
        <w:rPr>
          <w:rStyle w:val="AERtextitalic"/>
        </w:rPr>
        <w:t>Do franking credits matter? Exploring the financial implications of dividend imputation</w:t>
      </w:r>
      <w:r>
        <w:t>, May 2015, p. 18;</w:t>
      </w:r>
    </w:p>
  </w:footnote>
  <w:footnote w:id="170">
    <w:p w:rsidR="00B31E52" w:rsidRDefault="00B31E52" w:rsidP="00C52695">
      <w:pPr>
        <w:pStyle w:val="FootnoteText"/>
      </w:pPr>
      <w:r>
        <w:rPr>
          <w:rStyle w:val="FootnoteReference"/>
        </w:rPr>
        <w:footnoteRef/>
      </w:r>
      <w:r>
        <w:t xml:space="preserve"> </w:t>
      </w:r>
      <w:r>
        <w:tab/>
      </w:r>
      <w:r w:rsidRPr="00582678">
        <w:t xml:space="preserve">J. Handley, </w:t>
      </w:r>
      <w:r w:rsidRPr="00582678">
        <w:rPr>
          <w:rStyle w:val="AERtextitalic"/>
        </w:rPr>
        <w:t>Report prepared for the Australian Energy Regulator: Advice on the value of imputation credits</w:t>
      </w:r>
      <w:r w:rsidRPr="00582678">
        <w:t>, 29 September 2014</w:t>
      </w:r>
      <w:r>
        <w:t xml:space="preserve">, p. 44; A. Ainsworth, G. Partington and G. Warren, </w:t>
      </w:r>
      <w:r w:rsidRPr="00814197">
        <w:rPr>
          <w:rStyle w:val="AERtextitalic"/>
        </w:rPr>
        <w:t>Do franking credits matter? Exploring the financial implications of dividend imputation</w:t>
      </w:r>
      <w:r>
        <w:t>, May 2015, p. 18.</w:t>
      </w:r>
    </w:p>
  </w:footnote>
  <w:footnote w:id="171">
    <w:p w:rsidR="00B31E52" w:rsidRDefault="00B31E52" w:rsidP="00AA7999">
      <w:pPr>
        <w:pStyle w:val="FootnoteText"/>
      </w:pPr>
      <w:r>
        <w:rPr>
          <w:rStyle w:val="FootnoteReference"/>
        </w:rPr>
        <w:footnoteRef/>
      </w:r>
      <w:r>
        <w:t xml:space="preserve"> </w:t>
      </w:r>
      <w:r>
        <w:tab/>
        <w:t xml:space="preserve">M. Lally, </w:t>
      </w:r>
      <w:r w:rsidRPr="00E750F8">
        <w:rPr>
          <w:rStyle w:val="AERtextitalic"/>
        </w:rPr>
        <w:t>Issues in the estimation of gamma</w:t>
      </w:r>
      <w:r>
        <w:t>, April 2017</w:t>
      </w:r>
      <w:r w:rsidRPr="00AF1BD9">
        <w:rPr>
          <w:rStyle w:val="AERtextitalic"/>
          <w:i w:val="0"/>
        </w:rPr>
        <w:t>, pp. 4-6.</w:t>
      </w:r>
    </w:p>
  </w:footnote>
  <w:footnote w:id="172">
    <w:p w:rsidR="00B31E52" w:rsidRDefault="00B31E52" w:rsidP="00C52695">
      <w:pPr>
        <w:pStyle w:val="FootnoteText"/>
      </w:pPr>
      <w:r>
        <w:rPr>
          <w:rStyle w:val="FootnoteReference"/>
        </w:rPr>
        <w:footnoteRef/>
      </w:r>
      <w:r>
        <w:t xml:space="preserve"> </w:t>
      </w:r>
      <w:r>
        <w:tab/>
      </w:r>
      <w:r w:rsidRPr="00712BC2">
        <w:t xml:space="preserve">M. Lally, </w:t>
      </w:r>
      <w:r>
        <w:rPr>
          <w:rStyle w:val="AERtextitalic"/>
        </w:rPr>
        <w:t>Gamma and the ACT Decision</w:t>
      </w:r>
      <w:r>
        <w:t>, May 2016, p. 22.</w:t>
      </w:r>
    </w:p>
  </w:footnote>
  <w:footnote w:id="173">
    <w:p w:rsidR="00B31E52" w:rsidRDefault="00B31E52" w:rsidP="00C52695">
      <w:pPr>
        <w:pStyle w:val="FootnoteText"/>
      </w:pPr>
      <w:r>
        <w:rPr>
          <w:rStyle w:val="FootnoteReference"/>
        </w:rPr>
        <w:footnoteRef/>
      </w:r>
      <w:r>
        <w:t xml:space="preserve"> </w:t>
      </w:r>
      <w:r>
        <w:tab/>
        <w:t xml:space="preserve">SFG, </w:t>
      </w:r>
      <w:r w:rsidRPr="00C014CC">
        <w:rPr>
          <w:rStyle w:val="AERtextitalic"/>
        </w:rPr>
        <w:t>An appropriate regulatory estimate of gamma</w:t>
      </w:r>
      <w:r>
        <w:t>, 21 May 2014, paras. 17 and 20.</w:t>
      </w:r>
    </w:p>
  </w:footnote>
  <w:footnote w:id="174">
    <w:p w:rsidR="00B31E52" w:rsidRDefault="00B31E52" w:rsidP="00C52695">
      <w:pPr>
        <w:pStyle w:val="FootnoteText"/>
      </w:pPr>
      <w:r>
        <w:rPr>
          <w:rStyle w:val="FootnoteReference"/>
        </w:rPr>
        <w:footnoteRef/>
      </w:r>
      <w:r>
        <w:t xml:space="preserve"> </w:t>
      </w:r>
      <w:r>
        <w:tab/>
        <w:t xml:space="preserve">Economic Regulation Authority, </w:t>
      </w:r>
      <w:r w:rsidRPr="00D5068A">
        <w:rPr>
          <w:rStyle w:val="AERtextitalic"/>
        </w:rPr>
        <w:t xml:space="preserve">Explanatory </w:t>
      </w:r>
      <w:r>
        <w:rPr>
          <w:rStyle w:val="AERtextitalic"/>
        </w:rPr>
        <w:t>S</w:t>
      </w:r>
      <w:r w:rsidRPr="00D5068A">
        <w:rPr>
          <w:rStyle w:val="AERtextitalic"/>
        </w:rPr>
        <w:t xml:space="preserve">tatement for the </w:t>
      </w:r>
      <w:r>
        <w:rPr>
          <w:rStyle w:val="AERtextitalic"/>
        </w:rPr>
        <w:t>R</w:t>
      </w:r>
      <w:r w:rsidRPr="00D5068A">
        <w:rPr>
          <w:rStyle w:val="AERtextitalic"/>
        </w:rPr>
        <w:t xml:space="preserve">ate of </w:t>
      </w:r>
      <w:r>
        <w:rPr>
          <w:rStyle w:val="AERtextitalic"/>
        </w:rPr>
        <w:t>R</w:t>
      </w:r>
      <w:r w:rsidRPr="00D5068A">
        <w:rPr>
          <w:rStyle w:val="AERtextitalic"/>
        </w:rPr>
        <w:t xml:space="preserve">eturn </w:t>
      </w:r>
      <w:r>
        <w:rPr>
          <w:rStyle w:val="AERtextitalic"/>
        </w:rPr>
        <w:t>G</w:t>
      </w:r>
      <w:r w:rsidRPr="00D5068A">
        <w:rPr>
          <w:rStyle w:val="AERtextitalic"/>
        </w:rPr>
        <w:t>uidelines</w:t>
      </w:r>
      <w:r>
        <w:t>, 13 December 2013, para. 921.</w:t>
      </w:r>
    </w:p>
  </w:footnote>
  <w:footnote w:id="175">
    <w:p w:rsidR="00B31E52" w:rsidRDefault="00B31E52" w:rsidP="00C52695">
      <w:pPr>
        <w:pStyle w:val="FootnoteText"/>
      </w:pPr>
      <w:r>
        <w:rPr>
          <w:rStyle w:val="FootnoteReference"/>
        </w:rPr>
        <w:footnoteRef/>
      </w:r>
      <w:r>
        <w:t xml:space="preserve"> </w:t>
      </w:r>
      <w:r>
        <w:tab/>
      </w:r>
      <w:r w:rsidRPr="00582678">
        <w:t xml:space="preserve">M. Lally, </w:t>
      </w:r>
      <w:r w:rsidRPr="00582678">
        <w:rPr>
          <w:rStyle w:val="AERtextitalic"/>
        </w:rPr>
        <w:t>The estimation of gamma</w:t>
      </w:r>
      <w:r w:rsidRPr="00582678">
        <w:t>, 23 November 2013</w:t>
      </w:r>
      <w:r>
        <w:t>, pp. 20–30.</w:t>
      </w:r>
    </w:p>
  </w:footnote>
  <w:footnote w:id="176">
    <w:p w:rsidR="00B31E52" w:rsidRDefault="00B31E52" w:rsidP="00682278">
      <w:pPr>
        <w:pStyle w:val="FootnoteText"/>
      </w:pPr>
      <w:r>
        <w:rPr>
          <w:rStyle w:val="FootnoteReference"/>
        </w:rPr>
        <w:footnoteRef/>
      </w:r>
      <w:r>
        <w:t xml:space="preserve"> </w:t>
      </w:r>
      <w:r>
        <w:tab/>
      </w:r>
      <w:r w:rsidRPr="00582678">
        <w:t xml:space="preserve">M. Lally, </w:t>
      </w:r>
      <w:r w:rsidRPr="00582678">
        <w:rPr>
          <w:rStyle w:val="AERtextitalic"/>
        </w:rPr>
        <w:t>The estimation of gamma</w:t>
      </w:r>
      <w:r w:rsidRPr="00582678">
        <w:t>, 23 November 2013</w:t>
      </w:r>
      <w:r>
        <w:t xml:space="preserve">, pp. 24–26 and 28–29; M. Lally, </w:t>
      </w:r>
      <w:r w:rsidRPr="008916E4">
        <w:rPr>
          <w:rStyle w:val="AERtextitalic"/>
        </w:rPr>
        <w:t>Review of submissions to the QCA on the MRP, risk-free rate and gamma</w:t>
      </w:r>
      <w:r>
        <w:t xml:space="preserve">, 12 March 2014, pp. 35–38; M. Lally, </w:t>
      </w:r>
      <w:r w:rsidRPr="00E750F8">
        <w:rPr>
          <w:rStyle w:val="AERtextitalic"/>
        </w:rPr>
        <w:t>Issues in the estimation of gamma</w:t>
      </w:r>
      <w:r>
        <w:t>, April 2017</w:t>
      </w:r>
      <w:r w:rsidRPr="00AF1BD9">
        <w:rPr>
          <w:rStyle w:val="AERtextitalic"/>
          <w:i w:val="0"/>
        </w:rPr>
        <w:t>, pp. 4-6.</w:t>
      </w:r>
    </w:p>
  </w:footnote>
  <w:footnote w:id="177">
    <w:p w:rsidR="00B31E52" w:rsidRDefault="00B31E52" w:rsidP="00C52695">
      <w:pPr>
        <w:pStyle w:val="FootnoteText"/>
      </w:pPr>
      <w:r>
        <w:rPr>
          <w:rStyle w:val="FootnoteReference"/>
        </w:rPr>
        <w:footnoteRef/>
      </w:r>
      <w:r>
        <w:t xml:space="preserve"> </w:t>
      </w:r>
      <w:r>
        <w:tab/>
      </w:r>
      <w:r w:rsidRPr="00712BC2">
        <w:t xml:space="preserve">M. Lally, </w:t>
      </w:r>
      <w:r>
        <w:rPr>
          <w:rStyle w:val="AERtextitalic"/>
        </w:rPr>
        <w:t>Gamma and the ACT Decision</w:t>
      </w:r>
      <w:r>
        <w:t>, May 2016, pp. 4–5, 23, 31.</w:t>
      </w:r>
    </w:p>
  </w:footnote>
  <w:footnote w:id="178">
    <w:p w:rsidR="00B31E52" w:rsidRDefault="00B31E52" w:rsidP="00C52695">
      <w:pPr>
        <w:pStyle w:val="FootnoteText"/>
      </w:pPr>
      <w:r>
        <w:rPr>
          <w:rStyle w:val="FootnoteReference"/>
        </w:rPr>
        <w:footnoteRef/>
      </w:r>
      <w:r>
        <w:t xml:space="preserve"> </w:t>
      </w:r>
      <w:r>
        <w:tab/>
        <w:t xml:space="preserve">M. McKenzie and G. Partington, </w:t>
      </w:r>
      <w:r w:rsidRPr="00523EF7">
        <w:rPr>
          <w:rStyle w:val="AERtextitalic"/>
        </w:rPr>
        <w:t>Report to the Queensland Resources Council: Review of Aurizon Network’s draft access undertaking</w:t>
      </w:r>
      <w:r>
        <w:t>, 5 October 2013, p. 34.</w:t>
      </w:r>
    </w:p>
  </w:footnote>
  <w:footnote w:id="179">
    <w:p w:rsidR="00B31E52" w:rsidRDefault="00B31E52" w:rsidP="00C52695">
      <w:pPr>
        <w:pStyle w:val="FootnoteText"/>
      </w:pPr>
      <w:r>
        <w:rPr>
          <w:rStyle w:val="FootnoteReference"/>
        </w:rPr>
        <w:footnoteRef/>
      </w:r>
      <w:r>
        <w:t xml:space="preserve"> </w:t>
      </w:r>
      <w:r>
        <w:tab/>
        <w:t xml:space="preserve">Frontier Economics, </w:t>
      </w:r>
      <w:r w:rsidRPr="00D14DE4">
        <w:rPr>
          <w:rStyle w:val="AERtextitalic"/>
        </w:rPr>
        <w:t>An appropriate regulatory estimate of gamma</w:t>
      </w:r>
      <w:r>
        <w:t>, June 2015, p. 35.</w:t>
      </w:r>
    </w:p>
  </w:footnote>
  <w:footnote w:id="180">
    <w:p w:rsidR="00B31E52" w:rsidRDefault="00B31E52" w:rsidP="00C52695">
      <w:pPr>
        <w:pStyle w:val="FootnoteText"/>
      </w:pPr>
      <w:r>
        <w:rPr>
          <w:rStyle w:val="FootnoteReference"/>
        </w:rPr>
        <w:footnoteRef/>
      </w:r>
      <w:r>
        <w:t xml:space="preserve"> </w:t>
      </w:r>
      <w:r>
        <w:tab/>
      </w:r>
      <w:r w:rsidRPr="004D735C">
        <w:t xml:space="preserve">J. Handley, </w:t>
      </w:r>
      <w:r w:rsidRPr="008916E4">
        <w:rPr>
          <w:rStyle w:val="AERtextitalic"/>
        </w:rPr>
        <w:t>Report prepared for the Australian Energy Regulator: Advice on the value of imputation credits</w:t>
      </w:r>
      <w:r w:rsidRPr="004D735C">
        <w:t>, 29 September 201</w:t>
      </w:r>
      <w:r>
        <w:t xml:space="preserve">4, pp. 43–44; J. Handley, </w:t>
      </w:r>
      <w:r w:rsidRPr="00626887">
        <w:rPr>
          <w:rStyle w:val="AERtextitalic"/>
        </w:rPr>
        <w:t>Report prepared for the Australian Energy Regulator: Further advice on the value of imputation credits</w:t>
      </w:r>
      <w:r>
        <w:t xml:space="preserve">, 16 April 2015, p. 16; </w:t>
      </w:r>
      <w:r w:rsidRPr="00582678">
        <w:t xml:space="preserve">M. Lally, </w:t>
      </w:r>
      <w:r w:rsidRPr="00582678">
        <w:rPr>
          <w:rStyle w:val="AERtextitalic"/>
        </w:rPr>
        <w:t>The estimation of gamma</w:t>
      </w:r>
      <w:r w:rsidRPr="00582678">
        <w:t>, 23 November 2013</w:t>
      </w:r>
      <w:r>
        <w:t xml:space="preserve">, p. 21. </w:t>
      </w:r>
    </w:p>
  </w:footnote>
  <w:footnote w:id="181">
    <w:p w:rsidR="00B31E52" w:rsidRDefault="00B31E52" w:rsidP="00C52695">
      <w:pPr>
        <w:pStyle w:val="FootnoteText"/>
      </w:pPr>
      <w:r>
        <w:rPr>
          <w:rStyle w:val="FootnoteReference"/>
        </w:rPr>
        <w:footnoteRef/>
      </w:r>
      <w:r>
        <w:t xml:space="preserve"> </w:t>
      </w:r>
      <w:r>
        <w:tab/>
      </w:r>
      <w:r w:rsidRPr="00255370">
        <w:t xml:space="preserve">In the appendix to the </w:t>
      </w:r>
      <w:r>
        <w:t>G</w:t>
      </w:r>
      <w:r w:rsidRPr="00255370">
        <w:t xml:space="preserve">uideline we </w:t>
      </w:r>
      <w:r>
        <w:t xml:space="preserve">noted that this adjustment was </w:t>
      </w:r>
      <w:r w:rsidRPr="00255370">
        <w:t>contentiou</w:t>
      </w:r>
      <w:r>
        <w:t>s and required further examination</w:t>
      </w:r>
      <w:r w:rsidRPr="00255370">
        <w:t xml:space="preserve">.  </w:t>
      </w:r>
      <w:r>
        <w:t>In his recent</w:t>
      </w:r>
      <w:r w:rsidRPr="00255370">
        <w:t xml:space="preserve"> advice</w:t>
      </w:r>
      <w:r>
        <w:t xml:space="preserve">, </w:t>
      </w:r>
      <w:r w:rsidRPr="00255370">
        <w:t xml:space="preserve">Handley </w:t>
      </w:r>
      <w:r>
        <w:t xml:space="preserve">also advised </w:t>
      </w:r>
      <w:r w:rsidRPr="00255370">
        <w:t>that this adjustment should be applied.</w:t>
      </w:r>
      <w:r>
        <w:t xml:space="preserve"> Having given this issue further consideration, we agree with the advice from Lally and Handley that estimates from dividend drop off studies should he adjusted in this manner for the reasons that Lally and Handley explain.</w:t>
      </w:r>
    </w:p>
  </w:footnote>
  <w:footnote w:id="182">
    <w:p w:rsidR="00B31E52" w:rsidRDefault="00B31E52" w:rsidP="00C52695">
      <w:pPr>
        <w:pStyle w:val="FootnoteText"/>
      </w:pPr>
      <w:r>
        <w:rPr>
          <w:rStyle w:val="FootnoteReference"/>
        </w:rPr>
        <w:footnoteRef/>
      </w:r>
      <w:r>
        <w:t xml:space="preserve"> </w:t>
      </w:r>
      <w:r>
        <w:tab/>
        <w:t xml:space="preserve">M. McKenzie and G. Partington, </w:t>
      </w:r>
      <w:r w:rsidRPr="00523EF7">
        <w:rPr>
          <w:rStyle w:val="AERtextitalic"/>
        </w:rPr>
        <w:t>Report to the Queensland Resources Council: Review of Aurizon Network’s draft access undertaking</w:t>
      </w:r>
      <w:r>
        <w:t>, 5 October 2013, pp. 33–35.</w:t>
      </w:r>
    </w:p>
  </w:footnote>
  <w:footnote w:id="183">
    <w:p w:rsidR="00B31E52" w:rsidRDefault="00B31E52" w:rsidP="00C52695">
      <w:pPr>
        <w:pStyle w:val="FootnoteText"/>
      </w:pPr>
      <w:r>
        <w:rPr>
          <w:rStyle w:val="FootnoteReference"/>
        </w:rPr>
        <w:footnoteRef/>
      </w:r>
      <w:r>
        <w:t xml:space="preserve"> </w:t>
      </w:r>
      <w:r>
        <w:tab/>
        <w:t xml:space="preserve">SFG, </w:t>
      </w:r>
      <w:r w:rsidRPr="00C014CC">
        <w:rPr>
          <w:rStyle w:val="AERtextitalic"/>
        </w:rPr>
        <w:t>An appropriate regulatory estimate of gamma</w:t>
      </w:r>
      <w:r>
        <w:t>, 21 May 2014, paras. 17 and 20.</w:t>
      </w:r>
    </w:p>
  </w:footnote>
  <w:footnote w:id="184">
    <w:p w:rsidR="00B31E52" w:rsidRDefault="00B31E52" w:rsidP="00C52695">
      <w:pPr>
        <w:pStyle w:val="FootnoteText"/>
      </w:pPr>
      <w:r>
        <w:rPr>
          <w:rStyle w:val="FootnoteReference"/>
        </w:rPr>
        <w:footnoteRef/>
      </w:r>
      <w:r>
        <w:t xml:space="preserve"> </w:t>
      </w:r>
      <w:r>
        <w:tab/>
        <w:t xml:space="preserve">Frontier Economics, </w:t>
      </w:r>
      <w:r w:rsidRPr="00D14DE4">
        <w:rPr>
          <w:rStyle w:val="AERtextitalic"/>
        </w:rPr>
        <w:t>An appropriate regulatory estimate of gamma</w:t>
      </w:r>
      <w:r>
        <w:t xml:space="preserve">, June 2015, p. 33; </w:t>
      </w:r>
      <w:r w:rsidRPr="00C13949">
        <w:t xml:space="preserve"> </w:t>
      </w:r>
      <w:r>
        <w:t xml:space="preserve">Frontier Economics, </w:t>
      </w:r>
      <w:r>
        <w:rPr>
          <w:rStyle w:val="AERtextitalic"/>
        </w:rPr>
        <w:t>Regulatory estimation of gamma report prepared for Powerlink</w:t>
      </w:r>
      <w:r>
        <w:t xml:space="preserve">, January 2016, p. 10; </w:t>
      </w:r>
      <w:r w:rsidRPr="002110F5">
        <w:t xml:space="preserve"> </w:t>
      </w:r>
      <w:r>
        <w:t xml:space="preserve">Frontier Economics, </w:t>
      </w:r>
      <w:r>
        <w:rPr>
          <w:rStyle w:val="AERtextitalic"/>
        </w:rPr>
        <w:t>Regulatory An updated dividend drop-off estimate of theta</w:t>
      </w:r>
      <w:r>
        <w:t>, September 2016.</w:t>
      </w:r>
    </w:p>
  </w:footnote>
  <w:footnote w:id="185">
    <w:p w:rsidR="00B31E52" w:rsidRDefault="00B31E52" w:rsidP="00C52695">
      <w:pPr>
        <w:pStyle w:val="FootnoteText"/>
      </w:pPr>
      <w:r>
        <w:rPr>
          <w:rStyle w:val="FootnoteReference"/>
        </w:rPr>
        <w:footnoteRef/>
      </w:r>
      <w:r>
        <w:t xml:space="preserve"> </w:t>
      </w:r>
      <w:r>
        <w:tab/>
        <w:t xml:space="preserve">Frontier Economics, </w:t>
      </w:r>
      <w:r w:rsidRPr="00D14DE4">
        <w:rPr>
          <w:rStyle w:val="AERtextitalic"/>
        </w:rPr>
        <w:t>An appropriate regulatory estimate of gamma</w:t>
      </w:r>
      <w:r>
        <w:t>, June 2015, p. 35.</w:t>
      </w:r>
    </w:p>
  </w:footnote>
  <w:footnote w:id="186">
    <w:p w:rsidR="00B31E52" w:rsidRDefault="00B31E52" w:rsidP="00787430">
      <w:pPr>
        <w:pStyle w:val="FootnoteText"/>
      </w:pPr>
      <w:r>
        <w:rPr>
          <w:rStyle w:val="FootnoteReference"/>
        </w:rPr>
        <w:footnoteRef/>
      </w:r>
      <w:r>
        <w:t xml:space="preserve"> </w:t>
      </w:r>
      <w:r>
        <w:tab/>
      </w:r>
      <w:r w:rsidRPr="003E1CE7">
        <w:t xml:space="preserve">AusNet Transmission, </w:t>
      </w:r>
      <w:r w:rsidRPr="003E1CE7">
        <w:rPr>
          <w:rStyle w:val="AERtextitalic"/>
        </w:rPr>
        <w:t>Transmission Revenue Review 2017-2022</w:t>
      </w:r>
      <w:r w:rsidRPr="003E1CE7">
        <w:t>, October 2015, p</w:t>
      </w:r>
      <w:r>
        <w:t>p</w:t>
      </w:r>
      <w:r w:rsidRPr="003E1CE7">
        <w:t>. </w:t>
      </w:r>
      <w:r>
        <w:t xml:space="preserve">288 and 289; United Energy, </w:t>
      </w:r>
      <w:r w:rsidRPr="006B5C23">
        <w:rPr>
          <w:rStyle w:val="AERtextitalic"/>
        </w:rPr>
        <w:t>Submission on AER preliminary determination - Submission on gamma</w:t>
      </w:r>
      <w:r>
        <w:t xml:space="preserve">, 26 April 2016; Australian Gas Networks, </w:t>
      </w:r>
      <w:r>
        <w:rPr>
          <w:rStyle w:val="AERtextitalic"/>
        </w:rPr>
        <w:t>Attachment 11 Response to Draft Decision: Cost of Tax</w:t>
      </w:r>
      <w:r>
        <w:t xml:space="preserve">, January 2016, pp. 2, 4, 6:  ActewAGL, </w:t>
      </w:r>
      <w:r w:rsidRPr="00AF5B33">
        <w:rPr>
          <w:rStyle w:val="AERtextitalic"/>
        </w:rPr>
        <w:t>Appendix 5.01 Detailed response to rate of return, gamma and inflation</w:t>
      </w:r>
      <w:r>
        <w:t xml:space="preserve">, January 2016, p. 40; AusNet Electricity Services, </w:t>
      </w:r>
      <w:r w:rsidRPr="00AF5B33">
        <w:rPr>
          <w:rStyle w:val="AERtextitalic"/>
        </w:rPr>
        <w:t>Revised Regulatory Proposal</w:t>
      </w:r>
      <w:r>
        <w:t xml:space="preserve">, January 2016, p. 7-79; United Energy, </w:t>
      </w:r>
      <w:r w:rsidRPr="00AF5B33">
        <w:rPr>
          <w:rStyle w:val="AERtextitalic"/>
        </w:rPr>
        <w:t>Response to AER Preliminary Determination Re: Rate of return and gamma</w:t>
      </w:r>
      <w:r>
        <w:t xml:space="preserve">, January 2016, p. 80; CitiPower, </w:t>
      </w:r>
      <w:r w:rsidRPr="00AF5B33">
        <w:rPr>
          <w:rStyle w:val="AERtextitalic"/>
        </w:rPr>
        <w:t>Revised Regulatory Proposal 2016-2020</w:t>
      </w:r>
      <w:r>
        <w:t xml:space="preserve">; January 2016, p. 358; Jemena Electricity Networks, </w:t>
      </w:r>
      <w:r w:rsidRPr="00AF5B33">
        <w:rPr>
          <w:rStyle w:val="AERtextitalic"/>
        </w:rPr>
        <w:t>Attachment 6-1 Rate of return, gamma, forecast inflation, and debt and equity raising costs</w:t>
      </w:r>
      <w:r>
        <w:t xml:space="preserve">, January 2016, p. 86; Powercor, </w:t>
      </w:r>
      <w:r w:rsidRPr="00AF5B33">
        <w:rPr>
          <w:rStyle w:val="AERtextitalic"/>
        </w:rPr>
        <w:t>Revised Regulatory Proposal 2016-2020</w:t>
      </w:r>
      <w:r>
        <w:t>, January 2016, p. 352;</w:t>
      </w:r>
      <w:r w:rsidRPr="00B022C2">
        <w:t xml:space="preserve"> Multinet, </w:t>
      </w:r>
      <w:r w:rsidRPr="008B1CA1">
        <w:rPr>
          <w:rStyle w:val="AERtextitalic"/>
        </w:rPr>
        <w:t>Corporate Income Tax Overview</w:t>
      </w:r>
      <w:r>
        <w:t xml:space="preserve">, December 2016, p. 8; </w:t>
      </w:r>
      <w:r w:rsidRPr="00787430">
        <w:t xml:space="preserve">AusNet Services Gas Distribution, </w:t>
      </w:r>
      <w:r w:rsidRPr="008B1CA1">
        <w:rPr>
          <w:rStyle w:val="AERtextitalic"/>
        </w:rPr>
        <w:t>Gas Access Arrangement Review 2018-2022</w:t>
      </w:r>
      <w:r>
        <w:t>, December 2016, p. 238</w:t>
      </w:r>
      <w:r w:rsidRPr="00787430">
        <w:t>.</w:t>
      </w:r>
    </w:p>
  </w:footnote>
  <w:footnote w:id="187">
    <w:p w:rsidR="00B31E52" w:rsidRDefault="00B31E52" w:rsidP="00EA4E82">
      <w:pPr>
        <w:pStyle w:val="FootnoteText"/>
      </w:pPr>
      <w:r>
        <w:rPr>
          <w:rStyle w:val="FootnoteReference"/>
        </w:rPr>
        <w:footnoteRef/>
      </w:r>
      <w:r>
        <w:t xml:space="preserve"> </w:t>
      </w:r>
      <w:r>
        <w:tab/>
        <w:t>Powerlink</w:t>
      </w:r>
      <w:r w:rsidRPr="003E1CE7">
        <w:t xml:space="preserve">, </w:t>
      </w:r>
      <w:r>
        <w:rPr>
          <w:rStyle w:val="AERtextitalic"/>
        </w:rPr>
        <w:t>Powerlink Queensland Revenue Proposal Appendix 9.02</w:t>
      </w:r>
      <w:r w:rsidRPr="003E1CE7">
        <w:t xml:space="preserve">, </w:t>
      </w:r>
      <w:r>
        <w:t>31 January 2016, p</w:t>
      </w:r>
      <w:r w:rsidRPr="003E1CE7">
        <w:t>. </w:t>
      </w:r>
      <w:r>
        <w:t xml:space="preserve">6; Frontier Economics, </w:t>
      </w:r>
      <w:r>
        <w:rPr>
          <w:rStyle w:val="AERtextitalic"/>
        </w:rPr>
        <w:t>Regulatory estimation of gamma report prepared for Powerlink</w:t>
      </w:r>
      <w:r>
        <w:t xml:space="preserve">, January 2016, pp. 7-10;  </w:t>
      </w:r>
      <w:r w:rsidRPr="00EA4E82">
        <w:t xml:space="preserve">Frontier Economics, </w:t>
      </w:r>
      <w:r w:rsidRPr="008B1CA1">
        <w:rPr>
          <w:rStyle w:val="AERtextitalic"/>
        </w:rPr>
        <w:t>Perspectives for the estimation of gamma</w:t>
      </w:r>
      <w:r w:rsidRPr="00EA4E82">
        <w:t>, December 2016</w:t>
      </w:r>
      <w:r>
        <w:t>, para 35</w:t>
      </w:r>
    </w:p>
  </w:footnote>
  <w:footnote w:id="188">
    <w:p w:rsidR="00B31E52" w:rsidRDefault="00B31E52" w:rsidP="00C52695">
      <w:pPr>
        <w:pStyle w:val="FootnoteText"/>
      </w:pPr>
      <w:r>
        <w:rPr>
          <w:rStyle w:val="FootnoteReference"/>
        </w:rPr>
        <w:footnoteRef/>
      </w:r>
      <w:r>
        <w:t xml:space="preserve"> </w:t>
      </w:r>
      <w:r>
        <w:tab/>
        <w:t>Powerlink</w:t>
      </w:r>
      <w:r w:rsidRPr="003E1CE7">
        <w:t xml:space="preserve">, </w:t>
      </w:r>
      <w:r>
        <w:rPr>
          <w:rStyle w:val="AERtextitalic"/>
        </w:rPr>
        <w:t>Powerlink Queensland Revenue Proposal Appendix 9.02</w:t>
      </w:r>
      <w:r w:rsidRPr="003E1CE7">
        <w:t xml:space="preserve">, </w:t>
      </w:r>
      <w:r>
        <w:t>31 January 2016, p</w:t>
      </w:r>
      <w:r w:rsidRPr="003E1CE7">
        <w:t>. </w:t>
      </w:r>
      <w:r>
        <w:t>6.</w:t>
      </w:r>
    </w:p>
  </w:footnote>
  <w:footnote w:id="189">
    <w:p w:rsidR="00B31E52" w:rsidRDefault="00B31E52" w:rsidP="00C52695">
      <w:pPr>
        <w:pStyle w:val="FootnoteText"/>
      </w:pPr>
      <w:r>
        <w:rPr>
          <w:rStyle w:val="FootnoteReference"/>
        </w:rPr>
        <w:footnoteRef/>
      </w:r>
      <w:r>
        <w:t xml:space="preserve"> </w:t>
      </w:r>
      <w:r>
        <w:tab/>
      </w:r>
      <w:r w:rsidRPr="00CE62A1">
        <w:t xml:space="preserve">Australian Competition Tribunal, </w:t>
      </w:r>
      <w:r w:rsidRPr="00CE62A1">
        <w:rPr>
          <w:rStyle w:val="AERtextitalic"/>
        </w:rPr>
        <w:t>Application by Public Interest Advocacy Centre Ltd and Ausgrid [2016] ACompT 1</w:t>
      </w:r>
      <w:r w:rsidRPr="00CE62A1">
        <w:t>, 26 February 2016, paras. 1095</w:t>
      </w:r>
      <w:r w:rsidRPr="005764F6">
        <w:t>.</w:t>
      </w:r>
    </w:p>
  </w:footnote>
  <w:footnote w:id="190">
    <w:p w:rsidR="00B31E52" w:rsidRDefault="00B31E52" w:rsidP="00787430">
      <w:pPr>
        <w:pStyle w:val="FootnoteText"/>
      </w:pPr>
      <w:r>
        <w:rPr>
          <w:rStyle w:val="FootnoteReference"/>
        </w:rPr>
        <w:footnoteRef/>
      </w:r>
      <w:r>
        <w:t xml:space="preserve"> </w:t>
      </w:r>
      <w:r>
        <w:tab/>
      </w:r>
      <w:r w:rsidRPr="003E1CE7">
        <w:t xml:space="preserve">AusNet Transmission, </w:t>
      </w:r>
      <w:r w:rsidRPr="003E1CE7">
        <w:rPr>
          <w:rStyle w:val="AERtextitalic"/>
        </w:rPr>
        <w:t>Transmission Revenue Review 2017-2022</w:t>
      </w:r>
      <w:r w:rsidRPr="003E1CE7">
        <w:t>, October 2015, p. </w:t>
      </w:r>
      <w:r>
        <w:t xml:space="preserve">286; United Energy, </w:t>
      </w:r>
      <w:r w:rsidRPr="006B5C23">
        <w:rPr>
          <w:rStyle w:val="AERtextitalic"/>
        </w:rPr>
        <w:t>Submission on AER preliminary determination - Submission on gamma</w:t>
      </w:r>
      <w:r>
        <w:t xml:space="preserve">, 26 April 2016; Australian Gas Networks, </w:t>
      </w:r>
      <w:r>
        <w:rPr>
          <w:rStyle w:val="AERtextitalic"/>
        </w:rPr>
        <w:t>Attachment 11 Response to Draft Decision: Cost of Tax</w:t>
      </w:r>
      <w:r>
        <w:t xml:space="preserve">, January 2016, pp. 7-9; ActewAGL, </w:t>
      </w:r>
      <w:r w:rsidRPr="00AF5B33">
        <w:rPr>
          <w:rStyle w:val="AERtextitalic"/>
        </w:rPr>
        <w:t>Appendix 5.01 Detailed response to rate of return, gamma and inflation</w:t>
      </w:r>
      <w:r>
        <w:t xml:space="preserve">, January 2016, pp. 109-110; AusNet Electricity Services, </w:t>
      </w:r>
      <w:r w:rsidRPr="00AF5B33">
        <w:rPr>
          <w:rStyle w:val="AERtextitalic"/>
        </w:rPr>
        <w:t>Revised Regulatory Proposal</w:t>
      </w:r>
      <w:r>
        <w:t xml:space="preserve">, January 2016, pp. 7-80, 7-81; United Energy, </w:t>
      </w:r>
      <w:r w:rsidRPr="00AF5B33">
        <w:rPr>
          <w:rStyle w:val="AERtextitalic"/>
        </w:rPr>
        <w:t>Response to AER Preliminary Determination Re: Rate of return and gamma</w:t>
      </w:r>
      <w:r>
        <w:t xml:space="preserve">, January 2016, pp. 87-88; CitiPower, </w:t>
      </w:r>
      <w:r w:rsidRPr="00AF5B33">
        <w:rPr>
          <w:rStyle w:val="AERtextitalic"/>
        </w:rPr>
        <w:t>Revised Regulatory Proposal 2016-2020</w:t>
      </w:r>
      <w:r>
        <w:t xml:space="preserve">; January 2016, pp. 359-360; Jemena Electricity Networks, </w:t>
      </w:r>
      <w:r w:rsidRPr="00AF5B33">
        <w:rPr>
          <w:rStyle w:val="AERtextitalic"/>
        </w:rPr>
        <w:t>Attachment 6-1 Rate of return, gamma, forecast inflation, and debt and equity raising costs</w:t>
      </w:r>
      <w:r>
        <w:t xml:space="preserve">, January 2016, pp. 87-88; Powercor, </w:t>
      </w:r>
      <w:r w:rsidRPr="00AF5B33">
        <w:rPr>
          <w:rStyle w:val="AERtextitalic"/>
        </w:rPr>
        <w:t>Revised Regulatory Proposal 2016-2020</w:t>
      </w:r>
      <w:r>
        <w:t xml:space="preserve">, January 2016, pp. 353-354; AusNet Transmission, </w:t>
      </w:r>
      <w:r>
        <w:rPr>
          <w:rStyle w:val="AERtextitalic"/>
        </w:rPr>
        <w:t>Transmission Revenue Proposal Review 2017-2022, Revised Revenue Proposal</w:t>
      </w:r>
      <w:r>
        <w:t xml:space="preserve">, 21 September 2016, pp. 205-206; Frontier Economics, </w:t>
      </w:r>
      <w:r>
        <w:rPr>
          <w:rStyle w:val="AERtextitalic"/>
        </w:rPr>
        <w:t>Issues in the estimation of gamma</w:t>
      </w:r>
      <w:r>
        <w:t xml:space="preserve">, September 2016, p. 3; </w:t>
      </w:r>
      <w:r w:rsidRPr="002D320C">
        <w:t xml:space="preserve"> Multinet, </w:t>
      </w:r>
      <w:r w:rsidRPr="008B1CA1">
        <w:rPr>
          <w:rStyle w:val="AERtextitalic"/>
        </w:rPr>
        <w:t>Corporate Income Tax Overview</w:t>
      </w:r>
      <w:r>
        <w:t>, December 2016, p. 12;</w:t>
      </w:r>
      <w:r w:rsidRPr="00787430">
        <w:t xml:space="preserve"> </w:t>
      </w:r>
      <w:r>
        <w:t xml:space="preserve">AusNet Services Gas Distribution, </w:t>
      </w:r>
      <w:r w:rsidRPr="008B1CA1">
        <w:rPr>
          <w:rStyle w:val="AERtextitalic"/>
        </w:rPr>
        <w:t>Gas Access Arrangement Review 2018-2022</w:t>
      </w:r>
      <w:r>
        <w:t>, December 2016, p. 243.</w:t>
      </w:r>
    </w:p>
  </w:footnote>
  <w:footnote w:id="191">
    <w:p w:rsidR="00B31E52" w:rsidRDefault="00B31E52" w:rsidP="00C52695">
      <w:pPr>
        <w:pStyle w:val="FootnoteText"/>
      </w:pPr>
      <w:r>
        <w:rPr>
          <w:rStyle w:val="FootnoteReference"/>
        </w:rPr>
        <w:footnoteRef/>
      </w:r>
      <w:r>
        <w:t xml:space="preserve"> </w:t>
      </w:r>
      <w:r>
        <w:tab/>
      </w:r>
      <w:r w:rsidRPr="003E1CE7">
        <w:t xml:space="preserve">AusNet Transmission, </w:t>
      </w:r>
      <w:r w:rsidRPr="003E1CE7">
        <w:rPr>
          <w:rStyle w:val="AERtextitalic"/>
        </w:rPr>
        <w:t>Transmission Revenue Review 2017-2022</w:t>
      </w:r>
      <w:r w:rsidRPr="003E1CE7">
        <w:t>, October 2015, p. </w:t>
      </w:r>
      <w:r>
        <w:t xml:space="preserve">292; Australian Gas Networks, </w:t>
      </w:r>
      <w:r>
        <w:rPr>
          <w:rStyle w:val="AERtextitalic"/>
        </w:rPr>
        <w:t>Attachment 11 Response to Draft Decision: Cost of Tax</w:t>
      </w:r>
      <w:r>
        <w:t xml:space="preserve">, January 2016, pp. 7-9; ActewAGL, </w:t>
      </w:r>
      <w:r w:rsidRPr="00AF5B33">
        <w:rPr>
          <w:rStyle w:val="AERtextitalic"/>
        </w:rPr>
        <w:t>Appendix 5.01 Detailed response to rate of return, gamma and inflation</w:t>
      </w:r>
      <w:r>
        <w:t xml:space="preserve">, January 2016, pp. 109-110; AusNet Electricity Services, </w:t>
      </w:r>
      <w:r w:rsidRPr="00AF5B33">
        <w:rPr>
          <w:rStyle w:val="AERtextitalic"/>
        </w:rPr>
        <w:t>Revised Regulatory Proposal</w:t>
      </w:r>
      <w:r>
        <w:t xml:space="preserve">, January 2016, pp. 7-80, 7-81; United Energy, </w:t>
      </w:r>
      <w:r w:rsidRPr="00AF5B33">
        <w:rPr>
          <w:rStyle w:val="AERtextitalic"/>
        </w:rPr>
        <w:t>Response to AER Preliminary Determination Re: Rate of return and gamma</w:t>
      </w:r>
      <w:r>
        <w:t xml:space="preserve">, January 2016, pp. 87-88; CitiPower, </w:t>
      </w:r>
      <w:r w:rsidRPr="00AF5B33">
        <w:rPr>
          <w:rStyle w:val="AERtextitalic"/>
        </w:rPr>
        <w:t>Revised Regulatory Proposal 2016-2020</w:t>
      </w:r>
      <w:r>
        <w:t xml:space="preserve">; January 2016, pp. 359-360; Jemena Electricity Networks, </w:t>
      </w:r>
      <w:r w:rsidRPr="00AF5B33">
        <w:rPr>
          <w:rStyle w:val="AERtextitalic"/>
        </w:rPr>
        <w:t>Attachment 6-1 Rate of return, gamma, forecast inflation, and debt and equity raising costs</w:t>
      </w:r>
      <w:r>
        <w:t xml:space="preserve">, January 2016, pp. 87-88; Powercor, </w:t>
      </w:r>
      <w:r w:rsidRPr="00AF5B33">
        <w:rPr>
          <w:rStyle w:val="AERtextitalic"/>
        </w:rPr>
        <w:t>Revised Regulatory Proposal 2016-2020</w:t>
      </w:r>
      <w:r>
        <w:t xml:space="preserve">, January 2016, pp. 353-354. Also see </w:t>
      </w:r>
      <w:r w:rsidRPr="005764F6">
        <w:t xml:space="preserve">HoustonKemp, </w:t>
      </w:r>
      <w:r w:rsidRPr="00195F35">
        <w:rPr>
          <w:rStyle w:val="AERtextitalic"/>
        </w:rPr>
        <w:t>A response to the Australian Energy Regulator Draft Decision on Austra</w:t>
      </w:r>
      <w:r w:rsidRPr="001A60DE">
        <w:rPr>
          <w:rStyle w:val="AERtextitalic"/>
        </w:rPr>
        <w:t>lian Gas Networks AA2016 Revenue Reset</w:t>
      </w:r>
      <w:r w:rsidRPr="005764F6">
        <w:t>, February 2016, p. 3</w:t>
      </w:r>
      <w:r>
        <w:t xml:space="preserve">0; AusNet Transmission, </w:t>
      </w:r>
      <w:r>
        <w:rPr>
          <w:rStyle w:val="AERtextitalic"/>
        </w:rPr>
        <w:t>Transmission Revenue Proposal Review 2017-2022, Revised Revenue Proposal</w:t>
      </w:r>
      <w:r>
        <w:t>, 21 September 2016, pp. 205-206.</w:t>
      </w:r>
    </w:p>
  </w:footnote>
  <w:footnote w:id="192">
    <w:p w:rsidR="00B31E52" w:rsidRDefault="00B31E52" w:rsidP="00C52695">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26 February 2016, para. 1106.</w:t>
      </w:r>
    </w:p>
  </w:footnote>
  <w:footnote w:id="193">
    <w:p w:rsidR="00B31E52" w:rsidRDefault="00B31E52" w:rsidP="00C52695">
      <w:pPr>
        <w:pStyle w:val="FootnoteText"/>
      </w:pPr>
      <w:r>
        <w:rPr>
          <w:rStyle w:val="FootnoteReference"/>
        </w:rPr>
        <w:footnoteRef/>
      </w:r>
      <w:r>
        <w:t xml:space="preserve"> </w:t>
      </w:r>
      <w:r>
        <w:tab/>
      </w:r>
      <w:r w:rsidRPr="00CC0A37">
        <w:t xml:space="preserve">Australian Gas Networks, </w:t>
      </w:r>
      <w:r w:rsidRPr="00CC0A37">
        <w:rPr>
          <w:rStyle w:val="AERtextitalic"/>
        </w:rPr>
        <w:t>Attachment 11 Response to Draft Decision: Cost of Tax</w:t>
      </w:r>
      <w:r>
        <w:t xml:space="preserve">, January 2016, </w:t>
      </w:r>
      <w:r w:rsidRPr="00CC0A37">
        <w:t>p. </w:t>
      </w:r>
      <w:r>
        <w:t>4</w:t>
      </w:r>
      <w:r w:rsidRPr="00CC0A37">
        <w:t xml:space="preserve">; ActewAGL, </w:t>
      </w:r>
      <w:r w:rsidRPr="00CC0A37">
        <w:rPr>
          <w:rStyle w:val="AERtextitalic"/>
        </w:rPr>
        <w:t>Appendix 5.01 Detailed response to rate of return, gamma and inflation</w:t>
      </w:r>
      <w:r w:rsidRPr="00CC0A37">
        <w:t>, January 2016, pp</w:t>
      </w:r>
      <w:r>
        <w:t>. 41, 111, 128</w:t>
      </w:r>
      <w:r w:rsidRPr="00CC0A37">
        <w:t xml:space="preserve">; AusNet Electricity Services, </w:t>
      </w:r>
      <w:r w:rsidRPr="00CC0A37">
        <w:rPr>
          <w:rStyle w:val="AERtextitalic"/>
        </w:rPr>
        <w:t>Revised Regulatory Proposal</w:t>
      </w:r>
      <w:r w:rsidRPr="00CC0A37">
        <w:t>, January 2016, pp. </w:t>
      </w:r>
      <w:r>
        <w:t>7-81, 7-95</w:t>
      </w:r>
      <w:r w:rsidRPr="00CC0A37">
        <w:t xml:space="preserve">; United Energy, </w:t>
      </w:r>
      <w:r w:rsidRPr="00CC0A37">
        <w:rPr>
          <w:rStyle w:val="AERtextitalic"/>
        </w:rPr>
        <w:t>Response to AER Preliminary Determination Re: Rate of return and gamma</w:t>
      </w:r>
      <w:r w:rsidRPr="00CC0A37">
        <w:t>, January 2016, pp. </w:t>
      </w:r>
      <w:r>
        <w:t>82, 96</w:t>
      </w:r>
      <w:r w:rsidRPr="00CC0A37">
        <w:t xml:space="preserve">; CitiPower, </w:t>
      </w:r>
      <w:r w:rsidRPr="00CC0A37">
        <w:rPr>
          <w:rStyle w:val="AERtextitalic"/>
        </w:rPr>
        <w:t>Revised Regulatory Proposal 2016-2020</w:t>
      </w:r>
      <w:r w:rsidRPr="00CC0A37">
        <w:t>; January 2016, pp. 36</w:t>
      </w:r>
      <w:r>
        <w:t>0-374</w:t>
      </w:r>
      <w:r w:rsidRPr="00CC0A37">
        <w:t xml:space="preserve">; Jemena Electricity Networks, </w:t>
      </w:r>
      <w:r w:rsidRPr="00CC0A37">
        <w:rPr>
          <w:rStyle w:val="AERtextitalic"/>
        </w:rPr>
        <w:t>Attachment 6-1 Rate of return, gamma, forecast inflation, and debt and equity raising costs</w:t>
      </w:r>
      <w:r w:rsidRPr="00CC0A37">
        <w:t>, January 2016, pp.</w:t>
      </w:r>
      <w:r>
        <w:t>88, 103</w:t>
      </w:r>
      <w:r w:rsidRPr="00CC0A37">
        <w:t xml:space="preserve">; Powercor, </w:t>
      </w:r>
      <w:r w:rsidRPr="00CC0A37">
        <w:rPr>
          <w:rStyle w:val="AERtextitalic"/>
        </w:rPr>
        <w:t>Revised Regulatory Proposal 2016-2020</w:t>
      </w:r>
      <w:r w:rsidRPr="00CC0A37">
        <w:t>, January 2016, pp. </w:t>
      </w:r>
      <w:r>
        <w:t xml:space="preserve">354, 368; AusNet Transmission, </w:t>
      </w:r>
      <w:r>
        <w:rPr>
          <w:rStyle w:val="AERtextitalic"/>
        </w:rPr>
        <w:t>Transmission Revenue Proposal Review 2017-2022, Revised Revenue Proposal</w:t>
      </w:r>
      <w:r>
        <w:t>, 21 September 2016, p. 205.</w:t>
      </w:r>
    </w:p>
  </w:footnote>
  <w:footnote w:id="194">
    <w:p w:rsidR="00B31E52" w:rsidRPr="00EA3C68" w:rsidRDefault="00B31E52" w:rsidP="003B47A6">
      <w:pPr>
        <w:pStyle w:val="FootnoteText"/>
      </w:pPr>
      <w:r>
        <w:rPr>
          <w:rStyle w:val="FootnoteReference"/>
        </w:rPr>
        <w:footnoteRef/>
      </w:r>
      <w:r>
        <w:t xml:space="preserve"> </w:t>
      </w:r>
      <w:r>
        <w:tab/>
        <w:t xml:space="preserve">M. Lally, </w:t>
      </w:r>
      <w:r w:rsidRPr="00E750F8">
        <w:rPr>
          <w:rStyle w:val="AERtextitalic"/>
        </w:rPr>
        <w:t>Issues in the estimation of gamma</w:t>
      </w:r>
      <w:r>
        <w:t>, April 2017</w:t>
      </w:r>
      <w:r w:rsidRPr="00F403D5">
        <w:rPr>
          <w:rStyle w:val="AERtextitalic"/>
          <w:i w:val="0"/>
        </w:rPr>
        <w:t>, p. 13.</w:t>
      </w:r>
    </w:p>
  </w:footnote>
  <w:footnote w:id="195">
    <w:p w:rsidR="00B31E52" w:rsidRPr="00EA3C68" w:rsidRDefault="00B31E52" w:rsidP="00CC480F">
      <w:pPr>
        <w:pStyle w:val="FootnoteText"/>
      </w:pPr>
      <w:r>
        <w:rPr>
          <w:rStyle w:val="FootnoteReference"/>
        </w:rPr>
        <w:footnoteRef/>
      </w:r>
      <w:r>
        <w:t xml:space="preserve"> </w:t>
      </w:r>
      <w:r>
        <w:tab/>
        <w:t xml:space="preserve">M. Lally, </w:t>
      </w:r>
      <w:r w:rsidRPr="004744FB">
        <w:rPr>
          <w:rStyle w:val="AERtextitalic"/>
        </w:rPr>
        <w:t>Issues in the estimation of gamma</w:t>
      </w:r>
      <w:r>
        <w:t>, April 2017</w:t>
      </w:r>
      <w:r>
        <w:rPr>
          <w:rStyle w:val="AERtextitalic"/>
          <w:i w:val="0"/>
        </w:rPr>
        <w:t>, p. </w:t>
      </w:r>
      <w:r w:rsidRPr="00F5204A">
        <w:rPr>
          <w:rStyle w:val="AERtextitalic"/>
          <w:i w:val="0"/>
        </w:rPr>
        <w:t>27</w:t>
      </w:r>
      <w:r w:rsidRPr="00CC480F">
        <w:rPr>
          <w:rStyle w:val="AERtextitalic"/>
          <w:i w:val="0"/>
        </w:rPr>
        <w:t>.</w:t>
      </w:r>
    </w:p>
  </w:footnote>
  <w:footnote w:id="196">
    <w:p w:rsidR="00B31E52" w:rsidRDefault="00B31E52" w:rsidP="00C52695">
      <w:pPr>
        <w:pStyle w:val="FootnoteText"/>
      </w:pPr>
      <w:r>
        <w:rPr>
          <w:rStyle w:val="FootnoteReference"/>
        </w:rPr>
        <w:footnoteRef/>
      </w:r>
      <w:r>
        <w:t xml:space="preserve"> </w:t>
      </w:r>
      <w:r>
        <w:tab/>
      </w:r>
      <w:r w:rsidRPr="003E1CE7">
        <w:t xml:space="preserve">AusNet Transmission, </w:t>
      </w:r>
      <w:r w:rsidRPr="003E1CE7">
        <w:rPr>
          <w:rStyle w:val="AERtextitalic"/>
        </w:rPr>
        <w:t>Transmission Revenue Review 2017-2022</w:t>
      </w:r>
      <w:r w:rsidRPr="003E1CE7">
        <w:t>, October 2015, p</w:t>
      </w:r>
      <w:r>
        <w:t>p</w:t>
      </w:r>
      <w:r w:rsidRPr="003E1CE7">
        <w:t>. </w:t>
      </w:r>
      <w:r>
        <w:t xml:space="preserve">286 and 288; United Energy, </w:t>
      </w:r>
      <w:r w:rsidRPr="006B5C23">
        <w:rPr>
          <w:rStyle w:val="AERtextitalic"/>
        </w:rPr>
        <w:t>Submission on AER preliminary determination - Submission on gamma</w:t>
      </w:r>
      <w:r>
        <w:t xml:space="preserve">, 26 April 2016; Australian Gas Networks, </w:t>
      </w:r>
      <w:r>
        <w:rPr>
          <w:rStyle w:val="AERtextitalic"/>
        </w:rPr>
        <w:t>Attachment 11 Response to Draft Decision: Cost of Tax</w:t>
      </w:r>
      <w:r>
        <w:t xml:space="preserve">, January 2016, pp. 10-11; ActewAGL, </w:t>
      </w:r>
      <w:r w:rsidRPr="00AF5B33">
        <w:rPr>
          <w:rStyle w:val="AERtextitalic"/>
        </w:rPr>
        <w:t>Appendix 5.01 Detailed response to rate of return, gamma and inflation</w:t>
      </w:r>
      <w:r>
        <w:t xml:space="preserve">, January 2016, pp. 112-114; AusNet Electricity Services, </w:t>
      </w:r>
      <w:r w:rsidRPr="00AF5B33">
        <w:rPr>
          <w:rStyle w:val="AERtextitalic"/>
        </w:rPr>
        <w:t>Revised Regulatory Proposal</w:t>
      </w:r>
      <w:r>
        <w:t xml:space="preserve">, January 2016, pp. 7-83, 7-84; United Energy, </w:t>
      </w:r>
      <w:r w:rsidRPr="00AF5B33">
        <w:rPr>
          <w:rStyle w:val="AERtextitalic"/>
        </w:rPr>
        <w:t>Response to AER Preliminary Determination Re: Rate of return and gamma</w:t>
      </w:r>
      <w:r>
        <w:t xml:space="preserve">, January 2016, pp. 84-85; CitiPower, </w:t>
      </w:r>
      <w:r w:rsidRPr="00AF5B33">
        <w:rPr>
          <w:rStyle w:val="AERtextitalic"/>
        </w:rPr>
        <w:t>Revised Regulatory Proposal 2016-2020</w:t>
      </w:r>
      <w:r>
        <w:t xml:space="preserve">; January 2016, pp. 362-363; Jemena Electricity Networks, </w:t>
      </w:r>
      <w:r w:rsidRPr="00AF5B33">
        <w:rPr>
          <w:rStyle w:val="AERtextitalic"/>
        </w:rPr>
        <w:t>Attachment 6-1 Rate of return, gamma, forecast inflation, and debt and equity raising costs</w:t>
      </w:r>
      <w:r>
        <w:t xml:space="preserve">, January 2016, pp. 90-91; Powercor, </w:t>
      </w:r>
      <w:r w:rsidRPr="00AF5B33">
        <w:rPr>
          <w:rStyle w:val="AERtextitalic"/>
        </w:rPr>
        <w:t>Revised Regulatory Proposal 2016-2020</w:t>
      </w:r>
      <w:r>
        <w:t>, January 2016, pp. 356-357.</w:t>
      </w:r>
    </w:p>
  </w:footnote>
  <w:footnote w:id="197">
    <w:p w:rsidR="00B31E52" w:rsidRDefault="00B31E52" w:rsidP="00C52695">
      <w:pPr>
        <w:pStyle w:val="FootnoteText"/>
      </w:pPr>
      <w:r>
        <w:rPr>
          <w:rStyle w:val="FootnoteReference"/>
        </w:rPr>
        <w:footnoteRef/>
      </w:r>
      <w:r>
        <w:t xml:space="preserve"> </w:t>
      </w:r>
      <w:r>
        <w:tab/>
      </w:r>
      <w:r w:rsidRPr="00CE62A1">
        <w:t xml:space="preserve">Australian Competition Tribunal, </w:t>
      </w:r>
      <w:r w:rsidRPr="00CE62A1">
        <w:rPr>
          <w:rStyle w:val="AERtextitalic"/>
        </w:rPr>
        <w:t>Application by Public Interest Advocacy Centre Ltd and Ausgrid [2016] ACompT 1</w:t>
      </w:r>
      <w:r w:rsidRPr="00CE62A1">
        <w:t xml:space="preserve">, 26 February 2016, paras. 1048, </w:t>
      </w:r>
      <w:r w:rsidRPr="005764F6">
        <w:t>1090, 1092.</w:t>
      </w:r>
    </w:p>
  </w:footnote>
  <w:footnote w:id="198">
    <w:p w:rsidR="00B31E52" w:rsidRDefault="00B31E52" w:rsidP="00C52695">
      <w:pPr>
        <w:pStyle w:val="FootnoteText"/>
      </w:pPr>
      <w:r>
        <w:rPr>
          <w:rStyle w:val="FootnoteReference"/>
        </w:rPr>
        <w:footnoteRef/>
      </w:r>
      <w:r>
        <w:t xml:space="preserve"> </w:t>
      </w:r>
      <w:r>
        <w:tab/>
      </w:r>
      <w:r w:rsidRPr="00CE62A1">
        <w:t xml:space="preserve">M. Lally, </w:t>
      </w:r>
      <w:r w:rsidRPr="00CE62A1">
        <w:rPr>
          <w:rStyle w:val="AERtextitalic"/>
        </w:rPr>
        <w:t>Gamma and the ACT Decision</w:t>
      </w:r>
      <w:r w:rsidRPr="00CE62A1">
        <w:t>, May 2016, p. 21.</w:t>
      </w:r>
    </w:p>
  </w:footnote>
  <w:footnote w:id="199">
    <w:p w:rsidR="00B31E52" w:rsidRDefault="00B31E52" w:rsidP="00C52695">
      <w:pPr>
        <w:pStyle w:val="FootnoteText"/>
      </w:pPr>
      <w:r>
        <w:rPr>
          <w:rStyle w:val="FootnoteReference"/>
        </w:rPr>
        <w:footnoteRef/>
      </w:r>
      <w:r>
        <w:t xml:space="preserve"> </w:t>
      </w:r>
      <w:r>
        <w:tab/>
        <w:t xml:space="preserve">United Energy, </w:t>
      </w:r>
      <w:r w:rsidRPr="006B5C23">
        <w:rPr>
          <w:rStyle w:val="AERtextitalic"/>
        </w:rPr>
        <w:t>Submission on AER preliminary determination - Submission on gamma</w:t>
      </w:r>
      <w:r>
        <w:t xml:space="preserve">, 26 April 2016; </w:t>
      </w:r>
      <w:r w:rsidRPr="00D20C5C">
        <w:t xml:space="preserve">Australian Competition Tribunal, </w:t>
      </w:r>
      <w:r w:rsidRPr="00D20C5C">
        <w:rPr>
          <w:rStyle w:val="AERtextitalic"/>
        </w:rPr>
        <w:t>Application by Public Interest Advocacy Centre Ltd and Ausgrid [2016] ACompT 1</w:t>
      </w:r>
      <w:r w:rsidRPr="00D20C5C">
        <w:t xml:space="preserve">, </w:t>
      </w:r>
      <w:r>
        <w:t>26 February 2016</w:t>
      </w:r>
      <w:r w:rsidRPr="00D20C5C">
        <w:t>, para</w:t>
      </w:r>
      <w:r>
        <w:t>. 1095</w:t>
      </w:r>
      <w:r w:rsidRPr="00243100">
        <w:rPr>
          <w:rStyle w:val="AERtexthighlight"/>
          <w:shd w:val="clear" w:color="auto" w:fill="auto"/>
        </w:rPr>
        <w:t>.</w:t>
      </w:r>
    </w:p>
  </w:footnote>
  <w:footnote w:id="200">
    <w:p w:rsidR="00B31E52" w:rsidRDefault="00B31E52" w:rsidP="00787430">
      <w:pPr>
        <w:pStyle w:val="FootnoteText"/>
      </w:pPr>
      <w:r>
        <w:rPr>
          <w:rStyle w:val="FootnoteReference"/>
        </w:rPr>
        <w:footnoteRef/>
      </w:r>
      <w:r>
        <w:t xml:space="preserve"> </w:t>
      </w:r>
      <w:r>
        <w:tab/>
      </w:r>
      <w:r w:rsidRPr="003E1CE7">
        <w:t xml:space="preserve">AusNet Transmission, </w:t>
      </w:r>
      <w:r w:rsidRPr="003E1CE7">
        <w:rPr>
          <w:rStyle w:val="AERtextitalic"/>
        </w:rPr>
        <w:t>Transmission Revenue Review 2017-2022</w:t>
      </w:r>
      <w:r w:rsidRPr="003E1CE7">
        <w:t>, October 2015, p</w:t>
      </w:r>
      <w:r>
        <w:t>p</w:t>
      </w:r>
      <w:r w:rsidRPr="003E1CE7">
        <w:t>. </w:t>
      </w:r>
      <w:r>
        <w:t xml:space="preserve">286, 294, 296, 298; ActewAGL, </w:t>
      </w:r>
      <w:r w:rsidRPr="00AF5B33">
        <w:rPr>
          <w:rStyle w:val="AERtextitalic"/>
        </w:rPr>
        <w:t>Appendix 5.01 Detailed response to rate of return, gamma and inflation</w:t>
      </w:r>
      <w:r>
        <w:t xml:space="preserve">, January 2016, pp. 112-114; AusNet Electricity Services, </w:t>
      </w:r>
      <w:r w:rsidRPr="00AF5B33">
        <w:rPr>
          <w:rStyle w:val="AERtextitalic"/>
        </w:rPr>
        <w:t>Revised Regulatory Proposal</w:t>
      </w:r>
      <w:r>
        <w:t xml:space="preserve">, January 2016, p. 7-83; United Energy, </w:t>
      </w:r>
      <w:r w:rsidRPr="00AF5B33">
        <w:rPr>
          <w:rStyle w:val="AERtextitalic"/>
        </w:rPr>
        <w:t>Response to AER Preliminary Determination Re: Rate of return and gamma</w:t>
      </w:r>
      <w:r>
        <w:t xml:space="preserve">, January 2016, p. 84; CitiPower, </w:t>
      </w:r>
      <w:r w:rsidRPr="00AF5B33">
        <w:rPr>
          <w:rStyle w:val="AERtextitalic"/>
        </w:rPr>
        <w:t>Revised Regulatory Proposal 2016-2020</w:t>
      </w:r>
      <w:r>
        <w:t xml:space="preserve">; January 2016, p. 362; Jemena Electricity Networks, </w:t>
      </w:r>
      <w:r w:rsidRPr="00AF5B33">
        <w:rPr>
          <w:rStyle w:val="AERtextitalic"/>
        </w:rPr>
        <w:t>Attachment 6-1 Rate of return, gamma, forecast inflation, and debt and equity raising costs</w:t>
      </w:r>
      <w:r>
        <w:t xml:space="preserve">, January 2016, pp. 90-91; Powercor, </w:t>
      </w:r>
      <w:r w:rsidRPr="00AF5B33">
        <w:rPr>
          <w:rStyle w:val="AERtextitalic"/>
        </w:rPr>
        <w:t>Revised Regulatory Proposal 2016-2020</w:t>
      </w:r>
      <w:r>
        <w:t xml:space="preserve">, January 2016, p. 356; AusNet Transmission, </w:t>
      </w:r>
      <w:r>
        <w:rPr>
          <w:rStyle w:val="AERtextitalic"/>
        </w:rPr>
        <w:t>Transmission Revenue Proposal Review 2017-2022, Revised Revenue Proposal</w:t>
      </w:r>
      <w:r>
        <w:t xml:space="preserve">, 21 September 2016, pp. 204, 207; </w:t>
      </w:r>
      <w:r w:rsidRPr="003B6C29">
        <w:t xml:space="preserve"> Multinet, </w:t>
      </w:r>
      <w:r w:rsidRPr="008B1CA1">
        <w:rPr>
          <w:rStyle w:val="AERtextitalic"/>
        </w:rPr>
        <w:t>Corporate Income Tax Overview</w:t>
      </w:r>
      <w:r>
        <w:t>, December 2016, p. 14;</w:t>
      </w:r>
      <w:r w:rsidRPr="00787430">
        <w:t xml:space="preserve"> </w:t>
      </w:r>
      <w:r>
        <w:t xml:space="preserve">AusNet Services Gas Distribution, </w:t>
      </w:r>
      <w:r w:rsidRPr="008B1CA1">
        <w:rPr>
          <w:rStyle w:val="AERtextitalic"/>
        </w:rPr>
        <w:t>Gas Access Arrangement Review 2018-2022</w:t>
      </w:r>
      <w:r>
        <w:t>, December 2016, p. 245.</w:t>
      </w:r>
    </w:p>
    <w:p w:rsidR="00B31E52" w:rsidRDefault="00B31E52" w:rsidP="003B6C29">
      <w:pPr>
        <w:pStyle w:val="FootnoteText"/>
      </w:pPr>
    </w:p>
  </w:footnote>
  <w:footnote w:id="201">
    <w:p w:rsidR="00B31E52" w:rsidRDefault="00B31E52" w:rsidP="00C52695">
      <w:pPr>
        <w:pStyle w:val="FootnoteText"/>
      </w:pPr>
      <w:r>
        <w:rPr>
          <w:rStyle w:val="FootnoteReference"/>
        </w:rPr>
        <w:footnoteRef/>
      </w:r>
      <w:r>
        <w:t xml:space="preserve"> </w:t>
      </w:r>
      <w:r>
        <w:tab/>
      </w:r>
      <w:r w:rsidRPr="003E1CE7">
        <w:t xml:space="preserve">AusNet Transmission, </w:t>
      </w:r>
      <w:r w:rsidRPr="003E1CE7">
        <w:rPr>
          <w:rStyle w:val="AERtextitalic"/>
        </w:rPr>
        <w:t>Transmission Revenue Review 2017-2022</w:t>
      </w:r>
      <w:r w:rsidRPr="003E1CE7">
        <w:t>, October 2015, p. </w:t>
      </w:r>
      <w:r>
        <w:t xml:space="preserve">288; </w:t>
      </w:r>
      <w:r w:rsidRPr="002D5177">
        <w:t xml:space="preserve">United Energy, </w:t>
      </w:r>
      <w:r w:rsidRPr="002D5177">
        <w:rPr>
          <w:rStyle w:val="AERtextitalic"/>
        </w:rPr>
        <w:t>Submission on AER preliminary determination - Submission on gamma</w:t>
      </w:r>
      <w:r w:rsidRPr="002D5177">
        <w:t xml:space="preserve">, 26 April 2016; Australian Gas Networks, </w:t>
      </w:r>
      <w:r w:rsidRPr="002D5177">
        <w:rPr>
          <w:rStyle w:val="AERtextitalic"/>
        </w:rPr>
        <w:t>Attachment 11 Response to Draft Decision: Cost of Tax</w:t>
      </w:r>
      <w:r w:rsidRPr="002D5177">
        <w:t xml:space="preserve">, January 2016, pp. 10-11; ActewAGL, </w:t>
      </w:r>
      <w:r w:rsidRPr="002D5177">
        <w:rPr>
          <w:rStyle w:val="AERtextitalic"/>
        </w:rPr>
        <w:t>Appendix 5.01 Detailed response to rate of return, gamma and inflation</w:t>
      </w:r>
      <w:r w:rsidRPr="002D5177">
        <w:t xml:space="preserve">, January 2016, p. 114; AusNet Electricity Services, </w:t>
      </w:r>
      <w:r w:rsidRPr="002D5177">
        <w:rPr>
          <w:rStyle w:val="AERtextitalic"/>
        </w:rPr>
        <w:t>Revised Regulatory Proposal</w:t>
      </w:r>
      <w:r w:rsidRPr="002D5177">
        <w:t xml:space="preserve">, January 2016, pp. 7-83, 7-84; United Energy, </w:t>
      </w:r>
      <w:r w:rsidRPr="002D5177">
        <w:rPr>
          <w:rStyle w:val="AERtextitalic"/>
        </w:rPr>
        <w:t>Response to AER Preliminary Determination Re: Rate of return and gamma</w:t>
      </w:r>
      <w:r w:rsidRPr="002D5177">
        <w:t xml:space="preserve">, January 2016, p. 85; CitiPower, </w:t>
      </w:r>
      <w:r w:rsidRPr="002D5177">
        <w:rPr>
          <w:rStyle w:val="AERtextitalic"/>
        </w:rPr>
        <w:t>Revised Regulatory Proposal 2016-2020</w:t>
      </w:r>
      <w:r w:rsidRPr="002D5177">
        <w:t xml:space="preserve">; January 2016, pp. 362-363; Jemena Electricity Networks, </w:t>
      </w:r>
      <w:r w:rsidRPr="002D5177">
        <w:rPr>
          <w:rStyle w:val="AERtextitalic"/>
        </w:rPr>
        <w:t>Attachment 6-1 Rate of return, gamma, forecast inflation, and debt and equity raising costs</w:t>
      </w:r>
      <w:r w:rsidRPr="002D5177">
        <w:t xml:space="preserve">, January 2016, p. 91; Powercor, </w:t>
      </w:r>
      <w:r w:rsidRPr="002D5177">
        <w:rPr>
          <w:rStyle w:val="AERtextitalic"/>
        </w:rPr>
        <w:t>Revised Regulatory Proposal 2016-2020</w:t>
      </w:r>
      <w:r w:rsidRPr="002D5177">
        <w:t xml:space="preserve">, January 2016, pp. 356-357; Australian Competition Tribunal, </w:t>
      </w:r>
      <w:r w:rsidRPr="002D5177">
        <w:rPr>
          <w:rStyle w:val="AERtextitalic"/>
        </w:rPr>
        <w:t>Application by Public Interest Advocacy Centre Ltd and Ausgrid [2016] ACompT 1</w:t>
      </w:r>
      <w:r w:rsidRPr="002D5177">
        <w:t>, 26 February 2016, para. 1095</w:t>
      </w:r>
      <w:r>
        <w:t>;</w:t>
      </w:r>
      <w:r w:rsidRPr="00CA79AB">
        <w:t xml:space="preserve"> </w:t>
      </w:r>
      <w:r>
        <w:t xml:space="preserve">Frontier Economics, </w:t>
      </w:r>
      <w:r>
        <w:rPr>
          <w:rStyle w:val="AERtextitalic"/>
        </w:rPr>
        <w:t>Regulatory estimation of gamma report prepared for Powerlink</w:t>
      </w:r>
      <w:r>
        <w:t xml:space="preserve">, January 2016, p. 10; AusNet Transmission, </w:t>
      </w:r>
      <w:r>
        <w:rPr>
          <w:rStyle w:val="AERtextitalic"/>
        </w:rPr>
        <w:t>Transmission Revenue Proposal Review 2017-2022, Revised Revenue Proposal</w:t>
      </w:r>
      <w:r>
        <w:t>, 21 September 2016, p. 208.</w:t>
      </w:r>
    </w:p>
  </w:footnote>
  <w:footnote w:id="202">
    <w:p w:rsidR="00B31E52" w:rsidRDefault="00B31E52" w:rsidP="00C52695">
      <w:pPr>
        <w:pStyle w:val="FootnoteText"/>
      </w:pPr>
      <w:r>
        <w:rPr>
          <w:rStyle w:val="FootnoteReference"/>
        </w:rPr>
        <w:footnoteRef/>
      </w:r>
      <w:r>
        <w:t xml:space="preserve"> </w:t>
      </w:r>
      <w:r>
        <w:tab/>
        <w:t xml:space="preserve">Australian Gas Networks, </w:t>
      </w:r>
      <w:r>
        <w:rPr>
          <w:rStyle w:val="AERtextitalic"/>
        </w:rPr>
        <w:t>Attachment 11 Response to Draft Decision: Cost of Tax</w:t>
      </w:r>
      <w:r>
        <w:t xml:space="preserve">, January 2016, pp. 17-18; ActewAGL, </w:t>
      </w:r>
      <w:r w:rsidRPr="00AF5B33">
        <w:rPr>
          <w:rStyle w:val="AERtextitalic"/>
        </w:rPr>
        <w:t>Appendix 5.01 Detailed response to rate of return, gamma and inflation</w:t>
      </w:r>
      <w:r>
        <w:t xml:space="preserve">, January 2016, pp. 121-122; AusNet Electricity Services, </w:t>
      </w:r>
      <w:r w:rsidRPr="00AF5B33">
        <w:rPr>
          <w:rStyle w:val="AERtextitalic"/>
        </w:rPr>
        <w:t>Revised Regulatory Proposal</w:t>
      </w:r>
      <w:r>
        <w:t xml:space="preserve">, January 2016, pp. 7-90–7-91; United Energy, </w:t>
      </w:r>
      <w:r w:rsidRPr="00AF5B33">
        <w:rPr>
          <w:rStyle w:val="AERtextitalic"/>
        </w:rPr>
        <w:t>Response to AER Preliminary Determination Re: Rate of return and gamma</w:t>
      </w:r>
      <w:r>
        <w:t xml:space="preserve">, January 2016, pp. 91–92; CitiPower, </w:t>
      </w:r>
      <w:r w:rsidRPr="00AF5B33">
        <w:rPr>
          <w:rStyle w:val="AERtextitalic"/>
        </w:rPr>
        <w:t>Revised Regulatory Proposal 2016-2020</w:t>
      </w:r>
      <w:r>
        <w:t xml:space="preserve">; January 2016, pp. 369-370; Jemena Electricity Networks, </w:t>
      </w:r>
      <w:r w:rsidRPr="00AF5B33">
        <w:rPr>
          <w:rStyle w:val="AERtextitalic"/>
        </w:rPr>
        <w:t>Attachment 6-1 Rate of return, gamma, forecast inflation, and debt and equity raising costs</w:t>
      </w:r>
      <w:r>
        <w:t xml:space="preserve">, January 2016, pp. 98-99; Powercor, </w:t>
      </w:r>
      <w:r w:rsidRPr="00AF5B33">
        <w:rPr>
          <w:rStyle w:val="AERtextitalic"/>
        </w:rPr>
        <w:t>Revised Regulatory Proposal 2016-2020</w:t>
      </w:r>
      <w:r>
        <w:t>, January 2016, pp. 363-364.</w:t>
      </w:r>
    </w:p>
  </w:footnote>
  <w:footnote w:id="203">
    <w:p w:rsidR="00B31E52" w:rsidRDefault="00B31E52" w:rsidP="00C52695">
      <w:pPr>
        <w:pStyle w:val="FootnoteText"/>
      </w:pPr>
      <w:r>
        <w:rPr>
          <w:rStyle w:val="FootnoteReference"/>
        </w:rPr>
        <w:footnoteRef/>
      </w:r>
      <w:r>
        <w:t xml:space="preserve"> </w:t>
      </w:r>
      <w:r>
        <w:tab/>
        <w:t xml:space="preserve">Australian Gas Networks, </w:t>
      </w:r>
      <w:r>
        <w:rPr>
          <w:rStyle w:val="AERtextitalic"/>
        </w:rPr>
        <w:t>Attachment 11 Response to Draft Decision: Cost of Tax</w:t>
      </w:r>
      <w:r>
        <w:t xml:space="preserve">, January 2016, pp. 18-19; ActewAGL, </w:t>
      </w:r>
      <w:r w:rsidRPr="00AF5B33">
        <w:rPr>
          <w:rStyle w:val="AERtextitalic"/>
        </w:rPr>
        <w:t>Appendix 5.01 Detailed response to rate of return, gamma and inflation</w:t>
      </w:r>
      <w:r>
        <w:t xml:space="preserve">, January 2016, pp. 123-124; AusNet Electricity Services, </w:t>
      </w:r>
      <w:r w:rsidRPr="00AF5B33">
        <w:rPr>
          <w:rStyle w:val="AERtextitalic"/>
        </w:rPr>
        <w:t>Revised Regulatory Proposal</w:t>
      </w:r>
      <w:r>
        <w:t xml:space="preserve">, January 2016, pp. 7-91–7-92; United Energy, </w:t>
      </w:r>
      <w:r w:rsidRPr="00AF5B33">
        <w:rPr>
          <w:rStyle w:val="AERtextitalic"/>
        </w:rPr>
        <w:t>Response to AER Preliminary Determination Re: Rate of return and gamma</w:t>
      </w:r>
      <w:r>
        <w:t xml:space="preserve">, January 2016, pp. 92–93; CitiPower, </w:t>
      </w:r>
      <w:r w:rsidRPr="00AF5B33">
        <w:rPr>
          <w:rStyle w:val="AERtextitalic"/>
        </w:rPr>
        <w:t>Revised Regulatory Proposal 2016-2020</w:t>
      </w:r>
      <w:r>
        <w:t xml:space="preserve">; January 2016, pp. 370-371; Jemena Electricity Networks, </w:t>
      </w:r>
      <w:r w:rsidRPr="00AF5B33">
        <w:rPr>
          <w:rStyle w:val="AERtextitalic"/>
        </w:rPr>
        <w:t>Attachment 6-1 Rate of return, gamma, forecast inflation, and debt and equity raising costs</w:t>
      </w:r>
      <w:r>
        <w:t xml:space="preserve">, January 2016, pp. 99-100; Powercor, </w:t>
      </w:r>
      <w:r w:rsidRPr="00AF5B33">
        <w:rPr>
          <w:rStyle w:val="AERtextitalic"/>
        </w:rPr>
        <w:t>Revised Regulatory Proposal 2016-2020</w:t>
      </w:r>
      <w:r>
        <w:t xml:space="preserve">, January 2016, pp. 364-365; Frontier Economics, </w:t>
      </w:r>
      <w:r>
        <w:rPr>
          <w:rStyle w:val="AERtextitalic"/>
        </w:rPr>
        <w:t>Regulatory estimation of gamma report prepared for Powerlink</w:t>
      </w:r>
      <w:r>
        <w:t>, January 2016, pp. 13-15.</w:t>
      </w:r>
    </w:p>
  </w:footnote>
  <w:footnote w:id="204">
    <w:p w:rsidR="00B31E52" w:rsidRDefault="00B31E52" w:rsidP="00C52695">
      <w:pPr>
        <w:pStyle w:val="FootnoteText"/>
      </w:pPr>
      <w:r>
        <w:rPr>
          <w:rStyle w:val="FootnoteReference"/>
        </w:rPr>
        <w:footnoteRef/>
      </w:r>
      <w:r>
        <w:t xml:space="preserve"> </w:t>
      </w:r>
      <w:r>
        <w:tab/>
      </w:r>
      <w:r w:rsidRPr="000D4ED8">
        <w:t xml:space="preserve">United Energy, </w:t>
      </w:r>
      <w:r w:rsidRPr="000D4ED8">
        <w:rPr>
          <w:rStyle w:val="AERtextitalic"/>
        </w:rPr>
        <w:t>Submission on AER preliminary determination - Submission on gamma</w:t>
      </w:r>
      <w:r w:rsidRPr="000D4ED8">
        <w:t>, 26 April 2016</w:t>
      </w:r>
      <w:r w:rsidRPr="005764F6">
        <w:t>.</w:t>
      </w:r>
    </w:p>
  </w:footnote>
  <w:footnote w:id="205">
    <w:p w:rsidR="00B31E52" w:rsidRDefault="00B31E52" w:rsidP="00C52695">
      <w:pPr>
        <w:pStyle w:val="FootnoteText"/>
      </w:pPr>
      <w:r>
        <w:rPr>
          <w:rStyle w:val="FootnoteReference"/>
        </w:rPr>
        <w:footnoteRef/>
      </w:r>
      <w:r>
        <w:t xml:space="preserve"> </w:t>
      </w:r>
      <w:r>
        <w:tab/>
      </w:r>
      <w:r w:rsidRPr="003E1CE7">
        <w:t xml:space="preserve">AusNet Transmission, </w:t>
      </w:r>
      <w:r w:rsidRPr="003E1CE7">
        <w:rPr>
          <w:rStyle w:val="AERtextitalic"/>
        </w:rPr>
        <w:t>Transmission Revenue Review 2017-2022</w:t>
      </w:r>
      <w:r w:rsidRPr="003E1CE7">
        <w:t>, October 2015, p. </w:t>
      </w:r>
      <w:r>
        <w:t xml:space="preserve">294; Australian Gas Networks, </w:t>
      </w:r>
      <w:r>
        <w:rPr>
          <w:rStyle w:val="AERtextitalic"/>
        </w:rPr>
        <w:t>Attachment 11 Response to Draft Decision: Cost of Tax</w:t>
      </w:r>
      <w:r>
        <w:t xml:space="preserve">, January 2016, pp. 11-12:  ActewAGL, </w:t>
      </w:r>
      <w:r w:rsidRPr="00AF5B33">
        <w:rPr>
          <w:rStyle w:val="AERtextitalic"/>
        </w:rPr>
        <w:t>Appendix 5.01 Detailed response to rate of return, gamma and inflation</w:t>
      </w:r>
      <w:r>
        <w:t xml:space="preserve">, January 2016, pp. 114-115; AusNet Electricity Services, </w:t>
      </w:r>
      <w:r w:rsidRPr="00AF5B33">
        <w:rPr>
          <w:rStyle w:val="AERtextitalic"/>
        </w:rPr>
        <w:t>Revised Regulatory Proposal</w:t>
      </w:r>
      <w:r>
        <w:t xml:space="preserve">, January 2016, p. 7-84; United Energy, </w:t>
      </w:r>
      <w:r w:rsidRPr="00AF5B33">
        <w:rPr>
          <w:rStyle w:val="AERtextitalic"/>
        </w:rPr>
        <w:t>Response to AER Preliminary Determination Re: Rate of return and gamma</w:t>
      </w:r>
      <w:r>
        <w:t xml:space="preserve">, January 2016, pp. 85-86; CitiPower, </w:t>
      </w:r>
      <w:r w:rsidRPr="00AF5B33">
        <w:rPr>
          <w:rStyle w:val="AERtextitalic"/>
        </w:rPr>
        <w:t>Revised Regulatory Proposal 2016-2020</w:t>
      </w:r>
      <w:r>
        <w:t xml:space="preserve">; January 2016, pp. 363-364; Jemena Electricity Networks, </w:t>
      </w:r>
      <w:r w:rsidRPr="00AF5B33">
        <w:rPr>
          <w:rStyle w:val="AERtextitalic"/>
        </w:rPr>
        <w:t>Attachment 6-1 Rate of return, gamma, forecast inflation, and debt and equity raising costs</w:t>
      </w:r>
      <w:r>
        <w:t xml:space="preserve">, January 2016, p. 92; Powercor, </w:t>
      </w:r>
      <w:r w:rsidRPr="00AF5B33">
        <w:rPr>
          <w:rStyle w:val="AERtextitalic"/>
        </w:rPr>
        <w:t>Revised Regulatory Proposal 2016-2020</w:t>
      </w:r>
      <w:r>
        <w:t xml:space="preserve">, January 2016, pp. 357-358; AusNet Transmission, </w:t>
      </w:r>
      <w:r>
        <w:rPr>
          <w:rStyle w:val="AERtextitalic"/>
        </w:rPr>
        <w:t>Transmission Revenue Proposal Review 2017-2022, Revised Revenue Proposal</w:t>
      </w:r>
      <w:r>
        <w:t>, 21 September 2016, pp. 204, 210.</w:t>
      </w:r>
    </w:p>
  </w:footnote>
  <w:footnote w:id="206">
    <w:p w:rsidR="00B31E52" w:rsidRDefault="00B31E52" w:rsidP="00C52695">
      <w:pPr>
        <w:pStyle w:val="FootnoteText"/>
      </w:pPr>
      <w:r>
        <w:rPr>
          <w:rStyle w:val="FootnoteReference"/>
        </w:rPr>
        <w:footnoteRef/>
      </w:r>
      <w:r>
        <w:t xml:space="preserve"> </w:t>
      </w:r>
      <w:r>
        <w:tab/>
      </w:r>
      <w:r w:rsidRPr="003E1CE7">
        <w:t xml:space="preserve">AusNet Transmission, </w:t>
      </w:r>
      <w:r w:rsidRPr="003E1CE7">
        <w:rPr>
          <w:rStyle w:val="AERtextitalic"/>
        </w:rPr>
        <w:t>Transmission Revenue Review 2017-2022</w:t>
      </w:r>
      <w:r w:rsidRPr="003E1CE7">
        <w:t>, October 2015, p</w:t>
      </w:r>
      <w:r>
        <w:t>p</w:t>
      </w:r>
      <w:r w:rsidRPr="003E1CE7">
        <w:t>. </w:t>
      </w:r>
      <w:r>
        <w:t xml:space="preserve">286, 288, 305; United Energy, </w:t>
      </w:r>
      <w:r w:rsidRPr="006B5C23">
        <w:rPr>
          <w:rStyle w:val="AERtextitalic"/>
        </w:rPr>
        <w:t>Submission on AER preliminary determination - Submission on gamma</w:t>
      </w:r>
      <w:r>
        <w:t xml:space="preserve">, 26 April 2016; Australian Gas Networks, </w:t>
      </w:r>
      <w:r>
        <w:rPr>
          <w:rStyle w:val="AERtextitalic"/>
        </w:rPr>
        <w:t>Attachment 11 Response to Draft Decision: Cost of Tax</w:t>
      </w:r>
      <w:r>
        <w:t xml:space="preserve">, January 2016, pp. 4, 20, 23; ActewAGL, </w:t>
      </w:r>
      <w:r w:rsidRPr="00AF5B33">
        <w:rPr>
          <w:rStyle w:val="AERtextitalic"/>
        </w:rPr>
        <w:t>Appendix 5.01 Detailed response to rate of return, gamma and inflation</w:t>
      </w:r>
      <w:r>
        <w:t xml:space="preserve">, January 2016, pp. 41, 115, 125; AusNet Electricity Services, </w:t>
      </w:r>
      <w:r w:rsidRPr="00AF5B33">
        <w:rPr>
          <w:rStyle w:val="AERtextitalic"/>
        </w:rPr>
        <w:t>Revised Regulatory Proposal</w:t>
      </w:r>
      <w:r>
        <w:t xml:space="preserve">, January 2016, pp. 7-84, 7-93, 7-107; United Energy, </w:t>
      </w:r>
      <w:r w:rsidRPr="00AF5B33">
        <w:rPr>
          <w:rStyle w:val="AERtextitalic"/>
        </w:rPr>
        <w:t>Response to AER Preliminary Determination Re: Rate of return and gamma</w:t>
      </w:r>
      <w:r>
        <w:t xml:space="preserve">, January 2016, pp. 86, 94, 97; CitiPower, </w:t>
      </w:r>
      <w:r w:rsidRPr="00AF5B33">
        <w:rPr>
          <w:rStyle w:val="AERtextitalic"/>
        </w:rPr>
        <w:t>Revised Regulatory Proposal 2016-2020</w:t>
      </w:r>
      <w:r>
        <w:t xml:space="preserve">; January 2016, pp. 364, 372, 375; Jemena Electricity Networks, </w:t>
      </w:r>
      <w:r w:rsidRPr="00AF5B33">
        <w:rPr>
          <w:rStyle w:val="AERtextitalic"/>
        </w:rPr>
        <w:t>Attachment 6-1 Rate of return, gamma, forecast inflation, and debt and equity raising costs</w:t>
      </w:r>
      <w:r>
        <w:t xml:space="preserve">, January 2016, pp. 92, 101, 104; Powercor, </w:t>
      </w:r>
      <w:r w:rsidRPr="00AF5B33">
        <w:rPr>
          <w:rStyle w:val="AERtextitalic"/>
        </w:rPr>
        <w:t>Revised Regulatory Proposal 2016-2020</w:t>
      </w:r>
      <w:r>
        <w:t xml:space="preserve">, January 2016, pp. 358, 366, 369; </w:t>
      </w:r>
      <w:r w:rsidRPr="008F5D24">
        <w:t>Australian Competition Tribunal, Application by Public Interest Advocacy Centre Ltd and Ausgrid [2016] ACompT 1, 26 February 2016, paras. 1048, 1090 and 1095</w:t>
      </w:r>
      <w:r>
        <w:t>; Powerlink</w:t>
      </w:r>
      <w:r w:rsidRPr="003E1CE7">
        <w:t xml:space="preserve">, </w:t>
      </w:r>
      <w:r>
        <w:rPr>
          <w:rStyle w:val="AERtextitalic"/>
        </w:rPr>
        <w:t>Powerlink Queensland Revenue Proposal Appendix 9.02</w:t>
      </w:r>
      <w:r w:rsidRPr="003E1CE7">
        <w:t xml:space="preserve">, </w:t>
      </w:r>
      <w:r>
        <w:t>31 January 2016, p</w:t>
      </w:r>
      <w:r w:rsidRPr="003E1CE7">
        <w:t>. </w:t>
      </w:r>
      <w:r>
        <w:t>6;</w:t>
      </w:r>
      <w:r w:rsidRPr="00F07197">
        <w:t xml:space="preserve"> </w:t>
      </w:r>
      <w:r>
        <w:t xml:space="preserve">AusNet Transmission, </w:t>
      </w:r>
      <w:r>
        <w:rPr>
          <w:rStyle w:val="AERtextitalic"/>
        </w:rPr>
        <w:t>Transmission Revenue Proposal Review 2017-2022, Revised Revenue Proposal</w:t>
      </w:r>
      <w:r>
        <w:t xml:space="preserve">, 21 September 2016, pp. 208, 210; Frontier Economics, </w:t>
      </w:r>
      <w:r>
        <w:rPr>
          <w:rStyle w:val="AERtextitalic"/>
        </w:rPr>
        <w:t>Issues in the estimation of gamma</w:t>
      </w:r>
      <w:r>
        <w:t>, September 2016, p. 4.</w:t>
      </w:r>
    </w:p>
  </w:footnote>
  <w:footnote w:id="207">
    <w:p w:rsidR="00B31E52" w:rsidRDefault="00B31E52" w:rsidP="00C52695">
      <w:pPr>
        <w:pStyle w:val="FootnoteText"/>
      </w:pPr>
      <w:r>
        <w:rPr>
          <w:rStyle w:val="FootnoteReference"/>
        </w:rPr>
        <w:footnoteRef/>
      </w:r>
      <w:r>
        <w:t xml:space="preserve"> </w:t>
      </w:r>
      <w:r>
        <w:tab/>
        <w:t xml:space="preserve">For an example of the correct use of the term "upper bound" see John. C. Hull, Options Futures and other Derivatives, Fourth Edition, 2000, p. 171. </w:t>
      </w:r>
    </w:p>
  </w:footnote>
  <w:footnote w:id="208">
    <w:p w:rsidR="00B31E52" w:rsidRDefault="00B31E52" w:rsidP="00C52695">
      <w:pPr>
        <w:pStyle w:val="FootnoteText"/>
      </w:pPr>
      <w:r>
        <w:rPr>
          <w:rStyle w:val="FootnoteReference"/>
        </w:rPr>
        <w:footnoteRef/>
      </w:r>
      <w:r>
        <w:t xml:space="preserve"> </w:t>
      </w:r>
      <w:r>
        <w:tab/>
      </w:r>
      <w:r w:rsidRPr="00345C01">
        <w:t xml:space="preserve">M. Lally, </w:t>
      </w:r>
      <w:r w:rsidRPr="00345C01">
        <w:rPr>
          <w:rStyle w:val="AERtextitalic"/>
        </w:rPr>
        <w:t>Gamma and the ACT Decision</w:t>
      </w:r>
      <w:r w:rsidRPr="00345C01">
        <w:t>, May 2016, p. 23.</w:t>
      </w:r>
    </w:p>
  </w:footnote>
  <w:footnote w:id="209">
    <w:p w:rsidR="00B31E52" w:rsidRPr="00341F69" w:rsidRDefault="00B31E52" w:rsidP="00CC480F">
      <w:pPr>
        <w:pStyle w:val="FootnoteText"/>
        <w:rPr>
          <w:rStyle w:val="AERtextitalic"/>
          <w:i w:val="0"/>
        </w:rPr>
      </w:pPr>
      <w:r>
        <w:rPr>
          <w:rStyle w:val="FootnoteReference"/>
        </w:rPr>
        <w:footnoteRef/>
      </w:r>
      <w:r>
        <w:t xml:space="preserve"> </w:t>
      </w:r>
      <w:r>
        <w:tab/>
        <w:t xml:space="preserve">Frontier Economics, </w:t>
      </w:r>
      <w:r>
        <w:rPr>
          <w:rStyle w:val="AERtextitalic"/>
        </w:rPr>
        <w:t xml:space="preserve">Issues in the estimation of gamma, Report prepared for AGN, Multinet Gas, AusNet Transmission and AusNet Gas, </w:t>
      </w:r>
      <w:r w:rsidRPr="00485A29">
        <w:rPr>
          <w:rStyle w:val="AERtextitalic"/>
          <w:i w:val="0"/>
        </w:rPr>
        <w:t xml:space="preserve">September 2016, </w:t>
      </w:r>
      <w:r w:rsidRPr="00CC480F">
        <w:rPr>
          <w:rStyle w:val="AERtextitalic"/>
          <w:i w:val="0"/>
        </w:rPr>
        <w:t>p</w:t>
      </w:r>
      <w:r w:rsidRPr="00F5204A">
        <w:rPr>
          <w:rStyle w:val="AERtextitalic"/>
          <w:i w:val="0"/>
        </w:rPr>
        <w:t>p</w:t>
      </w:r>
      <w:r w:rsidRPr="00CC480F">
        <w:rPr>
          <w:rStyle w:val="AERtextitalic"/>
          <w:i w:val="0"/>
        </w:rPr>
        <w:t>. 3-4</w:t>
      </w:r>
      <w:r w:rsidRPr="00F5204A">
        <w:rPr>
          <w:rStyle w:val="AERtextitalic"/>
          <w:i w:val="0"/>
        </w:rPr>
        <w:t>, 12-15</w:t>
      </w:r>
      <w:r>
        <w:rPr>
          <w:rStyle w:val="AERtextitalic"/>
        </w:rPr>
        <w:t xml:space="preserve">; </w:t>
      </w:r>
      <w:r>
        <w:t xml:space="preserve">AusNet Transmission, </w:t>
      </w:r>
      <w:r>
        <w:rPr>
          <w:rStyle w:val="AERtextitalic"/>
        </w:rPr>
        <w:t>Transmission Revenue Proposal Review 2017-2022, Revised Revenue Proposal</w:t>
      </w:r>
      <w:r>
        <w:t>, 21 September 2016, p. 210.</w:t>
      </w:r>
    </w:p>
  </w:footnote>
  <w:footnote w:id="210">
    <w:p w:rsidR="00B31E52" w:rsidRDefault="00B31E52" w:rsidP="00426A15">
      <w:pPr>
        <w:pStyle w:val="FootnoteText"/>
      </w:pPr>
      <w:r>
        <w:rPr>
          <w:rStyle w:val="FootnoteReference"/>
        </w:rPr>
        <w:footnoteRef/>
      </w:r>
      <w:r>
        <w:t xml:space="preserve"> </w:t>
      </w:r>
      <w:r>
        <w:tab/>
      </w:r>
      <w:r w:rsidRPr="003E1CE7">
        <w:t xml:space="preserve">AusNet Transmission, </w:t>
      </w:r>
      <w:r w:rsidRPr="003E1CE7">
        <w:rPr>
          <w:rStyle w:val="AERtextitalic"/>
        </w:rPr>
        <w:t>Transmission Revenue Review 2017-2022</w:t>
      </w:r>
      <w:r w:rsidRPr="003E1CE7">
        <w:t>, October 2015, p. </w:t>
      </w:r>
      <w:r>
        <w:t xml:space="preserve">286; United Energy, </w:t>
      </w:r>
      <w:r w:rsidRPr="006B5C23">
        <w:rPr>
          <w:rStyle w:val="AERtextitalic"/>
        </w:rPr>
        <w:t>Submission on AER preliminary determination - Submission on gamma</w:t>
      </w:r>
      <w:r>
        <w:t xml:space="preserve">, 26 April 2016; Australian Gas Networks, </w:t>
      </w:r>
      <w:r>
        <w:rPr>
          <w:rStyle w:val="AERtextitalic"/>
        </w:rPr>
        <w:t>Attachment 11 Response to Draft Decision: Cost of Tax</w:t>
      </w:r>
      <w:r>
        <w:t xml:space="preserve">, January 2016, p. 13; ActewAGL, </w:t>
      </w:r>
      <w:r w:rsidRPr="00AF5B33">
        <w:rPr>
          <w:rStyle w:val="AERtextitalic"/>
        </w:rPr>
        <w:t>Appendix 5.01 Detailed response to rate of return, gamma and inflation</w:t>
      </w:r>
      <w:r>
        <w:t xml:space="preserve">, January 2016, pp. 41, 46; AusNet Electricity Services, </w:t>
      </w:r>
      <w:r w:rsidRPr="00AF5B33">
        <w:rPr>
          <w:rStyle w:val="AERtextitalic"/>
        </w:rPr>
        <w:t>Revised Regulatory Proposal</w:t>
      </w:r>
      <w:r>
        <w:t xml:space="preserve">, January 2016, p. 7-85; United Energy, </w:t>
      </w:r>
      <w:r w:rsidRPr="00AF5B33">
        <w:rPr>
          <w:rStyle w:val="AERtextitalic"/>
        </w:rPr>
        <w:t>Response to AER Preliminary Determination Re: Rate of return and gamma</w:t>
      </w:r>
      <w:r>
        <w:t xml:space="preserve">, January 2016, p. 86; CitiPower, </w:t>
      </w:r>
      <w:r w:rsidRPr="00AF5B33">
        <w:rPr>
          <w:rStyle w:val="AERtextitalic"/>
        </w:rPr>
        <w:t>Revised Regulatory Proposal 2016-2020</w:t>
      </w:r>
      <w:r>
        <w:t xml:space="preserve">; January 2016, pp. 364-365; Jemena Electricity Networks, </w:t>
      </w:r>
      <w:r w:rsidRPr="00AF5B33">
        <w:rPr>
          <w:rStyle w:val="AERtextitalic"/>
        </w:rPr>
        <w:t>Attachment 6-1 Rate of return, gamma, forecast inflation, and debt and equity raising costs</w:t>
      </w:r>
      <w:r>
        <w:t xml:space="preserve">, January 2016, pp. 92-93; Powercor, </w:t>
      </w:r>
      <w:r w:rsidRPr="00AF5B33">
        <w:rPr>
          <w:rStyle w:val="AERtextitalic"/>
        </w:rPr>
        <w:t>Revised Regulatory Proposal 2016-2020</w:t>
      </w:r>
      <w:r>
        <w:t xml:space="preserve">, January 2016, pp. 358-359; APNT, </w:t>
      </w:r>
      <w:r w:rsidRPr="00903ED1">
        <w:rPr>
          <w:rStyle w:val="AERtextitalic"/>
        </w:rPr>
        <w:t>Access Arrangement Revised Proposal to Draft Decision</w:t>
      </w:r>
      <w:r>
        <w:t xml:space="preserve">, January 2016, p. 93; AusNet Transmission, </w:t>
      </w:r>
      <w:r>
        <w:rPr>
          <w:rStyle w:val="AERtextitalic"/>
        </w:rPr>
        <w:t>Transmission Revenue Proposal Review 2017-2022, Revised Revenue Proposal</w:t>
      </w:r>
      <w:r>
        <w:t xml:space="preserve">, 21 September 2016, p. 211; </w:t>
      </w:r>
      <w:r w:rsidRPr="00426A15">
        <w:t xml:space="preserve"> Frontier Economics, </w:t>
      </w:r>
      <w:r w:rsidRPr="008B1CA1">
        <w:rPr>
          <w:rStyle w:val="AERtextitalic"/>
        </w:rPr>
        <w:t>Perspectives for the estimation of gamma</w:t>
      </w:r>
      <w:r w:rsidRPr="00426A15">
        <w:t>, December 2016</w:t>
      </w:r>
      <w:r>
        <w:t>, para 35</w:t>
      </w:r>
    </w:p>
  </w:footnote>
  <w:footnote w:id="211">
    <w:p w:rsidR="00B31E52" w:rsidRDefault="00B31E52" w:rsidP="00C52695">
      <w:pPr>
        <w:pStyle w:val="FootnoteText"/>
      </w:pPr>
      <w:r>
        <w:rPr>
          <w:rStyle w:val="FootnoteReference"/>
        </w:rPr>
        <w:footnoteRef/>
      </w:r>
      <w:r>
        <w:t xml:space="preserve"> </w:t>
      </w:r>
      <w:r>
        <w:tab/>
        <w:t>Powerlink</w:t>
      </w:r>
      <w:r w:rsidRPr="003E1CE7">
        <w:t xml:space="preserve">, </w:t>
      </w:r>
      <w:r>
        <w:rPr>
          <w:rStyle w:val="AERtextitalic"/>
        </w:rPr>
        <w:t>Powerlink Queensland Revenue Proposal Appendix 9.02</w:t>
      </w:r>
      <w:r w:rsidRPr="003E1CE7">
        <w:t xml:space="preserve">, </w:t>
      </w:r>
      <w:r>
        <w:t>31 January 2016, p</w:t>
      </w:r>
      <w:r w:rsidRPr="003E1CE7">
        <w:t>. </w:t>
      </w:r>
      <w:r>
        <w:t>7.</w:t>
      </w:r>
    </w:p>
  </w:footnote>
  <w:footnote w:id="212">
    <w:p w:rsidR="00B31E52" w:rsidRDefault="00B31E52" w:rsidP="00C52695">
      <w:pPr>
        <w:pStyle w:val="FootnoteText"/>
      </w:pPr>
      <w:r>
        <w:rPr>
          <w:rStyle w:val="FootnoteReference"/>
        </w:rPr>
        <w:footnoteRef/>
      </w:r>
      <w:r>
        <w:t xml:space="preserve"> </w:t>
      </w:r>
      <w:r>
        <w:tab/>
        <w:t xml:space="preserve">United Energy, </w:t>
      </w:r>
      <w:r w:rsidRPr="006B5C23">
        <w:rPr>
          <w:rStyle w:val="AERtextitalic"/>
        </w:rPr>
        <w:t>Submission on AER preliminary determination - Submission on gamma</w:t>
      </w:r>
      <w:r>
        <w:t xml:space="preserve">, 26 April 2016; 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xml:space="preserve">, 26 February 2016, </w:t>
      </w:r>
      <w:r w:rsidRPr="008F5D24">
        <w:t>paras. 1096.</w:t>
      </w:r>
    </w:p>
  </w:footnote>
  <w:footnote w:id="213">
    <w:p w:rsidR="00B31E52" w:rsidRDefault="00B31E52" w:rsidP="00C52695">
      <w:pPr>
        <w:pStyle w:val="FootnoteText"/>
      </w:pPr>
      <w:r>
        <w:rPr>
          <w:rStyle w:val="FootnoteReference"/>
        </w:rPr>
        <w:footnoteRef/>
      </w:r>
      <w:r>
        <w:t xml:space="preserve"> </w:t>
      </w:r>
      <w:r>
        <w:tab/>
        <w:t xml:space="preserve">SFG, </w:t>
      </w:r>
      <w:r w:rsidRPr="00C014CC">
        <w:rPr>
          <w:rStyle w:val="AERtextitalic"/>
        </w:rPr>
        <w:t>An appropriate regulatory estimate of gamma</w:t>
      </w:r>
      <w:r>
        <w:t xml:space="preserve">, 21 May 2014, paras. 17 and 20; Frontier Economics, </w:t>
      </w:r>
      <w:r w:rsidRPr="00D14DE4">
        <w:rPr>
          <w:rStyle w:val="AERtextitalic"/>
        </w:rPr>
        <w:t>An appropriate regulatory estimate of gamma</w:t>
      </w:r>
      <w:r>
        <w:t xml:space="preserve">, June 2015, p. 33; Frontier Economics, </w:t>
      </w:r>
      <w:r>
        <w:rPr>
          <w:rStyle w:val="AERtextitalic"/>
        </w:rPr>
        <w:t>Regulatory estimation of gamma report prepared for Powerlink</w:t>
      </w:r>
      <w:r>
        <w:t>, January 2016, p. 10; Powerlink</w:t>
      </w:r>
      <w:r w:rsidRPr="003E1CE7">
        <w:t xml:space="preserve">, </w:t>
      </w:r>
      <w:r>
        <w:rPr>
          <w:rStyle w:val="AERtextitalic"/>
        </w:rPr>
        <w:t>Powerlink Queensland Revenue Proposal Appendix 9.02</w:t>
      </w:r>
      <w:r w:rsidRPr="003E1CE7">
        <w:t xml:space="preserve">, </w:t>
      </w:r>
      <w:r>
        <w:t>31 January 2016, p</w:t>
      </w:r>
      <w:r w:rsidRPr="003E1CE7">
        <w:t>. </w:t>
      </w:r>
      <w:r>
        <w:t xml:space="preserve">7; AusNet Transmission, </w:t>
      </w:r>
      <w:r>
        <w:rPr>
          <w:rStyle w:val="AERtextitalic"/>
        </w:rPr>
        <w:t>Transmission Revenue Proposal Review 2017-2022, Revised Revenue Proposal</w:t>
      </w:r>
      <w:r>
        <w:t>, 21 September 2016, pp. 209, 211-212.</w:t>
      </w:r>
    </w:p>
  </w:footnote>
  <w:footnote w:id="214">
    <w:p w:rsidR="00B31E52" w:rsidRDefault="00B31E52" w:rsidP="00180548">
      <w:pPr>
        <w:pStyle w:val="FootnoteText"/>
      </w:pPr>
      <w:r>
        <w:rPr>
          <w:rStyle w:val="FootnoteReference"/>
        </w:rPr>
        <w:footnoteRef/>
      </w:r>
      <w:r>
        <w:t xml:space="preserve"> </w:t>
      </w:r>
      <w:r>
        <w:tab/>
      </w:r>
      <w:r w:rsidRPr="003E1CE7">
        <w:t xml:space="preserve">AusNet Transmission, </w:t>
      </w:r>
      <w:r w:rsidRPr="003E1CE7">
        <w:rPr>
          <w:rStyle w:val="AERtextitalic"/>
        </w:rPr>
        <w:t>Transmission Revenue Review 2017-2022</w:t>
      </w:r>
      <w:r w:rsidRPr="003E1CE7">
        <w:t>, October 2015, p. </w:t>
      </w:r>
      <w:r>
        <w:t xml:space="preserve">300; Australian Gas Networks, </w:t>
      </w:r>
      <w:r>
        <w:rPr>
          <w:rStyle w:val="AERtextitalic"/>
        </w:rPr>
        <w:t>Attachment 11 Response to Draft Decision: Cost of Tax</w:t>
      </w:r>
      <w:r>
        <w:t xml:space="preserve">, January 2016, p. 13; ActewAGL, </w:t>
      </w:r>
      <w:r w:rsidRPr="00C3341F">
        <w:rPr>
          <w:rStyle w:val="AERtextitalic"/>
        </w:rPr>
        <w:t>Appendix 5.01 Detailed response to rate of return, gamma and inflation</w:t>
      </w:r>
      <w:r>
        <w:t xml:space="preserve">, January 2016, p. 117; AusNet Electricity Services, </w:t>
      </w:r>
      <w:r w:rsidRPr="00C3341F">
        <w:rPr>
          <w:rStyle w:val="AERtextitalic"/>
        </w:rPr>
        <w:t>Revised Regulatory Proposal</w:t>
      </w:r>
      <w:r>
        <w:t>, January 2016, p. 7-85; United Energy, Re</w:t>
      </w:r>
      <w:r w:rsidRPr="00C3341F">
        <w:rPr>
          <w:rStyle w:val="AERtextitalic"/>
        </w:rPr>
        <w:t>sponse to AER Preliminary Determination Re: Rate of return and gamma</w:t>
      </w:r>
      <w:r>
        <w:t xml:space="preserve">, January 2016, p. 87; CitiPower, </w:t>
      </w:r>
      <w:r w:rsidRPr="00C3341F">
        <w:rPr>
          <w:rStyle w:val="AERtextitalic"/>
        </w:rPr>
        <w:t>Revised Regulatory Proposal 2016-2020</w:t>
      </w:r>
      <w:r>
        <w:t xml:space="preserve">; January 2016, p. 365; Jemena Electricity Networks, </w:t>
      </w:r>
      <w:r w:rsidRPr="00C3341F">
        <w:rPr>
          <w:rStyle w:val="AERtextitalic"/>
        </w:rPr>
        <w:t>Attachment 6-1 Rate of return, gamma, forecast inflation, and debt and equity raising costs</w:t>
      </w:r>
      <w:r>
        <w:t xml:space="preserve">, January 2016, p. 93; Powercor, </w:t>
      </w:r>
      <w:r w:rsidRPr="00C3341F">
        <w:rPr>
          <w:rStyle w:val="AERtextitalic"/>
        </w:rPr>
        <w:t>Revised Regulatory Proposal 2016-2020</w:t>
      </w:r>
      <w:r>
        <w:t xml:space="preserve">, January 2016, p. 359; AusNet Transmission, </w:t>
      </w:r>
      <w:r>
        <w:rPr>
          <w:rStyle w:val="AERtextitalic"/>
        </w:rPr>
        <w:t>Transmission Revenue Proposal Review 2017-2022, Revised Revenue Proposal</w:t>
      </w:r>
      <w:r>
        <w:t xml:space="preserve">, 21 September 2016, p. 204; </w:t>
      </w:r>
      <w:r w:rsidRPr="00180548">
        <w:t>Frontier Economics, Perspectives for the estimation of gamma, December 2016</w:t>
      </w:r>
      <w:r>
        <w:t>, para 35, 39</w:t>
      </w:r>
    </w:p>
  </w:footnote>
  <w:footnote w:id="215">
    <w:p w:rsidR="00B31E52" w:rsidRDefault="00B31E52" w:rsidP="00C52695">
      <w:pPr>
        <w:pStyle w:val="FootnoteText"/>
      </w:pPr>
      <w:r>
        <w:rPr>
          <w:rStyle w:val="FootnoteReference"/>
        </w:rPr>
        <w:footnoteRef/>
      </w:r>
      <w:r>
        <w:t xml:space="preserve"> </w:t>
      </w:r>
      <w:r>
        <w:tab/>
        <w:t xml:space="preserve">Australian Gas Networks, </w:t>
      </w:r>
      <w:r>
        <w:rPr>
          <w:rStyle w:val="AERtextitalic"/>
        </w:rPr>
        <w:t>Attachment 11 Response to Draft Decision: Cost of Tax</w:t>
      </w:r>
      <w:r>
        <w:t xml:space="preserve">, January 2016, pp. 4, 13, 22; ActewAGL, </w:t>
      </w:r>
      <w:r w:rsidRPr="005764F6">
        <w:rPr>
          <w:rStyle w:val="AERtextitalic"/>
        </w:rPr>
        <w:t>Appendix 5.01 Detailed response to rate of return, gamma and inflation</w:t>
      </w:r>
      <w:r>
        <w:t xml:space="preserve">, January 2016, pp. 41,117,127; AusNet Electricity Services, </w:t>
      </w:r>
      <w:r w:rsidRPr="005764F6">
        <w:rPr>
          <w:rStyle w:val="AERtextitalic"/>
        </w:rPr>
        <w:t>Revised Regulatory Proposal</w:t>
      </w:r>
      <w:r>
        <w:t xml:space="preserve">, January 2016, pp. 7-86, 7-94; United Energy, </w:t>
      </w:r>
      <w:r w:rsidRPr="005764F6">
        <w:rPr>
          <w:rStyle w:val="AERtextitalic"/>
        </w:rPr>
        <w:t>Response to AER Preliminary Determination Re: Rate of return and gamma</w:t>
      </w:r>
      <w:r>
        <w:t xml:space="preserve">, January 2016, pp. 87, 95; CitiPower, </w:t>
      </w:r>
      <w:r w:rsidRPr="005764F6">
        <w:rPr>
          <w:rStyle w:val="AERtextitalic"/>
        </w:rPr>
        <w:t>Revised Regulatory Proposal 2016-2020</w:t>
      </w:r>
      <w:r>
        <w:t xml:space="preserve">; January 2016, pp. 365, 373; Jemena Electricity Networks, </w:t>
      </w:r>
      <w:r w:rsidRPr="005764F6">
        <w:rPr>
          <w:rStyle w:val="AERtextitalic"/>
        </w:rPr>
        <w:t>Attachment 6-1 Rate of return, gamma, forecast inflation, and debt and equity raising costs</w:t>
      </w:r>
      <w:r>
        <w:t xml:space="preserve">, January 2016, pp. 94, 103; Powercor, </w:t>
      </w:r>
      <w:r w:rsidRPr="005764F6">
        <w:rPr>
          <w:rStyle w:val="AERtextitalic"/>
        </w:rPr>
        <w:t>Revised Regulatory Proposal 2016-2020</w:t>
      </w:r>
      <w:r>
        <w:t>, January 2016, pp. 359, 367.</w:t>
      </w:r>
    </w:p>
  </w:footnote>
  <w:footnote w:id="216">
    <w:p w:rsidR="00B31E52" w:rsidRDefault="00B31E52" w:rsidP="00C52695">
      <w:pPr>
        <w:pStyle w:val="FootnoteText"/>
      </w:pPr>
      <w:r>
        <w:rPr>
          <w:rStyle w:val="FootnoteReference"/>
        </w:rPr>
        <w:footnoteRef/>
      </w:r>
      <w:r>
        <w:t xml:space="preserve"> </w:t>
      </w:r>
      <w:r>
        <w:tab/>
      </w:r>
      <w:r w:rsidRPr="003E1CE7">
        <w:t xml:space="preserve">AusNet Transmission, </w:t>
      </w:r>
      <w:r w:rsidRPr="003E1CE7">
        <w:rPr>
          <w:rStyle w:val="AERtextitalic"/>
        </w:rPr>
        <w:t>Transmission Revenue Review 2017-2022</w:t>
      </w:r>
      <w:r w:rsidRPr="003E1CE7">
        <w:t>, October 2015, p</w:t>
      </w:r>
      <w:r>
        <w:t>p</w:t>
      </w:r>
      <w:r w:rsidRPr="003E1CE7">
        <w:t>. </w:t>
      </w:r>
      <w:r>
        <w:t xml:space="preserve">301, 303, 306; Australian Gas Networks, </w:t>
      </w:r>
      <w:r>
        <w:rPr>
          <w:rStyle w:val="AERtextitalic"/>
        </w:rPr>
        <w:t>Attachment 11 Response to Draft Decision: Cost of Tax</w:t>
      </w:r>
      <w:r>
        <w:t xml:space="preserve">, January 2016, pp. 13-14, 20; ActewAGL, Appendix 5.01 Detailed response to rate of return, gamma and inflation, January 2016, pp. 117-120, 125-12:  AusNet Electricity Services, </w:t>
      </w:r>
      <w:r w:rsidRPr="00793854">
        <w:rPr>
          <w:rStyle w:val="AERtextitalic"/>
        </w:rPr>
        <w:t>Revised Regulatory Proposal</w:t>
      </w:r>
      <w:r>
        <w:t xml:space="preserve">, January 2016, pp. 7-86, 7-87, 7-93; United Energy, </w:t>
      </w:r>
      <w:r w:rsidRPr="00793854">
        <w:rPr>
          <w:rStyle w:val="AERtextitalic"/>
        </w:rPr>
        <w:t>Response to AER Preliminary Determination Re: Rate of return and gamma</w:t>
      </w:r>
      <w:r>
        <w:t xml:space="preserve">, January 2016, pp. 87, 88, 94; CitiPower, </w:t>
      </w:r>
      <w:r w:rsidRPr="00793854">
        <w:rPr>
          <w:rStyle w:val="AERtextitalic"/>
        </w:rPr>
        <w:t>Revised Regulatory Proposal 2016-2020</w:t>
      </w:r>
      <w:r>
        <w:t xml:space="preserve">; January 2016, pp. 365-366, 372; Jemena Electricity Networks, </w:t>
      </w:r>
      <w:r w:rsidRPr="00793854">
        <w:rPr>
          <w:rStyle w:val="AERtextitalic"/>
        </w:rPr>
        <w:t>Attachment 6-1 Rate of return, gamma, forecast inflation, and debt and equity raising costs</w:t>
      </w:r>
      <w:r>
        <w:t xml:space="preserve">, January 2016, pp. 94-95, 102; Powercor, </w:t>
      </w:r>
      <w:r w:rsidRPr="00793854">
        <w:rPr>
          <w:rStyle w:val="AERtextitalic"/>
        </w:rPr>
        <w:t>Revised Regulatory Proposal 2016-2020</w:t>
      </w:r>
      <w:r>
        <w:t>, January 2016, pp. 359-360, 366.</w:t>
      </w:r>
    </w:p>
  </w:footnote>
  <w:footnote w:id="217">
    <w:p w:rsidR="00B31E52" w:rsidRDefault="00B31E52" w:rsidP="003B47A6">
      <w:pPr>
        <w:pStyle w:val="FootnoteText"/>
      </w:pPr>
      <w:r>
        <w:rPr>
          <w:rStyle w:val="FootnoteReference"/>
        </w:rPr>
        <w:footnoteRef/>
      </w:r>
      <w:r>
        <w:t xml:space="preserve"> </w:t>
      </w:r>
      <w:r>
        <w:tab/>
        <w:t xml:space="preserve">Frontier Economics, </w:t>
      </w:r>
      <w:r w:rsidRPr="00D14DE4">
        <w:rPr>
          <w:rStyle w:val="AERtextitalic"/>
        </w:rPr>
        <w:t>An appropriate regulatory estimate of gamma</w:t>
      </w:r>
      <w:r>
        <w:t xml:space="preserve">, June 2015, pp. 37–38; Frontier Economics, </w:t>
      </w:r>
      <w:r>
        <w:rPr>
          <w:rStyle w:val="AERtextitalic"/>
        </w:rPr>
        <w:t>Issues in the estimation of gamma</w:t>
      </w:r>
      <w:r>
        <w:t>, September 2016, pp. 23-24.</w:t>
      </w:r>
    </w:p>
  </w:footnote>
  <w:footnote w:id="218">
    <w:p w:rsidR="00B31E52" w:rsidRPr="00D81354" w:rsidRDefault="00B31E52" w:rsidP="00AC26C8">
      <w:pPr>
        <w:pStyle w:val="FootnoteText"/>
      </w:pPr>
      <w:r>
        <w:rPr>
          <w:rStyle w:val="FootnoteReference"/>
        </w:rPr>
        <w:footnoteRef/>
      </w:r>
      <w:r>
        <w:t xml:space="preserve"> </w:t>
      </w:r>
      <w:r>
        <w:tab/>
        <w:t xml:space="preserve">M. Lally, </w:t>
      </w:r>
      <w:r w:rsidRPr="00E750F8">
        <w:rPr>
          <w:rStyle w:val="AERtextitalic"/>
        </w:rPr>
        <w:t xml:space="preserve">Issues in the estimation of gamma, </w:t>
      </w:r>
      <w:r w:rsidRPr="004423C9">
        <w:rPr>
          <w:rStyle w:val="AERtextitalic"/>
          <w:i w:val="0"/>
        </w:rPr>
        <w:t>April</w:t>
      </w:r>
      <w:r w:rsidRPr="00E750F8">
        <w:rPr>
          <w:rStyle w:val="AERtextitalic"/>
          <w:i w:val="0"/>
        </w:rPr>
        <w:t xml:space="preserve"> 2017</w:t>
      </w:r>
      <w:r w:rsidRPr="00AC26C8">
        <w:rPr>
          <w:rStyle w:val="AERtextitalic"/>
          <w:i w:val="0"/>
        </w:rPr>
        <w:t xml:space="preserve">, </w:t>
      </w:r>
      <w:r w:rsidRPr="00A42583">
        <w:rPr>
          <w:rStyle w:val="AERtextitalic"/>
          <w:i w:val="0"/>
        </w:rPr>
        <w:t>p</w:t>
      </w:r>
      <w:r w:rsidRPr="00D81354">
        <w:rPr>
          <w:rStyle w:val="AERtextitalic"/>
          <w:i w:val="0"/>
        </w:rPr>
        <w:t>p. 21-22</w:t>
      </w:r>
      <w:r w:rsidRPr="004423C9">
        <w:rPr>
          <w:rStyle w:val="AERtextitalic"/>
          <w:i w:val="0"/>
        </w:rPr>
        <w:t>,</w:t>
      </w:r>
      <w:r w:rsidRPr="00AC26C8">
        <w:rPr>
          <w:rStyle w:val="AERtextitalic"/>
          <w:i w:val="0"/>
        </w:rPr>
        <w:t xml:space="preserve"> 26</w:t>
      </w:r>
      <w:r w:rsidRPr="00A42583">
        <w:rPr>
          <w:rStyle w:val="AERtextitalic"/>
          <w:i w:val="0"/>
        </w:rPr>
        <w:t>.</w:t>
      </w:r>
    </w:p>
  </w:footnote>
  <w:footnote w:id="219">
    <w:p w:rsidR="00B31E52" w:rsidRDefault="00B31E52" w:rsidP="00C52695">
      <w:pPr>
        <w:pStyle w:val="FootnoteText"/>
      </w:pPr>
      <w:r>
        <w:rPr>
          <w:rStyle w:val="FootnoteReference"/>
        </w:rPr>
        <w:footnoteRef/>
      </w:r>
      <w:r>
        <w:t xml:space="preserve"> </w:t>
      </w:r>
      <w:r>
        <w:tab/>
      </w:r>
      <w:r w:rsidRPr="008F5D24">
        <w:t xml:space="preserve">HoustonKemp, </w:t>
      </w:r>
      <w:r w:rsidRPr="00D414CC">
        <w:rPr>
          <w:rStyle w:val="Emphasis"/>
        </w:rPr>
        <w:t>A response to the Australian Energy Regulator Draft Decision on Australian Gas Networks AA2016 Revenue Reset</w:t>
      </w:r>
      <w:r w:rsidRPr="008F5D24">
        <w:t xml:space="preserve">, February 2016, p. </w:t>
      </w:r>
      <w:r>
        <w:t>28</w:t>
      </w:r>
      <w:r w:rsidRPr="008F5D24">
        <w:t>.</w:t>
      </w:r>
    </w:p>
  </w:footnote>
  <w:footnote w:id="220">
    <w:p w:rsidR="00B31E52" w:rsidRDefault="00B31E52" w:rsidP="00C52695">
      <w:pPr>
        <w:pStyle w:val="FootnoteText"/>
      </w:pPr>
      <w:r>
        <w:rPr>
          <w:rStyle w:val="FootnoteReference"/>
        </w:rPr>
        <w:footnoteRef/>
      </w:r>
      <w:r>
        <w:t xml:space="preserve"> </w:t>
      </w:r>
      <w:r>
        <w:tab/>
        <w:t xml:space="preserve">CCP, </w:t>
      </w:r>
      <w:r w:rsidRPr="00CD06D5">
        <w:rPr>
          <w:rStyle w:val="AERtextitalic"/>
        </w:rPr>
        <w:t>Responding to NSW draft determinations and revised proposals from electricity distribution networks</w:t>
      </w:r>
      <w:r>
        <w:t>, February 2015, p. 49.</w:t>
      </w:r>
    </w:p>
  </w:footnote>
  <w:footnote w:id="221">
    <w:p w:rsidR="00B31E52" w:rsidRPr="001966E3" w:rsidRDefault="00B31E52" w:rsidP="00C52695">
      <w:pPr>
        <w:pStyle w:val="FootnoteText"/>
      </w:pPr>
      <w:r>
        <w:rPr>
          <w:rStyle w:val="FootnoteReference"/>
        </w:rPr>
        <w:footnoteRef/>
      </w:r>
      <w:r>
        <w:t xml:space="preserve"> </w:t>
      </w:r>
      <w:r>
        <w:tab/>
        <w:t xml:space="preserve">PIAC, </w:t>
      </w:r>
      <w:r w:rsidRPr="008E72F6">
        <w:rPr>
          <w:rStyle w:val="AERtextitalic"/>
        </w:rPr>
        <w:t>Moving to a new paradigm:</w:t>
      </w:r>
      <w:r>
        <w:rPr>
          <w:rStyle w:val="AERtextitalic"/>
        </w:rPr>
        <w:t xml:space="preserve"> </w:t>
      </w:r>
      <w:r w:rsidRPr="008E72F6">
        <w:rPr>
          <w:rStyle w:val="AERtextitalic"/>
        </w:rPr>
        <w:t>submission to the Australian Energy</w:t>
      </w:r>
      <w:r>
        <w:rPr>
          <w:rStyle w:val="AERtextitalic"/>
        </w:rPr>
        <w:t xml:space="preserve"> </w:t>
      </w:r>
      <w:r w:rsidRPr="008E72F6">
        <w:rPr>
          <w:rStyle w:val="AERtextitalic"/>
        </w:rPr>
        <w:t>Regulator’s NSW electricity distribution</w:t>
      </w:r>
      <w:r>
        <w:rPr>
          <w:rStyle w:val="AERtextitalic"/>
        </w:rPr>
        <w:t xml:space="preserve"> </w:t>
      </w:r>
      <w:r w:rsidRPr="008E72F6">
        <w:rPr>
          <w:rStyle w:val="AERtextitalic"/>
        </w:rPr>
        <w:t>network price determination</w:t>
      </w:r>
      <w:r>
        <w:t xml:space="preserve">, 8 August 2014, pp. 90–92; PIAC, </w:t>
      </w:r>
      <w:r w:rsidRPr="001966E3">
        <w:rPr>
          <w:rStyle w:val="AERtextitalic"/>
        </w:rPr>
        <w:t>A missed opportunity? Submission to the Australian Energy Regulator’s draft determination for Ausgrid, Endeavour Energy and Essential Energy</w:t>
      </w:r>
      <w:r>
        <w:t>, 13 February 2015, p. 46.</w:t>
      </w:r>
    </w:p>
  </w:footnote>
  <w:footnote w:id="222">
    <w:p w:rsidR="00B31E52" w:rsidRDefault="00B31E52" w:rsidP="00C52695">
      <w:pPr>
        <w:pStyle w:val="FootnoteText"/>
      </w:pPr>
      <w:r>
        <w:rPr>
          <w:rStyle w:val="FootnoteReference"/>
        </w:rPr>
        <w:footnoteRef/>
      </w:r>
      <w:r>
        <w:t xml:space="preserve"> </w:t>
      </w:r>
      <w:r>
        <w:tab/>
      </w:r>
      <w:r w:rsidRPr="0074446C">
        <w:t xml:space="preserve">Australian Competition Tribunal, </w:t>
      </w:r>
      <w:r w:rsidRPr="008A03DA">
        <w:rPr>
          <w:rStyle w:val="AERtextitalic"/>
        </w:rPr>
        <w:t>Application by Energex Limited (Gamma) (No 5) [2011] ACompT 9</w:t>
      </w:r>
      <w:r>
        <w:t>, 12 May 2011, para. 45.</w:t>
      </w:r>
    </w:p>
  </w:footnote>
  <w:footnote w:id="223">
    <w:p w:rsidR="00B31E52" w:rsidRDefault="00B31E52" w:rsidP="00C52695">
      <w:pPr>
        <w:pStyle w:val="FootnoteText"/>
      </w:pPr>
      <w:r>
        <w:rPr>
          <w:rStyle w:val="FootnoteReference"/>
        </w:rPr>
        <w:footnoteRef/>
      </w:r>
      <w:r>
        <w:t xml:space="preserve"> </w:t>
      </w:r>
      <w:r>
        <w:tab/>
        <w:t xml:space="preserve">PIAC, </w:t>
      </w:r>
      <w:r w:rsidRPr="001966E3">
        <w:rPr>
          <w:rStyle w:val="AERtextitalic"/>
        </w:rPr>
        <w:t>A missed opportunity? Submission to the Australian Energy Regulator’s draft determination for Ausgrid, Endeavour Energy and Essential Energy</w:t>
      </w:r>
      <w:r>
        <w:t>, 13 February 2015, pp. 19–20.</w:t>
      </w:r>
    </w:p>
  </w:footnote>
  <w:footnote w:id="224">
    <w:p w:rsidR="00B31E52" w:rsidRDefault="00B31E52" w:rsidP="00C52695">
      <w:pPr>
        <w:pStyle w:val="FootnoteText"/>
      </w:pPr>
      <w:r>
        <w:rPr>
          <w:rStyle w:val="FootnoteReference"/>
        </w:rPr>
        <w:footnoteRef/>
      </w:r>
      <w:r>
        <w:t xml:space="preserve"> </w:t>
      </w:r>
      <w:r>
        <w:tab/>
        <w:t xml:space="preserve">EMRF, </w:t>
      </w:r>
      <w:r w:rsidRPr="006D5D8E">
        <w:rPr>
          <w:rStyle w:val="AERtextitalic"/>
        </w:rPr>
        <w:t>NSW Electricity Distribution Revenue Reset, AER Draft Decision and revised proposals from Ausgrid, Endeavour Energy and Essential Energy, A response</w:t>
      </w:r>
      <w:r>
        <w:t>, February 2015, pp. 31–32.</w:t>
      </w:r>
    </w:p>
  </w:footnote>
  <w:footnote w:id="225">
    <w:p w:rsidR="00B31E52" w:rsidRDefault="00B31E52" w:rsidP="00C52695">
      <w:pPr>
        <w:pStyle w:val="FootnoteText"/>
      </w:pPr>
      <w:r>
        <w:rPr>
          <w:rStyle w:val="FootnoteReference"/>
        </w:rPr>
        <w:footnoteRef/>
      </w:r>
      <w:r>
        <w:t xml:space="preserve"> </w:t>
      </w:r>
      <w:r>
        <w:tab/>
        <w:t xml:space="preserve">EMRF, </w:t>
      </w:r>
      <w:r w:rsidRPr="001B6BD3">
        <w:rPr>
          <w:rStyle w:val="AERtextitalic"/>
        </w:rPr>
        <w:t>NSW gas distribution revenue reset, Draft decision by the Australian Energy Regulator on Jemena’s Gas Networks Access Arrangement, A response</w:t>
      </w:r>
      <w:r>
        <w:t>, March 2015, p. 71.</w:t>
      </w:r>
    </w:p>
  </w:footnote>
  <w:footnote w:id="226">
    <w:p w:rsidR="00B31E52" w:rsidRDefault="00B31E52" w:rsidP="00C52695">
      <w:pPr>
        <w:pStyle w:val="FootnoteText"/>
      </w:pPr>
      <w:r>
        <w:rPr>
          <w:rStyle w:val="FootnoteReference"/>
        </w:rPr>
        <w:footnoteRef/>
      </w:r>
      <w:r>
        <w:t xml:space="preserve"> </w:t>
      </w:r>
      <w:r>
        <w:tab/>
      </w:r>
      <w:r w:rsidRPr="007646B1">
        <w:t xml:space="preserve">AER, </w:t>
      </w:r>
      <w:r>
        <w:rPr>
          <w:rStyle w:val="AERtextitalic"/>
        </w:rPr>
        <w:t>Better regulation: Explanatory S</w:t>
      </w:r>
      <w:r w:rsidRPr="007646B1">
        <w:rPr>
          <w:rStyle w:val="AERtextitalic"/>
        </w:rPr>
        <w:t xml:space="preserve">tatement </w:t>
      </w:r>
      <w:r>
        <w:rPr>
          <w:rStyle w:val="AERtextitalic"/>
        </w:rPr>
        <w:t>R</w:t>
      </w:r>
      <w:r w:rsidRPr="007646B1">
        <w:rPr>
          <w:rStyle w:val="AERtextitalic"/>
        </w:rPr>
        <w:t>ate</w:t>
      </w:r>
      <w:r>
        <w:rPr>
          <w:rStyle w:val="AERtextitalic"/>
        </w:rPr>
        <w:t xml:space="preserve"> of Return Guideline,</w:t>
      </w:r>
      <w:r w:rsidRPr="007646B1">
        <w:t xml:space="preserve"> December 2013</w:t>
      </w:r>
      <w:r>
        <w:t>, pp. 163–164.</w:t>
      </w:r>
    </w:p>
  </w:footnote>
  <w:footnote w:id="227">
    <w:p w:rsidR="00B31E52" w:rsidRDefault="00B31E52" w:rsidP="00C52695">
      <w:pPr>
        <w:pStyle w:val="FootnoteText"/>
      </w:pPr>
      <w:r>
        <w:rPr>
          <w:rStyle w:val="FootnoteReference"/>
        </w:rPr>
        <w:footnoteRef/>
      </w:r>
      <w:r>
        <w:t xml:space="preserve"> </w:t>
      </w:r>
      <w:r>
        <w:tab/>
        <w:t xml:space="preserve">SACOSS, </w:t>
      </w:r>
      <w:r w:rsidRPr="00B36753">
        <w:rPr>
          <w:rStyle w:val="AERtextitalic"/>
        </w:rPr>
        <w:t>Submission to Australian Energy Regulator on SA Power Networks’ 2015 – 2020 Regulatory Proposal</w:t>
      </w:r>
      <w:r>
        <w:t>, January 2015, p. 21.</w:t>
      </w:r>
    </w:p>
  </w:footnote>
  <w:footnote w:id="228">
    <w:p w:rsidR="00B31E52" w:rsidRDefault="00B31E52" w:rsidP="00C52695">
      <w:pPr>
        <w:pStyle w:val="FootnoteText"/>
      </w:pPr>
      <w:r>
        <w:rPr>
          <w:rStyle w:val="FootnoteReference"/>
        </w:rPr>
        <w:footnoteRef/>
      </w:r>
      <w:r>
        <w:t xml:space="preserve"> </w:t>
      </w:r>
      <w:r>
        <w:tab/>
        <w:t xml:space="preserve">SACOSS, </w:t>
      </w:r>
      <w:r w:rsidRPr="00B36753">
        <w:rPr>
          <w:rStyle w:val="AERtextitalic"/>
        </w:rPr>
        <w:t xml:space="preserve">Submission to Australian Energy Regulator on SA Power Networks’ 2015 – 2020 </w:t>
      </w:r>
      <w:r>
        <w:rPr>
          <w:rStyle w:val="AERtextitalic"/>
        </w:rPr>
        <w:t xml:space="preserve">AER Preliminary Decision </w:t>
      </w:r>
      <w:r>
        <w:t>June 2015, p. 5.</w:t>
      </w:r>
    </w:p>
  </w:footnote>
  <w:footnote w:id="229">
    <w:p w:rsidR="00B31E52" w:rsidRDefault="00B31E52" w:rsidP="00C52695">
      <w:pPr>
        <w:pStyle w:val="FootnoteText"/>
      </w:pPr>
      <w:r>
        <w:rPr>
          <w:rStyle w:val="FootnoteReference"/>
        </w:rPr>
        <w:footnoteRef/>
      </w:r>
      <w:r>
        <w:t xml:space="preserve"> </w:t>
      </w:r>
      <w:r>
        <w:tab/>
        <w:t xml:space="preserve">ECCSA, </w:t>
      </w:r>
      <w:r w:rsidRPr="003504FC">
        <w:rPr>
          <w:rStyle w:val="AERtextitalic"/>
        </w:rPr>
        <w:t>SA Electricity Distribution Revenue Reset, SA Power</w:t>
      </w:r>
      <w:r>
        <w:rPr>
          <w:rStyle w:val="AERtextitalic"/>
        </w:rPr>
        <w:t xml:space="preserve"> </w:t>
      </w:r>
      <w:r w:rsidRPr="003504FC">
        <w:rPr>
          <w:rStyle w:val="AERtextitalic"/>
        </w:rPr>
        <w:t>Networks</w:t>
      </w:r>
      <w:r>
        <w:rPr>
          <w:rStyle w:val="AERtextitalic"/>
        </w:rPr>
        <w:t>'</w:t>
      </w:r>
      <w:r w:rsidRPr="003504FC">
        <w:rPr>
          <w:rStyle w:val="AERtextitalic"/>
        </w:rPr>
        <w:t xml:space="preserve"> Application, A response</w:t>
      </w:r>
      <w:r>
        <w:t>, December 2014, pp. 80–81.</w:t>
      </w:r>
    </w:p>
  </w:footnote>
  <w:footnote w:id="230">
    <w:p w:rsidR="00B31E52" w:rsidRDefault="00B31E52" w:rsidP="00C52695">
      <w:pPr>
        <w:pStyle w:val="FootnoteText"/>
      </w:pPr>
      <w:r>
        <w:rPr>
          <w:rStyle w:val="FootnoteReference"/>
        </w:rPr>
        <w:footnoteRef/>
      </w:r>
      <w:r>
        <w:t xml:space="preserve"> </w:t>
      </w:r>
      <w:r>
        <w:tab/>
        <w:t xml:space="preserve">ECCSA, </w:t>
      </w:r>
      <w:r w:rsidRPr="003504FC">
        <w:rPr>
          <w:rStyle w:val="AERtextitalic"/>
        </w:rPr>
        <w:t>SA Electricity Distribution Revenue Res</w:t>
      </w:r>
      <w:r>
        <w:rPr>
          <w:rStyle w:val="AERtextitalic"/>
        </w:rPr>
        <w:t>et, The AER preliminary decision</w:t>
      </w:r>
      <w:r w:rsidRPr="003504FC">
        <w:rPr>
          <w:rStyle w:val="AERtextitalic"/>
        </w:rPr>
        <w:t>, A response</w:t>
      </w:r>
      <w:r>
        <w:t>, June 2015, p. 42.</w:t>
      </w:r>
    </w:p>
  </w:footnote>
  <w:footnote w:id="231">
    <w:p w:rsidR="00B31E52" w:rsidRDefault="00B31E52" w:rsidP="00C52695">
      <w:pPr>
        <w:pStyle w:val="FootnoteText"/>
      </w:pPr>
      <w:r>
        <w:rPr>
          <w:rStyle w:val="FootnoteReference"/>
        </w:rPr>
        <w:footnoteRef/>
      </w:r>
      <w:r>
        <w:t xml:space="preserve"> </w:t>
      </w:r>
      <w:r>
        <w:tab/>
        <w:t xml:space="preserve">ECCSA, </w:t>
      </w:r>
      <w:r>
        <w:rPr>
          <w:rStyle w:val="AERtextitalic"/>
        </w:rPr>
        <w:t>A response to the Australian Energy Regulator Draft Decision on Australian Gas Networks AA2016 Revenue Reset</w:t>
      </w:r>
      <w:r>
        <w:t>, February 2016, p. 35.</w:t>
      </w:r>
    </w:p>
  </w:footnote>
  <w:footnote w:id="232">
    <w:p w:rsidR="00B31E52" w:rsidRDefault="00B31E52" w:rsidP="00C52695">
      <w:pPr>
        <w:pStyle w:val="FootnoteText"/>
      </w:pPr>
      <w:r>
        <w:rPr>
          <w:rStyle w:val="FootnoteReference"/>
        </w:rPr>
        <w:footnoteRef/>
      </w:r>
      <w:r>
        <w:t xml:space="preserve"> </w:t>
      </w:r>
      <w:r>
        <w:tab/>
      </w:r>
      <w:r w:rsidRPr="009A6FC1">
        <w:t xml:space="preserve">ECCSA, </w:t>
      </w:r>
      <w:r w:rsidRPr="00D414CC">
        <w:rPr>
          <w:rStyle w:val="Emphasis"/>
        </w:rPr>
        <w:t>A response to the Australian Energy Regulator Draft Decision on Australian Gas Networks AA2016 Revenue Reset</w:t>
      </w:r>
      <w:r w:rsidRPr="009A6FC1">
        <w:t>, February 2016, p. 35.</w:t>
      </w:r>
    </w:p>
  </w:footnote>
  <w:footnote w:id="233">
    <w:p w:rsidR="00B31E52" w:rsidRDefault="00B31E52" w:rsidP="00C52695">
      <w:pPr>
        <w:pStyle w:val="FootnoteText"/>
      </w:pPr>
      <w:r>
        <w:rPr>
          <w:rStyle w:val="FootnoteReference"/>
        </w:rPr>
        <w:footnoteRef/>
      </w:r>
      <w:r>
        <w:t xml:space="preserve"> </w:t>
      </w:r>
      <w:r>
        <w:tab/>
        <w:t xml:space="preserve">QCOSS, </w:t>
      </w:r>
      <w:r w:rsidRPr="0014196F">
        <w:rPr>
          <w:rStyle w:val="AERtextitalic"/>
        </w:rPr>
        <w:t>Understanding the long term interests of electricity customers, Submission to the AER’s Queensland electricity distribution determination 2015-2020</w:t>
      </w:r>
      <w:r>
        <w:t>, 30 January 2015, p. 81.</w:t>
      </w:r>
    </w:p>
  </w:footnote>
  <w:footnote w:id="234">
    <w:p w:rsidR="00B31E52" w:rsidRDefault="00B31E52" w:rsidP="00C52695">
      <w:pPr>
        <w:pStyle w:val="FootnoteText"/>
      </w:pPr>
      <w:r>
        <w:rPr>
          <w:rStyle w:val="FootnoteReference"/>
        </w:rPr>
        <w:footnoteRef/>
      </w:r>
      <w:r>
        <w:t xml:space="preserve"> </w:t>
      </w:r>
      <w:r>
        <w:tab/>
        <w:t xml:space="preserve">Alliance of Electricity Consumers, </w:t>
      </w:r>
      <w:r w:rsidRPr="00F31D12">
        <w:rPr>
          <w:rStyle w:val="AERtextitalic"/>
        </w:rPr>
        <w:t>Submission on Ergon Energy’s Regulatory Proposal 2015-­2020</w:t>
      </w:r>
      <w:r>
        <w:t>, 30 January 2015, p. 24.</w:t>
      </w:r>
    </w:p>
  </w:footnote>
  <w:footnote w:id="235">
    <w:p w:rsidR="00B31E52" w:rsidRDefault="00B31E52" w:rsidP="00C52695">
      <w:pPr>
        <w:pStyle w:val="FootnoteText"/>
      </w:pPr>
      <w:r>
        <w:rPr>
          <w:rStyle w:val="FootnoteReference"/>
        </w:rPr>
        <w:footnoteRef/>
      </w:r>
      <w:r>
        <w:t xml:space="preserve"> </w:t>
      </w:r>
      <w:r>
        <w:tab/>
        <w:t xml:space="preserve">Uniting Care Australia, </w:t>
      </w:r>
      <w:r w:rsidRPr="00D414CC">
        <w:rPr>
          <w:rStyle w:val="Emphasis"/>
        </w:rPr>
        <w:t>Submission to the Australian Energy Regulator -Response to Electricity Distribution Business Revised Regulatory Proposal from 2015–20 from SA Power Networks, and AER Preliminary Determination</w:t>
      </w:r>
      <w:r w:rsidRPr="00B239C6">
        <w:t>, July 2015, p.</w:t>
      </w:r>
      <w:r>
        <w:t> </w:t>
      </w:r>
      <w:r w:rsidRPr="00B239C6">
        <w:t>29.</w:t>
      </w:r>
    </w:p>
  </w:footnote>
  <w:footnote w:id="236">
    <w:p w:rsidR="00B31E52" w:rsidRDefault="00B31E52" w:rsidP="00C52695">
      <w:pPr>
        <w:pStyle w:val="FootnoteText"/>
      </w:pPr>
      <w:r>
        <w:rPr>
          <w:rStyle w:val="FootnoteReference"/>
        </w:rPr>
        <w:footnoteRef/>
      </w:r>
      <w:r>
        <w:t xml:space="preserve"> </w:t>
      </w:r>
      <w:r>
        <w:tab/>
        <w:t xml:space="preserve">CCP, </w:t>
      </w:r>
      <w:r>
        <w:rPr>
          <w:rStyle w:val="AERtextitalic"/>
        </w:rPr>
        <w:t>Transmission for the Generators</w:t>
      </w:r>
      <w:r>
        <w:t>, February 2016, pp. 6, 43.</w:t>
      </w:r>
    </w:p>
  </w:footnote>
  <w:footnote w:id="237">
    <w:p w:rsidR="00B31E52" w:rsidRDefault="00B31E52" w:rsidP="00C52695">
      <w:pPr>
        <w:pStyle w:val="FootnoteText"/>
      </w:pPr>
      <w:r>
        <w:rPr>
          <w:rStyle w:val="FootnoteReference"/>
        </w:rPr>
        <w:footnoteRef/>
      </w:r>
      <w:r>
        <w:t xml:space="preserve"> </w:t>
      </w:r>
      <w:r>
        <w:tab/>
        <w:t xml:space="preserve">CCP, </w:t>
      </w:r>
      <w:r>
        <w:rPr>
          <w:rStyle w:val="AERtextitalic"/>
        </w:rPr>
        <w:t>Transmission for the Generators</w:t>
      </w:r>
      <w:r>
        <w:t>, February 2016, p. 43.</w:t>
      </w:r>
    </w:p>
  </w:footnote>
  <w:footnote w:id="238">
    <w:p w:rsidR="00B31E52" w:rsidRDefault="00B31E52" w:rsidP="00C52695">
      <w:pPr>
        <w:pStyle w:val="FootnoteText"/>
      </w:pPr>
      <w:r>
        <w:rPr>
          <w:rStyle w:val="FootnoteReference"/>
        </w:rPr>
        <w:footnoteRef/>
      </w:r>
      <w:r>
        <w:t xml:space="preserve"> </w:t>
      </w:r>
      <w:r>
        <w:tab/>
        <w:t xml:space="preserve">TasCOSS, </w:t>
      </w:r>
      <w:r w:rsidRPr="00D414CC">
        <w:rPr>
          <w:rStyle w:val="Emphasis"/>
        </w:rPr>
        <w:t>Submission on the AER issues paper regarding TasNetworks regulatory proposal</w:t>
      </w:r>
      <w:r>
        <w:t>, April 2016, p. 2.</w:t>
      </w:r>
    </w:p>
  </w:footnote>
  <w:footnote w:id="239">
    <w:p w:rsidR="00B31E52" w:rsidRDefault="00B31E52" w:rsidP="00C52695">
      <w:pPr>
        <w:pStyle w:val="FootnoteText"/>
      </w:pPr>
      <w:r>
        <w:rPr>
          <w:rStyle w:val="FootnoteReference"/>
        </w:rPr>
        <w:footnoteRef/>
      </w:r>
      <w:r>
        <w:t xml:space="preserve"> </w:t>
      </w:r>
      <w:r>
        <w:tab/>
        <w:t xml:space="preserve">Tasmanian Small Business Council, </w:t>
      </w:r>
      <w:r>
        <w:rPr>
          <w:rStyle w:val="AERtextitalic"/>
        </w:rPr>
        <w:t>Submission on TasNetworks' regulatory proposal</w:t>
      </w:r>
      <w:r>
        <w:t>, May 2016, p. 36.</w:t>
      </w:r>
    </w:p>
  </w:footnote>
  <w:footnote w:id="240">
    <w:p w:rsidR="00B31E52" w:rsidRDefault="00B31E52" w:rsidP="00C52695">
      <w:pPr>
        <w:pStyle w:val="FootnoteText"/>
        <w:rPr>
          <w:rStyle w:val="AERtextitalic"/>
        </w:rPr>
      </w:pPr>
      <w:r>
        <w:rPr>
          <w:rStyle w:val="FootnoteReference"/>
        </w:rPr>
        <w:footnoteRef/>
      </w:r>
      <w:r>
        <w:t xml:space="preserve"> </w:t>
      </w:r>
      <w:r>
        <w:tab/>
        <w:t xml:space="preserve">CCP sub panel 4, </w:t>
      </w:r>
      <w:r>
        <w:rPr>
          <w:rStyle w:val="AERtextitalic"/>
        </w:rPr>
        <w:t xml:space="preserve">Submission on TasNetworks' regulatory proposal, </w:t>
      </w:r>
      <w:r>
        <w:rPr>
          <w:rStyle w:val="AERtextitalic"/>
          <w:i w:val="0"/>
        </w:rPr>
        <w:t>May 2016, pp. 44-45.</w:t>
      </w:r>
      <w:r>
        <w:rPr>
          <w:rStyle w:val="AERtextitalic"/>
        </w:rPr>
        <w:t> </w:t>
      </w:r>
    </w:p>
  </w:footnote>
  <w:footnote w:id="241">
    <w:p w:rsidR="00B31E52" w:rsidRDefault="00B31E52">
      <w:pPr>
        <w:pStyle w:val="FootnoteText"/>
      </w:pPr>
      <w:r>
        <w:rPr>
          <w:rStyle w:val="FootnoteReference"/>
        </w:rPr>
        <w:footnoteRef/>
      </w:r>
      <w:r>
        <w:t xml:space="preserve"> </w:t>
      </w:r>
      <w:r>
        <w:tab/>
        <w:t xml:space="preserve">CCP sub panel 4, </w:t>
      </w:r>
      <w:r w:rsidRPr="00E750F8">
        <w:rPr>
          <w:rStyle w:val="AERtextitalic"/>
        </w:rPr>
        <w:t>Submission on TasNetworks' revised proposal and AER's draft decision</w:t>
      </w:r>
      <w:r>
        <w:t>, December 2016, pp. 30-31.</w:t>
      </w:r>
    </w:p>
  </w:footnote>
  <w:footnote w:id="242">
    <w:p w:rsidR="00B31E52" w:rsidRDefault="00B31E52" w:rsidP="000E71C3">
      <w:pPr>
        <w:pStyle w:val="FootnoteText"/>
      </w:pPr>
      <w:r>
        <w:rPr>
          <w:rStyle w:val="FootnoteReference"/>
        </w:rPr>
        <w:footnoteRef/>
      </w:r>
      <w:r>
        <w:t xml:space="preserve"> </w:t>
      </w:r>
      <w:r>
        <w:tab/>
        <w:t xml:space="preserve">CCP, </w:t>
      </w:r>
      <w:r>
        <w:rPr>
          <w:rStyle w:val="AERtextitalic"/>
        </w:rPr>
        <w:t>Transmission for the Generators II</w:t>
      </w:r>
      <w:r>
        <w:t xml:space="preserve">, September 2016, pp. 6, 43; CCP, </w:t>
      </w:r>
      <w:r>
        <w:rPr>
          <w:rStyle w:val="AERtextitalic"/>
        </w:rPr>
        <w:t>Transmission for the Generators III</w:t>
      </w:r>
      <w:r>
        <w:t>, October 2016, p. 13.</w:t>
      </w:r>
    </w:p>
  </w:footnote>
  <w:footnote w:id="243">
    <w:p w:rsidR="00B31E52" w:rsidRDefault="00B31E52">
      <w:pPr>
        <w:pStyle w:val="FootnoteText"/>
      </w:pPr>
      <w:r>
        <w:rPr>
          <w:rStyle w:val="FootnoteReference"/>
        </w:rPr>
        <w:footnoteRef/>
      </w:r>
      <w:r>
        <w:t xml:space="preserve"> </w:t>
      </w:r>
      <w:r>
        <w:tab/>
        <w:t xml:space="preserve">Consumer Challenge Panel Sub Panel 4 (David Headberry), </w:t>
      </w:r>
      <w:r w:rsidRPr="00E750F8">
        <w:rPr>
          <w:rStyle w:val="AERtextitalic"/>
        </w:rPr>
        <w:t>Response to the AER's Draft Decision and Revised Proposal to Tasmania's electricity distribution network service provider for a revenue reset for the 2017-19 regulatory period</w:t>
      </w:r>
      <w:r>
        <w:t>, 25 November 2016, p. 28.</w:t>
      </w:r>
    </w:p>
  </w:footnote>
  <w:footnote w:id="244">
    <w:p w:rsidR="00B31E52" w:rsidRDefault="00B31E52">
      <w:pPr>
        <w:pStyle w:val="FootnoteText"/>
      </w:pPr>
      <w:r>
        <w:rPr>
          <w:rStyle w:val="FootnoteReference"/>
        </w:rPr>
        <w:footnoteRef/>
      </w:r>
      <w:r>
        <w:t xml:space="preserve"> </w:t>
      </w:r>
      <w:r>
        <w:tab/>
        <w:t xml:space="preserve">Tasmanian Small Business Council, </w:t>
      </w:r>
      <w:r w:rsidRPr="00E750F8">
        <w:rPr>
          <w:rStyle w:val="AERtextitalic"/>
        </w:rPr>
        <w:t>Submission: TasNetworks Distribution - Draft Regulatory and Tariff Structure Statement Determination,</w:t>
      </w:r>
      <w:r>
        <w:t xml:space="preserve"> November 2016, p. 9.</w:t>
      </w:r>
    </w:p>
  </w:footnote>
  <w:footnote w:id="245">
    <w:p w:rsidR="00B31E52" w:rsidRDefault="00B31E52">
      <w:pPr>
        <w:pStyle w:val="FootnoteText"/>
      </w:pPr>
      <w:r>
        <w:rPr>
          <w:rStyle w:val="FootnoteReference"/>
        </w:rPr>
        <w:footnoteRef/>
      </w:r>
      <w:r>
        <w:t xml:space="preserve"> </w:t>
      </w:r>
      <w:r>
        <w:tab/>
        <w:t xml:space="preserve">Consumer Challenge Panel sub Panel 4 (CCP4), </w:t>
      </w:r>
      <w:r w:rsidRPr="00E750F8">
        <w:rPr>
          <w:rStyle w:val="AERtextitalic"/>
        </w:rPr>
        <w:t>Response to the AER Draft decision and Revised Proposal to Powerlink's electricity transmission network for a revenue reset for the 2017-2019 regulatory period</w:t>
      </w:r>
      <w:r>
        <w:t>, 19 December 2016, p. 3.</w:t>
      </w:r>
    </w:p>
  </w:footnote>
  <w:footnote w:id="246">
    <w:p w:rsidR="00B31E52" w:rsidRDefault="00B31E52">
      <w:pPr>
        <w:pStyle w:val="FootnoteText"/>
      </w:pPr>
      <w:r>
        <w:rPr>
          <w:rStyle w:val="FootnoteReference"/>
        </w:rPr>
        <w:footnoteRef/>
      </w:r>
      <w:r>
        <w:t xml:space="preserve"> </w:t>
      </w:r>
      <w:r>
        <w:tab/>
        <w:t xml:space="preserve">Origin Energy, </w:t>
      </w:r>
      <w:r w:rsidRPr="008B1CA1">
        <w:rPr>
          <w:rStyle w:val="AERtextitalic"/>
        </w:rPr>
        <w:t>Submission on Victorian Gas Access Arrangement Review-2018-22 Response to Gas Distribution Business' proposals</w:t>
      </w:r>
      <w:r>
        <w:t>, February 2017</w:t>
      </w:r>
    </w:p>
  </w:footnote>
  <w:footnote w:id="247">
    <w:p w:rsidR="00B31E52" w:rsidRDefault="00B31E52" w:rsidP="0043393C">
      <w:pPr>
        <w:pStyle w:val="FootnoteText"/>
      </w:pPr>
      <w:r>
        <w:rPr>
          <w:rStyle w:val="FootnoteReference"/>
        </w:rPr>
        <w:footnoteRef/>
      </w:r>
      <w:r>
        <w:t xml:space="preserve"> </w:t>
      </w:r>
      <w:r>
        <w:tab/>
      </w:r>
      <w:r w:rsidRPr="0043393C">
        <w:t xml:space="preserve"> </w:t>
      </w:r>
      <w:r w:rsidRPr="009114B8">
        <w:t xml:space="preserve">Multinet, </w:t>
      </w:r>
      <w:r w:rsidRPr="00704F01">
        <w:rPr>
          <w:rStyle w:val="AERtextitalic"/>
        </w:rPr>
        <w:t>2018 to 2022 Access Arrangement Information</w:t>
      </w:r>
      <w:r>
        <w:t>, December 2016, p.131;</w:t>
      </w:r>
      <w:r w:rsidRPr="009114B8">
        <w:t xml:space="preserve">AusNet Services Gas Distribution, </w:t>
      </w:r>
      <w:r w:rsidRPr="00704F01">
        <w:rPr>
          <w:rStyle w:val="AERtextitalic"/>
        </w:rPr>
        <w:t>Access Arrangement Review 2018-22</w:t>
      </w:r>
      <w:r w:rsidRPr="009114B8">
        <w:t xml:space="preserve">, December 2016, p.23 6; RBP, </w:t>
      </w:r>
      <w:r w:rsidRPr="00704F01">
        <w:rPr>
          <w:rStyle w:val="AERtextitalic"/>
        </w:rPr>
        <w:t>Access arrangement submission 2017-22</w:t>
      </w:r>
      <w:r w:rsidRPr="009114B8">
        <w:t xml:space="preserve">, 16 September 2016, p. 169; APA VTS, </w:t>
      </w:r>
      <w:r w:rsidRPr="00704F01">
        <w:rPr>
          <w:rStyle w:val="AERtextitalic"/>
        </w:rPr>
        <w:t>Victorian Transmission System Access Arrangement Submission</w:t>
      </w:r>
      <w:r w:rsidRPr="009114B8">
        <w:t>, January 2017, p. 186.</w:t>
      </w:r>
    </w:p>
  </w:footnote>
  <w:footnote w:id="248">
    <w:p w:rsidR="00B31E52" w:rsidRDefault="00B31E52" w:rsidP="00001B62">
      <w:pPr>
        <w:pStyle w:val="FootnoteText"/>
      </w:pPr>
      <w:r>
        <w:rPr>
          <w:rStyle w:val="FootnoteReference"/>
        </w:rPr>
        <w:footnoteRef/>
      </w:r>
      <w:r>
        <w:t xml:space="preserve"> </w:t>
      </w:r>
      <w:r>
        <w:tab/>
      </w:r>
      <w:r w:rsidRPr="0043393C">
        <w:t xml:space="preserve">Multinet, </w:t>
      </w:r>
      <w:r w:rsidRPr="005871DC">
        <w:rPr>
          <w:rStyle w:val="AERtextitalic"/>
        </w:rPr>
        <w:t>Corporate Income Tax Overview</w:t>
      </w:r>
      <w:r w:rsidRPr="0043393C">
        <w:t>, December 2016, p. 6.</w:t>
      </w:r>
    </w:p>
  </w:footnote>
  <w:footnote w:id="249">
    <w:p w:rsidR="00B31E52" w:rsidRDefault="00B31E52" w:rsidP="007B1E9A">
      <w:pPr>
        <w:pStyle w:val="FootnoteText"/>
      </w:pPr>
      <w:r>
        <w:rPr>
          <w:rStyle w:val="FootnoteReference"/>
        </w:rPr>
        <w:footnoteRef/>
      </w:r>
      <w:r>
        <w:t xml:space="preserve"> </w:t>
      </w:r>
      <w:r>
        <w:tab/>
      </w:r>
      <w:r w:rsidRPr="00DB6F2B">
        <w:t xml:space="preserve">AGN, </w:t>
      </w:r>
      <w:r w:rsidRPr="00704F01">
        <w:rPr>
          <w:rStyle w:val="AERtextitalic"/>
        </w:rPr>
        <w:t>Final Plan: Access Arrangement Information for our Victorian and Albury natural gas distribution networks 2018-22</w:t>
      </w:r>
      <w:r w:rsidRPr="00DB6F2B">
        <w:t>,</w:t>
      </w:r>
      <w:r w:rsidRPr="001E1469">
        <w:t xml:space="preserve"> </w:t>
      </w:r>
      <w:r w:rsidRPr="00DB6F2B">
        <w:t>December, p. 121</w:t>
      </w:r>
      <w:r>
        <w:t>.</w:t>
      </w:r>
    </w:p>
  </w:footnote>
  <w:footnote w:id="250">
    <w:p w:rsidR="00B31E52" w:rsidRDefault="00B31E52">
      <w:pPr>
        <w:pStyle w:val="FootnoteText"/>
      </w:pPr>
      <w:r>
        <w:rPr>
          <w:rStyle w:val="FootnoteReference"/>
        </w:rPr>
        <w:footnoteRef/>
      </w:r>
      <w:r>
        <w:t xml:space="preserve"> </w:t>
      </w:r>
      <w:r>
        <w:tab/>
      </w:r>
      <w:r w:rsidRPr="0043393C">
        <w:t xml:space="preserve">Multinet, </w:t>
      </w:r>
      <w:r w:rsidRPr="005871DC">
        <w:rPr>
          <w:rStyle w:val="AERtextitalic"/>
        </w:rPr>
        <w:t>Corporate Income Tax Overview</w:t>
      </w:r>
      <w:r w:rsidRPr="0043393C">
        <w:t>, December 2016, p. 6.</w:t>
      </w:r>
    </w:p>
  </w:footnote>
  <w:footnote w:id="251">
    <w:p w:rsidR="00B31E52" w:rsidRDefault="00B31E52">
      <w:pPr>
        <w:pStyle w:val="FootnoteText"/>
      </w:pPr>
      <w:r>
        <w:rPr>
          <w:rStyle w:val="FootnoteReference"/>
        </w:rPr>
        <w:footnoteRef/>
      </w:r>
      <w:r>
        <w:t xml:space="preserve"> </w:t>
      </w:r>
      <w:r>
        <w:tab/>
        <w:t xml:space="preserve">Federal Court of Australia, </w:t>
      </w:r>
      <w:r w:rsidRPr="00B23401">
        <w:rPr>
          <w:rStyle w:val="AERtextitalic"/>
        </w:rPr>
        <w:t>Australian Energy Regulator v Australian Competition Tribunal (No 2) [2017] FCAFC 79</w:t>
      </w:r>
      <w:r>
        <w:t>, May 2017, p. 216.</w:t>
      </w:r>
    </w:p>
  </w:footnote>
  <w:footnote w:id="252">
    <w:p w:rsidR="00B31E52" w:rsidRDefault="00B31E52">
      <w:pPr>
        <w:pStyle w:val="FootnoteText"/>
      </w:pPr>
      <w:r>
        <w:rPr>
          <w:rStyle w:val="FootnoteReference"/>
        </w:rPr>
        <w:footnoteRef/>
      </w:r>
      <w:r>
        <w:t xml:space="preserve"> </w:t>
      </w:r>
      <w:r>
        <w:tab/>
      </w:r>
      <w:r w:rsidRPr="000F2EAB">
        <w:t xml:space="preserve">Frontier, </w:t>
      </w:r>
      <w:r w:rsidRPr="008B1CA1">
        <w:rPr>
          <w:rStyle w:val="AERtextitalic"/>
        </w:rPr>
        <w:t>Perspectives for the estimation of gamma</w:t>
      </w:r>
      <w:r w:rsidRPr="000F2EAB">
        <w:t>, December 2016</w:t>
      </w:r>
    </w:p>
  </w:footnote>
  <w:footnote w:id="253">
    <w:p w:rsidR="00B31E52" w:rsidRDefault="00B31E52">
      <w:pPr>
        <w:pStyle w:val="FootnoteText"/>
      </w:pPr>
      <w:r>
        <w:rPr>
          <w:rStyle w:val="FootnoteReference"/>
        </w:rPr>
        <w:footnoteRef/>
      </w:r>
      <w:r>
        <w:t xml:space="preserve"> </w:t>
      </w:r>
      <w:r>
        <w:tab/>
      </w:r>
      <w:r w:rsidRPr="0043393C">
        <w:t xml:space="preserve">Multinet, </w:t>
      </w:r>
      <w:r w:rsidRPr="005871DC">
        <w:rPr>
          <w:rStyle w:val="AERtextitalic"/>
        </w:rPr>
        <w:t>Corporate Income Tax Overview</w:t>
      </w:r>
      <w:r w:rsidRPr="0043393C">
        <w:t>, December 2016</w:t>
      </w:r>
      <w:r>
        <w:t xml:space="preserve">; AusNet Transmission, </w:t>
      </w:r>
      <w:r>
        <w:rPr>
          <w:rStyle w:val="AERtextitalic"/>
        </w:rPr>
        <w:t>Transmission Revenue Proposal Review 2017-2022, Revised Revenue Proposal</w:t>
      </w:r>
      <w:r>
        <w:t xml:space="preserve">, 21 September 2016, p. 201; Frontier Economics, </w:t>
      </w:r>
      <w:r>
        <w:rPr>
          <w:rStyle w:val="AERtextitalic"/>
        </w:rPr>
        <w:t>Regulatory An updated dividend drop-off estimate of theta</w:t>
      </w:r>
      <w:r>
        <w:t>, September 2016.</w:t>
      </w:r>
    </w:p>
  </w:footnote>
  <w:footnote w:id="254">
    <w:p w:rsidR="00B31E52" w:rsidRDefault="00B31E52">
      <w:pPr>
        <w:pStyle w:val="FootnoteText"/>
      </w:pPr>
      <w:r>
        <w:rPr>
          <w:rStyle w:val="FootnoteReference"/>
        </w:rPr>
        <w:footnoteRef/>
      </w:r>
      <w:r>
        <w:t xml:space="preserve"> </w:t>
      </w:r>
      <w:r>
        <w:tab/>
        <w:t xml:space="preserve">Frontier, </w:t>
      </w:r>
      <w:r w:rsidRPr="005871DC">
        <w:rPr>
          <w:rStyle w:val="AERtextitalic"/>
        </w:rPr>
        <w:t>Perspectives for the estimation of gamma</w:t>
      </w:r>
      <w:r>
        <w:t>, December 2016</w:t>
      </w:r>
    </w:p>
  </w:footnote>
  <w:footnote w:id="255">
    <w:p w:rsidR="00B31E52" w:rsidRDefault="00B31E52" w:rsidP="0036034D">
      <w:pPr>
        <w:pStyle w:val="FootnoteText"/>
      </w:pPr>
      <w:r>
        <w:rPr>
          <w:rStyle w:val="FootnoteReference"/>
        </w:rPr>
        <w:footnoteRef/>
      </w:r>
      <w:r>
        <w:t xml:space="preserve"> </w:t>
      </w:r>
      <w:r>
        <w:tab/>
        <w:t xml:space="preserve">Frontier, </w:t>
      </w:r>
      <w:r w:rsidRPr="005764F6">
        <w:rPr>
          <w:rStyle w:val="AERtextitalic"/>
        </w:rPr>
        <w:t>The appropriate use of tax statistics when estimating gamma</w:t>
      </w:r>
      <w:r w:rsidRPr="00C2259D">
        <w:t xml:space="preserve">, </w:t>
      </w:r>
      <w:r>
        <w:t xml:space="preserve">January 2016; Frontier, </w:t>
      </w:r>
      <w:r>
        <w:rPr>
          <w:rStyle w:val="AERtextitalic"/>
        </w:rPr>
        <w:t>Regulatory estimation of gamma report prepared form Powerlink</w:t>
      </w:r>
      <w:r w:rsidRPr="00C2259D">
        <w:t xml:space="preserve">, </w:t>
      </w:r>
      <w:r>
        <w:t xml:space="preserve">January 2016; Frontier Economics, </w:t>
      </w:r>
      <w:r>
        <w:rPr>
          <w:rStyle w:val="AERtextitalic"/>
        </w:rPr>
        <w:t>Regulatory An updated dividend drop-off estimate of theta</w:t>
      </w:r>
      <w:r>
        <w:t xml:space="preserve">, September 2016 and Frontier Economics, </w:t>
      </w:r>
      <w:r>
        <w:rPr>
          <w:rStyle w:val="AERtextitalic"/>
        </w:rPr>
        <w:t>Issues in the estimation of gamma</w:t>
      </w:r>
      <w:r>
        <w:t>, September 2016.</w:t>
      </w:r>
    </w:p>
  </w:footnote>
  <w:footnote w:id="256">
    <w:p w:rsidR="00B31E52" w:rsidRDefault="00B31E52" w:rsidP="00C52695">
      <w:pPr>
        <w:pStyle w:val="FootnoteText"/>
      </w:pPr>
      <w:r>
        <w:rPr>
          <w:rStyle w:val="FootnoteReference"/>
        </w:rPr>
        <w:footnoteRef/>
      </w:r>
      <w:r>
        <w:t xml:space="preserve"> </w:t>
      </w:r>
      <w:r>
        <w:tab/>
      </w:r>
      <w:r w:rsidRPr="00712BC2">
        <w:t xml:space="preserve">M. Lally, </w:t>
      </w:r>
      <w:r>
        <w:rPr>
          <w:rStyle w:val="AERtextitalic"/>
        </w:rPr>
        <w:t>Gamma and the ACT Decision</w:t>
      </w:r>
      <w:r>
        <w:t>, May 2016.</w:t>
      </w:r>
    </w:p>
  </w:footnote>
  <w:footnote w:id="257">
    <w:p w:rsidR="00B31E52" w:rsidRPr="0036034D" w:rsidRDefault="00B31E52" w:rsidP="00AC26C8">
      <w:pPr>
        <w:pStyle w:val="FootnoteText"/>
      </w:pPr>
      <w:r>
        <w:rPr>
          <w:rStyle w:val="FootnoteReference"/>
        </w:rPr>
        <w:footnoteRef/>
      </w:r>
      <w:r>
        <w:t xml:space="preserve"> </w:t>
      </w:r>
      <w:r>
        <w:tab/>
      </w:r>
      <w:r w:rsidRPr="00712BC2">
        <w:t xml:space="preserve">M. Lally, </w:t>
      </w:r>
      <w:r>
        <w:rPr>
          <w:rStyle w:val="AERtextitalic"/>
        </w:rPr>
        <w:t>Gamma and the ACT Decision</w:t>
      </w:r>
      <w:r>
        <w:t xml:space="preserve">, May 2016, p. 6; M. Lally, </w:t>
      </w:r>
      <w:r w:rsidRPr="00E750F8">
        <w:rPr>
          <w:rStyle w:val="AERtextitalic"/>
        </w:rPr>
        <w:t>Issues in the estimation of gamma</w:t>
      </w:r>
      <w:r w:rsidRPr="00E750F8">
        <w:rPr>
          <w:rStyle w:val="AERtextitalic"/>
          <w:i w:val="0"/>
        </w:rPr>
        <w:t xml:space="preserve">, </w:t>
      </w:r>
      <w:r w:rsidRPr="004423C9">
        <w:rPr>
          <w:rStyle w:val="AERtextitalic"/>
          <w:i w:val="0"/>
        </w:rPr>
        <w:t xml:space="preserve">April </w:t>
      </w:r>
      <w:r w:rsidRPr="00E750F8">
        <w:rPr>
          <w:rStyle w:val="AERtextitalic"/>
          <w:i w:val="0"/>
        </w:rPr>
        <w:t>2017</w:t>
      </w:r>
      <w:r w:rsidRPr="00AC26C8">
        <w:rPr>
          <w:rStyle w:val="AERtextitalic"/>
          <w:i w:val="0"/>
        </w:rPr>
        <w:t>, pp. 27, 29.</w:t>
      </w:r>
    </w:p>
  </w:footnote>
  <w:footnote w:id="258">
    <w:p w:rsidR="00B31E52" w:rsidRDefault="00B31E52" w:rsidP="00C52695">
      <w:pPr>
        <w:pStyle w:val="FootnoteText"/>
      </w:pPr>
      <w:r>
        <w:rPr>
          <w:rStyle w:val="FootnoteReference"/>
        </w:rPr>
        <w:footnoteRef/>
      </w:r>
      <w:r>
        <w:t xml:space="preserve"> </w:t>
      </w:r>
      <w:r>
        <w:tab/>
      </w:r>
      <w:r w:rsidRPr="00712BC2">
        <w:t xml:space="preserve">M. Lally, </w:t>
      </w:r>
      <w:r w:rsidRPr="00712BC2">
        <w:rPr>
          <w:rStyle w:val="AERtextitalic"/>
        </w:rPr>
        <w:t>The estimation of gamma</w:t>
      </w:r>
      <w:r w:rsidRPr="00712BC2">
        <w:t>, 23 November 2013</w:t>
      </w:r>
      <w:r>
        <w:t xml:space="preserve">; M. Lally, </w:t>
      </w:r>
      <w:r w:rsidRPr="002519FD">
        <w:rPr>
          <w:rStyle w:val="AERtextitalic"/>
        </w:rPr>
        <w:t>Estimating gamma</w:t>
      </w:r>
      <w:r>
        <w:t xml:space="preserve">, 25 November 2013; </w:t>
      </w:r>
      <w:r w:rsidRPr="00712BC2">
        <w:t xml:space="preserve">M. Lally, </w:t>
      </w:r>
      <w:r w:rsidRPr="00712BC2">
        <w:rPr>
          <w:rStyle w:val="AERtextitalic"/>
        </w:rPr>
        <w:t>Review of submissions to the QCA on the MRP, risk-free rate and gamma</w:t>
      </w:r>
      <w:r>
        <w:t>, 12 March 2014.</w:t>
      </w:r>
    </w:p>
  </w:footnote>
  <w:footnote w:id="259">
    <w:p w:rsidR="00B31E52" w:rsidRDefault="00B31E52" w:rsidP="00C52695">
      <w:pPr>
        <w:pStyle w:val="FootnoteText"/>
      </w:pPr>
      <w:r>
        <w:rPr>
          <w:rStyle w:val="FootnoteReference"/>
        </w:rPr>
        <w:footnoteRef/>
      </w:r>
      <w:r>
        <w:t xml:space="preserve"> </w:t>
      </w:r>
      <w:r>
        <w:tab/>
      </w:r>
      <w:r w:rsidRPr="00712BC2">
        <w:t xml:space="preserve">M. McKenzie and G. Partington, </w:t>
      </w:r>
      <w:r w:rsidRPr="00712BC2">
        <w:rPr>
          <w:rStyle w:val="AERtextitalic"/>
        </w:rPr>
        <w:t>Report to the Queensland Resources Council: Review of Aurizon Network’s draft access undertaking</w:t>
      </w:r>
      <w:r w:rsidRPr="00712BC2">
        <w:t>, 5 October 2013</w:t>
      </w:r>
      <w:r>
        <w:t>.</w:t>
      </w:r>
    </w:p>
  </w:footnote>
  <w:footnote w:id="260">
    <w:p w:rsidR="00B31E52" w:rsidRDefault="00B31E52" w:rsidP="00C52695">
      <w:pPr>
        <w:pStyle w:val="FootnoteText"/>
      </w:pPr>
      <w:r>
        <w:rPr>
          <w:rStyle w:val="FootnoteReference"/>
        </w:rPr>
        <w:footnoteRef/>
      </w:r>
      <w:r>
        <w:t xml:space="preserve"> </w:t>
      </w:r>
      <w:r>
        <w:tab/>
      </w:r>
      <w:r w:rsidRPr="00712BC2">
        <w:t xml:space="preserve">J. Handley, </w:t>
      </w:r>
      <w:r w:rsidRPr="00712BC2">
        <w:rPr>
          <w:rStyle w:val="AERtextitalic"/>
        </w:rPr>
        <w:t>Report prepared for the Australian Energy Regulator: Advice on the value of imputation credits</w:t>
      </w:r>
      <w:r w:rsidRPr="00712BC2">
        <w:t>, 29 September 2014.</w:t>
      </w:r>
    </w:p>
  </w:footnote>
  <w:footnote w:id="261">
    <w:p w:rsidR="00B31E52" w:rsidRPr="00EB47DF" w:rsidRDefault="00B31E52" w:rsidP="00C52695">
      <w:pPr>
        <w:pStyle w:val="FootnoteText"/>
        <w:rPr>
          <w:i/>
        </w:rPr>
      </w:pPr>
      <w:r>
        <w:rPr>
          <w:rStyle w:val="FootnoteReference"/>
        </w:rPr>
        <w:footnoteRef/>
      </w:r>
      <w:r>
        <w:t xml:space="preserve"> </w:t>
      </w:r>
      <w:r>
        <w:tab/>
        <w:t xml:space="preserve">SA Centre for Economic Studies (2015), </w:t>
      </w:r>
      <w:r>
        <w:rPr>
          <w:rStyle w:val="AERtextitalic"/>
        </w:rPr>
        <w:t>Independent e</w:t>
      </w:r>
      <w:r w:rsidRPr="00253C46">
        <w:rPr>
          <w:rStyle w:val="AERtextitalic"/>
        </w:rPr>
        <w:t>stimate of the WACC for SA Power Networks 2015 to 2020</w:t>
      </w:r>
      <w:r>
        <w:rPr>
          <w:rStyle w:val="AERtextitalic"/>
        </w:rPr>
        <w:t xml:space="preserve">: </w:t>
      </w:r>
      <w:r w:rsidRPr="00EB47DF">
        <w:rPr>
          <w:rStyle w:val="AERtextitalic"/>
        </w:rPr>
        <w:t>Report commissioned by the</w:t>
      </w:r>
      <w:r>
        <w:rPr>
          <w:rStyle w:val="AERtextitalic"/>
        </w:rPr>
        <w:t xml:space="preserve"> SA</w:t>
      </w:r>
      <w:r w:rsidRPr="00EB47DF">
        <w:rPr>
          <w:rStyle w:val="AERtextitalic"/>
        </w:rPr>
        <w:t xml:space="preserve"> Council of Social Services</w:t>
      </w:r>
      <w:r>
        <w:t>, January 2015.</w:t>
      </w:r>
    </w:p>
  </w:footnote>
  <w:footnote w:id="262">
    <w:p w:rsidR="00B31E52" w:rsidRDefault="00B31E52" w:rsidP="00C52695">
      <w:pPr>
        <w:pStyle w:val="FootnoteText"/>
      </w:pPr>
      <w:r>
        <w:rPr>
          <w:rStyle w:val="FootnoteReference"/>
        </w:rPr>
        <w:footnoteRef/>
      </w:r>
      <w:r>
        <w:t xml:space="preserve"> </w:t>
      </w:r>
      <w:r>
        <w:tab/>
        <w:t xml:space="preserve">CEG, </w:t>
      </w:r>
      <w:r w:rsidRPr="00712BC2">
        <w:rPr>
          <w:rStyle w:val="AERtextitalic"/>
        </w:rPr>
        <w:t>WACC estimates: A report for NSW DNSPs</w:t>
      </w:r>
      <w:r>
        <w:t>, May 2014.</w:t>
      </w:r>
    </w:p>
  </w:footnote>
  <w:footnote w:id="263">
    <w:p w:rsidR="00B31E52" w:rsidRDefault="00B31E52" w:rsidP="00C52695">
      <w:pPr>
        <w:pStyle w:val="FootnoteText"/>
      </w:pPr>
      <w:r>
        <w:rPr>
          <w:rStyle w:val="FootnoteReference"/>
        </w:rPr>
        <w:footnoteRef/>
      </w:r>
      <w:r>
        <w:t xml:space="preserve"> </w:t>
      </w:r>
      <w:r>
        <w:tab/>
      </w:r>
      <w:r w:rsidRPr="00712BC2">
        <w:t xml:space="preserve">SFG, </w:t>
      </w:r>
      <w:r>
        <w:rPr>
          <w:rStyle w:val="AERtextitalic"/>
        </w:rPr>
        <w:t>Estimating gamma for regulatory purposes</w:t>
      </w:r>
      <w:r>
        <w:t xml:space="preserve">, February 2015 and Frontier Economics, </w:t>
      </w:r>
      <w:r>
        <w:rPr>
          <w:rStyle w:val="AERtextitalic"/>
        </w:rPr>
        <w:t>Regulatory estimation of gamma report prepared for Powerlink</w:t>
      </w:r>
      <w:r>
        <w:t>, January 2016, p. 10.</w:t>
      </w:r>
    </w:p>
  </w:footnote>
  <w:footnote w:id="264">
    <w:p w:rsidR="00B31E52" w:rsidRDefault="00B31E52" w:rsidP="00DB750D">
      <w:pPr>
        <w:pStyle w:val="FootnoteText"/>
      </w:pPr>
      <w:r>
        <w:rPr>
          <w:rStyle w:val="FootnoteReference"/>
        </w:rPr>
        <w:footnoteRef/>
      </w:r>
      <w:r>
        <w:t xml:space="preserve"> </w:t>
      </w:r>
      <w:r>
        <w:tab/>
        <w:t xml:space="preserve">Frontier Economics, </w:t>
      </w:r>
      <w:r w:rsidRPr="00D14DE4">
        <w:rPr>
          <w:rStyle w:val="AERtextitalic"/>
        </w:rPr>
        <w:t>An appropriate regulatory estimate of gamma</w:t>
      </w:r>
      <w:r>
        <w:t xml:space="preserve">, June 2015 and Frontier, </w:t>
      </w:r>
      <w:r w:rsidRPr="00C2259D">
        <w:t xml:space="preserve">The appropriate use of tax statistics when estimating gamma, </w:t>
      </w:r>
      <w:r>
        <w:t xml:space="preserve">January 2016; Frontier Economics, </w:t>
      </w:r>
      <w:r>
        <w:rPr>
          <w:rStyle w:val="AERtextitalic"/>
        </w:rPr>
        <w:t>Regulatory An updated dividend drop-off estimate of theta</w:t>
      </w:r>
      <w:r>
        <w:t xml:space="preserve">, September 2016 and Frontier Economics, </w:t>
      </w:r>
      <w:r w:rsidRPr="00DB750D">
        <w:rPr>
          <w:rStyle w:val="AERtextitalic"/>
        </w:rPr>
        <w:t>Issues in the estimation of gamma</w:t>
      </w:r>
      <w:r w:rsidRPr="00DB750D">
        <w:t>, September 2016.</w:t>
      </w:r>
    </w:p>
  </w:footnote>
  <w:footnote w:id="265">
    <w:p w:rsidR="00B31E52" w:rsidRPr="00664394" w:rsidRDefault="00B31E52" w:rsidP="00664394">
      <w:pPr>
        <w:pStyle w:val="FootnoteText"/>
      </w:pPr>
      <w:r>
        <w:rPr>
          <w:rStyle w:val="FootnoteReference"/>
        </w:rPr>
        <w:footnoteRef/>
      </w:r>
      <w:r>
        <w:t xml:space="preserve"> </w:t>
      </w:r>
      <w:r>
        <w:tab/>
        <w:t xml:space="preserve">M. Lally, </w:t>
      </w:r>
      <w:r w:rsidRPr="00E750F8">
        <w:rPr>
          <w:rStyle w:val="AERtextitalic"/>
        </w:rPr>
        <w:t>Issues in the estimation of gamma</w:t>
      </w:r>
      <w:r>
        <w:t xml:space="preserve">, April </w:t>
      </w:r>
      <w:r w:rsidRPr="00664394">
        <w:t>2017</w:t>
      </w:r>
      <w:r w:rsidRPr="00F5204A">
        <w:rPr>
          <w:rStyle w:val="AERtextitalic"/>
          <w:i w:val="0"/>
        </w:rPr>
        <w:t>, p. 13.</w:t>
      </w:r>
    </w:p>
  </w:footnote>
  <w:footnote w:id="266">
    <w:p w:rsidR="00B31E52" w:rsidRDefault="00B31E52" w:rsidP="00C52695">
      <w:pPr>
        <w:pStyle w:val="FootnoteText"/>
      </w:pPr>
      <w:r>
        <w:rPr>
          <w:rStyle w:val="FootnoteReference"/>
        </w:rPr>
        <w:footnoteRef/>
      </w:r>
      <w:r>
        <w:t xml:space="preserve"> </w:t>
      </w:r>
      <w:r>
        <w:tab/>
      </w:r>
      <w:r w:rsidRPr="00227D75">
        <w:t>Independent Pricing and Regulatory Tribunal</w:t>
      </w:r>
      <w:r>
        <w:t xml:space="preserve">, </w:t>
      </w:r>
      <w:r w:rsidRPr="00E750F8">
        <w:rPr>
          <w:rStyle w:val="AERtextitalic"/>
        </w:rPr>
        <w:t xml:space="preserve">Sydney Desalination Plant </w:t>
      </w:r>
      <w:r w:rsidRPr="006D36C8">
        <w:rPr>
          <w:rStyle w:val="AERtextitalic"/>
        </w:rPr>
        <w:t>Revi</w:t>
      </w:r>
      <w:r w:rsidRPr="00227D75">
        <w:rPr>
          <w:rStyle w:val="AERtextitalic"/>
        </w:rPr>
        <w:t>ew</w:t>
      </w:r>
      <w:r>
        <w:rPr>
          <w:rStyle w:val="AERtextitalic"/>
        </w:rPr>
        <w:t xml:space="preserve"> of prices from 1 July 2017 to June 2022</w:t>
      </w:r>
      <w:r w:rsidRPr="00227D75">
        <w:rPr>
          <w:rStyle w:val="AERtextitalic"/>
        </w:rPr>
        <w:t>—</w:t>
      </w:r>
      <w:r>
        <w:rPr>
          <w:rStyle w:val="AERtextitalic"/>
        </w:rPr>
        <w:t>Draft Report</w:t>
      </w:r>
      <w:r w:rsidRPr="00227D75">
        <w:rPr>
          <w:rStyle w:val="AERtextitalic"/>
        </w:rPr>
        <w:t xml:space="preserve"> decision</w:t>
      </w:r>
      <w:r>
        <w:t xml:space="preserve">, March 2017, p. 94. Note IPART completed a major review of WACC in 2013 (see: </w:t>
      </w:r>
      <w:r w:rsidRPr="00227D75">
        <w:t>Independent Pricing and Regulatory Tribunal</w:t>
      </w:r>
      <w:r>
        <w:t xml:space="preserve">, </w:t>
      </w:r>
      <w:r w:rsidRPr="00E750F8">
        <w:rPr>
          <w:rStyle w:val="AERtextitalic"/>
        </w:rPr>
        <w:t>Review of WACC methodology-Final Report</w:t>
      </w:r>
      <w:r>
        <w:t>, December 2013, p. 17</w:t>
      </w:r>
      <w:hyperlink w:history="1"/>
      <w:r>
        <w:t>).</w:t>
      </w:r>
    </w:p>
  </w:footnote>
  <w:footnote w:id="267">
    <w:p w:rsidR="00B31E52" w:rsidRDefault="00B31E52" w:rsidP="00C52695">
      <w:pPr>
        <w:pStyle w:val="FootnoteText"/>
      </w:pPr>
      <w:r>
        <w:rPr>
          <w:rStyle w:val="FootnoteReference"/>
        </w:rPr>
        <w:footnoteRef/>
      </w:r>
      <w:r>
        <w:t xml:space="preserve"> </w:t>
      </w:r>
      <w:r>
        <w:tab/>
        <w:t>Essential Services Commission</w:t>
      </w:r>
      <w:r w:rsidRPr="00922C37">
        <w:t xml:space="preserve">, </w:t>
      </w:r>
      <w:r>
        <w:rPr>
          <w:rStyle w:val="AERtextitalic"/>
        </w:rPr>
        <w:t xml:space="preserve">Melbourne Water price Review 2016-Final </w:t>
      </w:r>
      <w:r w:rsidRPr="00922C37">
        <w:rPr>
          <w:rStyle w:val="AERtextitalic"/>
        </w:rPr>
        <w:t>decision</w:t>
      </w:r>
      <w:r w:rsidRPr="00922C37">
        <w:t xml:space="preserve">, </w:t>
      </w:r>
      <w:r>
        <w:t>June 2016, p. 53</w:t>
      </w:r>
      <w:r w:rsidRPr="00922C37">
        <w:t>.</w:t>
      </w:r>
    </w:p>
  </w:footnote>
  <w:footnote w:id="268">
    <w:p w:rsidR="00B31E52" w:rsidRDefault="00B31E52" w:rsidP="00C52695">
      <w:pPr>
        <w:pStyle w:val="FootnoteText"/>
      </w:pPr>
      <w:r>
        <w:rPr>
          <w:rStyle w:val="FootnoteReference"/>
        </w:rPr>
        <w:footnoteRef/>
      </w:r>
      <w:r>
        <w:t xml:space="preserve"> </w:t>
      </w:r>
      <w:r>
        <w:tab/>
        <w:t xml:space="preserve">Queensland Competition Authority, </w:t>
      </w:r>
      <w:r>
        <w:rPr>
          <w:rStyle w:val="AERtextitalic"/>
        </w:rPr>
        <w:t>DBCT Management's 2015 draft access undertaking - Final decision</w:t>
      </w:r>
      <w:r>
        <w:t>, November 2016, pp. 107-121, 123, 155.</w:t>
      </w:r>
    </w:p>
  </w:footnote>
  <w:footnote w:id="269">
    <w:p w:rsidR="00B31E52" w:rsidRDefault="00B31E52" w:rsidP="00C52695">
      <w:pPr>
        <w:pStyle w:val="FootnoteText"/>
      </w:pPr>
      <w:r>
        <w:rPr>
          <w:rStyle w:val="FootnoteReference"/>
        </w:rPr>
        <w:footnoteRef/>
      </w:r>
      <w:r>
        <w:t xml:space="preserve"> </w:t>
      </w:r>
      <w:r>
        <w:tab/>
        <w:t xml:space="preserve">Economic Regulation Authority, </w:t>
      </w:r>
      <w:r>
        <w:rPr>
          <w:rStyle w:val="AERtextitalic"/>
        </w:rPr>
        <w:t>Appendix 5 - Gamma: Proposed Revisions to the Access Arrangement for the Dampier to Bunbury Natural Gas pipeline 2016-2020, Final decision</w:t>
      </w:r>
      <w:r>
        <w:t>, 30 June 2016, p. 48.</w:t>
      </w:r>
    </w:p>
  </w:footnote>
  <w:footnote w:id="270">
    <w:p w:rsidR="00B31E52" w:rsidRDefault="00B31E52"/>
  </w:footnote>
  <w:footnote w:id="271">
    <w:p w:rsidR="00B31E52" w:rsidRDefault="00B31E52" w:rsidP="006C6D7F">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SA Power Networks</w:t>
      </w:r>
      <w:r w:rsidRPr="000F2066">
        <w:rPr>
          <w:rStyle w:val="AERtextitalic"/>
        </w:rPr>
        <w:t xml:space="preserve"> [20</w:t>
      </w:r>
      <w:r>
        <w:rPr>
          <w:rStyle w:val="AERtextitalic"/>
        </w:rPr>
        <w:t>16</w:t>
      </w:r>
      <w:r w:rsidRPr="000F2066">
        <w:rPr>
          <w:rStyle w:val="AERtextitalic"/>
        </w:rPr>
        <w:t xml:space="preserve">] ACompT </w:t>
      </w:r>
      <w:r>
        <w:rPr>
          <w:rStyle w:val="AERtextitalic"/>
        </w:rPr>
        <w:t>11</w:t>
      </w:r>
      <w:r>
        <w:t xml:space="preserve">, 28 October 2016, </w:t>
      </w:r>
      <w:r w:rsidRPr="008F5D24">
        <w:t xml:space="preserve">para. </w:t>
      </w:r>
      <w:r>
        <w:t>175</w:t>
      </w:r>
      <w:r w:rsidRPr="008F5D24">
        <w:t>.</w:t>
      </w:r>
    </w:p>
  </w:footnote>
  <w:footnote w:id="272">
    <w:p w:rsidR="00B31E52" w:rsidRDefault="00B31E52" w:rsidP="006C6D7F">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SA Power Networks</w:t>
      </w:r>
      <w:r w:rsidRPr="000F2066">
        <w:rPr>
          <w:rStyle w:val="AERtextitalic"/>
        </w:rPr>
        <w:t xml:space="preserve"> [20</w:t>
      </w:r>
      <w:r>
        <w:rPr>
          <w:rStyle w:val="AERtextitalic"/>
        </w:rPr>
        <w:t>16</w:t>
      </w:r>
      <w:r w:rsidRPr="000F2066">
        <w:rPr>
          <w:rStyle w:val="AERtextitalic"/>
        </w:rPr>
        <w:t xml:space="preserve">] ACompT </w:t>
      </w:r>
      <w:r>
        <w:rPr>
          <w:rStyle w:val="AERtextitalic"/>
        </w:rPr>
        <w:t>11</w:t>
      </w:r>
      <w:r>
        <w:t xml:space="preserve">, 28 October 2016, </w:t>
      </w:r>
      <w:r w:rsidRPr="008F5D24">
        <w:t xml:space="preserve">para. </w:t>
      </w:r>
      <w:r>
        <w:t>175</w:t>
      </w:r>
      <w:r w:rsidRPr="008F5D24">
        <w:t>.</w:t>
      </w:r>
    </w:p>
  </w:footnote>
  <w:footnote w:id="273">
    <w:p w:rsidR="00B31E52" w:rsidRDefault="00B31E52" w:rsidP="006C6D7F">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SA Power Networks</w:t>
      </w:r>
      <w:r w:rsidRPr="000F2066">
        <w:rPr>
          <w:rStyle w:val="AERtextitalic"/>
        </w:rPr>
        <w:t xml:space="preserve"> [20</w:t>
      </w:r>
      <w:r>
        <w:rPr>
          <w:rStyle w:val="AERtextitalic"/>
        </w:rPr>
        <w:t>16</w:t>
      </w:r>
      <w:r w:rsidRPr="000F2066">
        <w:rPr>
          <w:rStyle w:val="AERtextitalic"/>
        </w:rPr>
        <w:t xml:space="preserve">] ACompT </w:t>
      </w:r>
      <w:r>
        <w:rPr>
          <w:rStyle w:val="AERtextitalic"/>
        </w:rPr>
        <w:t>11</w:t>
      </w:r>
      <w:r>
        <w:t xml:space="preserve">, 28 October 2016, </w:t>
      </w:r>
      <w:r w:rsidRPr="008F5D24">
        <w:t xml:space="preserve">para. </w:t>
      </w:r>
      <w:r>
        <w:t>176</w:t>
      </w:r>
      <w:r w:rsidRPr="008F5D24">
        <w:t>.</w:t>
      </w:r>
    </w:p>
  </w:footnote>
  <w:footnote w:id="274">
    <w:p w:rsidR="00B31E52" w:rsidRDefault="00B31E52" w:rsidP="007B43C4">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SA Power Networks</w:t>
      </w:r>
      <w:r w:rsidRPr="000F2066">
        <w:rPr>
          <w:rStyle w:val="AERtextitalic"/>
        </w:rPr>
        <w:t xml:space="preserve"> [20</w:t>
      </w:r>
      <w:r>
        <w:rPr>
          <w:rStyle w:val="AERtextitalic"/>
        </w:rPr>
        <w:t>16</w:t>
      </w:r>
      <w:r w:rsidRPr="000F2066">
        <w:rPr>
          <w:rStyle w:val="AERtextitalic"/>
        </w:rPr>
        <w:t xml:space="preserve">] ACompT </w:t>
      </w:r>
      <w:r>
        <w:rPr>
          <w:rStyle w:val="AERtextitalic"/>
        </w:rPr>
        <w:t>11</w:t>
      </w:r>
      <w:r>
        <w:t xml:space="preserve">, 28 October 2016, </w:t>
      </w:r>
      <w:r w:rsidRPr="008F5D24">
        <w:t xml:space="preserve">para. </w:t>
      </w:r>
      <w:r>
        <w:t>177</w:t>
      </w:r>
      <w:r w:rsidRPr="008F5D24">
        <w:t>.</w:t>
      </w:r>
    </w:p>
  </w:footnote>
  <w:footnote w:id="275">
    <w:p w:rsidR="00B31E52" w:rsidRDefault="00B31E52" w:rsidP="00424391">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SA Power Networks</w:t>
      </w:r>
      <w:r w:rsidRPr="000F2066">
        <w:rPr>
          <w:rStyle w:val="AERtextitalic"/>
        </w:rPr>
        <w:t xml:space="preserve"> [20</w:t>
      </w:r>
      <w:r>
        <w:rPr>
          <w:rStyle w:val="AERtextitalic"/>
        </w:rPr>
        <w:t>16</w:t>
      </w:r>
      <w:r w:rsidRPr="000F2066">
        <w:rPr>
          <w:rStyle w:val="AERtextitalic"/>
        </w:rPr>
        <w:t xml:space="preserve">] ACompT </w:t>
      </w:r>
      <w:r>
        <w:rPr>
          <w:rStyle w:val="AERtextitalic"/>
        </w:rPr>
        <w:t>11</w:t>
      </w:r>
      <w:r>
        <w:t xml:space="preserve">, 28 October 2016, </w:t>
      </w:r>
      <w:r w:rsidRPr="008F5D24">
        <w:t xml:space="preserve">para. </w:t>
      </w:r>
      <w:r>
        <w:t>177</w:t>
      </w:r>
      <w:r w:rsidRPr="008F5D24">
        <w:t>.</w:t>
      </w:r>
    </w:p>
  </w:footnote>
  <w:footnote w:id="276">
    <w:p w:rsidR="00B31E52" w:rsidRDefault="00B31E52" w:rsidP="001F50E5">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SA Power Networks</w:t>
      </w:r>
      <w:r w:rsidRPr="000F2066">
        <w:rPr>
          <w:rStyle w:val="AERtextitalic"/>
        </w:rPr>
        <w:t xml:space="preserve"> [20</w:t>
      </w:r>
      <w:r>
        <w:rPr>
          <w:rStyle w:val="AERtextitalic"/>
        </w:rPr>
        <w:t>16</w:t>
      </w:r>
      <w:r w:rsidRPr="000F2066">
        <w:rPr>
          <w:rStyle w:val="AERtextitalic"/>
        </w:rPr>
        <w:t xml:space="preserve">] ACompT </w:t>
      </w:r>
      <w:r>
        <w:rPr>
          <w:rStyle w:val="AERtextitalic"/>
        </w:rPr>
        <w:t>11</w:t>
      </w:r>
      <w:r>
        <w:t xml:space="preserve">, 28 October 2016, </w:t>
      </w:r>
      <w:r w:rsidRPr="008F5D24">
        <w:t xml:space="preserve">para. </w:t>
      </w:r>
      <w:r>
        <w:t>186</w:t>
      </w:r>
      <w:r w:rsidRPr="008F5D24">
        <w:t>.</w:t>
      </w:r>
    </w:p>
  </w:footnote>
  <w:footnote w:id="277">
    <w:p w:rsidR="00B31E52" w:rsidRDefault="00B31E52" w:rsidP="001F50E5">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SA Power Networks</w:t>
      </w:r>
      <w:r w:rsidRPr="000F2066">
        <w:rPr>
          <w:rStyle w:val="AERtextitalic"/>
        </w:rPr>
        <w:t xml:space="preserve"> [20</w:t>
      </w:r>
      <w:r>
        <w:rPr>
          <w:rStyle w:val="AERtextitalic"/>
        </w:rPr>
        <w:t>16</w:t>
      </w:r>
      <w:r w:rsidRPr="000F2066">
        <w:rPr>
          <w:rStyle w:val="AERtextitalic"/>
        </w:rPr>
        <w:t xml:space="preserve">] ACompT </w:t>
      </w:r>
      <w:r>
        <w:rPr>
          <w:rStyle w:val="AERtextitalic"/>
        </w:rPr>
        <w:t>11</w:t>
      </w:r>
      <w:r>
        <w:t xml:space="preserve">, 28 October 2016, </w:t>
      </w:r>
      <w:r w:rsidRPr="008F5D24">
        <w:t xml:space="preserve">para. </w:t>
      </w:r>
      <w:r>
        <w:t>186</w:t>
      </w:r>
      <w:r w:rsidRPr="008F5D24">
        <w:t>.</w:t>
      </w:r>
    </w:p>
  </w:footnote>
  <w:footnote w:id="278">
    <w:p w:rsidR="00B31E52" w:rsidRDefault="00B31E52" w:rsidP="001F50E5">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SA Power Networks</w:t>
      </w:r>
      <w:r w:rsidRPr="000F2066">
        <w:rPr>
          <w:rStyle w:val="AERtextitalic"/>
        </w:rPr>
        <w:t xml:space="preserve"> [20</w:t>
      </w:r>
      <w:r>
        <w:rPr>
          <w:rStyle w:val="AERtextitalic"/>
        </w:rPr>
        <w:t>16</w:t>
      </w:r>
      <w:r w:rsidRPr="000F2066">
        <w:rPr>
          <w:rStyle w:val="AERtextitalic"/>
        </w:rPr>
        <w:t xml:space="preserve">] ACompT </w:t>
      </w:r>
      <w:r>
        <w:rPr>
          <w:rStyle w:val="AERtextitalic"/>
        </w:rPr>
        <w:t>11</w:t>
      </w:r>
      <w:r>
        <w:t xml:space="preserve">, 28 October 2016, </w:t>
      </w:r>
      <w:r w:rsidRPr="008F5D24">
        <w:t xml:space="preserve">para. </w:t>
      </w:r>
      <w:r>
        <w:t>188</w:t>
      </w:r>
      <w:r w:rsidRPr="008F5D24">
        <w:t>.</w:t>
      </w:r>
    </w:p>
  </w:footnote>
  <w:footnote w:id="279">
    <w:p w:rsidR="00B31E52" w:rsidRDefault="00B31E52" w:rsidP="00942BBE">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SA Power Networks</w:t>
      </w:r>
      <w:r w:rsidRPr="000F2066">
        <w:rPr>
          <w:rStyle w:val="AERtextitalic"/>
        </w:rPr>
        <w:t xml:space="preserve"> [20</w:t>
      </w:r>
      <w:r>
        <w:rPr>
          <w:rStyle w:val="AERtextitalic"/>
        </w:rPr>
        <w:t>16</w:t>
      </w:r>
      <w:r w:rsidRPr="000F2066">
        <w:rPr>
          <w:rStyle w:val="AERtextitalic"/>
        </w:rPr>
        <w:t xml:space="preserve">] ACompT </w:t>
      </w:r>
      <w:r>
        <w:rPr>
          <w:rStyle w:val="AERtextitalic"/>
        </w:rPr>
        <w:t>11</w:t>
      </w:r>
      <w:r>
        <w:t xml:space="preserve">, 28 October 2016, </w:t>
      </w:r>
      <w:r w:rsidRPr="008F5D24">
        <w:t xml:space="preserve">para. </w:t>
      </w:r>
      <w:r>
        <w:t>190</w:t>
      </w:r>
      <w:r w:rsidRPr="008F5D24">
        <w:t>.</w:t>
      </w:r>
    </w:p>
  </w:footnote>
  <w:footnote w:id="280">
    <w:p w:rsidR="00B31E52" w:rsidRDefault="00B31E52" w:rsidP="00E119AC">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SA Power Networks</w:t>
      </w:r>
      <w:r w:rsidRPr="000F2066">
        <w:rPr>
          <w:rStyle w:val="AERtextitalic"/>
        </w:rPr>
        <w:t xml:space="preserve"> [20</w:t>
      </w:r>
      <w:r>
        <w:rPr>
          <w:rStyle w:val="AERtextitalic"/>
        </w:rPr>
        <w:t>16</w:t>
      </w:r>
      <w:r w:rsidRPr="000F2066">
        <w:rPr>
          <w:rStyle w:val="AERtextitalic"/>
        </w:rPr>
        <w:t xml:space="preserve">] ACompT </w:t>
      </w:r>
      <w:r>
        <w:rPr>
          <w:rStyle w:val="AERtextitalic"/>
        </w:rPr>
        <w:t>11</w:t>
      </w:r>
      <w:r>
        <w:t xml:space="preserve">, 28 October 2016, </w:t>
      </w:r>
      <w:r w:rsidRPr="008F5D24">
        <w:t xml:space="preserve">para. </w:t>
      </w:r>
      <w:r>
        <w:t>193</w:t>
      </w:r>
      <w:r w:rsidRPr="008F5D24">
        <w:t>.</w:t>
      </w:r>
    </w:p>
  </w:footnote>
  <w:footnote w:id="281">
    <w:p w:rsidR="00B31E52" w:rsidRDefault="00B31E52" w:rsidP="00112F3A">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SA Power Networks</w:t>
      </w:r>
      <w:r w:rsidRPr="000F2066">
        <w:rPr>
          <w:rStyle w:val="AERtextitalic"/>
        </w:rPr>
        <w:t xml:space="preserve"> [20</w:t>
      </w:r>
      <w:r>
        <w:rPr>
          <w:rStyle w:val="AERtextitalic"/>
        </w:rPr>
        <w:t>16</w:t>
      </w:r>
      <w:r w:rsidRPr="000F2066">
        <w:rPr>
          <w:rStyle w:val="AERtextitalic"/>
        </w:rPr>
        <w:t xml:space="preserve">] ACompT </w:t>
      </w:r>
      <w:r>
        <w:rPr>
          <w:rStyle w:val="AERtextitalic"/>
        </w:rPr>
        <w:t>11</w:t>
      </w:r>
      <w:r>
        <w:t xml:space="preserve">, 28 October 2016, </w:t>
      </w:r>
      <w:r w:rsidRPr="008F5D24">
        <w:t xml:space="preserve">para. </w:t>
      </w:r>
      <w:r>
        <w:t>195</w:t>
      </w:r>
      <w:r w:rsidRPr="008F5D24">
        <w:t>.</w:t>
      </w:r>
    </w:p>
  </w:footnote>
  <w:footnote w:id="282">
    <w:p w:rsidR="00B31E52" w:rsidRDefault="00B31E52" w:rsidP="00C27763">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SA Power Networks</w:t>
      </w:r>
      <w:r w:rsidRPr="000F2066">
        <w:rPr>
          <w:rStyle w:val="AERtextitalic"/>
        </w:rPr>
        <w:t xml:space="preserve"> [20</w:t>
      </w:r>
      <w:r>
        <w:rPr>
          <w:rStyle w:val="AERtextitalic"/>
        </w:rPr>
        <w:t>16</w:t>
      </w:r>
      <w:r w:rsidRPr="000F2066">
        <w:rPr>
          <w:rStyle w:val="AERtextitalic"/>
        </w:rPr>
        <w:t xml:space="preserve">] ACompT </w:t>
      </w:r>
      <w:r>
        <w:rPr>
          <w:rStyle w:val="AERtextitalic"/>
        </w:rPr>
        <w:t>11</w:t>
      </w:r>
      <w:r>
        <w:t xml:space="preserve">, 28 October 2016, </w:t>
      </w:r>
      <w:r w:rsidRPr="008F5D24">
        <w:t xml:space="preserve">para. </w:t>
      </w:r>
      <w:r>
        <w:t>170</w:t>
      </w:r>
      <w:r w:rsidRPr="008F5D24">
        <w:t>.</w:t>
      </w:r>
    </w:p>
  </w:footnote>
  <w:footnote w:id="283">
    <w:p w:rsidR="00B31E52" w:rsidRDefault="00B31E52" w:rsidP="00D65957">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SA Power Networks</w:t>
      </w:r>
      <w:r w:rsidRPr="000F2066">
        <w:rPr>
          <w:rStyle w:val="AERtextitalic"/>
        </w:rPr>
        <w:t xml:space="preserve"> [20</w:t>
      </w:r>
      <w:r>
        <w:rPr>
          <w:rStyle w:val="AERtextitalic"/>
        </w:rPr>
        <w:t>16</w:t>
      </w:r>
      <w:r w:rsidRPr="000F2066">
        <w:rPr>
          <w:rStyle w:val="AERtextitalic"/>
        </w:rPr>
        <w:t xml:space="preserve">] ACompT </w:t>
      </w:r>
      <w:r>
        <w:rPr>
          <w:rStyle w:val="AERtextitalic"/>
        </w:rPr>
        <w:t>11</w:t>
      </w:r>
      <w:r>
        <w:t xml:space="preserve">, 28 October 2016, </w:t>
      </w:r>
      <w:r w:rsidRPr="008F5D24">
        <w:t xml:space="preserve">para. </w:t>
      </w:r>
      <w:r>
        <w:t>171</w:t>
      </w:r>
      <w:r w:rsidRPr="008F5D24">
        <w:t>.</w:t>
      </w:r>
    </w:p>
  </w:footnote>
  <w:footnote w:id="284">
    <w:p w:rsidR="00B31E52" w:rsidRDefault="00B31E52" w:rsidP="00D65957">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SA Power Networks</w:t>
      </w:r>
      <w:r w:rsidRPr="000F2066">
        <w:rPr>
          <w:rStyle w:val="AERtextitalic"/>
        </w:rPr>
        <w:t xml:space="preserve"> [20</w:t>
      </w:r>
      <w:r>
        <w:rPr>
          <w:rStyle w:val="AERtextitalic"/>
        </w:rPr>
        <w:t>16</w:t>
      </w:r>
      <w:r w:rsidRPr="000F2066">
        <w:rPr>
          <w:rStyle w:val="AERtextitalic"/>
        </w:rPr>
        <w:t xml:space="preserve">] ACompT </w:t>
      </w:r>
      <w:r>
        <w:rPr>
          <w:rStyle w:val="AERtextitalic"/>
        </w:rPr>
        <w:t>11</w:t>
      </w:r>
      <w:r>
        <w:t xml:space="preserve">, 28 October 2016, </w:t>
      </w:r>
      <w:r w:rsidRPr="008F5D24">
        <w:t xml:space="preserve">para. </w:t>
      </w:r>
      <w:r>
        <w:t>176</w:t>
      </w:r>
      <w:r w:rsidRPr="008F5D24">
        <w:t>.</w:t>
      </w:r>
    </w:p>
  </w:footnote>
  <w:footnote w:id="285">
    <w:p w:rsidR="00B31E52" w:rsidRDefault="00B31E52" w:rsidP="00D65957">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SA Power Networks</w:t>
      </w:r>
      <w:r w:rsidRPr="000F2066">
        <w:rPr>
          <w:rStyle w:val="AERtextitalic"/>
        </w:rPr>
        <w:t xml:space="preserve"> [20</w:t>
      </w:r>
      <w:r>
        <w:rPr>
          <w:rStyle w:val="AERtextitalic"/>
        </w:rPr>
        <w:t>16</w:t>
      </w:r>
      <w:r w:rsidRPr="000F2066">
        <w:rPr>
          <w:rStyle w:val="AERtextitalic"/>
        </w:rPr>
        <w:t xml:space="preserve">] ACompT </w:t>
      </w:r>
      <w:r>
        <w:rPr>
          <w:rStyle w:val="AERtextitalic"/>
        </w:rPr>
        <w:t>11</w:t>
      </w:r>
      <w:r>
        <w:t xml:space="preserve">, 28 October 2016, </w:t>
      </w:r>
      <w:r w:rsidRPr="008F5D24">
        <w:t xml:space="preserve">para. </w:t>
      </w:r>
      <w:r>
        <w:t>138</w:t>
      </w:r>
      <w:r w:rsidRPr="008F5D24">
        <w:t>.</w:t>
      </w:r>
    </w:p>
  </w:footnote>
  <w:footnote w:id="286">
    <w:p w:rsidR="00B31E52" w:rsidRDefault="00B31E52" w:rsidP="00332686">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SA Power Networks</w:t>
      </w:r>
      <w:r w:rsidRPr="000F2066">
        <w:rPr>
          <w:rStyle w:val="AERtextitalic"/>
        </w:rPr>
        <w:t xml:space="preserve"> [20</w:t>
      </w:r>
      <w:r>
        <w:rPr>
          <w:rStyle w:val="AERtextitalic"/>
        </w:rPr>
        <w:t>16</w:t>
      </w:r>
      <w:r w:rsidRPr="000F2066">
        <w:rPr>
          <w:rStyle w:val="AERtextitalic"/>
        </w:rPr>
        <w:t xml:space="preserve">] ACompT </w:t>
      </w:r>
      <w:r>
        <w:rPr>
          <w:rStyle w:val="AERtextitalic"/>
        </w:rPr>
        <w:t>11</w:t>
      </w:r>
      <w:r>
        <w:t xml:space="preserve">, 28 October 2016, </w:t>
      </w:r>
      <w:r w:rsidRPr="008F5D24">
        <w:t xml:space="preserve">para. </w:t>
      </w:r>
      <w:r>
        <w:t>159</w:t>
      </w:r>
      <w:r w:rsidRPr="008F5D24">
        <w:t>.</w:t>
      </w:r>
    </w:p>
  </w:footnote>
  <w:footnote w:id="287">
    <w:p w:rsidR="00B31E52" w:rsidRDefault="00B31E52" w:rsidP="003F3CEB">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SA Power Networks</w:t>
      </w:r>
      <w:r w:rsidRPr="000F2066">
        <w:rPr>
          <w:rStyle w:val="AERtextitalic"/>
        </w:rPr>
        <w:t xml:space="preserve"> [20</w:t>
      </w:r>
      <w:r>
        <w:rPr>
          <w:rStyle w:val="AERtextitalic"/>
        </w:rPr>
        <w:t>16</w:t>
      </w:r>
      <w:r w:rsidRPr="000F2066">
        <w:rPr>
          <w:rStyle w:val="AERtextitalic"/>
        </w:rPr>
        <w:t xml:space="preserve">] ACompT </w:t>
      </w:r>
      <w:r>
        <w:rPr>
          <w:rStyle w:val="AERtextitalic"/>
        </w:rPr>
        <w:t>11</w:t>
      </w:r>
      <w:r>
        <w:t xml:space="preserve">, 28 October 2016, </w:t>
      </w:r>
      <w:r w:rsidRPr="008F5D24">
        <w:t xml:space="preserve">para. </w:t>
      </w:r>
      <w:r>
        <w:t>196</w:t>
      </w:r>
      <w:r w:rsidRPr="008F5D24">
        <w:t>.</w:t>
      </w:r>
    </w:p>
  </w:footnote>
  <w:footnote w:id="288">
    <w:p w:rsidR="00B31E52" w:rsidRDefault="00B31E52" w:rsidP="0012604C">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SA Power Networks</w:t>
      </w:r>
      <w:r w:rsidRPr="000F2066">
        <w:rPr>
          <w:rStyle w:val="AERtextitalic"/>
        </w:rPr>
        <w:t xml:space="preserve"> [20</w:t>
      </w:r>
      <w:r>
        <w:rPr>
          <w:rStyle w:val="AERtextitalic"/>
        </w:rPr>
        <w:t>16</w:t>
      </w:r>
      <w:r w:rsidRPr="000F2066">
        <w:rPr>
          <w:rStyle w:val="AERtextitalic"/>
        </w:rPr>
        <w:t xml:space="preserve">] ACompT </w:t>
      </w:r>
      <w:r>
        <w:rPr>
          <w:rStyle w:val="AERtextitalic"/>
        </w:rPr>
        <w:t>11</w:t>
      </w:r>
      <w:r>
        <w:t xml:space="preserve">, 28 October 2016, </w:t>
      </w:r>
      <w:r w:rsidRPr="008F5D24">
        <w:t xml:space="preserve">para. </w:t>
      </w:r>
      <w:r>
        <w:t>184</w:t>
      </w:r>
      <w:r w:rsidRPr="008F5D24">
        <w:t>.</w:t>
      </w:r>
    </w:p>
  </w:footnote>
  <w:footnote w:id="289">
    <w:p w:rsidR="00B31E52" w:rsidRDefault="00B31E52" w:rsidP="001176FB">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SA Power Networks</w:t>
      </w:r>
      <w:r w:rsidRPr="000F2066">
        <w:rPr>
          <w:rStyle w:val="AERtextitalic"/>
        </w:rPr>
        <w:t xml:space="preserve"> [20</w:t>
      </w:r>
      <w:r>
        <w:rPr>
          <w:rStyle w:val="AERtextitalic"/>
        </w:rPr>
        <w:t>16</w:t>
      </w:r>
      <w:r w:rsidRPr="000F2066">
        <w:rPr>
          <w:rStyle w:val="AERtextitalic"/>
        </w:rPr>
        <w:t xml:space="preserve">] ACompT </w:t>
      </w:r>
      <w:r>
        <w:rPr>
          <w:rStyle w:val="AERtextitalic"/>
        </w:rPr>
        <w:t>11</w:t>
      </w:r>
      <w:r>
        <w:t xml:space="preserve">, 28 October 2016, </w:t>
      </w:r>
      <w:r w:rsidRPr="008F5D24">
        <w:t xml:space="preserve">para. </w:t>
      </w:r>
      <w:r>
        <w:t>184</w:t>
      </w:r>
      <w:r w:rsidRPr="008F5D24">
        <w:t>.</w:t>
      </w:r>
    </w:p>
  </w:footnote>
  <w:footnote w:id="290">
    <w:p w:rsidR="00B31E52" w:rsidRDefault="00B31E52" w:rsidP="001E51E2">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SA Power Networks</w:t>
      </w:r>
      <w:r w:rsidRPr="000F2066">
        <w:rPr>
          <w:rStyle w:val="AERtextitalic"/>
        </w:rPr>
        <w:t xml:space="preserve"> [20</w:t>
      </w:r>
      <w:r>
        <w:rPr>
          <w:rStyle w:val="AERtextitalic"/>
        </w:rPr>
        <w:t>16</w:t>
      </w:r>
      <w:r w:rsidRPr="000F2066">
        <w:rPr>
          <w:rStyle w:val="AERtextitalic"/>
        </w:rPr>
        <w:t xml:space="preserve">] ACompT </w:t>
      </w:r>
      <w:r>
        <w:rPr>
          <w:rStyle w:val="AERtextitalic"/>
        </w:rPr>
        <w:t>11</w:t>
      </w:r>
      <w:r>
        <w:t xml:space="preserve">, 28 October 2016, </w:t>
      </w:r>
      <w:r w:rsidRPr="008F5D24">
        <w:t xml:space="preserve">para. </w:t>
      </w:r>
      <w:r>
        <w:t>146</w:t>
      </w:r>
      <w:r w:rsidRPr="008F5D24">
        <w:t>.</w:t>
      </w:r>
    </w:p>
  </w:footnote>
  <w:footnote w:id="291">
    <w:p w:rsidR="00B31E52" w:rsidRDefault="00B31E52" w:rsidP="001E51E2">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SA Power Networks</w:t>
      </w:r>
      <w:r w:rsidRPr="000F2066">
        <w:rPr>
          <w:rStyle w:val="AERtextitalic"/>
        </w:rPr>
        <w:t xml:space="preserve"> [20</w:t>
      </w:r>
      <w:r>
        <w:rPr>
          <w:rStyle w:val="AERtextitalic"/>
        </w:rPr>
        <w:t>16</w:t>
      </w:r>
      <w:r w:rsidRPr="000F2066">
        <w:rPr>
          <w:rStyle w:val="AERtextitalic"/>
        </w:rPr>
        <w:t xml:space="preserve">] ACompT </w:t>
      </w:r>
      <w:r>
        <w:rPr>
          <w:rStyle w:val="AERtextitalic"/>
        </w:rPr>
        <w:t>11</w:t>
      </w:r>
      <w:r>
        <w:t xml:space="preserve">, 28 October 2016, </w:t>
      </w:r>
      <w:r w:rsidRPr="008F5D24">
        <w:t xml:space="preserve">para. </w:t>
      </w:r>
      <w:r>
        <w:t>146</w:t>
      </w:r>
      <w:r w:rsidRPr="008F5D24">
        <w:t>.</w:t>
      </w:r>
    </w:p>
  </w:footnote>
  <w:footnote w:id="292">
    <w:p w:rsidR="00B31E52" w:rsidRDefault="00B31E52" w:rsidP="00716BBE">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SA Power Networks</w:t>
      </w:r>
      <w:r w:rsidRPr="000F2066">
        <w:rPr>
          <w:rStyle w:val="AERtextitalic"/>
        </w:rPr>
        <w:t xml:space="preserve"> [20</w:t>
      </w:r>
      <w:r>
        <w:rPr>
          <w:rStyle w:val="AERtextitalic"/>
        </w:rPr>
        <w:t>16</w:t>
      </w:r>
      <w:r w:rsidRPr="000F2066">
        <w:rPr>
          <w:rStyle w:val="AERtextitalic"/>
        </w:rPr>
        <w:t xml:space="preserve">] ACompT </w:t>
      </w:r>
      <w:r>
        <w:rPr>
          <w:rStyle w:val="AERtextitalic"/>
        </w:rPr>
        <w:t>11</w:t>
      </w:r>
      <w:r>
        <w:t xml:space="preserve">, 28 October 2016, </w:t>
      </w:r>
      <w:r w:rsidRPr="008F5D24">
        <w:t xml:space="preserve">para. </w:t>
      </w:r>
      <w:r>
        <w:t>110</w:t>
      </w:r>
      <w:r w:rsidRPr="008F5D24">
        <w:t>.</w:t>
      </w:r>
    </w:p>
  </w:footnote>
  <w:footnote w:id="293">
    <w:p w:rsidR="00B31E52" w:rsidRDefault="00B31E52" w:rsidP="00716BBE">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SA Power Networks</w:t>
      </w:r>
      <w:r w:rsidRPr="000F2066">
        <w:rPr>
          <w:rStyle w:val="AERtextitalic"/>
        </w:rPr>
        <w:t xml:space="preserve"> [20</w:t>
      </w:r>
      <w:r>
        <w:rPr>
          <w:rStyle w:val="AERtextitalic"/>
        </w:rPr>
        <w:t>16</w:t>
      </w:r>
      <w:r w:rsidRPr="000F2066">
        <w:rPr>
          <w:rStyle w:val="AERtextitalic"/>
        </w:rPr>
        <w:t xml:space="preserve">] ACompT </w:t>
      </w:r>
      <w:r>
        <w:rPr>
          <w:rStyle w:val="AERtextitalic"/>
        </w:rPr>
        <w:t>11</w:t>
      </w:r>
      <w:r>
        <w:t xml:space="preserve">, 28 October 2016, </w:t>
      </w:r>
      <w:r w:rsidRPr="008F5D24">
        <w:t xml:space="preserve">para. </w:t>
      </w:r>
      <w:r>
        <w:t>112</w:t>
      </w:r>
      <w:r w:rsidRPr="008F5D24">
        <w:t>.</w:t>
      </w:r>
    </w:p>
  </w:footnote>
  <w:footnote w:id="294">
    <w:p w:rsidR="00B31E52" w:rsidRDefault="00B31E52" w:rsidP="00716BBE">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SA Power Networks</w:t>
      </w:r>
      <w:r w:rsidRPr="000F2066">
        <w:rPr>
          <w:rStyle w:val="AERtextitalic"/>
        </w:rPr>
        <w:t xml:space="preserve"> [20</w:t>
      </w:r>
      <w:r>
        <w:rPr>
          <w:rStyle w:val="AERtextitalic"/>
        </w:rPr>
        <w:t>16</w:t>
      </w:r>
      <w:r w:rsidRPr="000F2066">
        <w:rPr>
          <w:rStyle w:val="AERtextitalic"/>
        </w:rPr>
        <w:t xml:space="preserve">] ACompT </w:t>
      </w:r>
      <w:r>
        <w:rPr>
          <w:rStyle w:val="AERtextitalic"/>
        </w:rPr>
        <w:t>11</w:t>
      </w:r>
      <w:r>
        <w:t xml:space="preserve">, 28 October 2016, </w:t>
      </w:r>
      <w:r w:rsidRPr="008F5D24">
        <w:t xml:space="preserve">para. </w:t>
      </w:r>
      <w:r>
        <w:t>159</w:t>
      </w:r>
      <w:r w:rsidRPr="008F5D24">
        <w:t>.</w:t>
      </w:r>
    </w:p>
  </w:footnote>
  <w:footnote w:id="295">
    <w:p w:rsidR="00B31E52" w:rsidRDefault="00B31E52">
      <w:pPr>
        <w:pStyle w:val="FootnoteText"/>
      </w:pPr>
      <w:r>
        <w:rPr>
          <w:rStyle w:val="FootnoteReference"/>
        </w:rPr>
        <w:footnoteRef/>
      </w:r>
      <w:r>
        <w:t xml:space="preserve"> </w:t>
      </w:r>
      <w:r>
        <w:tab/>
        <w:t xml:space="preserve">Federal Court of Australia, </w:t>
      </w:r>
      <w:r w:rsidRPr="00B23401">
        <w:rPr>
          <w:rStyle w:val="AERtextitalic"/>
        </w:rPr>
        <w:t>Australian Energy Regulator v Australian Competition Tribunal (No 2) [2017] FCAFC 79</w:t>
      </w:r>
      <w:r>
        <w:t>, May 2017, pp. 215-216.</w:t>
      </w:r>
    </w:p>
  </w:footnote>
  <w:footnote w:id="296">
    <w:p w:rsidR="00B31E52" w:rsidRDefault="00B31E52" w:rsidP="00C52695">
      <w:pPr>
        <w:pStyle w:val="FootnoteText"/>
      </w:pPr>
      <w:r>
        <w:rPr>
          <w:rStyle w:val="FootnoteReference"/>
        </w:rPr>
        <w:footnoteRef/>
      </w:r>
      <w:r>
        <w:t xml:space="preserve"> </w:t>
      </w:r>
      <w:r>
        <w:tab/>
        <w:t xml:space="preserve">See for example, 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26 February 2016. The Tribunal gave similar reasoning in its decisions for applications by the other service providers.</w:t>
      </w:r>
    </w:p>
  </w:footnote>
  <w:footnote w:id="297">
    <w:p w:rsidR="00B31E52" w:rsidRDefault="00B31E52">
      <w:pPr>
        <w:pStyle w:val="FootnoteText"/>
      </w:pPr>
      <w:r>
        <w:rPr>
          <w:rStyle w:val="FootnoteReference"/>
        </w:rPr>
        <w:footnoteRef/>
      </w:r>
      <w:r>
        <w:t xml:space="preserve"> </w:t>
      </w:r>
      <w:r>
        <w:tab/>
        <w:t xml:space="preserve">Federal Court of Australia, </w:t>
      </w:r>
      <w:r w:rsidRPr="00B23401">
        <w:rPr>
          <w:rStyle w:val="AERtextitalic"/>
        </w:rPr>
        <w:t>Australian Energy Regulator v Australian Competition Tribunal (No 2) [2017] FCAFC 79</w:t>
      </w:r>
      <w:r>
        <w:t>, May 2017.</w:t>
      </w:r>
    </w:p>
  </w:footnote>
  <w:footnote w:id="298">
    <w:p w:rsidR="00B31E52" w:rsidRDefault="00B31E52">
      <w:pPr>
        <w:pStyle w:val="FootnoteText"/>
      </w:pPr>
      <w:r>
        <w:rPr>
          <w:rStyle w:val="FootnoteReference"/>
        </w:rPr>
        <w:footnoteRef/>
      </w:r>
      <w:r>
        <w:t xml:space="preserve"> </w:t>
      </w:r>
      <w:r>
        <w:tab/>
        <w:t xml:space="preserve">Federal Court of Australia, </w:t>
      </w:r>
      <w:r w:rsidRPr="00B23401">
        <w:rPr>
          <w:rStyle w:val="AERtextitalic"/>
        </w:rPr>
        <w:t>Australian Energy Regulator v Australian Competition Tribunal (No 2) [2017] FCAFC 79</w:t>
      </w:r>
      <w:r>
        <w:t>, May 2017, p. 216.</w:t>
      </w:r>
    </w:p>
  </w:footnote>
  <w:footnote w:id="299">
    <w:p w:rsidR="00B31E52" w:rsidRDefault="00B31E52" w:rsidP="00C52695">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xml:space="preserve">, 26 February 2016, </w:t>
      </w:r>
      <w:r w:rsidRPr="008F5D24">
        <w:t>para. 1100.</w:t>
      </w:r>
    </w:p>
  </w:footnote>
  <w:footnote w:id="300">
    <w:p w:rsidR="00B31E52" w:rsidRPr="00395D01" w:rsidRDefault="00B31E52" w:rsidP="00C52695">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xml:space="preserve">, 26 February 2016, </w:t>
      </w:r>
      <w:r w:rsidRPr="008F5D24">
        <w:t>para. 1100.</w:t>
      </w:r>
    </w:p>
  </w:footnote>
  <w:footnote w:id="301">
    <w:p w:rsidR="00B31E52" w:rsidRPr="00395D01" w:rsidRDefault="00B31E52" w:rsidP="00C52695">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xml:space="preserve">, 26 February 2016, </w:t>
      </w:r>
      <w:r w:rsidRPr="008F5D24">
        <w:t>para. 1081.</w:t>
      </w:r>
    </w:p>
  </w:footnote>
  <w:footnote w:id="302">
    <w:p w:rsidR="00B31E52" w:rsidRPr="00395D01" w:rsidRDefault="00B31E52" w:rsidP="00C52695">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xml:space="preserve">, 26 February 2016, </w:t>
      </w:r>
      <w:r w:rsidRPr="008F5D24">
        <w:t>para. 1076.</w:t>
      </w:r>
    </w:p>
  </w:footnote>
  <w:footnote w:id="303">
    <w:p w:rsidR="00B31E52" w:rsidRPr="00395D01" w:rsidRDefault="00B31E52" w:rsidP="00C52695">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xml:space="preserve">, 26 February 2016, para. </w:t>
      </w:r>
      <w:r w:rsidRPr="008F5D24">
        <w:t>1106.</w:t>
      </w:r>
    </w:p>
  </w:footnote>
  <w:footnote w:id="304">
    <w:p w:rsidR="00B31E52" w:rsidRDefault="00B31E52" w:rsidP="00C52695">
      <w:pPr>
        <w:pStyle w:val="FootnoteText"/>
      </w:pPr>
      <w:r>
        <w:rPr>
          <w:rStyle w:val="FootnoteReference"/>
        </w:rPr>
        <w:footnoteRef/>
      </w:r>
      <w:r>
        <w:t xml:space="preserve"> </w:t>
      </w:r>
      <w:r>
        <w:tab/>
        <w:t xml:space="preserve">See </w:t>
      </w:r>
      <w:r w:rsidRPr="00712BC2">
        <w:t xml:space="preserve">M. Lally, </w:t>
      </w:r>
      <w:r>
        <w:rPr>
          <w:rStyle w:val="AERtextitalic"/>
        </w:rPr>
        <w:t>Gamma and the ACT Decision</w:t>
      </w:r>
      <w:r>
        <w:t>, May 2016, pp. 24–25.</w:t>
      </w:r>
    </w:p>
  </w:footnote>
  <w:footnote w:id="305">
    <w:p w:rsidR="00B31E52" w:rsidRDefault="00B31E52" w:rsidP="00C52695">
      <w:pPr>
        <w:pStyle w:val="FootnoteText"/>
      </w:pPr>
      <w:r>
        <w:rPr>
          <w:rStyle w:val="FootnoteReference"/>
        </w:rPr>
        <w:footnoteRef/>
      </w:r>
      <w:r>
        <w:t xml:space="preserve"> </w:t>
      </w:r>
      <w:r>
        <w:tab/>
      </w:r>
      <w:r w:rsidRPr="00712BC2">
        <w:t xml:space="preserve">M. Lally, </w:t>
      </w:r>
      <w:r>
        <w:rPr>
          <w:rStyle w:val="AERtextitalic"/>
        </w:rPr>
        <w:t>Gamma and the ACT Decision</w:t>
      </w:r>
      <w:r>
        <w:t>, May 2016, pp. 26, 28–29.</w:t>
      </w:r>
    </w:p>
  </w:footnote>
  <w:footnote w:id="306">
    <w:p w:rsidR="00B31E52" w:rsidRPr="00434A21" w:rsidRDefault="00B31E52" w:rsidP="00434A21">
      <w:pPr>
        <w:pStyle w:val="FootnoteText"/>
      </w:pPr>
      <w:r>
        <w:rPr>
          <w:rStyle w:val="FootnoteReference"/>
        </w:rPr>
        <w:footnoteRef/>
      </w:r>
      <w:r>
        <w:t xml:space="preserve"> </w:t>
      </w:r>
      <w:r>
        <w:tab/>
        <w:t xml:space="preserve">M. Lally, </w:t>
      </w:r>
      <w:r w:rsidRPr="00E750F8">
        <w:rPr>
          <w:rStyle w:val="AERtextitalic"/>
        </w:rPr>
        <w:t>Issues in the estimation of gamma</w:t>
      </w:r>
      <w:r>
        <w:t>, April 2017</w:t>
      </w:r>
      <w:r w:rsidRPr="00541886">
        <w:rPr>
          <w:rStyle w:val="AERtextitalic"/>
          <w:i w:val="0"/>
        </w:rPr>
        <w:t>, p. 13.</w:t>
      </w:r>
    </w:p>
  </w:footnote>
  <w:footnote w:id="307">
    <w:p w:rsidR="00B31E52" w:rsidRDefault="00B31E52" w:rsidP="00C52695">
      <w:pPr>
        <w:pStyle w:val="FootnoteText"/>
      </w:pPr>
      <w:r>
        <w:rPr>
          <w:rStyle w:val="FootnoteReference"/>
        </w:rPr>
        <w:footnoteRef/>
      </w:r>
      <w:r>
        <w:t xml:space="preserve"> </w:t>
      </w:r>
      <w:r>
        <w:tab/>
      </w:r>
      <w:r w:rsidRPr="00712BC2">
        <w:t xml:space="preserve">M. Lally, </w:t>
      </w:r>
      <w:r>
        <w:rPr>
          <w:rStyle w:val="AERtextitalic"/>
        </w:rPr>
        <w:t>Gamma and the ACT Decision</w:t>
      </w:r>
      <w:r>
        <w:t>, May 2016, pp. 5–6, 24–26, 29.</w:t>
      </w:r>
    </w:p>
  </w:footnote>
  <w:footnote w:id="308">
    <w:p w:rsidR="00B31E52" w:rsidRPr="00395D01" w:rsidRDefault="00B31E52" w:rsidP="00C52695">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xml:space="preserve">, 26 February 2016, </w:t>
      </w:r>
      <w:r w:rsidRPr="008F5D24">
        <w:t>para. 1090.</w:t>
      </w:r>
    </w:p>
  </w:footnote>
  <w:footnote w:id="309">
    <w:p w:rsidR="00B31E52" w:rsidRPr="00395D01" w:rsidRDefault="00B31E52" w:rsidP="00C52695">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xml:space="preserve">, 26 February 2016, </w:t>
      </w:r>
      <w:r w:rsidRPr="008F5D24">
        <w:t>paras. 1048 and 1090.</w:t>
      </w:r>
    </w:p>
  </w:footnote>
  <w:footnote w:id="310">
    <w:p w:rsidR="00B31E52" w:rsidRPr="00395D01" w:rsidRDefault="00B31E52" w:rsidP="00C52695">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xml:space="preserve">, 26 February 2016, </w:t>
      </w:r>
      <w:r w:rsidRPr="008F5D24">
        <w:t>para. 1093.</w:t>
      </w:r>
    </w:p>
  </w:footnote>
  <w:footnote w:id="311">
    <w:p w:rsidR="00B31E52" w:rsidRPr="00395D01" w:rsidRDefault="00B31E52" w:rsidP="00C52695">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26 February 2016, para</w:t>
      </w:r>
      <w:r w:rsidRPr="00395D01">
        <w:t xml:space="preserve">. </w:t>
      </w:r>
      <w:r w:rsidRPr="008F5D24">
        <w:t>1095.</w:t>
      </w:r>
    </w:p>
  </w:footnote>
  <w:footnote w:id="312">
    <w:p w:rsidR="00B31E52" w:rsidRDefault="00B31E52" w:rsidP="00C52695">
      <w:pPr>
        <w:pStyle w:val="FootnoteText"/>
      </w:pPr>
      <w:r>
        <w:rPr>
          <w:rStyle w:val="FootnoteReference"/>
        </w:rPr>
        <w:footnoteRef/>
      </w:r>
      <w:r>
        <w:t xml:space="preserve"> </w:t>
      </w:r>
      <w:r>
        <w:tab/>
      </w:r>
      <w:r w:rsidRPr="00712BC2">
        <w:t xml:space="preserve">M. Lally, </w:t>
      </w:r>
      <w:r>
        <w:rPr>
          <w:rStyle w:val="AERtextitalic"/>
        </w:rPr>
        <w:t>Gamma and the ACT Decision</w:t>
      </w:r>
      <w:r>
        <w:t>, May 2016, pp. 19-20.</w:t>
      </w:r>
    </w:p>
  </w:footnote>
  <w:footnote w:id="313">
    <w:p w:rsidR="00B31E52" w:rsidRDefault="00B31E52" w:rsidP="00C52695">
      <w:pPr>
        <w:pStyle w:val="FootnoteText"/>
      </w:pPr>
      <w:r>
        <w:rPr>
          <w:rStyle w:val="FootnoteReference"/>
        </w:rPr>
        <w:footnoteRef/>
      </w:r>
      <w:r>
        <w:t xml:space="preserve"> </w:t>
      </w:r>
      <w:r>
        <w:tab/>
      </w:r>
      <w:r w:rsidRPr="00712BC2">
        <w:t xml:space="preserve">M. Lally, </w:t>
      </w:r>
      <w:r>
        <w:rPr>
          <w:rStyle w:val="AERtextitalic"/>
        </w:rPr>
        <w:t>Gamma and the ACT Decision</w:t>
      </w:r>
      <w:r>
        <w:t>, May 2016, p. 4.</w:t>
      </w:r>
    </w:p>
  </w:footnote>
  <w:footnote w:id="314">
    <w:p w:rsidR="00B31E52" w:rsidRDefault="00B31E52" w:rsidP="00C52695">
      <w:pPr>
        <w:pStyle w:val="FootnoteText"/>
      </w:pPr>
      <w:r>
        <w:rPr>
          <w:rStyle w:val="FootnoteReference"/>
        </w:rPr>
        <w:footnoteRef/>
      </w:r>
      <w:r>
        <w:t xml:space="preserve"> </w:t>
      </w:r>
      <w:r>
        <w:tab/>
      </w:r>
      <w:r w:rsidRPr="00712BC2">
        <w:t xml:space="preserve">M. Lally, </w:t>
      </w:r>
      <w:r>
        <w:rPr>
          <w:rStyle w:val="AERtextitalic"/>
        </w:rPr>
        <w:t>Gamma and the ACT Decision</w:t>
      </w:r>
      <w:r>
        <w:t>, May 2016, p. 5.</w:t>
      </w:r>
    </w:p>
  </w:footnote>
  <w:footnote w:id="315">
    <w:p w:rsidR="00B31E52" w:rsidRDefault="00B31E52" w:rsidP="00C52695">
      <w:pPr>
        <w:pStyle w:val="FootnoteText"/>
      </w:pPr>
      <w:r>
        <w:rPr>
          <w:rStyle w:val="FootnoteReference"/>
        </w:rPr>
        <w:footnoteRef/>
      </w:r>
      <w:r>
        <w:t xml:space="preserve"> </w:t>
      </w:r>
      <w:r>
        <w:tab/>
      </w:r>
      <w:r w:rsidRPr="00712BC2">
        <w:t xml:space="preserve">M. Lally, </w:t>
      </w:r>
      <w:r>
        <w:rPr>
          <w:rStyle w:val="AERtextitalic"/>
        </w:rPr>
        <w:t>Gamma and the ACT Decision</w:t>
      </w:r>
      <w:r>
        <w:t>, May 2016, pp. 20-21.</w:t>
      </w:r>
    </w:p>
  </w:footnote>
  <w:footnote w:id="316">
    <w:p w:rsidR="00B31E52" w:rsidRPr="00395D01" w:rsidRDefault="00B31E52" w:rsidP="00C52695">
      <w:pPr>
        <w:pStyle w:val="FootnoteText"/>
      </w:pPr>
      <w:r>
        <w:rPr>
          <w:rStyle w:val="FootnoteReference"/>
        </w:rPr>
        <w:footnoteRef/>
      </w:r>
      <w:r>
        <w:t xml:space="preserve"> </w:t>
      </w:r>
      <w:r>
        <w:tab/>
      </w:r>
      <w:r w:rsidRPr="008F5D24">
        <w:t xml:space="preserve">Australian Competition Tribunal, </w:t>
      </w:r>
      <w:r w:rsidRPr="00922C6D">
        <w:rPr>
          <w:rStyle w:val="AERtextitalic"/>
        </w:rPr>
        <w:t>Application by Public Interest Advocacy Centre Ltd and Ausgrid [2016] ACompT 1</w:t>
      </w:r>
      <w:r w:rsidRPr="008F5D24">
        <w:t>, 26 February 2016, paras. 1048, 1090 and 1095.</w:t>
      </w:r>
    </w:p>
  </w:footnote>
  <w:footnote w:id="317">
    <w:p w:rsidR="00B31E52" w:rsidRDefault="00B31E52" w:rsidP="00C52695">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26 February 2016, para</w:t>
      </w:r>
      <w:r w:rsidRPr="00395D01">
        <w:t xml:space="preserve">. </w:t>
      </w:r>
      <w:r w:rsidRPr="008F5D24">
        <w:t>1092.</w:t>
      </w:r>
    </w:p>
  </w:footnote>
  <w:footnote w:id="318">
    <w:p w:rsidR="00B31E52" w:rsidRPr="00395D01" w:rsidRDefault="00B31E52" w:rsidP="00C52695">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26 February 2016, para</w:t>
      </w:r>
      <w:r w:rsidRPr="00395D01">
        <w:t xml:space="preserve">. </w:t>
      </w:r>
      <w:r w:rsidRPr="008F5D24">
        <w:t>1092.</w:t>
      </w:r>
    </w:p>
  </w:footnote>
  <w:footnote w:id="319">
    <w:p w:rsidR="00B31E52" w:rsidRDefault="00B31E52" w:rsidP="00C52695">
      <w:pPr>
        <w:pStyle w:val="FootnoteText"/>
      </w:pPr>
      <w:r>
        <w:rPr>
          <w:rStyle w:val="FootnoteReference"/>
        </w:rPr>
        <w:footnoteRef/>
      </w:r>
      <w:r>
        <w:t xml:space="preserve"> </w:t>
      </w:r>
      <w:r>
        <w:tab/>
      </w:r>
      <w:r w:rsidRPr="00712BC2">
        <w:t xml:space="preserve">M. Lally, </w:t>
      </w:r>
      <w:r>
        <w:rPr>
          <w:rStyle w:val="AERtextitalic"/>
        </w:rPr>
        <w:t>Gamma and the ACT Decision</w:t>
      </w:r>
      <w:r>
        <w:t>, May 2016, pp. 19-20.</w:t>
      </w:r>
    </w:p>
  </w:footnote>
  <w:footnote w:id="320">
    <w:p w:rsidR="00B31E52" w:rsidRPr="00395D01" w:rsidRDefault="00B31E52" w:rsidP="00C52695">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26 February 2016, para</w:t>
      </w:r>
      <w:r w:rsidRPr="00395D01">
        <w:t xml:space="preserve">. </w:t>
      </w:r>
      <w:r w:rsidRPr="008F5D24">
        <w:t>1092.</w:t>
      </w:r>
    </w:p>
  </w:footnote>
  <w:footnote w:id="321">
    <w:p w:rsidR="00B31E52" w:rsidRPr="00395D01" w:rsidRDefault="00B31E52" w:rsidP="00C52695">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26 February 2016, para. 1096</w:t>
      </w:r>
      <w:r w:rsidRPr="00E87CA4">
        <w:t>.</w:t>
      </w:r>
    </w:p>
  </w:footnote>
  <w:footnote w:id="322">
    <w:p w:rsidR="00B31E52" w:rsidRDefault="00B31E52" w:rsidP="00C52695">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xml:space="preserve">, 26 February 2016, para. </w:t>
      </w:r>
      <w:r w:rsidRPr="00E87CA4">
        <w:t>1092.</w:t>
      </w:r>
    </w:p>
  </w:footnote>
  <w:footnote w:id="323">
    <w:p w:rsidR="00B31E52" w:rsidRPr="00395D01" w:rsidRDefault="00B31E52" w:rsidP="00C52695">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26 February 2016, para. 105</w:t>
      </w:r>
      <w:r w:rsidRPr="00E87CA4">
        <w:t>2.</w:t>
      </w:r>
    </w:p>
  </w:footnote>
  <w:footnote w:id="324">
    <w:p w:rsidR="00B31E52" w:rsidRPr="00395D01" w:rsidRDefault="00B31E52" w:rsidP="00C52695">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xml:space="preserve">, 26 February 2016, </w:t>
      </w:r>
      <w:r w:rsidRPr="00E87CA4">
        <w:t>paras. 1101-1103.</w:t>
      </w:r>
    </w:p>
  </w:footnote>
  <w:footnote w:id="325">
    <w:p w:rsidR="00B31E52" w:rsidRPr="00395D01" w:rsidRDefault="00B31E52" w:rsidP="00C52695">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xml:space="preserve">, 26 February 2016, </w:t>
      </w:r>
      <w:r w:rsidRPr="00E87CA4">
        <w:t>para. 1118.</w:t>
      </w:r>
    </w:p>
  </w:footnote>
  <w:footnote w:id="326">
    <w:p w:rsidR="00B31E52" w:rsidRDefault="00B31E52" w:rsidP="00C52695">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26 February 2016, para</w:t>
      </w:r>
      <w:r w:rsidRPr="00395D01">
        <w:t xml:space="preserve">. </w:t>
      </w:r>
      <w:r w:rsidRPr="00E87CA4">
        <w:t>1073.</w:t>
      </w:r>
    </w:p>
  </w:footnote>
  <w:footnote w:id="327">
    <w:p w:rsidR="00B31E52" w:rsidRPr="00395D01" w:rsidRDefault="00B31E52" w:rsidP="00C52695">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26 February 2016, paras</w:t>
      </w:r>
      <w:r w:rsidRPr="00395D01">
        <w:t xml:space="preserve">. </w:t>
      </w:r>
      <w:r w:rsidRPr="00E87CA4">
        <w:t>1074 and 1097.</w:t>
      </w:r>
    </w:p>
  </w:footnote>
  <w:footnote w:id="328">
    <w:p w:rsidR="00B31E52" w:rsidRPr="00395D01" w:rsidRDefault="00B31E52" w:rsidP="00C52695">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xml:space="preserve">, 26 February 2016, para. </w:t>
      </w:r>
      <w:r w:rsidRPr="00E87CA4">
        <w:t>1098.</w:t>
      </w:r>
    </w:p>
  </w:footnote>
  <w:footnote w:id="329">
    <w:p w:rsidR="00B31E52" w:rsidRPr="00395D01" w:rsidRDefault="00B31E52" w:rsidP="00C52695">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26 February 2016, para</w:t>
      </w:r>
      <w:r w:rsidRPr="00395D01">
        <w:t xml:space="preserve">. </w:t>
      </w:r>
      <w:r w:rsidRPr="00E87CA4">
        <w:t>1098.</w:t>
      </w:r>
    </w:p>
  </w:footnote>
  <w:footnote w:id="330">
    <w:p w:rsidR="00B31E52" w:rsidRPr="00395D01" w:rsidRDefault="00B31E52" w:rsidP="00C52695">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26 February 2016, para</w:t>
      </w:r>
      <w:r w:rsidRPr="00395D01">
        <w:t xml:space="preserve">. </w:t>
      </w:r>
      <w:r w:rsidRPr="00E87CA4">
        <w:t>1098.</w:t>
      </w:r>
    </w:p>
  </w:footnote>
  <w:footnote w:id="331">
    <w:p w:rsidR="00B31E52" w:rsidRPr="00395D01" w:rsidRDefault="00B31E52" w:rsidP="00C52695">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xml:space="preserve">, 26 February 2016, para. </w:t>
      </w:r>
      <w:r w:rsidRPr="00E87CA4">
        <w:t>10</w:t>
      </w:r>
      <w:r>
        <w:t>83</w:t>
      </w:r>
      <w:r w:rsidRPr="00E87CA4">
        <w:t>.</w:t>
      </w:r>
    </w:p>
  </w:footnote>
  <w:footnote w:id="332">
    <w:p w:rsidR="00B31E52" w:rsidRPr="00395D01" w:rsidRDefault="00B31E52" w:rsidP="00C52695">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26 February 2016, para</w:t>
      </w:r>
      <w:r w:rsidRPr="00395D01">
        <w:t xml:space="preserve">. </w:t>
      </w:r>
      <w:r w:rsidRPr="00E87CA4">
        <w:t>10</w:t>
      </w:r>
      <w:r>
        <w:t>84</w:t>
      </w:r>
      <w:r w:rsidRPr="00E87CA4">
        <w:t>.</w:t>
      </w:r>
    </w:p>
  </w:footnote>
  <w:footnote w:id="333">
    <w:p w:rsidR="00B31E52" w:rsidRPr="00395D01" w:rsidRDefault="00B31E52" w:rsidP="00C52695">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xml:space="preserve">, 26 February 2016, para. </w:t>
      </w:r>
      <w:r w:rsidRPr="00E87CA4">
        <w:t>10</w:t>
      </w:r>
      <w:r>
        <w:t>8</w:t>
      </w:r>
      <w:r w:rsidRPr="00E87CA4">
        <w:t>8.</w:t>
      </w:r>
    </w:p>
  </w:footnote>
  <w:footnote w:id="334">
    <w:p w:rsidR="00B31E52" w:rsidRPr="00395D01" w:rsidRDefault="00B31E52" w:rsidP="00C52695">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xml:space="preserve">, 26 February 2016, para. </w:t>
      </w:r>
      <w:r w:rsidRPr="00E87CA4">
        <w:t>10</w:t>
      </w:r>
      <w:r>
        <w:t>84</w:t>
      </w:r>
      <w:r w:rsidRPr="00E87CA4">
        <w:t>.</w:t>
      </w:r>
    </w:p>
  </w:footnote>
  <w:footnote w:id="335">
    <w:p w:rsidR="00B31E52" w:rsidRDefault="00B31E52" w:rsidP="00C52695">
      <w:pPr>
        <w:pStyle w:val="FootnoteText"/>
      </w:pPr>
      <w:r>
        <w:rPr>
          <w:rStyle w:val="FootnoteReference"/>
        </w:rPr>
        <w:footnoteRef/>
      </w:r>
      <w:r>
        <w:t xml:space="preserve"> </w:t>
      </w:r>
      <w:r>
        <w:tab/>
      </w:r>
      <w:r w:rsidRPr="00DE341F">
        <w:t xml:space="preserve">AER, </w:t>
      </w:r>
      <w:r w:rsidRPr="00DE341F">
        <w:rPr>
          <w:rStyle w:val="AERtextitalic"/>
        </w:rPr>
        <w:t>Final decision: Electricity transmission and distribution network service providers, Review of the weighted average cost of capital (WACC) parameters</w:t>
      </w:r>
      <w:r w:rsidRPr="00DE341F">
        <w:t>, 1 May 2009</w:t>
      </w:r>
      <w:r>
        <w:t>.</w:t>
      </w:r>
    </w:p>
  </w:footnote>
  <w:footnote w:id="336">
    <w:p w:rsidR="00B31E52" w:rsidRDefault="00B31E52" w:rsidP="00C52695">
      <w:pPr>
        <w:pStyle w:val="FootnoteText"/>
      </w:pPr>
      <w:r>
        <w:rPr>
          <w:rStyle w:val="FootnoteReference"/>
        </w:rPr>
        <w:footnoteRef/>
      </w:r>
      <w:r>
        <w:t xml:space="preserve"> </w:t>
      </w:r>
      <w:r>
        <w:tab/>
        <w:t xml:space="preserve">Australian Competition Tribunal, </w:t>
      </w:r>
      <w:r w:rsidRPr="000F2066">
        <w:rPr>
          <w:rStyle w:val="AERtextitalic"/>
        </w:rPr>
        <w:t>Application by Energex Limited (No 2) [2010] ACompT 7</w:t>
      </w:r>
      <w:r>
        <w:t>, October 2010, paras. 149–150.</w:t>
      </w:r>
    </w:p>
  </w:footnote>
  <w:footnote w:id="337">
    <w:p w:rsidR="00B31E52" w:rsidRDefault="00B31E52" w:rsidP="00C52695">
      <w:pPr>
        <w:pStyle w:val="FootnoteText"/>
      </w:pPr>
      <w:r>
        <w:rPr>
          <w:rStyle w:val="FootnoteReference"/>
        </w:rPr>
        <w:footnoteRef/>
      </w:r>
      <w:r>
        <w:t xml:space="preserve"> </w:t>
      </w:r>
      <w:r>
        <w:tab/>
        <w:t xml:space="preserve">Australian Competition Tribunal, </w:t>
      </w:r>
      <w:r w:rsidRPr="004D5073">
        <w:rPr>
          <w:rStyle w:val="AERtextitalic"/>
        </w:rPr>
        <w:t>Application by Energex Limited (Distribution Ratio (Gamma)) (No 3) [2010] ACompT 9</w:t>
      </w:r>
      <w:r>
        <w:t>, December 2010, para. 2.</w:t>
      </w:r>
    </w:p>
  </w:footnote>
  <w:footnote w:id="338">
    <w:p w:rsidR="00B31E52" w:rsidRDefault="00B31E52" w:rsidP="00C52695">
      <w:pPr>
        <w:pStyle w:val="FootnoteText"/>
      </w:pPr>
      <w:r>
        <w:rPr>
          <w:rStyle w:val="FootnoteReference"/>
        </w:rPr>
        <w:footnoteRef/>
      </w:r>
      <w:r>
        <w:t xml:space="preserve"> </w:t>
      </w:r>
      <w:r>
        <w:tab/>
        <w:t xml:space="preserve">Australian Competition Tribunal, </w:t>
      </w:r>
      <w:r w:rsidRPr="001619BA">
        <w:rPr>
          <w:rStyle w:val="AERtextitalic"/>
        </w:rPr>
        <w:t>Application by Energex Limited (No 2) [2010] ACompT 7</w:t>
      </w:r>
      <w:r>
        <w:t>, October 2010, para.</w:t>
      </w:r>
      <w:r w:rsidRPr="0077656B">
        <w:t xml:space="preserve"> 91.</w:t>
      </w:r>
    </w:p>
  </w:footnote>
  <w:footnote w:id="339">
    <w:p w:rsidR="00B31E52" w:rsidRDefault="00B31E52" w:rsidP="00C52695">
      <w:pPr>
        <w:pStyle w:val="FootnoteText"/>
      </w:pPr>
      <w:r>
        <w:rPr>
          <w:rStyle w:val="FootnoteReference"/>
        </w:rPr>
        <w:footnoteRef/>
      </w:r>
      <w:r>
        <w:t xml:space="preserve"> </w:t>
      </w:r>
      <w:r>
        <w:tab/>
        <w:t xml:space="preserve">Australian Competition Tribunal, </w:t>
      </w:r>
      <w:r w:rsidRPr="00F5364E">
        <w:rPr>
          <w:rStyle w:val="AERtextitalic"/>
        </w:rPr>
        <w:t>Application by Energex Limited (Gamma) (No 5) [2011] ACompT 9</w:t>
      </w:r>
      <w:r>
        <w:t>, May 2011, paras. 32–34.</w:t>
      </w:r>
    </w:p>
  </w:footnote>
  <w:footnote w:id="340">
    <w:p w:rsidR="00B31E52" w:rsidRDefault="00B31E52" w:rsidP="00C52695">
      <w:pPr>
        <w:pStyle w:val="FootnoteText"/>
      </w:pPr>
      <w:r>
        <w:rPr>
          <w:rStyle w:val="FootnoteReference"/>
        </w:rPr>
        <w:footnoteRef/>
      </w:r>
      <w:r>
        <w:t xml:space="preserve"> </w:t>
      </w:r>
      <w:r>
        <w:tab/>
        <w:t xml:space="preserve">Australian Competition Tribunal, </w:t>
      </w:r>
      <w:r w:rsidRPr="00F5364E">
        <w:rPr>
          <w:rStyle w:val="AERtextitalic"/>
        </w:rPr>
        <w:t>Application by Energex Limited (Gamma) (No 5) [2011] ACompT 9</w:t>
      </w:r>
      <w:r>
        <w:t>, May 2011, paras. 40–41.</w:t>
      </w:r>
    </w:p>
  </w:footnote>
  <w:footnote w:id="341">
    <w:p w:rsidR="00B31E52" w:rsidRDefault="00B31E52" w:rsidP="00C52695">
      <w:pPr>
        <w:pStyle w:val="FootnoteText"/>
      </w:pPr>
      <w:r>
        <w:rPr>
          <w:rStyle w:val="FootnoteReference"/>
        </w:rPr>
        <w:footnoteRef/>
      </w:r>
      <w:r>
        <w:t xml:space="preserve">  </w:t>
      </w:r>
      <w:r>
        <w:tab/>
        <w:t xml:space="preserve">Australian Competition Tribunal, </w:t>
      </w:r>
      <w:r w:rsidRPr="00F5364E">
        <w:rPr>
          <w:rStyle w:val="AERtextitalic"/>
        </w:rPr>
        <w:t>Application by Energex Limited (Gamma) (No 5) [2011] ACompT 9</w:t>
      </w:r>
      <w:r>
        <w:t>, May 2011, para. 45.</w:t>
      </w:r>
    </w:p>
  </w:footnote>
  <w:footnote w:id="342">
    <w:p w:rsidR="00B31E52" w:rsidRDefault="00B31E52" w:rsidP="00C52695">
      <w:pPr>
        <w:pStyle w:val="FootnoteText"/>
      </w:pPr>
      <w:r>
        <w:rPr>
          <w:rStyle w:val="FootnoteReference"/>
        </w:rPr>
        <w:footnoteRef/>
      </w:r>
      <w:r>
        <w:t xml:space="preserve"> </w:t>
      </w:r>
      <w:r>
        <w:tab/>
        <w:t xml:space="preserve">For example, see: ENA, </w:t>
      </w:r>
      <w:r w:rsidRPr="0006219D">
        <w:rPr>
          <w:rStyle w:val="AERtextitalic"/>
        </w:rPr>
        <w:t xml:space="preserve">Response to the </w:t>
      </w:r>
      <w:r>
        <w:rPr>
          <w:rStyle w:val="AERtextitalic"/>
        </w:rPr>
        <w:t>D</w:t>
      </w:r>
      <w:r w:rsidRPr="0006219D">
        <w:rPr>
          <w:rStyle w:val="AERtextitalic"/>
        </w:rPr>
        <w:t xml:space="preserve">raft </w:t>
      </w:r>
      <w:r>
        <w:rPr>
          <w:rStyle w:val="AERtextitalic"/>
        </w:rPr>
        <w:t>R</w:t>
      </w:r>
      <w:r w:rsidRPr="0006219D">
        <w:rPr>
          <w:rStyle w:val="AERtextitalic"/>
        </w:rPr>
        <w:t xml:space="preserve">ate of </w:t>
      </w:r>
      <w:r>
        <w:rPr>
          <w:rStyle w:val="AERtextitalic"/>
        </w:rPr>
        <w:t>R</w:t>
      </w:r>
      <w:r w:rsidRPr="0006219D">
        <w:rPr>
          <w:rStyle w:val="AERtextitalic"/>
        </w:rPr>
        <w:t xml:space="preserve">eturn </w:t>
      </w:r>
      <w:r>
        <w:rPr>
          <w:rStyle w:val="AERtextitalic"/>
        </w:rPr>
        <w:t>G</w:t>
      </w:r>
      <w:r w:rsidRPr="0006219D">
        <w:rPr>
          <w:rStyle w:val="AERtextitalic"/>
        </w:rPr>
        <w:t>uideline of the Australian Energy Regulator</w:t>
      </w:r>
      <w:r>
        <w:t>, 11 October 2013.</w:t>
      </w:r>
    </w:p>
  </w:footnote>
  <w:footnote w:id="343">
    <w:p w:rsidR="00B31E52" w:rsidRDefault="00B31E52" w:rsidP="00C52695">
      <w:pPr>
        <w:pStyle w:val="FootnoteText"/>
      </w:pPr>
      <w:r>
        <w:rPr>
          <w:rStyle w:val="FootnoteReference"/>
        </w:rPr>
        <w:footnoteRef/>
      </w:r>
      <w:r>
        <w:t xml:space="preserve"> </w:t>
      </w:r>
      <w:r>
        <w:tab/>
      </w:r>
      <w:r w:rsidRPr="003E1CE7">
        <w:t xml:space="preserve">AusNet Transmission, </w:t>
      </w:r>
      <w:r w:rsidRPr="003E1CE7">
        <w:rPr>
          <w:rStyle w:val="AERtextitalic"/>
        </w:rPr>
        <w:t>Transmission Revenue Review 2017-2022</w:t>
      </w:r>
      <w:r w:rsidRPr="003E1CE7">
        <w:t>, October 2015, p</w:t>
      </w:r>
      <w:r>
        <w:t>p</w:t>
      </w:r>
      <w:r w:rsidRPr="003E1CE7">
        <w:t>. </w:t>
      </w:r>
      <w:r>
        <w:t xml:space="preserve">301, 303, 306; Australian Gas Networks, </w:t>
      </w:r>
      <w:r>
        <w:rPr>
          <w:rStyle w:val="AERtextitalic"/>
        </w:rPr>
        <w:t>Attachment 11 Response to Draft Decision: Cost of Tax</w:t>
      </w:r>
      <w:r>
        <w:t xml:space="preserve">, January 2016, pp. 14-16, 21; ActewAGL, </w:t>
      </w:r>
      <w:r w:rsidRPr="00AF5B33">
        <w:rPr>
          <w:rStyle w:val="AERtextitalic"/>
        </w:rPr>
        <w:t>Appendix 5.01 Detailed response to rate of return, gamma and inflation</w:t>
      </w:r>
      <w:r>
        <w:t xml:space="preserve">, January 2016, pp. 117-118; AusNet Electricity Services, </w:t>
      </w:r>
      <w:r w:rsidRPr="00AF5B33">
        <w:rPr>
          <w:rStyle w:val="AERtextitalic"/>
        </w:rPr>
        <w:t>Revised Regulatory Proposal</w:t>
      </w:r>
      <w:r>
        <w:t xml:space="preserve">, January 2016, p. 7-86; United Energy, </w:t>
      </w:r>
      <w:r w:rsidRPr="00AF5B33">
        <w:rPr>
          <w:rStyle w:val="AERtextitalic"/>
        </w:rPr>
        <w:t>Response to AER Preliminary Determination Re: Rate of return and gamma</w:t>
      </w:r>
      <w:r>
        <w:t xml:space="preserve">, January 2016, p. 87; CitiPower, </w:t>
      </w:r>
      <w:r w:rsidRPr="00AF5B33">
        <w:rPr>
          <w:rStyle w:val="AERtextitalic"/>
        </w:rPr>
        <w:t>Revised Regulatory Proposal 2016-2020</w:t>
      </w:r>
      <w:r>
        <w:t xml:space="preserve">; January 2016, pp. 365-366; Jemena Electricity Networks, </w:t>
      </w:r>
      <w:r w:rsidRPr="00AF5B33">
        <w:rPr>
          <w:rStyle w:val="AERtextitalic"/>
        </w:rPr>
        <w:t>Attachment 6-1 Rate of return, gamma, forecast inflation, and debt and equity raising costs</w:t>
      </w:r>
      <w:r>
        <w:t xml:space="preserve">, January 2016, p. 94; Powercor, </w:t>
      </w:r>
      <w:r w:rsidRPr="00AF5B33">
        <w:rPr>
          <w:rStyle w:val="AERtextitalic"/>
        </w:rPr>
        <w:t>Revised Regulatory Proposal 2016-2020</w:t>
      </w:r>
      <w:r>
        <w:t>, January 2016, pp. 359-360.</w:t>
      </w:r>
    </w:p>
  </w:footnote>
  <w:footnote w:id="344">
    <w:p w:rsidR="00B31E52" w:rsidRDefault="00B31E52" w:rsidP="00C52695">
      <w:pPr>
        <w:pStyle w:val="FootnoteText"/>
      </w:pPr>
      <w:r>
        <w:rPr>
          <w:rStyle w:val="FootnoteReference"/>
        </w:rPr>
        <w:footnoteRef/>
      </w:r>
      <w:r>
        <w:t xml:space="preserve"> </w:t>
      </w:r>
      <w:r>
        <w:tab/>
        <w:t xml:space="preserve">Australian Competition Tribunal, </w:t>
      </w:r>
      <w:r w:rsidRPr="00A216BD">
        <w:rPr>
          <w:rStyle w:val="AERtextitalic"/>
        </w:rPr>
        <w:t>Application by DBNGP (WA) Transmission Pty Ltd (No 3) [2012] ACompT 14</w:t>
      </w:r>
      <w:r>
        <w:t>, July 2012.</w:t>
      </w:r>
    </w:p>
  </w:footnote>
  <w:footnote w:id="345">
    <w:p w:rsidR="00B31E52" w:rsidRDefault="00B31E52" w:rsidP="00C52695">
      <w:pPr>
        <w:pStyle w:val="FootnoteText"/>
      </w:pPr>
      <w:r>
        <w:rPr>
          <w:rStyle w:val="FootnoteReference"/>
        </w:rPr>
        <w:footnoteRef/>
      </w:r>
      <w:r>
        <w:t xml:space="preserve"> </w:t>
      </w:r>
      <w:r>
        <w:tab/>
        <w:t xml:space="preserve">Australian Competition Tribunal, </w:t>
      </w:r>
      <w:r w:rsidRPr="003D0DF0">
        <w:rPr>
          <w:rStyle w:val="AERtextitalic"/>
        </w:rPr>
        <w:t>Application by WA Gas Networks Pty Ltd (No 3) [2012] ACompT 12</w:t>
      </w:r>
      <w:r>
        <w:t>, June 2012, paras. 119 and 125.</w:t>
      </w:r>
    </w:p>
  </w:footnote>
  <w:footnote w:id="346">
    <w:p w:rsidR="00B31E52" w:rsidRDefault="00B31E52">
      <w:pPr>
        <w:pStyle w:val="FootnoteText"/>
      </w:pPr>
      <w:r>
        <w:rPr>
          <w:rStyle w:val="FootnoteReference"/>
        </w:rPr>
        <w:footnoteRef/>
      </w:r>
      <w:r>
        <w:t xml:space="preserve"> </w:t>
      </w:r>
      <w:r>
        <w:tab/>
        <w:t xml:space="preserve">ActewAGL, </w:t>
      </w:r>
      <w:r w:rsidRPr="009E4F6C">
        <w:rPr>
          <w:rStyle w:val="AERtextitalic"/>
        </w:rPr>
        <w:t>Revised Regulatory Proposal 2015-19</w:t>
      </w:r>
      <w:r>
        <w:t xml:space="preserve">, January 2015; Ausgrid, </w:t>
      </w:r>
      <w:r w:rsidRPr="00D75F7A">
        <w:rPr>
          <w:rStyle w:val="AERtextitalic"/>
        </w:rPr>
        <w:t>Ausgrid's revised proposal on gamma</w:t>
      </w:r>
      <w:r>
        <w:t xml:space="preserve">, January 2015; Directlink, </w:t>
      </w:r>
      <w:r w:rsidRPr="0000771B">
        <w:rPr>
          <w:rStyle w:val="AERtextitalic"/>
        </w:rPr>
        <w:t>Directlink submission on gamma (updated)</w:t>
      </w:r>
      <w:r>
        <w:t xml:space="preserve">, January 2015; Endeavour Energy, </w:t>
      </w:r>
      <w:r w:rsidRPr="00DF3162">
        <w:rPr>
          <w:rStyle w:val="AERtextitalic"/>
        </w:rPr>
        <w:t>Endeavour Energy's response to the AER draft decision re gamma</w:t>
      </w:r>
      <w:r>
        <w:t xml:space="preserve">, January 2015; Essential Energy, </w:t>
      </w:r>
      <w:r w:rsidRPr="000E181F">
        <w:rPr>
          <w:rStyle w:val="AERtextitalic"/>
        </w:rPr>
        <w:t>Essential's response to AER draft decision re gamma</w:t>
      </w:r>
      <w:r>
        <w:t xml:space="preserve">, January 2015; and JGN, </w:t>
      </w:r>
      <w:r w:rsidRPr="000E181F">
        <w:rPr>
          <w:rStyle w:val="AERtextitalic"/>
        </w:rPr>
        <w:t>Gamma - response to the draft decision</w:t>
      </w:r>
      <w:r>
        <w:t xml:space="preserve">, February 2015; TransGrid, </w:t>
      </w:r>
      <w:r>
        <w:rPr>
          <w:rStyle w:val="AERtextitalic"/>
        </w:rPr>
        <w:t>TransGrid</w:t>
      </w:r>
      <w:r w:rsidRPr="00B53917">
        <w:rPr>
          <w:rStyle w:val="AERtextitalic"/>
        </w:rPr>
        <w:t>'s approach to gamma</w:t>
      </w:r>
      <w:r>
        <w:t>, May 2014.</w:t>
      </w:r>
    </w:p>
  </w:footnote>
  <w:footnote w:id="347">
    <w:p w:rsidR="00B31E52" w:rsidRDefault="00B31E52">
      <w:pPr>
        <w:pStyle w:val="FootnoteText"/>
      </w:pPr>
      <w:r>
        <w:rPr>
          <w:rStyle w:val="FootnoteReference"/>
        </w:rPr>
        <w:footnoteRef/>
      </w:r>
      <w:r>
        <w:t xml:space="preserve"> </w:t>
      </w:r>
      <w:r>
        <w:tab/>
        <w:t xml:space="preserve">SA Power Networks, </w:t>
      </w:r>
      <w:r>
        <w:rPr>
          <w:rStyle w:val="AERtextitalic"/>
        </w:rPr>
        <w:t>Revised regulatory proposal 2015-20</w:t>
      </w:r>
      <w:r>
        <w:t xml:space="preserve">, July 2015; Ergon, </w:t>
      </w:r>
      <w:r w:rsidRPr="00922C6D">
        <w:rPr>
          <w:rStyle w:val="AERtextitalic"/>
        </w:rPr>
        <w:t>Submission on value of imputation credits (gamma)</w:t>
      </w:r>
      <w:r>
        <w:t>, July 2015</w:t>
      </w:r>
      <w:r w:rsidRPr="008D7509">
        <w:t xml:space="preserve">; </w:t>
      </w:r>
      <w:r>
        <w:t xml:space="preserve">Energex, </w:t>
      </w:r>
      <w:r w:rsidRPr="00D414CC">
        <w:rPr>
          <w:rStyle w:val="Emphasis"/>
        </w:rPr>
        <w:t>Submission on Energex's regulatory proposal 2015-20 and AER issues paper - attachment 2</w:t>
      </w:r>
      <w:r>
        <w:t>, January 2015.</w:t>
      </w:r>
    </w:p>
  </w:footnote>
  <w:footnote w:id="348">
    <w:p w:rsidR="00B31E52" w:rsidRDefault="00B31E52">
      <w:pPr>
        <w:pStyle w:val="FootnoteText"/>
      </w:pPr>
      <w:r>
        <w:rPr>
          <w:rStyle w:val="FootnoteReference"/>
        </w:rPr>
        <w:footnoteRef/>
      </w:r>
      <w:r>
        <w:t xml:space="preserve"> </w:t>
      </w:r>
      <w:r>
        <w:tab/>
        <w:t xml:space="preserve">AusNet Services, </w:t>
      </w:r>
      <w:r w:rsidRPr="00D414CC">
        <w:rPr>
          <w:rStyle w:val="Emphasis"/>
        </w:rPr>
        <w:t>2016-20 Regulatory Proposal</w:t>
      </w:r>
      <w:r>
        <w:t xml:space="preserve">, April 2015; United Energy, </w:t>
      </w:r>
      <w:r w:rsidRPr="00D414CC">
        <w:rPr>
          <w:rStyle w:val="Emphasis"/>
        </w:rPr>
        <w:t>Assessment of the Value of Imputation Credits - Gamma, Proposal for 2016 to 2020</w:t>
      </w:r>
      <w:r>
        <w:t xml:space="preserve">, April 2015; CitiPower, </w:t>
      </w:r>
      <w:r w:rsidRPr="00D414CC">
        <w:rPr>
          <w:rStyle w:val="Emphasis"/>
        </w:rPr>
        <w:t>Appendix J - Gamma</w:t>
      </w:r>
      <w:r>
        <w:t xml:space="preserve">, April 2015; Powercor, </w:t>
      </w:r>
      <w:r w:rsidRPr="00D414CC">
        <w:rPr>
          <w:rStyle w:val="Emphasis"/>
        </w:rPr>
        <w:t>Appendix J - Gamma</w:t>
      </w:r>
      <w:r>
        <w:t xml:space="preserve">, April 2015; Jemena Electricity, </w:t>
      </w:r>
      <w:r w:rsidRPr="00D414CC">
        <w:rPr>
          <w:rStyle w:val="Emphasis"/>
        </w:rPr>
        <w:t>Attachment 06-06 Gamma proposal</w:t>
      </w:r>
      <w:r>
        <w:t xml:space="preserve">, April 2015; ActewAGL Distribution, </w:t>
      </w:r>
      <w:r w:rsidRPr="00D414CC">
        <w:rPr>
          <w:rStyle w:val="Emphasis"/>
        </w:rPr>
        <w:t>Attachment 8 Detailed gamma proposal</w:t>
      </w:r>
      <w:r>
        <w:t xml:space="preserve">; Australian Gas Networks, </w:t>
      </w:r>
      <w:r w:rsidRPr="00D414CC">
        <w:rPr>
          <w:rStyle w:val="Emphasis"/>
        </w:rPr>
        <w:t>Attachment 11.2 Value of Imputation Credits</w:t>
      </w:r>
      <w:r>
        <w:t>, July 2015.</w:t>
      </w:r>
    </w:p>
  </w:footnote>
  <w:footnote w:id="349">
    <w:p w:rsidR="00B31E52" w:rsidRDefault="00B31E52" w:rsidP="00BF534C">
      <w:pPr>
        <w:pStyle w:val="FootnoteText"/>
      </w:pPr>
      <w:r>
        <w:rPr>
          <w:rStyle w:val="FootnoteReference"/>
        </w:rPr>
        <w:footnoteRef/>
      </w:r>
      <w:r>
        <w:t xml:space="preserve"> </w:t>
      </w:r>
      <w:r>
        <w:tab/>
        <w:t xml:space="preserve">AusNet Transmission, </w:t>
      </w:r>
      <w:r>
        <w:rPr>
          <w:rStyle w:val="AERtextitalic"/>
        </w:rPr>
        <w:t>Transmission Revenue Proposal Review 2017-2022, Revised Revenue Proposal</w:t>
      </w:r>
      <w:r>
        <w:t xml:space="preserve">, 21 September 2016; TasNetworks, </w:t>
      </w:r>
      <w:r>
        <w:rPr>
          <w:rStyle w:val="AERtextitalic"/>
        </w:rPr>
        <w:t xml:space="preserve">Tasmanian Distribution Revised Regulatory Proposal, </w:t>
      </w:r>
      <w:r w:rsidRPr="00541886">
        <w:rPr>
          <w:rStyle w:val="AERtextitalic"/>
          <w:i w:val="0"/>
        </w:rPr>
        <w:t>2 December 2016;</w:t>
      </w:r>
      <w:r>
        <w:rPr>
          <w:rStyle w:val="AERtextitalic"/>
        </w:rPr>
        <w:t xml:space="preserve"> </w:t>
      </w:r>
      <w:r>
        <w:t xml:space="preserve">Powerlink, </w:t>
      </w:r>
      <w:r>
        <w:rPr>
          <w:rStyle w:val="AERtextitalic"/>
        </w:rPr>
        <w:t xml:space="preserve">Revised Revenue Proposal, </w:t>
      </w:r>
      <w:r w:rsidRPr="00541886">
        <w:rPr>
          <w:rStyle w:val="AERtextitalic"/>
          <w:i w:val="0"/>
        </w:rPr>
        <w:t>1 December 2016.</w:t>
      </w:r>
    </w:p>
  </w:footnote>
  <w:footnote w:id="350">
    <w:p w:rsidR="00B31E52" w:rsidRDefault="00B31E52" w:rsidP="00194D86">
      <w:pPr>
        <w:pStyle w:val="FootnoteText"/>
      </w:pPr>
      <w:r>
        <w:rPr>
          <w:rStyle w:val="FootnoteReference"/>
        </w:rPr>
        <w:footnoteRef/>
      </w:r>
      <w:r>
        <w:t xml:space="preserve"> </w:t>
      </w:r>
      <w:r>
        <w:tab/>
      </w:r>
      <w:r w:rsidRPr="00194D86">
        <w:t xml:space="preserve">APA, </w:t>
      </w:r>
      <w:r w:rsidRPr="008B1CA1">
        <w:rPr>
          <w:rStyle w:val="AERtextitalic"/>
        </w:rPr>
        <w:t>Victorian Transmission System Access Arrangement Submission</w:t>
      </w:r>
      <w:r>
        <w:t xml:space="preserve">, January 2017; </w:t>
      </w:r>
      <w:r w:rsidRPr="00194D86">
        <w:t xml:space="preserve">AusNet Services Gas Distribution, </w:t>
      </w:r>
      <w:r w:rsidRPr="008B1CA1">
        <w:rPr>
          <w:rStyle w:val="AERtextitalic"/>
        </w:rPr>
        <w:t>Access Arrangement Review 2018-22</w:t>
      </w:r>
      <w:r>
        <w:t xml:space="preserve">, December 2016; </w:t>
      </w:r>
      <w:r w:rsidRPr="00194D86">
        <w:t>RBP, Access arrangement submission 2017-22, 16 September 2016</w:t>
      </w:r>
      <w:r>
        <w:t xml:space="preserve">; </w:t>
      </w:r>
      <w:r w:rsidRPr="00194D86">
        <w:t>AGN</w:t>
      </w:r>
      <w:r w:rsidRPr="008B1CA1">
        <w:rPr>
          <w:rStyle w:val="AERtextitalic"/>
        </w:rPr>
        <w:t>, Final Plan: Access Arrangement Information for our Victorian and Albury natural gas distribution networks 2018-22</w:t>
      </w:r>
      <w:r w:rsidRPr="00194D86">
        <w:t>, December 2016</w:t>
      </w:r>
      <w:r>
        <w:t xml:space="preserve">; </w:t>
      </w:r>
      <w:r w:rsidRPr="00194D86">
        <w:t xml:space="preserve">Multinet, </w:t>
      </w:r>
      <w:r w:rsidRPr="008B1CA1">
        <w:rPr>
          <w:rStyle w:val="AERtextitalic"/>
        </w:rPr>
        <w:t>2018 to 2022 Access Arrangement Information</w:t>
      </w:r>
      <w:r w:rsidRPr="00194D86">
        <w:t>, December 2016</w:t>
      </w:r>
    </w:p>
  </w:footnote>
  <w:footnote w:id="351">
    <w:p w:rsidR="00C40DB2" w:rsidRDefault="00C40DB2">
      <w:pPr>
        <w:pStyle w:val="FootnoteText"/>
      </w:pPr>
      <w:r>
        <w:rPr>
          <w:rStyle w:val="FootnoteReference"/>
        </w:rPr>
        <w:footnoteRef/>
      </w:r>
      <w:r>
        <w:t xml:space="preserve"> </w:t>
      </w:r>
      <w:r>
        <w:tab/>
      </w:r>
      <w:r w:rsidRPr="00BC0D27">
        <w:t xml:space="preserve">AGN, </w:t>
      </w:r>
      <w:r w:rsidRPr="008B1CA1">
        <w:rPr>
          <w:rStyle w:val="AERtextitalic"/>
        </w:rPr>
        <w:t>Final Plan: Access Arrangement Information for our Victorian and Albury natural gas distribution networks 2018-22</w:t>
      </w:r>
      <w:r w:rsidRPr="00BC0D27">
        <w:t>, December 2016</w:t>
      </w:r>
      <w:r>
        <w:t>, p.123</w:t>
      </w:r>
      <w:r w:rsidRPr="00BC0D27">
        <w:t>.</w:t>
      </w:r>
    </w:p>
  </w:footnote>
  <w:footnote w:id="352">
    <w:p w:rsidR="00B31E52" w:rsidRDefault="00B31E52" w:rsidP="00BC0D27">
      <w:pPr>
        <w:pStyle w:val="FootnoteText"/>
      </w:pPr>
      <w:r>
        <w:rPr>
          <w:rStyle w:val="FootnoteReference"/>
        </w:rPr>
        <w:footnoteRef/>
      </w:r>
      <w:r>
        <w:t xml:space="preserve"> </w:t>
      </w:r>
      <w:r>
        <w:tab/>
      </w:r>
      <w:r w:rsidR="00C40DB2" w:rsidRPr="00C40DB2">
        <w:t xml:space="preserve">ActewAGL, </w:t>
      </w:r>
      <w:r w:rsidR="00C40DB2" w:rsidRPr="00C40DB2">
        <w:rPr>
          <w:rStyle w:val="AERtextitalic"/>
        </w:rPr>
        <w:t>Revised Regulatory Proposal 2015-19</w:t>
      </w:r>
      <w:r w:rsidR="00C40DB2" w:rsidRPr="00C40DB2">
        <w:t xml:space="preserve">, January 2015, pp. 485–486; Ausgrid, </w:t>
      </w:r>
      <w:r w:rsidR="00C40DB2" w:rsidRPr="00C40DB2">
        <w:rPr>
          <w:rStyle w:val="AERtextitalic"/>
        </w:rPr>
        <w:t>Ausgrid's revised proposal on gamma</w:t>
      </w:r>
      <w:r w:rsidR="00C40DB2" w:rsidRPr="00C40DB2">
        <w:t xml:space="preserve">, January 2015, p. 1; Directlink, </w:t>
      </w:r>
      <w:r w:rsidR="00C40DB2" w:rsidRPr="00C40DB2">
        <w:rPr>
          <w:rStyle w:val="AERtextitalic"/>
        </w:rPr>
        <w:t>Directlink submission on gamma (updated)</w:t>
      </w:r>
      <w:r w:rsidR="00C40DB2" w:rsidRPr="00C40DB2">
        <w:t xml:space="preserve">, January 2015, pp. 1–2; Endeavour Energy, </w:t>
      </w:r>
      <w:r w:rsidR="00C40DB2" w:rsidRPr="00C40DB2">
        <w:rPr>
          <w:rStyle w:val="AERtextitalic"/>
        </w:rPr>
        <w:t>Endeavour Energy's response to the AER draft decision re gamma</w:t>
      </w:r>
      <w:r w:rsidR="00C40DB2" w:rsidRPr="00C40DB2">
        <w:t xml:space="preserve">, January 2015, p. 1; Essential Energy, </w:t>
      </w:r>
      <w:r w:rsidR="00C40DB2" w:rsidRPr="00C40DB2">
        <w:rPr>
          <w:rStyle w:val="AERtextitalic"/>
        </w:rPr>
        <w:t>Essential's response to AER draft decision re gamma</w:t>
      </w:r>
      <w:r w:rsidR="00C40DB2" w:rsidRPr="00C40DB2">
        <w:t xml:space="preserve">, January 2015, p. 1; and JGN, </w:t>
      </w:r>
      <w:r w:rsidR="00C40DB2" w:rsidRPr="00C40DB2">
        <w:rPr>
          <w:rStyle w:val="AERtextitalic"/>
        </w:rPr>
        <w:t>Gamma - response to the draft decision</w:t>
      </w:r>
      <w:r w:rsidR="00C40DB2" w:rsidRPr="00C40DB2">
        <w:t>, February 2015, p. 1.</w:t>
      </w:r>
    </w:p>
  </w:footnote>
  <w:footnote w:id="353">
    <w:p w:rsidR="00B31E52" w:rsidRDefault="00B31E52" w:rsidP="00C52695">
      <w:pPr>
        <w:pStyle w:val="FootnoteText"/>
      </w:pPr>
      <w:r>
        <w:rPr>
          <w:rStyle w:val="FootnoteReference"/>
        </w:rPr>
        <w:footnoteRef/>
      </w:r>
      <w:r>
        <w:t xml:space="preserve"> </w:t>
      </w:r>
      <w:r>
        <w:tab/>
        <w:t>We note that these issues have been raised by other service providers. However SA Power Networks, Ergon Energy and Energex have clarified that they consider these to be the key issues in dispute with the AER. We also note Gray did not explicitly identify these as the key issues in dispute, although they featured prominently in his report.</w:t>
      </w:r>
    </w:p>
  </w:footnote>
  <w:footnote w:id="354">
    <w:p w:rsidR="00B31E52" w:rsidRDefault="00B31E52" w:rsidP="00C52695">
      <w:pPr>
        <w:pStyle w:val="FootnoteText"/>
      </w:pPr>
      <w:r>
        <w:rPr>
          <w:rStyle w:val="FootnoteReference"/>
        </w:rPr>
        <w:footnoteRef/>
      </w:r>
      <w:r>
        <w:t xml:space="preserve"> </w:t>
      </w:r>
      <w:r>
        <w:tab/>
        <w:t xml:space="preserve">SA Power Networks, </w:t>
      </w:r>
      <w:r>
        <w:rPr>
          <w:rStyle w:val="AERtextitalic"/>
        </w:rPr>
        <w:t>Revised regulatory proposal 2015-20</w:t>
      </w:r>
      <w:r>
        <w:t xml:space="preserve">, July 2015, pp. 370–371; Ergon, </w:t>
      </w:r>
      <w:r w:rsidRPr="00D414CC">
        <w:rPr>
          <w:rStyle w:val="Emphasis"/>
        </w:rPr>
        <w:t>Submission on value of imputation credits (gamma)</w:t>
      </w:r>
      <w:r>
        <w:t xml:space="preserve">, July 2015, p. 7; Frontier Economics, </w:t>
      </w:r>
      <w:r w:rsidRPr="00D414CC">
        <w:rPr>
          <w:rStyle w:val="Emphasis"/>
        </w:rPr>
        <w:t>An appropriate regulatory estimate of gamma</w:t>
      </w:r>
      <w:r>
        <w:t>, p. 8, June 2015.</w:t>
      </w:r>
    </w:p>
  </w:footnote>
  <w:footnote w:id="355">
    <w:p w:rsidR="00B31E52" w:rsidRDefault="00B31E52" w:rsidP="00C52695">
      <w:pPr>
        <w:pStyle w:val="FootnoteText"/>
      </w:pPr>
      <w:r>
        <w:rPr>
          <w:rStyle w:val="FootnoteReference"/>
        </w:rPr>
        <w:footnoteRef/>
      </w:r>
      <w:r>
        <w:t xml:space="preserve"> </w:t>
      </w:r>
      <w:r>
        <w:tab/>
        <w:t xml:space="preserve">SA Power Networks, </w:t>
      </w:r>
      <w:r>
        <w:rPr>
          <w:rStyle w:val="AERtextitalic"/>
        </w:rPr>
        <w:t>Revised regulatory proposal 2015-20</w:t>
      </w:r>
      <w:r>
        <w:t xml:space="preserve">, July 2015, pp. 370–371; Ergon, </w:t>
      </w:r>
      <w:r w:rsidRPr="00D414CC">
        <w:rPr>
          <w:rStyle w:val="Emphasis"/>
        </w:rPr>
        <w:t>Submission on value of imputation credits (gamma)</w:t>
      </w:r>
      <w:r>
        <w:t xml:space="preserve">, July 2015, p. 7; Frontier Economics, </w:t>
      </w:r>
      <w:r w:rsidRPr="00596AF9">
        <w:rPr>
          <w:i/>
        </w:rPr>
        <w:t>An appropriate regulatory estimate of gamma, pp. 2</w:t>
      </w:r>
      <w:r>
        <w:rPr>
          <w:i/>
        </w:rPr>
        <w:t>6–</w:t>
      </w:r>
      <w:r w:rsidRPr="00596AF9">
        <w:rPr>
          <w:i/>
        </w:rPr>
        <w:t>30, June 2015</w:t>
      </w:r>
      <w:r>
        <w:t>.</w:t>
      </w:r>
    </w:p>
  </w:footnote>
  <w:footnote w:id="356">
    <w:p w:rsidR="00B31E52" w:rsidRDefault="00B31E52" w:rsidP="00C52695">
      <w:pPr>
        <w:pStyle w:val="FootnoteText"/>
      </w:pPr>
      <w:r>
        <w:rPr>
          <w:rStyle w:val="FootnoteReference"/>
        </w:rPr>
        <w:footnoteRef/>
      </w:r>
      <w:r>
        <w:t xml:space="preserve"> </w:t>
      </w:r>
      <w:r>
        <w:tab/>
        <w:t>We note we have used an estimate of the distribution rate of 0.77 in this decision. This was updated to 0.77 in our JGN decision released in June 2015 from 0.8 used in our final decisions released in April 2015.</w:t>
      </w:r>
    </w:p>
  </w:footnote>
  <w:footnote w:id="357">
    <w:p w:rsidR="00B31E52" w:rsidRDefault="00B31E52" w:rsidP="00C52695">
      <w:pPr>
        <w:pStyle w:val="FootnoteText"/>
      </w:pPr>
      <w:r>
        <w:rPr>
          <w:rStyle w:val="FootnoteReference"/>
        </w:rPr>
        <w:footnoteRef/>
      </w:r>
      <w:r>
        <w:t xml:space="preserve"> </w:t>
      </w:r>
      <w:r>
        <w:tab/>
      </w:r>
      <w:r w:rsidRPr="00712BC2">
        <w:t xml:space="preserve">M. Lally, </w:t>
      </w:r>
      <w:r>
        <w:rPr>
          <w:rStyle w:val="AERtextitalic"/>
        </w:rPr>
        <w:t>Gamma and the ACT Decision</w:t>
      </w:r>
      <w:r>
        <w:t>, May 2016, pp. 5–6, 25–26, 28–29.</w:t>
      </w:r>
    </w:p>
  </w:footnote>
  <w:footnote w:id="358">
    <w:p w:rsidR="00B31E52" w:rsidRDefault="00B31E52" w:rsidP="00651C88">
      <w:pPr>
        <w:pStyle w:val="FootnoteText"/>
      </w:pPr>
      <w:r>
        <w:rPr>
          <w:rStyle w:val="FootnoteReference"/>
        </w:rPr>
        <w:footnoteRef/>
      </w:r>
      <w:r>
        <w:t xml:space="preserve"> </w:t>
      </w:r>
      <w:r>
        <w:tab/>
        <w:t xml:space="preserve">AusNet Services, </w:t>
      </w:r>
      <w:r w:rsidRPr="00596AF9">
        <w:rPr>
          <w:i/>
        </w:rPr>
        <w:t>2016-20 Regulatory Proposal</w:t>
      </w:r>
      <w:r>
        <w:t xml:space="preserve">, April 2015, p. 354; United Energy, </w:t>
      </w:r>
      <w:r w:rsidRPr="00596AF9">
        <w:rPr>
          <w:i/>
        </w:rPr>
        <w:t>Assessment of the Value of Imputation Credits - Gamma, Proposal for 2016 to 2020</w:t>
      </w:r>
      <w:r>
        <w:t xml:space="preserve">, April 2015, p. 2; CitiPower, </w:t>
      </w:r>
      <w:r w:rsidRPr="00596AF9">
        <w:rPr>
          <w:i/>
        </w:rPr>
        <w:t>Appendix J - Gamma</w:t>
      </w:r>
      <w:r>
        <w:t xml:space="preserve">, April 2015, p. 4; Powercor, </w:t>
      </w:r>
      <w:r w:rsidRPr="00596AF9">
        <w:rPr>
          <w:i/>
        </w:rPr>
        <w:t>Appendix J - Gamma</w:t>
      </w:r>
      <w:r>
        <w:t xml:space="preserve">, April 2015, p. 4; Jemena Electricity, </w:t>
      </w:r>
      <w:r w:rsidRPr="00596AF9">
        <w:rPr>
          <w:i/>
        </w:rPr>
        <w:t>Attachment 06-06 Gamma proposal</w:t>
      </w:r>
      <w:r>
        <w:t xml:space="preserve">, April 2015, p. 5; ActewAGL Distribution, </w:t>
      </w:r>
      <w:r w:rsidRPr="00596AF9">
        <w:rPr>
          <w:i/>
        </w:rPr>
        <w:t>Attachment 8 Detailed gamma proposal</w:t>
      </w:r>
      <w:r>
        <w:t xml:space="preserve">, p. 2; Australian Gas Networks, </w:t>
      </w:r>
      <w:r w:rsidRPr="00596AF9">
        <w:rPr>
          <w:i/>
        </w:rPr>
        <w:t>Attachment 11.2 Value of Imputation Credits</w:t>
      </w:r>
      <w:r>
        <w:t xml:space="preserve">, pp. 9–10, July 2015; Amadeus Gas Pipeline, </w:t>
      </w:r>
      <w:r w:rsidRPr="00596AF9">
        <w:rPr>
          <w:i/>
        </w:rPr>
        <w:t>Access Arrangement revision submission</w:t>
      </w:r>
      <w:r>
        <w:t>, August 2015, p. 151.</w:t>
      </w:r>
    </w:p>
  </w:footnote>
  <w:footnote w:id="359">
    <w:p w:rsidR="00B31E52" w:rsidRDefault="00B31E52" w:rsidP="00651C88">
      <w:pPr>
        <w:pStyle w:val="FootnoteText"/>
      </w:pPr>
      <w:r>
        <w:rPr>
          <w:rStyle w:val="FootnoteReference"/>
        </w:rPr>
        <w:footnoteRef/>
      </w:r>
      <w:r>
        <w:t xml:space="preserve"> </w:t>
      </w:r>
      <w:r>
        <w:tab/>
        <w:t xml:space="preserve">AusNet Services, </w:t>
      </w:r>
      <w:r w:rsidRPr="00596AF9">
        <w:rPr>
          <w:i/>
        </w:rPr>
        <w:t>2016-20 Regulatory Proposal</w:t>
      </w:r>
      <w:r>
        <w:t xml:space="preserve">, April 2015, p. 367; United Energy, </w:t>
      </w:r>
      <w:r w:rsidRPr="00596AF9">
        <w:rPr>
          <w:i/>
        </w:rPr>
        <w:t>Assessment of the Value of Imputation Credits - Gamma, Proposal for 2016 to 2020</w:t>
      </w:r>
      <w:r>
        <w:t xml:space="preserve">, April 2015, p. 18; CitiPower, </w:t>
      </w:r>
      <w:r w:rsidRPr="00596AF9">
        <w:rPr>
          <w:i/>
        </w:rPr>
        <w:t>Appendix J - Gamma</w:t>
      </w:r>
      <w:r>
        <w:t xml:space="preserve">, April 2015, p. 16; Powercor, </w:t>
      </w:r>
      <w:r w:rsidRPr="00596AF9">
        <w:rPr>
          <w:i/>
        </w:rPr>
        <w:t>Appendix J - Gamma</w:t>
      </w:r>
      <w:r>
        <w:t xml:space="preserve">, April 2015, p. 16; Jemena Electricity, </w:t>
      </w:r>
      <w:r w:rsidRPr="00596AF9">
        <w:rPr>
          <w:i/>
        </w:rPr>
        <w:t>Attachment 06-06 Gamma proposal</w:t>
      </w:r>
      <w:r>
        <w:t xml:space="preserve">, April 2015, p.  </w:t>
      </w:r>
      <w:r w:rsidRPr="00EF0AE9">
        <w:t>7;</w:t>
      </w:r>
      <w:r>
        <w:t xml:space="preserve"> ActewAGL Distribution, </w:t>
      </w:r>
      <w:r w:rsidRPr="00596AF9">
        <w:rPr>
          <w:i/>
        </w:rPr>
        <w:t>Attachment 8 Detailed gamma proposal</w:t>
      </w:r>
      <w:r>
        <w:t xml:space="preserve">, p. 15; Australian Gas Networks, </w:t>
      </w:r>
      <w:r w:rsidRPr="00596AF9">
        <w:rPr>
          <w:i/>
        </w:rPr>
        <w:t>Attachment 11.2 Value of Imputation Credits</w:t>
      </w:r>
      <w:r>
        <w:t>, p. 3, July 2015.</w:t>
      </w:r>
    </w:p>
  </w:footnote>
  <w:footnote w:id="360">
    <w:p w:rsidR="00B31E52" w:rsidRDefault="00B31E52" w:rsidP="00651C88">
      <w:pPr>
        <w:pStyle w:val="FootnoteText"/>
      </w:pPr>
      <w:r>
        <w:rPr>
          <w:rStyle w:val="FootnoteReference"/>
        </w:rPr>
        <w:footnoteRef/>
      </w:r>
      <w:r>
        <w:t xml:space="preserve"> </w:t>
      </w:r>
      <w:r>
        <w:tab/>
        <w:t xml:space="preserve">Australian Gas Networks, </w:t>
      </w:r>
      <w:r>
        <w:rPr>
          <w:rStyle w:val="AERtextitalic"/>
        </w:rPr>
        <w:t>Attachment 11 Response to Draft Decision: Cost of Tax</w:t>
      </w:r>
      <w:r>
        <w:t xml:space="preserve">, January 2016, p. 4; ActewAGL, </w:t>
      </w:r>
      <w:r w:rsidRPr="00AF5B33">
        <w:rPr>
          <w:rStyle w:val="AERtextitalic"/>
        </w:rPr>
        <w:t>Appendix 5.01 Detailed response to rate of return, gamma and inflation</w:t>
      </w:r>
      <w:r>
        <w:t xml:space="preserve">, January 2016, p. 40; AusNet Electricity Services, </w:t>
      </w:r>
      <w:r w:rsidRPr="00AF5B33">
        <w:rPr>
          <w:rStyle w:val="AERtextitalic"/>
        </w:rPr>
        <w:t>Revised Regulatory Proposal</w:t>
      </w:r>
      <w:r>
        <w:t xml:space="preserve">, January 2016, p. 7-96; United Energy, </w:t>
      </w:r>
      <w:r w:rsidRPr="00AF5B33">
        <w:rPr>
          <w:rStyle w:val="AERtextitalic"/>
        </w:rPr>
        <w:t>Response to AER Preliminary Determination Re: Rate of return and gamma</w:t>
      </w:r>
      <w:r>
        <w:t xml:space="preserve">, January 2016, p. 97; CitiPower, </w:t>
      </w:r>
      <w:r w:rsidRPr="00AF5B33">
        <w:rPr>
          <w:rStyle w:val="AERtextitalic"/>
        </w:rPr>
        <w:t>Revised Regulatory Proposal 2016-2020</w:t>
      </w:r>
      <w:r>
        <w:t xml:space="preserve">; January 2016, p. 375; Jemena Electricity Networks, </w:t>
      </w:r>
      <w:r w:rsidRPr="00AF5B33">
        <w:rPr>
          <w:rStyle w:val="AERtextitalic"/>
        </w:rPr>
        <w:t>Attachment 6-1 Rate of return, gamma, forecast inflation, and debt and equity raising costs</w:t>
      </w:r>
      <w:r>
        <w:t xml:space="preserve">, January 2016, pp. 104-105; Powercor, </w:t>
      </w:r>
      <w:r w:rsidRPr="00AF5B33">
        <w:rPr>
          <w:rStyle w:val="AERtextitalic"/>
        </w:rPr>
        <w:t>Revised Regulatory Proposal 2016-2020</w:t>
      </w:r>
      <w:r>
        <w:t>, January 2016, p. 369.</w:t>
      </w:r>
    </w:p>
  </w:footnote>
  <w:footnote w:id="361">
    <w:p w:rsidR="00B31E52" w:rsidRDefault="00B31E52" w:rsidP="00651C88">
      <w:pPr>
        <w:pStyle w:val="FootnoteText"/>
      </w:pPr>
      <w:r>
        <w:rPr>
          <w:rStyle w:val="FootnoteReference"/>
        </w:rPr>
        <w:footnoteRef/>
      </w:r>
      <w:r>
        <w:t xml:space="preserve"> </w:t>
      </w:r>
      <w:r>
        <w:tab/>
        <w:t xml:space="preserve">Australian Gas Networks, </w:t>
      </w:r>
      <w:r>
        <w:rPr>
          <w:rStyle w:val="AERtextitalic"/>
        </w:rPr>
        <w:t>Attachment 11 Response to Draft Decision: Cost of Tax</w:t>
      </w:r>
      <w:r>
        <w:t xml:space="preserve">, January 2016, p.  2; ActewAGL, </w:t>
      </w:r>
      <w:r w:rsidRPr="00AF5B33">
        <w:rPr>
          <w:rStyle w:val="AERtextitalic"/>
        </w:rPr>
        <w:t>Appendix 5.01 Detailed response to rate of return, gamma and inflation</w:t>
      </w:r>
      <w:r>
        <w:t xml:space="preserve">, January 2016, pp. 40; AusNet Electricity Services, </w:t>
      </w:r>
      <w:r w:rsidRPr="00AF5B33">
        <w:rPr>
          <w:rStyle w:val="AERtextitalic"/>
        </w:rPr>
        <w:t>Revised Regulatory Proposal</w:t>
      </w:r>
      <w:r>
        <w:t xml:space="preserve">, January 2016, p. 7-79; United Energy, </w:t>
      </w:r>
      <w:r w:rsidRPr="00AF5B33">
        <w:rPr>
          <w:rStyle w:val="AERtextitalic"/>
        </w:rPr>
        <w:t>Response to AER Preliminary Determination Re: Rate of return and gamma</w:t>
      </w:r>
      <w:r>
        <w:t xml:space="preserve">, January 2016, p. 80; CitiPower, </w:t>
      </w:r>
      <w:r w:rsidRPr="00AF5B33">
        <w:rPr>
          <w:rStyle w:val="AERtextitalic"/>
        </w:rPr>
        <w:t>Revised Regulatory Proposal 2016-2020</w:t>
      </w:r>
      <w:r>
        <w:t xml:space="preserve">; January 2016, p. 358; Jemena Electricity Networks, </w:t>
      </w:r>
      <w:r w:rsidRPr="00AF5B33">
        <w:rPr>
          <w:rStyle w:val="AERtextitalic"/>
        </w:rPr>
        <w:t>Attachment 6-1 Rate of return, gamma, forecast inflation, and debt and equity raising costs</w:t>
      </w:r>
      <w:r>
        <w:t xml:space="preserve">, January 2016, p. 86; Powercor, </w:t>
      </w:r>
      <w:r w:rsidRPr="00AF5B33">
        <w:rPr>
          <w:rStyle w:val="AERtextitalic"/>
        </w:rPr>
        <w:t>Revised Regulatory Proposal 2016-2020</w:t>
      </w:r>
      <w:r>
        <w:t>, January 2016, p. 352.</w:t>
      </w:r>
    </w:p>
  </w:footnote>
  <w:footnote w:id="362">
    <w:p w:rsidR="00B31E52" w:rsidRDefault="00B31E52" w:rsidP="00651C88">
      <w:pPr>
        <w:pStyle w:val="FootnoteText"/>
      </w:pPr>
      <w:r>
        <w:rPr>
          <w:rStyle w:val="FootnoteReference"/>
        </w:rPr>
        <w:footnoteRef/>
      </w:r>
      <w:r>
        <w:t xml:space="preserve"> </w:t>
      </w:r>
      <w:r>
        <w:tab/>
        <w:t xml:space="preserve">Australian Gas Networks, </w:t>
      </w:r>
      <w:r>
        <w:rPr>
          <w:rStyle w:val="AERtextitalic"/>
        </w:rPr>
        <w:t>Attachment 11 Response to Draft Decision: Cost of Tax</w:t>
      </w:r>
      <w:r>
        <w:t xml:space="preserve">, January 2016, p.  4; ActewAGL, </w:t>
      </w:r>
      <w:r w:rsidRPr="00AF5B33">
        <w:rPr>
          <w:rStyle w:val="AERtextitalic"/>
        </w:rPr>
        <w:t>Appendix 5.01 Detailed response to rate of return, gamma and inflation</w:t>
      </w:r>
      <w:r>
        <w:t xml:space="preserve">, January 2016, pp. 41, 125; AusNet Electricity Services, </w:t>
      </w:r>
      <w:r w:rsidRPr="00AF5B33">
        <w:rPr>
          <w:rStyle w:val="AERtextitalic"/>
        </w:rPr>
        <w:t>Revised Regulatory Proposal</w:t>
      </w:r>
      <w:r>
        <w:t xml:space="preserve">, January 2016, pp. 7-84, 7-83; United Energy, </w:t>
      </w:r>
      <w:r w:rsidRPr="00AF5B33">
        <w:rPr>
          <w:rStyle w:val="AERtextitalic"/>
        </w:rPr>
        <w:t>Response to AER Preliminary Determination Re: Rate of return and gamma</w:t>
      </w:r>
      <w:r>
        <w:t xml:space="preserve">, January 2016, pp. 85, 86; CitiPower, </w:t>
      </w:r>
      <w:r w:rsidRPr="00AF5B33">
        <w:rPr>
          <w:rStyle w:val="AERtextitalic"/>
        </w:rPr>
        <w:t>Revised Regulatory Proposal 2016-2020</w:t>
      </w:r>
      <w:r>
        <w:t xml:space="preserve">; January 2016, pp. 362, 364; Jemena Electricity Networks, </w:t>
      </w:r>
      <w:r w:rsidRPr="00AF5B33">
        <w:rPr>
          <w:rStyle w:val="AERtextitalic"/>
        </w:rPr>
        <w:t>Attachment 6-1 Rate of return, gamma, forecast inflation, and debt and equity raising costs</w:t>
      </w:r>
      <w:r>
        <w:t xml:space="preserve">, January 2016, pp. 91, 92; Powercor, </w:t>
      </w:r>
      <w:r w:rsidRPr="00AF5B33">
        <w:rPr>
          <w:rStyle w:val="AERtextitalic"/>
        </w:rPr>
        <w:t>Revised Regulatory Proposal 2016-2020</w:t>
      </w:r>
      <w:r>
        <w:t>, January 2016, pp. 356, 358.</w:t>
      </w:r>
    </w:p>
  </w:footnote>
  <w:footnote w:id="363">
    <w:p w:rsidR="00B31E52" w:rsidRDefault="00B31E52" w:rsidP="00651C88">
      <w:pPr>
        <w:pStyle w:val="FootnoteText"/>
      </w:pPr>
      <w:r>
        <w:rPr>
          <w:rStyle w:val="FootnoteReference"/>
        </w:rPr>
        <w:footnoteRef/>
      </w:r>
      <w:r>
        <w:t xml:space="preserve"> </w:t>
      </w:r>
      <w:r>
        <w:tab/>
        <w:t xml:space="preserve">Australian Gas Networks, </w:t>
      </w:r>
      <w:r>
        <w:rPr>
          <w:rStyle w:val="AERtextitalic"/>
        </w:rPr>
        <w:t>Attachment 11 Response to Draft Decision: Cost of Tax</w:t>
      </w:r>
      <w:r>
        <w:t xml:space="preserve">, January 2016, p. 4; ActewAGL, </w:t>
      </w:r>
      <w:r w:rsidRPr="00AF5B33">
        <w:rPr>
          <w:rStyle w:val="AERtextitalic"/>
        </w:rPr>
        <w:t>Appendix 5.01 Detailed response to rate of return, gamma and inflation</w:t>
      </w:r>
      <w:r>
        <w:t>, January 2016, p. 41.</w:t>
      </w:r>
    </w:p>
  </w:footnote>
  <w:footnote w:id="364">
    <w:p w:rsidR="00B31E52" w:rsidRDefault="00B31E52" w:rsidP="00651C88">
      <w:pPr>
        <w:pStyle w:val="FootnoteText"/>
      </w:pPr>
      <w:r>
        <w:rPr>
          <w:rStyle w:val="FootnoteReference"/>
        </w:rPr>
        <w:footnoteRef/>
      </w:r>
      <w:r>
        <w:t xml:space="preserve"> </w:t>
      </w:r>
      <w:r>
        <w:tab/>
        <w:t xml:space="preserve">Australian Gas Networks, </w:t>
      </w:r>
      <w:r>
        <w:rPr>
          <w:rStyle w:val="AERtextitalic"/>
        </w:rPr>
        <w:t>Attachment 11 Response to Draft Decision: Cost of Tax</w:t>
      </w:r>
      <w:r>
        <w:t xml:space="preserve">, January 2016, p. 4; ActewAGL, </w:t>
      </w:r>
      <w:r w:rsidRPr="00AF5B33">
        <w:rPr>
          <w:rStyle w:val="AERtextitalic"/>
        </w:rPr>
        <w:t>Appendix 5.01 Detailed response to rate of return, gamma and inflation</w:t>
      </w:r>
      <w:r>
        <w:t xml:space="preserve">, January 2016, pp. 41, 111, 128; AusNet Electricity Services, </w:t>
      </w:r>
      <w:r w:rsidRPr="00AF5B33">
        <w:rPr>
          <w:rStyle w:val="AERtextitalic"/>
        </w:rPr>
        <w:t>Revised Regulatory Proposal</w:t>
      </w:r>
      <w:r>
        <w:t xml:space="preserve">, January 2016, pp. 7-81, 7-95; United Energy, </w:t>
      </w:r>
      <w:r w:rsidRPr="00AF5B33">
        <w:rPr>
          <w:rStyle w:val="AERtextitalic"/>
        </w:rPr>
        <w:t>Response to AER Preliminary Determination Re: Rate of return and gamma</w:t>
      </w:r>
      <w:r>
        <w:t xml:space="preserve">, January 2016, pp. 82, 96; CitiPower, </w:t>
      </w:r>
      <w:r w:rsidRPr="00AF5B33">
        <w:rPr>
          <w:rStyle w:val="AERtextitalic"/>
        </w:rPr>
        <w:t>Revised Regulatory Proposal 2016-2020</w:t>
      </w:r>
      <w:r>
        <w:t xml:space="preserve">; January 2016, pp. 360, 374; Jemena Electricity Networks, </w:t>
      </w:r>
      <w:r w:rsidRPr="00AF5B33">
        <w:rPr>
          <w:rStyle w:val="AERtextitalic"/>
        </w:rPr>
        <w:t>Attachment 6-1 Rate of return, gamma, forecast inflation, and debt and equity raising costs</w:t>
      </w:r>
      <w:r>
        <w:t xml:space="preserve">, January 2016, pp. 88, 103; Powercor, </w:t>
      </w:r>
      <w:r w:rsidRPr="00AF5B33">
        <w:rPr>
          <w:rStyle w:val="AERtextitalic"/>
        </w:rPr>
        <w:t>Revised Regulatory Proposal 2016-2020</w:t>
      </w:r>
      <w:r>
        <w:t>, January 2016, pp. 354, 368.</w:t>
      </w:r>
    </w:p>
  </w:footnote>
  <w:footnote w:id="365">
    <w:p w:rsidR="00B31E52" w:rsidRDefault="00B31E52" w:rsidP="00651C88">
      <w:pPr>
        <w:pStyle w:val="FootnoteText"/>
      </w:pPr>
      <w:r>
        <w:rPr>
          <w:rStyle w:val="FootnoteReference"/>
        </w:rPr>
        <w:footnoteRef/>
      </w:r>
      <w:r>
        <w:t xml:space="preserve"> </w:t>
      </w:r>
      <w:r>
        <w:tab/>
        <w:t xml:space="preserve">Australian Gas Networks, </w:t>
      </w:r>
      <w:r>
        <w:rPr>
          <w:rStyle w:val="AERtextitalic"/>
        </w:rPr>
        <w:t>Attachment 11 Response to Draft Decision: Cost of Tax</w:t>
      </w:r>
      <w:r>
        <w:t xml:space="preserve">, January 2016, p. 4; ActewAGL, </w:t>
      </w:r>
      <w:r w:rsidRPr="00AF5B33">
        <w:rPr>
          <w:rStyle w:val="AERtextitalic"/>
        </w:rPr>
        <w:t>Appendix 5.01 Detailed response to rate of return, gamma and inflation</w:t>
      </w:r>
      <w:r>
        <w:t xml:space="preserve">, January 2016, pp. 41, 127; AusNet Electricity Services, </w:t>
      </w:r>
      <w:r w:rsidRPr="00AF5B33">
        <w:rPr>
          <w:rStyle w:val="AERtextitalic"/>
        </w:rPr>
        <w:t>Revised Regulatory Proposal</w:t>
      </w:r>
      <w:r>
        <w:t xml:space="preserve">, January 2016, p. 7-94; United Energy, </w:t>
      </w:r>
      <w:r w:rsidRPr="00AF5B33">
        <w:rPr>
          <w:rStyle w:val="AERtextitalic"/>
        </w:rPr>
        <w:t>Response to AER Preliminary Determination Re: Rate of return and gamma</w:t>
      </w:r>
      <w:r>
        <w:t xml:space="preserve">, January 2016, p. 95; CitiPower, </w:t>
      </w:r>
      <w:r w:rsidRPr="00AF5B33">
        <w:rPr>
          <w:rStyle w:val="AERtextitalic"/>
        </w:rPr>
        <w:t>Revised Regulatory Proposal 2016-2020</w:t>
      </w:r>
      <w:r>
        <w:t xml:space="preserve">; January 2016, p. 374; Jemena Electricity Networks, </w:t>
      </w:r>
      <w:r w:rsidRPr="00AF5B33">
        <w:rPr>
          <w:rStyle w:val="AERtextitalic"/>
        </w:rPr>
        <w:t>Attachment 6-1 Rate of return, gamma, forecast inflation, and debt and equity raising costs</w:t>
      </w:r>
      <w:r>
        <w:t xml:space="preserve">, January 2016, p. 103; Powercor, </w:t>
      </w:r>
      <w:r w:rsidRPr="00AF5B33">
        <w:rPr>
          <w:rStyle w:val="AERtextitalic"/>
        </w:rPr>
        <w:t>Revised Regulatory Proposal 2016-2020</w:t>
      </w:r>
      <w:r>
        <w:t>, January 2016, p. 368.</w:t>
      </w:r>
    </w:p>
  </w:footnote>
  <w:footnote w:id="366">
    <w:p w:rsidR="00B31E52" w:rsidRDefault="00B31E52">
      <w:pPr>
        <w:pStyle w:val="FootnoteText"/>
      </w:pPr>
      <w:r>
        <w:rPr>
          <w:rStyle w:val="FootnoteReference"/>
        </w:rPr>
        <w:footnoteRef/>
      </w:r>
      <w:r>
        <w:t xml:space="preserve"> </w:t>
      </w:r>
      <w:r>
        <w:tab/>
        <w:t xml:space="preserve">Frontier Economics, </w:t>
      </w:r>
      <w:r>
        <w:rPr>
          <w:rStyle w:val="AERtextitalic"/>
        </w:rPr>
        <w:t>Regulatory An updated dividend drop-off estimate of theta</w:t>
      </w:r>
      <w:r>
        <w:t xml:space="preserve">, September 2016; Frontier Economics, </w:t>
      </w:r>
      <w:r>
        <w:rPr>
          <w:rStyle w:val="AERtextitalic"/>
        </w:rPr>
        <w:t>Issues in the estimation of gamma</w:t>
      </w:r>
      <w:r>
        <w:t>, September 2016.</w:t>
      </w:r>
    </w:p>
  </w:footnote>
  <w:footnote w:id="367">
    <w:p w:rsidR="00B31E52" w:rsidRDefault="00B31E52">
      <w:pPr>
        <w:pStyle w:val="FootnoteText"/>
      </w:pPr>
      <w:r>
        <w:rPr>
          <w:rStyle w:val="FootnoteReference"/>
        </w:rPr>
        <w:footnoteRef/>
      </w:r>
      <w:r>
        <w:t xml:space="preserve"> </w:t>
      </w:r>
      <w:r>
        <w:tab/>
        <w:t xml:space="preserve">AusNet Transmission, </w:t>
      </w:r>
      <w:r>
        <w:rPr>
          <w:rStyle w:val="AERtextitalic"/>
        </w:rPr>
        <w:t>Transmission Revenue Proposal Review 2017-2022, Revised Revenue Proposal</w:t>
      </w:r>
      <w:r>
        <w:t xml:space="preserve">, 21 September 2016, pp. 209, 212; Frontier Economics, </w:t>
      </w:r>
      <w:r>
        <w:rPr>
          <w:rStyle w:val="AERtextitalic"/>
        </w:rPr>
        <w:t>Regulatory An updated dividend drop-off estimate of theta</w:t>
      </w:r>
      <w:r>
        <w:t>, September 2016.</w:t>
      </w:r>
    </w:p>
  </w:footnote>
  <w:footnote w:id="368">
    <w:p w:rsidR="00B31E52" w:rsidRPr="00E750F8" w:rsidRDefault="00B31E52" w:rsidP="00E5634C">
      <w:pPr>
        <w:pStyle w:val="FootnoteText"/>
        <w:rPr>
          <w:rStyle w:val="AERtextitalic"/>
        </w:rPr>
      </w:pPr>
      <w:r>
        <w:rPr>
          <w:rStyle w:val="FootnoteReference"/>
        </w:rPr>
        <w:footnoteRef/>
      </w:r>
      <w:r>
        <w:t xml:space="preserve"> </w:t>
      </w:r>
      <w:r>
        <w:tab/>
        <w:t xml:space="preserve">M. Lally, </w:t>
      </w:r>
      <w:r>
        <w:rPr>
          <w:rStyle w:val="AERtextitalic"/>
        </w:rPr>
        <w:t>Issues in the estimation of gamma,</w:t>
      </w:r>
      <w:r w:rsidRPr="004423C9">
        <w:rPr>
          <w:rStyle w:val="AERtextitalic"/>
          <w:i w:val="0"/>
        </w:rPr>
        <w:t xml:space="preserve"> April</w:t>
      </w:r>
      <w:r w:rsidRPr="00E5634C">
        <w:rPr>
          <w:rStyle w:val="AERtextitalic"/>
          <w:i w:val="0"/>
        </w:rPr>
        <w:t xml:space="preserve"> 2017</w:t>
      </w:r>
      <w:r w:rsidRPr="00541886">
        <w:rPr>
          <w:rStyle w:val="AERtextitalic"/>
          <w:i w:val="0"/>
        </w:rPr>
        <w:t>, p</w:t>
      </w:r>
      <w:r w:rsidRPr="00823068">
        <w:rPr>
          <w:rStyle w:val="AERtextitalic"/>
          <w:i w:val="0"/>
        </w:rPr>
        <w:t>p</w:t>
      </w:r>
      <w:r w:rsidRPr="00023359">
        <w:rPr>
          <w:rStyle w:val="AERtextitalic"/>
          <w:i w:val="0"/>
        </w:rPr>
        <w:t>.</w:t>
      </w:r>
      <w:r w:rsidRPr="00CB3A71">
        <w:rPr>
          <w:rStyle w:val="AERtextitalic"/>
          <w:i w:val="0"/>
        </w:rPr>
        <w:t> 6-9.</w:t>
      </w:r>
    </w:p>
  </w:footnote>
  <w:footnote w:id="369">
    <w:p w:rsidR="00B31E52" w:rsidRDefault="00B31E52">
      <w:pPr>
        <w:pStyle w:val="FootnoteText"/>
      </w:pPr>
      <w:r>
        <w:rPr>
          <w:rStyle w:val="FootnoteReference"/>
        </w:rPr>
        <w:footnoteRef/>
      </w:r>
      <w:r>
        <w:t xml:space="preserve"> </w:t>
      </w:r>
      <w:r>
        <w:tab/>
      </w:r>
      <w:r w:rsidRPr="00C4792B">
        <w:t xml:space="preserve">AusNet Transmission, </w:t>
      </w:r>
      <w:r w:rsidRPr="00C4792B">
        <w:rPr>
          <w:rStyle w:val="AERtextitalic"/>
        </w:rPr>
        <w:t>Transmission Revenue Proposal Review 2017-2022, Revised Revenue Proposal</w:t>
      </w:r>
      <w:r w:rsidRPr="00C4792B">
        <w:t>, 21 September 2016, p. </w:t>
      </w:r>
      <w:r>
        <w:t xml:space="preserve">210; Frontier Economics, </w:t>
      </w:r>
      <w:r>
        <w:rPr>
          <w:rStyle w:val="AERtextitalic"/>
        </w:rPr>
        <w:t>Issues in the estimation of gamma</w:t>
      </w:r>
      <w:r>
        <w:t>, September 2016, pp. 3-4, 12-15.</w:t>
      </w:r>
    </w:p>
  </w:footnote>
  <w:footnote w:id="370">
    <w:p w:rsidR="00B31E52" w:rsidRDefault="00B31E52">
      <w:pPr>
        <w:pStyle w:val="FootnoteText"/>
      </w:pPr>
      <w:r>
        <w:rPr>
          <w:rStyle w:val="FootnoteReference"/>
        </w:rPr>
        <w:footnoteRef/>
      </w:r>
      <w:r>
        <w:t xml:space="preserve"> </w:t>
      </w:r>
      <w:r>
        <w:tab/>
        <w:t xml:space="preserve">AusNet Transmission, </w:t>
      </w:r>
      <w:r>
        <w:rPr>
          <w:rStyle w:val="AERtextitalic"/>
        </w:rPr>
        <w:t>Transmission Revenue Proposal Review 2017-2022, Revised Revenue Proposal</w:t>
      </w:r>
      <w:r>
        <w:t xml:space="preserve">, 21 September 2016, p. 205; Frontier Economics, </w:t>
      </w:r>
      <w:r>
        <w:rPr>
          <w:rStyle w:val="AERtextitalic"/>
        </w:rPr>
        <w:t>Issues in the estimation of gamma</w:t>
      </w:r>
      <w:r>
        <w:t>, September 2016, pp. 6-11.</w:t>
      </w:r>
    </w:p>
  </w:footnote>
  <w:footnote w:id="371">
    <w:p w:rsidR="00B31E52" w:rsidRDefault="00B31E52">
      <w:pPr>
        <w:pStyle w:val="FootnoteText"/>
      </w:pPr>
      <w:r>
        <w:rPr>
          <w:rStyle w:val="FootnoteReference"/>
        </w:rPr>
        <w:footnoteRef/>
      </w:r>
      <w:r>
        <w:t xml:space="preserve"> </w:t>
      </w:r>
      <w:r>
        <w:tab/>
        <w:t xml:space="preserve">AusNet Transmission, </w:t>
      </w:r>
      <w:r>
        <w:rPr>
          <w:rStyle w:val="AERtextitalic"/>
        </w:rPr>
        <w:t>Transmission Revenue Proposal Review 2017-2022, Revised Revenue Proposal</w:t>
      </w:r>
      <w:r>
        <w:t xml:space="preserve">, 21 September 2016, p. 205; Frontier Economics, </w:t>
      </w:r>
      <w:r>
        <w:rPr>
          <w:rStyle w:val="AERtextitalic"/>
        </w:rPr>
        <w:t>Issues in the estimation of gamma</w:t>
      </w:r>
      <w:r>
        <w:t>, September 2016, pp. 6-11.</w:t>
      </w:r>
    </w:p>
  </w:footnote>
  <w:footnote w:id="372">
    <w:p w:rsidR="00B31E52" w:rsidRDefault="00B31E52" w:rsidP="0048052E">
      <w:pPr>
        <w:pStyle w:val="FootnoteText"/>
      </w:pPr>
      <w:r>
        <w:rPr>
          <w:rStyle w:val="FootnoteReference"/>
        </w:rPr>
        <w:footnoteRef/>
      </w:r>
      <w:r>
        <w:t xml:space="preserve"> </w:t>
      </w:r>
      <w:r>
        <w:tab/>
        <w:t xml:space="preserve">M. Lally, </w:t>
      </w:r>
      <w:r w:rsidRPr="00E750F8">
        <w:rPr>
          <w:rStyle w:val="AERtextitalic"/>
        </w:rPr>
        <w:t>Issues in the estimation of gamma</w:t>
      </w:r>
      <w:r>
        <w:t>, April 2017</w:t>
      </w:r>
      <w:r w:rsidRPr="000873B3">
        <w:rPr>
          <w:rStyle w:val="AERtextitalic"/>
          <w:i w:val="0"/>
        </w:rPr>
        <w:t>, p</w:t>
      </w:r>
      <w:r w:rsidRPr="009F08EB">
        <w:rPr>
          <w:rStyle w:val="AERtextitalic"/>
          <w:i w:val="0"/>
        </w:rPr>
        <w:t>p</w:t>
      </w:r>
      <w:r w:rsidRPr="007B2660">
        <w:rPr>
          <w:rStyle w:val="AERtextitalic"/>
          <w:i w:val="0"/>
        </w:rPr>
        <w:t>. </w:t>
      </w:r>
      <w:r w:rsidRPr="009608B3">
        <w:rPr>
          <w:rStyle w:val="AERtextitalic"/>
          <w:i w:val="0"/>
        </w:rPr>
        <w:t>9-12.</w:t>
      </w:r>
    </w:p>
  </w:footnote>
  <w:footnote w:id="373">
    <w:p w:rsidR="00B31E52" w:rsidRDefault="00B31E52" w:rsidP="0048052E">
      <w:pPr>
        <w:pStyle w:val="FootnoteText"/>
      </w:pPr>
      <w:r>
        <w:rPr>
          <w:rStyle w:val="FootnoteReference"/>
        </w:rPr>
        <w:footnoteRef/>
      </w:r>
      <w:r>
        <w:t xml:space="preserve"> </w:t>
      </w:r>
      <w:r>
        <w:tab/>
        <w:t xml:space="preserve">M. Lally, </w:t>
      </w:r>
      <w:r w:rsidRPr="00E750F8">
        <w:rPr>
          <w:rStyle w:val="AERtextitalic"/>
        </w:rPr>
        <w:t>Issues in the estimation of gamma</w:t>
      </w:r>
      <w:r>
        <w:t>, April 2017</w:t>
      </w:r>
      <w:r w:rsidRPr="000873B3">
        <w:rPr>
          <w:rStyle w:val="AERtextitalic"/>
          <w:i w:val="0"/>
        </w:rPr>
        <w:t>, pp. 9-12</w:t>
      </w:r>
      <w:r w:rsidRPr="0048052E">
        <w:rPr>
          <w:rStyle w:val="AERtextitalic"/>
        </w:rPr>
        <w:t>.</w:t>
      </w:r>
    </w:p>
  </w:footnote>
  <w:footnote w:id="374">
    <w:p w:rsidR="00B31E52" w:rsidRDefault="00B31E52">
      <w:pPr>
        <w:pStyle w:val="FootnoteText"/>
      </w:pPr>
      <w:r>
        <w:rPr>
          <w:rStyle w:val="FootnoteReference"/>
        </w:rPr>
        <w:footnoteRef/>
      </w:r>
      <w:r>
        <w:t xml:space="preserve"> </w:t>
      </w:r>
      <w:r>
        <w:tab/>
        <w:t xml:space="preserve">Frontier, </w:t>
      </w:r>
      <w:r w:rsidRPr="00993DE3">
        <w:rPr>
          <w:rStyle w:val="AERtextitalic"/>
        </w:rPr>
        <w:t>Perspectives for the estimation of gamma</w:t>
      </w:r>
      <w:r>
        <w:t>, December 2016, para 34</w:t>
      </w:r>
    </w:p>
  </w:footnote>
  <w:footnote w:id="375">
    <w:p w:rsidR="00B31E52" w:rsidRDefault="00B31E52">
      <w:pPr>
        <w:pStyle w:val="FootnoteText"/>
      </w:pPr>
      <w:r>
        <w:rPr>
          <w:rStyle w:val="FootnoteReference"/>
        </w:rPr>
        <w:footnoteRef/>
      </w:r>
      <w:r>
        <w:t xml:space="preserve"> </w:t>
      </w:r>
      <w:r>
        <w:tab/>
        <w:t xml:space="preserve">Frontier, </w:t>
      </w:r>
      <w:r w:rsidRPr="00993DE3">
        <w:rPr>
          <w:rStyle w:val="AERtextitalic"/>
        </w:rPr>
        <w:t>Perspectives for the estimation of gamma</w:t>
      </w:r>
      <w:r>
        <w:t>, December 2016, para 35</w:t>
      </w:r>
    </w:p>
  </w:footnote>
  <w:footnote w:id="376">
    <w:p w:rsidR="00B31E52" w:rsidRDefault="00B31E52" w:rsidP="004F2C4D">
      <w:pPr>
        <w:pStyle w:val="FootnoteText"/>
      </w:pPr>
      <w:r>
        <w:rPr>
          <w:rStyle w:val="FootnoteReference"/>
        </w:rPr>
        <w:footnoteRef/>
      </w:r>
      <w:r>
        <w:t xml:space="preserve"> </w:t>
      </w:r>
      <w:r>
        <w:tab/>
        <w:t xml:space="preserve">Frontier, </w:t>
      </w:r>
      <w:r w:rsidRPr="00993DE3">
        <w:rPr>
          <w:rStyle w:val="AERtextitalic"/>
        </w:rPr>
        <w:t>Perspectives for the estimation of gamma</w:t>
      </w:r>
      <w:r>
        <w:t>, December 2016, para 34</w:t>
      </w:r>
    </w:p>
  </w:footnote>
  <w:footnote w:id="377">
    <w:p w:rsidR="00B31E52" w:rsidRDefault="00B31E52">
      <w:pPr>
        <w:pStyle w:val="FootnoteText"/>
      </w:pPr>
      <w:r>
        <w:rPr>
          <w:rStyle w:val="FootnoteReference"/>
        </w:rPr>
        <w:footnoteRef/>
      </w:r>
      <w:r>
        <w:t xml:space="preserve"> </w:t>
      </w:r>
      <w:r>
        <w:tab/>
      </w:r>
      <w:r w:rsidRPr="00011421">
        <w:t xml:space="preserve">M. Lally, </w:t>
      </w:r>
      <w:r w:rsidRPr="001A43CB">
        <w:rPr>
          <w:rStyle w:val="AERtextitalic"/>
        </w:rPr>
        <w:t>Review of Frontier Report on Gamma</w:t>
      </w:r>
      <w:r>
        <w:t>, June</w:t>
      </w:r>
      <w:r w:rsidRPr="00011421">
        <w:t xml:space="preserve"> 2017</w:t>
      </w:r>
      <w:r>
        <w:t>, p. 6</w:t>
      </w:r>
      <w:r w:rsidRPr="00011421">
        <w:t>.</w:t>
      </w:r>
    </w:p>
  </w:footnote>
  <w:footnote w:id="378">
    <w:p w:rsidR="00B31E52" w:rsidRDefault="00B31E52">
      <w:pPr>
        <w:pStyle w:val="FootnoteText"/>
      </w:pPr>
      <w:r>
        <w:rPr>
          <w:rStyle w:val="FootnoteReference"/>
        </w:rPr>
        <w:footnoteRef/>
      </w:r>
      <w:r>
        <w:t xml:space="preserve"> </w:t>
      </w:r>
      <w:r>
        <w:tab/>
      </w:r>
      <w:r w:rsidRPr="00011421">
        <w:t xml:space="preserve">M. Lally, </w:t>
      </w:r>
      <w:r w:rsidRPr="001A43CB">
        <w:rPr>
          <w:rStyle w:val="AERtextitalic"/>
        </w:rPr>
        <w:t>Review of Frontier Report on Gamma</w:t>
      </w:r>
      <w:r>
        <w:t>, June</w:t>
      </w:r>
      <w:r w:rsidRPr="00011421">
        <w:t xml:space="preserve"> 2017</w:t>
      </w:r>
      <w:r>
        <w:t>, p. 5.</w:t>
      </w:r>
    </w:p>
  </w:footnote>
  <w:footnote w:id="379">
    <w:p w:rsidR="00B31E52" w:rsidRDefault="00B31E52">
      <w:pPr>
        <w:pStyle w:val="FootnoteText"/>
      </w:pPr>
      <w:r>
        <w:rPr>
          <w:rStyle w:val="FootnoteReference"/>
        </w:rPr>
        <w:footnoteRef/>
      </w:r>
      <w:r>
        <w:t xml:space="preserve"> </w:t>
      </w:r>
      <w:r>
        <w:tab/>
      </w:r>
      <w:r w:rsidRPr="00011421">
        <w:t xml:space="preserve">M. Lally, </w:t>
      </w:r>
      <w:r w:rsidRPr="001A43CB">
        <w:rPr>
          <w:rStyle w:val="AERtextitalic"/>
        </w:rPr>
        <w:t>Review of Frontier Report on Gamma</w:t>
      </w:r>
      <w:r>
        <w:t>, June</w:t>
      </w:r>
      <w:r w:rsidRPr="00011421">
        <w:t xml:space="preserve"> 2017</w:t>
      </w:r>
      <w:r>
        <w:t>, pp. 8-9.</w:t>
      </w:r>
    </w:p>
  </w:footnote>
  <w:footnote w:id="380">
    <w:p w:rsidR="00B31E52" w:rsidRDefault="00B31E52" w:rsidP="006A34E1">
      <w:pPr>
        <w:pStyle w:val="FootnoteText"/>
      </w:pPr>
      <w:r>
        <w:rPr>
          <w:rStyle w:val="FootnoteReference"/>
        </w:rPr>
        <w:footnoteRef/>
      </w:r>
      <w:r>
        <w:t xml:space="preserve"> </w:t>
      </w:r>
      <w:r>
        <w:tab/>
      </w:r>
      <w:r w:rsidRPr="00011421">
        <w:t xml:space="preserve">M. Lally, </w:t>
      </w:r>
      <w:r w:rsidRPr="001A43CB">
        <w:rPr>
          <w:rStyle w:val="AERtextitalic"/>
        </w:rPr>
        <w:t>Review of Frontier Report on Gamma</w:t>
      </w:r>
      <w:r>
        <w:t>, June</w:t>
      </w:r>
      <w:r w:rsidRPr="00011421">
        <w:t xml:space="preserve"> 2017</w:t>
      </w:r>
      <w:r>
        <w:t>, p. 9.</w:t>
      </w:r>
    </w:p>
  </w:footnote>
  <w:footnote w:id="381">
    <w:p w:rsidR="00B31E52" w:rsidRDefault="00B31E52" w:rsidP="00C52695">
      <w:pPr>
        <w:pStyle w:val="FootnoteText"/>
      </w:pPr>
      <w:r>
        <w:rPr>
          <w:rStyle w:val="FootnoteReference"/>
        </w:rPr>
        <w:footnoteRef/>
      </w:r>
      <w:r>
        <w:t xml:space="preserve"> </w:t>
      </w:r>
      <w:r>
        <w:tab/>
      </w:r>
      <w:r w:rsidRPr="00FF5DB5">
        <w:t>NER, cl</w:t>
      </w:r>
      <w:r>
        <w:t xml:space="preserve">l. 6.4.3, </w:t>
      </w:r>
      <w:r w:rsidRPr="00FF5DB5">
        <w:t>6A.5.4; NGR, r. 76.</w:t>
      </w:r>
    </w:p>
  </w:footnote>
  <w:footnote w:id="382">
    <w:p w:rsidR="00B31E52" w:rsidRDefault="00B31E52" w:rsidP="00C52695">
      <w:pPr>
        <w:pStyle w:val="FootnoteText"/>
      </w:pPr>
      <w:r>
        <w:rPr>
          <w:rStyle w:val="FootnoteReference"/>
        </w:rPr>
        <w:footnoteRef/>
      </w:r>
      <w:r>
        <w:t xml:space="preserve"> </w:t>
      </w:r>
      <w:r>
        <w:tab/>
      </w:r>
      <w:r w:rsidRPr="00582678">
        <w:t xml:space="preserve">J. Handley, </w:t>
      </w:r>
      <w:r w:rsidRPr="00582678">
        <w:rPr>
          <w:rStyle w:val="AERtextitalic"/>
        </w:rPr>
        <w:t>Report prepared for the Australian Energy Regulator: Advice on the value of imputation credits</w:t>
      </w:r>
      <w:r w:rsidRPr="00582678">
        <w:t>, 29 September 2014</w:t>
      </w:r>
      <w:r>
        <w:t>, pp. 4–5 and footnote 2.</w:t>
      </w:r>
    </w:p>
  </w:footnote>
  <w:footnote w:id="383">
    <w:p w:rsidR="00B31E52" w:rsidRDefault="00B31E52" w:rsidP="00C52695">
      <w:pPr>
        <w:pStyle w:val="FootnoteText"/>
      </w:pPr>
      <w:r>
        <w:rPr>
          <w:rStyle w:val="FootnoteReference"/>
        </w:rPr>
        <w:footnoteRef/>
      </w:r>
      <w:r>
        <w:t xml:space="preserve"> </w:t>
      </w:r>
      <w:r>
        <w:tab/>
        <w:t xml:space="preserve">We note that if there was a post-tax market for imputation credits they should trade for approximately their face value as this is the amount of post-tax cash flow from the government they entitle the claimant to receive from the government. </w:t>
      </w:r>
    </w:p>
  </w:footnote>
  <w:footnote w:id="384">
    <w:p w:rsidR="00B31E52" w:rsidRDefault="00B31E52" w:rsidP="00C52695">
      <w:pPr>
        <w:pStyle w:val="FootnoteText"/>
      </w:pPr>
      <w:r>
        <w:rPr>
          <w:rStyle w:val="FootnoteReference"/>
        </w:rPr>
        <w:footnoteRef/>
      </w:r>
      <w:r>
        <w:t xml:space="preserve"> </w:t>
      </w:r>
      <w:r>
        <w:tab/>
      </w:r>
      <w:r w:rsidRPr="00712BC2">
        <w:t xml:space="preserve">M. Lally, </w:t>
      </w:r>
      <w:r>
        <w:rPr>
          <w:rStyle w:val="AERtextitalic"/>
        </w:rPr>
        <w:t>Gamma and the ACT Decision</w:t>
      </w:r>
      <w:r>
        <w:t>, May 2016, pp. 11-12.</w:t>
      </w:r>
    </w:p>
  </w:footnote>
  <w:footnote w:id="385">
    <w:p w:rsidR="00B31E52" w:rsidRDefault="00B31E52" w:rsidP="00C52695">
      <w:pPr>
        <w:pStyle w:val="FootnoteText"/>
      </w:pPr>
      <w:r>
        <w:rPr>
          <w:rStyle w:val="FootnoteReference"/>
        </w:rPr>
        <w:footnoteRef/>
      </w:r>
      <w:r>
        <w:t xml:space="preserve"> </w:t>
      </w:r>
      <w:r>
        <w:tab/>
      </w:r>
      <w:r w:rsidRPr="00800E44">
        <w:t xml:space="preserve">R. Officer, 'The cost of capital of a company under an imputation system', </w:t>
      </w:r>
      <w:r>
        <w:rPr>
          <w:rStyle w:val="AERtextitalic"/>
        </w:rPr>
        <w:t>Accounting and f</w:t>
      </w:r>
      <w:r w:rsidRPr="00800E44">
        <w:rPr>
          <w:rStyle w:val="AERtextitalic"/>
        </w:rPr>
        <w:t>inance</w:t>
      </w:r>
      <w:r w:rsidRPr="00800E44">
        <w:t>, vol. 34(1), May 1994,</w:t>
      </w:r>
      <w:r>
        <w:t xml:space="preserve"> p</w:t>
      </w:r>
      <w:r w:rsidRPr="00800E44">
        <w:t>.</w:t>
      </w:r>
      <w:r>
        <w:t> 7.</w:t>
      </w:r>
    </w:p>
  </w:footnote>
  <w:footnote w:id="386">
    <w:p w:rsidR="00B31E52" w:rsidRDefault="00B31E52" w:rsidP="00C52695">
      <w:pPr>
        <w:pStyle w:val="FootnoteText"/>
      </w:pPr>
      <w:r>
        <w:rPr>
          <w:rStyle w:val="FootnoteReference"/>
        </w:rPr>
        <w:footnoteRef/>
      </w:r>
      <w:r>
        <w:t xml:space="preserve"> </w:t>
      </w:r>
      <w:r>
        <w:tab/>
      </w:r>
      <w:r w:rsidRPr="00800E44">
        <w:t xml:space="preserve">R. Officer, 'The cost of capital of a company under an imputation system', </w:t>
      </w:r>
      <w:r>
        <w:rPr>
          <w:rStyle w:val="AERtextitalic"/>
        </w:rPr>
        <w:t>Accounting and f</w:t>
      </w:r>
      <w:r w:rsidRPr="00800E44">
        <w:rPr>
          <w:rStyle w:val="AERtextitalic"/>
        </w:rPr>
        <w:t>inance</w:t>
      </w:r>
      <w:r w:rsidRPr="00800E44">
        <w:t>, vol. 34(1), May 1994,</w:t>
      </w:r>
      <w:r>
        <w:t xml:space="preserve"> p</w:t>
      </w:r>
      <w:r w:rsidRPr="00800E44">
        <w:t>.</w:t>
      </w:r>
      <w:r>
        <w:t> 6.</w:t>
      </w:r>
    </w:p>
  </w:footnote>
  <w:footnote w:id="387">
    <w:p w:rsidR="00B31E52" w:rsidRDefault="00B31E52" w:rsidP="00C52695">
      <w:pPr>
        <w:pStyle w:val="FootnoteText"/>
      </w:pPr>
      <w:r>
        <w:rPr>
          <w:rStyle w:val="FootnoteReference"/>
        </w:rPr>
        <w:footnoteRef/>
      </w:r>
      <w:r>
        <w:t xml:space="preserve"> </w:t>
      </w:r>
      <w:r>
        <w:tab/>
      </w:r>
      <w:r w:rsidRPr="00582678">
        <w:t xml:space="preserve">J. Handley, </w:t>
      </w:r>
      <w:r w:rsidRPr="00582678">
        <w:rPr>
          <w:rStyle w:val="AERtextitalic"/>
        </w:rPr>
        <w:t>Report prepared for the Australian Energy Regulator: Advice on the value of imputation credits</w:t>
      </w:r>
      <w:r w:rsidRPr="00582678">
        <w:t>, 29 September 2014</w:t>
      </w:r>
      <w:r>
        <w:t xml:space="preserve">, pp. 4–5 and footnote 2; </w:t>
      </w:r>
      <w:r w:rsidRPr="00DA582A">
        <w:t xml:space="preserve"> </w:t>
      </w:r>
      <w:r w:rsidRPr="00712BC2">
        <w:t xml:space="preserve">M. Lally, </w:t>
      </w:r>
      <w:r>
        <w:rPr>
          <w:rStyle w:val="AERtextitalic"/>
        </w:rPr>
        <w:t>Gamma and the ACT Decision</w:t>
      </w:r>
      <w:r>
        <w:t>, May 2016, pp. 7, 11, 12.</w:t>
      </w:r>
    </w:p>
  </w:footnote>
  <w:footnote w:id="388">
    <w:p w:rsidR="00B31E52" w:rsidRDefault="00B31E52">
      <w:pPr>
        <w:pStyle w:val="FootnoteText"/>
      </w:pPr>
      <w:r>
        <w:rPr>
          <w:rStyle w:val="FootnoteReference"/>
        </w:rPr>
        <w:footnoteRef/>
      </w:r>
      <w:r>
        <w:t xml:space="preserve"> </w:t>
      </w:r>
      <w:r>
        <w:tab/>
        <w:t xml:space="preserve">Federal Court of Australia, </w:t>
      </w:r>
      <w:r w:rsidRPr="00B23401">
        <w:rPr>
          <w:rStyle w:val="AERtextitalic"/>
        </w:rPr>
        <w:t>Australian Energy Regulator v Australian Competition Tribunal (No 2) [2017] FCAFC 79</w:t>
      </w:r>
      <w:r>
        <w:t>, May 2017, p. 215 - 216.</w:t>
      </w:r>
    </w:p>
  </w:footnote>
  <w:footnote w:id="389">
    <w:p w:rsidR="00B31E52" w:rsidRDefault="00B31E52" w:rsidP="00C52695">
      <w:pPr>
        <w:pStyle w:val="FootnoteText"/>
      </w:pPr>
      <w:r>
        <w:rPr>
          <w:rStyle w:val="FootnoteReference"/>
        </w:rPr>
        <w:footnoteRef/>
      </w:r>
      <w:r>
        <w:t xml:space="preserve"> </w:t>
      </w:r>
      <w:r>
        <w:tab/>
        <w:t>NER, cll. 6.5.2, 6A.6.2;</w:t>
      </w:r>
      <w:r w:rsidRPr="0042735A">
        <w:t xml:space="preserve"> </w:t>
      </w:r>
      <w:r>
        <w:t>NGR, r. 87.</w:t>
      </w:r>
    </w:p>
  </w:footnote>
  <w:footnote w:id="390">
    <w:p w:rsidR="00B31E52" w:rsidRDefault="00B31E52" w:rsidP="00C52695">
      <w:pPr>
        <w:pStyle w:val="FootnoteText"/>
      </w:pPr>
      <w:r>
        <w:rPr>
          <w:rStyle w:val="FootnoteReference"/>
        </w:rPr>
        <w:footnoteRef/>
      </w:r>
      <w:r>
        <w:t xml:space="preserve"> </w:t>
      </w:r>
      <w:r>
        <w:tab/>
        <w:t>Although we consider that it is implied that the 'value of imputation credits' refers to the value of imputation credits to investors in the benchmark efficient entity, we note that the NER/NGR are not explicit on this point.</w:t>
      </w:r>
    </w:p>
  </w:footnote>
  <w:footnote w:id="391">
    <w:p w:rsidR="00B31E52" w:rsidRDefault="00B31E52" w:rsidP="00C52695">
      <w:pPr>
        <w:pStyle w:val="FootnoteText"/>
      </w:pPr>
      <w:r>
        <w:rPr>
          <w:rStyle w:val="FootnoteReference"/>
        </w:rPr>
        <w:footnoteRef/>
      </w:r>
      <w:r>
        <w:t xml:space="preserve"> </w:t>
      </w:r>
      <w:r>
        <w:tab/>
      </w:r>
      <w:r w:rsidRPr="00800E44">
        <w:t xml:space="preserve">R. Officer, 'The cost of capital of a company under an imputation system', </w:t>
      </w:r>
      <w:r>
        <w:rPr>
          <w:rStyle w:val="AERtextitalic"/>
        </w:rPr>
        <w:t>Accounting and f</w:t>
      </w:r>
      <w:r w:rsidRPr="00800E44">
        <w:rPr>
          <w:rStyle w:val="AERtextitalic"/>
        </w:rPr>
        <w:t>inance</w:t>
      </w:r>
      <w:r w:rsidRPr="00800E44">
        <w:t>, vol. 34(1), May 1994,</w:t>
      </w:r>
      <w:r>
        <w:t xml:space="preserve"> </w:t>
      </w:r>
      <w:r w:rsidRPr="00800E44">
        <w:t>pp. 1–17.</w:t>
      </w:r>
    </w:p>
  </w:footnote>
  <w:footnote w:id="392">
    <w:p w:rsidR="00B31E52" w:rsidRDefault="00B31E52" w:rsidP="00C52695">
      <w:pPr>
        <w:pStyle w:val="FootnoteText"/>
      </w:pPr>
      <w:r>
        <w:rPr>
          <w:rStyle w:val="FootnoteReference"/>
        </w:rPr>
        <w:footnoteRef/>
      </w:r>
      <w:r>
        <w:t xml:space="preserve"> </w:t>
      </w:r>
      <w:r>
        <w:tab/>
      </w:r>
      <w:r w:rsidRPr="00800E44">
        <w:t xml:space="preserve">R. Officer, 'The cost of capital of a company under an imputation system', </w:t>
      </w:r>
      <w:r>
        <w:rPr>
          <w:rStyle w:val="AERtextitalic"/>
        </w:rPr>
        <w:t>Accounting and f</w:t>
      </w:r>
      <w:r w:rsidRPr="00800E44">
        <w:rPr>
          <w:rStyle w:val="AERtextitalic"/>
        </w:rPr>
        <w:t>inance</w:t>
      </w:r>
      <w:r w:rsidRPr="00800E44">
        <w:t>, vol. 34(1), May 1994,</w:t>
      </w:r>
      <w:r>
        <w:t xml:space="preserve"> equation 2</w:t>
      </w:r>
      <w:r w:rsidRPr="00800E44">
        <w:t>.</w:t>
      </w:r>
    </w:p>
  </w:footnote>
  <w:footnote w:id="393">
    <w:p w:rsidR="00B31E52" w:rsidRDefault="00B31E52" w:rsidP="00C52695">
      <w:pPr>
        <w:pStyle w:val="FootnoteText"/>
      </w:pPr>
      <w:r>
        <w:rPr>
          <w:rStyle w:val="FootnoteReference"/>
        </w:rPr>
        <w:footnoteRef/>
      </w:r>
      <w:r>
        <w:t xml:space="preserve"> </w:t>
      </w:r>
      <w:r>
        <w:tab/>
      </w:r>
      <w:r w:rsidRPr="00582678">
        <w:t xml:space="preserve">J. Handley, </w:t>
      </w:r>
      <w:r w:rsidRPr="00582678">
        <w:rPr>
          <w:rStyle w:val="AERtextitalic"/>
        </w:rPr>
        <w:t>Report prepared for the Australian Energy Regulator: Advice on the value of imputation credits</w:t>
      </w:r>
      <w:r w:rsidRPr="00582678">
        <w:t>, 29 September 2014</w:t>
      </w:r>
      <w:r>
        <w:t>, pp. 7–8.</w:t>
      </w:r>
    </w:p>
  </w:footnote>
  <w:footnote w:id="394">
    <w:p w:rsidR="00B31E52" w:rsidRDefault="00B31E52" w:rsidP="00C52695">
      <w:pPr>
        <w:pStyle w:val="FootnoteText"/>
      </w:pPr>
      <w:r>
        <w:rPr>
          <w:rStyle w:val="FootnoteReference"/>
        </w:rPr>
        <w:footnoteRef/>
      </w:r>
      <w:r>
        <w:t xml:space="preserve"> </w:t>
      </w:r>
      <w:r>
        <w:tab/>
        <w:t>NER, cll. 6.5.2, 6A.6.2;</w:t>
      </w:r>
      <w:r w:rsidRPr="0042735A">
        <w:t xml:space="preserve"> </w:t>
      </w:r>
      <w:r>
        <w:t>NGR, r. 87.</w:t>
      </w:r>
    </w:p>
  </w:footnote>
  <w:footnote w:id="395">
    <w:p w:rsidR="00B31E52" w:rsidRDefault="00B31E52" w:rsidP="00C52695">
      <w:pPr>
        <w:pStyle w:val="FootnoteText"/>
      </w:pPr>
      <w:r>
        <w:rPr>
          <w:rStyle w:val="FootnoteReference"/>
        </w:rPr>
        <w:footnoteRef/>
      </w:r>
      <w:r>
        <w:t xml:space="preserve"> </w:t>
      </w:r>
      <w:r>
        <w:tab/>
      </w:r>
      <w:r w:rsidRPr="00ED480E">
        <w:t xml:space="preserve">Handley, </w:t>
      </w:r>
      <w:r w:rsidRPr="005764F6">
        <w:rPr>
          <w:rStyle w:val="AERtextitalic"/>
        </w:rPr>
        <w:t>Report prepared for the Australian Energy Regulator: Advice on the value of imputation credits</w:t>
      </w:r>
      <w:r w:rsidRPr="00ED480E">
        <w:t>, 29</w:t>
      </w:r>
      <w:r>
        <w:t xml:space="preserve"> </w:t>
      </w:r>
      <w:r w:rsidRPr="00ED480E">
        <w:t>September 2014, pp</w:t>
      </w:r>
      <w:r>
        <w:t>. </w:t>
      </w:r>
      <w:r w:rsidRPr="00ED480E">
        <w:t>9, 17.</w:t>
      </w:r>
    </w:p>
  </w:footnote>
  <w:footnote w:id="396">
    <w:p w:rsidR="00B31E52" w:rsidRDefault="00B31E52" w:rsidP="00C52695">
      <w:pPr>
        <w:pStyle w:val="FootnoteText"/>
      </w:pPr>
      <w:r>
        <w:rPr>
          <w:rStyle w:val="FootnoteReference"/>
        </w:rPr>
        <w:footnoteRef/>
      </w:r>
      <w:r>
        <w:t xml:space="preserve"> </w:t>
      </w:r>
      <w:r>
        <w:tab/>
      </w:r>
      <w:r w:rsidRPr="00800E44">
        <w:t xml:space="preserve">R. Officer, 'The cost of capital of a company under an imputation system', </w:t>
      </w:r>
      <w:r>
        <w:rPr>
          <w:rStyle w:val="AERtextitalic"/>
        </w:rPr>
        <w:t>Accounting and f</w:t>
      </w:r>
      <w:r w:rsidRPr="00800E44">
        <w:rPr>
          <w:rStyle w:val="AERtextitalic"/>
        </w:rPr>
        <w:t>inance</w:t>
      </w:r>
      <w:r w:rsidRPr="00800E44">
        <w:t>, vol. 34(1), May 1994,</w:t>
      </w:r>
      <w:r>
        <w:t xml:space="preserve"> </w:t>
      </w:r>
      <w:r w:rsidRPr="00ED480E">
        <w:t>p</w:t>
      </w:r>
      <w:r>
        <w:t>. </w:t>
      </w:r>
      <w:r w:rsidRPr="00ED480E">
        <w:t xml:space="preserve"> 4.</w:t>
      </w:r>
    </w:p>
  </w:footnote>
  <w:footnote w:id="397">
    <w:p w:rsidR="00B31E52" w:rsidRDefault="00B31E52" w:rsidP="00C52695">
      <w:pPr>
        <w:pStyle w:val="FootnoteText"/>
      </w:pPr>
      <w:r>
        <w:rPr>
          <w:rStyle w:val="FootnoteReference"/>
        </w:rPr>
        <w:footnoteRef/>
      </w:r>
      <w:r>
        <w:t xml:space="preserve"> </w:t>
      </w:r>
      <w:r>
        <w:tab/>
      </w:r>
      <w:r w:rsidRPr="00800E44">
        <w:t xml:space="preserve">R. Officer, 'The cost of capital of a company under an imputation system', </w:t>
      </w:r>
      <w:r>
        <w:rPr>
          <w:rStyle w:val="AERtextitalic"/>
        </w:rPr>
        <w:t>Accounting and f</w:t>
      </w:r>
      <w:r w:rsidRPr="00800E44">
        <w:rPr>
          <w:rStyle w:val="AERtextitalic"/>
        </w:rPr>
        <w:t>inance</w:t>
      </w:r>
      <w:r w:rsidRPr="00800E44">
        <w:t>, vol. 34(1), May 1994,</w:t>
      </w:r>
      <w:r>
        <w:t xml:space="preserve"> </w:t>
      </w:r>
      <w:r w:rsidRPr="00ED480E">
        <w:t>p</w:t>
      </w:r>
      <w:r>
        <w:t>. </w:t>
      </w:r>
      <w:r w:rsidRPr="00ED480E">
        <w:t xml:space="preserve"> 4.</w:t>
      </w:r>
    </w:p>
  </w:footnote>
  <w:footnote w:id="398">
    <w:p w:rsidR="00B31E52" w:rsidRDefault="00B31E52" w:rsidP="00C52695">
      <w:pPr>
        <w:pStyle w:val="FootnoteText"/>
      </w:pPr>
      <w:r>
        <w:rPr>
          <w:rStyle w:val="FootnoteReference"/>
        </w:rPr>
        <w:footnoteRef/>
      </w:r>
      <w:r>
        <w:t xml:space="preserve"> </w:t>
      </w:r>
      <w:r>
        <w:tab/>
      </w:r>
      <w:r w:rsidRPr="00582678">
        <w:t xml:space="preserve">J. Handley, </w:t>
      </w:r>
      <w:r w:rsidRPr="00582678">
        <w:rPr>
          <w:rStyle w:val="AERtextitalic"/>
        </w:rPr>
        <w:t>Report prepared for the Australian Energy Regulator: Advice on the value of imputation credits</w:t>
      </w:r>
      <w:r w:rsidRPr="00582678">
        <w:t>, 29 September 2014</w:t>
      </w:r>
      <w:r>
        <w:t>, p. 9.</w:t>
      </w:r>
    </w:p>
  </w:footnote>
  <w:footnote w:id="399">
    <w:p w:rsidR="00B31E52" w:rsidRDefault="00B31E52" w:rsidP="00C52695">
      <w:pPr>
        <w:pStyle w:val="FootnoteText"/>
      </w:pPr>
      <w:r>
        <w:rPr>
          <w:rStyle w:val="FootnoteReference"/>
        </w:rPr>
        <w:footnoteRef/>
      </w:r>
      <w:r>
        <w:t xml:space="preserve"> </w:t>
      </w:r>
      <w:r>
        <w:tab/>
      </w:r>
      <w:r w:rsidRPr="006D49F4">
        <w:t xml:space="preserve">Australian Competition Tribunal, </w:t>
      </w:r>
      <w:r w:rsidRPr="006D49F4">
        <w:rPr>
          <w:rStyle w:val="AERtextitalic"/>
        </w:rPr>
        <w:t>Application by Public Interest Advocacy Centre Ltd and Ausgrid [2016] ACompT 1</w:t>
      </w:r>
      <w:r w:rsidRPr="006D49F4">
        <w:t>, 26 February 2016, para. 1100</w:t>
      </w:r>
      <w:r w:rsidRPr="005764F6">
        <w:t xml:space="preserve">; United Energy, </w:t>
      </w:r>
      <w:r w:rsidRPr="006D49F4">
        <w:rPr>
          <w:rStyle w:val="AERtextitalic"/>
        </w:rPr>
        <w:t>Submission on AER preliminary determination - Submission on gamma</w:t>
      </w:r>
      <w:r w:rsidRPr="005764F6">
        <w:t xml:space="preserve">, 26 April 2016; CitiPower/Powercor, </w:t>
      </w:r>
      <w:r w:rsidRPr="006D49F4">
        <w:rPr>
          <w:rStyle w:val="AERtextitalic"/>
        </w:rPr>
        <w:t>Submission on implications of recent Australian Competition Tribunal Decision</w:t>
      </w:r>
      <w:r w:rsidRPr="005764F6">
        <w:t xml:space="preserve">, 18 April 2016; ActewAGL, </w:t>
      </w:r>
      <w:r w:rsidRPr="006D49F4">
        <w:rPr>
          <w:rStyle w:val="AERtextitalic"/>
        </w:rPr>
        <w:t>Implication of recent Tribunal decisions for final decision and updates to the allowed rate of return and forecast inflation estimate</w:t>
      </w:r>
      <w:r w:rsidRPr="005764F6">
        <w:t>, 12 May 2016.</w:t>
      </w:r>
    </w:p>
  </w:footnote>
  <w:footnote w:id="400">
    <w:p w:rsidR="00B31E52" w:rsidRDefault="00B31E52" w:rsidP="00C52695">
      <w:pPr>
        <w:pStyle w:val="FootnoteText"/>
      </w:pPr>
      <w:r>
        <w:rPr>
          <w:rStyle w:val="FootnoteReference"/>
        </w:rPr>
        <w:footnoteRef/>
      </w:r>
      <w:r>
        <w:t xml:space="preserve"> </w:t>
      </w:r>
      <w:r>
        <w:tab/>
      </w:r>
      <w:r w:rsidRPr="006D49F4">
        <w:t xml:space="preserve">Australian Competition Tribunal, </w:t>
      </w:r>
      <w:r w:rsidRPr="006D49F4">
        <w:rPr>
          <w:rStyle w:val="AERtextitalic"/>
        </w:rPr>
        <w:t>Application by Public Interest Advocacy Centre Ltd and Ausgrid [2016] ACompT 1</w:t>
      </w:r>
      <w:r w:rsidRPr="006D49F4">
        <w:t>, January 2016, para. 1100.</w:t>
      </w:r>
    </w:p>
  </w:footnote>
  <w:footnote w:id="401">
    <w:p w:rsidR="00B31E52" w:rsidRPr="00CD707C" w:rsidRDefault="00B31E52" w:rsidP="00C52695">
      <w:pPr>
        <w:pStyle w:val="FootnoteText"/>
      </w:pPr>
      <w:r>
        <w:rPr>
          <w:rStyle w:val="FootnoteReference"/>
        </w:rPr>
        <w:footnoteRef/>
      </w:r>
      <w:r>
        <w:t xml:space="preserve"> </w:t>
      </w:r>
      <w:r>
        <w:tab/>
      </w:r>
      <w:r w:rsidRPr="005764F6">
        <w:t xml:space="preserve">United Energy, </w:t>
      </w:r>
      <w:r w:rsidRPr="006D49F4">
        <w:rPr>
          <w:rStyle w:val="AERtextitalic"/>
        </w:rPr>
        <w:t>Submission on AER preliminary determination - Submission on gamma</w:t>
      </w:r>
      <w:r w:rsidRPr="005764F6">
        <w:t xml:space="preserve">, 26 April 2016; CitiPower/Powercor, </w:t>
      </w:r>
      <w:r w:rsidRPr="006D49F4">
        <w:rPr>
          <w:rStyle w:val="AERtextitalic"/>
        </w:rPr>
        <w:t>Submission on implications of recent Australian Competition Tribunal Decision</w:t>
      </w:r>
      <w:r w:rsidRPr="005764F6">
        <w:t xml:space="preserve">, 18 April 2016; ActewAGL, </w:t>
      </w:r>
      <w:r w:rsidRPr="006D49F4">
        <w:rPr>
          <w:rStyle w:val="AERtextitalic"/>
        </w:rPr>
        <w:t>Implication of recent Tribunal decisions for final decision and updates to the allowed rate of return and forecast inflation estimate</w:t>
      </w:r>
      <w:r w:rsidRPr="005764F6">
        <w:t xml:space="preserve">, 12 May 2016; </w:t>
      </w:r>
      <w:r w:rsidRPr="006D49F4">
        <w:t xml:space="preserve">Australian Competition Tribunal, </w:t>
      </w:r>
      <w:r w:rsidRPr="006D49F4">
        <w:rPr>
          <w:rStyle w:val="AERtextitalic"/>
        </w:rPr>
        <w:t>Application by Public Interest Advocacy Centre Ltd and Ausgrid [2016] ACompT 1</w:t>
      </w:r>
      <w:r w:rsidRPr="006D49F4">
        <w:t>, 26 February 2016, para. 1100.</w:t>
      </w:r>
    </w:p>
  </w:footnote>
  <w:footnote w:id="402">
    <w:p w:rsidR="00B31E52" w:rsidRDefault="00B31E52" w:rsidP="00C52695">
      <w:pPr>
        <w:pStyle w:val="FootnoteText"/>
      </w:pPr>
      <w:r>
        <w:rPr>
          <w:rStyle w:val="FootnoteReference"/>
        </w:rPr>
        <w:footnoteRef/>
      </w:r>
      <w:r>
        <w:t xml:space="preserve"> </w:t>
      </w:r>
      <w:r>
        <w:tab/>
        <w:t xml:space="preserve">It is approximately equal due to the time value of money that impacts the present valuation of distributed imputation credits. However, we consider any discounting for this would be immaterial for the reasons discussed in section </w:t>
      </w:r>
      <w:r>
        <w:fldChar w:fldCharType="begin"/>
      </w:r>
      <w:r>
        <w:instrText xml:space="preserve"> REF _Ref414099389 \r \h </w:instrText>
      </w:r>
      <w:r>
        <w:fldChar w:fldCharType="separate"/>
      </w:r>
      <w:r w:rsidR="007E3457">
        <w:t>A.8.3</w:t>
      </w:r>
      <w:r>
        <w:fldChar w:fldCharType="end"/>
      </w:r>
    </w:p>
  </w:footnote>
  <w:footnote w:id="403">
    <w:p w:rsidR="00B31E52" w:rsidRDefault="00B31E52" w:rsidP="00C52695">
      <w:pPr>
        <w:pStyle w:val="FootnoteText"/>
      </w:pPr>
      <w:r>
        <w:rPr>
          <w:rStyle w:val="FootnoteReference"/>
        </w:rPr>
        <w:footnoteRef/>
      </w:r>
      <w:r>
        <w:t xml:space="preserve"> </w:t>
      </w:r>
      <w:r>
        <w:tab/>
        <w:t>This is evident in companies having positive franking account balances in aggregate.</w:t>
      </w:r>
    </w:p>
  </w:footnote>
  <w:footnote w:id="404">
    <w:p w:rsidR="00B31E52" w:rsidRDefault="00B31E52" w:rsidP="00C52695">
      <w:pPr>
        <w:pStyle w:val="FootnoteText"/>
      </w:pPr>
      <w:r>
        <w:rPr>
          <w:rStyle w:val="FootnoteReference"/>
        </w:rPr>
        <w:footnoteRef/>
      </w:r>
      <w:r>
        <w:t xml:space="preserve"> </w:t>
      </w:r>
      <w:r>
        <w:tab/>
        <w:t xml:space="preserve">Handley considered that, although Monkhouse does not use the term gamma, the interpretation is clear: </w:t>
      </w:r>
      <w:r w:rsidRPr="00582678">
        <w:t xml:space="preserve">J. Handley, </w:t>
      </w:r>
      <w:r w:rsidRPr="00582678">
        <w:rPr>
          <w:rStyle w:val="AERtextitalic"/>
        </w:rPr>
        <w:t>Report prepared for the Australian Energy Regulator: Advice on the value of imputation credits</w:t>
      </w:r>
      <w:r w:rsidRPr="00582678">
        <w:t>, 29 September 2014</w:t>
      </w:r>
      <w:r>
        <w:t>, p. 11 and footnote 12.</w:t>
      </w:r>
    </w:p>
  </w:footnote>
  <w:footnote w:id="405">
    <w:p w:rsidR="00B31E52" w:rsidRDefault="00B31E52" w:rsidP="00C52695">
      <w:pPr>
        <w:pStyle w:val="FootnoteText"/>
      </w:pPr>
      <w:r>
        <w:rPr>
          <w:rStyle w:val="FootnoteReference"/>
        </w:rPr>
        <w:footnoteRef/>
      </w:r>
      <w:r>
        <w:t xml:space="preserve"> </w:t>
      </w:r>
      <w:r>
        <w:tab/>
      </w:r>
      <w:r w:rsidRPr="00582678">
        <w:t xml:space="preserve">J. Handley, </w:t>
      </w:r>
      <w:r w:rsidRPr="00582678">
        <w:rPr>
          <w:rStyle w:val="AERtextitalic"/>
        </w:rPr>
        <w:t>Report prepared for the Australian Energy Regulator: Advice on the value of imputation credits</w:t>
      </w:r>
      <w:r w:rsidRPr="00582678">
        <w:t>, 29 September 2014</w:t>
      </w:r>
      <w:r>
        <w:t>, pp. 18</w:t>
      </w:r>
      <w:r>
        <w:rPr>
          <w:rFonts w:cs="Arial"/>
        </w:rPr>
        <w:t>–</w:t>
      </w:r>
      <w:r>
        <w:t>20.</w:t>
      </w:r>
    </w:p>
  </w:footnote>
  <w:footnote w:id="406">
    <w:p w:rsidR="00B31E52" w:rsidRDefault="00B31E52" w:rsidP="00C52695">
      <w:pPr>
        <w:pStyle w:val="FootnoteText"/>
      </w:pPr>
      <w:r>
        <w:rPr>
          <w:rStyle w:val="FootnoteReference"/>
        </w:rPr>
        <w:footnoteRef/>
      </w:r>
      <w:r>
        <w:t xml:space="preserve"> </w:t>
      </w:r>
      <w:r>
        <w:tab/>
      </w:r>
      <w:r w:rsidRPr="00712BC2">
        <w:t xml:space="preserve">M. Lally, </w:t>
      </w:r>
      <w:r w:rsidRPr="00712BC2">
        <w:rPr>
          <w:rStyle w:val="AERtextitalic"/>
        </w:rPr>
        <w:t>The estimation of gamma</w:t>
      </w:r>
      <w:r w:rsidRPr="00712BC2">
        <w:t>, 23 November 2013</w:t>
      </w:r>
      <w:r>
        <w:t xml:space="preserve">, p. 11. </w:t>
      </w:r>
    </w:p>
  </w:footnote>
  <w:footnote w:id="407">
    <w:p w:rsidR="00B31E52" w:rsidRDefault="00B31E52" w:rsidP="00C52695">
      <w:pPr>
        <w:pStyle w:val="FootnoteText"/>
      </w:pPr>
      <w:r>
        <w:rPr>
          <w:rStyle w:val="FootnoteReference"/>
        </w:rPr>
        <w:footnoteRef/>
      </w:r>
      <w:r>
        <w:t xml:space="preserve"> </w:t>
      </w:r>
      <w:r>
        <w:tab/>
        <w:t xml:space="preserve">Recall from section </w:t>
      </w:r>
      <w:r>
        <w:fldChar w:fldCharType="begin"/>
      </w:r>
      <w:r>
        <w:instrText xml:space="preserve"> REF _Ref404065332 \r \h </w:instrText>
      </w:r>
      <w:r>
        <w:fldChar w:fldCharType="separate"/>
      </w:r>
      <w:r w:rsidR="007E3457">
        <w:t>4.3.3</w:t>
      </w:r>
      <w:r>
        <w:fldChar w:fldCharType="end"/>
      </w:r>
      <w:r>
        <w:t xml:space="preserve"> that we define the relevant market as</w:t>
      </w:r>
      <w:r w:rsidRPr="00F02A9C">
        <w:t xml:space="preserve"> an Australian domestic market that recognises the presence of foreign investors to the extent that they invest in the Australian market</w:t>
      </w:r>
      <w:r>
        <w:t>.</w:t>
      </w:r>
    </w:p>
  </w:footnote>
  <w:footnote w:id="408">
    <w:p w:rsidR="00B31E52" w:rsidRDefault="00B31E52" w:rsidP="00C52695">
      <w:pPr>
        <w:pStyle w:val="FootnoteText"/>
      </w:pPr>
      <w:r>
        <w:rPr>
          <w:rStyle w:val="FootnoteReference"/>
        </w:rPr>
        <w:footnoteRef/>
      </w:r>
      <w:r>
        <w:t xml:space="preserve"> </w:t>
      </w:r>
      <w:r>
        <w:tab/>
      </w:r>
      <w:r w:rsidRPr="00582678">
        <w:t xml:space="preserve">J. Handley, </w:t>
      </w:r>
      <w:r w:rsidRPr="00582678">
        <w:rPr>
          <w:rStyle w:val="AERtextitalic"/>
        </w:rPr>
        <w:t>Report prepared for the Australian Energy Regulator: Advice on the value of imputation credits</w:t>
      </w:r>
      <w:r w:rsidRPr="00582678">
        <w:t>, 29 September 2014</w:t>
      </w:r>
      <w:r>
        <w:t>, p. 14.</w:t>
      </w:r>
    </w:p>
  </w:footnote>
  <w:footnote w:id="409">
    <w:p w:rsidR="00B31E52" w:rsidRDefault="00B31E52" w:rsidP="00C52695">
      <w:pPr>
        <w:pStyle w:val="FootnoteText"/>
      </w:pPr>
      <w:r>
        <w:rPr>
          <w:rStyle w:val="FootnoteReference"/>
        </w:rPr>
        <w:footnoteRef/>
      </w:r>
      <w:r>
        <w:t xml:space="preserve"> </w:t>
      </w:r>
      <w:r>
        <w:tab/>
      </w:r>
      <w:r w:rsidRPr="003B4589">
        <w:t xml:space="preserve">L. Gitman, R. Juchau and J. Flanagan, </w:t>
      </w:r>
      <w:r w:rsidRPr="00D414CC">
        <w:rPr>
          <w:rStyle w:val="Emphasis"/>
        </w:rPr>
        <w:t>Principles of Managerial Finance</w:t>
      </w:r>
      <w:r>
        <w:t>, 6th Edition, 2011, p</w:t>
      </w:r>
      <w:r w:rsidRPr="003B4589">
        <w:t xml:space="preserve">. </w:t>
      </w:r>
      <w:r>
        <w:t>475</w:t>
      </w:r>
      <w:r w:rsidRPr="003B4589">
        <w:t>.</w:t>
      </w:r>
    </w:p>
  </w:footnote>
  <w:footnote w:id="410">
    <w:p w:rsidR="00B31E52" w:rsidRDefault="00B31E52" w:rsidP="00C52695">
      <w:pPr>
        <w:pStyle w:val="FootnoteText"/>
      </w:pPr>
      <w:r>
        <w:rPr>
          <w:rStyle w:val="FootnoteReference"/>
        </w:rPr>
        <w:footnoteRef/>
      </w:r>
      <w:r>
        <w:t xml:space="preserve"> </w:t>
      </w:r>
      <w:r>
        <w:tab/>
        <w:t xml:space="preserve">Caltex Australia Limited, </w:t>
      </w:r>
      <w:r w:rsidRPr="005764F6">
        <w:rPr>
          <w:rStyle w:val="AERtextitalic"/>
        </w:rPr>
        <w:t>Off-market buy-back booklet</w:t>
      </w:r>
      <w:r>
        <w:t>, 26 February 2016; Caltex Australia Limited</w:t>
      </w:r>
      <w:r w:rsidRPr="005764F6">
        <w:rPr>
          <w:rStyle w:val="AERtextitalic"/>
        </w:rPr>
        <w:t>, Caltex successfully completes $270m off-market share buy-back</w:t>
      </w:r>
      <w:r>
        <w:t>, 11 April 2016.</w:t>
      </w:r>
    </w:p>
  </w:footnote>
  <w:footnote w:id="411">
    <w:p w:rsidR="00B31E52" w:rsidRDefault="00B31E52" w:rsidP="00C52695">
      <w:pPr>
        <w:pStyle w:val="FootnoteText"/>
      </w:pPr>
      <w:r>
        <w:rPr>
          <w:rStyle w:val="FootnoteReference"/>
        </w:rPr>
        <w:footnoteRef/>
      </w:r>
      <w:r>
        <w:t xml:space="preserve"> </w:t>
      </w:r>
      <w:r>
        <w:tab/>
        <w:t xml:space="preserve">Professor Gray undertook reports for both SFG and Frontier economics. To avoid confusion, we have generally referred to Professor Gray by name with the consulting firm after his name. </w:t>
      </w:r>
    </w:p>
  </w:footnote>
  <w:footnote w:id="412">
    <w:p w:rsidR="00B31E52" w:rsidRDefault="00B31E52" w:rsidP="00C52695">
      <w:pPr>
        <w:pStyle w:val="FootnoteText"/>
      </w:pPr>
      <w:r>
        <w:rPr>
          <w:rStyle w:val="FootnoteReference"/>
        </w:rPr>
        <w:footnoteRef/>
      </w:r>
      <w:r>
        <w:t xml:space="preserve"> </w:t>
      </w:r>
      <w:r>
        <w:tab/>
        <w:t xml:space="preserve">SA Power Networks, </w:t>
      </w:r>
      <w:r>
        <w:rPr>
          <w:rStyle w:val="AERtextitalic"/>
        </w:rPr>
        <w:t>Revised regulatory proposal 2015-20</w:t>
      </w:r>
      <w:r>
        <w:t>, July 2015, p. 373.</w:t>
      </w:r>
    </w:p>
  </w:footnote>
  <w:footnote w:id="413">
    <w:p w:rsidR="00B31E52" w:rsidRDefault="00B31E52" w:rsidP="00C52695">
      <w:pPr>
        <w:pStyle w:val="FootnoteText"/>
      </w:pPr>
      <w:r>
        <w:rPr>
          <w:rStyle w:val="FootnoteReference"/>
        </w:rPr>
        <w:footnoteRef/>
      </w:r>
      <w:r>
        <w:t xml:space="preserve"> </w:t>
      </w:r>
      <w:r>
        <w:tab/>
        <w:t xml:space="preserve">SFG, </w:t>
      </w:r>
      <w:r>
        <w:rPr>
          <w:rStyle w:val="AERtextitalic"/>
        </w:rPr>
        <w:t>Estimating gamma for regulatory purposes</w:t>
      </w:r>
      <w:r>
        <w:t>, 6 February 2015, para. 42.</w:t>
      </w:r>
    </w:p>
  </w:footnote>
  <w:footnote w:id="414">
    <w:p w:rsidR="00B31E52" w:rsidRPr="00CD707C" w:rsidRDefault="00B31E52" w:rsidP="00C52695">
      <w:pPr>
        <w:pStyle w:val="FootnoteText"/>
      </w:pPr>
      <w:r>
        <w:rPr>
          <w:rStyle w:val="FootnoteReference"/>
        </w:rPr>
        <w:footnoteRef/>
      </w:r>
      <w:r>
        <w:t xml:space="preserve"> </w:t>
      </w:r>
      <w:r>
        <w:tab/>
      </w:r>
      <w:r w:rsidRPr="006D49F4">
        <w:t xml:space="preserve">United Energy, </w:t>
      </w:r>
      <w:r w:rsidRPr="00D414CC">
        <w:rPr>
          <w:rStyle w:val="Emphasis"/>
        </w:rPr>
        <w:t>Submission on AER preliminary determination - Submission on gamma</w:t>
      </w:r>
      <w:r w:rsidRPr="006D49F4">
        <w:t xml:space="preserve">, 26 April 2016; CitiPower/Powercor, </w:t>
      </w:r>
      <w:r w:rsidRPr="00D414CC">
        <w:rPr>
          <w:rStyle w:val="Emphasis"/>
        </w:rPr>
        <w:t>Submission on implications of recent Australian Competition Tribunal Decision</w:t>
      </w:r>
      <w:r w:rsidRPr="006D49F4">
        <w:t xml:space="preserve">, 18 April 2016; ActewAGL, </w:t>
      </w:r>
      <w:r w:rsidRPr="00D414CC">
        <w:rPr>
          <w:rStyle w:val="Emphasis"/>
        </w:rPr>
        <w:t>Implication of recent Tribunal decisions for final decision and updates to the allowed rate of return and forecast inflation estimate</w:t>
      </w:r>
      <w:r w:rsidRPr="006D49F4">
        <w:t xml:space="preserve">, 12 May 2016; Australian Competition Tribunal, </w:t>
      </w:r>
      <w:r w:rsidRPr="00D414CC">
        <w:rPr>
          <w:rStyle w:val="Emphasis"/>
        </w:rPr>
        <w:t>Application by Public Interest Advocacy Centre Ltd and Ausgrid</w:t>
      </w:r>
      <w:r w:rsidRPr="006D49F4">
        <w:t xml:space="preserve"> [2016] ACompT 1, 26 February 2016, para. 1073.</w:t>
      </w:r>
    </w:p>
  </w:footnote>
  <w:footnote w:id="415">
    <w:p w:rsidR="00B31E52" w:rsidRDefault="00B31E52" w:rsidP="00C52695">
      <w:pPr>
        <w:pStyle w:val="FootnoteText"/>
      </w:pPr>
      <w:r>
        <w:rPr>
          <w:rStyle w:val="FootnoteReference"/>
        </w:rPr>
        <w:footnoteRef/>
      </w:r>
      <w:r>
        <w:t xml:space="preserve"> </w:t>
      </w:r>
      <w:r>
        <w:tab/>
        <w:t xml:space="preserve">SFG, </w:t>
      </w:r>
      <w:r>
        <w:rPr>
          <w:rStyle w:val="AERtextitalic"/>
        </w:rPr>
        <w:t>Estimating gamma for regulatory purposes</w:t>
      </w:r>
      <w:r>
        <w:t>, 6 February 2015, para. 42.</w:t>
      </w:r>
    </w:p>
  </w:footnote>
  <w:footnote w:id="416">
    <w:p w:rsidR="00B31E52" w:rsidRDefault="00B31E52" w:rsidP="00C52695">
      <w:pPr>
        <w:pStyle w:val="FootnoteText"/>
      </w:pPr>
      <w:r>
        <w:rPr>
          <w:rStyle w:val="FootnoteReference"/>
        </w:rPr>
        <w:footnoteRef/>
      </w:r>
      <w:r>
        <w:t xml:space="preserve"> </w:t>
      </w:r>
      <w:r>
        <w:tab/>
        <w:t xml:space="preserve">SFG, </w:t>
      </w:r>
      <w:r>
        <w:rPr>
          <w:rStyle w:val="AERtextitalic"/>
        </w:rPr>
        <w:t>Estimating gamma for regulatory purposes</w:t>
      </w:r>
      <w:r>
        <w:t>, 6 February 2015, para. 53.</w:t>
      </w:r>
    </w:p>
  </w:footnote>
  <w:footnote w:id="417">
    <w:p w:rsidR="00B31E52" w:rsidRDefault="00B31E52" w:rsidP="00C52695">
      <w:pPr>
        <w:pStyle w:val="FootnoteText"/>
      </w:pPr>
      <w:r>
        <w:rPr>
          <w:rStyle w:val="FootnoteReference"/>
        </w:rPr>
        <w:footnoteRef/>
      </w:r>
      <w:r>
        <w:t xml:space="preserve"> </w:t>
      </w:r>
      <w:r>
        <w:tab/>
        <w:t xml:space="preserve">SFG, </w:t>
      </w:r>
      <w:r w:rsidRPr="00C014CC">
        <w:rPr>
          <w:rStyle w:val="AERtextitalic"/>
        </w:rPr>
        <w:t>An appropriate regulatory estimate of gamma</w:t>
      </w:r>
      <w:r>
        <w:t>, 21 May 2014, paras. 294–313, 331–334 and 341(b).</w:t>
      </w:r>
    </w:p>
  </w:footnote>
  <w:footnote w:id="418">
    <w:p w:rsidR="00B31E52" w:rsidRDefault="00B31E52" w:rsidP="00C52695">
      <w:pPr>
        <w:pStyle w:val="FootnoteText"/>
      </w:pPr>
      <w:r>
        <w:rPr>
          <w:rStyle w:val="FootnoteReference"/>
        </w:rPr>
        <w:footnoteRef/>
      </w:r>
      <w:r>
        <w:t xml:space="preserve"> </w:t>
      </w:r>
      <w:r>
        <w:tab/>
        <w:t>See section A.6.1 of the draft decisions.</w:t>
      </w:r>
    </w:p>
  </w:footnote>
  <w:footnote w:id="419">
    <w:p w:rsidR="00B31E52" w:rsidRDefault="00B31E52" w:rsidP="00C52695">
      <w:pPr>
        <w:pStyle w:val="FootnoteText"/>
      </w:pPr>
      <w:r>
        <w:rPr>
          <w:rStyle w:val="FootnoteReference"/>
        </w:rPr>
        <w:footnoteRef/>
      </w:r>
      <w:r>
        <w:t xml:space="preserve"> </w:t>
      </w:r>
      <w:r>
        <w:tab/>
        <w:t xml:space="preserve">SFG, </w:t>
      </w:r>
      <w:r>
        <w:rPr>
          <w:rStyle w:val="AERtextitalic"/>
        </w:rPr>
        <w:t>Estimating gamma for regulatory purposes</w:t>
      </w:r>
      <w:r>
        <w:t>, 6 February 2015, paras. 111–121 and 136–137.</w:t>
      </w:r>
    </w:p>
  </w:footnote>
  <w:footnote w:id="420">
    <w:p w:rsidR="00B31E52" w:rsidRDefault="00B31E52" w:rsidP="00C52695">
      <w:pPr>
        <w:pStyle w:val="FootnoteText"/>
      </w:pPr>
      <w:r>
        <w:rPr>
          <w:rStyle w:val="FootnoteReference"/>
        </w:rPr>
        <w:footnoteRef/>
      </w:r>
      <w:r>
        <w:t xml:space="preserve"> </w:t>
      </w:r>
      <w:r>
        <w:tab/>
        <w:t xml:space="preserve">SFG, </w:t>
      </w:r>
      <w:r>
        <w:rPr>
          <w:rStyle w:val="AERtextitalic"/>
        </w:rPr>
        <w:t>Estimating gamma for regulatory purposes</w:t>
      </w:r>
      <w:r>
        <w:t>, 6 February 2015, paras. 122–123.</w:t>
      </w:r>
    </w:p>
  </w:footnote>
  <w:footnote w:id="421">
    <w:p w:rsidR="00B31E52" w:rsidRDefault="00B31E52" w:rsidP="00C52695">
      <w:pPr>
        <w:pStyle w:val="FootnoteText"/>
      </w:pPr>
      <w:r>
        <w:rPr>
          <w:rStyle w:val="FootnoteReference"/>
        </w:rPr>
        <w:footnoteRef/>
      </w:r>
      <w:r>
        <w:t xml:space="preserve"> </w:t>
      </w:r>
      <w:r>
        <w:tab/>
      </w:r>
      <w:r w:rsidRPr="004D735C">
        <w:t xml:space="preserve">J. Handley, </w:t>
      </w:r>
      <w:r w:rsidRPr="008916E4">
        <w:rPr>
          <w:rStyle w:val="AERtextitalic"/>
        </w:rPr>
        <w:t>Report prepared for the Australian Energy Regulator: Advice on the value of imputation credits</w:t>
      </w:r>
      <w:r w:rsidRPr="004D735C">
        <w:t>, 29 September 201</w:t>
      </w:r>
      <w:r>
        <w:t>4, pp. 8–9.</w:t>
      </w:r>
    </w:p>
  </w:footnote>
  <w:footnote w:id="422">
    <w:p w:rsidR="00B31E52" w:rsidRDefault="00B31E52" w:rsidP="00C52695">
      <w:pPr>
        <w:pStyle w:val="FootnoteText"/>
      </w:pPr>
      <w:r>
        <w:rPr>
          <w:rStyle w:val="FootnoteReference"/>
        </w:rPr>
        <w:footnoteRef/>
      </w:r>
      <w:r>
        <w:t xml:space="preserve"> </w:t>
      </w:r>
      <w:r>
        <w:tab/>
        <w:t xml:space="preserve">J. Handley, </w:t>
      </w:r>
      <w:r w:rsidRPr="00626887">
        <w:rPr>
          <w:rStyle w:val="AERtextitalic"/>
        </w:rPr>
        <w:t>Report prepared for the Australian Energy Regulator: Further advice on the value of imputation credits</w:t>
      </w:r>
      <w:r>
        <w:t>, 16 April 2015, p. 5.</w:t>
      </w:r>
    </w:p>
  </w:footnote>
  <w:footnote w:id="423">
    <w:p w:rsidR="00B31E52" w:rsidRDefault="00B31E52" w:rsidP="00C52695">
      <w:pPr>
        <w:pStyle w:val="FootnoteText"/>
      </w:pPr>
      <w:r>
        <w:rPr>
          <w:rStyle w:val="FootnoteReference"/>
        </w:rPr>
        <w:footnoteRef/>
      </w:r>
      <w:r>
        <w:t xml:space="preserve"> </w:t>
      </w:r>
      <w:r>
        <w:tab/>
      </w:r>
      <w:r w:rsidRPr="00800E44">
        <w:t xml:space="preserve">R. Officer, 'The cost of capital of a company under an imputation system', </w:t>
      </w:r>
      <w:r>
        <w:rPr>
          <w:rStyle w:val="AERtextitalic"/>
        </w:rPr>
        <w:t>Accounting and f</w:t>
      </w:r>
      <w:r w:rsidRPr="00800E44">
        <w:rPr>
          <w:rStyle w:val="AERtextitalic"/>
        </w:rPr>
        <w:t>inance</w:t>
      </w:r>
      <w:r w:rsidRPr="00800E44">
        <w:t>, vol. 34(1), May 1994,</w:t>
      </w:r>
      <w:r>
        <w:t xml:space="preserve"> </w:t>
      </w:r>
      <w:r w:rsidRPr="00800E44">
        <w:t>pp. 1–17.</w:t>
      </w:r>
    </w:p>
  </w:footnote>
  <w:footnote w:id="424">
    <w:p w:rsidR="00B31E52" w:rsidRDefault="00B31E52" w:rsidP="00C52695">
      <w:pPr>
        <w:pStyle w:val="FootnoteText"/>
      </w:pPr>
      <w:r>
        <w:rPr>
          <w:rStyle w:val="FootnoteReference"/>
        </w:rPr>
        <w:footnoteRef/>
      </w:r>
      <w:r>
        <w:t xml:space="preserve"> </w:t>
      </w:r>
      <w:r>
        <w:tab/>
        <w:t xml:space="preserve">J. Handley, </w:t>
      </w:r>
      <w:r w:rsidRPr="00626887">
        <w:rPr>
          <w:rStyle w:val="AERtextitalic"/>
        </w:rPr>
        <w:t>Report prepared for the Australian Energy Regulator: Further advice on the value of imputation credits</w:t>
      </w:r>
      <w:r>
        <w:t>, 16 April 2015, p. 4.</w:t>
      </w:r>
    </w:p>
  </w:footnote>
  <w:footnote w:id="425">
    <w:p w:rsidR="00B31E52" w:rsidRDefault="00B31E52" w:rsidP="00C52695">
      <w:pPr>
        <w:pStyle w:val="FootnoteText"/>
      </w:pPr>
      <w:r>
        <w:rPr>
          <w:rStyle w:val="FootnoteReference"/>
        </w:rPr>
        <w:footnoteRef/>
      </w:r>
      <w:r>
        <w:t xml:space="preserve"> </w:t>
      </w:r>
      <w:r>
        <w:tab/>
        <w:t>Recall that the utilisation rate equals gamma under Officer's perpetuity framework.</w:t>
      </w:r>
    </w:p>
  </w:footnote>
  <w:footnote w:id="426">
    <w:p w:rsidR="00B31E52" w:rsidRDefault="00B31E52" w:rsidP="00C52695">
      <w:pPr>
        <w:pStyle w:val="FootnoteText"/>
      </w:pPr>
      <w:r>
        <w:rPr>
          <w:rStyle w:val="FootnoteReference"/>
        </w:rPr>
        <w:footnoteRef/>
      </w:r>
      <w:r>
        <w:t xml:space="preserve"> </w:t>
      </w:r>
      <w:r>
        <w:tab/>
        <w:t xml:space="preserve">SFG, </w:t>
      </w:r>
      <w:r w:rsidRPr="00C014CC">
        <w:rPr>
          <w:rStyle w:val="AERtextitalic"/>
        </w:rPr>
        <w:t>An appropriate regulatory estimate of gamma</w:t>
      </w:r>
      <w:r>
        <w:t>, 21 May 2014, para. 319.</w:t>
      </w:r>
    </w:p>
  </w:footnote>
  <w:footnote w:id="427">
    <w:p w:rsidR="00B31E52" w:rsidRDefault="00B31E52" w:rsidP="00C52695">
      <w:pPr>
        <w:pStyle w:val="FootnoteText"/>
      </w:pPr>
      <w:r>
        <w:rPr>
          <w:rStyle w:val="FootnoteReference"/>
        </w:rPr>
        <w:footnoteRef/>
      </w:r>
      <w:r>
        <w:t xml:space="preserve"> </w:t>
      </w:r>
      <w:r>
        <w:tab/>
      </w:r>
      <w:r w:rsidRPr="00800E44">
        <w:t xml:space="preserve">R. Officer, 'The cost of capital of a company under an imputation system', </w:t>
      </w:r>
      <w:r>
        <w:rPr>
          <w:rStyle w:val="AERtextitalic"/>
        </w:rPr>
        <w:t>Accounting and f</w:t>
      </w:r>
      <w:r w:rsidRPr="00800E44">
        <w:rPr>
          <w:rStyle w:val="AERtextitalic"/>
        </w:rPr>
        <w:t>inance</w:t>
      </w:r>
      <w:r w:rsidRPr="00800E44">
        <w:t>, vol. 34(1), May 1994,</w:t>
      </w:r>
      <w:r>
        <w:t xml:space="preserve"> pp. 11–17.</w:t>
      </w:r>
    </w:p>
  </w:footnote>
  <w:footnote w:id="428">
    <w:p w:rsidR="00B31E52" w:rsidRDefault="00B31E52" w:rsidP="00C52695">
      <w:pPr>
        <w:pStyle w:val="FootnoteText"/>
      </w:pPr>
      <w:r>
        <w:rPr>
          <w:rStyle w:val="FootnoteReference"/>
        </w:rPr>
        <w:footnoteRef/>
      </w:r>
      <w:r>
        <w:t xml:space="preserve"> </w:t>
      </w:r>
      <w:r>
        <w:tab/>
        <w:t xml:space="preserve">SFG, </w:t>
      </w:r>
      <w:r>
        <w:rPr>
          <w:rStyle w:val="AERtextitalic"/>
        </w:rPr>
        <w:t>Estimating gamma for regulatory purposes</w:t>
      </w:r>
      <w:r>
        <w:t>, 6 February 2015, paras. 126–127.</w:t>
      </w:r>
    </w:p>
  </w:footnote>
  <w:footnote w:id="429">
    <w:p w:rsidR="00B31E52" w:rsidRDefault="00B31E52" w:rsidP="00C52695">
      <w:pPr>
        <w:pStyle w:val="FootnoteText"/>
      </w:pPr>
      <w:r>
        <w:rPr>
          <w:rStyle w:val="FootnoteReference"/>
        </w:rPr>
        <w:footnoteRef/>
      </w:r>
      <w:r>
        <w:t xml:space="preserve"> </w:t>
      </w:r>
      <w:r>
        <w:tab/>
        <w:t xml:space="preserve">J. Handley, </w:t>
      </w:r>
      <w:r w:rsidRPr="00626887">
        <w:rPr>
          <w:rStyle w:val="AERtextitalic"/>
        </w:rPr>
        <w:t>Report prepared for the Australian Energy Regulator: Further advice on the value of imputation credits</w:t>
      </w:r>
      <w:r>
        <w:t>, 16 April 2015, p. 7.</w:t>
      </w:r>
    </w:p>
  </w:footnote>
  <w:footnote w:id="430">
    <w:p w:rsidR="00B31E52" w:rsidRDefault="00B31E52" w:rsidP="00C52695">
      <w:pPr>
        <w:pStyle w:val="FootnoteText"/>
      </w:pPr>
      <w:r>
        <w:rPr>
          <w:rStyle w:val="FootnoteReference"/>
        </w:rPr>
        <w:footnoteRef/>
      </w:r>
      <w:r>
        <w:t xml:space="preserve"> </w:t>
      </w:r>
      <w:r>
        <w:tab/>
        <w:t xml:space="preserve">Frontier Economics, </w:t>
      </w:r>
      <w:r w:rsidRPr="00D14DE4">
        <w:rPr>
          <w:rStyle w:val="AERtextitalic"/>
        </w:rPr>
        <w:t>An appropriate regulatory estimate of gamma</w:t>
      </w:r>
      <w:r>
        <w:t>, June 2015, p. 24.</w:t>
      </w:r>
    </w:p>
  </w:footnote>
  <w:footnote w:id="431">
    <w:p w:rsidR="00B31E52" w:rsidRDefault="00B31E52" w:rsidP="00C52695">
      <w:pPr>
        <w:pStyle w:val="FootnoteText"/>
      </w:pPr>
      <w:r>
        <w:rPr>
          <w:rStyle w:val="FootnoteReference"/>
        </w:rPr>
        <w:footnoteRef/>
      </w:r>
      <w:r>
        <w:t xml:space="preserve"> </w:t>
      </w:r>
      <w:r>
        <w:tab/>
      </w:r>
      <w:r w:rsidRPr="00182E64">
        <w:t xml:space="preserve">G. Peirson, R. Brown, S. Easton and P. Howard, </w:t>
      </w:r>
      <w:r w:rsidRPr="00182E64">
        <w:rPr>
          <w:rStyle w:val="AERtextitalic"/>
        </w:rPr>
        <w:t>Business Finance</w:t>
      </w:r>
      <w:r>
        <w:t>, 10th Edition, 2009</w:t>
      </w:r>
      <w:r w:rsidRPr="00182E64">
        <w:t>, p</w:t>
      </w:r>
      <w:r>
        <w:t>p. 429 and 432</w:t>
      </w:r>
      <w:r w:rsidRPr="00182E64">
        <w:t>.</w:t>
      </w:r>
    </w:p>
  </w:footnote>
  <w:footnote w:id="432">
    <w:p w:rsidR="00B31E52" w:rsidRDefault="00B31E52" w:rsidP="00C52695">
      <w:pPr>
        <w:pStyle w:val="FootnoteText"/>
      </w:pPr>
      <w:r>
        <w:rPr>
          <w:rStyle w:val="FootnoteReference"/>
        </w:rPr>
        <w:footnoteRef/>
      </w:r>
      <w:r>
        <w:t xml:space="preserve"> </w:t>
      </w:r>
      <w:r>
        <w:tab/>
        <w:t xml:space="preserve">J. Berk, P. DeMarzo, J. Harford, G. Ford, V. Mollica and N. Finch, </w:t>
      </w:r>
      <w:r w:rsidRPr="00B27E42">
        <w:rPr>
          <w:rStyle w:val="AERtextitalic"/>
        </w:rPr>
        <w:t>Fundamentals of Corporate Finance</w:t>
      </w:r>
      <w:r>
        <w:t>, 2nd Edition, 2014, p. 535.</w:t>
      </w:r>
    </w:p>
  </w:footnote>
  <w:footnote w:id="433">
    <w:p w:rsidR="00B31E52" w:rsidRDefault="00B31E52" w:rsidP="00C52695">
      <w:pPr>
        <w:pStyle w:val="FootnoteText"/>
      </w:pPr>
      <w:r>
        <w:rPr>
          <w:rStyle w:val="FootnoteReference"/>
        </w:rPr>
        <w:footnoteRef/>
      </w:r>
      <w:r>
        <w:t xml:space="preserve"> </w:t>
      </w:r>
      <w:r>
        <w:tab/>
        <w:t xml:space="preserve">L. Gitman, R. Juchau and J. Flanagan, </w:t>
      </w:r>
      <w:r w:rsidRPr="00D414CC">
        <w:rPr>
          <w:rStyle w:val="Emphasis"/>
        </w:rPr>
        <w:t>Principles of Managerial Finance</w:t>
      </w:r>
      <w:r>
        <w:t>, 6th Edition, 2011, pp. 543 and 546.</w:t>
      </w:r>
    </w:p>
  </w:footnote>
  <w:footnote w:id="434">
    <w:p w:rsidR="00B31E52" w:rsidRDefault="00B31E52" w:rsidP="00C52695">
      <w:pPr>
        <w:pStyle w:val="FootnoteText"/>
      </w:pPr>
      <w:r>
        <w:rPr>
          <w:rStyle w:val="FootnoteReference"/>
        </w:rPr>
        <w:footnoteRef/>
      </w:r>
      <w:r>
        <w:t xml:space="preserve"> </w:t>
      </w:r>
      <w:r>
        <w:tab/>
        <w:t xml:space="preserve">Frontier Economics, </w:t>
      </w:r>
      <w:r w:rsidRPr="00D14DE4">
        <w:rPr>
          <w:rStyle w:val="AERtextitalic"/>
        </w:rPr>
        <w:t>An appropriate regulatory estimate of gamma</w:t>
      </w:r>
      <w:r>
        <w:t>, June 2015, p. 24.</w:t>
      </w:r>
    </w:p>
  </w:footnote>
  <w:footnote w:id="435">
    <w:p w:rsidR="00B31E52" w:rsidRDefault="00B31E52" w:rsidP="00C52695">
      <w:pPr>
        <w:pStyle w:val="FootnoteText"/>
      </w:pPr>
      <w:r>
        <w:rPr>
          <w:rStyle w:val="FootnoteReference"/>
        </w:rPr>
        <w:footnoteRef/>
      </w:r>
      <w:r>
        <w:t xml:space="preserve"> </w:t>
      </w:r>
      <w:r>
        <w:tab/>
      </w:r>
      <w:r w:rsidRPr="004D735C">
        <w:t xml:space="preserve">J. Handley, </w:t>
      </w:r>
      <w:r w:rsidRPr="008916E4">
        <w:rPr>
          <w:rStyle w:val="AERtextitalic"/>
        </w:rPr>
        <w:t>Report prepared for the Australian Energy Regulator: Advice on the value of imputation credits</w:t>
      </w:r>
      <w:r w:rsidRPr="004D735C">
        <w:t>, 29 September 201</w:t>
      </w:r>
      <w:r>
        <w:t>4, p. 9.</w:t>
      </w:r>
    </w:p>
  </w:footnote>
  <w:footnote w:id="436">
    <w:p w:rsidR="00B31E52" w:rsidRDefault="00B31E52" w:rsidP="00C52695">
      <w:pPr>
        <w:pStyle w:val="FootnoteText"/>
      </w:pPr>
      <w:r>
        <w:rPr>
          <w:rStyle w:val="FootnoteReference"/>
        </w:rPr>
        <w:footnoteRef/>
      </w:r>
      <w:r>
        <w:t xml:space="preserve"> </w:t>
      </w:r>
      <w:r>
        <w:tab/>
        <w:t xml:space="preserve">R. Brealey, S. Myers, G. Partington and D. Robinson, </w:t>
      </w:r>
      <w:r w:rsidRPr="0078255A">
        <w:rPr>
          <w:rStyle w:val="AERtextitalic"/>
        </w:rPr>
        <w:t>Principles of corporate finance</w:t>
      </w:r>
      <w:r>
        <w:t>, 1st Edition, 2000, p. 523, footnote 8.</w:t>
      </w:r>
    </w:p>
  </w:footnote>
  <w:footnote w:id="437">
    <w:p w:rsidR="00B31E52" w:rsidRDefault="00B31E52" w:rsidP="00C52695">
      <w:pPr>
        <w:pStyle w:val="FootnoteText"/>
      </w:pPr>
      <w:r>
        <w:rPr>
          <w:rStyle w:val="FootnoteReference"/>
        </w:rPr>
        <w:footnoteRef/>
      </w:r>
      <w:r>
        <w:t xml:space="preserve"> </w:t>
      </w:r>
      <w:r>
        <w:tab/>
        <w:t xml:space="preserve">R. Brealey, S. Myers, G. Partington and D. Robinson, </w:t>
      </w:r>
      <w:r w:rsidRPr="0078255A">
        <w:rPr>
          <w:rStyle w:val="AERtextitalic"/>
        </w:rPr>
        <w:t>Principles of corporate finance</w:t>
      </w:r>
      <w:r>
        <w:t>, 1st Edition, 2000, p. 526.</w:t>
      </w:r>
    </w:p>
  </w:footnote>
  <w:footnote w:id="438">
    <w:p w:rsidR="00B31E52" w:rsidRDefault="00B31E52" w:rsidP="00C52695">
      <w:pPr>
        <w:pStyle w:val="FootnoteText"/>
      </w:pPr>
      <w:r>
        <w:rPr>
          <w:rStyle w:val="FootnoteReference"/>
        </w:rPr>
        <w:footnoteRef/>
      </w:r>
      <w:r>
        <w:t xml:space="preserve"> </w:t>
      </w:r>
      <w:r>
        <w:tab/>
        <w:t xml:space="preserve">Frontier Economics, </w:t>
      </w:r>
      <w:r w:rsidRPr="00D14DE4">
        <w:rPr>
          <w:rStyle w:val="AERtextitalic"/>
        </w:rPr>
        <w:t>An appropriate regulatory estimate of gamma</w:t>
      </w:r>
      <w:r>
        <w:t>, June 2015, p. 25.</w:t>
      </w:r>
    </w:p>
  </w:footnote>
  <w:footnote w:id="439">
    <w:p w:rsidR="00B31E52" w:rsidRDefault="00B31E52" w:rsidP="00C52695">
      <w:pPr>
        <w:pStyle w:val="FootnoteText"/>
      </w:pPr>
      <w:r>
        <w:rPr>
          <w:rStyle w:val="FootnoteReference"/>
        </w:rPr>
        <w:footnoteRef/>
      </w:r>
      <w:r>
        <w:t xml:space="preserve"> </w:t>
      </w:r>
      <w:r>
        <w:tab/>
        <w:t xml:space="preserve">Frontier Economics, </w:t>
      </w:r>
      <w:r w:rsidRPr="00D14DE4">
        <w:rPr>
          <w:rStyle w:val="AERtextitalic"/>
        </w:rPr>
        <w:t>An appropriate regulatory estimate of gamma</w:t>
      </w:r>
      <w:r>
        <w:t>, June 2015, p. 25.</w:t>
      </w:r>
    </w:p>
  </w:footnote>
  <w:footnote w:id="440">
    <w:p w:rsidR="00B31E52" w:rsidRDefault="00B31E52" w:rsidP="00C52695">
      <w:pPr>
        <w:pStyle w:val="FootnoteText"/>
      </w:pPr>
      <w:r>
        <w:rPr>
          <w:rStyle w:val="FootnoteReference"/>
        </w:rPr>
        <w:footnoteRef/>
      </w:r>
      <w:r>
        <w:t xml:space="preserve"> </w:t>
      </w:r>
      <w:r>
        <w:tab/>
        <w:t xml:space="preserve">Frontier Economics, </w:t>
      </w:r>
      <w:r w:rsidRPr="00D14DE4">
        <w:rPr>
          <w:rStyle w:val="AERtextitalic"/>
        </w:rPr>
        <w:t>An appropriate regulatory estimate of gamma</w:t>
      </w:r>
      <w:r>
        <w:t>, June 2015, p. 6.</w:t>
      </w:r>
    </w:p>
  </w:footnote>
  <w:footnote w:id="441">
    <w:p w:rsidR="00B31E52" w:rsidRDefault="00B31E52" w:rsidP="00C52695">
      <w:pPr>
        <w:pStyle w:val="FootnoteText"/>
      </w:pPr>
      <w:r>
        <w:rPr>
          <w:rStyle w:val="FootnoteReference"/>
        </w:rPr>
        <w:footnoteRef/>
      </w:r>
      <w:r>
        <w:t xml:space="preserve"> </w:t>
      </w:r>
      <w:r>
        <w:tab/>
        <w:t xml:space="preserve">A. Ainsworth, G. Partington and G. Warren, </w:t>
      </w:r>
      <w:r w:rsidRPr="00814197">
        <w:rPr>
          <w:rStyle w:val="AERtextitalic"/>
        </w:rPr>
        <w:t>Do franking credits matter? Exploring the financial implications of dividend imputation</w:t>
      </w:r>
      <w:r>
        <w:t>, May 2015.</w:t>
      </w:r>
    </w:p>
  </w:footnote>
  <w:footnote w:id="442">
    <w:p w:rsidR="00B31E52" w:rsidRDefault="00B31E52" w:rsidP="00C52695">
      <w:pPr>
        <w:pStyle w:val="FootnoteText"/>
      </w:pPr>
      <w:r>
        <w:rPr>
          <w:rStyle w:val="FootnoteReference"/>
        </w:rPr>
        <w:footnoteRef/>
      </w:r>
      <w:r>
        <w:t xml:space="preserve"> </w:t>
      </w:r>
      <w:r>
        <w:tab/>
        <w:t xml:space="preserve">Frontier Economics, </w:t>
      </w:r>
      <w:r w:rsidRPr="00D14DE4">
        <w:rPr>
          <w:rStyle w:val="AERtextitalic"/>
        </w:rPr>
        <w:t>An appropriate regulatory estimate of gamma</w:t>
      </w:r>
      <w:r>
        <w:t>, June 2015, pp. 45–48.</w:t>
      </w:r>
    </w:p>
  </w:footnote>
  <w:footnote w:id="443">
    <w:p w:rsidR="00B31E52" w:rsidRDefault="00B31E52" w:rsidP="00C52695">
      <w:pPr>
        <w:pStyle w:val="FootnoteText"/>
      </w:pPr>
      <w:r>
        <w:rPr>
          <w:rStyle w:val="FootnoteReference"/>
        </w:rPr>
        <w:footnoteRef/>
      </w:r>
      <w:r>
        <w:t xml:space="preserve"> </w:t>
      </w:r>
      <w:r>
        <w:tab/>
        <w:t xml:space="preserve">A. Ainsworth, G. Partington and G. Warren, </w:t>
      </w:r>
      <w:r w:rsidRPr="00814197">
        <w:rPr>
          <w:rStyle w:val="AERtextitalic"/>
        </w:rPr>
        <w:t>Do franking credits matter? Exploring the financial implications of dividend imputation</w:t>
      </w:r>
      <w:r>
        <w:t>, May 2015, p. 3.</w:t>
      </w:r>
    </w:p>
  </w:footnote>
  <w:footnote w:id="444">
    <w:p w:rsidR="00B31E52" w:rsidRDefault="00B31E52" w:rsidP="00C52695">
      <w:pPr>
        <w:pStyle w:val="FootnoteText"/>
      </w:pPr>
      <w:r>
        <w:rPr>
          <w:rStyle w:val="FootnoteReference"/>
        </w:rPr>
        <w:footnoteRef/>
      </w:r>
      <w:r>
        <w:t xml:space="preserve"> </w:t>
      </w:r>
      <w:r>
        <w:tab/>
        <w:t xml:space="preserve">A. Ainsworth, G. Partington and G. Warren, </w:t>
      </w:r>
      <w:r w:rsidRPr="00814197">
        <w:rPr>
          <w:rStyle w:val="AERtextitalic"/>
        </w:rPr>
        <w:t>Do franking credits matter? Exploring the financial implications of dividend imputation</w:t>
      </w:r>
      <w:r>
        <w:t>, May 2015, p. 14.</w:t>
      </w:r>
    </w:p>
  </w:footnote>
  <w:footnote w:id="445">
    <w:p w:rsidR="00B31E52" w:rsidRDefault="00B31E52" w:rsidP="00C52695">
      <w:pPr>
        <w:pStyle w:val="FootnoteText"/>
      </w:pPr>
      <w:r>
        <w:rPr>
          <w:rStyle w:val="FootnoteReference"/>
        </w:rPr>
        <w:footnoteRef/>
      </w:r>
      <w:r>
        <w:t xml:space="preserve"> </w:t>
      </w:r>
      <w:r>
        <w:tab/>
        <w:t xml:space="preserve">Frontier Economics, </w:t>
      </w:r>
      <w:r w:rsidRPr="00D14DE4">
        <w:rPr>
          <w:rStyle w:val="AERtextitalic"/>
        </w:rPr>
        <w:t>An appropriate regulatory estimate of gamma</w:t>
      </w:r>
      <w:r>
        <w:t>, June 2015, p. 46.</w:t>
      </w:r>
    </w:p>
  </w:footnote>
  <w:footnote w:id="446">
    <w:p w:rsidR="00B31E52" w:rsidRDefault="00B31E52" w:rsidP="00C52695">
      <w:pPr>
        <w:pStyle w:val="FootnoteText"/>
      </w:pPr>
      <w:r>
        <w:rPr>
          <w:rStyle w:val="FootnoteReference"/>
        </w:rPr>
        <w:footnoteRef/>
      </w:r>
      <w:r>
        <w:t xml:space="preserve"> </w:t>
      </w:r>
      <w:r>
        <w:tab/>
        <w:t xml:space="preserve">A. Ainsworth, G. Partington and G. Warren, </w:t>
      </w:r>
      <w:r w:rsidRPr="00814197">
        <w:rPr>
          <w:rStyle w:val="AERtextitalic"/>
        </w:rPr>
        <w:t>Do franking credits matter? Exploring the financial implications of dividend imputation</w:t>
      </w:r>
      <w:r>
        <w:t>, May 2015, p. 17.</w:t>
      </w:r>
    </w:p>
  </w:footnote>
  <w:footnote w:id="447">
    <w:p w:rsidR="00B31E52" w:rsidRDefault="00B31E52" w:rsidP="00C52695">
      <w:pPr>
        <w:pStyle w:val="FootnoteText"/>
      </w:pPr>
      <w:r>
        <w:rPr>
          <w:rStyle w:val="FootnoteReference"/>
        </w:rPr>
        <w:footnoteRef/>
      </w:r>
      <w:r>
        <w:t xml:space="preserve"> </w:t>
      </w:r>
      <w:r>
        <w:tab/>
        <w:t xml:space="preserve">A. Ainsworth, G. Partington and G. Warren, </w:t>
      </w:r>
      <w:r w:rsidRPr="00814197">
        <w:rPr>
          <w:rStyle w:val="AERtextitalic"/>
        </w:rPr>
        <w:t>Do franking credits matter? Exploring the financial implications of dividend imputation</w:t>
      </w:r>
      <w:r>
        <w:t>, May 2015, p. 17.</w:t>
      </w:r>
    </w:p>
  </w:footnote>
  <w:footnote w:id="448">
    <w:p w:rsidR="00B31E52" w:rsidRPr="001224E1" w:rsidRDefault="00B31E52" w:rsidP="00E6185B">
      <w:pPr>
        <w:pStyle w:val="FootnoteText"/>
      </w:pPr>
      <w:r>
        <w:rPr>
          <w:rStyle w:val="FootnoteReference"/>
        </w:rPr>
        <w:footnoteRef/>
      </w:r>
      <w:r>
        <w:t xml:space="preserve"> </w:t>
      </w:r>
      <w:r>
        <w:tab/>
        <w:t xml:space="preserve">M. Lally, </w:t>
      </w:r>
      <w:r w:rsidRPr="0006518E">
        <w:rPr>
          <w:rStyle w:val="AERtextitalic"/>
        </w:rPr>
        <w:t>Issues in the estimation of gamma</w:t>
      </w:r>
      <w:r>
        <w:t>, April 2017</w:t>
      </w:r>
      <w:r w:rsidRPr="00AD7E20">
        <w:rPr>
          <w:rStyle w:val="AERtextitalic"/>
          <w:i w:val="0"/>
        </w:rPr>
        <w:t>,</w:t>
      </w:r>
      <w:r w:rsidRPr="005B77D3">
        <w:rPr>
          <w:rStyle w:val="AERtextitalic"/>
          <w:i w:val="0"/>
        </w:rPr>
        <w:t xml:space="preserve"> p</w:t>
      </w:r>
      <w:r w:rsidRPr="00D7695B">
        <w:rPr>
          <w:rStyle w:val="AERtextitalic"/>
          <w:i w:val="0"/>
        </w:rPr>
        <w:t>p</w:t>
      </w:r>
      <w:r w:rsidRPr="00AD7E20">
        <w:rPr>
          <w:rStyle w:val="AERtextitalic"/>
          <w:i w:val="0"/>
        </w:rPr>
        <w:t>. </w:t>
      </w:r>
      <w:r w:rsidRPr="005B77D3">
        <w:rPr>
          <w:rStyle w:val="AERtextitalic"/>
          <w:i w:val="0"/>
        </w:rPr>
        <w:t>3</w:t>
      </w:r>
      <w:r w:rsidRPr="00D7695B">
        <w:rPr>
          <w:rStyle w:val="AERtextitalic"/>
          <w:i w:val="0"/>
        </w:rPr>
        <w:t>, 26</w:t>
      </w:r>
      <w:r w:rsidRPr="00AD7E20">
        <w:rPr>
          <w:rStyle w:val="AERtextitalic"/>
          <w:i w:val="0"/>
        </w:rPr>
        <w:t>.</w:t>
      </w:r>
    </w:p>
  </w:footnote>
  <w:footnote w:id="449">
    <w:p w:rsidR="00B31E52" w:rsidRDefault="00B31E52">
      <w:pPr>
        <w:pStyle w:val="FootnoteText"/>
      </w:pPr>
      <w:r>
        <w:rPr>
          <w:rStyle w:val="FootnoteReference"/>
        </w:rPr>
        <w:footnoteRef/>
      </w:r>
      <w:r>
        <w:t xml:space="preserve"> </w:t>
      </w:r>
      <w:r>
        <w:tab/>
        <w:t xml:space="preserve">Frontier Economics, </w:t>
      </w:r>
      <w:r>
        <w:rPr>
          <w:rStyle w:val="AERtextitalic"/>
        </w:rPr>
        <w:t>Issues in the estimation of gamma</w:t>
      </w:r>
      <w:r>
        <w:t>, September 2016, p. 20.</w:t>
      </w:r>
    </w:p>
  </w:footnote>
  <w:footnote w:id="450">
    <w:p w:rsidR="00B31E52" w:rsidRPr="001224E1" w:rsidRDefault="00B31E52" w:rsidP="00BD2C2C">
      <w:pPr>
        <w:pStyle w:val="FootnoteText"/>
      </w:pPr>
      <w:r>
        <w:rPr>
          <w:rStyle w:val="FootnoteReference"/>
        </w:rPr>
        <w:footnoteRef/>
      </w:r>
      <w:r>
        <w:t xml:space="preserve"> </w:t>
      </w:r>
      <w:r>
        <w:tab/>
        <w:t xml:space="preserve">M. Lally, </w:t>
      </w:r>
      <w:r w:rsidRPr="00E750F8">
        <w:rPr>
          <w:rStyle w:val="AERtextitalic"/>
        </w:rPr>
        <w:t>Issues in the estimation of gamma</w:t>
      </w:r>
      <w:r>
        <w:t>, April 2017</w:t>
      </w:r>
      <w:r w:rsidRPr="001224E1">
        <w:rPr>
          <w:rStyle w:val="AERtextitalic"/>
          <w:i w:val="0"/>
        </w:rPr>
        <w:t>, p.</w:t>
      </w:r>
      <w:r w:rsidRPr="00BD2C2C">
        <w:rPr>
          <w:rStyle w:val="AERtextitalic"/>
          <w:i w:val="0"/>
        </w:rPr>
        <w:t> </w:t>
      </w:r>
      <w:r w:rsidRPr="002D7AA8">
        <w:rPr>
          <w:rStyle w:val="AERtextitalic"/>
          <w:i w:val="0"/>
        </w:rPr>
        <w:t>16</w:t>
      </w:r>
      <w:r w:rsidRPr="00BD2C2C">
        <w:rPr>
          <w:rStyle w:val="AERtextitalic"/>
          <w:i w:val="0"/>
        </w:rPr>
        <w:t>.</w:t>
      </w:r>
    </w:p>
  </w:footnote>
  <w:footnote w:id="451">
    <w:p w:rsidR="00B31E52" w:rsidRDefault="00B31E52" w:rsidP="0043564A">
      <w:pPr>
        <w:pStyle w:val="FootnoteText"/>
      </w:pPr>
      <w:r>
        <w:rPr>
          <w:rStyle w:val="FootnoteReference"/>
        </w:rPr>
        <w:footnoteRef/>
      </w:r>
      <w:r>
        <w:t xml:space="preserve"> </w:t>
      </w:r>
      <w:r>
        <w:tab/>
        <w:t xml:space="preserve">Frontier Economics, </w:t>
      </w:r>
      <w:r>
        <w:rPr>
          <w:rStyle w:val="AERtextitalic"/>
        </w:rPr>
        <w:t>Issues in the estimation of gamma</w:t>
      </w:r>
      <w:r>
        <w:t>, September 2016, pp. 20-21.</w:t>
      </w:r>
    </w:p>
  </w:footnote>
  <w:footnote w:id="452">
    <w:p w:rsidR="00B31E52" w:rsidRPr="001224E1" w:rsidRDefault="00B31E52" w:rsidP="00BD2C2C">
      <w:pPr>
        <w:pStyle w:val="FootnoteText"/>
      </w:pPr>
      <w:r>
        <w:rPr>
          <w:rStyle w:val="FootnoteReference"/>
        </w:rPr>
        <w:footnoteRef/>
      </w:r>
      <w:r>
        <w:t xml:space="preserve"> </w:t>
      </w:r>
      <w:r>
        <w:tab/>
        <w:t xml:space="preserve">M. Lally, </w:t>
      </w:r>
      <w:r w:rsidRPr="00E750F8">
        <w:rPr>
          <w:rStyle w:val="AERtextitalic"/>
        </w:rPr>
        <w:t>Issues in the estimation of gamma</w:t>
      </w:r>
      <w:r>
        <w:t>, April 2017</w:t>
      </w:r>
      <w:r w:rsidRPr="001224E1">
        <w:rPr>
          <w:rStyle w:val="AERtextitalic"/>
          <w:i w:val="0"/>
        </w:rPr>
        <w:t>, p</w:t>
      </w:r>
      <w:r w:rsidRPr="002D7AA8">
        <w:rPr>
          <w:rStyle w:val="AERtextitalic"/>
          <w:i w:val="0"/>
        </w:rPr>
        <w:t>p</w:t>
      </w:r>
      <w:r w:rsidRPr="00BD2C2C">
        <w:rPr>
          <w:rStyle w:val="AERtextitalic"/>
          <w:i w:val="0"/>
        </w:rPr>
        <w:t>. </w:t>
      </w:r>
      <w:r w:rsidRPr="002D7AA8">
        <w:rPr>
          <w:rStyle w:val="AERtextitalic"/>
          <w:i w:val="0"/>
        </w:rPr>
        <w:t>16-17</w:t>
      </w:r>
      <w:r w:rsidRPr="00BD2C2C">
        <w:rPr>
          <w:rStyle w:val="AERtextitalic"/>
          <w:i w:val="0"/>
        </w:rPr>
        <w:t>.</w:t>
      </w:r>
    </w:p>
  </w:footnote>
  <w:footnote w:id="453">
    <w:p w:rsidR="00B31E52" w:rsidRDefault="00B31E52" w:rsidP="0043564A">
      <w:pPr>
        <w:pStyle w:val="FootnoteText"/>
      </w:pPr>
      <w:r>
        <w:rPr>
          <w:rStyle w:val="FootnoteReference"/>
        </w:rPr>
        <w:footnoteRef/>
      </w:r>
      <w:r>
        <w:t xml:space="preserve"> </w:t>
      </w:r>
      <w:r>
        <w:tab/>
        <w:t xml:space="preserve">Frontier Economics, </w:t>
      </w:r>
      <w:r>
        <w:rPr>
          <w:rStyle w:val="AERtextitalic"/>
        </w:rPr>
        <w:t>Issues in the estimation of gamma</w:t>
      </w:r>
      <w:r>
        <w:t>, September 2016, pp. 21-22.</w:t>
      </w:r>
    </w:p>
  </w:footnote>
  <w:footnote w:id="454">
    <w:p w:rsidR="00B31E52" w:rsidRPr="001224E1" w:rsidRDefault="00B31E52" w:rsidP="005C46D8">
      <w:pPr>
        <w:pStyle w:val="FootnoteText"/>
      </w:pPr>
      <w:r>
        <w:rPr>
          <w:rStyle w:val="FootnoteReference"/>
        </w:rPr>
        <w:footnoteRef/>
      </w:r>
      <w:r>
        <w:t xml:space="preserve"> </w:t>
      </w:r>
      <w:r>
        <w:tab/>
        <w:t xml:space="preserve">M. Lally, </w:t>
      </w:r>
      <w:r w:rsidRPr="0006518E">
        <w:rPr>
          <w:rStyle w:val="AERtextitalic"/>
        </w:rPr>
        <w:t>Issues in the estimation of gamma</w:t>
      </w:r>
      <w:r>
        <w:t>, April 2017</w:t>
      </w:r>
      <w:r w:rsidRPr="001224E1">
        <w:rPr>
          <w:rStyle w:val="AERtextitalic"/>
          <w:i w:val="0"/>
        </w:rPr>
        <w:t>, p</w:t>
      </w:r>
      <w:r w:rsidRPr="002D7AA8">
        <w:rPr>
          <w:rStyle w:val="AERtextitalic"/>
          <w:i w:val="0"/>
        </w:rPr>
        <w:t>p</w:t>
      </w:r>
      <w:r w:rsidRPr="00BD2C2C">
        <w:rPr>
          <w:rStyle w:val="AERtextitalic"/>
          <w:i w:val="0"/>
        </w:rPr>
        <w:t>.</w:t>
      </w:r>
      <w:r w:rsidRPr="005C46D8">
        <w:rPr>
          <w:rStyle w:val="AERtextitalic"/>
          <w:i w:val="0"/>
        </w:rPr>
        <w:t> </w:t>
      </w:r>
      <w:r w:rsidRPr="007D76DD">
        <w:rPr>
          <w:rStyle w:val="AERtextitalic"/>
          <w:i w:val="0"/>
        </w:rPr>
        <w:t>1</w:t>
      </w:r>
      <w:r w:rsidRPr="00541886">
        <w:rPr>
          <w:rStyle w:val="AERtextitalic"/>
          <w:i w:val="0"/>
        </w:rPr>
        <w:t>7</w:t>
      </w:r>
      <w:r w:rsidRPr="005C46D8">
        <w:rPr>
          <w:rStyle w:val="AERtextitalic"/>
          <w:i w:val="0"/>
        </w:rPr>
        <w:t>-</w:t>
      </w:r>
      <w:r w:rsidRPr="00541886">
        <w:rPr>
          <w:rStyle w:val="AERtextitalic"/>
          <w:i w:val="0"/>
        </w:rPr>
        <w:t>20</w:t>
      </w:r>
      <w:r w:rsidRPr="00BD2C2C">
        <w:rPr>
          <w:rStyle w:val="AERtextitalic"/>
          <w:i w:val="0"/>
        </w:rPr>
        <w:t>.</w:t>
      </w:r>
    </w:p>
  </w:footnote>
  <w:footnote w:id="455">
    <w:p w:rsidR="00B31E52" w:rsidRDefault="00B31E52">
      <w:pPr>
        <w:pStyle w:val="FootnoteText"/>
      </w:pPr>
      <w:r>
        <w:rPr>
          <w:rStyle w:val="FootnoteReference"/>
        </w:rPr>
        <w:footnoteRef/>
      </w:r>
      <w:r>
        <w:t xml:space="preserve"> </w:t>
      </w:r>
      <w:r>
        <w:tab/>
        <w:t xml:space="preserve">A. Ainsworth, G. Partington and G. Warren, </w:t>
      </w:r>
      <w:r w:rsidRPr="00814197">
        <w:rPr>
          <w:rStyle w:val="AERtextitalic"/>
        </w:rPr>
        <w:t>Do franking credits matter? Exploring the financial implications of dividend imputation</w:t>
      </w:r>
      <w:r>
        <w:t>, May 2015, p. 14.</w:t>
      </w:r>
    </w:p>
  </w:footnote>
  <w:footnote w:id="456">
    <w:p w:rsidR="00B31E52" w:rsidRDefault="00B31E52" w:rsidP="0043564A">
      <w:pPr>
        <w:pStyle w:val="FootnoteText"/>
      </w:pPr>
      <w:r>
        <w:rPr>
          <w:rStyle w:val="FootnoteReference"/>
        </w:rPr>
        <w:footnoteRef/>
      </w:r>
      <w:r>
        <w:t xml:space="preserve"> </w:t>
      </w:r>
      <w:r>
        <w:tab/>
        <w:t xml:space="preserve">Frontier Economics, </w:t>
      </w:r>
      <w:r>
        <w:rPr>
          <w:rStyle w:val="AERtextitalic"/>
        </w:rPr>
        <w:t>Issues in the estimation of gamma</w:t>
      </w:r>
      <w:r>
        <w:t>, September 2016, pp. 21-22.</w:t>
      </w:r>
    </w:p>
  </w:footnote>
  <w:footnote w:id="457">
    <w:p w:rsidR="00B31E52" w:rsidRPr="001224E1" w:rsidRDefault="00B31E52" w:rsidP="00BD2C2C">
      <w:pPr>
        <w:pStyle w:val="FootnoteText"/>
      </w:pPr>
      <w:r>
        <w:rPr>
          <w:rStyle w:val="FootnoteReference"/>
        </w:rPr>
        <w:footnoteRef/>
      </w:r>
      <w:r>
        <w:t xml:space="preserve"> </w:t>
      </w:r>
      <w:r>
        <w:tab/>
        <w:t xml:space="preserve">M. Lally, </w:t>
      </w:r>
      <w:r w:rsidRPr="00E750F8">
        <w:rPr>
          <w:rStyle w:val="AERtextitalic"/>
        </w:rPr>
        <w:t>Issues in the estimation of gamma</w:t>
      </w:r>
      <w:r>
        <w:t>, April 2017</w:t>
      </w:r>
      <w:r w:rsidRPr="001224E1">
        <w:rPr>
          <w:rStyle w:val="AERtextitalic"/>
          <w:i w:val="0"/>
        </w:rPr>
        <w:t xml:space="preserve">, </w:t>
      </w:r>
      <w:r w:rsidRPr="00BD2C2C">
        <w:rPr>
          <w:rStyle w:val="AERtextitalic"/>
          <w:i w:val="0"/>
        </w:rPr>
        <w:t>p. </w:t>
      </w:r>
      <w:r w:rsidRPr="002D7AA8">
        <w:rPr>
          <w:rStyle w:val="AERtextitalic"/>
          <w:i w:val="0"/>
        </w:rPr>
        <w:t>20</w:t>
      </w:r>
      <w:r w:rsidRPr="00BD2C2C">
        <w:rPr>
          <w:rStyle w:val="AERtextitalic"/>
          <w:i w:val="0"/>
        </w:rPr>
        <w:t>.</w:t>
      </w:r>
    </w:p>
  </w:footnote>
  <w:footnote w:id="458">
    <w:p w:rsidR="00B31E52" w:rsidRDefault="00B31E52" w:rsidP="00C52695">
      <w:pPr>
        <w:pStyle w:val="FootnoteText"/>
      </w:pPr>
      <w:r>
        <w:rPr>
          <w:rStyle w:val="FootnoteReference"/>
        </w:rPr>
        <w:footnoteRef/>
      </w:r>
      <w:r>
        <w:t xml:space="preserve"> </w:t>
      </w:r>
      <w:r>
        <w:tab/>
        <w:t xml:space="preserve">SFG, </w:t>
      </w:r>
      <w:r w:rsidRPr="00C014CC">
        <w:rPr>
          <w:rStyle w:val="AERtextitalic"/>
        </w:rPr>
        <w:t>An appropriate regulatory estimate of gamma</w:t>
      </w:r>
      <w:r>
        <w:t xml:space="preserve">, 21 May 2014, appendix 6; SFG, </w:t>
      </w:r>
      <w:r>
        <w:rPr>
          <w:rStyle w:val="AERtextitalic"/>
        </w:rPr>
        <w:t>Estimating gamma for regulatory purposes</w:t>
      </w:r>
      <w:r>
        <w:t>, 6 February 2015, section 4.</w:t>
      </w:r>
    </w:p>
  </w:footnote>
  <w:footnote w:id="459">
    <w:p w:rsidR="00B31E52" w:rsidRDefault="00B31E52" w:rsidP="00C52695">
      <w:pPr>
        <w:pStyle w:val="FootnoteText"/>
      </w:pPr>
      <w:r>
        <w:rPr>
          <w:rStyle w:val="FootnoteReference"/>
        </w:rPr>
        <w:footnoteRef/>
      </w:r>
      <w:r>
        <w:t xml:space="preserve"> </w:t>
      </w:r>
      <w:r>
        <w:tab/>
        <w:t xml:space="preserve">Frontier Economics, </w:t>
      </w:r>
      <w:r w:rsidRPr="00D14DE4">
        <w:rPr>
          <w:rStyle w:val="AERtextitalic"/>
        </w:rPr>
        <w:t>An appropriate regulatory estimate of gamma</w:t>
      </w:r>
      <w:r>
        <w:t>, June 2015, pp. 17–18.</w:t>
      </w:r>
    </w:p>
  </w:footnote>
  <w:footnote w:id="460">
    <w:p w:rsidR="00B31E52" w:rsidRDefault="00B31E52">
      <w:pPr>
        <w:pStyle w:val="FootnoteText"/>
      </w:pPr>
      <w:r>
        <w:rPr>
          <w:rStyle w:val="FootnoteReference"/>
        </w:rPr>
        <w:footnoteRef/>
      </w:r>
      <w:r>
        <w:t xml:space="preserve"> </w:t>
      </w:r>
      <w:r>
        <w:tab/>
        <w:t xml:space="preserve">Frontier, </w:t>
      </w:r>
      <w:r w:rsidRPr="00993DE3">
        <w:rPr>
          <w:rStyle w:val="AERtextitalic"/>
        </w:rPr>
        <w:t>Perspectives for the estimation of gamma</w:t>
      </w:r>
      <w:r>
        <w:t>, December 2016, pp.5- 6.</w:t>
      </w:r>
    </w:p>
  </w:footnote>
  <w:footnote w:id="461">
    <w:p w:rsidR="00B31E52" w:rsidRDefault="00B31E52" w:rsidP="00C52695">
      <w:pPr>
        <w:pStyle w:val="FootnoteText"/>
      </w:pPr>
      <w:r>
        <w:rPr>
          <w:rStyle w:val="FootnoteReference"/>
        </w:rPr>
        <w:footnoteRef/>
      </w:r>
      <w:r>
        <w:t xml:space="preserve"> </w:t>
      </w:r>
      <w:r>
        <w:tab/>
      </w:r>
      <w:r w:rsidRPr="004D735C">
        <w:t xml:space="preserve">J. Handley, </w:t>
      </w:r>
      <w:r w:rsidRPr="008916E4">
        <w:rPr>
          <w:rStyle w:val="AERtextitalic"/>
        </w:rPr>
        <w:t>Report prepared for the Australian Energy Regulator: Advice on the value of imputation credits</w:t>
      </w:r>
      <w:r w:rsidRPr="004D735C">
        <w:t>, 29 September 201</w:t>
      </w:r>
      <w:r>
        <w:t xml:space="preserve">4, pp. 22–23, 30–31 and 35; J. Handley, </w:t>
      </w:r>
      <w:r w:rsidRPr="00626887">
        <w:rPr>
          <w:rStyle w:val="AERtextitalic"/>
        </w:rPr>
        <w:t>Report prepared for the Australian Energy Regulator: Further advice on the value of imputation credits</w:t>
      </w:r>
      <w:r>
        <w:t>, 16 April 2015, pp. 3–11.</w:t>
      </w:r>
    </w:p>
  </w:footnote>
  <w:footnote w:id="462">
    <w:p w:rsidR="00B31E52" w:rsidRDefault="00B31E52" w:rsidP="00C52695">
      <w:pPr>
        <w:pStyle w:val="FootnoteText"/>
      </w:pPr>
      <w:r>
        <w:rPr>
          <w:rStyle w:val="FootnoteReference"/>
        </w:rPr>
        <w:footnoteRef/>
      </w:r>
      <w:r>
        <w:t xml:space="preserve"> </w:t>
      </w:r>
      <w:r>
        <w:tab/>
        <w:t xml:space="preserve">SFG, </w:t>
      </w:r>
      <w:r>
        <w:rPr>
          <w:rStyle w:val="AERtextitalic"/>
        </w:rPr>
        <w:t>Estimating gamma for regulatory purposes</w:t>
      </w:r>
      <w:r>
        <w:t>, 6 February 2015, para. 89.</w:t>
      </w:r>
    </w:p>
  </w:footnote>
  <w:footnote w:id="463">
    <w:p w:rsidR="00B31E52" w:rsidRDefault="00B31E52" w:rsidP="00C52695">
      <w:pPr>
        <w:pStyle w:val="FootnoteText"/>
      </w:pPr>
      <w:r>
        <w:rPr>
          <w:rStyle w:val="FootnoteReference"/>
        </w:rPr>
        <w:footnoteRef/>
      </w:r>
      <w:r>
        <w:t xml:space="preserve"> </w:t>
      </w:r>
      <w:r>
        <w:tab/>
        <w:t xml:space="preserve">J. Handley, </w:t>
      </w:r>
      <w:r w:rsidRPr="00626887">
        <w:rPr>
          <w:rStyle w:val="AERtextitalic"/>
        </w:rPr>
        <w:t>Report prepared for the Australian Energy Regulator: Further advice on the value of imputation credits</w:t>
      </w:r>
      <w:r>
        <w:t>, 16 April 2015, pp. 10–11.</w:t>
      </w:r>
    </w:p>
  </w:footnote>
  <w:footnote w:id="464">
    <w:p w:rsidR="00B31E52" w:rsidRDefault="00B31E52" w:rsidP="00C52695">
      <w:pPr>
        <w:pStyle w:val="FootnoteText"/>
      </w:pPr>
      <w:r>
        <w:rPr>
          <w:rStyle w:val="FootnoteReference"/>
        </w:rPr>
        <w:footnoteRef/>
      </w:r>
      <w:r>
        <w:t xml:space="preserve"> </w:t>
      </w:r>
      <w:r>
        <w:tab/>
        <w:t xml:space="preserve">SFG, </w:t>
      </w:r>
      <w:r w:rsidRPr="00C014CC">
        <w:rPr>
          <w:rStyle w:val="AERtextitalic"/>
        </w:rPr>
        <w:t>An appropriate regulatory estimate of gamma</w:t>
      </w:r>
      <w:r>
        <w:t xml:space="preserve">, 21 May 2014, appendix 6; SFG, </w:t>
      </w:r>
      <w:r>
        <w:rPr>
          <w:rStyle w:val="AERtextitalic"/>
        </w:rPr>
        <w:t>Estimating gamma for regulatory purposes</w:t>
      </w:r>
      <w:r>
        <w:t>, 6 February 2015, paras. 103–105.</w:t>
      </w:r>
    </w:p>
  </w:footnote>
  <w:footnote w:id="465">
    <w:p w:rsidR="00B31E52" w:rsidRDefault="00B31E52" w:rsidP="00C52695">
      <w:pPr>
        <w:pStyle w:val="FootnoteText"/>
      </w:pPr>
      <w:r>
        <w:rPr>
          <w:rStyle w:val="FootnoteReference"/>
        </w:rPr>
        <w:footnoteRef/>
      </w:r>
      <w:r>
        <w:t xml:space="preserve"> </w:t>
      </w:r>
      <w:r>
        <w:tab/>
        <w:t xml:space="preserve">J. Handley, </w:t>
      </w:r>
      <w:r w:rsidRPr="00626887">
        <w:rPr>
          <w:rStyle w:val="AERtextitalic"/>
        </w:rPr>
        <w:t>Report prepared for the Australian Energy Regulator: Further advice on the value of imputation credits</w:t>
      </w:r>
      <w:r>
        <w:t>, 16 April 2015, footnote 14.</w:t>
      </w:r>
    </w:p>
  </w:footnote>
  <w:footnote w:id="466">
    <w:p w:rsidR="00B31E52" w:rsidRDefault="00B31E52" w:rsidP="00C52695">
      <w:pPr>
        <w:pStyle w:val="FootnoteText"/>
      </w:pPr>
      <w:r>
        <w:rPr>
          <w:rStyle w:val="FootnoteReference"/>
        </w:rPr>
        <w:footnoteRef/>
      </w:r>
      <w:r>
        <w:t xml:space="preserve"> </w:t>
      </w:r>
      <w:r>
        <w:tab/>
      </w:r>
      <w:r w:rsidRPr="004D735C">
        <w:t xml:space="preserve">J. Handley, </w:t>
      </w:r>
      <w:r w:rsidRPr="008916E4">
        <w:rPr>
          <w:rStyle w:val="AERtextitalic"/>
        </w:rPr>
        <w:t>Report prepared for the Australian Energy Regulator: Advice on the value of imputation credits</w:t>
      </w:r>
      <w:r w:rsidRPr="004D735C">
        <w:t>, 29 September 201</w:t>
      </w:r>
      <w:r>
        <w:t xml:space="preserve">4, pp. 22–23, 30–31 and 35; J. Handley, </w:t>
      </w:r>
      <w:r w:rsidRPr="00626887">
        <w:rPr>
          <w:rStyle w:val="AERtextitalic"/>
        </w:rPr>
        <w:t>Report prepared for the Australian Energy Regulator: Further advice on the value of imputation credits</w:t>
      </w:r>
      <w:r>
        <w:t>, 16 April 2015, pp. 3–11.</w:t>
      </w:r>
    </w:p>
  </w:footnote>
  <w:footnote w:id="467">
    <w:p w:rsidR="00B31E52" w:rsidRDefault="00B31E52" w:rsidP="00C52695">
      <w:pPr>
        <w:pStyle w:val="FootnoteText"/>
      </w:pPr>
      <w:r>
        <w:rPr>
          <w:rStyle w:val="FootnoteReference"/>
        </w:rPr>
        <w:footnoteRef/>
      </w:r>
      <w:r>
        <w:t xml:space="preserve"> </w:t>
      </w:r>
      <w:r>
        <w:tab/>
      </w:r>
      <w:r w:rsidRPr="00712BC2">
        <w:t xml:space="preserve">M. Lally, </w:t>
      </w:r>
      <w:r>
        <w:rPr>
          <w:rStyle w:val="AERtextitalic"/>
        </w:rPr>
        <w:t>Gamma and the ACT Decision</w:t>
      </w:r>
      <w:r>
        <w:t>, May 2016, pp. 8-9.</w:t>
      </w:r>
    </w:p>
  </w:footnote>
  <w:footnote w:id="468">
    <w:p w:rsidR="00B31E52" w:rsidRDefault="00B31E52" w:rsidP="00C52695">
      <w:pPr>
        <w:pStyle w:val="FootnoteText"/>
      </w:pPr>
      <w:r>
        <w:rPr>
          <w:rStyle w:val="FootnoteReference"/>
        </w:rPr>
        <w:footnoteRef/>
      </w:r>
      <w:r>
        <w:t xml:space="preserve"> </w:t>
      </w:r>
      <w:r>
        <w:tab/>
      </w:r>
      <w:r w:rsidRPr="00582678">
        <w:t xml:space="preserve">J. Handley, </w:t>
      </w:r>
      <w:r w:rsidRPr="00582678">
        <w:rPr>
          <w:rStyle w:val="AERtextitalic"/>
        </w:rPr>
        <w:t>Report prepared for the Australian Energy Regulator: Advice on the value of imputation credits</w:t>
      </w:r>
      <w:r w:rsidRPr="00582678">
        <w:t>, 29 September 2014</w:t>
      </w:r>
      <w:r>
        <w:t>, pp. 4–5.</w:t>
      </w:r>
    </w:p>
  </w:footnote>
  <w:footnote w:id="469">
    <w:p w:rsidR="00B31E52" w:rsidRDefault="00B31E52" w:rsidP="00C52695">
      <w:pPr>
        <w:pStyle w:val="FootnoteText"/>
      </w:pPr>
      <w:r>
        <w:rPr>
          <w:rStyle w:val="FootnoteReference"/>
        </w:rPr>
        <w:footnoteRef/>
      </w:r>
      <w:r>
        <w:t xml:space="preserve"> </w:t>
      </w:r>
      <w:r>
        <w:tab/>
      </w:r>
      <w:r w:rsidRPr="00582678">
        <w:t xml:space="preserve">J. Handley, </w:t>
      </w:r>
      <w:r w:rsidRPr="00582678">
        <w:rPr>
          <w:rStyle w:val="AERtextitalic"/>
        </w:rPr>
        <w:t>Report prepared for the Australian Energy Regulator: Advice on the value of imputation credits</w:t>
      </w:r>
      <w:r w:rsidRPr="00582678">
        <w:t>, 29 September 2014</w:t>
      </w:r>
      <w:r>
        <w:t>, p. 46.</w:t>
      </w:r>
    </w:p>
  </w:footnote>
  <w:footnote w:id="470">
    <w:p w:rsidR="00B31E52" w:rsidRDefault="00B31E52" w:rsidP="00C52695">
      <w:pPr>
        <w:pStyle w:val="FootnoteText"/>
      </w:pPr>
      <w:r>
        <w:rPr>
          <w:rStyle w:val="FootnoteReference"/>
        </w:rPr>
        <w:footnoteRef/>
      </w:r>
      <w:r>
        <w:t xml:space="preserve"> </w:t>
      </w:r>
      <w:r>
        <w:tab/>
        <w:t xml:space="preserve">Australian Gas Networks, </w:t>
      </w:r>
      <w:r>
        <w:rPr>
          <w:rStyle w:val="AERtextitalic"/>
        </w:rPr>
        <w:t>Attachment 11 Response to Draft Decision: Cost of Tax</w:t>
      </w:r>
      <w:r>
        <w:t xml:space="preserve">, January 2016, pp. 2,4,6; ActewAGL, </w:t>
      </w:r>
      <w:r w:rsidRPr="00AF5B33">
        <w:rPr>
          <w:rStyle w:val="AERtextitalic"/>
        </w:rPr>
        <w:t>Appendix 5.01 Detailed response to rate of return, gamma and inflation</w:t>
      </w:r>
      <w:r>
        <w:t xml:space="preserve">, January 2016, p. 40; AusNet Electricity Services, </w:t>
      </w:r>
      <w:r w:rsidRPr="00AF5B33">
        <w:rPr>
          <w:rStyle w:val="AERtextitalic"/>
        </w:rPr>
        <w:t>Revised Regulatory Proposal</w:t>
      </w:r>
      <w:r>
        <w:t xml:space="preserve">, January 2016, p. 7-79; United Energy, </w:t>
      </w:r>
      <w:r w:rsidRPr="00AF5B33">
        <w:rPr>
          <w:rStyle w:val="AERtextitalic"/>
        </w:rPr>
        <w:t>Response to AER Preliminary Determination Re: Rate of return and gamma</w:t>
      </w:r>
      <w:r>
        <w:t xml:space="preserve">, January 2016, p. 80; CitiPower, </w:t>
      </w:r>
      <w:r w:rsidRPr="00AF5B33">
        <w:rPr>
          <w:rStyle w:val="AERtextitalic"/>
        </w:rPr>
        <w:t>Revised Regulatory Proposal 2016-2020</w:t>
      </w:r>
      <w:r>
        <w:t xml:space="preserve">; January 2016, p. 358; Jemena Electricity Networks, </w:t>
      </w:r>
      <w:r w:rsidRPr="00AF5B33">
        <w:rPr>
          <w:rStyle w:val="AERtextitalic"/>
        </w:rPr>
        <w:t>Attachment 6-1 Rate of return, gamma, forecast inflation, and debt and equity raising costs</w:t>
      </w:r>
      <w:r>
        <w:t xml:space="preserve">, January 2016, p. 86; Powercor, </w:t>
      </w:r>
      <w:r w:rsidRPr="00AF5B33">
        <w:rPr>
          <w:rStyle w:val="AERtextitalic"/>
        </w:rPr>
        <w:t>Revised Regulatory Proposal 2016-2020</w:t>
      </w:r>
      <w:r>
        <w:t xml:space="preserve">, January 2016, p. 352; AusNet Transmission, </w:t>
      </w:r>
      <w:r>
        <w:rPr>
          <w:rStyle w:val="AERtextitalic"/>
        </w:rPr>
        <w:t>Transmission Revenue Proposal Review 2017-2022, Revised Revenue Proposal</w:t>
      </w:r>
      <w:r>
        <w:t>, 21 September 2016, p. 199.</w:t>
      </w:r>
    </w:p>
  </w:footnote>
  <w:footnote w:id="471">
    <w:p w:rsidR="00B31E52" w:rsidRDefault="00B31E52" w:rsidP="00C52695">
      <w:pPr>
        <w:pStyle w:val="FootnoteText"/>
      </w:pPr>
      <w:r>
        <w:rPr>
          <w:rStyle w:val="FootnoteReference"/>
        </w:rPr>
        <w:footnoteRef/>
      </w:r>
      <w:r>
        <w:t xml:space="preserve"> </w:t>
      </w:r>
      <w:r>
        <w:tab/>
        <w:t xml:space="preserve">Australian Gas Networks, </w:t>
      </w:r>
      <w:r>
        <w:rPr>
          <w:rStyle w:val="AERtextitalic"/>
        </w:rPr>
        <w:t>Attachment 11 Response to Draft Decision: Cost of Tax</w:t>
      </w:r>
      <w:r>
        <w:t xml:space="preserve">, January 2016, p. 6; ActewAGL, </w:t>
      </w:r>
      <w:r w:rsidRPr="00AF5B33">
        <w:rPr>
          <w:rStyle w:val="AERtextitalic"/>
        </w:rPr>
        <w:t>Appendix 5.01 Detailed response to rate of return, gamma and inflation</w:t>
      </w:r>
      <w:r>
        <w:t xml:space="preserve">, January 2016, pp. 41, 108; AusNet Electricity Services, </w:t>
      </w:r>
      <w:r w:rsidRPr="00AF5B33">
        <w:rPr>
          <w:rStyle w:val="AERtextitalic"/>
        </w:rPr>
        <w:t>Revised Regulatory Proposal</w:t>
      </w:r>
      <w:r>
        <w:t xml:space="preserve">, January 2016, pp. 7-79, 7-80; United Energy, </w:t>
      </w:r>
      <w:r w:rsidRPr="00AF5B33">
        <w:rPr>
          <w:rStyle w:val="AERtextitalic"/>
        </w:rPr>
        <w:t>Response to AER Preliminary Determination Re: Rate of return and gamma</w:t>
      </w:r>
      <w:r>
        <w:t xml:space="preserve">, January 2016, p. 81; CitiPower, </w:t>
      </w:r>
      <w:r w:rsidRPr="00AF5B33">
        <w:rPr>
          <w:rStyle w:val="AERtextitalic"/>
        </w:rPr>
        <w:t>Revised Regulatory Proposal 2016-2020</w:t>
      </w:r>
      <w:r>
        <w:t xml:space="preserve">; January 2016, p. 358; Jemena Electricity Networks, </w:t>
      </w:r>
      <w:r w:rsidRPr="00AF5B33">
        <w:rPr>
          <w:rStyle w:val="AERtextitalic"/>
        </w:rPr>
        <w:t>Attachment 6-1 Rate of return, gamma, forecast inflation, and debt and equity raising costs</w:t>
      </w:r>
      <w:r>
        <w:t xml:space="preserve">, January 2016, p. 87; Powercor, </w:t>
      </w:r>
      <w:r w:rsidRPr="00AF5B33">
        <w:rPr>
          <w:rStyle w:val="AERtextitalic"/>
        </w:rPr>
        <w:t>Revised Regulatory Proposal 2016-2020</w:t>
      </w:r>
      <w:r>
        <w:t>, January 2016, p. 352; Powerlink</w:t>
      </w:r>
      <w:r w:rsidRPr="003E1CE7">
        <w:t xml:space="preserve">, </w:t>
      </w:r>
      <w:r>
        <w:rPr>
          <w:rStyle w:val="AERtextitalic"/>
        </w:rPr>
        <w:t>Powerlink Queensland Revenue Proposal Appendix 9.02</w:t>
      </w:r>
      <w:r w:rsidRPr="003E1CE7">
        <w:t xml:space="preserve">, </w:t>
      </w:r>
      <w:r>
        <w:t>31 January 2016, p</w:t>
      </w:r>
      <w:r w:rsidRPr="003E1CE7">
        <w:t>. </w:t>
      </w:r>
      <w:r>
        <w:t>6.</w:t>
      </w:r>
    </w:p>
  </w:footnote>
  <w:footnote w:id="472">
    <w:p w:rsidR="00B31E52" w:rsidRDefault="00B31E52" w:rsidP="00C52695">
      <w:pPr>
        <w:pStyle w:val="FootnoteText"/>
      </w:pPr>
      <w:r>
        <w:rPr>
          <w:rStyle w:val="FootnoteReference"/>
        </w:rPr>
        <w:footnoteRef/>
      </w:r>
      <w:r>
        <w:t xml:space="preserve"> </w:t>
      </w:r>
      <w:r>
        <w:tab/>
        <w:t xml:space="preserve">ActewAGL, </w:t>
      </w:r>
      <w:r w:rsidRPr="000E181F">
        <w:rPr>
          <w:rStyle w:val="AERtextitalic"/>
        </w:rPr>
        <w:t>Detailed response to the AER's draft decision in relation to gamma</w:t>
      </w:r>
      <w:r>
        <w:t xml:space="preserve">, January 2015, p. 2; Ausgrid, </w:t>
      </w:r>
      <w:r w:rsidRPr="00D75F7A">
        <w:rPr>
          <w:rStyle w:val="AERtextitalic"/>
        </w:rPr>
        <w:t>Ausgrid's revised proposal on gamma</w:t>
      </w:r>
      <w:r>
        <w:t xml:space="preserve">, January 2015, p. 4; Directlink, </w:t>
      </w:r>
      <w:r w:rsidRPr="0000771B">
        <w:rPr>
          <w:rStyle w:val="AERtextitalic"/>
        </w:rPr>
        <w:t>Directlink submission on gamma (updated)</w:t>
      </w:r>
      <w:r>
        <w:t xml:space="preserve">, January 2015, p. 5; Endeavour Energy, </w:t>
      </w:r>
      <w:r w:rsidRPr="00DF3162">
        <w:rPr>
          <w:rStyle w:val="AERtextitalic"/>
        </w:rPr>
        <w:t>Endeavour Energy's response to the AER draft decision re gamma</w:t>
      </w:r>
      <w:r>
        <w:t xml:space="preserve">, January 2015, p. 4; Essential Energy, </w:t>
      </w:r>
      <w:r w:rsidRPr="000E181F">
        <w:rPr>
          <w:rStyle w:val="AERtextitalic"/>
        </w:rPr>
        <w:t>Essential's response to AER draft decision re gamma</w:t>
      </w:r>
      <w:r>
        <w:t xml:space="preserve">, January 2015, p. 4; JGN, </w:t>
      </w:r>
      <w:r w:rsidRPr="000E181F">
        <w:rPr>
          <w:rStyle w:val="AERtextitalic"/>
        </w:rPr>
        <w:t>Gamma - response to the draft decision</w:t>
      </w:r>
      <w:r>
        <w:t xml:space="preserve">, February 2015, p. 6; AusNet Services, </w:t>
      </w:r>
      <w:r w:rsidRPr="00596AF9">
        <w:rPr>
          <w:i/>
        </w:rPr>
        <w:t>2016-20 Regulatory Proposal</w:t>
      </w:r>
      <w:r>
        <w:t xml:space="preserve">, April 2015, p. 360; United Energy, </w:t>
      </w:r>
      <w:r w:rsidRPr="00596AF9">
        <w:rPr>
          <w:i/>
        </w:rPr>
        <w:t>Assessment of the Value of Imputation Credits - Gamma, Proposal for 2016 to 2020</w:t>
      </w:r>
      <w:r>
        <w:t xml:space="preserve">, April 2015, p. 9; CitiPower,- </w:t>
      </w:r>
      <w:r w:rsidRPr="00596AF9">
        <w:rPr>
          <w:i/>
        </w:rPr>
        <w:t>Appendix J - Gamma</w:t>
      </w:r>
      <w:r>
        <w:t xml:space="preserve">, April 2015, p. 9; Powercor, </w:t>
      </w:r>
      <w:r w:rsidRPr="00596AF9">
        <w:rPr>
          <w:i/>
        </w:rPr>
        <w:t>Appendix J - Gamma</w:t>
      </w:r>
      <w:r>
        <w:t xml:space="preserve">, April 2015, p. 9; Jemena Electricity, </w:t>
      </w:r>
      <w:r w:rsidRPr="00596AF9">
        <w:rPr>
          <w:i/>
        </w:rPr>
        <w:t>Attachment 06-06 Gamma proposal</w:t>
      </w:r>
      <w:r>
        <w:t xml:space="preserve">, April 2015, p. 9 ; Energex, </w:t>
      </w:r>
      <w:r w:rsidRPr="00596AF9">
        <w:rPr>
          <w:i/>
        </w:rPr>
        <w:t>Submission on Energex's regulatory proposal 2015-20 and AER issues paper - attachment 2</w:t>
      </w:r>
      <w:r>
        <w:t xml:space="preserve">, January 2015, p. 6; ActewAGL Distribution, </w:t>
      </w:r>
      <w:r w:rsidRPr="00596AF9">
        <w:rPr>
          <w:i/>
        </w:rPr>
        <w:t xml:space="preserve">Attachment 8 Detailed gamma proposal, </w:t>
      </w:r>
      <w:r>
        <w:t>June 2015, p. 7.</w:t>
      </w:r>
    </w:p>
  </w:footnote>
  <w:footnote w:id="473">
    <w:p w:rsidR="00B31E52" w:rsidRDefault="00B31E52" w:rsidP="00C52695">
      <w:pPr>
        <w:pStyle w:val="FootnoteText"/>
      </w:pPr>
      <w:r>
        <w:rPr>
          <w:rStyle w:val="FootnoteReference"/>
        </w:rPr>
        <w:footnoteRef/>
      </w:r>
      <w:r>
        <w:t xml:space="preserve"> </w:t>
      </w:r>
      <w:r>
        <w:tab/>
        <w:t xml:space="preserve">Frontier, </w:t>
      </w:r>
      <w:r>
        <w:rPr>
          <w:rStyle w:val="AERtextitalic"/>
        </w:rPr>
        <w:t>Regulatory estimation of gamma report prepared form Powerlink</w:t>
      </w:r>
      <w:r w:rsidRPr="00C2259D">
        <w:t xml:space="preserve">, </w:t>
      </w:r>
      <w:r>
        <w:t>January 2016, p. 9.</w:t>
      </w:r>
    </w:p>
  </w:footnote>
  <w:footnote w:id="474">
    <w:p w:rsidR="00B31E52" w:rsidRDefault="00B31E52" w:rsidP="00C52695">
      <w:pPr>
        <w:pStyle w:val="FootnoteText"/>
      </w:pPr>
      <w:r>
        <w:rPr>
          <w:rStyle w:val="FootnoteReference"/>
        </w:rPr>
        <w:footnoteRef/>
      </w:r>
      <w:r>
        <w:t xml:space="preserve"> </w:t>
      </w:r>
      <w:r>
        <w:tab/>
        <w:t xml:space="preserve">Frontier, </w:t>
      </w:r>
      <w:r>
        <w:rPr>
          <w:rStyle w:val="AERtextitalic"/>
        </w:rPr>
        <w:t>Regulatory estimation of gamma report prepared form Powerlink</w:t>
      </w:r>
      <w:r w:rsidRPr="00C2259D">
        <w:t xml:space="preserve">, </w:t>
      </w:r>
      <w:r>
        <w:t>January 2016, p. 10.</w:t>
      </w:r>
    </w:p>
  </w:footnote>
  <w:footnote w:id="475">
    <w:p w:rsidR="00B31E52" w:rsidRDefault="00B31E52" w:rsidP="00C52695">
      <w:pPr>
        <w:pStyle w:val="FootnoteText"/>
      </w:pPr>
      <w:r>
        <w:rPr>
          <w:rStyle w:val="FootnoteReference"/>
        </w:rPr>
        <w:footnoteRef/>
      </w:r>
      <w:r>
        <w:t xml:space="preserve"> </w:t>
      </w:r>
      <w:r>
        <w:tab/>
        <w:t xml:space="preserve">See section A.5 of the draft decisions and: </w:t>
      </w:r>
      <w:r w:rsidRPr="007646B1">
        <w:t xml:space="preserve">AER, </w:t>
      </w:r>
      <w:r w:rsidRPr="007646B1">
        <w:rPr>
          <w:rStyle w:val="AERtextitalic"/>
        </w:rPr>
        <w:t xml:space="preserve">Better regulation: Explanatory </w:t>
      </w:r>
      <w:r>
        <w:rPr>
          <w:rStyle w:val="AERtextitalic"/>
        </w:rPr>
        <w:t>S</w:t>
      </w:r>
      <w:r w:rsidRPr="007646B1">
        <w:rPr>
          <w:rStyle w:val="AERtextitalic"/>
        </w:rPr>
        <w:t xml:space="preserve">tatement </w:t>
      </w:r>
      <w:r>
        <w:rPr>
          <w:rStyle w:val="AERtextitalic"/>
        </w:rPr>
        <w:t>R</w:t>
      </w:r>
      <w:r w:rsidRPr="007646B1">
        <w:rPr>
          <w:rStyle w:val="AERtextitalic"/>
        </w:rPr>
        <w:t>ate</w:t>
      </w:r>
      <w:r>
        <w:rPr>
          <w:rStyle w:val="AERtextitalic"/>
        </w:rPr>
        <w:t xml:space="preserve"> of Return Guideline, Appendices,</w:t>
      </w:r>
      <w:r w:rsidRPr="007646B1">
        <w:t xml:space="preserve"> December 2013</w:t>
      </w:r>
      <w:r>
        <w:t>, p. 138.</w:t>
      </w:r>
    </w:p>
  </w:footnote>
  <w:footnote w:id="476">
    <w:p w:rsidR="00B31E52" w:rsidRDefault="00B31E52" w:rsidP="00C52695">
      <w:pPr>
        <w:pStyle w:val="FootnoteText"/>
      </w:pPr>
      <w:r>
        <w:rPr>
          <w:rStyle w:val="FootnoteReference"/>
        </w:rPr>
        <w:footnoteRef/>
      </w:r>
      <w:r>
        <w:t xml:space="preserve"> </w:t>
      </w:r>
      <w:r>
        <w:tab/>
        <w:t xml:space="preserve">J. Handley, </w:t>
      </w:r>
      <w:r w:rsidRPr="00626887">
        <w:rPr>
          <w:rStyle w:val="AERtextitalic"/>
        </w:rPr>
        <w:t>Report prepared for the Australian Energy Regulator: Further advice on the value of imputation credits</w:t>
      </w:r>
      <w:r>
        <w:t>, 16 April 2015, pp. 3-4.</w:t>
      </w:r>
    </w:p>
  </w:footnote>
  <w:footnote w:id="477">
    <w:p w:rsidR="00B31E52" w:rsidRDefault="00B31E52" w:rsidP="00C52695">
      <w:pPr>
        <w:pStyle w:val="FootnoteText"/>
      </w:pPr>
      <w:r>
        <w:rPr>
          <w:rStyle w:val="FootnoteReference"/>
        </w:rPr>
        <w:footnoteRef/>
      </w:r>
      <w:r>
        <w:t xml:space="preserve"> </w:t>
      </w:r>
      <w:r>
        <w:tab/>
        <w:t xml:space="preserve">J. Handley, </w:t>
      </w:r>
      <w:r w:rsidRPr="00626887">
        <w:rPr>
          <w:rStyle w:val="AERtextitalic"/>
        </w:rPr>
        <w:t>Report prepared for the Australian Energy Regulator: Further advice on the value of imputation credits</w:t>
      </w:r>
      <w:r>
        <w:t>, 16 April 2015, p. 2, 3.</w:t>
      </w:r>
    </w:p>
  </w:footnote>
  <w:footnote w:id="478">
    <w:p w:rsidR="00B31E52" w:rsidRDefault="00B31E52" w:rsidP="00C52695">
      <w:pPr>
        <w:pStyle w:val="FootnoteText"/>
      </w:pPr>
      <w:r>
        <w:rPr>
          <w:rStyle w:val="FootnoteReference"/>
        </w:rPr>
        <w:footnoteRef/>
      </w:r>
      <w:r>
        <w:t xml:space="preserve"> </w:t>
      </w:r>
      <w:r>
        <w:tab/>
        <w:t xml:space="preserve">J. Handley, </w:t>
      </w:r>
      <w:r w:rsidRPr="00626887">
        <w:rPr>
          <w:rStyle w:val="AERtextitalic"/>
        </w:rPr>
        <w:t>Report prepared for the Australian Energy Regulator: Further advice on the value of imputation credits</w:t>
      </w:r>
      <w:r>
        <w:t>, 16 April 2015, p. 7.</w:t>
      </w:r>
    </w:p>
  </w:footnote>
  <w:footnote w:id="479">
    <w:p w:rsidR="00B31E52" w:rsidRDefault="00B31E52" w:rsidP="00D35DB1">
      <w:pPr>
        <w:pStyle w:val="FootnoteText"/>
      </w:pPr>
      <w:r>
        <w:rPr>
          <w:rStyle w:val="FootnoteReference"/>
        </w:rPr>
        <w:footnoteRef/>
      </w:r>
      <w:r>
        <w:t xml:space="preserve"> </w:t>
      </w:r>
      <w:r>
        <w:tab/>
        <w:t xml:space="preserve">Federal Court of Australia, </w:t>
      </w:r>
      <w:r w:rsidRPr="00B23401">
        <w:rPr>
          <w:rStyle w:val="AERtextitalic"/>
        </w:rPr>
        <w:t>Australian Energy Regulator v Australian Competition Tribunal (No 2) [2017] FCAFC 79</w:t>
      </w:r>
      <w:r>
        <w:t>, May 2017, p. 215.</w:t>
      </w:r>
    </w:p>
  </w:footnote>
  <w:footnote w:id="480">
    <w:p w:rsidR="00B31E52" w:rsidRDefault="00B31E52">
      <w:pPr>
        <w:pStyle w:val="FootnoteText"/>
      </w:pPr>
      <w:r>
        <w:rPr>
          <w:rStyle w:val="FootnoteReference"/>
        </w:rPr>
        <w:footnoteRef/>
      </w:r>
      <w:r>
        <w:t xml:space="preserve"> </w:t>
      </w:r>
      <w:r>
        <w:tab/>
        <w:t xml:space="preserve">Federal Court of Australia, </w:t>
      </w:r>
      <w:r w:rsidRPr="00B23401">
        <w:rPr>
          <w:rStyle w:val="AERtextitalic"/>
        </w:rPr>
        <w:t>Australian Energy Regulator v Australian Competition Tribunal (No 2) [2017] FCAFC 79</w:t>
      </w:r>
      <w:r>
        <w:t>, May 2017, p. 216.</w:t>
      </w:r>
    </w:p>
  </w:footnote>
  <w:footnote w:id="481">
    <w:p w:rsidR="00B31E52" w:rsidRDefault="00B31E52">
      <w:pPr>
        <w:pStyle w:val="FootnoteText"/>
      </w:pPr>
      <w:r>
        <w:rPr>
          <w:rStyle w:val="FootnoteReference"/>
        </w:rPr>
        <w:footnoteRef/>
      </w:r>
      <w:r>
        <w:t xml:space="preserve"> </w:t>
      </w:r>
      <w:r>
        <w:tab/>
      </w:r>
      <w:r w:rsidRPr="00DA22CC">
        <w:t xml:space="preserve">Frontier Economics, </w:t>
      </w:r>
      <w:r w:rsidRPr="008B1CA1">
        <w:rPr>
          <w:rStyle w:val="AERtextitalic"/>
        </w:rPr>
        <w:t>Perspectives for the estimation of gamma</w:t>
      </w:r>
      <w:r w:rsidRPr="00DA22CC">
        <w:t>, December 2016</w:t>
      </w:r>
    </w:p>
  </w:footnote>
  <w:footnote w:id="482">
    <w:p w:rsidR="00B31E52" w:rsidRDefault="00B31E52" w:rsidP="00DA22CC">
      <w:pPr>
        <w:pStyle w:val="FootnoteText"/>
      </w:pPr>
      <w:r>
        <w:rPr>
          <w:rStyle w:val="FootnoteReference"/>
        </w:rPr>
        <w:footnoteRef/>
      </w:r>
      <w:r>
        <w:t xml:space="preserve"> </w:t>
      </w:r>
      <w:r>
        <w:tab/>
      </w:r>
      <w:r w:rsidRPr="00DA22CC">
        <w:t xml:space="preserve">Frontier Economics, </w:t>
      </w:r>
      <w:r w:rsidRPr="008B1CA1">
        <w:rPr>
          <w:rStyle w:val="AERtextitalic"/>
        </w:rPr>
        <w:t>Perspectives for the estimation of gamma</w:t>
      </w:r>
      <w:r w:rsidRPr="00DA22CC">
        <w:t>, December 2016</w:t>
      </w:r>
      <w:r>
        <w:t>, para. 39.</w:t>
      </w:r>
    </w:p>
  </w:footnote>
  <w:footnote w:id="483">
    <w:p w:rsidR="00B31E52" w:rsidRDefault="00B31E52">
      <w:pPr>
        <w:pStyle w:val="FootnoteText"/>
      </w:pPr>
      <w:r>
        <w:rPr>
          <w:rStyle w:val="FootnoteReference"/>
        </w:rPr>
        <w:footnoteRef/>
      </w:r>
      <w:r>
        <w:t xml:space="preserve"> </w:t>
      </w:r>
      <w:r>
        <w:tab/>
      </w:r>
      <w:r w:rsidRPr="0087471D">
        <w:t xml:space="preserve">M. Lally, </w:t>
      </w:r>
      <w:r w:rsidRPr="008B1CA1">
        <w:rPr>
          <w:rStyle w:val="AERtextitalic"/>
        </w:rPr>
        <w:t>Review of Frontier Report of Gamma</w:t>
      </w:r>
      <w:r w:rsidRPr="0087471D">
        <w:t xml:space="preserve">, </w:t>
      </w:r>
      <w:r>
        <w:t>June</w:t>
      </w:r>
      <w:r w:rsidRPr="0087471D">
        <w:t xml:space="preserve"> 2017, </w:t>
      </w:r>
      <w:r>
        <w:t>p. 6.</w:t>
      </w:r>
    </w:p>
  </w:footnote>
  <w:footnote w:id="484">
    <w:p w:rsidR="00B31E52" w:rsidRDefault="00B31E52" w:rsidP="00C52695">
      <w:pPr>
        <w:pStyle w:val="FootnoteText"/>
      </w:pPr>
      <w:r>
        <w:rPr>
          <w:rStyle w:val="FootnoteReference"/>
        </w:rPr>
        <w:footnoteRef/>
      </w:r>
      <w:r>
        <w:t xml:space="preserve"> </w:t>
      </w:r>
      <w:r>
        <w:tab/>
      </w:r>
      <w:r w:rsidRPr="00AF088D">
        <w:t xml:space="preserve">SFG, </w:t>
      </w:r>
      <w:r w:rsidRPr="00AF088D">
        <w:rPr>
          <w:rStyle w:val="AERtextitalic"/>
        </w:rPr>
        <w:t>Updated dividend drop-off estimate of theta: Report for the Energy Networks Association</w:t>
      </w:r>
      <w:r w:rsidRPr="00AF088D">
        <w:t>, 7 </w:t>
      </w:r>
      <w:r>
        <w:t>June 2013, pp. 18-20.</w:t>
      </w:r>
    </w:p>
  </w:footnote>
  <w:footnote w:id="485">
    <w:p w:rsidR="00B31E52" w:rsidRDefault="00B31E52" w:rsidP="00C52695">
      <w:pPr>
        <w:pStyle w:val="FootnoteText"/>
      </w:pPr>
      <w:r>
        <w:rPr>
          <w:rStyle w:val="FootnoteReference"/>
        </w:rPr>
        <w:footnoteRef/>
      </w:r>
      <w:r>
        <w:t xml:space="preserve"> </w:t>
      </w:r>
      <w:r>
        <w:tab/>
        <w:t xml:space="preserve">Capital gains are normally taxed at half the marginal tax rate if the investment was held for a period of 12 months or more. See ATO: </w:t>
      </w:r>
      <w:r w:rsidRPr="005764F6">
        <w:t>https://www.ato.gov.au/general/capital-gains-tax/working-out-your-capital-gain-or-loss/working-out-your-capital-gain/</w:t>
      </w:r>
      <w:r>
        <w:t xml:space="preserve"> accessed: 20 May 2016.</w:t>
      </w:r>
    </w:p>
  </w:footnote>
  <w:footnote w:id="486">
    <w:p w:rsidR="00B31E52" w:rsidRDefault="00B31E52" w:rsidP="00C52695">
      <w:pPr>
        <w:pStyle w:val="FootnoteText"/>
      </w:pPr>
      <w:r>
        <w:rPr>
          <w:rStyle w:val="FootnoteReference"/>
        </w:rPr>
        <w:footnoteRef/>
      </w:r>
      <w:r>
        <w:t xml:space="preserve"> </w:t>
      </w:r>
      <w:r>
        <w:tab/>
        <w:t xml:space="preserve">N. Hathaway and B. Officer, </w:t>
      </w:r>
      <w:r w:rsidRPr="00AF729D">
        <w:rPr>
          <w:rStyle w:val="AERtextitalic"/>
        </w:rPr>
        <w:t>The value of imputation tax cred</w:t>
      </w:r>
      <w:r>
        <w:rPr>
          <w:rStyle w:val="AERtextitalic"/>
        </w:rPr>
        <w:t xml:space="preserve">its, </w:t>
      </w:r>
      <w:r w:rsidRPr="00AF729D">
        <w:rPr>
          <w:rStyle w:val="AERtextitalic"/>
        </w:rPr>
        <w:t>Update 2004</w:t>
      </w:r>
      <w:r>
        <w:t>, November 2004.</w:t>
      </w:r>
    </w:p>
  </w:footnote>
  <w:footnote w:id="487">
    <w:p w:rsidR="00B31E52" w:rsidRDefault="00B31E52" w:rsidP="001247E2">
      <w:pPr>
        <w:pStyle w:val="FootnoteText"/>
      </w:pPr>
      <w:r>
        <w:rPr>
          <w:rStyle w:val="FootnoteReference"/>
        </w:rPr>
        <w:footnoteRef/>
      </w:r>
      <w:r>
        <w:t xml:space="preserve"> </w:t>
      </w:r>
      <w:r>
        <w:tab/>
      </w:r>
      <w:r w:rsidRPr="001247E2">
        <w:t xml:space="preserve">Frontier Economics, </w:t>
      </w:r>
      <w:r w:rsidRPr="008B1CA1">
        <w:rPr>
          <w:rStyle w:val="AERtextitalic"/>
        </w:rPr>
        <w:t>Perspectives for the estimation of gamma</w:t>
      </w:r>
      <w:r w:rsidRPr="001247E2">
        <w:t>, December 2016</w:t>
      </w:r>
      <w:r>
        <w:t>, para. 35.</w:t>
      </w:r>
    </w:p>
  </w:footnote>
  <w:footnote w:id="488">
    <w:p w:rsidR="00B31E52" w:rsidRDefault="00B31E52" w:rsidP="00C52695">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26 February 2016, para</w:t>
      </w:r>
      <w:r w:rsidRPr="00590D86">
        <w:t xml:space="preserve">. </w:t>
      </w:r>
      <w:r w:rsidRPr="006D49F4">
        <w:t>1073.</w:t>
      </w:r>
    </w:p>
  </w:footnote>
  <w:footnote w:id="489">
    <w:p w:rsidR="00B31E52" w:rsidRDefault="00B31E52">
      <w:pPr>
        <w:pStyle w:val="FootnoteText"/>
      </w:pPr>
      <w:r>
        <w:rPr>
          <w:rStyle w:val="FootnoteReference"/>
        </w:rPr>
        <w:footnoteRef/>
      </w:r>
      <w:r>
        <w:t xml:space="preserve"> </w:t>
      </w:r>
      <w:r>
        <w:tab/>
      </w:r>
      <w:r w:rsidRPr="0087471D">
        <w:t xml:space="preserve">M. Lally, </w:t>
      </w:r>
      <w:r w:rsidRPr="001A43CB">
        <w:rPr>
          <w:rStyle w:val="AERtextitalic"/>
        </w:rPr>
        <w:t>Review of Frontier Report of Gamma</w:t>
      </w:r>
      <w:r w:rsidRPr="0087471D">
        <w:t xml:space="preserve">, </w:t>
      </w:r>
      <w:r>
        <w:t>June</w:t>
      </w:r>
      <w:r w:rsidRPr="0087471D">
        <w:t xml:space="preserve"> 2017, </w:t>
      </w:r>
      <w:r>
        <w:t>p. 5.</w:t>
      </w:r>
    </w:p>
  </w:footnote>
  <w:footnote w:id="490">
    <w:p w:rsidR="00B31E52" w:rsidRDefault="00B31E52" w:rsidP="00C52695">
      <w:pPr>
        <w:pStyle w:val="FootnoteText"/>
      </w:pPr>
      <w:r>
        <w:rPr>
          <w:rStyle w:val="FootnoteReference"/>
        </w:rPr>
        <w:footnoteRef/>
      </w:r>
      <w:r>
        <w:t xml:space="preserve"> </w:t>
      </w:r>
      <w:r>
        <w:tab/>
      </w:r>
      <w:r w:rsidRPr="00712BC2">
        <w:t xml:space="preserve">M. Lally, </w:t>
      </w:r>
      <w:r>
        <w:rPr>
          <w:rStyle w:val="AERtextitalic"/>
        </w:rPr>
        <w:t>Gamma and the ACT Decision</w:t>
      </w:r>
      <w:r>
        <w:t>, May 2016, p. 12.</w:t>
      </w:r>
    </w:p>
  </w:footnote>
  <w:footnote w:id="491">
    <w:p w:rsidR="00B31E52" w:rsidRDefault="00B31E52" w:rsidP="005B77D3">
      <w:pPr>
        <w:pStyle w:val="FootnoteText"/>
      </w:pPr>
      <w:r>
        <w:rPr>
          <w:rStyle w:val="FootnoteReference"/>
        </w:rPr>
        <w:footnoteRef/>
      </w:r>
      <w:r>
        <w:t xml:space="preserve"> </w:t>
      </w:r>
      <w:r>
        <w:tab/>
        <w:t xml:space="preserve">M. Lally, </w:t>
      </w:r>
      <w:r w:rsidRPr="00E750F8">
        <w:rPr>
          <w:rStyle w:val="AERtextitalic"/>
        </w:rPr>
        <w:t>Issues in the estimation of gamma</w:t>
      </w:r>
      <w:r>
        <w:t>, April 2017</w:t>
      </w:r>
      <w:r w:rsidRPr="00D7695B">
        <w:rPr>
          <w:rStyle w:val="AERtextitalic"/>
          <w:i w:val="0"/>
        </w:rPr>
        <w:t>, p. 27.</w:t>
      </w:r>
    </w:p>
  </w:footnote>
  <w:footnote w:id="492">
    <w:p w:rsidR="00B31E52" w:rsidRDefault="00B31E52" w:rsidP="00A235DE">
      <w:pPr>
        <w:pStyle w:val="FootnoteText"/>
      </w:pPr>
      <w:r>
        <w:rPr>
          <w:rStyle w:val="FootnoteReference"/>
        </w:rPr>
        <w:footnoteRef/>
      </w:r>
      <w:r>
        <w:t xml:space="preserve"> </w:t>
      </w:r>
      <w:r>
        <w:tab/>
        <w:t xml:space="preserve">Federal Court of Australia, </w:t>
      </w:r>
      <w:r w:rsidRPr="00B23401">
        <w:rPr>
          <w:rStyle w:val="AERtextitalic"/>
        </w:rPr>
        <w:t>Australian Energy Regulator v Australian Competition Tribunal (No 2) [2017] FCAFC 79</w:t>
      </w:r>
      <w:r>
        <w:t>, May 2017.</w:t>
      </w:r>
    </w:p>
  </w:footnote>
  <w:footnote w:id="493">
    <w:p w:rsidR="00B31E52" w:rsidRDefault="00B31E52" w:rsidP="00924687">
      <w:pPr>
        <w:pStyle w:val="FootnoteText"/>
      </w:pPr>
      <w:r>
        <w:rPr>
          <w:rStyle w:val="FootnoteReference"/>
        </w:rPr>
        <w:footnoteRef/>
      </w:r>
      <w:r>
        <w:t xml:space="preserve"> </w:t>
      </w:r>
      <w:r>
        <w:tab/>
        <w:t xml:space="preserve">Federal Court of Australia, </w:t>
      </w:r>
      <w:r w:rsidRPr="00B23401">
        <w:rPr>
          <w:rStyle w:val="AERtextitalic"/>
        </w:rPr>
        <w:t>Australian Energy Regulator v Australian Competition Tribunal (No 2) [2017] FCAFC 79</w:t>
      </w:r>
      <w:r>
        <w:t>, May 2017, p. 216.</w:t>
      </w:r>
    </w:p>
  </w:footnote>
  <w:footnote w:id="494">
    <w:p w:rsidR="00B31E52" w:rsidRDefault="00B31E52">
      <w:pPr>
        <w:pStyle w:val="FootnoteText"/>
      </w:pPr>
      <w:r>
        <w:rPr>
          <w:rStyle w:val="FootnoteReference"/>
        </w:rPr>
        <w:footnoteRef/>
      </w:r>
      <w:r>
        <w:t xml:space="preserve"> </w:t>
      </w:r>
      <w:r>
        <w:tab/>
        <w:t xml:space="preserve">Federal Court of Australia, </w:t>
      </w:r>
      <w:r w:rsidRPr="00B23401">
        <w:rPr>
          <w:rStyle w:val="AERtextitalic"/>
        </w:rPr>
        <w:t>Australian Energy Regulator v Australian Competition Tribunal (No 2) [2017] FCAFC 79</w:t>
      </w:r>
      <w:r>
        <w:t>, May 2017, p. 216.</w:t>
      </w:r>
    </w:p>
  </w:footnote>
  <w:footnote w:id="495">
    <w:p w:rsidR="00B31E52" w:rsidRDefault="00B31E52" w:rsidP="0056734B">
      <w:pPr>
        <w:pStyle w:val="FootnoteText"/>
      </w:pPr>
      <w:r>
        <w:rPr>
          <w:rStyle w:val="FootnoteReference"/>
        </w:rPr>
        <w:footnoteRef/>
      </w:r>
      <w:r>
        <w:t xml:space="preserve"> </w:t>
      </w:r>
      <w:r>
        <w:tab/>
      </w:r>
      <w:r w:rsidRPr="005D01B1">
        <w:t>Brailsford, Handley, Maheswaran</w:t>
      </w:r>
      <w:r w:rsidRPr="0056734B">
        <w:t>, ‘</w:t>
      </w:r>
      <w:r w:rsidRPr="0056734B">
        <w:rPr>
          <w:rStyle w:val="AERtextitalic"/>
          <w:i w:val="0"/>
        </w:rPr>
        <w:t>Re-examination of the historical equity risk premium in Australia’</w:t>
      </w:r>
      <w:r w:rsidRPr="005D01B1">
        <w:t xml:space="preserve">, </w:t>
      </w:r>
      <w:r w:rsidRPr="0056734B">
        <w:rPr>
          <w:rStyle w:val="AERtextitalic"/>
        </w:rPr>
        <w:t>Accounting and Finance</w:t>
      </w:r>
      <w:r w:rsidRPr="005D01B1">
        <w:t>, Vol. 48, 2008, pp. 84–85</w:t>
      </w:r>
      <w:r>
        <w:t>.</w:t>
      </w:r>
    </w:p>
  </w:footnote>
  <w:footnote w:id="496">
    <w:p w:rsidR="00B31E52" w:rsidRDefault="00B31E52" w:rsidP="00E750F8">
      <w:pPr>
        <w:pStyle w:val="FootnoteText"/>
      </w:pPr>
      <w:r>
        <w:rPr>
          <w:rStyle w:val="FootnoteReference"/>
        </w:rPr>
        <w:footnoteRef/>
      </w:r>
      <w:r>
        <w:t xml:space="preserve"> </w:t>
      </w:r>
      <w:r>
        <w:tab/>
        <w:t>Source:</w:t>
      </w:r>
    </w:p>
    <w:p w:rsidR="00B31E52" w:rsidRDefault="00B31E52">
      <w:pPr>
        <w:pStyle w:val="FootnoteText"/>
      </w:pPr>
      <w:r>
        <w:tab/>
      </w:r>
      <w:r w:rsidRPr="00245EB8">
        <w:t>https://www.ato.gov.au/Rates/Company-tax---imputation--average-franking-credit---rebate-yields/?page=2#List_of_yields</w:t>
      </w:r>
    </w:p>
  </w:footnote>
  <w:footnote w:id="497">
    <w:p w:rsidR="00B31E52" w:rsidRDefault="00B31E52" w:rsidP="00C60A75">
      <w:pPr>
        <w:pStyle w:val="FootnoteText"/>
      </w:pPr>
      <w:r>
        <w:rPr>
          <w:rStyle w:val="FootnoteReference"/>
        </w:rPr>
        <w:footnoteRef/>
      </w:r>
      <w:r>
        <w:t xml:space="preserve"> </w:t>
      </w:r>
      <w:r>
        <w:tab/>
      </w:r>
      <w:r w:rsidRPr="00B51819">
        <w:t xml:space="preserve">AusNet Transmission, </w:t>
      </w:r>
      <w:r w:rsidRPr="00B51819">
        <w:rPr>
          <w:rStyle w:val="AERtextitalic"/>
        </w:rPr>
        <w:t>Transmission Revenue Review 2017-2022</w:t>
      </w:r>
      <w:r w:rsidRPr="00B51819">
        <w:t>, October 2015, p.</w:t>
      </w:r>
      <w:r>
        <w:t xml:space="preserve"> 294; Australian Gas Networks, </w:t>
      </w:r>
      <w:r>
        <w:rPr>
          <w:rStyle w:val="AERtextitalic"/>
        </w:rPr>
        <w:t>Attachment 11 Response to Draft Decision: Cost of Tax</w:t>
      </w:r>
      <w:r>
        <w:t xml:space="preserve">, January 2016, 1; ActewAGL, </w:t>
      </w:r>
      <w:r w:rsidRPr="00AF5B33">
        <w:rPr>
          <w:rStyle w:val="AERtextitalic"/>
        </w:rPr>
        <w:t>Appendix 5.01 Detailed response to rate of return, gamma and inflation</w:t>
      </w:r>
      <w:r>
        <w:t xml:space="preserve">, January 2016, pp. 112-114; AusNet Electricity Services, </w:t>
      </w:r>
      <w:r w:rsidRPr="00AF5B33">
        <w:rPr>
          <w:rStyle w:val="AERtextitalic"/>
        </w:rPr>
        <w:t>Revised Regulatory Proposal</w:t>
      </w:r>
      <w:r>
        <w:t xml:space="preserve">, January 2016, pp. 7-83, 7-84; United Energy, </w:t>
      </w:r>
      <w:r w:rsidRPr="00AF5B33">
        <w:rPr>
          <w:rStyle w:val="AERtextitalic"/>
        </w:rPr>
        <w:t>Response to AER Preliminary Determination Re: Rate of return and gamma</w:t>
      </w:r>
      <w:r>
        <w:t xml:space="preserve">, January 2016, pp. 84-86; CitiPower, </w:t>
      </w:r>
      <w:r w:rsidRPr="00AF5B33">
        <w:rPr>
          <w:rStyle w:val="AERtextitalic"/>
        </w:rPr>
        <w:t>Revised Regulatory Proposal 2016-2020</w:t>
      </w:r>
      <w:r>
        <w:t xml:space="preserve">; January 2016, pp. 362-364; Jemena Electricity Networks, </w:t>
      </w:r>
      <w:r w:rsidRPr="00AF5B33">
        <w:rPr>
          <w:rStyle w:val="AERtextitalic"/>
        </w:rPr>
        <w:t>Attachment 6-1 Rate of return, gamma, forecast inflation, and debt and equity raising costs</w:t>
      </w:r>
      <w:r>
        <w:t xml:space="preserve">, January 2016, pp. 90-92; Powercor, </w:t>
      </w:r>
      <w:r w:rsidRPr="00AF5B33">
        <w:rPr>
          <w:rStyle w:val="AERtextitalic"/>
        </w:rPr>
        <w:t>Revised Regulatory Proposal 2016-2020</w:t>
      </w:r>
      <w:r>
        <w:t xml:space="preserve">, January 2016, pp. 356-358; AusNet Transmission, </w:t>
      </w:r>
      <w:r>
        <w:rPr>
          <w:rStyle w:val="AERtextitalic"/>
        </w:rPr>
        <w:t>Transmission Revenue Proposal Review 2017-2022, Revised Revenue Proposal</w:t>
      </w:r>
      <w:r>
        <w:t>, 21 September 2016, pp. 204, 207;</w:t>
      </w:r>
      <w:r w:rsidRPr="00C60A75">
        <w:t xml:space="preserve"> Multinet, </w:t>
      </w:r>
      <w:r w:rsidRPr="008B1CA1">
        <w:rPr>
          <w:rStyle w:val="AERtextitalic"/>
        </w:rPr>
        <w:t>Corporate Income Tax Overview</w:t>
      </w:r>
      <w:r w:rsidRPr="00C60A75">
        <w:t xml:space="preserve">, December 2016, p. </w:t>
      </w:r>
      <w:r>
        <w:t>14</w:t>
      </w:r>
      <w:r w:rsidRPr="00C60A75">
        <w:t xml:space="preserve">; AusNet Services Gas Distribution, </w:t>
      </w:r>
      <w:r w:rsidRPr="008B1CA1">
        <w:rPr>
          <w:rStyle w:val="AERtextitalic"/>
        </w:rPr>
        <w:t>Gas Access Arrangement Review 2018-2022</w:t>
      </w:r>
      <w:r w:rsidRPr="00C60A75">
        <w:t>, December 2016, p. 2</w:t>
      </w:r>
      <w:r>
        <w:t>45</w:t>
      </w:r>
      <w:r w:rsidRPr="00C60A75">
        <w:t>.</w:t>
      </w:r>
    </w:p>
  </w:footnote>
  <w:footnote w:id="498">
    <w:p w:rsidR="00B31E52" w:rsidRDefault="00B31E52" w:rsidP="00C52695">
      <w:pPr>
        <w:pStyle w:val="FootnoteText"/>
      </w:pPr>
      <w:r>
        <w:rPr>
          <w:rStyle w:val="FootnoteReference"/>
        </w:rPr>
        <w:footnoteRef/>
      </w:r>
      <w:r>
        <w:t xml:space="preserve"> </w:t>
      </w:r>
      <w:r>
        <w:tab/>
      </w:r>
      <w:r w:rsidRPr="00B51819">
        <w:t xml:space="preserve">AusNet Transmission, </w:t>
      </w:r>
      <w:r w:rsidRPr="00B51819">
        <w:rPr>
          <w:rStyle w:val="AERtextitalic"/>
        </w:rPr>
        <w:t>Transmission Revenue Review 2017-2022</w:t>
      </w:r>
      <w:r w:rsidRPr="00B51819">
        <w:t>, October 2015, p</w:t>
      </w:r>
      <w:r>
        <w:t>p</w:t>
      </w:r>
      <w:r w:rsidRPr="00B51819">
        <w:t>.</w:t>
      </w:r>
      <w:r>
        <w:t xml:space="preserve"> 296, 298; Australian Gas Networks, </w:t>
      </w:r>
      <w:r>
        <w:rPr>
          <w:rStyle w:val="AERtextitalic"/>
        </w:rPr>
        <w:t>Attachment 11 Response to Draft Decision: Cost of Tax</w:t>
      </w:r>
      <w:r>
        <w:t xml:space="preserve">, January 2016, p. 11; ActewAGL, </w:t>
      </w:r>
      <w:r w:rsidRPr="00AF5B33">
        <w:rPr>
          <w:rStyle w:val="AERtextitalic"/>
        </w:rPr>
        <w:t>Appendix 5.01 Detailed response to rate of return, gamma and inflation</w:t>
      </w:r>
      <w:r>
        <w:t xml:space="preserve">, January 2016, pp. 112-114; AusNet Electricity Services, </w:t>
      </w:r>
      <w:r w:rsidRPr="00AF5B33">
        <w:rPr>
          <w:rStyle w:val="AERtextitalic"/>
        </w:rPr>
        <w:t>Revised Regulatory Proposal</w:t>
      </w:r>
      <w:r>
        <w:t xml:space="preserve">, January 2016, pp. 7-83, 7-84; United Energy, </w:t>
      </w:r>
      <w:r w:rsidRPr="00AF5B33">
        <w:rPr>
          <w:rStyle w:val="AERtextitalic"/>
        </w:rPr>
        <w:t>Response to AER Preliminary Determination Re: Rate of return and gamma</w:t>
      </w:r>
      <w:r>
        <w:t xml:space="preserve">, January 2016, pp. 84-86; CitiPower, </w:t>
      </w:r>
      <w:r w:rsidRPr="00AF5B33">
        <w:rPr>
          <w:rStyle w:val="AERtextitalic"/>
        </w:rPr>
        <w:t>Revised Regulatory Proposal 2016-2020</w:t>
      </w:r>
      <w:r>
        <w:t xml:space="preserve">; January 2016, pp. 362-364; Jemena Electricity Networks, </w:t>
      </w:r>
      <w:r w:rsidRPr="00AF5B33">
        <w:rPr>
          <w:rStyle w:val="AERtextitalic"/>
        </w:rPr>
        <w:t>Attachment 6-1 Rate of return, gamma, forecast inflation, and debt and equity raising costs</w:t>
      </w:r>
      <w:r>
        <w:t xml:space="preserve">, January 2016, pp. 90-92; Powercor, </w:t>
      </w:r>
      <w:r w:rsidRPr="00AF5B33">
        <w:rPr>
          <w:rStyle w:val="AERtextitalic"/>
        </w:rPr>
        <w:t>Revised Regulatory Proposal 2016-2020</w:t>
      </w:r>
      <w:r>
        <w:t>, January 2016, pp. 356-358;</w:t>
      </w:r>
      <w:r w:rsidRPr="00C60A75">
        <w:t xml:space="preserve"> Multinet, </w:t>
      </w:r>
      <w:r w:rsidRPr="001F32F3">
        <w:rPr>
          <w:rStyle w:val="AERtextitalic"/>
        </w:rPr>
        <w:t>Corporate Income Tax Overview</w:t>
      </w:r>
      <w:r>
        <w:t>, December 2016, p. 8;</w:t>
      </w:r>
      <w:r w:rsidRPr="00C60A75">
        <w:t xml:space="preserve"> AusNet Services Gas Distribution, </w:t>
      </w:r>
      <w:r w:rsidRPr="001F32F3">
        <w:rPr>
          <w:rStyle w:val="AERtextitalic"/>
        </w:rPr>
        <w:t>Gas Access Arrangement Review 2018-2022</w:t>
      </w:r>
      <w:r w:rsidRPr="00C60A75">
        <w:t>, December 2016, p. 23</w:t>
      </w:r>
      <w:r>
        <w:t>8.</w:t>
      </w:r>
    </w:p>
  </w:footnote>
  <w:footnote w:id="499">
    <w:p w:rsidR="00B31E52" w:rsidRDefault="00B31E52" w:rsidP="00902B9B">
      <w:pPr>
        <w:pStyle w:val="FootnoteText"/>
      </w:pPr>
      <w:r>
        <w:rPr>
          <w:rStyle w:val="FootnoteReference"/>
        </w:rPr>
        <w:footnoteRef/>
      </w:r>
      <w:r>
        <w:t xml:space="preserve"> </w:t>
      </w:r>
      <w:r>
        <w:tab/>
      </w:r>
      <w:r w:rsidRPr="00B51819">
        <w:t xml:space="preserve">AusNet Transmission, </w:t>
      </w:r>
      <w:r w:rsidRPr="00B51819">
        <w:rPr>
          <w:rStyle w:val="AERtextitalic"/>
        </w:rPr>
        <w:t>Transmission Revenue Review 2017-2022</w:t>
      </w:r>
      <w:r w:rsidRPr="00B51819">
        <w:t>, October 2015, p</w:t>
      </w:r>
      <w:r>
        <w:t>p</w:t>
      </w:r>
      <w:r w:rsidRPr="00B51819">
        <w:t>. </w:t>
      </w:r>
      <w:r>
        <w:t xml:space="preserve">298-299, 305; Australian Gas Networks, </w:t>
      </w:r>
      <w:r>
        <w:rPr>
          <w:rStyle w:val="AERtextitalic"/>
        </w:rPr>
        <w:t>Attachment 11 Response to Draft Decision: Cost of Tax</w:t>
      </w:r>
      <w:r>
        <w:t xml:space="preserve">, January 2016, pp. 11-12; ActewAGL, </w:t>
      </w:r>
      <w:r w:rsidRPr="00AF5B33">
        <w:rPr>
          <w:rStyle w:val="AERtextitalic"/>
        </w:rPr>
        <w:t>Appendix 5.01 Detailed response to rate of return, gamma and inflation</w:t>
      </w:r>
      <w:r>
        <w:t xml:space="preserve">, January 2016, pp. 114-115; AusNet Electricity Services, </w:t>
      </w:r>
      <w:r w:rsidRPr="00AF5B33">
        <w:rPr>
          <w:rStyle w:val="AERtextitalic"/>
        </w:rPr>
        <w:t>Revised Regulatory Proposal</w:t>
      </w:r>
      <w:r>
        <w:t xml:space="preserve">, January 2016, p. 7-84; United Energy, </w:t>
      </w:r>
      <w:r w:rsidRPr="00AF5B33">
        <w:rPr>
          <w:rStyle w:val="AERtextitalic"/>
        </w:rPr>
        <w:t>Response to AER Preliminary Determination Re: Rate of return and gamma</w:t>
      </w:r>
      <w:r>
        <w:t xml:space="preserve">, January 2016, pp. 85-86; CitiPower, </w:t>
      </w:r>
      <w:r w:rsidRPr="00AF5B33">
        <w:rPr>
          <w:rStyle w:val="AERtextitalic"/>
        </w:rPr>
        <w:t>Revised Regulatory Proposal 2016-2020</w:t>
      </w:r>
      <w:r>
        <w:t xml:space="preserve">; January 2016, pp. 363-364; Jemena Electricity Networks, </w:t>
      </w:r>
      <w:r w:rsidRPr="00AF5B33">
        <w:rPr>
          <w:rStyle w:val="AERtextitalic"/>
        </w:rPr>
        <w:t>Attachment 6-1 Rate of return, gamma, forecast inflation, and debt and equity raising costs</w:t>
      </w:r>
      <w:r>
        <w:t xml:space="preserve">, January 2016, p. 92; Powercor, </w:t>
      </w:r>
      <w:r w:rsidRPr="00AF5B33">
        <w:rPr>
          <w:rStyle w:val="AERtextitalic"/>
        </w:rPr>
        <w:t>Revised Regulatory Proposal 2016-2020</w:t>
      </w:r>
      <w:r>
        <w:t xml:space="preserve">, January 2016, pp. 357-358; </w:t>
      </w:r>
      <w:r w:rsidRPr="00902B9B">
        <w:t xml:space="preserve"> Multinet, </w:t>
      </w:r>
      <w:r w:rsidRPr="008B1CA1">
        <w:rPr>
          <w:rStyle w:val="AERtextitalic"/>
        </w:rPr>
        <w:t>Corporate Income Tax Overview</w:t>
      </w:r>
      <w:r w:rsidRPr="00902B9B">
        <w:t xml:space="preserve">, December 2016, p. </w:t>
      </w:r>
      <w:r>
        <w:t>19</w:t>
      </w:r>
      <w:r w:rsidRPr="00902B9B">
        <w:t xml:space="preserve">; AusNet Services Gas Distribution, </w:t>
      </w:r>
      <w:r w:rsidRPr="008B1CA1">
        <w:rPr>
          <w:rStyle w:val="AERtextitalic"/>
        </w:rPr>
        <w:t>Gas Access Arrangement Review 2018-2022</w:t>
      </w:r>
      <w:r>
        <w:t>, December 2016, p. 252</w:t>
      </w:r>
      <w:r w:rsidRPr="00902B9B">
        <w:t>.</w:t>
      </w:r>
    </w:p>
  </w:footnote>
  <w:footnote w:id="500">
    <w:p w:rsidR="00B31E52" w:rsidRDefault="00B31E52" w:rsidP="00C52695">
      <w:pPr>
        <w:pStyle w:val="FootnoteText"/>
      </w:pPr>
      <w:r>
        <w:rPr>
          <w:rStyle w:val="FootnoteReference"/>
        </w:rPr>
        <w:footnoteRef/>
      </w:r>
      <w:r>
        <w:t xml:space="preserve"> </w:t>
      </w:r>
      <w:r>
        <w:tab/>
        <w:t xml:space="preserve">Frontier Economics, </w:t>
      </w:r>
      <w:r w:rsidRPr="00E750F8">
        <w:rPr>
          <w:rStyle w:val="AERtextitalic"/>
        </w:rPr>
        <w:t>The appropriate use of tax statistics when estimating gamma</w:t>
      </w:r>
      <w:r>
        <w:t>, January 2016, p. 7.</w:t>
      </w:r>
    </w:p>
  </w:footnote>
  <w:footnote w:id="501">
    <w:p w:rsidR="00B31E52" w:rsidRDefault="00B31E52" w:rsidP="00C52695">
      <w:pPr>
        <w:pStyle w:val="FootnoteText"/>
      </w:pPr>
      <w:r>
        <w:rPr>
          <w:rStyle w:val="FootnoteReference"/>
        </w:rPr>
        <w:footnoteRef/>
      </w:r>
      <w:r>
        <w:t xml:space="preserve"> </w:t>
      </w:r>
      <w:r>
        <w:tab/>
        <w:t xml:space="preserve">Frontier, </w:t>
      </w:r>
      <w:r>
        <w:rPr>
          <w:rStyle w:val="AERtextitalic"/>
        </w:rPr>
        <w:t>Regulatory estimation of gamma report prepared form Powerlink</w:t>
      </w:r>
      <w:r w:rsidRPr="00C2259D">
        <w:t xml:space="preserve">, </w:t>
      </w:r>
      <w:r>
        <w:t>January 2016, p. 10.</w:t>
      </w:r>
    </w:p>
  </w:footnote>
  <w:footnote w:id="502">
    <w:p w:rsidR="00B31E52" w:rsidRDefault="00B31E52" w:rsidP="00C52695">
      <w:pPr>
        <w:pStyle w:val="FootnoteText"/>
      </w:pPr>
      <w:r>
        <w:rPr>
          <w:rStyle w:val="FootnoteReference"/>
        </w:rPr>
        <w:footnoteRef/>
      </w:r>
      <w:r>
        <w:t xml:space="preserve"> </w:t>
      </w:r>
      <w:r>
        <w:tab/>
        <w:t xml:space="preserve">Frontier Economics, </w:t>
      </w:r>
      <w:r w:rsidRPr="00E750F8">
        <w:rPr>
          <w:rStyle w:val="AERtextitalic"/>
        </w:rPr>
        <w:t>The appropriate use of tax statistics when estimating gamma</w:t>
      </w:r>
      <w:r>
        <w:t>, January 2016, p. 7.</w:t>
      </w:r>
    </w:p>
  </w:footnote>
  <w:footnote w:id="503">
    <w:p w:rsidR="00B31E52" w:rsidRDefault="00B31E52" w:rsidP="00C52695">
      <w:pPr>
        <w:pStyle w:val="FootnoteText"/>
      </w:pPr>
      <w:r>
        <w:rPr>
          <w:rStyle w:val="FootnoteReference"/>
        </w:rPr>
        <w:footnoteRef/>
      </w:r>
      <w:r>
        <w:t xml:space="preserve"> </w:t>
      </w:r>
      <w:r>
        <w:tab/>
        <w:t xml:space="preserve">See: </w:t>
      </w:r>
      <w:r w:rsidRPr="00611553">
        <w:t>https://www.ato.gov.au/Individuals/Investing/In-detail/Investing-in-shares/You-and-your-shares-2013-14/?page=11</w:t>
      </w:r>
      <w:r>
        <w:t>. Accessed 9 April 2015.</w:t>
      </w:r>
    </w:p>
  </w:footnote>
  <w:footnote w:id="504">
    <w:p w:rsidR="00B31E52" w:rsidRDefault="00B31E52" w:rsidP="00C52695">
      <w:pPr>
        <w:pStyle w:val="FootnoteText"/>
      </w:pPr>
      <w:r>
        <w:rPr>
          <w:rStyle w:val="FootnoteReference"/>
        </w:rPr>
        <w:footnoteRef/>
      </w:r>
      <w:r>
        <w:t xml:space="preserve"> </w:t>
      </w:r>
      <w:r>
        <w:tab/>
      </w:r>
      <w:r w:rsidRPr="00A62FE1">
        <w:t>ActewAGL</w:t>
      </w:r>
      <w:r>
        <w:t xml:space="preserve">, </w:t>
      </w:r>
      <w:r w:rsidRPr="00B53917">
        <w:rPr>
          <w:rStyle w:val="AERtextitalic"/>
        </w:rPr>
        <w:t>Gamma, detailed proposal</w:t>
      </w:r>
      <w:r>
        <w:t>, May 2014, s. 1.4.3;</w:t>
      </w:r>
      <w:r w:rsidRPr="00A62FE1">
        <w:t xml:space="preserve"> </w:t>
      </w:r>
      <w:r>
        <w:t>Ausgrid</w:t>
      </w:r>
      <w:r w:rsidRPr="00A62FE1">
        <w:t xml:space="preserve">, </w:t>
      </w:r>
      <w:r w:rsidRPr="000C4BB9">
        <w:rPr>
          <w:rStyle w:val="AERtextitalic"/>
        </w:rPr>
        <w:t>Ausgrid's gamma proposal</w:t>
      </w:r>
      <w:r>
        <w:t xml:space="preserve">, May 2014, p. 14; </w:t>
      </w:r>
      <w:r w:rsidRPr="00A62FE1">
        <w:t>Directlink</w:t>
      </w:r>
      <w:r>
        <w:t>,</w:t>
      </w:r>
      <w:r w:rsidRPr="00A62FE1">
        <w:t xml:space="preserve"> </w:t>
      </w:r>
      <w:r w:rsidRPr="00B53917">
        <w:rPr>
          <w:rStyle w:val="AERtextitalic"/>
        </w:rPr>
        <w:t>Directlink submission on gamma</w:t>
      </w:r>
      <w:r>
        <w:t xml:space="preserve">, May 2014, p. 15; </w:t>
      </w:r>
      <w:r w:rsidRPr="00A62FE1">
        <w:t>Endeavour Ene</w:t>
      </w:r>
      <w:r>
        <w:t xml:space="preserve">rgy, </w:t>
      </w:r>
      <w:r w:rsidRPr="00B53917">
        <w:rPr>
          <w:rStyle w:val="AERtextitalic"/>
        </w:rPr>
        <w:t>Endeavour Energy's gamma proposal</w:t>
      </w:r>
      <w:r>
        <w:t xml:space="preserve">, May 2014, p. 14; Essential Energy, </w:t>
      </w:r>
      <w:r w:rsidRPr="00B53917">
        <w:rPr>
          <w:rStyle w:val="AERtextitalic"/>
        </w:rPr>
        <w:t>Essential Energy's gamma proposal</w:t>
      </w:r>
      <w:r>
        <w:t xml:space="preserve">, May 2014, p. 14; JGN, </w:t>
      </w:r>
      <w:r w:rsidRPr="00B53917">
        <w:rPr>
          <w:rStyle w:val="AERtextitalic"/>
        </w:rPr>
        <w:t>Gamma proposal</w:t>
      </w:r>
      <w:r>
        <w:t xml:space="preserve">, June 2014, p. 17; and TransGrid, </w:t>
      </w:r>
      <w:r>
        <w:rPr>
          <w:rStyle w:val="AERtextitalic"/>
        </w:rPr>
        <w:t>TransGrid</w:t>
      </w:r>
      <w:r w:rsidRPr="00B53917">
        <w:rPr>
          <w:rStyle w:val="AERtextitalic"/>
        </w:rPr>
        <w:t>'s approach to gamma</w:t>
      </w:r>
      <w:r>
        <w:t>, May 2014, p. 19.</w:t>
      </w:r>
    </w:p>
  </w:footnote>
  <w:footnote w:id="505">
    <w:p w:rsidR="00B31E52" w:rsidRDefault="00B31E52" w:rsidP="00C52695">
      <w:pPr>
        <w:pStyle w:val="FootnoteText"/>
      </w:pPr>
      <w:r>
        <w:rPr>
          <w:rStyle w:val="FootnoteReference"/>
        </w:rPr>
        <w:footnoteRef/>
      </w:r>
      <w:r>
        <w:t xml:space="preserve"> </w:t>
      </w:r>
      <w:r>
        <w:tab/>
      </w:r>
      <w:r w:rsidRPr="00EF3D8A">
        <w:t xml:space="preserve">J. Handley, </w:t>
      </w:r>
      <w:r w:rsidRPr="00EF3D8A">
        <w:rPr>
          <w:rStyle w:val="AERtextitalic"/>
        </w:rPr>
        <w:t>Further issues relating to the estimation of gamma</w:t>
      </w:r>
      <w:r>
        <w:t>, October 2010, footnote 59.</w:t>
      </w:r>
    </w:p>
  </w:footnote>
  <w:footnote w:id="506">
    <w:p w:rsidR="00B31E52" w:rsidRDefault="00B31E52" w:rsidP="00C52695">
      <w:pPr>
        <w:pStyle w:val="FootnoteText"/>
      </w:pPr>
      <w:r>
        <w:rPr>
          <w:rStyle w:val="FootnoteReference"/>
        </w:rPr>
        <w:footnoteRef/>
      </w:r>
      <w:r>
        <w:t xml:space="preserve"> </w:t>
      </w:r>
      <w:r>
        <w:tab/>
      </w:r>
      <w:r w:rsidRPr="00EF3D8A">
        <w:t xml:space="preserve">J. Handley, </w:t>
      </w:r>
      <w:r w:rsidRPr="00EF3D8A">
        <w:rPr>
          <w:rStyle w:val="AERtextitalic"/>
        </w:rPr>
        <w:t>Further issues relating to the estimation of gamma</w:t>
      </w:r>
      <w:r>
        <w:t>, October 2010, footnote 59.</w:t>
      </w:r>
    </w:p>
  </w:footnote>
  <w:footnote w:id="507">
    <w:p w:rsidR="00B31E52" w:rsidRDefault="00B31E52" w:rsidP="00C52695">
      <w:pPr>
        <w:pStyle w:val="FootnoteText"/>
      </w:pPr>
      <w:r>
        <w:rPr>
          <w:rStyle w:val="FootnoteReference"/>
        </w:rPr>
        <w:footnoteRef/>
      </w:r>
      <w:r>
        <w:t xml:space="preserve"> </w:t>
      </w:r>
      <w:r>
        <w:tab/>
        <w:t xml:space="preserve">J. Handley, </w:t>
      </w:r>
      <w:r w:rsidRPr="00626887">
        <w:rPr>
          <w:rStyle w:val="AERtextitalic"/>
        </w:rPr>
        <w:t>Report prepared for the Australian Energy Regulator: Further advice on the value of imputation credits</w:t>
      </w:r>
      <w:r>
        <w:t>, 16 April 2015, p. 29.</w:t>
      </w:r>
    </w:p>
  </w:footnote>
  <w:footnote w:id="508">
    <w:p w:rsidR="00B31E52" w:rsidRDefault="00B31E52" w:rsidP="00C52695">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26 February 2016, paras.</w:t>
      </w:r>
      <w:r w:rsidRPr="006D49F4">
        <w:t xml:space="preserve"> 1048 and 1090.</w:t>
      </w:r>
    </w:p>
  </w:footnote>
  <w:footnote w:id="509">
    <w:p w:rsidR="00B31E52" w:rsidRPr="00590D86" w:rsidRDefault="00B31E52" w:rsidP="00C52695">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26 February 2016, paras.</w:t>
      </w:r>
      <w:r w:rsidRPr="006D49F4">
        <w:t xml:space="preserve"> 1092.</w:t>
      </w:r>
    </w:p>
  </w:footnote>
  <w:footnote w:id="510">
    <w:p w:rsidR="00B31E52" w:rsidRDefault="00B31E52" w:rsidP="00C52695">
      <w:pPr>
        <w:pStyle w:val="FootnoteText"/>
      </w:pPr>
      <w:r>
        <w:rPr>
          <w:rStyle w:val="FootnoteReference"/>
        </w:rPr>
        <w:footnoteRef/>
      </w:r>
      <w:r>
        <w:t xml:space="preserve"> </w:t>
      </w:r>
      <w:r>
        <w:tab/>
        <w:t xml:space="preserve">See: </w:t>
      </w:r>
      <w:r w:rsidRPr="00611553">
        <w:t>https://www.ato.gov.au/Individuals/Tax-return/2014/Tax-return/Income-questions-1-12/11---Dividends/</w:t>
      </w:r>
      <w:r>
        <w:t>. Accessed 9 April 2015.</w:t>
      </w:r>
    </w:p>
  </w:footnote>
  <w:footnote w:id="511">
    <w:p w:rsidR="00B31E52" w:rsidRDefault="00B31E52" w:rsidP="00C52695">
      <w:pPr>
        <w:pStyle w:val="FootnoteText"/>
      </w:pPr>
      <w:r>
        <w:rPr>
          <w:rStyle w:val="FootnoteReference"/>
        </w:rPr>
        <w:footnoteRef/>
      </w:r>
      <w:r>
        <w:t xml:space="preserve"> </w:t>
      </w:r>
      <w:r>
        <w:tab/>
        <w:t>Franked dividends must be paid out of after-tax profits. Accordingly, if the corporate tax rate is 30 per cent, then the pre-tax profit (X) that gives rise to $1 dollar of fully franked dividends is given by the expression X - 0.3X = $1 where X = $1.43. Therefore, $0.43 of tax is paid on (and $0.43 of imputation credits can be attached to) each $1 of fully franked dividends.</w:t>
      </w:r>
    </w:p>
  </w:footnote>
  <w:footnote w:id="512">
    <w:p w:rsidR="00B31E52" w:rsidRDefault="00B31E52" w:rsidP="00C52695">
      <w:pPr>
        <w:pStyle w:val="FootnoteText"/>
      </w:pPr>
      <w:r>
        <w:rPr>
          <w:rStyle w:val="FootnoteReference"/>
        </w:rPr>
        <w:footnoteRef/>
      </w:r>
      <w:r>
        <w:t xml:space="preserve"> </w:t>
      </w:r>
      <w:r>
        <w:tab/>
        <w:t xml:space="preserve">The fact that credits implied to have been received by individuals is higher than credits utilised could reflect rounding or issues with the dividend data in the ATO statistics. Our residual concerns with the ATO statistics are discussed in section </w:t>
      </w:r>
      <w:r>
        <w:fldChar w:fldCharType="begin"/>
      </w:r>
      <w:r>
        <w:instrText xml:space="preserve"> REF _Ref477266198 \r \h </w:instrText>
      </w:r>
      <w:r>
        <w:fldChar w:fldCharType="separate"/>
      </w:r>
      <w:r w:rsidR="007E3457">
        <w:t>4.4</w:t>
      </w:r>
      <w:r>
        <w:fldChar w:fldCharType="end"/>
      </w:r>
      <w:r>
        <w:t xml:space="preserve"> of attachment 4.  </w:t>
      </w:r>
    </w:p>
  </w:footnote>
  <w:footnote w:id="513">
    <w:p w:rsidR="00B31E52" w:rsidRDefault="00B31E52" w:rsidP="00536674">
      <w:pPr>
        <w:pStyle w:val="FootnoteText"/>
      </w:pPr>
      <w:r>
        <w:rPr>
          <w:rStyle w:val="FootnoteReference"/>
        </w:rPr>
        <w:footnoteRef/>
      </w:r>
      <w:r>
        <w:t xml:space="preserve"> </w:t>
      </w:r>
      <w:r>
        <w:tab/>
      </w:r>
      <w:r w:rsidRPr="00B51819">
        <w:t xml:space="preserve">AusNet Transmission, </w:t>
      </w:r>
      <w:r w:rsidRPr="00B51819">
        <w:rPr>
          <w:rStyle w:val="AERtextitalic"/>
        </w:rPr>
        <w:t>Transmission Revenue Review 2017-2022</w:t>
      </w:r>
      <w:r w:rsidRPr="00B51819">
        <w:t>, October 2015, p. </w:t>
      </w:r>
      <w:r>
        <w:t xml:space="preserve">288; Australian Gas Networks, </w:t>
      </w:r>
      <w:r>
        <w:rPr>
          <w:rStyle w:val="AERtextitalic"/>
        </w:rPr>
        <w:t>Attachment 11 Response to Draft Decision: Cost of Tax</w:t>
      </w:r>
      <w:r>
        <w:t xml:space="preserve">, January 2016, p. 10; ActewAGL, </w:t>
      </w:r>
      <w:r w:rsidRPr="00AF5B33">
        <w:rPr>
          <w:rStyle w:val="AERtextitalic"/>
        </w:rPr>
        <w:t>Appendix 5.01 Detailed response to rate of return, gamma and inflation</w:t>
      </w:r>
      <w:r>
        <w:t xml:space="preserve">, January 2016, p. 113; AusNet Electricity Services, </w:t>
      </w:r>
      <w:r w:rsidRPr="00AF5B33">
        <w:rPr>
          <w:rStyle w:val="AERtextitalic"/>
        </w:rPr>
        <w:t>Revised Regulatory Proposal</w:t>
      </w:r>
      <w:r>
        <w:t xml:space="preserve">, January 2016, p. 7-83; United Energy, </w:t>
      </w:r>
      <w:r w:rsidRPr="00AF5B33">
        <w:rPr>
          <w:rStyle w:val="AERtextitalic"/>
        </w:rPr>
        <w:t>Response to AER Preliminary Determination Re: Rate of return and gamma</w:t>
      </w:r>
      <w:r>
        <w:t xml:space="preserve">, January 2016, p. 84; CitiPower, </w:t>
      </w:r>
      <w:r w:rsidRPr="00AF5B33">
        <w:rPr>
          <w:rStyle w:val="AERtextitalic"/>
        </w:rPr>
        <w:t>Revised Regulatory Proposal 2016-2020</w:t>
      </w:r>
      <w:r>
        <w:t xml:space="preserve">; January 2016, p. 362; Jemena Electricity Networks, </w:t>
      </w:r>
      <w:r w:rsidRPr="00AF5B33">
        <w:rPr>
          <w:rStyle w:val="AERtextitalic"/>
        </w:rPr>
        <w:t>Attachment 6-1 Rate of return, gamma, forecast inflation, and debt and equity raising costs</w:t>
      </w:r>
      <w:r>
        <w:t xml:space="preserve">, January 2016, p. 90; Powercor, </w:t>
      </w:r>
      <w:r w:rsidRPr="00AF5B33">
        <w:rPr>
          <w:rStyle w:val="AERtextitalic"/>
        </w:rPr>
        <w:t>Revised Regulatory Proposal 2016-2020</w:t>
      </w:r>
      <w:r>
        <w:t xml:space="preserve">, January 2016, p. 356; </w:t>
      </w:r>
      <w:r w:rsidRPr="00536674">
        <w:t xml:space="preserve"> Multinet, </w:t>
      </w:r>
      <w:r w:rsidRPr="008B1CA1">
        <w:rPr>
          <w:rStyle w:val="AERtextitalic"/>
        </w:rPr>
        <w:t>Corporate Income Tax Overview</w:t>
      </w:r>
      <w:r w:rsidRPr="00536674">
        <w:t xml:space="preserve">, December 2016, p. </w:t>
      </w:r>
      <w:r>
        <w:t>20</w:t>
      </w:r>
      <w:r w:rsidRPr="00536674">
        <w:t xml:space="preserve">; AusNet Services Gas Distribution, </w:t>
      </w:r>
      <w:r w:rsidRPr="008B1CA1">
        <w:rPr>
          <w:rStyle w:val="AERtextitalic"/>
        </w:rPr>
        <w:t>Gas Access Arrangement Review 2018-2022</w:t>
      </w:r>
      <w:r w:rsidRPr="00536674">
        <w:t>, December 2016, p. 252.</w:t>
      </w:r>
    </w:p>
  </w:footnote>
  <w:footnote w:id="514">
    <w:p w:rsidR="00B31E52" w:rsidRDefault="00B31E52" w:rsidP="00C52695">
      <w:pPr>
        <w:pStyle w:val="FootnoteText"/>
      </w:pPr>
      <w:r>
        <w:rPr>
          <w:rStyle w:val="FootnoteReference"/>
        </w:rPr>
        <w:footnoteRef/>
      </w:r>
      <w:r>
        <w:t xml:space="preserve"> </w:t>
      </w:r>
      <w:r>
        <w:tab/>
        <w:t xml:space="preserve">ActewAGL, </w:t>
      </w:r>
      <w:r w:rsidRPr="000E181F">
        <w:rPr>
          <w:rStyle w:val="AERtextitalic"/>
        </w:rPr>
        <w:t>Detailed response to the AER's draft decision in relation to gamma</w:t>
      </w:r>
      <w:r>
        <w:t xml:space="preserve">, January 2015, p. 4; Ausgrid, </w:t>
      </w:r>
      <w:r w:rsidRPr="00D75F7A">
        <w:rPr>
          <w:rStyle w:val="AERtextitalic"/>
        </w:rPr>
        <w:t>Ausgrid's revised proposal on gamma</w:t>
      </w:r>
      <w:r>
        <w:t xml:space="preserve">, January 2015, pp. 5–6; Directlink, </w:t>
      </w:r>
      <w:r w:rsidRPr="0000771B">
        <w:rPr>
          <w:rStyle w:val="AERtextitalic"/>
        </w:rPr>
        <w:t>Directlink submission on gamma (updated)</w:t>
      </w:r>
      <w:r>
        <w:t xml:space="preserve">, January 2015, p. 7; Endeavour Energy, </w:t>
      </w:r>
      <w:r w:rsidRPr="00DF3162">
        <w:rPr>
          <w:rStyle w:val="AERtextitalic"/>
        </w:rPr>
        <w:t>Endeavour Energy's response to the AER draft decision re gamma</w:t>
      </w:r>
      <w:r>
        <w:t xml:space="preserve">, January 2015, pp. 5–6; Essential Energy, </w:t>
      </w:r>
      <w:r w:rsidRPr="000E181F">
        <w:rPr>
          <w:rStyle w:val="AERtextitalic"/>
        </w:rPr>
        <w:t>Essential's response to AER draft decision re gamma</w:t>
      </w:r>
      <w:r>
        <w:t xml:space="preserve">, January 2015, pp. 5–6; and JGN, </w:t>
      </w:r>
      <w:r w:rsidRPr="000E181F">
        <w:rPr>
          <w:rStyle w:val="AERtextitalic"/>
        </w:rPr>
        <w:t>Gamma - response to the draft decision</w:t>
      </w:r>
      <w:r>
        <w:t>, February 2015, p. 7.</w:t>
      </w:r>
    </w:p>
  </w:footnote>
  <w:footnote w:id="515">
    <w:p w:rsidR="00B31E52" w:rsidRDefault="00B31E52" w:rsidP="00C52695">
      <w:pPr>
        <w:pStyle w:val="FootnoteText"/>
      </w:pPr>
      <w:r>
        <w:rPr>
          <w:rStyle w:val="FootnoteReference"/>
        </w:rPr>
        <w:footnoteRef/>
      </w:r>
      <w:r>
        <w:t xml:space="preserve"> </w:t>
      </w:r>
      <w:r>
        <w:tab/>
      </w:r>
      <w:r w:rsidRPr="00A62FE1">
        <w:t>ActewAGL</w:t>
      </w:r>
      <w:r>
        <w:t xml:space="preserve">, </w:t>
      </w:r>
      <w:r w:rsidRPr="00B53917">
        <w:rPr>
          <w:rStyle w:val="AERtextitalic"/>
        </w:rPr>
        <w:t>Gamma, detailed proposal</w:t>
      </w:r>
      <w:r>
        <w:t>, May 2014, s. 1.4.3;</w:t>
      </w:r>
      <w:r w:rsidRPr="00A62FE1">
        <w:t xml:space="preserve"> </w:t>
      </w:r>
      <w:r>
        <w:t>Ausgrid</w:t>
      </w:r>
      <w:r w:rsidRPr="00A62FE1">
        <w:t xml:space="preserve">, </w:t>
      </w:r>
      <w:r w:rsidRPr="000C4BB9">
        <w:rPr>
          <w:rStyle w:val="AERtextitalic"/>
        </w:rPr>
        <w:t>Ausgrid's gamma proposal</w:t>
      </w:r>
      <w:r>
        <w:t xml:space="preserve">, May 2014, p. 15; </w:t>
      </w:r>
      <w:r w:rsidRPr="00A62FE1">
        <w:t>Directlink</w:t>
      </w:r>
      <w:r>
        <w:t>,</w:t>
      </w:r>
      <w:r w:rsidRPr="00A62FE1">
        <w:t xml:space="preserve"> </w:t>
      </w:r>
      <w:r w:rsidRPr="00B53917">
        <w:rPr>
          <w:rStyle w:val="AERtextitalic"/>
        </w:rPr>
        <w:t>Directlink submission on gamma</w:t>
      </w:r>
      <w:r>
        <w:t xml:space="preserve">, May 2014, p. 16; </w:t>
      </w:r>
      <w:r w:rsidRPr="00A62FE1">
        <w:t>Endeavour Ene</w:t>
      </w:r>
      <w:r>
        <w:t xml:space="preserve">rgy, </w:t>
      </w:r>
      <w:r w:rsidRPr="00B53917">
        <w:rPr>
          <w:rStyle w:val="AERtextitalic"/>
        </w:rPr>
        <w:t>Endeavour Energy's gamma proposal</w:t>
      </w:r>
      <w:r>
        <w:t xml:space="preserve">, May 2014, p. 15. Essential Energy, </w:t>
      </w:r>
      <w:r w:rsidRPr="00B53917">
        <w:rPr>
          <w:rStyle w:val="AERtextitalic"/>
        </w:rPr>
        <w:t>Essential Energy's gamma proposal</w:t>
      </w:r>
      <w:r>
        <w:t xml:space="preserve">, May 2014, pp. 15–16; JGN, </w:t>
      </w:r>
      <w:r w:rsidRPr="00B53917">
        <w:rPr>
          <w:rStyle w:val="AERtextitalic"/>
        </w:rPr>
        <w:t>Gamma proposal</w:t>
      </w:r>
      <w:r>
        <w:t xml:space="preserve">, June 2014, p. 19; and TransGrid, </w:t>
      </w:r>
      <w:r>
        <w:rPr>
          <w:rStyle w:val="AERtextitalic"/>
        </w:rPr>
        <w:t>TransGrid</w:t>
      </w:r>
      <w:r w:rsidRPr="00B53917">
        <w:rPr>
          <w:rStyle w:val="AERtextitalic"/>
        </w:rPr>
        <w:t>'s approach to gamma</w:t>
      </w:r>
      <w:r>
        <w:t>, May 2014, p. 21.</w:t>
      </w:r>
    </w:p>
  </w:footnote>
  <w:footnote w:id="516">
    <w:p w:rsidR="00B31E52" w:rsidRDefault="00B31E52" w:rsidP="00C52695">
      <w:pPr>
        <w:pStyle w:val="FootnoteText"/>
      </w:pPr>
      <w:r>
        <w:rPr>
          <w:rStyle w:val="FootnoteReference"/>
        </w:rPr>
        <w:footnoteRef/>
      </w:r>
      <w:r>
        <w:t xml:space="preserve"> </w:t>
      </w:r>
      <w:r>
        <w:tab/>
      </w:r>
      <w:r w:rsidRPr="00B51819">
        <w:t xml:space="preserve">AusNet Transmission, </w:t>
      </w:r>
      <w:r w:rsidRPr="00B51819">
        <w:rPr>
          <w:rStyle w:val="AERtextitalic"/>
        </w:rPr>
        <w:t>Transmission Revenue Review 2017-2022</w:t>
      </w:r>
      <w:r w:rsidRPr="00B51819">
        <w:t>, October 2015, p</w:t>
      </w:r>
      <w:r>
        <w:t>p</w:t>
      </w:r>
      <w:r w:rsidRPr="00B51819">
        <w:t>. </w:t>
      </w:r>
      <w:r>
        <w:t xml:space="preserve">286, 288, 305; Australian Gas Networks, </w:t>
      </w:r>
      <w:r>
        <w:rPr>
          <w:rStyle w:val="AERtextitalic"/>
        </w:rPr>
        <w:t>Attachment 11 Response to Draft Decision: Cost of Tax</w:t>
      </w:r>
      <w:r>
        <w:t xml:space="preserve">, January 2016, p. 4; ActewAGL, </w:t>
      </w:r>
      <w:r w:rsidRPr="00AF5B33">
        <w:rPr>
          <w:rStyle w:val="AERtextitalic"/>
        </w:rPr>
        <w:t>Appendix 5.01 Detailed response to rate of return, gamma and inflation</w:t>
      </w:r>
      <w:r>
        <w:t xml:space="preserve">, January 2016, pp. 41, 115; AusNet Electricity Services, </w:t>
      </w:r>
      <w:r w:rsidRPr="00AF5B33">
        <w:rPr>
          <w:rStyle w:val="AERtextitalic"/>
        </w:rPr>
        <w:t>Revised Regulatory Proposal</w:t>
      </w:r>
      <w:r>
        <w:t xml:space="preserve">, January 2016, p. 7-84; United Energy, </w:t>
      </w:r>
      <w:r w:rsidRPr="00AF5B33">
        <w:rPr>
          <w:rStyle w:val="AERtextitalic"/>
        </w:rPr>
        <w:t>Response to AER Preliminary Determination Re: Rate of return and gamma</w:t>
      </w:r>
      <w:r>
        <w:t xml:space="preserve">, January 2016, p. 86; CitiPower, </w:t>
      </w:r>
      <w:r w:rsidRPr="00AF5B33">
        <w:rPr>
          <w:rStyle w:val="AERtextitalic"/>
        </w:rPr>
        <w:t>Revised Regulatory Proposal 2016-2020</w:t>
      </w:r>
      <w:r>
        <w:t xml:space="preserve">; January 2016, p. 364; Jemena Electricity Networks, </w:t>
      </w:r>
      <w:r w:rsidRPr="00AF5B33">
        <w:rPr>
          <w:rStyle w:val="AERtextitalic"/>
        </w:rPr>
        <w:t>Attachment 6-1 Rate of return, gamma, forecast inflation, and debt and equity raising costs</w:t>
      </w:r>
      <w:r>
        <w:t xml:space="preserve">, January 2016, p. 92; Powercor, </w:t>
      </w:r>
      <w:r w:rsidRPr="00AF5B33">
        <w:rPr>
          <w:rStyle w:val="AERtextitalic"/>
        </w:rPr>
        <w:t>Revised Regulatory Proposal 2016-2020</w:t>
      </w:r>
      <w:r>
        <w:t>, January 2016, p. 357.</w:t>
      </w:r>
    </w:p>
  </w:footnote>
  <w:footnote w:id="517">
    <w:p w:rsidR="00B31E52" w:rsidRDefault="00B31E52" w:rsidP="00C52695">
      <w:pPr>
        <w:pStyle w:val="FootnoteText"/>
      </w:pPr>
      <w:r>
        <w:rPr>
          <w:rStyle w:val="FootnoteReference"/>
        </w:rPr>
        <w:footnoteRef/>
      </w:r>
      <w:r>
        <w:t xml:space="preserve"> </w:t>
      </w:r>
      <w:r>
        <w:tab/>
        <w:t xml:space="preserve">Frontier Economics, </w:t>
      </w:r>
      <w:r w:rsidRPr="00E750F8">
        <w:rPr>
          <w:rStyle w:val="AERtextitalic"/>
        </w:rPr>
        <w:t>The appropriate use of tax statistics when estimating gamma</w:t>
      </w:r>
      <w:r>
        <w:t xml:space="preserve">, January 2016, </w:t>
      </w:r>
      <w:r w:rsidRPr="006D49F4">
        <w:t>p. 28.</w:t>
      </w:r>
    </w:p>
  </w:footnote>
  <w:footnote w:id="518">
    <w:p w:rsidR="00B31E52" w:rsidRDefault="00B31E52" w:rsidP="00C52695">
      <w:pPr>
        <w:pStyle w:val="FootnoteText"/>
      </w:pPr>
      <w:r>
        <w:rPr>
          <w:rStyle w:val="FootnoteReference"/>
        </w:rPr>
        <w:footnoteRef/>
      </w:r>
      <w:r>
        <w:t xml:space="preserve"> </w:t>
      </w:r>
      <w:r>
        <w:tab/>
        <w:t xml:space="preserve">See: </w:t>
      </w:r>
      <w:r w:rsidRPr="00F0207D">
        <w:t>http://taxreview.treasury.gov.au/content/FinalReport.aspx?doc=html/publications/Papers/Final_Report_Part_2/chapter_b2-3.htm</w:t>
      </w:r>
      <w:r>
        <w:t xml:space="preserve">. Accessed: 21 May 2016; </w:t>
      </w:r>
      <w:r w:rsidRPr="00F0207D">
        <w:t xml:space="preserve">M. Lally, </w:t>
      </w:r>
      <w:r w:rsidRPr="00F0207D">
        <w:rPr>
          <w:rStyle w:val="AERtextitalic"/>
        </w:rPr>
        <w:t>Gamma and the ACT Decision</w:t>
      </w:r>
      <w:r w:rsidRPr="00F0207D">
        <w:t>, May 2016, p</w:t>
      </w:r>
      <w:r>
        <w:t>. </w:t>
      </w:r>
      <w:r w:rsidRPr="00F0207D">
        <w:t>20.</w:t>
      </w:r>
    </w:p>
  </w:footnote>
  <w:footnote w:id="519">
    <w:p w:rsidR="00B31E52" w:rsidRDefault="00B31E52" w:rsidP="00C52695">
      <w:pPr>
        <w:pStyle w:val="FootnoteText"/>
        <w:ind w:left="0" w:firstLine="0"/>
      </w:pPr>
      <w:r>
        <w:rPr>
          <w:rStyle w:val="FootnoteReference"/>
        </w:rPr>
        <w:footnoteRef/>
      </w:r>
      <w:r>
        <w:t xml:space="preserve"> </w:t>
      </w:r>
      <w:r>
        <w:tab/>
        <w:t xml:space="preserve">Frontier Economics, </w:t>
      </w:r>
      <w:r w:rsidRPr="00D14DE4">
        <w:rPr>
          <w:rStyle w:val="AERtextitalic"/>
        </w:rPr>
        <w:t>An appropriate regulatory estimate of gamma</w:t>
      </w:r>
      <w:r>
        <w:t>, June 2015, p. 41.</w:t>
      </w:r>
    </w:p>
  </w:footnote>
  <w:footnote w:id="520">
    <w:p w:rsidR="00B31E52" w:rsidRDefault="00B31E52" w:rsidP="00C52695">
      <w:pPr>
        <w:pStyle w:val="FootnoteText"/>
      </w:pPr>
      <w:r>
        <w:rPr>
          <w:rStyle w:val="FootnoteReference"/>
        </w:rPr>
        <w:footnoteRef/>
      </w:r>
      <w:r>
        <w:t xml:space="preserve"> </w:t>
      </w:r>
      <w:r>
        <w:tab/>
      </w:r>
      <w:r w:rsidRPr="00712BC2">
        <w:t xml:space="preserve">M. Lally, </w:t>
      </w:r>
      <w:r>
        <w:rPr>
          <w:rStyle w:val="AERtextitalic"/>
        </w:rPr>
        <w:t>Gamma and the ACT Decision</w:t>
      </w:r>
      <w:r>
        <w:t>, May 2016, p. 21.</w:t>
      </w:r>
    </w:p>
  </w:footnote>
  <w:footnote w:id="521">
    <w:p w:rsidR="00B31E52" w:rsidRDefault="00B31E52" w:rsidP="00C52695">
      <w:pPr>
        <w:pStyle w:val="FootnoteText"/>
      </w:pPr>
      <w:r>
        <w:rPr>
          <w:rStyle w:val="FootnoteReference"/>
        </w:rPr>
        <w:footnoteRef/>
      </w:r>
      <w:r>
        <w:t xml:space="preserve"> </w:t>
      </w:r>
      <w:r>
        <w:tab/>
      </w:r>
      <w:r w:rsidRPr="00712BC2">
        <w:t xml:space="preserve">M. Lally, </w:t>
      </w:r>
      <w:r>
        <w:rPr>
          <w:rStyle w:val="AERtextitalic"/>
        </w:rPr>
        <w:t>Gamma and the ACT Decision</w:t>
      </w:r>
      <w:r>
        <w:t>, May 2016, p. 21.</w:t>
      </w:r>
    </w:p>
  </w:footnote>
  <w:footnote w:id="522">
    <w:p w:rsidR="00B31E52" w:rsidRDefault="00B31E52" w:rsidP="0026412F">
      <w:pPr>
        <w:pStyle w:val="FootnoteText"/>
      </w:pPr>
      <w:r>
        <w:rPr>
          <w:rStyle w:val="FootnoteReference"/>
        </w:rPr>
        <w:footnoteRef/>
      </w:r>
      <w:r>
        <w:t xml:space="preserve"> </w:t>
      </w:r>
      <w:r>
        <w:tab/>
      </w:r>
      <w:r w:rsidRPr="00B51819">
        <w:t xml:space="preserve">AusNet Transmission, </w:t>
      </w:r>
      <w:r w:rsidRPr="00B51819">
        <w:rPr>
          <w:rStyle w:val="AERtextitalic"/>
        </w:rPr>
        <w:t>Transmission Revenue Review 2017-2022</w:t>
      </w:r>
      <w:r w:rsidRPr="00B51819">
        <w:t>, October 2015, p. </w:t>
      </w:r>
      <w:r>
        <w:t xml:space="preserve">299; Australian Gas Networks, </w:t>
      </w:r>
      <w:r>
        <w:rPr>
          <w:rStyle w:val="AERtextitalic"/>
        </w:rPr>
        <w:t>Attachment 11 Response to Draft Decision: Cost of Tax</w:t>
      </w:r>
      <w:r>
        <w:t xml:space="preserve">, January 2016, p. 11; ActewAGL, </w:t>
      </w:r>
      <w:r w:rsidRPr="00AF5B33">
        <w:rPr>
          <w:rStyle w:val="AERtextitalic"/>
        </w:rPr>
        <w:t>Appendix 5.01 Detailed response to rate of return, gamma and inflation</w:t>
      </w:r>
      <w:r>
        <w:t xml:space="preserve">, January 2016, p. 115; AusNet Electricity Services, </w:t>
      </w:r>
      <w:r w:rsidRPr="00AF5B33">
        <w:rPr>
          <w:rStyle w:val="AERtextitalic"/>
        </w:rPr>
        <w:t>Revised Regulatory Proposal</w:t>
      </w:r>
      <w:r>
        <w:t xml:space="preserve">, January 2016, p. 7-84; United Energy, </w:t>
      </w:r>
      <w:r w:rsidRPr="00AF5B33">
        <w:rPr>
          <w:rStyle w:val="AERtextitalic"/>
        </w:rPr>
        <w:t>Response to AER Preliminary Determination Re: Rate of return and gamma</w:t>
      </w:r>
      <w:r>
        <w:t xml:space="preserve">, January 2016, p. 85; CitiPower, </w:t>
      </w:r>
      <w:r w:rsidRPr="00AF5B33">
        <w:rPr>
          <w:rStyle w:val="AERtextitalic"/>
        </w:rPr>
        <w:t>Revised Regulatory Proposal 2016-2020</w:t>
      </w:r>
      <w:r>
        <w:t xml:space="preserve">; January 2016, p. 363; Jemena Electricity Networks, </w:t>
      </w:r>
      <w:r w:rsidRPr="00AF5B33">
        <w:rPr>
          <w:rStyle w:val="AERtextitalic"/>
        </w:rPr>
        <w:t>Attachment 6-1 Rate of return, gamma, forecast inflation, and debt and equity raising costs</w:t>
      </w:r>
      <w:r>
        <w:t xml:space="preserve">, January 2016, p. 92; Powercor, </w:t>
      </w:r>
      <w:r w:rsidRPr="00AF5B33">
        <w:rPr>
          <w:rStyle w:val="AERtextitalic"/>
        </w:rPr>
        <w:t>Revised Regulatory Proposal 2016-2020</w:t>
      </w:r>
      <w:r>
        <w:t>, January 2016, p. 357;</w:t>
      </w:r>
      <w:r w:rsidRPr="0026412F">
        <w:t xml:space="preserve"> </w:t>
      </w:r>
      <w:r w:rsidRPr="00536674">
        <w:t xml:space="preserve">Multinet, </w:t>
      </w:r>
      <w:r w:rsidRPr="00571BBD">
        <w:rPr>
          <w:rStyle w:val="AERtextitalic"/>
        </w:rPr>
        <w:t>Corporate Income Tax Overview</w:t>
      </w:r>
      <w:r w:rsidRPr="00536674">
        <w:t xml:space="preserve">, December 2016, p. </w:t>
      </w:r>
      <w:r>
        <w:t>19</w:t>
      </w:r>
      <w:r w:rsidRPr="00536674">
        <w:t xml:space="preserve">; AusNet Services Gas Distribution, </w:t>
      </w:r>
      <w:r w:rsidRPr="00571BBD">
        <w:rPr>
          <w:rStyle w:val="AERtextitalic"/>
        </w:rPr>
        <w:t>Gas Access Arrangement Review 2018-2022</w:t>
      </w:r>
      <w:r>
        <w:t>, December 2016, p. 251</w:t>
      </w:r>
      <w:r w:rsidRPr="00536674">
        <w:t>.</w:t>
      </w:r>
    </w:p>
  </w:footnote>
  <w:footnote w:id="523">
    <w:p w:rsidR="00B31E52" w:rsidRDefault="00B31E52" w:rsidP="00C52695">
      <w:pPr>
        <w:pStyle w:val="FootnoteText"/>
      </w:pPr>
      <w:r>
        <w:rPr>
          <w:rStyle w:val="FootnoteReference"/>
        </w:rPr>
        <w:footnoteRef/>
      </w:r>
      <w:r>
        <w:t xml:space="preserve"> </w:t>
      </w:r>
      <w:r>
        <w:tab/>
      </w:r>
      <w:r w:rsidRPr="00DD218F">
        <w:t xml:space="preserve">AusNet Transmission, </w:t>
      </w:r>
      <w:r w:rsidRPr="00DD218F">
        <w:rPr>
          <w:rStyle w:val="AERtextitalic"/>
        </w:rPr>
        <w:t>Transmission Revenue Review 2017-2022</w:t>
      </w:r>
      <w:r w:rsidRPr="00DD218F">
        <w:t>, October 2015, p</w:t>
      </w:r>
      <w:r>
        <w:t>p</w:t>
      </w:r>
      <w:r w:rsidRPr="00DD218F">
        <w:t>. </w:t>
      </w:r>
      <w:r>
        <w:t xml:space="preserve">297, 299; Australian Gas Networks, </w:t>
      </w:r>
      <w:r>
        <w:rPr>
          <w:rStyle w:val="AERtextitalic"/>
        </w:rPr>
        <w:t>Attachment 11 Response to Draft Decision: Cost of Tax</w:t>
      </w:r>
      <w:r>
        <w:t xml:space="preserve">, January 2016, p. 11; ActewAGL, </w:t>
      </w:r>
      <w:r w:rsidRPr="00AF5B33">
        <w:rPr>
          <w:rStyle w:val="AERtextitalic"/>
        </w:rPr>
        <w:t>Appendix 5.01 Detailed response to rate of return, gamma and inflation</w:t>
      </w:r>
      <w:r>
        <w:t xml:space="preserve">, January 2016, p. 115; AusNet Electricity Services, </w:t>
      </w:r>
      <w:r w:rsidRPr="00AF5B33">
        <w:rPr>
          <w:rStyle w:val="AERtextitalic"/>
        </w:rPr>
        <w:t>Revised Regulatory Proposal</w:t>
      </w:r>
      <w:r>
        <w:t xml:space="preserve">, January 2016, p. 7-84; United Energy, </w:t>
      </w:r>
      <w:r w:rsidRPr="00AF5B33">
        <w:rPr>
          <w:rStyle w:val="AERtextitalic"/>
        </w:rPr>
        <w:t>Response to AER Preliminary Determination Re: Rate of return and gamma</w:t>
      </w:r>
      <w:r>
        <w:t xml:space="preserve">, January 2016, p. 85; CitiPower, </w:t>
      </w:r>
      <w:r w:rsidRPr="00AF5B33">
        <w:rPr>
          <w:rStyle w:val="AERtextitalic"/>
        </w:rPr>
        <w:t>Revised Regulatory Proposal 2016-2020</w:t>
      </w:r>
      <w:r>
        <w:t xml:space="preserve">; January 2016, p. 363; Jemena Electricity Networks, </w:t>
      </w:r>
      <w:r w:rsidRPr="00AF5B33">
        <w:rPr>
          <w:rStyle w:val="AERtextitalic"/>
        </w:rPr>
        <w:t>Attachment 6-1 Rate of return, gamma, forecast inflation, and debt and equity raising costs</w:t>
      </w:r>
      <w:r>
        <w:t xml:space="preserve">, January 2016, p. 92; Powercor, </w:t>
      </w:r>
      <w:r w:rsidRPr="00AF5B33">
        <w:rPr>
          <w:rStyle w:val="AERtextitalic"/>
        </w:rPr>
        <w:t>Revised Regulatory Proposal 2016-2020</w:t>
      </w:r>
      <w:r>
        <w:t xml:space="preserve">, January 2016, p. 357; AusNet Transmission, </w:t>
      </w:r>
      <w:r>
        <w:rPr>
          <w:rStyle w:val="AERtextitalic"/>
        </w:rPr>
        <w:t>Transmission Revenue Proposal Review 2017-2022, Revised Revenue Proposal</w:t>
      </w:r>
      <w:r>
        <w:t>, 21 September 2016, pp. 204, 207</w:t>
      </w:r>
    </w:p>
  </w:footnote>
  <w:footnote w:id="524">
    <w:p w:rsidR="00B31E52" w:rsidRDefault="00B31E52" w:rsidP="00C52695">
      <w:pPr>
        <w:pStyle w:val="FootnoteText"/>
      </w:pPr>
      <w:r>
        <w:rPr>
          <w:rStyle w:val="FootnoteReference"/>
        </w:rPr>
        <w:footnoteRef/>
      </w:r>
      <w:r>
        <w:t xml:space="preserve"> </w:t>
      </w:r>
      <w:r>
        <w:tab/>
      </w:r>
      <w:r w:rsidRPr="004D735C">
        <w:t xml:space="preserve">J. Handley, </w:t>
      </w:r>
      <w:r w:rsidRPr="003E6BB3">
        <w:rPr>
          <w:rStyle w:val="AERtextitalic"/>
        </w:rPr>
        <w:t>Report prepared for the Australian Energy Regulator: Advice on the value of imputation credits</w:t>
      </w:r>
      <w:r w:rsidRPr="004D735C">
        <w:t>, 29 September 201</w:t>
      </w:r>
      <w:r>
        <w:t>4, p. 46.</w:t>
      </w:r>
    </w:p>
  </w:footnote>
  <w:footnote w:id="525">
    <w:p w:rsidR="00B31E52" w:rsidRDefault="00B31E52" w:rsidP="00E36B57">
      <w:pPr>
        <w:pStyle w:val="FootnoteText"/>
      </w:pPr>
      <w:r>
        <w:rPr>
          <w:rStyle w:val="FootnoteReference"/>
        </w:rPr>
        <w:footnoteRef/>
      </w:r>
      <w:r>
        <w:t xml:space="preserve"> </w:t>
      </w:r>
      <w:r>
        <w:tab/>
      </w:r>
      <w:r w:rsidRPr="00E36B57">
        <w:t xml:space="preserve"> Multinet, </w:t>
      </w:r>
      <w:r w:rsidRPr="008B1CA1">
        <w:rPr>
          <w:rStyle w:val="AERtextitalic"/>
        </w:rPr>
        <w:t>Corporate Income Tax Overview</w:t>
      </w:r>
      <w:r w:rsidRPr="00E36B57">
        <w:t>, December 2016, p. 6</w:t>
      </w:r>
      <w:r>
        <w:t>;</w:t>
      </w:r>
      <w:r w:rsidRPr="000E131E">
        <w:t xml:space="preserve"> </w:t>
      </w:r>
      <w:r w:rsidRPr="00536674">
        <w:t xml:space="preserve">AusNet Services Gas Distribution, </w:t>
      </w:r>
      <w:r w:rsidRPr="00571BBD">
        <w:rPr>
          <w:rStyle w:val="AERtextitalic"/>
        </w:rPr>
        <w:t>Gas Access Arrangement Review 2018-2022</w:t>
      </w:r>
      <w:r>
        <w:t>, December 2016, p. 236</w:t>
      </w:r>
      <w:r w:rsidRPr="00536674">
        <w:t>.</w:t>
      </w:r>
    </w:p>
  </w:footnote>
  <w:footnote w:id="526">
    <w:p w:rsidR="00B31E52" w:rsidRDefault="00B31E52" w:rsidP="00C21B8A">
      <w:pPr>
        <w:pStyle w:val="FootnoteText"/>
      </w:pPr>
      <w:r>
        <w:rPr>
          <w:rStyle w:val="FootnoteReference"/>
        </w:rPr>
        <w:footnoteRef/>
      </w:r>
      <w:r>
        <w:t xml:space="preserve"> </w:t>
      </w:r>
      <w:r>
        <w:tab/>
        <w:t xml:space="preserve">M. Lally, </w:t>
      </w:r>
      <w:r w:rsidRPr="00E750F8">
        <w:rPr>
          <w:rStyle w:val="AERtextitalic"/>
        </w:rPr>
        <w:t>Issues in the estimation of gamma</w:t>
      </w:r>
      <w:r>
        <w:t>, April 2017</w:t>
      </w:r>
      <w:r w:rsidRPr="00E4542B">
        <w:rPr>
          <w:rStyle w:val="AERtextitalic"/>
          <w:i w:val="0"/>
        </w:rPr>
        <w:t>, p. 25</w:t>
      </w:r>
      <w:r>
        <w:rPr>
          <w:rStyle w:val="AERtextitalic"/>
        </w:rPr>
        <w:t>.</w:t>
      </w:r>
    </w:p>
  </w:footnote>
  <w:footnote w:id="527">
    <w:p w:rsidR="00B31E52" w:rsidRDefault="00B31E52">
      <w:pPr>
        <w:pStyle w:val="FootnoteText"/>
      </w:pPr>
      <w:r>
        <w:rPr>
          <w:rStyle w:val="FootnoteReference"/>
        </w:rPr>
        <w:footnoteRef/>
      </w:r>
      <w:r>
        <w:t xml:space="preserve"> </w:t>
      </w:r>
      <w:r>
        <w:tab/>
        <w:t>See tables 3-11 and 3-12 in Attachment 3.</w:t>
      </w:r>
    </w:p>
  </w:footnote>
  <w:footnote w:id="528">
    <w:p w:rsidR="00B31E52" w:rsidRDefault="00B31E52" w:rsidP="0059076A">
      <w:pPr>
        <w:pStyle w:val="FootnoteText"/>
      </w:pPr>
      <w:r>
        <w:rPr>
          <w:rStyle w:val="FootnoteReference"/>
        </w:rPr>
        <w:footnoteRef/>
      </w:r>
      <w:r>
        <w:t xml:space="preserve"> </w:t>
      </w:r>
      <w:r>
        <w:tab/>
        <w:t xml:space="preserve">M. Lally, </w:t>
      </w:r>
      <w:r w:rsidRPr="00E750F8">
        <w:rPr>
          <w:rStyle w:val="AERtextitalic"/>
        </w:rPr>
        <w:t>Issues in the estimation of gamma</w:t>
      </w:r>
      <w:r>
        <w:t>, April 2017</w:t>
      </w:r>
      <w:r w:rsidRPr="00D7695B">
        <w:rPr>
          <w:rStyle w:val="AERtextitalic"/>
          <w:i w:val="0"/>
        </w:rPr>
        <w:t>, pp. 28-29.</w:t>
      </w:r>
    </w:p>
  </w:footnote>
  <w:footnote w:id="529">
    <w:p w:rsidR="00B31E52" w:rsidRDefault="00B31E52" w:rsidP="00177AB1">
      <w:pPr>
        <w:pStyle w:val="FootnoteText"/>
      </w:pPr>
      <w:r>
        <w:rPr>
          <w:rStyle w:val="FootnoteReference"/>
        </w:rPr>
        <w:footnoteRef/>
      </w:r>
      <w:r>
        <w:t xml:space="preserve"> </w:t>
      </w:r>
      <w:r>
        <w:tab/>
        <w:t xml:space="preserve">M. Lally, </w:t>
      </w:r>
      <w:r w:rsidRPr="00E750F8">
        <w:rPr>
          <w:rStyle w:val="AERtextitalic"/>
        </w:rPr>
        <w:t>Issues in the estimation of gamma</w:t>
      </w:r>
      <w:r>
        <w:t>, April 2017</w:t>
      </w:r>
      <w:r w:rsidRPr="000873B3">
        <w:rPr>
          <w:rStyle w:val="AERtextitalic"/>
          <w:i w:val="0"/>
        </w:rPr>
        <w:t xml:space="preserve">, </w:t>
      </w:r>
      <w:r w:rsidRPr="00177AB1">
        <w:rPr>
          <w:rStyle w:val="AERtextitalic"/>
          <w:i w:val="0"/>
        </w:rPr>
        <w:t>p</w:t>
      </w:r>
      <w:r w:rsidRPr="004423C9">
        <w:rPr>
          <w:rStyle w:val="AERtextitalic"/>
          <w:i w:val="0"/>
        </w:rPr>
        <w:t>p</w:t>
      </w:r>
      <w:r w:rsidRPr="00177AB1">
        <w:rPr>
          <w:rStyle w:val="AERtextitalic"/>
          <w:i w:val="0"/>
        </w:rPr>
        <w:t>. 25</w:t>
      </w:r>
      <w:r w:rsidRPr="004423C9">
        <w:rPr>
          <w:rStyle w:val="AERtextitalic"/>
          <w:i w:val="0"/>
        </w:rPr>
        <w:t>, 27, 29</w:t>
      </w:r>
      <w:r w:rsidRPr="00177AB1">
        <w:rPr>
          <w:rStyle w:val="AERtextitalic"/>
          <w:i w:val="0"/>
        </w:rPr>
        <w:t>.</w:t>
      </w:r>
    </w:p>
  </w:footnote>
  <w:footnote w:id="530">
    <w:p w:rsidR="00B31E52" w:rsidRDefault="00B31E52" w:rsidP="00C52695">
      <w:pPr>
        <w:pStyle w:val="FootnoteText"/>
      </w:pPr>
      <w:r>
        <w:rPr>
          <w:rStyle w:val="FootnoteReference"/>
        </w:rPr>
        <w:footnoteRef/>
      </w:r>
      <w:r>
        <w:t xml:space="preserve"> </w:t>
      </w:r>
      <w:r>
        <w:tab/>
        <w:t xml:space="preserve">See: </w:t>
      </w:r>
      <w:r w:rsidRPr="00611553">
        <w:t>https://www.ato.gov.au/Individuals/Tax-return/2014/Tax-return/Income-questions-1-12/11---Dividends/</w:t>
      </w:r>
      <w:r>
        <w:t>. Accessed: 9 April 2015.</w:t>
      </w:r>
    </w:p>
  </w:footnote>
  <w:footnote w:id="531">
    <w:p w:rsidR="00B31E52" w:rsidRDefault="00B31E52" w:rsidP="00C52695">
      <w:pPr>
        <w:pStyle w:val="FootnoteText"/>
      </w:pPr>
      <w:r>
        <w:rPr>
          <w:rStyle w:val="FootnoteReference"/>
        </w:rPr>
        <w:footnoteRef/>
      </w:r>
      <w:r>
        <w:t xml:space="preserve"> </w:t>
      </w:r>
      <w:r>
        <w:tab/>
        <w:t xml:space="preserve">Eligible investors that do not need to submit a tax return can have imputation credits refunded by submitting this form to the ATO: </w:t>
      </w:r>
      <w:r w:rsidRPr="00611553">
        <w:t>https://www.ato.gov.au/uploadedFiles/Content/MEI/downloads/ind39831n40980614.pdf</w:t>
      </w:r>
      <w:r>
        <w:t xml:space="preserve">. Accessed 9 April 2015. We consider that the form is quite straightforward, and therefore the cost of filling it out and submitting it is unlikely to outweigh the benefit of any material amount of imputation credits.  </w:t>
      </w:r>
    </w:p>
  </w:footnote>
  <w:footnote w:id="532">
    <w:p w:rsidR="00B31E52" w:rsidRDefault="00B31E52" w:rsidP="00C52695">
      <w:pPr>
        <w:pStyle w:val="FootnoteText"/>
      </w:pPr>
      <w:r>
        <w:rPr>
          <w:rStyle w:val="FootnoteReference"/>
        </w:rPr>
        <w:footnoteRef/>
      </w:r>
      <w:r>
        <w:t xml:space="preserve"> </w:t>
      </w:r>
      <w:r>
        <w:tab/>
      </w:r>
      <w:r w:rsidRPr="00B9466C">
        <w:t xml:space="preserve">M. Lally, </w:t>
      </w:r>
      <w:r w:rsidRPr="00B9466C">
        <w:rPr>
          <w:rStyle w:val="AERtextitalic"/>
        </w:rPr>
        <w:t>Gamma and the ACT Decision</w:t>
      </w:r>
      <w:r w:rsidRPr="00B9466C">
        <w:t xml:space="preserve">, </w:t>
      </w:r>
      <w:r>
        <w:t xml:space="preserve">May 2016, </w:t>
      </w:r>
      <w:r w:rsidRPr="00B9466C">
        <w:t>p. </w:t>
      </w:r>
      <w:r>
        <w:t>29</w:t>
      </w:r>
      <w:r w:rsidRPr="00B9466C">
        <w:t>.</w:t>
      </w:r>
    </w:p>
  </w:footnote>
  <w:footnote w:id="533">
    <w:p w:rsidR="00B31E52" w:rsidRDefault="00B31E52" w:rsidP="00C56A93">
      <w:pPr>
        <w:pStyle w:val="FootnoteText"/>
      </w:pPr>
      <w:r>
        <w:rPr>
          <w:rStyle w:val="FootnoteReference"/>
        </w:rPr>
        <w:footnoteRef/>
      </w:r>
      <w:r>
        <w:t xml:space="preserve"> </w:t>
      </w:r>
      <w:r>
        <w:tab/>
      </w:r>
      <w:r w:rsidRPr="00712BC2">
        <w:t xml:space="preserve">M. Lally, </w:t>
      </w:r>
      <w:r>
        <w:rPr>
          <w:rStyle w:val="AERtextitalic"/>
        </w:rPr>
        <w:t>Gamma and the ACT Decision</w:t>
      </w:r>
      <w:r>
        <w:t xml:space="preserve">, May 2016, pp. 9-10; M. Lally, </w:t>
      </w:r>
      <w:r w:rsidRPr="00E750F8">
        <w:rPr>
          <w:rStyle w:val="AERtextitalic"/>
        </w:rPr>
        <w:t>Issues in the estimation of gamma</w:t>
      </w:r>
      <w:r>
        <w:t>, April 2017</w:t>
      </w:r>
      <w:r w:rsidRPr="00D7695B">
        <w:rPr>
          <w:rStyle w:val="AERtextitalic"/>
          <w:i w:val="0"/>
        </w:rPr>
        <w:t>, pp. 27</w:t>
      </w:r>
      <w:r w:rsidRPr="00C56A93">
        <w:rPr>
          <w:rStyle w:val="AERtextitalic"/>
          <w:i w:val="0"/>
        </w:rPr>
        <w:t>-2</w:t>
      </w:r>
      <w:r w:rsidRPr="0089265C">
        <w:rPr>
          <w:rStyle w:val="AERtextitalic"/>
          <w:i w:val="0"/>
        </w:rPr>
        <w:t>9</w:t>
      </w:r>
      <w:r>
        <w:rPr>
          <w:rStyle w:val="AERtextitalic"/>
        </w:rPr>
        <w:t>.</w:t>
      </w:r>
    </w:p>
  </w:footnote>
  <w:footnote w:id="534">
    <w:p w:rsidR="00B31E52" w:rsidRDefault="00B31E52" w:rsidP="0059076A">
      <w:pPr>
        <w:pStyle w:val="FootnoteText"/>
      </w:pPr>
      <w:r>
        <w:rPr>
          <w:rStyle w:val="FootnoteReference"/>
        </w:rPr>
        <w:footnoteRef/>
      </w:r>
      <w:r>
        <w:t xml:space="preserve"> </w:t>
      </w:r>
      <w:r>
        <w:tab/>
        <w:t xml:space="preserve">M. Lally, </w:t>
      </w:r>
      <w:r w:rsidRPr="00E750F8">
        <w:rPr>
          <w:rStyle w:val="AERtextitalic"/>
        </w:rPr>
        <w:t>Issues in the estimation of gamma</w:t>
      </w:r>
      <w:r>
        <w:t>, April 2017</w:t>
      </w:r>
      <w:r w:rsidRPr="00FF354E">
        <w:rPr>
          <w:rStyle w:val="AERtextitalic"/>
          <w:i w:val="0"/>
        </w:rPr>
        <w:t xml:space="preserve">, </w:t>
      </w:r>
      <w:r w:rsidRPr="00D7695B">
        <w:rPr>
          <w:rStyle w:val="AERtextitalic"/>
          <w:i w:val="0"/>
        </w:rPr>
        <w:t>p</w:t>
      </w:r>
      <w:r w:rsidRPr="0059076A">
        <w:rPr>
          <w:rStyle w:val="AERtextitalic"/>
          <w:i w:val="0"/>
        </w:rPr>
        <w:t>p. 25</w:t>
      </w:r>
      <w:r w:rsidRPr="00D7695B">
        <w:rPr>
          <w:rStyle w:val="AERtextitalic"/>
          <w:i w:val="0"/>
        </w:rPr>
        <w:t>, 27</w:t>
      </w:r>
      <w:r w:rsidRPr="0059076A">
        <w:rPr>
          <w:rStyle w:val="AERtextitalic"/>
          <w:i w:val="0"/>
        </w:rPr>
        <w:t>.</w:t>
      </w:r>
    </w:p>
  </w:footnote>
  <w:footnote w:id="535">
    <w:p w:rsidR="00B31E52" w:rsidRDefault="00B31E52" w:rsidP="00D94AA4">
      <w:pPr>
        <w:pStyle w:val="FootnoteText"/>
      </w:pPr>
      <w:r>
        <w:rPr>
          <w:rStyle w:val="FootnoteReference"/>
        </w:rPr>
        <w:footnoteRef/>
      </w:r>
      <w:r>
        <w:t xml:space="preserve"> </w:t>
      </w:r>
      <w:r>
        <w:tab/>
      </w:r>
      <w:r w:rsidRPr="00DD218F">
        <w:t xml:space="preserve">AusNet Transmission, </w:t>
      </w:r>
      <w:r w:rsidRPr="00DD218F">
        <w:rPr>
          <w:rStyle w:val="AERtextitalic"/>
        </w:rPr>
        <w:t>Transmission Revenue Review 2017-2022</w:t>
      </w:r>
      <w:r w:rsidRPr="00DD218F">
        <w:t>, October 2015, p. </w:t>
      </w:r>
      <w:r>
        <w:t xml:space="preserve">299; Australian Gas Networks, </w:t>
      </w:r>
      <w:r>
        <w:rPr>
          <w:rStyle w:val="AERtextitalic"/>
        </w:rPr>
        <w:t>Attachment 11 Response to Draft Decision: Cost of Tax</w:t>
      </w:r>
      <w:r>
        <w:t xml:space="preserve">, January 2016, p. 11; ActewAGL, </w:t>
      </w:r>
      <w:r w:rsidRPr="00AF5B33">
        <w:rPr>
          <w:rStyle w:val="AERtextitalic"/>
        </w:rPr>
        <w:t>Appendix 5.01 Detailed response to rate of return, gamma and inflation</w:t>
      </w:r>
      <w:r>
        <w:t xml:space="preserve">, January 2016, p. 115; AusNet Electricity Services, </w:t>
      </w:r>
      <w:r w:rsidRPr="00AF5B33">
        <w:rPr>
          <w:rStyle w:val="AERtextitalic"/>
        </w:rPr>
        <w:t>Revised Regulatory Proposal</w:t>
      </w:r>
      <w:r>
        <w:t xml:space="preserve">, January 2016, p. 7-84; United Energy, </w:t>
      </w:r>
      <w:r w:rsidRPr="00AF5B33">
        <w:rPr>
          <w:rStyle w:val="AERtextitalic"/>
        </w:rPr>
        <w:t>Response to AER Preliminary Determination Re: Rate of return and gamma</w:t>
      </w:r>
      <w:r>
        <w:t xml:space="preserve">, January 2016, p. 85; CitiPower, </w:t>
      </w:r>
      <w:r w:rsidRPr="00AF5B33">
        <w:rPr>
          <w:rStyle w:val="AERtextitalic"/>
        </w:rPr>
        <w:t>Revised Regulatory Proposal 2016-2020</w:t>
      </w:r>
      <w:r>
        <w:t xml:space="preserve">; January 2016, p. 363; Jemena Electricity Networks, </w:t>
      </w:r>
      <w:r w:rsidRPr="00AF5B33">
        <w:rPr>
          <w:rStyle w:val="AERtextitalic"/>
        </w:rPr>
        <w:t>Attachment 6-1 Rate of return, gamma, forecast inflation, and debt and equity raising costs</w:t>
      </w:r>
      <w:r>
        <w:t xml:space="preserve">, January 2016, p. 92; Powercor, </w:t>
      </w:r>
      <w:r w:rsidRPr="00AF5B33">
        <w:rPr>
          <w:rStyle w:val="AERtextitalic"/>
        </w:rPr>
        <w:t>Revised Regulatory Proposal 2016-2020</w:t>
      </w:r>
      <w:r>
        <w:t xml:space="preserve">, January 2016, p. 357; AusNet Transmission, </w:t>
      </w:r>
      <w:r>
        <w:rPr>
          <w:rStyle w:val="AERtextitalic"/>
        </w:rPr>
        <w:t>Transmission Revenue Proposal Review 2017-2022, Revised Revenue Proposal</w:t>
      </w:r>
      <w:r>
        <w:t xml:space="preserve">, 21 September 2016, pp. 204, 207; </w:t>
      </w:r>
      <w:r w:rsidRPr="00536674">
        <w:t xml:space="preserve">Multinet, </w:t>
      </w:r>
      <w:r w:rsidRPr="00571BBD">
        <w:rPr>
          <w:rStyle w:val="AERtextitalic"/>
        </w:rPr>
        <w:t>Corporate Income Tax Overview</w:t>
      </w:r>
      <w:r w:rsidRPr="00536674">
        <w:t xml:space="preserve">, December 2016, p. </w:t>
      </w:r>
      <w:r>
        <w:t>19</w:t>
      </w:r>
      <w:r w:rsidRPr="00536674">
        <w:t xml:space="preserve">; AusNet Services Gas Distribution, </w:t>
      </w:r>
      <w:r w:rsidRPr="00571BBD">
        <w:rPr>
          <w:rStyle w:val="AERtextitalic"/>
        </w:rPr>
        <w:t>Gas Access Arrangement Review 2018-2022</w:t>
      </w:r>
      <w:r>
        <w:t>, December 2016, p. 251</w:t>
      </w:r>
      <w:r w:rsidRPr="00536674">
        <w:t>.</w:t>
      </w:r>
    </w:p>
  </w:footnote>
  <w:footnote w:id="536">
    <w:p w:rsidR="00B31E52" w:rsidRDefault="00B31E52" w:rsidP="00C52695">
      <w:pPr>
        <w:pStyle w:val="FootnoteText"/>
      </w:pPr>
      <w:r>
        <w:rPr>
          <w:rStyle w:val="FootnoteReference"/>
        </w:rPr>
        <w:footnoteRef/>
      </w:r>
      <w:r>
        <w:t xml:space="preserve"> </w:t>
      </w:r>
      <w:r>
        <w:tab/>
      </w:r>
      <w:r w:rsidRPr="004D735C">
        <w:t xml:space="preserve">J. Handley, </w:t>
      </w:r>
      <w:r w:rsidRPr="003E6BB3">
        <w:rPr>
          <w:rStyle w:val="AERtextitalic"/>
        </w:rPr>
        <w:t>Report prepared for the Australian Energy Regulator: Advice on the value of imputation credits</w:t>
      </w:r>
      <w:r w:rsidRPr="004D735C">
        <w:t>, 29 September 201</w:t>
      </w:r>
      <w:r>
        <w:t>4, p. 46.</w:t>
      </w:r>
    </w:p>
  </w:footnote>
  <w:footnote w:id="537">
    <w:p w:rsidR="00B31E52" w:rsidRDefault="00B31E52" w:rsidP="00E10ABB">
      <w:pPr>
        <w:pStyle w:val="FootnoteText"/>
      </w:pPr>
      <w:r>
        <w:rPr>
          <w:rStyle w:val="FootnoteReference"/>
        </w:rPr>
        <w:footnoteRef/>
      </w:r>
      <w:r>
        <w:t xml:space="preserve"> </w:t>
      </w:r>
      <w:r>
        <w:tab/>
      </w:r>
      <w:r w:rsidRPr="00DD218F">
        <w:t xml:space="preserve">AusNet Transmission, </w:t>
      </w:r>
      <w:r w:rsidRPr="00DD218F">
        <w:rPr>
          <w:rStyle w:val="AERtextitalic"/>
        </w:rPr>
        <w:t>Transmission Revenue Review 2017-2022</w:t>
      </w:r>
      <w:r w:rsidRPr="00DD218F">
        <w:t>, October 2015, p. </w:t>
      </w:r>
      <w:r>
        <w:t xml:space="preserve">299; Australian Gas Networks, </w:t>
      </w:r>
      <w:r>
        <w:rPr>
          <w:rStyle w:val="AERtextitalic"/>
        </w:rPr>
        <w:t>Attachment 11 Response to Draft Decision: Cost of Tax</w:t>
      </w:r>
      <w:r>
        <w:t xml:space="preserve">, January 2016, p. 12; ActewAGL, </w:t>
      </w:r>
      <w:r w:rsidRPr="00AF5B33">
        <w:rPr>
          <w:rStyle w:val="AERtextitalic"/>
        </w:rPr>
        <w:t>Appendix 5.01 Detailed response to rate of return, gamma and inflation</w:t>
      </w:r>
      <w:r>
        <w:t xml:space="preserve">, January 2016, p. 115; AusNet Electricity Services, </w:t>
      </w:r>
      <w:r w:rsidRPr="00AF5B33">
        <w:rPr>
          <w:rStyle w:val="AERtextitalic"/>
        </w:rPr>
        <w:t>Revised Regulatory Proposal</w:t>
      </w:r>
      <w:r>
        <w:t xml:space="preserve">, January 2016, p. 7-84; United Energy, </w:t>
      </w:r>
      <w:r w:rsidRPr="00AF5B33">
        <w:rPr>
          <w:rStyle w:val="AERtextitalic"/>
        </w:rPr>
        <w:t>Response to AER Preliminary Determination Re: Rate of return and gamma</w:t>
      </w:r>
      <w:r>
        <w:t xml:space="preserve">, January 2016, pp. 83-84; CitiPower, </w:t>
      </w:r>
      <w:r w:rsidRPr="00AF5B33">
        <w:rPr>
          <w:rStyle w:val="AERtextitalic"/>
        </w:rPr>
        <w:t>Revised Regulatory Proposal 2016-2020</w:t>
      </w:r>
      <w:r>
        <w:t xml:space="preserve">; January 2016, pp. 363-364; Jemena Electricity Networks, </w:t>
      </w:r>
      <w:r w:rsidRPr="00AF5B33">
        <w:rPr>
          <w:rStyle w:val="AERtextitalic"/>
        </w:rPr>
        <w:t>Attachment 6-1 Rate of return, gamma, forecast inflation, and debt and equity raising costs</w:t>
      </w:r>
      <w:r>
        <w:t xml:space="preserve">, January 2016, p. 92; Powercor, </w:t>
      </w:r>
      <w:r w:rsidRPr="00AF5B33">
        <w:rPr>
          <w:rStyle w:val="AERtextitalic"/>
        </w:rPr>
        <w:t>Revised Regulatory Proposal 2016-2020</w:t>
      </w:r>
      <w:r>
        <w:t xml:space="preserve">, January 2016, pp. 357-358; AusNet Transmission, </w:t>
      </w:r>
      <w:r>
        <w:rPr>
          <w:rStyle w:val="AERtextitalic"/>
        </w:rPr>
        <w:t>Transmission Revenue Proposal Review 2017-2022, Revised Revenue Proposal</w:t>
      </w:r>
      <w:r>
        <w:t xml:space="preserve">, 21 September 2016, pp. 204, 207; </w:t>
      </w:r>
      <w:r w:rsidRPr="00E10ABB">
        <w:t xml:space="preserve"> </w:t>
      </w:r>
      <w:r w:rsidRPr="00536674">
        <w:t xml:space="preserve">Multinet, </w:t>
      </w:r>
      <w:r w:rsidRPr="00571BBD">
        <w:rPr>
          <w:rStyle w:val="AERtextitalic"/>
        </w:rPr>
        <w:t>Corporate Income Tax Overview</w:t>
      </w:r>
      <w:r w:rsidRPr="00536674">
        <w:t xml:space="preserve">, December 2016, p. </w:t>
      </w:r>
      <w:r>
        <w:t>19</w:t>
      </w:r>
      <w:r w:rsidRPr="00536674">
        <w:t xml:space="preserve">; AusNet Services Gas Distribution, </w:t>
      </w:r>
      <w:r w:rsidRPr="00571BBD">
        <w:rPr>
          <w:rStyle w:val="AERtextitalic"/>
        </w:rPr>
        <w:t>Gas Access Arrangement Review 2018-2022</w:t>
      </w:r>
      <w:r>
        <w:t>, December 2016, p. 251</w:t>
      </w:r>
      <w:r w:rsidRPr="00536674">
        <w:t>.</w:t>
      </w:r>
    </w:p>
  </w:footnote>
  <w:footnote w:id="538">
    <w:p w:rsidR="00B31E52" w:rsidRDefault="00B31E52" w:rsidP="00C52695">
      <w:pPr>
        <w:pStyle w:val="FootnoteText"/>
      </w:pPr>
      <w:r>
        <w:rPr>
          <w:rStyle w:val="FootnoteReference"/>
        </w:rPr>
        <w:footnoteRef/>
      </w:r>
      <w:r>
        <w:t xml:space="preserve"> </w:t>
      </w:r>
      <w:r>
        <w:tab/>
        <w:t xml:space="preserve">SFG, </w:t>
      </w:r>
      <w:r w:rsidRPr="00C014CC">
        <w:rPr>
          <w:rStyle w:val="AERtextitalic"/>
        </w:rPr>
        <w:t>An appropriate regulatory estimate of gamma</w:t>
      </w:r>
      <w:r>
        <w:t>, 21 May 2014, para. 65(e).</w:t>
      </w:r>
    </w:p>
  </w:footnote>
  <w:footnote w:id="539">
    <w:p w:rsidR="00B31E52" w:rsidRDefault="00B31E52">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SA Power Networks</w:t>
      </w:r>
      <w:r w:rsidRPr="000F2066">
        <w:rPr>
          <w:rStyle w:val="AERtextitalic"/>
        </w:rPr>
        <w:t xml:space="preserve"> [20</w:t>
      </w:r>
      <w:r>
        <w:rPr>
          <w:rStyle w:val="AERtextitalic"/>
        </w:rPr>
        <w:t>16</w:t>
      </w:r>
      <w:r w:rsidRPr="000F2066">
        <w:rPr>
          <w:rStyle w:val="AERtextitalic"/>
        </w:rPr>
        <w:t xml:space="preserve">] ACompT </w:t>
      </w:r>
      <w:r>
        <w:rPr>
          <w:rStyle w:val="AERtextitalic"/>
        </w:rPr>
        <w:t>11</w:t>
      </w:r>
      <w:r>
        <w:t xml:space="preserve">, 28 October 2016, </w:t>
      </w:r>
      <w:r w:rsidRPr="008F5D24">
        <w:t xml:space="preserve">para. </w:t>
      </w:r>
      <w:r>
        <w:t>177</w:t>
      </w:r>
      <w:r w:rsidRPr="008F5D24">
        <w:t>.</w:t>
      </w:r>
    </w:p>
  </w:footnote>
  <w:footnote w:id="540">
    <w:p w:rsidR="00B31E52" w:rsidRDefault="00B31E52" w:rsidP="00C52695">
      <w:pPr>
        <w:pStyle w:val="FootnoteText"/>
      </w:pPr>
      <w:r>
        <w:rPr>
          <w:rStyle w:val="FootnoteReference"/>
        </w:rPr>
        <w:footnoteRef/>
      </w:r>
      <w:r>
        <w:t xml:space="preserve"> </w:t>
      </w:r>
      <w:r>
        <w:tab/>
        <w:t xml:space="preserve">ActewAGL, </w:t>
      </w:r>
      <w:r w:rsidRPr="000E181F">
        <w:rPr>
          <w:rStyle w:val="AERtextitalic"/>
        </w:rPr>
        <w:t>Detailed response to the AER's draft decision in relation to gamma</w:t>
      </w:r>
      <w:r>
        <w:t xml:space="preserve">, January 2015, p. 14; Ausgrid, </w:t>
      </w:r>
      <w:r w:rsidRPr="00D75F7A">
        <w:rPr>
          <w:rStyle w:val="AERtextitalic"/>
        </w:rPr>
        <w:t>Ausgrid's revised proposal on gamma</w:t>
      </w:r>
      <w:r>
        <w:t xml:space="preserve">, January 2015, p. 15; Directlink, </w:t>
      </w:r>
      <w:r w:rsidRPr="0000771B">
        <w:rPr>
          <w:rStyle w:val="AERtextitalic"/>
        </w:rPr>
        <w:t>Directlink submission on gamma (updated)</w:t>
      </w:r>
      <w:r>
        <w:t xml:space="preserve">, January 2015, p. 20; Endeavour Energy, </w:t>
      </w:r>
      <w:r w:rsidRPr="00DF3162">
        <w:rPr>
          <w:rStyle w:val="AERtextitalic"/>
        </w:rPr>
        <w:t>Endeavour Energy's response to the AER draft decision re gamma</w:t>
      </w:r>
      <w:r>
        <w:t xml:space="preserve">, January 2015, p. 15; Essential Energy, </w:t>
      </w:r>
      <w:r w:rsidRPr="000E181F">
        <w:rPr>
          <w:rStyle w:val="AERtextitalic"/>
        </w:rPr>
        <w:t>Essential's response to AER draft decision re gamma</w:t>
      </w:r>
      <w:r>
        <w:t xml:space="preserve">, January 2015, p. 15; and JGN, </w:t>
      </w:r>
      <w:r w:rsidRPr="000E181F">
        <w:rPr>
          <w:rStyle w:val="AERtextitalic"/>
        </w:rPr>
        <w:t>Gamma - response to the draft decision</w:t>
      </w:r>
      <w:r>
        <w:t>, February 2015, p. 18.</w:t>
      </w:r>
    </w:p>
  </w:footnote>
  <w:footnote w:id="541">
    <w:p w:rsidR="00B31E52" w:rsidRDefault="00B31E52" w:rsidP="00C52695">
      <w:pPr>
        <w:pStyle w:val="FootnoteText"/>
      </w:pPr>
      <w:r>
        <w:rPr>
          <w:rStyle w:val="FootnoteReference"/>
        </w:rPr>
        <w:footnoteRef/>
      </w:r>
      <w:r>
        <w:t xml:space="preserve"> </w:t>
      </w:r>
      <w:r>
        <w:tab/>
        <w:t xml:space="preserve">SFG, </w:t>
      </w:r>
      <w:r>
        <w:rPr>
          <w:rStyle w:val="AERtextitalic"/>
        </w:rPr>
        <w:t>Estimating gamma for regulatory purposes</w:t>
      </w:r>
      <w:r>
        <w:t>, 6 February 2015, para. 216.</w:t>
      </w:r>
    </w:p>
  </w:footnote>
  <w:footnote w:id="542">
    <w:p w:rsidR="00B31E52" w:rsidRDefault="00B31E52" w:rsidP="00C52695">
      <w:pPr>
        <w:pStyle w:val="FootnoteText"/>
      </w:pPr>
      <w:r>
        <w:rPr>
          <w:rStyle w:val="FootnoteReference"/>
        </w:rPr>
        <w:footnoteRef/>
      </w:r>
      <w:r>
        <w:t xml:space="preserve"> </w:t>
      </w:r>
      <w:r>
        <w:tab/>
        <w:t>The refined foreign ownership share of all equity between June 2001 and December 2012 was 0.39 on average.</w:t>
      </w:r>
    </w:p>
  </w:footnote>
  <w:footnote w:id="543">
    <w:p w:rsidR="00B31E52" w:rsidRDefault="00B31E52" w:rsidP="00C52695">
      <w:pPr>
        <w:pStyle w:val="FootnoteText"/>
      </w:pPr>
      <w:r>
        <w:rPr>
          <w:rStyle w:val="FootnoteReference"/>
        </w:rPr>
        <w:footnoteRef/>
      </w:r>
      <w:r>
        <w:t xml:space="preserve"> </w:t>
      </w:r>
      <w:r>
        <w:tab/>
      </w:r>
      <w:r w:rsidRPr="00A62FE1">
        <w:t>ActewAGL</w:t>
      </w:r>
      <w:r>
        <w:t xml:space="preserve">, </w:t>
      </w:r>
      <w:r w:rsidRPr="00B53917">
        <w:rPr>
          <w:rStyle w:val="AERtextitalic"/>
        </w:rPr>
        <w:t>Gamma, detailed proposal</w:t>
      </w:r>
      <w:r>
        <w:t>, May 2014, s. 1.4.3;</w:t>
      </w:r>
      <w:r w:rsidRPr="00A62FE1">
        <w:t xml:space="preserve"> </w:t>
      </w:r>
      <w:r>
        <w:t>Ausgrid</w:t>
      </w:r>
      <w:r w:rsidRPr="00A62FE1">
        <w:t xml:space="preserve">, </w:t>
      </w:r>
      <w:r w:rsidRPr="000C4BB9">
        <w:rPr>
          <w:rStyle w:val="AERtextitalic"/>
        </w:rPr>
        <w:t>Ausgrid's gamma proposal</w:t>
      </w:r>
      <w:r>
        <w:t xml:space="preserve">, May 2014, p. 15; </w:t>
      </w:r>
      <w:r w:rsidRPr="00A62FE1">
        <w:t>Directlink</w:t>
      </w:r>
      <w:r>
        <w:t>,</w:t>
      </w:r>
      <w:r w:rsidRPr="00A62FE1">
        <w:t xml:space="preserve"> </w:t>
      </w:r>
      <w:r w:rsidRPr="00B53917">
        <w:rPr>
          <w:rStyle w:val="AERtextitalic"/>
        </w:rPr>
        <w:t>Directlink submission on gamma</w:t>
      </w:r>
      <w:r>
        <w:t xml:space="preserve">, May 2014, p. 16; </w:t>
      </w:r>
      <w:r w:rsidRPr="00A62FE1">
        <w:t>Endeavour Ene</w:t>
      </w:r>
      <w:r>
        <w:t xml:space="preserve">rgy, </w:t>
      </w:r>
      <w:r w:rsidRPr="00B53917">
        <w:rPr>
          <w:rStyle w:val="AERtextitalic"/>
        </w:rPr>
        <w:t>Endeavour Energy's gamma proposal</w:t>
      </w:r>
      <w:r>
        <w:t xml:space="preserve">, May 2014, p. 15. Essential Energy, </w:t>
      </w:r>
      <w:r w:rsidRPr="00B53917">
        <w:rPr>
          <w:rStyle w:val="AERtextitalic"/>
        </w:rPr>
        <w:t>Essential Energy's gamma proposal</w:t>
      </w:r>
      <w:r>
        <w:t xml:space="preserve">, May 2014, pp. 15–16; JGN, </w:t>
      </w:r>
      <w:r w:rsidRPr="00B53917">
        <w:rPr>
          <w:rStyle w:val="AERtextitalic"/>
        </w:rPr>
        <w:t>Gamma proposal</w:t>
      </w:r>
      <w:r>
        <w:t xml:space="preserve">, June 2014, p. 19; and TransGrid, </w:t>
      </w:r>
      <w:r>
        <w:rPr>
          <w:rStyle w:val="AERtextitalic"/>
        </w:rPr>
        <w:t>TransGrid</w:t>
      </w:r>
      <w:r w:rsidRPr="00B53917">
        <w:rPr>
          <w:rStyle w:val="AERtextitalic"/>
        </w:rPr>
        <w:t>'s approach to gamma</w:t>
      </w:r>
      <w:r>
        <w:t>, May 2014, p. 21.</w:t>
      </w:r>
    </w:p>
  </w:footnote>
  <w:footnote w:id="544">
    <w:p w:rsidR="00B31E52" w:rsidRDefault="00B31E52" w:rsidP="00C52695">
      <w:pPr>
        <w:pStyle w:val="FootnoteText"/>
      </w:pPr>
      <w:r>
        <w:rPr>
          <w:rStyle w:val="FootnoteReference"/>
        </w:rPr>
        <w:footnoteRef/>
      </w:r>
      <w:r>
        <w:t xml:space="preserve"> </w:t>
      </w:r>
      <w:r>
        <w:tab/>
        <w:t xml:space="preserve">NERA, </w:t>
      </w:r>
      <w:r w:rsidRPr="00D104AA">
        <w:rPr>
          <w:rStyle w:val="AERtextitalic"/>
        </w:rPr>
        <w:t>Estimating distribution and redemption rates from taxation statistics</w:t>
      </w:r>
      <w:r w:rsidRPr="00D104AA">
        <w:t>, March 2015, p</w:t>
      </w:r>
      <w:r>
        <w:t>p. 25–28.</w:t>
      </w:r>
    </w:p>
  </w:footnote>
  <w:footnote w:id="545">
    <w:p w:rsidR="00B31E52" w:rsidRDefault="00B31E52" w:rsidP="00C52695">
      <w:pPr>
        <w:pStyle w:val="FootnoteText"/>
      </w:pPr>
      <w:r>
        <w:rPr>
          <w:rStyle w:val="FootnoteReference"/>
        </w:rPr>
        <w:footnoteRef/>
      </w:r>
      <w:r>
        <w:t xml:space="preserve"> </w:t>
      </w:r>
      <w:r>
        <w:tab/>
        <w:t xml:space="preserve">Frontier Economics, </w:t>
      </w:r>
      <w:r w:rsidRPr="00D14DE4">
        <w:rPr>
          <w:rStyle w:val="AERtextitalic"/>
        </w:rPr>
        <w:t>An appropriate regulatory estimate of gamma</w:t>
      </w:r>
      <w:r>
        <w:t>, June 2015, pp. 6–7.</w:t>
      </w:r>
    </w:p>
  </w:footnote>
  <w:footnote w:id="546">
    <w:p w:rsidR="00B31E52" w:rsidRDefault="00B31E52" w:rsidP="005D01B1">
      <w:pPr>
        <w:pStyle w:val="FootnoteText"/>
      </w:pPr>
      <w:r>
        <w:rPr>
          <w:rStyle w:val="FootnoteReference"/>
        </w:rPr>
        <w:footnoteRef/>
      </w:r>
      <w:r>
        <w:t xml:space="preserve"> </w:t>
      </w:r>
      <w:r>
        <w:tab/>
        <w:t xml:space="preserve">Frontier Economics, </w:t>
      </w:r>
      <w:r>
        <w:rPr>
          <w:rStyle w:val="AERtextitalic"/>
        </w:rPr>
        <w:t xml:space="preserve">Issues in the estimation of gamma, Report prepared for AGN, Multinet Gas, AusNet Transmission and AusNet Gas, </w:t>
      </w:r>
      <w:r w:rsidRPr="004576F7">
        <w:rPr>
          <w:rStyle w:val="AERtextitalic"/>
          <w:i w:val="0"/>
        </w:rPr>
        <w:t>September 2016, pp. 3-4, 12-15.</w:t>
      </w:r>
    </w:p>
  </w:footnote>
  <w:footnote w:id="547">
    <w:p w:rsidR="00B31E52" w:rsidRDefault="00B31E52" w:rsidP="00C52695">
      <w:pPr>
        <w:pStyle w:val="FootnoteText"/>
      </w:pPr>
      <w:r>
        <w:rPr>
          <w:rStyle w:val="FootnoteReference"/>
        </w:rPr>
        <w:footnoteRef/>
      </w:r>
      <w:r>
        <w:t xml:space="preserve"> </w:t>
      </w:r>
      <w:r>
        <w:tab/>
        <w:t>Neville Hathaway, Imputation Credit Redemption ATO data 1988–2011 Where have all the credits gone?, September 2013, p. 25.</w:t>
      </w:r>
    </w:p>
  </w:footnote>
  <w:footnote w:id="548">
    <w:p w:rsidR="00B31E52" w:rsidRDefault="00B31E52" w:rsidP="00C52695">
      <w:pPr>
        <w:pStyle w:val="FootnoteText"/>
      </w:pPr>
      <w:r>
        <w:rPr>
          <w:rStyle w:val="FootnoteReference"/>
        </w:rPr>
        <w:footnoteRef/>
      </w:r>
      <w:r>
        <w:t xml:space="preserve"> </w:t>
      </w:r>
      <w:r>
        <w:tab/>
        <w:t>Neville Hathaway, Franking Credit Redemption ATO data 1988–2012 Where have all the credits gone? Draft only comments welcome, October 2014.</w:t>
      </w:r>
    </w:p>
  </w:footnote>
  <w:footnote w:id="549">
    <w:p w:rsidR="00B31E52" w:rsidRDefault="00B31E52" w:rsidP="00C52695">
      <w:pPr>
        <w:pStyle w:val="FootnoteText"/>
      </w:pPr>
      <w:r>
        <w:rPr>
          <w:rStyle w:val="FootnoteReference"/>
        </w:rPr>
        <w:footnoteRef/>
      </w:r>
      <w:r>
        <w:t xml:space="preserve"> </w:t>
      </w:r>
      <w:r>
        <w:tab/>
      </w:r>
      <w:r w:rsidRPr="00B9466C">
        <w:t xml:space="preserve">M. Lally, </w:t>
      </w:r>
      <w:r w:rsidRPr="00B9466C">
        <w:rPr>
          <w:rStyle w:val="AERtextitalic"/>
        </w:rPr>
        <w:t>Gamma and the ACT Decision</w:t>
      </w:r>
      <w:r>
        <w:t>, May 2016, p</w:t>
      </w:r>
      <w:r w:rsidRPr="00B9466C">
        <w:t>. </w:t>
      </w:r>
      <w:r>
        <w:t>23</w:t>
      </w:r>
      <w:r w:rsidRPr="00B9466C">
        <w:t>.</w:t>
      </w:r>
    </w:p>
  </w:footnote>
  <w:footnote w:id="550">
    <w:p w:rsidR="00B31E52" w:rsidRDefault="00B31E52" w:rsidP="00C56A93">
      <w:pPr>
        <w:pStyle w:val="FootnoteText"/>
      </w:pPr>
      <w:r>
        <w:rPr>
          <w:rStyle w:val="FootnoteReference"/>
        </w:rPr>
        <w:footnoteRef/>
      </w:r>
      <w:r>
        <w:t xml:space="preserve"> </w:t>
      </w:r>
      <w:r>
        <w:tab/>
        <w:t xml:space="preserve">M. Lally, </w:t>
      </w:r>
      <w:r w:rsidRPr="00E750F8">
        <w:rPr>
          <w:rStyle w:val="AERtextitalic"/>
        </w:rPr>
        <w:t>Issues in the estimation of gamma</w:t>
      </w:r>
      <w:r>
        <w:t>, April 2017</w:t>
      </w:r>
      <w:r w:rsidRPr="004576F7">
        <w:rPr>
          <w:rStyle w:val="AERtextitalic"/>
          <w:i w:val="0"/>
        </w:rPr>
        <w:t>,</w:t>
      </w:r>
      <w:r w:rsidRPr="00C56A93">
        <w:rPr>
          <w:rStyle w:val="AERtextitalic"/>
          <w:i w:val="0"/>
        </w:rPr>
        <w:t xml:space="preserve"> p</w:t>
      </w:r>
      <w:r w:rsidRPr="004423C9">
        <w:rPr>
          <w:rStyle w:val="AERtextitalic"/>
          <w:i w:val="0"/>
        </w:rPr>
        <w:t>p</w:t>
      </w:r>
      <w:r w:rsidRPr="00C56A93">
        <w:rPr>
          <w:rStyle w:val="AERtextitalic"/>
          <w:i w:val="0"/>
        </w:rPr>
        <w:t>. </w:t>
      </w:r>
      <w:r w:rsidRPr="004423C9">
        <w:rPr>
          <w:rStyle w:val="AERtextitalic"/>
          <w:i w:val="0"/>
        </w:rPr>
        <w:t>12-</w:t>
      </w:r>
      <w:r w:rsidRPr="00C56A93">
        <w:rPr>
          <w:rStyle w:val="AERtextitalic"/>
          <w:i w:val="0"/>
        </w:rPr>
        <w:t>13.</w:t>
      </w:r>
    </w:p>
  </w:footnote>
  <w:footnote w:id="551">
    <w:p w:rsidR="00B31E52" w:rsidRDefault="00B31E52" w:rsidP="00C52695">
      <w:pPr>
        <w:pStyle w:val="FootnoteText"/>
      </w:pPr>
      <w:r>
        <w:rPr>
          <w:rStyle w:val="FootnoteReference"/>
        </w:rPr>
        <w:footnoteRef/>
      </w:r>
      <w:r>
        <w:t xml:space="preserve"> </w:t>
      </w:r>
      <w:r>
        <w:tab/>
        <w:t xml:space="preserve">SA Power Networks, </w:t>
      </w:r>
      <w:r>
        <w:rPr>
          <w:rStyle w:val="AERtextitalic"/>
        </w:rPr>
        <w:t>Revised regulatory proposal 2015–20</w:t>
      </w:r>
      <w:r>
        <w:t xml:space="preserve">, July 2015, p. 373; </w:t>
      </w:r>
      <w:r w:rsidRPr="0022220C">
        <w:t xml:space="preserve"> </w:t>
      </w:r>
      <w:r>
        <w:t>Access Arrangement Information for Australian Gas Networks' South Australian Natural Gas Distribution Network, p. 10, July 2015.</w:t>
      </w:r>
    </w:p>
  </w:footnote>
  <w:footnote w:id="552">
    <w:p w:rsidR="00B31E52" w:rsidRDefault="00B31E52" w:rsidP="00C52695">
      <w:pPr>
        <w:pStyle w:val="FootnoteText"/>
      </w:pPr>
      <w:r>
        <w:rPr>
          <w:rStyle w:val="FootnoteReference"/>
        </w:rPr>
        <w:footnoteRef/>
      </w:r>
      <w:r>
        <w:t xml:space="preserve"> </w:t>
      </w:r>
      <w:r>
        <w:tab/>
      </w:r>
      <w:r w:rsidRPr="004D735C">
        <w:t xml:space="preserve">J. Handley, </w:t>
      </w:r>
      <w:r w:rsidRPr="003E6BB3">
        <w:rPr>
          <w:rStyle w:val="AERtextitalic"/>
        </w:rPr>
        <w:t>Report prepared for the Australian Energy Regulator: Advice on the value of imputation credits</w:t>
      </w:r>
      <w:r w:rsidRPr="004D735C">
        <w:t>, 29 September 201</w:t>
      </w:r>
      <w:r>
        <w:t xml:space="preserve">4, p. 39; </w:t>
      </w:r>
      <w:r w:rsidRPr="004D735C">
        <w:t xml:space="preserve">J. Handley, </w:t>
      </w:r>
      <w:r>
        <w:rPr>
          <w:rStyle w:val="AERtextitalic"/>
        </w:rPr>
        <w:t xml:space="preserve">Further </w:t>
      </w:r>
      <w:r w:rsidRPr="003E6BB3">
        <w:rPr>
          <w:rStyle w:val="AERtextitalic"/>
        </w:rPr>
        <w:t>Advice on the value of imputation credits</w:t>
      </w:r>
      <w:r>
        <w:t>, 16 April 2015, p. 28.</w:t>
      </w:r>
    </w:p>
  </w:footnote>
  <w:footnote w:id="553">
    <w:p w:rsidR="00B31E52" w:rsidRDefault="00B31E52" w:rsidP="00C52695">
      <w:pPr>
        <w:pStyle w:val="FootnoteText"/>
      </w:pPr>
      <w:r>
        <w:rPr>
          <w:rStyle w:val="FootnoteReference"/>
        </w:rPr>
        <w:footnoteRef/>
      </w:r>
      <w:r>
        <w:t xml:space="preserve"> </w:t>
      </w:r>
      <w:r>
        <w:tab/>
        <w:t xml:space="preserve">NERA, </w:t>
      </w:r>
      <w:r w:rsidRPr="001763FD">
        <w:rPr>
          <w:rStyle w:val="AERtextitalic"/>
        </w:rPr>
        <w:t>Estimating distribution and redemption rates from taxation statistics</w:t>
      </w:r>
      <w:r>
        <w:t>, March 2015, p. ii.</w:t>
      </w:r>
    </w:p>
  </w:footnote>
  <w:footnote w:id="554">
    <w:p w:rsidR="00B31E52" w:rsidRDefault="00B31E52" w:rsidP="00C52695">
      <w:pPr>
        <w:pStyle w:val="FootnoteText"/>
      </w:pPr>
      <w:r>
        <w:rPr>
          <w:rStyle w:val="FootnoteReference"/>
        </w:rPr>
        <w:footnoteRef/>
      </w:r>
      <w:r>
        <w:t xml:space="preserve"> </w:t>
      </w:r>
      <w:r>
        <w:tab/>
        <w:t>Strictly, D is the number of domestic investors and F is the number of foreign investors. However, NERA's model assumes that each investor has starting period wealth of $1.</w:t>
      </w:r>
    </w:p>
  </w:footnote>
  <w:footnote w:id="555">
    <w:p w:rsidR="00B31E52" w:rsidRDefault="00B31E52" w:rsidP="00C52695">
      <w:pPr>
        <w:pStyle w:val="FootnoteText"/>
      </w:pPr>
      <w:r>
        <w:rPr>
          <w:rStyle w:val="FootnoteReference"/>
        </w:rPr>
        <w:footnoteRef/>
      </w:r>
      <w:r>
        <w:t xml:space="preserve"> </w:t>
      </w:r>
      <w:r>
        <w:tab/>
        <w:t xml:space="preserve">NERA, </w:t>
      </w:r>
      <w:r w:rsidRPr="001763FD">
        <w:rPr>
          <w:rStyle w:val="AERtextitalic"/>
        </w:rPr>
        <w:t>Estimating distribution and redemption rates from taxation statistics</w:t>
      </w:r>
      <w:r>
        <w:t>, March 2015, p. ii.</w:t>
      </w:r>
    </w:p>
  </w:footnote>
  <w:footnote w:id="556">
    <w:p w:rsidR="00B31E52" w:rsidRDefault="00B31E52" w:rsidP="00C52695">
      <w:pPr>
        <w:pStyle w:val="FootnoteText"/>
      </w:pPr>
      <w:r>
        <w:rPr>
          <w:rStyle w:val="FootnoteReference"/>
        </w:rPr>
        <w:footnoteRef/>
      </w:r>
      <w:r>
        <w:t xml:space="preserve"> </w:t>
      </w:r>
      <w:r>
        <w:tab/>
        <w:t xml:space="preserve">J. Handley, </w:t>
      </w:r>
      <w:r w:rsidRPr="005B7CF2">
        <w:rPr>
          <w:rStyle w:val="AERtextitalic"/>
        </w:rPr>
        <w:t>Report prepared for the Australian Energy Regulator: Advice on the NERA report 'Estimating distribution and redemption rates from taxation statistics'</w:t>
      </w:r>
      <w:r>
        <w:t>, 20 May 2015, pp. 6 and 7.</w:t>
      </w:r>
      <w:r w:rsidDel="0031248F">
        <w:t xml:space="preserve"> </w:t>
      </w:r>
    </w:p>
  </w:footnote>
  <w:footnote w:id="557">
    <w:p w:rsidR="00B31E52" w:rsidRDefault="00B31E52" w:rsidP="00C52695">
      <w:pPr>
        <w:pStyle w:val="FootnoteText"/>
      </w:pPr>
      <w:r>
        <w:rPr>
          <w:rStyle w:val="FootnoteReference"/>
        </w:rPr>
        <w:footnoteRef/>
      </w:r>
      <w:r>
        <w:t xml:space="preserve"> </w:t>
      </w:r>
      <w:r>
        <w:tab/>
        <w:t xml:space="preserve">NERA, </w:t>
      </w:r>
      <w:r w:rsidRPr="00D54762">
        <w:rPr>
          <w:rStyle w:val="AERtextitalic"/>
        </w:rPr>
        <w:t>Estimating distribution and redemption rates: Response to the AER's final decisions for the NSW and ACT electricity distributors, and for Jemena Gas Networks</w:t>
      </w:r>
      <w:r>
        <w:t>, June 2015.</w:t>
      </w:r>
    </w:p>
  </w:footnote>
  <w:footnote w:id="558">
    <w:p w:rsidR="00B31E52" w:rsidRDefault="00B31E52" w:rsidP="00C52695">
      <w:pPr>
        <w:pStyle w:val="FootnoteText"/>
      </w:pPr>
      <w:r>
        <w:rPr>
          <w:rStyle w:val="FootnoteReference"/>
        </w:rPr>
        <w:footnoteRef/>
      </w:r>
      <w:r>
        <w:t xml:space="preserve"> </w:t>
      </w:r>
      <w:r>
        <w:tab/>
        <w:t xml:space="preserve">NERA, </w:t>
      </w:r>
      <w:r w:rsidRPr="00D54762">
        <w:rPr>
          <w:rStyle w:val="AERtextitalic"/>
        </w:rPr>
        <w:t>Estimating distribution and redemption rates: Response to the AER's final decisions for the NSW and ACT electricity distributors, and for Jemena Gas Networks</w:t>
      </w:r>
      <w:r>
        <w:t>, June 2015, pp. 6–7.</w:t>
      </w:r>
    </w:p>
  </w:footnote>
  <w:footnote w:id="559">
    <w:p w:rsidR="00B31E52" w:rsidRDefault="00B31E52" w:rsidP="00C52695">
      <w:pPr>
        <w:pStyle w:val="FootnoteText"/>
      </w:pPr>
      <w:r>
        <w:rPr>
          <w:rStyle w:val="FootnoteReference"/>
        </w:rPr>
        <w:footnoteRef/>
      </w:r>
      <w:r>
        <w:t xml:space="preserve"> </w:t>
      </w:r>
      <w:r>
        <w:tab/>
        <w:t xml:space="preserve">J. Handley, </w:t>
      </w:r>
      <w:r w:rsidRPr="005B7CF2">
        <w:rPr>
          <w:rStyle w:val="AERtextitalic"/>
        </w:rPr>
        <w:t>Report prepared for the Australian Energy Regulator: Advice on the NERA report 'Estimating distribution and redemption rates from taxation statistics'</w:t>
      </w:r>
      <w:r>
        <w:t>, 20 May 2015, p. 6.</w:t>
      </w:r>
    </w:p>
  </w:footnote>
  <w:footnote w:id="560">
    <w:p w:rsidR="00B31E52" w:rsidRDefault="00B31E52" w:rsidP="00C52695">
      <w:pPr>
        <w:pStyle w:val="FootnoteText"/>
      </w:pPr>
      <w:r>
        <w:rPr>
          <w:rStyle w:val="FootnoteReference"/>
        </w:rPr>
        <w:footnoteRef/>
      </w:r>
      <w:r>
        <w:t xml:space="preserve"> </w:t>
      </w:r>
      <w:r>
        <w:tab/>
        <w:t xml:space="preserve">J. Handley, </w:t>
      </w:r>
      <w:r w:rsidRPr="005B7CF2">
        <w:rPr>
          <w:rStyle w:val="AERtextitalic"/>
        </w:rPr>
        <w:t>Report prepared for the Australian Energy Regulator: Advice on the NERA report 'Estimating distribution and redemption rates from taxation statistics'</w:t>
      </w:r>
      <w:r>
        <w:t>, 20 May 2015, pp. 6–7.</w:t>
      </w:r>
    </w:p>
  </w:footnote>
  <w:footnote w:id="561">
    <w:p w:rsidR="00B31E52" w:rsidRDefault="00B31E52" w:rsidP="00C52695">
      <w:pPr>
        <w:pStyle w:val="FootnoteText"/>
      </w:pPr>
      <w:r>
        <w:rPr>
          <w:rStyle w:val="FootnoteReference"/>
        </w:rPr>
        <w:footnoteRef/>
      </w:r>
      <w:r>
        <w:t xml:space="preserve"> </w:t>
      </w:r>
      <w:r>
        <w:tab/>
        <w:t xml:space="preserve">NERA, </w:t>
      </w:r>
      <w:r w:rsidRPr="00D54762">
        <w:rPr>
          <w:rStyle w:val="AERtextitalic"/>
        </w:rPr>
        <w:t>Estimating distribution and redemption rates: Response to the AER's final decisions for the NSW and ACT electricity distributors, and for Jemena Gas Networks</w:t>
      </w:r>
      <w:r>
        <w:t>, June 2015, p. 7.</w:t>
      </w:r>
    </w:p>
  </w:footnote>
  <w:footnote w:id="562">
    <w:p w:rsidR="00B31E52" w:rsidRDefault="00B31E52" w:rsidP="00C52695">
      <w:pPr>
        <w:pStyle w:val="FootnoteText"/>
      </w:pPr>
      <w:r>
        <w:rPr>
          <w:rStyle w:val="FootnoteReference"/>
        </w:rPr>
        <w:footnoteRef/>
      </w:r>
      <w:r>
        <w:t xml:space="preserve"> </w:t>
      </w:r>
      <w:r>
        <w:tab/>
        <w:t xml:space="preserve">J. Handley, </w:t>
      </w:r>
      <w:r w:rsidRPr="005B7CF2">
        <w:rPr>
          <w:rStyle w:val="AERtextitalic"/>
        </w:rPr>
        <w:t>Report prepared for the Australian Energy Regulator: Advice on the NERA report 'Estimating distribution and redemption rates from taxation statistics'</w:t>
      </w:r>
      <w:r>
        <w:t>, 20 May 2015, p. 6.</w:t>
      </w:r>
    </w:p>
  </w:footnote>
  <w:footnote w:id="563">
    <w:p w:rsidR="00B31E52" w:rsidRDefault="00B31E52" w:rsidP="00C52695">
      <w:pPr>
        <w:pStyle w:val="FootnoteText"/>
      </w:pPr>
      <w:r>
        <w:rPr>
          <w:rStyle w:val="FootnoteReference"/>
        </w:rPr>
        <w:footnoteRef/>
      </w:r>
      <w:r>
        <w:t xml:space="preserve"> </w:t>
      </w:r>
      <w:r>
        <w:tab/>
        <w:t xml:space="preserve">NERA, </w:t>
      </w:r>
      <w:r>
        <w:rPr>
          <w:rStyle w:val="AERtextitalic"/>
        </w:rPr>
        <w:t>Do Imputation Credits Lower the Cost of Equity? Cross-Sectional Tests A report for United Energy</w:t>
      </w:r>
      <w:r>
        <w:t>, April 2015, p. 79.</w:t>
      </w:r>
    </w:p>
  </w:footnote>
  <w:footnote w:id="564">
    <w:p w:rsidR="00B31E52" w:rsidRDefault="00B31E52" w:rsidP="00C52695">
      <w:pPr>
        <w:pStyle w:val="FootnoteText"/>
      </w:pPr>
      <w:r>
        <w:rPr>
          <w:rStyle w:val="FootnoteReference"/>
        </w:rPr>
        <w:footnoteRef/>
      </w:r>
      <w:r>
        <w:t xml:space="preserve"> </w:t>
      </w:r>
      <w:r>
        <w:tab/>
        <w:t xml:space="preserve">Koedijk, K,G, and van Dijk, M, A., 2004, Global risk factors and the cost of capital, </w:t>
      </w:r>
      <w:r w:rsidRPr="00514A99">
        <w:rPr>
          <w:rStyle w:val="AERtextitalic"/>
        </w:rPr>
        <w:t>Financial analysts journal</w:t>
      </w:r>
      <w:r>
        <w:t>, March/April 2004, p. 33.</w:t>
      </w:r>
    </w:p>
  </w:footnote>
  <w:footnote w:id="565">
    <w:p w:rsidR="00B31E52" w:rsidRDefault="00B31E52" w:rsidP="00C52695">
      <w:pPr>
        <w:pStyle w:val="FootnoteText"/>
      </w:pPr>
      <w:r>
        <w:rPr>
          <w:rStyle w:val="FootnoteReference"/>
        </w:rPr>
        <w:footnoteRef/>
      </w:r>
      <w:r>
        <w:t xml:space="preserve"> </w:t>
      </w:r>
      <w:r>
        <w:tab/>
        <w:t xml:space="preserve">NERA, </w:t>
      </w:r>
      <w:r w:rsidRPr="00D54762">
        <w:rPr>
          <w:rStyle w:val="AERtextitalic"/>
        </w:rPr>
        <w:t>Estimating distribution and redemption rates: Response to the AER's final decisions for the NSW and ACT electricity distributors, and for Jemena Gas Networks</w:t>
      </w:r>
      <w:r>
        <w:t>, June 2015, pp. 8–10.</w:t>
      </w:r>
    </w:p>
  </w:footnote>
  <w:footnote w:id="566">
    <w:p w:rsidR="00B31E52" w:rsidRDefault="00B31E52" w:rsidP="00C52695">
      <w:pPr>
        <w:pStyle w:val="FootnoteText"/>
      </w:pPr>
      <w:r>
        <w:rPr>
          <w:rStyle w:val="FootnoteReference"/>
        </w:rPr>
        <w:footnoteRef/>
      </w:r>
      <w:r>
        <w:t xml:space="preserve"> </w:t>
      </w:r>
      <w:r>
        <w:tab/>
        <w:t xml:space="preserve">Koedijk, K,G,, and van Dijk, M, A., 2004, Global risk factors and the cost of capital, </w:t>
      </w:r>
      <w:r w:rsidRPr="00514A99">
        <w:rPr>
          <w:rStyle w:val="AERtextitalic"/>
        </w:rPr>
        <w:t>Financial analysts journal</w:t>
      </w:r>
      <w:r>
        <w:t>, March/April 2004, p. 33.</w:t>
      </w:r>
    </w:p>
  </w:footnote>
  <w:footnote w:id="567">
    <w:p w:rsidR="00B31E52" w:rsidRDefault="00B31E52" w:rsidP="00C52695">
      <w:pPr>
        <w:pStyle w:val="FootnoteText"/>
      </w:pPr>
      <w:r>
        <w:rPr>
          <w:rStyle w:val="FootnoteReference"/>
        </w:rPr>
        <w:footnoteRef/>
      </w:r>
      <w:r>
        <w:t xml:space="preserve"> </w:t>
      </w:r>
      <w:r>
        <w:tab/>
        <w:t xml:space="preserve">NERA, </w:t>
      </w:r>
      <w:r w:rsidRPr="00D54762">
        <w:rPr>
          <w:rStyle w:val="AERtextitalic"/>
        </w:rPr>
        <w:t>Estimating distribution and redemption rates: Response to the AER's final decisions for the NSW and ACT electricity distributors, and for Jemena Gas Networks</w:t>
      </w:r>
      <w:r>
        <w:t>, June 2015, p. 3.</w:t>
      </w:r>
    </w:p>
  </w:footnote>
  <w:footnote w:id="568">
    <w:p w:rsidR="00B31E52" w:rsidRDefault="00B31E52" w:rsidP="00C52695">
      <w:pPr>
        <w:pStyle w:val="FootnoteText"/>
      </w:pPr>
      <w:r>
        <w:rPr>
          <w:rStyle w:val="FootnoteReference"/>
        </w:rPr>
        <w:footnoteRef/>
      </w:r>
      <w:r>
        <w:t xml:space="preserve"> </w:t>
      </w:r>
      <w:r>
        <w:tab/>
        <w:t xml:space="preserve">Lally, </w:t>
      </w:r>
      <w:r w:rsidRPr="00CD376D">
        <w:rPr>
          <w:rStyle w:val="AERtextitalic"/>
        </w:rPr>
        <w:t>The estimation of gamma</w:t>
      </w:r>
      <w:r>
        <w:t>, November 2013, pp. 39–43.</w:t>
      </w:r>
    </w:p>
  </w:footnote>
  <w:footnote w:id="569">
    <w:p w:rsidR="00B31E52" w:rsidRDefault="00B31E52" w:rsidP="00C52695">
      <w:pPr>
        <w:pStyle w:val="FootnoteText"/>
      </w:pPr>
      <w:r>
        <w:rPr>
          <w:rStyle w:val="FootnoteReference"/>
        </w:rPr>
        <w:footnoteRef/>
      </w:r>
      <w:r>
        <w:t xml:space="preserve"> </w:t>
      </w:r>
      <w:r>
        <w:tab/>
      </w:r>
      <w:r w:rsidRPr="006D49F4">
        <w:t xml:space="preserve">United Energy, </w:t>
      </w:r>
      <w:r w:rsidRPr="00CD376D">
        <w:rPr>
          <w:rStyle w:val="AERtextitalic"/>
        </w:rPr>
        <w:t>Submission on AER preliminary determination - Submission on gamma</w:t>
      </w:r>
      <w:r w:rsidRPr="006D49F4">
        <w:t>, 26 April 2016.</w:t>
      </w:r>
    </w:p>
  </w:footnote>
  <w:footnote w:id="570">
    <w:p w:rsidR="00B31E52" w:rsidRPr="00B27BE5" w:rsidRDefault="00B31E52" w:rsidP="00C52695">
      <w:pPr>
        <w:pStyle w:val="FootnoteText"/>
        <w:rPr>
          <w:rStyle w:val="AERtexthighlight"/>
        </w:rPr>
      </w:pPr>
      <w:r>
        <w:rPr>
          <w:rStyle w:val="FootnoteReference"/>
        </w:rPr>
        <w:footnoteRef/>
      </w:r>
      <w:r>
        <w:t xml:space="preserve"> </w:t>
      </w:r>
      <w:r>
        <w:tab/>
      </w:r>
      <w:r w:rsidRPr="006D49F4">
        <w:t xml:space="preserve">Australian Competition Tribunal, </w:t>
      </w:r>
      <w:r w:rsidRPr="00CD376D">
        <w:rPr>
          <w:rStyle w:val="AERtextitalic"/>
        </w:rPr>
        <w:t>Application by Public Interest Advocacy Centre Ltd and Ausgrid [2016] ACompT 1</w:t>
      </w:r>
      <w:r w:rsidRPr="006D49F4">
        <w:t>, 26 February 2016, para. 1106.</w:t>
      </w:r>
    </w:p>
  </w:footnote>
  <w:footnote w:id="571">
    <w:p w:rsidR="00B31E52" w:rsidRDefault="00B31E52" w:rsidP="00C52695">
      <w:pPr>
        <w:pStyle w:val="FootnoteText"/>
      </w:pPr>
      <w:r>
        <w:rPr>
          <w:rStyle w:val="FootnoteReference"/>
        </w:rPr>
        <w:footnoteRef/>
      </w:r>
      <w:r>
        <w:t xml:space="preserve"> </w:t>
      </w:r>
      <w:r>
        <w:tab/>
        <w:t xml:space="preserve">M. Lally, </w:t>
      </w:r>
      <w:r w:rsidRPr="00550383">
        <w:rPr>
          <w:rStyle w:val="AERtextitalic"/>
        </w:rPr>
        <w:t>Review of submissions to the QCA on the MRP, risk-free rate and gamma</w:t>
      </w:r>
      <w:r>
        <w:t>, 12 March 2014, p. 34.</w:t>
      </w:r>
    </w:p>
  </w:footnote>
  <w:footnote w:id="572">
    <w:p w:rsidR="00B31E52" w:rsidRDefault="00B31E52" w:rsidP="00C52695">
      <w:pPr>
        <w:pStyle w:val="FootnoteText"/>
      </w:pPr>
      <w:r>
        <w:rPr>
          <w:rStyle w:val="FootnoteReference"/>
        </w:rPr>
        <w:footnoteRef/>
      </w:r>
      <w:r>
        <w:t xml:space="preserve"> </w:t>
      </w:r>
      <w:r>
        <w:tab/>
      </w:r>
      <w:r w:rsidRPr="00712BC2">
        <w:t xml:space="preserve">M. Lally, </w:t>
      </w:r>
      <w:r>
        <w:rPr>
          <w:rStyle w:val="AERtextitalic"/>
        </w:rPr>
        <w:t>Gamma and the ACT Decision</w:t>
      </w:r>
      <w:r>
        <w:t xml:space="preserve">, May 2016, p.  18; M. Lally, </w:t>
      </w:r>
      <w:r w:rsidRPr="00E750F8">
        <w:rPr>
          <w:rStyle w:val="AERtextitalic"/>
        </w:rPr>
        <w:t>Issues in the estimation of gamma</w:t>
      </w:r>
      <w:r>
        <w:t>, April 2017</w:t>
      </w:r>
      <w:r w:rsidRPr="002B7E95">
        <w:rPr>
          <w:rStyle w:val="AERtextitalic"/>
          <w:i w:val="0"/>
        </w:rPr>
        <w:t>, p. 29.</w:t>
      </w:r>
    </w:p>
  </w:footnote>
  <w:footnote w:id="573">
    <w:p w:rsidR="00B31E52" w:rsidRDefault="00B31E52" w:rsidP="00C52695">
      <w:pPr>
        <w:pStyle w:val="FootnoteText"/>
      </w:pPr>
      <w:r>
        <w:rPr>
          <w:rStyle w:val="FootnoteReference"/>
        </w:rPr>
        <w:footnoteRef/>
      </w:r>
      <w:r>
        <w:t xml:space="preserve"> </w:t>
      </w:r>
      <w:r>
        <w:tab/>
      </w:r>
      <w:r w:rsidRPr="004D735C">
        <w:t xml:space="preserve">J. Handley, </w:t>
      </w:r>
      <w:r w:rsidRPr="003E6BB3">
        <w:rPr>
          <w:rStyle w:val="AERtextitalic"/>
        </w:rPr>
        <w:t>Report prepared for the Australian Energy Regulator: Advice on the value of imputation credits</w:t>
      </w:r>
      <w:r w:rsidRPr="004D735C">
        <w:t>, 29 September 201</w:t>
      </w:r>
      <w:r>
        <w:t>4, p. 28.</w:t>
      </w:r>
    </w:p>
  </w:footnote>
  <w:footnote w:id="574">
    <w:p w:rsidR="00B31E52" w:rsidRDefault="00B31E52" w:rsidP="00C52695">
      <w:pPr>
        <w:pStyle w:val="FootnoteText"/>
      </w:pPr>
      <w:r>
        <w:rPr>
          <w:rStyle w:val="FootnoteReference"/>
        </w:rPr>
        <w:footnoteRef/>
      </w:r>
      <w:r>
        <w:t xml:space="preserve"> </w:t>
      </w:r>
      <w:r>
        <w:tab/>
        <w:t xml:space="preserve">SFG, </w:t>
      </w:r>
      <w:r w:rsidRPr="00C014CC">
        <w:rPr>
          <w:rStyle w:val="AERtextitalic"/>
        </w:rPr>
        <w:t>An appropriate regulatory estimate of gamma</w:t>
      </w:r>
      <w:r>
        <w:t>, 21 May 2014, para. 412.</w:t>
      </w:r>
    </w:p>
  </w:footnote>
  <w:footnote w:id="575">
    <w:p w:rsidR="00B31E52" w:rsidRDefault="00B31E52" w:rsidP="00C52695">
      <w:pPr>
        <w:pStyle w:val="FootnoteText"/>
      </w:pPr>
      <w:r>
        <w:rPr>
          <w:rStyle w:val="FootnoteReference"/>
        </w:rPr>
        <w:footnoteRef/>
      </w:r>
      <w:r>
        <w:t xml:space="preserve"> </w:t>
      </w:r>
      <w:r>
        <w:tab/>
        <w:t xml:space="preserve">SFG, </w:t>
      </w:r>
      <w:r>
        <w:rPr>
          <w:rStyle w:val="AERtextitalic"/>
        </w:rPr>
        <w:t>Estimating gamma for regulatory purposes</w:t>
      </w:r>
      <w:r>
        <w:t>, 6 February 2015, para. 222.</w:t>
      </w:r>
    </w:p>
  </w:footnote>
  <w:footnote w:id="576">
    <w:p w:rsidR="00B31E52" w:rsidRDefault="00B31E52" w:rsidP="00C52695">
      <w:pPr>
        <w:pStyle w:val="FootnoteText"/>
      </w:pPr>
      <w:r>
        <w:rPr>
          <w:rStyle w:val="FootnoteReference"/>
        </w:rPr>
        <w:footnoteRef/>
      </w:r>
      <w:r>
        <w:t xml:space="preserve"> </w:t>
      </w:r>
      <w:r>
        <w:tab/>
        <w:t xml:space="preserve">ActewAGL, </w:t>
      </w:r>
      <w:r w:rsidRPr="000E181F">
        <w:rPr>
          <w:rStyle w:val="AERtextitalic"/>
        </w:rPr>
        <w:t>Detailed response to the AER's draft decision in relation to gamma</w:t>
      </w:r>
      <w:r>
        <w:t xml:space="preserve">, January 2015, p. 1; Ausgrid, </w:t>
      </w:r>
      <w:r w:rsidRPr="00D75F7A">
        <w:rPr>
          <w:rStyle w:val="AERtextitalic"/>
        </w:rPr>
        <w:t>Ausgrid's revised proposal on gamma</w:t>
      </w:r>
      <w:r>
        <w:t xml:space="preserve">, January 2015, p. 3; Directlink, </w:t>
      </w:r>
      <w:r w:rsidRPr="0000771B">
        <w:rPr>
          <w:rStyle w:val="AERtextitalic"/>
        </w:rPr>
        <w:t>Directlink submission on gamma (updated)</w:t>
      </w:r>
      <w:r>
        <w:t xml:space="preserve">, January 2015, p. 3; Endeavour Energy, </w:t>
      </w:r>
      <w:r w:rsidRPr="00DF3162">
        <w:rPr>
          <w:rStyle w:val="AERtextitalic"/>
        </w:rPr>
        <w:t>Endeavour Energy's response to the AER draft decision re gamma</w:t>
      </w:r>
      <w:r>
        <w:t xml:space="preserve">, January 2015, p. 3; Essential Energy, </w:t>
      </w:r>
      <w:r w:rsidRPr="000E181F">
        <w:rPr>
          <w:rStyle w:val="AERtextitalic"/>
        </w:rPr>
        <w:t>Essential's response to AER draft decision re gamma</w:t>
      </w:r>
      <w:r>
        <w:t xml:space="preserve">, January 2015, p. 3; and JGN, </w:t>
      </w:r>
      <w:r w:rsidRPr="000E181F">
        <w:rPr>
          <w:rStyle w:val="AERtextitalic"/>
        </w:rPr>
        <w:t>Gamma - response to the draft decision</w:t>
      </w:r>
      <w:r>
        <w:t xml:space="preserve">, February 2015, p. 4; CitiPower, </w:t>
      </w:r>
      <w:r w:rsidRPr="00596AF9">
        <w:rPr>
          <w:i/>
        </w:rPr>
        <w:t>Appendix J - Gamma</w:t>
      </w:r>
      <w:r>
        <w:t xml:space="preserve">, April 2015, p. 6; Powercor, </w:t>
      </w:r>
      <w:r w:rsidRPr="00596AF9">
        <w:rPr>
          <w:i/>
        </w:rPr>
        <w:t>Regulatory Proposal 2016</w:t>
      </w:r>
      <w:r>
        <w:rPr>
          <w:i/>
        </w:rPr>
        <w:t>–</w:t>
      </w:r>
      <w:r w:rsidRPr="00596AF9">
        <w:rPr>
          <w:i/>
        </w:rPr>
        <w:t>20,</w:t>
      </w:r>
      <w:r>
        <w:t xml:space="preserve"> April 2015, p. 6; Energex, </w:t>
      </w:r>
      <w:r w:rsidRPr="003B17FF">
        <w:t>Submission on Energex's regulatory proposal 2015-20 and the AER issues paper,</w:t>
      </w:r>
      <w:r>
        <w:t xml:space="preserve"> January 2015, p. 4.</w:t>
      </w:r>
    </w:p>
  </w:footnote>
  <w:footnote w:id="577">
    <w:p w:rsidR="00B31E52" w:rsidRDefault="00B31E52" w:rsidP="00C52695">
      <w:pPr>
        <w:pStyle w:val="FootnoteText"/>
      </w:pPr>
      <w:r>
        <w:rPr>
          <w:rStyle w:val="FootnoteReference"/>
        </w:rPr>
        <w:footnoteRef/>
      </w:r>
      <w:r>
        <w:t xml:space="preserve"> </w:t>
      </w:r>
      <w:r>
        <w:tab/>
      </w:r>
      <w:r w:rsidRPr="00DD218F">
        <w:t xml:space="preserve">AusNet Transmission, </w:t>
      </w:r>
      <w:r w:rsidRPr="00DD218F">
        <w:rPr>
          <w:rStyle w:val="AERtextitalic"/>
        </w:rPr>
        <w:t>Transmission Revenue Review 2017-2022</w:t>
      </w:r>
      <w:r w:rsidRPr="00DD218F">
        <w:t>, October 2015, p. </w:t>
      </w:r>
      <w:r>
        <w:t xml:space="preserve">284; ActewAGL, </w:t>
      </w:r>
      <w:r w:rsidRPr="000E181F">
        <w:rPr>
          <w:rStyle w:val="AERtextitalic"/>
        </w:rPr>
        <w:t>Detailed response to the AER's draft decision in relation to gamma</w:t>
      </w:r>
      <w:r>
        <w:t xml:space="preserve">, January 2015, p. 13; Ausgrid, </w:t>
      </w:r>
      <w:r w:rsidRPr="00D75F7A">
        <w:rPr>
          <w:rStyle w:val="AERtextitalic"/>
        </w:rPr>
        <w:t>Ausgrid's revised proposal on gamma</w:t>
      </w:r>
      <w:r>
        <w:t xml:space="preserve">, January 2015, p. 14; Directlink, </w:t>
      </w:r>
      <w:r w:rsidRPr="0000771B">
        <w:rPr>
          <w:rStyle w:val="AERtextitalic"/>
        </w:rPr>
        <w:t>Directlink submission on gamma (updated)</w:t>
      </w:r>
      <w:r>
        <w:t xml:space="preserve">, January 2015, p. 19; Endeavour Energy, </w:t>
      </w:r>
      <w:r w:rsidRPr="00DF3162">
        <w:rPr>
          <w:rStyle w:val="AERtextitalic"/>
        </w:rPr>
        <w:t>Endeavour Energy's response to the AER draft decision re gamma</w:t>
      </w:r>
      <w:r>
        <w:t xml:space="preserve">, January 2015, p. 14; Essential Energy, </w:t>
      </w:r>
      <w:r w:rsidRPr="000E181F">
        <w:rPr>
          <w:rStyle w:val="AERtextitalic"/>
        </w:rPr>
        <w:t>Essential's response to AER draft decision re gamma</w:t>
      </w:r>
      <w:r>
        <w:t xml:space="preserve">, January 2015, p. 14; and JGN, </w:t>
      </w:r>
      <w:r w:rsidRPr="000E181F">
        <w:rPr>
          <w:rStyle w:val="AERtextitalic"/>
        </w:rPr>
        <w:t>Gamma - response to the draft decision</w:t>
      </w:r>
      <w:r>
        <w:t xml:space="preserve">, February 2015, p. 17; CitiPower, </w:t>
      </w:r>
      <w:r w:rsidRPr="00596AF9">
        <w:rPr>
          <w:i/>
        </w:rPr>
        <w:t>Appendix J - Gamma</w:t>
      </w:r>
      <w:r>
        <w:t xml:space="preserve">, April 2015, pp. 4-5; Powercor, </w:t>
      </w:r>
      <w:r w:rsidRPr="00596AF9">
        <w:rPr>
          <w:i/>
        </w:rPr>
        <w:t>Regulatory Proposal 2016-20</w:t>
      </w:r>
      <w:r>
        <w:t xml:space="preserve">, April 2015, pp. 4-5; Energex, </w:t>
      </w:r>
      <w:r w:rsidRPr="00596AF9">
        <w:rPr>
          <w:i/>
        </w:rPr>
        <w:t>Revised regulatory proposal 2015-20</w:t>
      </w:r>
      <w:r>
        <w:t xml:space="preserve">, July 2015, p. 13. </w:t>
      </w:r>
    </w:p>
  </w:footnote>
  <w:footnote w:id="578">
    <w:p w:rsidR="00B31E52" w:rsidRDefault="00B31E52">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SA Power Networks</w:t>
      </w:r>
      <w:r w:rsidRPr="000F2066">
        <w:rPr>
          <w:rStyle w:val="AERtextitalic"/>
        </w:rPr>
        <w:t xml:space="preserve"> [20</w:t>
      </w:r>
      <w:r>
        <w:rPr>
          <w:rStyle w:val="AERtextitalic"/>
        </w:rPr>
        <w:t>16</w:t>
      </w:r>
      <w:r w:rsidRPr="000F2066">
        <w:rPr>
          <w:rStyle w:val="AERtextitalic"/>
        </w:rPr>
        <w:t xml:space="preserve">] ACompT </w:t>
      </w:r>
      <w:r>
        <w:rPr>
          <w:rStyle w:val="AERtextitalic"/>
        </w:rPr>
        <w:t>11</w:t>
      </w:r>
      <w:r>
        <w:t xml:space="preserve">, 28 October 2016, </w:t>
      </w:r>
      <w:r w:rsidRPr="008F5D24">
        <w:t xml:space="preserve">para. </w:t>
      </w:r>
      <w:r>
        <w:t>184.</w:t>
      </w:r>
    </w:p>
  </w:footnote>
  <w:footnote w:id="579">
    <w:p w:rsidR="00B31E52" w:rsidRDefault="00B31E52" w:rsidP="00C52695">
      <w:pPr>
        <w:pStyle w:val="FootnoteText"/>
      </w:pPr>
      <w:r>
        <w:rPr>
          <w:rStyle w:val="FootnoteReference"/>
        </w:rPr>
        <w:footnoteRef/>
      </w:r>
      <w:r>
        <w:t xml:space="preserve"> </w:t>
      </w:r>
      <w:r>
        <w:tab/>
      </w:r>
      <w:r w:rsidRPr="00727BE0">
        <w:t xml:space="preserve">M. Lally, </w:t>
      </w:r>
      <w:r w:rsidRPr="00727BE0">
        <w:rPr>
          <w:rStyle w:val="AERtextitalic"/>
        </w:rPr>
        <w:t>Gamma and the ACT Decision</w:t>
      </w:r>
      <w:r w:rsidRPr="00727BE0">
        <w:t>, May 2016, pp. </w:t>
      </w:r>
      <w:r>
        <w:t>24–26</w:t>
      </w:r>
      <w:r w:rsidRPr="00727BE0">
        <w:t>.</w:t>
      </w:r>
    </w:p>
  </w:footnote>
  <w:footnote w:id="580">
    <w:p w:rsidR="00B31E52" w:rsidRDefault="00B31E52" w:rsidP="00C52695">
      <w:pPr>
        <w:pStyle w:val="FootnoteText"/>
      </w:pPr>
      <w:r>
        <w:rPr>
          <w:rStyle w:val="FootnoteReference"/>
        </w:rPr>
        <w:footnoteRef/>
      </w:r>
      <w:r>
        <w:t xml:space="preserve"> </w:t>
      </w:r>
      <w:r>
        <w:tab/>
      </w:r>
      <w:r w:rsidRPr="00727BE0">
        <w:t xml:space="preserve">M. Lally, </w:t>
      </w:r>
      <w:r w:rsidRPr="00727BE0">
        <w:rPr>
          <w:rStyle w:val="AERtextitalic"/>
        </w:rPr>
        <w:t>Gamma and the ACT Decision</w:t>
      </w:r>
      <w:r w:rsidRPr="00727BE0">
        <w:t>, May 2016, pp. </w:t>
      </w:r>
      <w:r>
        <w:t>5</w:t>
      </w:r>
      <w:r w:rsidRPr="00727BE0">
        <w:t xml:space="preserve">, </w:t>
      </w:r>
      <w:r>
        <w:t>29.</w:t>
      </w:r>
    </w:p>
  </w:footnote>
  <w:footnote w:id="581">
    <w:p w:rsidR="00B31E52" w:rsidRDefault="00B31E52" w:rsidP="00C52695">
      <w:pPr>
        <w:pStyle w:val="FootnoteText"/>
      </w:pPr>
      <w:r>
        <w:rPr>
          <w:rStyle w:val="FootnoteReference"/>
        </w:rPr>
        <w:footnoteRef/>
      </w:r>
      <w:r>
        <w:t xml:space="preserve"> </w:t>
      </w:r>
      <w:r>
        <w:tab/>
        <w:t xml:space="preserve">Australian Gas Networks, </w:t>
      </w:r>
      <w:r>
        <w:rPr>
          <w:rStyle w:val="AERtextitalic"/>
        </w:rPr>
        <w:t>Attachment 11 Response to Draft Decision: Cost of Tax</w:t>
      </w:r>
      <w:r>
        <w:t xml:space="preserve">, January 2016, pp. 8, 22; ActewAGL, </w:t>
      </w:r>
      <w:r w:rsidRPr="00AF5B33">
        <w:rPr>
          <w:rStyle w:val="AERtextitalic"/>
        </w:rPr>
        <w:t>Appendix 5.01 Detailed response to rate of return, gamma and inflation</w:t>
      </w:r>
      <w:r>
        <w:t xml:space="preserve">, January 2016, pp. 4, 11, 128; AusNet Electricity Services, </w:t>
      </w:r>
      <w:r w:rsidRPr="00AF5B33">
        <w:rPr>
          <w:rStyle w:val="AERtextitalic"/>
        </w:rPr>
        <w:t>Revised Regulatory Proposal</w:t>
      </w:r>
      <w:r>
        <w:t xml:space="preserve">, January 2016, pp. 7-81, 7-95; United Energy, </w:t>
      </w:r>
      <w:r w:rsidRPr="00AF5B33">
        <w:rPr>
          <w:rStyle w:val="AERtextitalic"/>
        </w:rPr>
        <w:t>Response to AER Preliminary Determination Re: Rate of return and gamma</w:t>
      </w:r>
      <w:r>
        <w:t xml:space="preserve">, January 2016, pp. 82, 96; CitiPower, </w:t>
      </w:r>
      <w:r w:rsidRPr="00AF5B33">
        <w:rPr>
          <w:rStyle w:val="AERtextitalic"/>
        </w:rPr>
        <w:t>Revised Regulatory Proposal 2016-2020</w:t>
      </w:r>
      <w:r>
        <w:t xml:space="preserve">; January 2016, pp. 360, 374; Jemena Electricity Networks, </w:t>
      </w:r>
      <w:r w:rsidRPr="00AF5B33">
        <w:rPr>
          <w:rStyle w:val="AERtextitalic"/>
        </w:rPr>
        <w:t>Attachment 6-1 Rate of return, gamma, forecast inflation, and debt and equity raising costs</w:t>
      </w:r>
      <w:r>
        <w:t xml:space="preserve">, January 2016, pp. 88, 103; Powercor, </w:t>
      </w:r>
      <w:r w:rsidRPr="00AF5B33">
        <w:rPr>
          <w:rStyle w:val="AERtextitalic"/>
        </w:rPr>
        <w:t>Revised Regulatory Proposal 2016-2020</w:t>
      </w:r>
      <w:r>
        <w:t xml:space="preserve">, January 2016, pp. 354, 368; AusNet Transmission, </w:t>
      </w:r>
      <w:r>
        <w:rPr>
          <w:rStyle w:val="AERtextitalic"/>
        </w:rPr>
        <w:t>Transmission Revenue Proposal Review 2017-2022, Revised Revenue Proposal</w:t>
      </w:r>
      <w:r>
        <w:t>, 21 September 2016, p. 205.</w:t>
      </w:r>
    </w:p>
  </w:footnote>
  <w:footnote w:id="582">
    <w:p w:rsidR="00B31E52" w:rsidRDefault="00B31E52" w:rsidP="00C52695">
      <w:pPr>
        <w:pStyle w:val="FootnoteText"/>
      </w:pPr>
      <w:r>
        <w:rPr>
          <w:rStyle w:val="FootnoteReference"/>
        </w:rPr>
        <w:footnoteRef/>
      </w:r>
      <w:r>
        <w:t xml:space="preserve"> </w:t>
      </w:r>
      <w:r>
        <w:tab/>
        <w:t xml:space="preserve">Australian Gas Networks, </w:t>
      </w:r>
      <w:r>
        <w:rPr>
          <w:rStyle w:val="AERtextitalic"/>
        </w:rPr>
        <w:t>Attachment 11 Response to Draft Decision: Cost of Tax</w:t>
      </w:r>
      <w:r>
        <w:t xml:space="preserve">, January 2016, p. 17; ActewAGL, </w:t>
      </w:r>
      <w:r w:rsidRPr="00AF5B33">
        <w:rPr>
          <w:rStyle w:val="AERtextitalic"/>
        </w:rPr>
        <w:t>Appendix 5.01 Detailed response to rate of return, gamma and inflation</w:t>
      </w:r>
      <w:r>
        <w:t xml:space="preserve">, January 2016, pp. 111, 121, 128; AusNet Electricity Services, </w:t>
      </w:r>
      <w:r w:rsidRPr="00AF5B33">
        <w:rPr>
          <w:rStyle w:val="AERtextitalic"/>
        </w:rPr>
        <w:t>Revised Regulatory Proposal</w:t>
      </w:r>
      <w:r>
        <w:t xml:space="preserve">, January 2016, pp. 7-81, 7-90, 7-95; United Energy, </w:t>
      </w:r>
      <w:r w:rsidRPr="00AF5B33">
        <w:rPr>
          <w:rStyle w:val="AERtextitalic"/>
        </w:rPr>
        <w:t>Response to AER Preliminary Determination Re: Rate of return and gamma</w:t>
      </w:r>
      <w:r>
        <w:t xml:space="preserve">, January 2016, pp. 82, 91, 96; CitiPower, </w:t>
      </w:r>
      <w:r w:rsidRPr="00AF5B33">
        <w:rPr>
          <w:rStyle w:val="AERtextitalic"/>
        </w:rPr>
        <w:t>Revised Regulatory Proposal 2016-2020</w:t>
      </w:r>
      <w:r>
        <w:t xml:space="preserve">; January 2016, pp. 360, 369, 374; Jemena Electricity Networks, </w:t>
      </w:r>
      <w:r w:rsidRPr="00AF5B33">
        <w:rPr>
          <w:rStyle w:val="AERtextitalic"/>
        </w:rPr>
        <w:t>Attachment 6-1 Rate of return, gamma, forecast inflation, and debt and equity raising costs</w:t>
      </w:r>
      <w:r>
        <w:t xml:space="preserve">, January 2016, pp. 88, 98, 163; Powercor, </w:t>
      </w:r>
      <w:r w:rsidRPr="00AF5B33">
        <w:rPr>
          <w:rStyle w:val="AERtextitalic"/>
        </w:rPr>
        <w:t>Revised Regulatory Proposal 2016-2020</w:t>
      </w:r>
      <w:r>
        <w:t>, January 2016, pp. 354, 363, 368.</w:t>
      </w:r>
    </w:p>
  </w:footnote>
  <w:footnote w:id="583">
    <w:p w:rsidR="00B31E52" w:rsidRPr="00CB3A71" w:rsidRDefault="00B31E52" w:rsidP="00CB3A71">
      <w:pPr>
        <w:pStyle w:val="FootnoteText"/>
      </w:pPr>
      <w:r>
        <w:rPr>
          <w:rStyle w:val="FootnoteReference"/>
        </w:rPr>
        <w:footnoteRef/>
      </w:r>
      <w:r>
        <w:t xml:space="preserve"> </w:t>
      </w:r>
      <w:r>
        <w:tab/>
      </w:r>
      <w:r w:rsidRPr="00DD218F">
        <w:t xml:space="preserve">AusNet Transmission, </w:t>
      </w:r>
      <w:r w:rsidRPr="00DD218F">
        <w:rPr>
          <w:rStyle w:val="AERtextitalic"/>
        </w:rPr>
        <w:t>Transmission Revenue Review 2017-2022</w:t>
      </w:r>
      <w:r w:rsidRPr="00DD218F">
        <w:t>, October 2015, p. </w:t>
      </w:r>
      <w:r>
        <w:t xml:space="preserve">292; AusNet Transmission, </w:t>
      </w:r>
      <w:r>
        <w:rPr>
          <w:rStyle w:val="AERtextitalic"/>
        </w:rPr>
        <w:t>Transmission Revenue Proposal Review 2017-2022, Revised Revenue Proposal</w:t>
      </w:r>
      <w:r>
        <w:t>, 21 September 2016, p. 205;</w:t>
      </w:r>
      <w:r w:rsidRPr="00CB3A71">
        <w:t xml:space="preserve"> </w:t>
      </w:r>
      <w:r>
        <w:t xml:space="preserve">Frontier Economics, </w:t>
      </w:r>
      <w:r>
        <w:rPr>
          <w:rStyle w:val="AERtextitalic"/>
        </w:rPr>
        <w:t xml:space="preserve">Issues in the estimation of gamma, Report prepared for AGN, Multinet Gas, AusNet Transmission and AusNet Gas, </w:t>
      </w:r>
      <w:r w:rsidRPr="004423C9">
        <w:rPr>
          <w:rStyle w:val="AERtextitalic"/>
          <w:i w:val="0"/>
        </w:rPr>
        <w:t>September 2016, p. 3.</w:t>
      </w:r>
    </w:p>
  </w:footnote>
  <w:footnote w:id="584">
    <w:p w:rsidR="00B31E52" w:rsidRDefault="00B31E52" w:rsidP="00C52695">
      <w:pPr>
        <w:pStyle w:val="FootnoteText"/>
      </w:pPr>
      <w:r>
        <w:rPr>
          <w:rStyle w:val="FootnoteReference"/>
        </w:rPr>
        <w:footnoteRef/>
      </w:r>
      <w:r>
        <w:t xml:space="preserve"> </w:t>
      </w:r>
      <w:r>
        <w:tab/>
        <w:t xml:space="preserve">Australian Gas Networks, </w:t>
      </w:r>
      <w:r>
        <w:rPr>
          <w:rStyle w:val="AERtextitalic"/>
        </w:rPr>
        <w:t>Attachment 11 Response to Draft Decision: Cost of Tax</w:t>
      </w:r>
      <w:r>
        <w:t xml:space="preserve">, January 2016, p. 8; ActewAGL, </w:t>
      </w:r>
      <w:r w:rsidRPr="00AF5B33">
        <w:rPr>
          <w:rStyle w:val="AERtextitalic"/>
        </w:rPr>
        <w:t>Appendix 5.01 Detailed response to rate of return, gamma and inflation</w:t>
      </w:r>
      <w:r>
        <w:t xml:space="preserve">, January 2016, pp. 111, 128; AusNet Electricity Services, </w:t>
      </w:r>
      <w:r w:rsidRPr="00AF5B33">
        <w:rPr>
          <w:rStyle w:val="AERtextitalic"/>
        </w:rPr>
        <w:t>Revised Regulatory Proposal</w:t>
      </w:r>
      <w:r>
        <w:t xml:space="preserve">, January 2016, pp. 7-81, 7-95; United Energy, </w:t>
      </w:r>
      <w:r w:rsidRPr="00AF5B33">
        <w:rPr>
          <w:rStyle w:val="AERtextitalic"/>
        </w:rPr>
        <w:t>Response to AER Preliminary Determination Re: Rate of return and gamma</w:t>
      </w:r>
      <w:r>
        <w:t xml:space="preserve">, January 2016, pp. 82-83, 96; CitiPower, </w:t>
      </w:r>
      <w:r w:rsidRPr="00AF5B33">
        <w:rPr>
          <w:rStyle w:val="AERtextitalic"/>
        </w:rPr>
        <w:t>Revised Regulatory Proposal 2016-2020</w:t>
      </w:r>
      <w:r>
        <w:t xml:space="preserve">; January 2016, pp. 360, 374; Jemena Electricity Networks, </w:t>
      </w:r>
      <w:r w:rsidRPr="00AF5B33">
        <w:rPr>
          <w:rStyle w:val="AERtextitalic"/>
        </w:rPr>
        <w:t>Attachment 6-1 Rate of return, gamma, forecast inflation, and debt and equity raising costs</w:t>
      </w:r>
      <w:r>
        <w:t xml:space="preserve">, January 2016, p. 88-89, 103-104; Powercor, </w:t>
      </w:r>
      <w:r w:rsidRPr="00AF5B33">
        <w:rPr>
          <w:rStyle w:val="AERtextitalic"/>
        </w:rPr>
        <w:t>Revised Regulatory Proposal 2016-2020</w:t>
      </w:r>
      <w:r>
        <w:t>, January 2016, pp. 354, 367-368.</w:t>
      </w:r>
    </w:p>
  </w:footnote>
  <w:footnote w:id="585">
    <w:p w:rsidR="00B31E52" w:rsidRDefault="00B31E52" w:rsidP="00C52695">
      <w:pPr>
        <w:pStyle w:val="FootnoteText"/>
      </w:pPr>
      <w:r>
        <w:rPr>
          <w:rStyle w:val="FootnoteReference"/>
        </w:rPr>
        <w:footnoteRef/>
      </w:r>
      <w:r>
        <w:t xml:space="preserve"> </w:t>
      </w:r>
      <w:r>
        <w:tab/>
        <w:t xml:space="preserve">Frontier Economics, </w:t>
      </w:r>
      <w:r w:rsidRPr="00D14DE4">
        <w:rPr>
          <w:rStyle w:val="AERtextitalic"/>
        </w:rPr>
        <w:t>An appropriate regulatory estimate of gamma</w:t>
      </w:r>
      <w:r>
        <w:t xml:space="preserve">, June 2015, pp. 26–27; NERA, </w:t>
      </w:r>
      <w:r w:rsidRPr="00D54762">
        <w:rPr>
          <w:rStyle w:val="AERtextitalic"/>
        </w:rPr>
        <w:t>Estimating distribution and redemption rates: Response to the AER's final decisions for the NSW and ACT electricity distributors, and for Jemena Gas Networks</w:t>
      </w:r>
      <w:r>
        <w:t>, June 2015, p. iii.</w:t>
      </w:r>
    </w:p>
  </w:footnote>
  <w:footnote w:id="586">
    <w:p w:rsidR="00B31E52" w:rsidRDefault="00B31E52" w:rsidP="00C52695">
      <w:pPr>
        <w:pStyle w:val="FootnoteText"/>
      </w:pPr>
      <w:r>
        <w:rPr>
          <w:rStyle w:val="FootnoteReference"/>
        </w:rPr>
        <w:footnoteRef/>
      </w:r>
      <w:r>
        <w:t xml:space="preserve"> </w:t>
      </w:r>
      <w:r>
        <w:tab/>
        <w:t xml:space="preserve">Frontier Economics, </w:t>
      </w:r>
      <w:r w:rsidRPr="00D14DE4">
        <w:rPr>
          <w:rStyle w:val="AERtextitalic"/>
        </w:rPr>
        <w:t>An appropriate regulatory estimate of gamma</w:t>
      </w:r>
      <w:r>
        <w:t xml:space="preserve">, June 2015, pp. 28–30; NERA, </w:t>
      </w:r>
      <w:r w:rsidRPr="00D54762">
        <w:rPr>
          <w:rStyle w:val="AERtextitalic"/>
        </w:rPr>
        <w:t>Estimating distribution and redemption rates: Response to the AER's final decisions for the NSW and ACT electricity distributors, and for Jemena Gas Networks</w:t>
      </w:r>
      <w:r>
        <w:t>, June 2015, pp. 17–18.</w:t>
      </w:r>
    </w:p>
  </w:footnote>
  <w:footnote w:id="587">
    <w:p w:rsidR="00B31E52" w:rsidRDefault="00B31E52" w:rsidP="00C52695">
      <w:pPr>
        <w:pStyle w:val="FootnoteText"/>
      </w:pPr>
      <w:r>
        <w:rPr>
          <w:rStyle w:val="FootnoteReference"/>
        </w:rPr>
        <w:footnoteRef/>
      </w:r>
      <w:r>
        <w:t xml:space="preserve"> </w:t>
      </w:r>
      <w:r>
        <w:tab/>
        <w:t xml:space="preserve">Frontier Economics, </w:t>
      </w:r>
      <w:r w:rsidRPr="00D14DE4">
        <w:rPr>
          <w:rStyle w:val="AERtextitalic"/>
        </w:rPr>
        <w:t>An appropriate regulatory estimate of gamma</w:t>
      </w:r>
      <w:r>
        <w:t xml:space="preserve">, June 2015, pp. 28–30; NERA, </w:t>
      </w:r>
      <w:r w:rsidRPr="00D54762">
        <w:rPr>
          <w:rStyle w:val="AERtextitalic"/>
        </w:rPr>
        <w:t>Estimating distribution and redemption rates: Response to the AER's final decisions for the NSW and ACT electricity distributors, and for Jemena Gas Networks</w:t>
      </w:r>
      <w:r>
        <w:t>, June 2015, pp. 17–19.</w:t>
      </w:r>
    </w:p>
  </w:footnote>
  <w:footnote w:id="588">
    <w:p w:rsidR="00B31E52" w:rsidRDefault="00B31E52" w:rsidP="00C52695">
      <w:pPr>
        <w:pStyle w:val="FootnoteText"/>
      </w:pPr>
      <w:r>
        <w:rPr>
          <w:rStyle w:val="FootnoteReference"/>
        </w:rPr>
        <w:footnoteRef/>
      </w:r>
      <w:r>
        <w:t xml:space="preserve"> </w:t>
      </w:r>
      <w:r>
        <w:tab/>
        <w:t xml:space="preserve">Frontier, </w:t>
      </w:r>
      <w:r w:rsidRPr="005764F6">
        <w:rPr>
          <w:rStyle w:val="AERtextitalic"/>
        </w:rPr>
        <w:t>The appropriate use of tax statistics when estimating gamma</w:t>
      </w:r>
      <w:r>
        <w:t>, January 2016, pp. 12-13.</w:t>
      </w:r>
    </w:p>
  </w:footnote>
  <w:footnote w:id="589">
    <w:p w:rsidR="00B31E52" w:rsidRDefault="00B31E52" w:rsidP="00C52695">
      <w:pPr>
        <w:pStyle w:val="FootnoteText"/>
      </w:pPr>
      <w:r>
        <w:rPr>
          <w:rStyle w:val="FootnoteReference"/>
        </w:rPr>
        <w:footnoteRef/>
      </w:r>
      <w:r>
        <w:t xml:space="preserve"> </w:t>
      </w:r>
      <w:r>
        <w:tab/>
        <w:t xml:space="preserve">J. Handley, </w:t>
      </w:r>
      <w:r w:rsidRPr="00626887">
        <w:rPr>
          <w:rStyle w:val="AERtextitalic"/>
        </w:rPr>
        <w:t>Report prepared for the Australian Energy Regulator: Further advice on the value of imputation credits</w:t>
      </w:r>
      <w:r>
        <w:t>, 16 April 2015, p. 21.</w:t>
      </w:r>
    </w:p>
  </w:footnote>
  <w:footnote w:id="590">
    <w:p w:rsidR="00B31E52" w:rsidRDefault="00B31E52" w:rsidP="00C52695">
      <w:pPr>
        <w:pStyle w:val="FootnoteText"/>
      </w:pPr>
      <w:r>
        <w:rPr>
          <w:rStyle w:val="FootnoteReference"/>
        </w:rPr>
        <w:footnoteRef/>
      </w:r>
      <w:r>
        <w:t xml:space="preserve"> </w:t>
      </w:r>
      <w:r>
        <w:tab/>
      </w:r>
      <w:r w:rsidRPr="00712BC2">
        <w:t xml:space="preserve">M. Lally, </w:t>
      </w:r>
      <w:r>
        <w:rPr>
          <w:rStyle w:val="AERtextitalic"/>
        </w:rPr>
        <w:t>Gamma and the ACT Decision</w:t>
      </w:r>
      <w:r>
        <w:t>, May 2016, pp. 27.</w:t>
      </w:r>
    </w:p>
  </w:footnote>
  <w:footnote w:id="591">
    <w:p w:rsidR="00B31E52" w:rsidRDefault="00B31E52" w:rsidP="00C52695">
      <w:pPr>
        <w:pStyle w:val="FootnoteText"/>
      </w:pPr>
      <w:r>
        <w:rPr>
          <w:rStyle w:val="FootnoteReference"/>
        </w:rPr>
        <w:footnoteRef/>
      </w:r>
      <w:r>
        <w:t xml:space="preserve"> </w:t>
      </w:r>
      <w:r>
        <w:tab/>
        <w:t xml:space="preserve">EMRF, </w:t>
      </w:r>
      <w:r w:rsidRPr="001B6BD3">
        <w:rPr>
          <w:rStyle w:val="AERtextitalic"/>
        </w:rPr>
        <w:t>NSW gas distribution revenue reset, Draft decision by the Australian Energy Regulator on Jemena’s Gas Networks Access Arrangement, A response</w:t>
      </w:r>
      <w:r>
        <w:t>, March 2015, p. 71.</w:t>
      </w:r>
    </w:p>
  </w:footnote>
  <w:footnote w:id="592">
    <w:p w:rsidR="00B31E52" w:rsidRPr="00EA3C68" w:rsidRDefault="00B31E52" w:rsidP="00023359">
      <w:pPr>
        <w:pStyle w:val="FootnoteText"/>
      </w:pPr>
      <w:r>
        <w:rPr>
          <w:rStyle w:val="FootnoteReference"/>
        </w:rPr>
        <w:footnoteRef/>
      </w:r>
      <w:r>
        <w:t xml:space="preserve"> </w:t>
      </w:r>
      <w:r>
        <w:tab/>
        <w:t xml:space="preserve">M. Lally, </w:t>
      </w:r>
      <w:r w:rsidRPr="00E750F8">
        <w:rPr>
          <w:rStyle w:val="AERtextitalic"/>
        </w:rPr>
        <w:t>Issues in the estimation of gamma</w:t>
      </w:r>
      <w:r>
        <w:t>, April 2017</w:t>
      </w:r>
      <w:r w:rsidRPr="00F403D5">
        <w:rPr>
          <w:rStyle w:val="AERtextitalic"/>
        </w:rPr>
        <w:t xml:space="preserve">, </w:t>
      </w:r>
      <w:r w:rsidRPr="004423C9">
        <w:rPr>
          <w:rStyle w:val="AERtextitalic"/>
          <w:i w:val="0"/>
        </w:rPr>
        <w:t>p. 13.</w:t>
      </w:r>
    </w:p>
  </w:footnote>
  <w:footnote w:id="593">
    <w:p w:rsidR="00B31E52" w:rsidRDefault="00B31E52" w:rsidP="00C52695">
      <w:pPr>
        <w:pStyle w:val="FootnoteText"/>
      </w:pPr>
      <w:r>
        <w:rPr>
          <w:rStyle w:val="FootnoteReference"/>
        </w:rPr>
        <w:footnoteRef/>
      </w:r>
      <w:r>
        <w:t xml:space="preserve"> </w:t>
      </w:r>
      <w:r>
        <w:tab/>
      </w:r>
      <w:r w:rsidRPr="00712BC2">
        <w:t xml:space="preserve">M. Lally, </w:t>
      </w:r>
      <w:r>
        <w:rPr>
          <w:rStyle w:val="AERtextitalic"/>
        </w:rPr>
        <w:t>Gamma and the ACT Decision</w:t>
      </w:r>
      <w:r>
        <w:t>, May 2016, pp. 5–6, 24–26, 29.</w:t>
      </w:r>
      <w:r w:rsidRPr="00FF2881">
        <w:rPr>
          <w:rStyle w:val="FootnoteReference"/>
        </w:rPr>
        <w:t xml:space="preserve">. </w:t>
      </w:r>
    </w:p>
  </w:footnote>
  <w:footnote w:id="594">
    <w:p w:rsidR="00B31E52" w:rsidRDefault="00B31E52" w:rsidP="00C52695">
      <w:pPr>
        <w:pStyle w:val="FootnoteText"/>
      </w:pPr>
      <w:r>
        <w:rPr>
          <w:rStyle w:val="FootnoteReference"/>
        </w:rPr>
        <w:footnoteRef/>
      </w:r>
      <w:r>
        <w:t xml:space="preserve"> </w:t>
      </w:r>
      <w:r>
        <w:tab/>
      </w:r>
      <w:r w:rsidRPr="00712BC2">
        <w:t xml:space="preserve">M. Lally, </w:t>
      </w:r>
      <w:r>
        <w:rPr>
          <w:rStyle w:val="AERtextitalic"/>
        </w:rPr>
        <w:t>Gamma and the ACT Decision</w:t>
      </w:r>
      <w:r>
        <w:t>, May 2016, p. 7.</w:t>
      </w:r>
    </w:p>
  </w:footnote>
  <w:footnote w:id="595">
    <w:p w:rsidR="00B31E52" w:rsidRDefault="00B31E52" w:rsidP="00C52695">
      <w:pPr>
        <w:pStyle w:val="FootnoteText"/>
      </w:pPr>
      <w:r>
        <w:rPr>
          <w:rStyle w:val="FootnoteReference"/>
        </w:rPr>
        <w:footnoteRef/>
      </w:r>
      <w:r>
        <w:t xml:space="preserve"> </w:t>
      </w:r>
      <w:r>
        <w:tab/>
      </w:r>
      <w:r w:rsidRPr="00712BC2">
        <w:t xml:space="preserve">M. Lally, </w:t>
      </w:r>
      <w:r>
        <w:rPr>
          <w:rStyle w:val="AERtextitalic"/>
        </w:rPr>
        <w:t>Gamma and the ACT Decision</w:t>
      </w:r>
      <w:r>
        <w:t>, May 2016, p. 7.</w:t>
      </w:r>
    </w:p>
  </w:footnote>
  <w:footnote w:id="596">
    <w:p w:rsidR="00B31E52" w:rsidRDefault="00B31E52" w:rsidP="00C52695">
      <w:pPr>
        <w:pStyle w:val="FootnoteText"/>
      </w:pPr>
      <w:r>
        <w:rPr>
          <w:rStyle w:val="FootnoteReference"/>
        </w:rPr>
        <w:footnoteRef/>
      </w:r>
      <w:r>
        <w:t xml:space="preserve"> </w:t>
      </w:r>
      <w:r>
        <w:tab/>
      </w:r>
      <w:r w:rsidRPr="00DF6BAC">
        <w:t xml:space="preserve">NERA, </w:t>
      </w:r>
      <w:r w:rsidRPr="00DF6BAC">
        <w:rPr>
          <w:rStyle w:val="AERtextitalic"/>
        </w:rPr>
        <w:t>The payout ratio: A report for the Energy Networks Association</w:t>
      </w:r>
      <w:r w:rsidRPr="00DF6BAC">
        <w:t>, June 2013.</w:t>
      </w:r>
    </w:p>
  </w:footnote>
  <w:footnote w:id="597">
    <w:p w:rsidR="00B31E52" w:rsidRDefault="00B31E52" w:rsidP="00C52695">
      <w:pPr>
        <w:pStyle w:val="FootnoteText"/>
      </w:pPr>
      <w:r>
        <w:rPr>
          <w:rStyle w:val="FootnoteReference"/>
        </w:rPr>
        <w:footnoteRef/>
      </w:r>
      <w:r>
        <w:t xml:space="preserve"> </w:t>
      </w:r>
      <w:r>
        <w:tab/>
      </w:r>
      <w:r w:rsidRPr="00DF6BAC">
        <w:t xml:space="preserve">N. Hathaway, </w:t>
      </w:r>
      <w:r w:rsidRPr="00DF6BAC">
        <w:rPr>
          <w:rStyle w:val="AERtextitalic"/>
        </w:rPr>
        <w:t>Imputation credit redemption ATO data 1988–2011: Where have all the credits gone?</w:t>
      </w:r>
      <w:r w:rsidRPr="00DF6BAC">
        <w:t>, September 2013.</w:t>
      </w:r>
    </w:p>
  </w:footnote>
  <w:footnote w:id="598">
    <w:p w:rsidR="00B31E52" w:rsidRDefault="00B31E52" w:rsidP="00C52695">
      <w:pPr>
        <w:pStyle w:val="FootnoteText"/>
      </w:pPr>
      <w:r>
        <w:rPr>
          <w:rStyle w:val="FootnoteReference"/>
        </w:rPr>
        <w:footnoteRef/>
      </w:r>
      <w:r>
        <w:t xml:space="preserve"> </w:t>
      </w:r>
      <w:r>
        <w:tab/>
        <w:t xml:space="preserve">Frontier, </w:t>
      </w:r>
      <w:r w:rsidRPr="00E750F8">
        <w:rPr>
          <w:rStyle w:val="AERtextitalic"/>
        </w:rPr>
        <w:t>The appropriate use of tax statistics when estimating gamma</w:t>
      </w:r>
      <w:r>
        <w:t>, January 2016, p. 15.</w:t>
      </w:r>
    </w:p>
  </w:footnote>
  <w:footnote w:id="599">
    <w:p w:rsidR="00B31E52" w:rsidRDefault="00B31E52" w:rsidP="00C52695">
      <w:pPr>
        <w:pStyle w:val="FootnoteText"/>
      </w:pPr>
      <w:r>
        <w:rPr>
          <w:rStyle w:val="FootnoteReference"/>
        </w:rPr>
        <w:footnoteRef/>
      </w:r>
      <w:r>
        <w:t xml:space="preserve"> </w:t>
      </w:r>
      <w:r>
        <w:tab/>
      </w:r>
      <w:r w:rsidRPr="00874F27">
        <w:t xml:space="preserve">J. Handley, </w:t>
      </w:r>
      <w:r w:rsidRPr="00874F27">
        <w:rPr>
          <w:rStyle w:val="AERtextitalic"/>
        </w:rPr>
        <w:t>Report prepared for the Australian Energy Regulator: Advice on the value of imputation credits</w:t>
      </w:r>
      <w:r w:rsidRPr="00874F27">
        <w:t>, 29 September 2014</w:t>
      </w:r>
      <w:r>
        <w:t>, pp. 28–29</w:t>
      </w:r>
      <w:r w:rsidRPr="00874F27">
        <w:t>.</w:t>
      </w:r>
    </w:p>
  </w:footnote>
  <w:footnote w:id="600">
    <w:p w:rsidR="00B31E52" w:rsidRDefault="00B31E52" w:rsidP="00C52695">
      <w:pPr>
        <w:pStyle w:val="FootnoteText"/>
      </w:pPr>
      <w:r>
        <w:rPr>
          <w:rStyle w:val="FootnoteReference"/>
        </w:rPr>
        <w:footnoteRef/>
      </w:r>
      <w:r>
        <w:t xml:space="preserve"> </w:t>
      </w:r>
      <w:r>
        <w:tab/>
        <w:t xml:space="preserve">NERA, </w:t>
      </w:r>
      <w:r w:rsidRPr="001763FD">
        <w:rPr>
          <w:rStyle w:val="AERtextitalic"/>
        </w:rPr>
        <w:t>Estimating distribution and redemption rates from taxation statistics</w:t>
      </w:r>
      <w:r>
        <w:t>, March 2015.</w:t>
      </w:r>
      <w:r w:rsidDel="00701BF2">
        <w:t xml:space="preserve"> </w:t>
      </w:r>
    </w:p>
  </w:footnote>
  <w:footnote w:id="601">
    <w:p w:rsidR="00B31E52" w:rsidRDefault="00B31E52" w:rsidP="00C52695">
      <w:pPr>
        <w:pStyle w:val="FootnoteText"/>
      </w:pPr>
      <w:r>
        <w:rPr>
          <w:rStyle w:val="FootnoteReference"/>
        </w:rPr>
        <w:footnoteRef/>
      </w:r>
      <w:r>
        <w:t xml:space="preserve"> </w:t>
      </w:r>
      <w:r>
        <w:tab/>
        <w:t xml:space="preserve">J. Handley, </w:t>
      </w:r>
      <w:r w:rsidRPr="005B7CF2">
        <w:rPr>
          <w:rStyle w:val="AERtextitalic"/>
        </w:rPr>
        <w:t>Report prepared for the Australian Energy Regulator: Advice on the NERA report 'Estimating distribution and redemption rates from taxation statistics'</w:t>
      </w:r>
      <w:r>
        <w:t xml:space="preserve">, 20 May 2015. </w:t>
      </w:r>
    </w:p>
  </w:footnote>
  <w:footnote w:id="602">
    <w:p w:rsidR="00B31E52" w:rsidRDefault="00B31E52" w:rsidP="00C52695">
      <w:pPr>
        <w:pStyle w:val="FootnoteText"/>
      </w:pPr>
      <w:r>
        <w:rPr>
          <w:rStyle w:val="FootnoteReference"/>
        </w:rPr>
        <w:footnoteRef/>
      </w:r>
      <w:r>
        <w:t xml:space="preserve"> </w:t>
      </w:r>
      <w:r>
        <w:tab/>
        <w:t xml:space="preserve">As discussed in section </w:t>
      </w:r>
      <w:r>
        <w:fldChar w:fldCharType="begin"/>
      </w:r>
      <w:r>
        <w:instrText xml:space="preserve"> REF _Ref402179420 \r \h </w:instrText>
      </w:r>
      <w:r>
        <w:fldChar w:fldCharType="separate"/>
      </w:r>
      <w:r w:rsidR="007E3457">
        <w:t>A.13</w:t>
      </w:r>
      <w:r>
        <w:fldChar w:fldCharType="end"/>
      </w:r>
      <w:r>
        <w:t xml:space="preserve">, we have regard to </w:t>
      </w:r>
      <w:r w:rsidRPr="007938F1">
        <w:t>Hathaway's finding that the ATO statistics are subject to a number of issues prior to 2004</w:t>
      </w:r>
      <w:r>
        <w:t>.</w:t>
      </w:r>
    </w:p>
  </w:footnote>
  <w:footnote w:id="603">
    <w:p w:rsidR="00B31E52" w:rsidRDefault="00B31E52" w:rsidP="00C52695">
      <w:pPr>
        <w:pStyle w:val="FootnoteText"/>
      </w:pPr>
      <w:r>
        <w:rPr>
          <w:rStyle w:val="FootnoteReference"/>
        </w:rPr>
        <w:footnoteRef/>
      </w:r>
      <w:r>
        <w:t xml:space="preserve"> </w:t>
      </w:r>
      <w:r>
        <w:tab/>
        <w:t xml:space="preserve">Frontier, </w:t>
      </w:r>
      <w:r w:rsidRPr="00E750F8">
        <w:rPr>
          <w:rStyle w:val="AERtextitalic"/>
        </w:rPr>
        <w:t>The appropriate use of tax statistics when estimating gamma</w:t>
      </w:r>
      <w:r>
        <w:t>, January 2016, p. 20.</w:t>
      </w:r>
    </w:p>
  </w:footnote>
  <w:footnote w:id="604">
    <w:p w:rsidR="00B31E52" w:rsidRDefault="00B31E52" w:rsidP="00C52695">
      <w:pPr>
        <w:pStyle w:val="FootnoteText"/>
      </w:pPr>
      <w:r>
        <w:rPr>
          <w:rStyle w:val="FootnoteReference"/>
        </w:rPr>
        <w:footnoteRef/>
      </w:r>
      <w:r>
        <w:t xml:space="preserve"> </w:t>
      </w:r>
      <w:r>
        <w:tab/>
        <w:t xml:space="preserve">Frontier, </w:t>
      </w:r>
      <w:r w:rsidRPr="00E750F8">
        <w:rPr>
          <w:rStyle w:val="AERtextitalic"/>
        </w:rPr>
        <w:t>The appropriate use of tax statistics when estimating gamma</w:t>
      </w:r>
      <w:r>
        <w:t>, January 2016, p. 20.</w:t>
      </w:r>
    </w:p>
  </w:footnote>
  <w:footnote w:id="605">
    <w:p w:rsidR="00B31E52" w:rsidRDefault="00B31E52" w:rsidP="00C52695">
      <w:pPr>
        <w:pStyle w:val="FootnoteText"/>
      </w:pPr>
      <w:r>
        <w:rPr>
          <w:rStyle w:val="FootnoteReference"/>
        </w:rPr>
        <w:footnoteRef/>
      </w:r>
      <w:r>
        <w:t xml:space="preserve"> </w:t>
      </w:r>
      <w:r>
        <w:tab/>
      </w:r>
      <w:r w:rsidRPr="00712BC2">
        <w:t xml:space="preserve">M. Lally, </w:t>
      </w:r>
      <w:r>
        <w:rPr>
          <w:rStyle w:val="AERtextitalic"/>
        </w:rPr>
        <w:t>Gamma and the ACT Decision</w:t>
      </w:r>
      <w:r>
        <w:t>, May 2016, p. 25.</w:t>
      </w:r>
    </w:p>
  </w:footnote>
  <w:footnote w:id="606">
    <w:p w:rsidR="00B31E52" w:rsidRDefault="00B31E52" w:rsidP="00C52695">
      <w:pPr>
        <w:pStyle w:val="FootnoteText"/>
      </w:pPr>
      <w:r>
        <w:rPr>
          <w:rStyle w:val="FootnoteReference"/>
        </w:rPr>
        <w:footnoteRef/>
      </w:r>
      <w:r>
        <w:t xml:space="preserve"> </w:t>
      </w:r>
      <w:r>
        <w:tab/>
      </w:r>
      <w:r w:rsidRPr="00712BC2">
        <w:t xml:space="preserve">M. Lally, </w:t>
      </w:r>
      <w:r>
        <w:rPr>
          <w:rStyle w:val="AERtextitalic"/>
        </w:rPr>
        <w:t>Gamma and the ACT Decision</w:t>
      </w:r>
      <w:r>
        <w:t>, May 2016, p. 31.</w:t>
      </w:r>
    </w:p>
  </w:footnote>
  <w:footnote w:id="607">
    <w:p w:rsidR="00B31E52" w:rsidRDefault="00B31E52" w:rsidP="00997314">
      <w:pPr>
        <w:pStyle w:val="FootnoteText"/>
      </w:pPr>
      <w:r>
        <w:rPr>
          <w:rStyle w:val="FootnoteReference"/>
        </w:rPr>
        <w:footnoteRef/>
      </w:r>
      <w:r>
        <w:t xml:space="preserve"> </w:t>
      </w:r>
      <w:r>
        <w:tab/>
      </w:r>
      <w:r w:rsidRPr="00DD218F">
        <w:t xml:space="preserve">AusNet Transmission, </w:t>
      </w:r>
      <w:r w:rsidRPr="00DD218F">
        <w:rPr>
          <w:rStyle w:val="AERtextitalic"/>
        </w:rPr>
        <w:t>Transmission Revenue Review 2017-2022</w:t>
      </w:r>
      <w:r w:rsidRPr="00DD218F">
        <w:t>, October 2015, p. </w:t>
      </w:r>
      <w:r>
        <w:t xml:space="preserve">292; Australian Gas Networks, </w:t>
      </w:r>
      <w:r>
        <w:rPr>
          <w:rStyle w:val="AERtextitalic"/>
        </w:rPr>
        <w:t>Attachment 11 Response to Draft Decision: Cost of Tax</w:t>
      </w:r>
      <w:r>
        <w:t xml:space="preserve">, January 2016, p. 7; ActewAGL, </w:t>
      </w:r>
      <w:r w:rsidRPr="00AF5B33">
        <w:rPr>
          <w:rStyle w:val="AERtextitalic"/>
        </w:rPr>
        <w:t>Appendix 5.01 Detailed response to rate of return, gamma and inflation</w:t>
      </w:r>
      <w:r>
        <w:t xml:space="preserve">, January 2016, p. 109; AusNet Electricity Services, </w:t>
      </w:r>
      <w:r w:rsidRPr="00AF5B33">
        <w:rPr>
          <w:rStyle w:val="AERtextitalic"/>
        </w:rPr>
        <w:t>Revised Regulatory Proposal</w:t>
      </w:r>
      <w:r>
        <w:t xml:space="preserve">, January 2016, p. 7-80; United Energy, </w:t>
      </w:r>
      <w:r w:rsidRPr="00AF5B33">
        <w:rPr>
          <w:rStyle w:val="AERtextitalic"/>
        </w:rPr>
        <w:t>Response to AER Preliminary Determination Re: Rate of return and gamma</w:t>
      </w:r>
      <w:r>
        <w:t xml:space="preserve">, January 2016, p. 81; CitiPower, </w:t>
      </w:r>
      <w:r w:rsidRPr="00AF5B33">
        <w:rPr>
          <w:rStyle w:val="AERtextitalic"/>
        </w:rPr>
        <w:t>Revised Regulatory Proposal 2016-2020</w:t>
      </w:r>
      <w:r>
        <w:t xml:space="preserve">; January 2016, p. 359; Jemena Electricity Networks, </w:t>
      </w:r>
      <w:r w:rsidRPr="00AF5B33">
        <w:rPr>
          <w:rStyle w:val="AERtextitalic"/>
        </w:rPr>
        <w:t>Attachment 6-1 Rate of return, gamma, forecast inflation, and debt and equity raising costs</w:t>
      </w:r>
      <w:r>
        <w:t xml:space="preserve">, January 2016, p. 87; Powercor, </w:t>
      </w:r>
      <w:r w:rsidRPr="00AF5B33">
        <w:rPr>
          <w:rStyle w:val="AERtextitalic"/>
        </w:rPr>
        <w:t>Revised Regulatory Proposal 2016-2020</w:t>
      </w:r>
      <w:r>
        <w:t xml:space="preserve">, January 2016, p. 353; APNT, </w:t>
      </w:r>
      <w:r w:rsidRPr="00903ED1">
        <w:rPr>
          <w:rStyle w:val="AERtextitalic"/>
        </w:rPr>
        <w:t>Access Arrangement Revised Proposal to Draft Decision</w:t>
      </w:r>
      <w:r>
        <w:t xml:space="preserve">, January 2016, p. 92; AusNet Transmission, </w:t>
      </w:r>
      <w:r>
        <w:rPr>
          <w:rStyle w:val="AERtextitalic"/>
        </w:rPr>
        <w:t>Transmission Revenue Proposal Review 2017-2022, Revised Revenue Proposal</w:t>
      </w:r>
      <w:r>
        <w:t xml:space="preserve">, 21 September 2016, pp. 204-206; Frontier Economics, </w:t>
      </w:r>
      <w:r>
        <w:rPr>
          <w:rStyle w:val="AERtextitalic"/>
        </w:rPr>
        <w:t xml:space="preserve">Issues in the estimation of gamma, Report prepared for AGN, Multinet Gas, AusNet Transmission and AusNet Gas, September 2016, </w:t>
      </w:r>
      <w:r w:rsidRPr="004423C9">
        <w:rPr>
          <w:rStyle w:val="AERtextitalic"/>
          <w:i w:val="0"/>
        </w:rPr>
        <w:t>p. 3</w:t>
      </w:r>
      <w:r>
        <w:rPr>
          <w:rStyle w:val="AERtextitalic"/>
        </w:rPr>
        <w:t xml:space="preserve">; </w:t>
      </w:r>
      <w:r w:rsidRPr="00997314">
        <w:t xml:space="preserve"> </w:t>
      </w:r>
      <w:r w:rsidRPr="00536674">
        <w:t xml:space="preserve">Multinet, </w:t>
      </w:r>
      <w:r w:rsidRPr="00571BBD">
        <w:rPr>
          <w:rStyle w:val="AERtextitalic"/>
        </w:rPr>
        <w:t>Corporate Income Tax Overview</w:t>
      </w:r>
      <w:r w:rsidRPr="00536674">
        <w:t xml:space="preserve">, December 2016, p. </w:t>
      </w:r>
      <w:r>
        <w:t>12</w:t>
      </w:r>
      <w:r w:rsidRPr="00536674">
        <w:t xml:space="preserve">; AusNet Services Gas Distribution, </w:t>
      </w:r>
      <w:r w:rsidRPr="00571BBD">
        <w:rPr>
          <w:rStyle w:val="AERtextitalic"/>
        </w:rPr>
        <w:t>Gas Access Arrangement Review 2018-2022</w:t>
      </w:r>
      <w:r>
        <w:t>, December 2016, p. 243.</w:t>
      </w:r>
    </w:p>
  </w:footnote>
  <w:footnote w:id="608">
    <w:p w:rsidR="00B31E52" w:rsidRDefault="00B31E52" w:rsidP="00C52695">
      <w:pPr>
        <w:pStyle w:val="FootnoteText"/>
      </w:pPr>
      <w:r>
        <w:rPr>
          <w:rStyle w:val="FootnoteReference"/>
        </w:rPr>
        <w:footnoteRef/>
      </w:r>
      <w:r>
        <w:t xml:space="preserve"> </w:t>
      </w:r>
      <w:r>
        <w:tab/>
        <w:t xml:space="preserve">ActewAGL, </w:t>
      </w:r>
      <w:r w:rsidRPr="000E181F">
        <w:rPr>
          <w:rStyle w:val="AERtextitalic"/>
        </w:rPr>
        <w:t>Detailed response to the AER's draft decision in relation to gamma</w:t>
      </w:r>
      <w:r>
        <w:t xml:space="preserve">, January 2015, p. 1; Ausgrid, </w:t>
      </w:r>
      <w:r w:rsidRPr="00D75F7A">
        <w:rPr>
          <w:rStyle w:val="AERtextitalic"/>
        </w:rPr>
        <w:t>Ausgrid's revised proposal on gamma</w:t>
      </w:r>
      <w:r>
        <w:t xml:space="preserve">, January 2015, p. 3; Directlink, </w:t>
      </w:r>
      <w:r w:rsidRPr="0000771B">
        <w:rPr>
          <w:rStyle w:val="AERtextitalic"/>
        </w:rPr>
        <w:t>Directlink submission on gamma (updated)</w:t>
      </w:r>
      <w:r>
        <w:t xml:space="preserve">, January 2015, p. 3; Endeavour Energy, </w:t>
      </w:r>
      <w:r w:rsidRPr="00DF3162">
        <w:rPr>
          <w:rStyle w:val="AERtextitalic"/>
        </w:rPr>
        <w:t>Endeavour Energy's response to the AER draft decision re gamma</w:t>
      </w:r>
      <w:r>
        <w:t xml:space="preserve">, January 2015, p. 3; Essential Energy, </w:t>
      </w:r>
      <w:r w:rsidRPr="000E181F">
        <w:rPr>
          <w:rStyle w:val="AERtextitalic"/>
        </w:rPr>
        <w:t>Essential's response to AER draft decision re gamma</w:t>
      </w:r>
      <w:r>
        <w:t xml:space="preserve">, January 2015, p. 3; and JGN, </w:t>
      </w:r>
      <w:r w:rsidRPr="000E181F">
        <w:rPr>
          <w:rStyle w:val="AERtextitalic"/>
        </w:rPr>
        <w:t>Gamma - response to the draft decision</w:t>
      </w:r>
      <w:r>
        <w:t xml:space="preserve">, February 2015, p. 4; CitiPower, </w:t>
      </w:r>
      <w:r w:rsidRPr="00596AF9">
        <w:rPr>
          <w:i/>
        </w:rPr>
        <w:t>Appendix J - Gamma</w:t>
      </w:r>
      <w:r>
        <w:t xml:space="preserve">, April 2015, p. 6; Powercor, </w:t>
      </w:r>
      <w:r w:rsidRPr="00596AF9">
        <w:rPr>
          <w:i/>
        </w:rPr>
        <w:t>Regulatory Proposal 2016-20</w:t>
      </w:r>
      <w:r>
        <w:t xml:space="preserve">, April 2015, p. 6; Energex, </w:t>
      </w:r>
      <w:r w:rsidRPr="00596AF9">
        <w:rPr>
          <w:i/>
        </w:rPr>
        <w:t>Submission on Energex's regulatory proposal 2015-20 and the AER issues paper</w:t>
      </w:r>
      <w:r>
        <w:t>, January 2015, p. 4.</w:t>
      </w:r>
    </w:p>
  </w:footnote>
  <w:footnote w:id="609">
    <w:p w:rsidR="00B31E52" w:rsidRDefault="00B31E52" w:rsidP="00C52695">
      <w:pPr>
        <w:pStyle w:val="FootnoteText"/>
      </w:pPr>
      <w:r>
        <w:rPr>
          <w:rStyle w:val="FootnoteReference"/>
        </w:rPr>
        <w:footnoteRef/>
      </w:r>
      <w:r>
        <w:t xml:space="preserve"> </w:t>
      </w:r>
      <w:r>
        <w:tab/>
        <w:t xml:space="preserve">SFG, </w:t>
      </w:r>
      <w:r>
        <w:rPr>
          <w:rStyle w:val="AERtextitalic"/>
        </w:rPr>
        <w:t>Estimating gamma for regulatory purposes</w:t>
      </w:r>
      <w:r>
        <w:t>, 6 February 2015, para. 211.</w:t>
      </w:r>
    </w:p>
  </w:footnote>
  <w:footnote w:id="610">
    <w:p w:rsidR="00B31E52" w:rsidRDefault="00B31E52" w:rsidP="00C52695">
      <w:pPr>
        <w:pStyle w:val="FootnoteText"/>
      </w:pPr>
      <w:r>
        <w:rPr>
          <w:rStyle w:val="FootnoteReference"/>
        </w:rPr>
        <w:footnoteRef/>
      </w:r>
      <w:r>
        <w:t xml:space="preserve"> </w:t>
      </w:r>
      <w:r>
        <w:tab/>
        <w:t xml:space="preserve">SFG, </w:t>
      </w:r>
      <w:r>
        <w:rPr>
          <w:rStyle w:val="AERtextitalic"/>
        </w:rPr>
        <w:t>Estimating gamma for regulatory purposes</w:t>
      </w:r>
      <w:r>
        <w:t>, 6 February 2015, para. 222.</w:t>
      </w:r>
    </w:p>
  </w:footnote>
  <w:footnote w:id="611">
    <w:p w:rsidR="00B31E52" w:rsidRDefault="00B31E52" w:rsidP="00C52695">
      <w:pPr>
        <w:pStyle w:val="FootnoteText"/>
      </w:pPr>
      <w:r>
        <w:rPr>
          <w:rStyle w:val="FootnoteReference"/>
        </w:rPr>
        <w:footnoteRef/>
      </w:r>
      <w:r>
        <w:t xml:space="preserve">  </w:t>
      </w:r>
      <w:r>
        <w:tab/>
        <w:t xml:space="preserve">SFG, </w:t>
      </w:r>
      <w:r>
        <w:rPr>
          <w:rStyle w:val="AERtextitalic"/>
        </w:rPr>
        <w:t>Estimating gamma for regulatory purposes</w:t>
      </w:r>
      <w:r>
        <w:t xml:space="preserve">, 6 February 2015, paras. 215, 217–218; </w:t>
      </w:r>
      <w:r w:rsidRPr="003168FF">
        <w:t xml:space="preserve">Frontier, </w:t>
      </w:r>
      <w:r w:rsidRPr="00E750F8">
        <w:rPr>
          <w:rStyle w:val="AERtextitalic"/>
        </w:rPr>
        <w:t>The appropriate use of tax statistics when estimating gamm</w:t>
      </w:r>
      <w:r w:rsidRPr="003168FF">
        <w:t>a, January 2016, p. </w:t>
      </w:r>
      <w:r>
        <w:t>6.</w:t>
      </w:r>
    </w:p>
  </w:footnote>
  <w:footnote w:id="612">
    <w:p w:rsidR="00B31E52" w:rsidRDefault="00B31E52" w:rsidP="00C52695">
      <w:pPr>
        <w:pStyle w:val="FootnoteText"/>
      </w:pPr>
      <w:r>
        <w:rPr>
          <w:rStyle w:val="FootnoteReference"/>
        </w:rPr>
        <w:footnoteRef/>
      </w:r>
      <w:r>
        <w:t xml:space="preserve"> </w:t>
      </w:r>
      <w:r>
        <w:tab/>
        <w:t xml:space="preserve">SFG, </w:t>
      </w:r>
      <w:r>
        <w:rPr>
          <w:rStyle w:val="AERtextitalic"/>
        </w:rPr>
        <w:t>Estimating gamma for regulatory purposes</w:t>
      </w:r>
      <w:r>
        <w:t xml:space="preserve">, 6 February 2015, para. 223; </w:t>
      </w:r>
      <w:r w:rsidRPr="003168FF">
        <w:t>Frontier, The appropriate use of tax statistics when estimating gamma, January 2016, p. </w:t>
      </w:r>
      <w:r>
        <w:t>6.</w:t>
      </w:r>
    </w:p>
  </w:footnote>
  <w:footnote w:id="613">
    <w:p w:rsidR="00B31E52" w:rsidRDefault="00B31E52" w:rsidP="00C52695">
      <w:pPr>
        <w:pStyle w:val="FootnoteText"/>
      </w:pPr>
      <w:r>
        <w:rPr>
          <w:rStyle w:val="FootnoteReference"/>
        </w:rPr>
        <w:footnoteRef/>
      </w:r>
      <w:r>
        <w:t xml:space="preserve"> </w:t>
      </w:r>
      <w:r>
        <w:tab/>
        <w:t xml:space="preserve">J. Handley, </w:t>
      </w:r>
      <w:r w:rsidRPr="00626887">
        <w:rPr>
          <w:rStyle w:val="AERtextitalic"/>
        </w:rPr>
        <w:t>Report prepared for the Australian Energy Regulator: Further advice on the value of imputation credits</w:t>
      </w:r>
      <w:r>
        <w:t>, 16 April 2015, p. 21.</w:t>
      </w:r>
    </w:p>
  </w:footnote>
  <w:footnote w:id="614">
    <w:p w:rsidR="00B31E52" w:rsidRDefault="00B31E52" w:rsidP="00C52695">
      <w:pPr>
        <w:pStyle w:val="FootnoteText"/>
      </w:pPr>
      <w:r>
        <w:rPr>
          <w:rStyle w:val="FootnoteReference"/>
        </w:rPr>
        <w:footnoteRef/>
      </w:r>
      <w:r>
        <w:t xml:space="preserve"> </w:t>
      </w:r>
      <w:r>
        <w:tab/>
      </w:r>
      <w:r w:rsidRPr="003168FF">
        <w:t xml:space="preserve">Frontier, </w:t>
      </w:r>
      <w:r w:rsidRPr="009A3D22">
        <w:rPr>
          <w:rStyle w:val="AERtextitalic"/>
        </w:rPr>
        <w:t>The appropriate use of tax statistics when estimating gamma</w:t>
      </w:r>
      <w:r w:rsidRPr="003168FF">
        <w:t>, January 2016, p. </w:t>
      </w:r>
      <w:r>
        <w:t>12.</w:t>
      </w:r>
    </w:p>
  </w:footnote>
  <w:footnote w:id="615">
    <w:p w:rsidR="00B31E52" w:rsidRDefault="00B31E52" w:rsidP="00C52695">
      <w:pPr>
        <w:pStyle w:val="FootnoteText"/>
      </w:pPr>
      <w:r>
        <w:rPr>
          <w:rStyle w:val="FootnoteReference"/>
        </w:rPr>
        <w:footnoteRef/>
      </w:r>
      <w:r>
        <w:t xml:space="preserve"> </w:t>
      </w:r>
      <w:r>
        <w:tab/>
        <w:t xml:space="preserve">A. Ainsworth, G. Partington and G. Warren, </w:t>
      </w:r>
      <w:r w:rsidRPr="00814197">
        <w:rPr>
          <w:rStyle w:val="AERtextitalic"/>
        </w:rPr>
        <w:t>Do franking credits matter? Exploring the financial implications of dividend imputation</w:t>
      </w:r>
      <w:r>
        <w:t>, May 2015, p. 34.</w:t>
      </w:r>
    </w:p>
  </w:footnote>
  <w:footnote w:id="616">
    <w:p w:rsidR="00B31E52" w:rsidRDefault="00B31E52" w:rsidP="00C52695">
      <w:pPr>
        <w:pStyle w:val="FootnoteText"/>
      </w:pPr>
      <w:r>
        <w:rPr>
          <w:rStyle w:val="FootnoteReference"/>
        </w:rPr>
        <w:footnoteRef/>
      </w:r>
      <w:r>
        <w:t xml:space="preserve"> </w:t>
      </w:r>
      <w:r>
        <w:tab/>
      </w:r>
      <w:r w:rsidRPr="00712BC2">
        <w:t xml:space="preserve">M. Lally, </w:t>
      </w:r>
      <w:r>
        <w:rPr>
          <w:rStyle w:val="AERtextitalic"/>
        </w:rPr>
        <w:t>Gamma and the ACT Decision</w:t>
      </w:r>
      <w:r>
        <w:t>, May 2016, pp. 26-29.</w:t>
      </w:r>
    </w:p>
  </w:footnote>
  <w:footnote w:id="617">
    <w:p w:rsidR="00B31E52" w:rsidRDefault="00B31E52" w:rsidP="00C52695">
      <w:pPr>
        <w:pStyle w:val="FootnoteText"/>
      </w:pPr>
      <w:r>
        <w:rPr>
          <w:rStyle w:val="FootnoteReference"/>
        </w:rPr>
        <w:footnoteRef/>
      </w:r>
      <w:r>
        <w:t xml:space="preserve"> </w:t>
      </w:r>
      <w:r>
        <w:tab/>
      </w:r>
      <w:r w:rsidRPr="00712BC2">
        <w:t xml:space="preserve">M. Lally, </w:t>
      </w:r>
      <w:r>
        <w:rPr>
          <w:rStyle w:val="AERtextitalic"/>
        </w:rPr>
        <w:t>Gamma and the ACT Decision</w:t>
      </w:r>
      <w:r>
        <w:t>, May 2016, p. 27.</w:t>
      </w:r>
    </w:p>
  </w:footnote>
  <w:footnote w:id="618">
    <w:p w:rsidR="00B31E52" w:rsidRDefault="00B31E52" w:rsidP="00C52695">
      <w:pPr>
        <w:pStyle w:val="FootnoteText"/>
      </w:pPr>
      <w:r>
        <w:rPr>
          <w:rStyle w:val="FootnoteReference"/>
        </w:rPr>
        <w:footnoteRef/>
      </w:r>
      <w:r>
        <w:t xml:space="preserve"> </w:t>
      </w:r>
      <w:r>
        <w:tab/>
      </w:r>
      <w:r w:rsidRPr="00712BC2">
        <w:t xml:space="preserve">M. Lally, </w:t>
      </w:r>
      <w:r>
        <w:rPr>
          <w:rStyle w:val="AERtextitalic"/>
        </w:rPr>
        <w:t>Gamma and the ACT Decision</w:t>
      </w:r>
      <w:r>
        <w:t>, May 2016, pp. 24-26, 28-29.</w:t>
      </w:r>
    </w:p>
  </w:footnote>
  <w:footnote w:id="619">
    <w:p w:rsidR="00B31E52" w:rsidRDefault="00B31E52" w:rsidP="005957B5">
      <w:pPr>
        <w:pStyle w:val="FootnoteText"/>
      </w:pPr>
      <w:r>
        <w:rPr>
          <w:rStyle w:val="FootnoteReference"/>
        </w:rPr>
        <w:footnoteRef/>
      </w:r>
      <w:r>
        <w:t xml:space="preserve"> </w:t>
      </w:r>
      <w:r>
        <w:tab/>
        <w:t xml:space="preserve">AusNet Transmission, </w:t>
      </w:r>
      <w:r>
        <w:rPr>
          <w:rStyle w:val="AERtextitalic"/>
        </w:rPr>
        <w:t>Transmission Revenue Proposal Review 2017-2022, Revised Revenue Proposal</w:t>
      </w:r>
      <w:r>
        <w:t xml:space="preserve">, 21 September 2016, pp. 205-206; Frontier Economics, </w:t>
      </w:r>
      <w:r>
        <w:rPr>
          <w:rStyle w:val="AERtextitalic"/>
        </w:rPr>
        <w:t xml:space="preserve">Issues in the estimation of gamma, Report prepared for AGN, Multinet Gas, AusNet Transmission and AusNet Gas, </w:t>
      </w:r>
      <w:r w:rsidRPr="004423C9">
        <w:rPr>
          <w:rStyle w:val="AERtextitalic"/>
          <w:i w:val="0"/>
        </w:rPr>
        <w:t>September 2016, pp. 6-11.</w:t>
      </w:r>
    </w:p>
  </w:footnote>
  <w:footnote w:id="620">
    <w:p w:rsidR="00B31E52" w:rsidRDefault="00B31E52" w:rsidP="005957B5">
      <w:pPr>
        <w:pStyle w:val="FootnoteText"/>
      </w:pPr>
      <w:r>
        <w:rPr>
          <w:rStyle w:val="FootnoteReference"/>
        </w:rPr>
        <w:footnoteRef/>
      </w:r>
      <w:r>
        <w:t xml:space="preserve"> </w:t>
      </w:r>
      <w:r>
        <w:tab/>
        <w:t xml:space="preserve">AusNet Transmission, </w:t>
      </w:r>
      <w:r>
        <w:rPr>
          <w:rStyle w:val="AERtextitalic"/>
        </w:rPr>
        <w:t>Transmission Revenue Proposal Review 2017-2022, Revised Revenue Proposal</w:t>
      </w:r>
      <w:r>
        <w:t>, 21 September 2016, pp. 205-206;</w:t>
      </w:r>
      <w:r w:rsidRPr="005957B5">
        <w:t xml:space="preserve"> </w:t>
      </w:r>
      <w:r>
        <w:t xml:space="preserve">Frontier Economics, </w:t>
      </w:r>
      <w:r>
        <w:rPr>
          <w:rStyle w:val="AERtextitalic"/>
        </w:rPr>
        <w:t xml:space="preserve">Issues in the estimation of gamma, Report prepared for AGN, Multinet Gas, AusNet Transmission and AusNet Gas, </w:t>
      </w:r>
      <w:r w:rsidRPr="005957B5">
        <w:rPr>
          <w:rStyle w:val="AERtextitalic"/>
        </w:rPr>
        <w:t xml:space="preserve">September 2016, </w:t>
      </w:r>
      <w:r w:rsidRPr="004423C9">
        <w:rPr>
          <w:rStyle w:val="AERtextitalic"/>
          <w:i w:val="0"/>
        </w:rPr>
        <w:t>pp. 6-11.</w:t>
      </w:r>
    </w:p>
  </w:footnote>
  <w:footnote w:id="621">
    <w:p w:rsidR="00B31E52" w:rsidRDefault="00B31E52" w:rsidP="005957B5">
      <w:pPr>
        <w:pStyle w:val="FootnoteText"/>
      </w:pPr>
      <w:r>
        <w:rPr>
          <w:rStyle w:val="FootnoteReference"/>
        </w:rPr>
        <w:footnoteRef/>
      </w:r>
      <w:r>
        <w:t xml:space="preserve"> </w:t>
      </w:r>
      <w:r>
        <w:tab/>
        <w:t xml:space="preserve">Frontier Economics, </w:t>
      </w:r>
      <w:r>
        <w:rPr>
          <w:rStyle w:val="AERtextitalic"/>
        </w:rPr>
        <w:t xml:space="preserve">Issues in the estimation of gamma, Report prepared for AGN, Multinet Gas, AusNet Transmission and AusNet Gas, September 2016, </w:t>
      </w:r>
      <w:r w:rsidRPr="004423C9">
        <w:rPr>
          <w:rStyle w:val="AERtextitalic"/>
          <w:i w:val="0"/>
        </w:rPr>
        <w:t>pp. 10-11.</w:t>
      </w:r>
    </w:p>
  </w:footnote>
  <w:footnote w:id="622">
    <w:p w:rsidR="00B31E52" w:rsidRPr="001224E1" w:rsidRDefault="00B31E52" w:rsidP="005957B5">
      <w:pPr>
        <w:pStyle w:val="FootnoteText"/>
      </w:pPr>
      <w:r>
        <w:rPr>
          <w:rStyle w:val="FootnoteReference"/>
        </w:rPr>
        <w:footnoteRef/>
      </w:r>
      <w:r>
        <w:t xml:space="preserve"> </w:t>
      </w:r>
      <w:r>
        <w:tab/>
        <w:t xml:space="preserve">Frontier Economics, </w:t>
      </w:r>
      <w:r>
        <w:rPr>
          <w:rStyle w:val="AERtextitalic"/>
        </w:rPr>
        <w:t xml:space="preserve">Issues in the estimation of gamma, Report prepared for AGN, Multinet Gas, AusNet Transmission and AusNet Gas, September 2016, </w:t>
      </w:r>
      <w:r w:rsidRPr="004423C9">
        <w:rPr>
          <w:rStyle w:val="AERtextitalic"/>
          <w:i w:val="0"/>
        </w:rPr>
        <w:t>p. 9.</w:t>
      </w:r>
    </w:p>
  </w:footnote>
  <w:footnote w:id="623">
    <w:p w:rsidR="00B31E52" w:rsidRPr="001224E1" w:rsidRDefault="00B31E52" w:rsidP="000028DB">
      <w:pPr>
        <w:pStyle w:val="FootnoteText"/>
      </w:pPr>
      <w:r>
        <w:rPr>
          <w:rStyle w:val="FootnoteReference"/>
        </w:rPr>
        <w:footnoteRef/>
      </w:r>
      <w:r>
        <w:t xml:space="preserve"> </w:t>
      </w:r>
      <w:r>
        <w:tab/>
        <w:t xml:space="preserve">M. Lally, </w:t>
      </w:r>
      <w:r w:rsidRPr="00E750F8">
        <w:rPr>
          <w:rStyle w:val="AERtextitalic"/>
        </w:rPr>
        <w:t>Issues in the estimation of gamma</w:t>
      </w:r>
      <w:r>
        <w:t>, April 2017</w:t>
      </w:r>
      <w:r w:rsidRPr="001224E1">
        <w:rPr>
          <w:rStyle w:val="AERtextitalic"/>
          <w:i w:val="0"/>
        </w:rPr>
        <w:t>, p. 9.</w:t>
      </w:r>
    </w:p>
  </w:footnote>
  <w:footnote w:id="624">
    <w:p w:rsidR="00B31E52" w:rsidRPr="001224E1" w:rsidRDefault="00B31E52" w:rsidP="000028DB">
      <w:pPr>
        <w:pStyle w:val="FootnoteText"/>
      </w:pPr>
      <w:r>
        <w:rPr>
          <w:rStyle w:val="FootnoteReference"/>
        </w:rPr>
        <w:footnoteRef/>
      </w:r>
      <w:r>
        <w:t xml:space="preserve"> </w:t>
      </w:r>
      <w:r>
        <w:tab/>
        <w:t xml:space="preserve">M. Lally, </w:t>
      </w:r>
      <w:r w:rsidRPr="00E750F8">
        <w:rPr>
          <w:rStyle w:val="AERtextitalic"/>
        </w:rPr>
        <w:t>Issues in the estimation of gamma</w:t>
      </w:r>
      <w:r>
        <w:t>, April 2017</w:t>
      </w:r>
      <w:r>
        <w:rPr>
          <w:rStyle w:val="AERtextitalic"/>
          <w:i w:val="0"/>
        </w:rPr>
        <w:t>, p. </w:t>
      </w:r>
      <w:r w:rsidRPr="00F24DB2">
        <w:rPr>
          <w:rStyle w:val="AERtextitalic"/>
          <w:i w:val="0"/>
        </w:rPr>
        <w:t>10</w:t>
      </w:r>
      <w:r w:rsidRPr="001224E1">
        <w:rPr>
          <w:rStyle w:val="AERtextitalic"/>
          <w:i w:val="0"/>
        </w:rPr>
        <w:t>.</w:t>
      </w:r>
    </w:p>
  </w:footnote>
  <w:footnote w:id="625">
    <w:p w:rsidR="00B31E52" w:rsidRPr="001224E1" w:rsidRDefault="00B31E52" w:rsidP="005957B5">
      <w:pPr>
        <w:pStyle w:val="FootnoteText"/>
      </w:pPr>
      <w:r>
        <w:rPr>
          <w:rStyle w:val="FootnoteReference"/>
        </w:rPr>
        <w:footnoteRef/>
      </w:r>
      <w:r>
        <w:t xml:space="preserve"> </w:t>
      </w:r>
      <w:r>
        <w:tab/>
        <w:t xml:space="preserve">M. Lally, </w:t>
      </w:r>
      <w:r w:rsidRPr="00E750F8">
        <w:rPr>
          <w:rStyle w:val="AERtextitalic"/>
        </w:rPr>
        <w:t>Issues in the estimation of gamma</w:t>
      </w:r>
      <w:r>
        <w:t>, April 2017</w:t>
      </w:r>
      <w:r>
        <w:rPr>
          <w:rStyle w:val="AERtextitalic"/>
          <w:i w:val="0"/>
        </w:rPr>
        <w:t>, p.</w:t>
      </w:r>
      <w:r w:rsidRPr="005957B5">
        <w:rPr>
          <w:rStyle w:val="AERtextitalic"/>
          <w:i w:val="0"/>
        </w:rPr>
        <w:t> </w:t>
      </w:r>
      <w:r w:rsidRPr="004423C9">
        <w:rPr>
          <w:rStyle w:val="AERtextitalic"/>
          <w:i w:val="0"/>
        </w:rPr>
        <w:t>10</w:t>
      </w:r>
      <w:r w:rsidRPr="005957B5">
        <w:rPr>
          <w:rStyle w:val="AERtextitalic"/>
          <w:i w:val="0"/>
        </w:rPr>
        <w:t>.</w:t>
      </w:r>
    </w:p>
  </w:footnote>
  <w:footnote w:id="626">
    <w:p w:rsidR="00B31E52" w:rsidRPr="001224E1" w:rsidRDefault="00B31E52" w:rsidP="005957B5">
      <w:pPr>
        <w:pStyle w:val="FootnoteText"/>
      </w:pPr>
      <w:r>
        <w:rPr>
          <w:rStyle w:val="FootnoteReference"/>
        </w:rPr>
        <w:footnoteRef/>
      </w:r>
      <w:r>
        <w:t xml:space="preserve"> </w:t>
      </w:r>
      <w:r>
        <w:tab/>
        <w:t xml:space="preserve">M. Lally, </w:t>
      </w:r>
      <w:r w:rsidRPr="00E750F8">
        <w:rPr>
          <w:rStyle w:val="AERtextitalic"/>
        </w:rPr>
        <w:t>Issues in the estimation of gamma</w:t>
      </w:r>
      <w:r>
        <w:t>, April 2017</w:t>
      </w:r>
      <w:r w:rsidRPr="001224E1">
        <w:rPr>
          <w:rStyle w:val="AERtextitalic"/>
          <w:i w:val="0"/>
        </w:rPr>
        <w:t>, p.</w:t>
      </w:r>
      <w:r w:rsidRPr="005957B5">
        <w:rPr>
          <w:rStyle w:val="AERtextitalic"/>
          <w:i w:val="0"/>
        </w:rPr>
        <w:t> </w:t>
      </w:r>
      <w:r w:rsidRPr="004423C9">
        <w:rPr>
          <w:rStyle w:val="AERtextitalic"/>
          <w:i w:val="0"/>
        </w:rPr>
        <w:t>10</w:t>
      </w:r>
      <w:r w:rsidRPr="005957B5">
        <w:rPr>
          <w:rStyle w:val="AERtextitalic"/>
          <w:i w:val="0"/>
        </w:rPr>
        <w:t>.</w:t>
      </w:r>
    </w:p>
  </w:footnote>
  <w:footnote w:id="627">
    <w:p w:rsidR="00B31E52" w:rsidRPr="001224E1" w:rsidRDefault="00B31E52" w:rsidP="005957B5">
      <w:pPr>
        <w:pStyle w:val="FootnoteText"/>
      </w:pPr>
      <w:r>
        <w:rPr>
          <w:rStyle w:val="FootnoteReference"/>
        </w:rPr>
        <w:footnoteRef/>
      </w:r>
      <w:r>
        <w:t xml:space="preserve"> </w:t>
      </w:r>
      <w:r>
        <w:tab/>
        <w:t xml:space="preserve">Frontier Economics, </w:t>
      </w:r>
      <w:r>
        <w:rPr>
          <w:rStyle w:val="AERtextitalic"/>
        </w:rPr>
        <w:t xml:space="preserve">Issues in the estimation of gamma, Report prepared for AGN, Multinet Gas, AusNet Transmission and AusNet Gas, </w:t>
      </w:r>
      <w:r w:rsidRPr="004423C9">
        <w:rPr>
          <w:rStyle w:val="AERtextitalic"/>
          <w:i w:val="0"/>
        </w:rPr>
        <w:t>September 2016, p. 9</w:t>
      </w:r>
      <w:r w:rsidRPr="005957B5">
        <w:rPr>
          <w:rStyle w:val="AERtextitalic"/>
          <w:i w:val="0"/>
        </w:rPr>
        <w:t>.</w:t>
      </w:r>
    </w:p>
  </w:footnote>
  <w:footnote w:id="628">
    <w:p w:rsidR="00B31E52" w:rsidRDefault="00B31E52" w:rsidP="005D01B1">
      <w:pPr>
        <w:pStyle w:val="FootnoteText"/>
      </w:pPr>
      <w:r>
        <w:rPr>
          <w:rStyle w:val="FootnoteReference"/>
        </w:rPr>
        <w:footnoteRef/>
      </w:r>
      <w:r>
        <w:t xml:space="preserve"> </w:t>
      </w:r>
      <w:r>
        <w:tab/>
        <w:t xml:space="preserve">M. Lally, </w:t>
      </w:r>
      <w:r w:rsidRPr="00E750F8">
        <w:rPr>
          <w:rStyle w:val="AERtextitalic"/>
        </w:rPr>
        <w:t>Issues in the estimation of gamma</w:t>
      </w:r>
      <w:r>
        <w:t>, April 2017</w:t>
      </w:r>
      <w:r w:rsidRPr="004576F7">
        <w:rPr>
          <w:rStyle w:val="AERtextitalic"/>
          <w:i w:val="0"/>
        </w:rPr>
        <w:t>, p. 10.</w:t>
      </w:r>
    </w:p>
  </w:footnote>
  <w:footnote w:id="629">
    <w:p w:rsidR="00B31E52" w:rsidRPr="001224E1" w:rsidRDefault="00B31E52" w:rsidP="00E43353">
      <w:pPr>
        <w:pStyle w:val="FootnoteText"/>
      </w:pPr>
      <w:r>
        <w:rPr>
          <w:rStyle w:val="FootnoteReference"/>
        </w:rPr>
        <w:footnoteRef/>
      </w:r>
      <w:r>
        <w:t xml:space="preserve"> </w:t>
      </w:r>
      <w:r>
        <w:tab/>
        <w:t xml:space="preserve">M. Lally, </w:t>
      </w:r>
      <w:r w:rsidRPr="00E750F8">
        <w:rPr>
          <w:rStyle w:val="AERtextitalic"/>
        </w:rPr>
        <w:t>Issues in the estimation of gamma</w:t>
      </w:r>
      <w:r>
        <w:t>, April 2017</w:t>
      </w:r>
      <w:r w:rsidRPr="00E43353">
        <w:rPr>
          <w:rStyle w:val="AERtextitalic"/>
          <w:i w:val="0"/>
        </w:rPr>
        <w:t>, p. </w:t>
      </w:r>
      <w:r w:rsidRPr="004423C9">
        <w:rPr>
          <w:rStyle w:val="AERtextitalic"/>
          <w:i w:val="0"/>
        </w:rPr>
        <w:t>10</w:t>
      </w:r>
      <w:r w:rsidRPr="00E43353">
        <w:rPr>
          <w:rStyle w:val="AERtextitalic"/>
          <w:i w:val="0"/>
        </w:rPr>
        <w:t>.</w:t>
      </w:r>
    </w:p>
  </w:footnote>
  <w:footnote w:id="630">
    <w:p w:rsidR="00B31E52" w:rsidRPr="001224E1" w:rsidRDefault="00B31E52" w:rsidP="00E43353">
      <w:pPr>
        <w:pStyle w:val="FootnoteText"/>
      </w:pPr>
      <w:r>
        <w:rPr>
          <w:rStyle w:val="FootnoteReference"/>
        </w:rPr>
        <w:footnoteRef/>
      </w:r>
      <w:r>
        <w:t xml:space="preserve"> </w:t>
      </w:r>
      <w:r>
        <w:tab/>
        <w:t xml:space="preserve">M. Lally, </w:t>
      </w:r>
      <w:r w:rsidRPr="00E750F8">
        <w:rPr>
          <w:rStyle w:val="AERtextitalic"/>
        </w:rPr>
        <w:t>Issues in the estimation of gamma</w:t>
      </w:r>
      <w:r>
        <w:t xml:space="preserve">, April </w:t>
      </w:r>
      <w:r w:rsidRPr="00E43353">
        <w:t>2017</w:t>
      </w:r>
      <w:r w:rsidRPr="00E43353">
        <w:rPr>
          <w:rStyle w:val="AERtextitalic"/>
          <w:i w:val="0"/>
        </w:rPr>
        <w:t>, p. </w:t>
      </w:r>
      <w:r w:rsidRPr="004423C9">
        <w:rPr>
          <w:rStyle w:val="AERtextitalic"/>
          <w:i w:val="0"/>
        </w:rPr>
        <w:t>10</w:t>
      </w:r>
      <w:r w:rsidRPr="001224E1">
        <w:rPr>
          <w:rStyle w:val="AERtextitalic"/>
          <w:i w:val="0"/>
        </w:rPr>
        <w:t>.</w:t>
      </w:r>
    </w:p>
  </w:footnote>
  <w:footnote w:id="631">
    <w:p w:rsidR="00B31E52" w:rsidRDefault="00B31E52">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SA Power Networks</w:t>
      </w:r>
      <w:r w:rsidRPr="000F2066">
        <w:rPr>
          <w:rStyle w:val="AERtextitalic"/>
        </w:rPr>
        <w:t xml:space="preserve"> [20</w:t>
      </w:r>
      <w:r>
        <w:rPr>
          <w:rStyle w:val="AERtextitalic"/>
        </w:rPr>
        <w:t>16</w:t>
      </w:r>
      <w:r w:rsidRPr="000F2066">
        <w:rPr>
          <w:rStyle w:val="AERtextitalic"/>
        </w:rPr>
        <w:t xml:space="preserve">] ACompT </w:t>
      </w:r>
      <w:r>
        <w:rPr>
          <w:rStyle w:val="AERtextitalic"/>
        </w:rPr>
        <w:t>11</w:t>
      </w:r>
      <w:r>
        <w:t xml:space="preserve">, 28 October 2016, </w:t>
      </w:r>
      <w:r w:rsidRPr="008F5D24">
        <w:t xml:space="preserve">para. </w:t>
      </w:r>
      <w:r>
        <w:t>182</w:t>
      </w:r>
      <w:r w:rsidRPr="008F5D24">
        <w:t>.</w:t>
      </w:r>
    </w:p>
  </w:footnote>
  <w:footnote w:id="632">
    <w:p w:rsidR="00B31E52" w:rsidRPr="001224E1" w:rsidRDefault="00B31E52" w:rsidP="00E43353">
      <w:pPr>
        <w:pStyle w:val="FootnoteText"/>
      </w:pPr>
      <w:r>
        <w:rPr>
          <w:rStyle w:val="FootnoteReference"/>
        </w:rPr>
        <w:footnoteRef/>
      </w:r>
      <w:r>
        <w:t xml:space="preserve"> </w:t>
      </w:r>
      <w:r>
        <w:tab/>
        <w:t>M. Lally, Issues in the estimation of gamma, April 2017</w:t>
      </w:r>
      <w:r w:rsidRPr="001224E1">
        <w:rPr>
          <w:rStyle w:val="AERtextitalic"/>
          <w:i w:val="0"/>
        </w:rPr>
        <w:t>, p.</w:t>
      </w:r>
      <w:r w:rsidRPr="00E43353">
        <w:rPr>
          <w:rStyle w:val="AERtextitalic"/>
          <w:i w:val="0"/>
        </w:rPr>
        <w:t> </w:t>
      </w:r>
      <w:r w:rsidRPr="004423C9">
        <w:rPr>
          <w:rStyle w:val="AERtextitalic"/>
          <w:i w:val="0"/>
        </w:rPr>
        <w:t>10;</w:t>
      </w:r>
      <w:r>
        <w:rPr>
          <w:rStyle w:val="AERtextitalic"/>
        </w:rPr>
        <w:t xml:space="preserve"> </w:t>
      </w:r>
      <w:r>
        <w:t xml:space="preserve">Frontier Economics, </w:t>
      </w:r>
      <w:r>
        <w:rPr>
          <w:rStyle w:val="AERtextitalic"/>
        </w:rPr>
        <w:t xml:space="preserve">Issues in the estimation of gamma, Report prepared for AGN, Multinet Gas, AusNet Transmission and AusNet Gas, </w:t>
      </w:r>
      <w:r w:rsidRPr="004423C9">
        <w:rPr>
          <w:rStyle w:val="AERtextitalic"/>
          <w:i w:val="0"/>
        </w:rPr>
        <w:t>September 2016, pp. 9-10</w:t>
      </w:r>
      <w:r>
        <w:rPr>
          <w:rStyle w:val="AERtextitalic"/>
        </w:rPr>
        <w:t>.</w:t>
      </w:r>
    </w:p>
  </w:footnote>
  <w:footnote w:id="633">
    <w:p w:rsidR="00B31E52" w:rsidRPr="001224E1" w:rsidRDefault="00B31E52" w:rsidP="00E43353">
      <w:pPr>
        <w:pStyle w:val="FootnoteText"/>
      </w:pPr>
      <w:r>
        <w:rPr>
          <w:rStyle w:val="FootnoteReference"/>
        </w:rPr>
        <w:footnoteRef/>
      </w:r>
      <w:r>
        <w:t xml:space="preserve"> </w:t>
      </w:r>
      <w:r>
        <w:tab/>
        <w:t xml:space="preserve">M. Lally, </w:t>
      </w:r>
      <w:r w:rsidRPr="00E750F8">
        <w:rPr>
          <w:rStyle w:val="AERtextitalic"/>
        </w:rPr>
        <w:t>Issues in the estimation of gamma</w:t>
      </w:r>
      <w:r>
        <w:t>, April 2017</w:t>
      </w:r>
      <w:r>
        <w:rPr>
          <w:rStyle w:val="AERtextitalic"/>
          <w:i w:val="0"/>
        </w:rPr>
        <w:t>, p</w:t>
      </w:r>
      <w:r w:rsidRPr="00E43353">
        <w:rPr>
          <w:rStyle w:val="AERtextitalic"/>
          <w:i w:val="0"/>
        </w:rPr>
        <w:t>. </w:t>
      </w:r>
      <w:r w:rsidRPr="004423C9">
        <w:rPr>
          <w:rStyle w:val="AERtextitalic"/>
          <w:i w:val="0"/>
        </w:rPr>
        <w:t>10</w:t>
      </w:r>
      <w:r w:rsidRPr="00E43353">
        <w:rPr>
          <w:rStyle w:val="AERtextitalic"/>
          <w:i w:val="0"/>
        </w:rPr>
        <w:t>.</w:t>
      </w:r>
    </w:p>
  </w:footnote>
  <w:footnote w:id="634">
    <w:p w:rsidR="00B31E52" w:rsidRPr="001224E1" w:rsidRDefault="00B31E52" w:rsidP="00BF1C4B">
      <w:pPr>
        <w:pStyle w:val="FootnoteText"/>
      </w:pPr>
      <w:r>
        <w:rPr>
          <w:rStyle w:val="FootnoteReference"/>
        </w:rPr>
        <w:footnoteRef/>
      </w:r>
      <w:r>
        <w:t xml:space="preserve"> </w:t>
      </w:r>
      <w:r>
        <w:tab/>
        <w:t xml:space="preserve">M. Lally, </w:t>
      </w:r>
      <w:r w:rsidRPr="00E750F8">
        <w:rPr>
          <w:rStyle w:val="AERtextitalic"/>
        </w:rPr>
        <w:t>Issues in the estimation of gamma</w:t>
      </w:r>
      <w:r>
        <w:t>, April 2017</w:t>
      </w:r>
      <w:r w:rsidRPr="001224E1">
        <w:rPr>
          <w:rStyle w:val="AERtextitalic"/>
          <w:i w:val="0"/>
        </w:rPr>
        <w:t>, p.</w:t>
      </w:r>
      <w:r w:rsidRPr="00BF1C4B">
        <w:rPr>
          <w:rStyle w:val="AERtextitalic"/>
          <w:i w:val="0"/>
        </w:rPr>
        <w:t> </w:t>
      </w:r>
      <w:r w:rsidRPr="004576F7">
        <w:rPr>
          <w:rStyle w:val="AERtextitalic"/>
          <w:i w:val="0"/>
        </w:rPr>
        <w:t>10</w:t>
      </w:r>
      <w:r w:rsidRPr="00BF1C4B">
        <w:rPr>
          <w:rStyle w:val="AERtextitalic"/>
          <w:i w:val="0"/>
        </w:rPr>
        <w:t>.</w:t>
      </w:r>
    </w:p>
  </w:footnote>
  <w:footnote w:id="635">
    <w:p w:rsidR="00B31E52" w:rsidRPr="001224E1" w:rsidRDefault="00B31E52" w:rsidP="00677BC6">
      <w:pPr>
        <w:pStyle w:val="FootnoteText"/>
      </w:pPr>
      <w:r>
        <w:rPr>
          <w:rStyle w:val="FootnoteReference"/>
        </w:rPr>
        <w:footnoteRef/>
      </w:r>
      <w:r>
        <w:t xml:space="preserve"> </w:t>
      </w:r>
      <w:r>
        <w:tab/>
        <w:t xml:space="preserve">M. Lally, </w:t>
      </w:r>
      <w:r w:rsidRPr="00E750F8">
        <w:rPr>
          <w:rStyle w:val="AERtextitalic"/>
        </w:rPr>
        <w:t>Issues in the estimation of gamma</w:t>
      </w:r>
      <w:r>
        <w:t>, April 2017</w:t>
      </w:r>
      <w:r>
        <w:rPr>
          <w:rStyle w:val="AERtextitalic"/>
          <w:i w:val="0"/>
        </w:rPr>
        <w:t>, p.</w:t>
      </w:r>
      <w:r w:rsidRPr="00677BC6">
        <w:rPr>
          <w:rStyle w:val="AERtextitalic"/>
          <w:i w:val="0"/>
        </w:rPr>
        <w:t> </w:t>
      </w:r>
      <w:r w:rsidRPr="004423C9">
        <w:rPr>
          <w:rStyle w:val="AERtextitalic"/>
          <w:i w:val="0"/>
        </w:rPr>
        <w:t>10</w:t>
      </w:r>
      <w:r w:rsidRPr="00677BC6">
        <w:rPr>
          <w:rStyle w:val="AERtextitalic"/>
          <w:i w:val="0"/>
        </w:rPr>
        <w:t>.</w:t>
      </w:r>
    </w:p>
  </w:footnote>
  <w:footnote w:id="636">
    <w:p w:rsidR="00B31E52" w:rsidRPr="001224E1" w:rsidRDefault="00B31E52" w:rsidP="00677BC6">
      <w:pPr>
        <w:pStyle w:val="FootnoteText"/>
      </w:pPr>
      <w:r>
        <w:rPr>
          <w:rStyle w:val="FootnoteReference"/>
        </w:rPr>
        <w:footnoteRef/>
      </w:r>
      <w:r>
        <w:t xml:space="preserve"> </w:t>
      </w:r>
      <w:r>
        <w:tab/>
        <w:t xml:space="preserve">M. Lally, </w:t>
      </w:r>
      <w:r w:rsidRPr="00E750F8">
        <w:rPr>
          <w:rStyle w:val="AERtextitalic"/>
        </w:rPr>
        <w:t>Issues in the estimation of gamma</w:t>
      </w:r>
      <w:r>
        <w:t>, April 2017</w:t>
      </w:r>
      <w:r w:rsidRPr="001224E1">
        <w:rPr>
          <w:rStyle w:val="AERtextitalic"/>
          <w:i w:val="0"/>
        </w:rPr>
        <w:t xml:space="preserve">, </w:t>
      </w:r>
      <w:r w:rsidRPr="00677BC6">
        <w:rPr>
          <w:rStyle w:val="AERtextitalic"/>
          <w:i w:val="0"/>
        </w:rPr>
        <w:t>p</w:t>
      </w:r>
      <w:r w:rsidRPr="004423C9">
        <w:rPr>
          <w:rStyle w:val="AERtextitalic"/>
          <w:i w:val="0"/>
        </w:rPr>
        <w:t>p</w:t>
      </w:r>
      <w:r w:rsidRPr="00677BC6">
        <w:rPr>
          <w:rStyle w:val="AERtextitalic"/>
          <w:i w:val="0"/>
        </w:rPr>
        <w:t>. </w:t>
      </w:r>
      <w:r w:rsidRPr="004423C9">
        <w:rPr>
          <w:rStyle w:val="AERtextitalic"/>
          <w:i w:val="0"/>
        </w:rPr>
        <w:t>10-11, 27, 29</w:t>
      </w:r>
      <w:r w:rsidRPr="00677BC6">
        <w:rPr>
          <w:rStyle w:val="AERtextitalic"/>
          <w:i w:val="0"/>
        </w:rPr>
        <w:t>.</w:t>
      </w:r>
    </w:p>
  </w:footnote>
  <w:footnote w:id="637">
    <w:p w:rsidR="00B31E52" w:rsidRPr="001224E1" w:rsidRDefault="00B31E52" w:rsidP="00E43353">
      <w:pPr>
        <w:pStyle w:val="FootnoteText"/>
      </w:pPr>
      <w:r>
        <w:rPr>
          <w:rStyle w:val="FootnoteReference"/>
        </w:rPr>
        <w:footnoteRef/>
      </w:r>
      <w:r>
        <w:t xml:space="preserve"> </w:t>
      </w:r>
      <w:r>
        <w:tab/>
        <w:t xml:space="preserve">M. Lally, </w:t>
      </w:r>
      <w:r w:rsidRPr="00E750F8">
        <w:rPr>
          <w:rStyle w:val="AERtextitalic"/>
        </w:rPr>
        <w:t>Issues in the estimation of gamma</w:t>
      </w:r>
      <w:r>
        <w:t>, April 2017</w:t>
      </w:r>
      <w:r w:rsidRPr="001224E1">
        <w:rPr>
          <w:rStyle w:val="AERtextitalic"/>
          <w:i w:val="0"/>
        </w:rPr>
        <w:t>, p. </w:t>
      </w:r>
      <w:r w:rsidRPr="0068340D">
        <w:rPr>
          <w:rStyle w:val="AERtextitalic"/>
          <w:i w:val="0"/>
        </w:rPr>
        <w:t>11</w:t>
      </w:r>
      <w:r>
        <w:rPr>
          <w:rStyle w:val="AERtextitalic"/>
        </w:rPr>
        <w:t xml:space="preserve">; </w:t>
      </w:r>
      <w:r>
        <w:t xml:space="preserve">Frontier Economics, </w:t>
      </w:r>
      <w:r>
        <w:rPr>
          <w:rStyle w:val="AERtextitalic"/>
        </w:rPr>
        <w:t xml:space="preserve">Issues in the estimation of gamma, Report prepared for AGN, Multinet Gas, AusNet Transmission and AusNet Gas, </w:t>
      </w:r>
      <w:r w:rsidRPr="004423C9">
        <w:rPr>
          <w:rStyle w:val="AERtextitalic"/>
          <w:i w:val="0"/>
        </w:rPr>
        <w:t>September 2016, p. 10.</w:t>
      </w:r>
    </w:p>
  </w:footnote>
  <w:footnote w:id="638">
    <w:p w:rsidR="00B31E52" w:rsidRPr="00396EBB" w:rsidRDefault="00B31E52" w:rsidP="00396EBB">
      <w:pPr>
        <w:pStyle w:val="FootnoteText"/>
      </w:pPr>
      <w:r>
        <w:rPr>
          <w:rStyle w:val="FootnoteReference"/>
        </w:rPr>
        <w:footnoteRef/>
      </w:r>
      <w:r>
        <w:t xml:space="preserve"> </w:t>
      </w:r>
      <w:r>
        <w:tab/>
        <w:t xml:space="preserve">M. Lally, </w:t>
      </w:r>
      <w:r w:rsidRPr="00E750F8">
        <w:rPr>
          <w:rStyle w:val="AERtextitalic"/>
        </w:rPr>
        <w:t>Issues in the estimation of gamma</w:t>
      </w:r>
      <w:r>
        <w:t>, April 2017</w:t>
      </w:r>
      <w:r w:rsidRPr="001224E1">
        <w:rPr>
          <w:rStyle w:val="AERtextitalic"/>
          <w:i w:val="0"/>
        </w:rPr>
        <w:t xml:space="preserve">, </w:t>
      </w:r>
      <w:r w:rsidRPr="00396EBB">
        <w:rPr>
          <w:rStyle w:val="AERtextitalic"/>
          <w:i w:val="0"/>
        </w:rPr>
        <w:t>p</w:t>
      </w:r>
      <w:r w:rsidRPr="00D7695B">
        <w:rPr>
          <w:rStyle w:val="AERtextitalic"/>
          <w:i w:val="0"/>
        </w:rPr>
        <w:t>p</w:t>
      </w:r>
      <w:r w:rsidRPr="00396EBB">
        <w:rPr>
          <w:rStyle w:val="AERtextitalic"/>
          <w:i w:val="0"/>
        </w:rPr>
        <w:t>. 11</w:t>
      </w:r>
      <w:r w:rsidRPr="00D7695B">
        <w:rPr>
          <w:rStyle w:val="AERtextitalic"/>
          <w:i w:val="0"/>
        </w:rPr>
        <w:t>, 23</w:t>
      </w:r>
      <w:r w:rsidRPr="00396EBB">
        <w:rPr>
          <w:rStyle w:val="AERtextitalic"/>
          <w:i w:val="0"/>
        </w:rPr>
        <w:t>.</w:t>
      </w:r>
    </w:p>
  </w:footnote>
  <w:footnote w:id="639">
    <w:p w:rsidR="00B31E52" w:rsidRPr="001224E1" w:rsidRDefault="00B31E52" w:rsidP="00396EBB">
      <w:pPr>
        <w:pStyle w:val="FootnoteText"/>
      </w:pPr>
      <w:r>
        <w:rPr>
          <w:rStyle w:val="FootnoteReference"/>
        </w:rPr>
        <w:footnoteRef/>
      </w:r>
      <w:r>
        <w:t xml:space="preserve"> </w:t>
      </w:r>
      <w:r>
        <w:tab/>
        <w:t xml:space="preserve">M. Lally, </w:t>
      </w:r>
      <w:r w:rsidRPr="00E750F8">
        <w:rPr>
          <w:rStyle w:val="AERtextitalic"/>
        </w:rPr>
        <w:t>Issues in the estimation of gamma</w:t>
      </w:r>
      <w:r>
        <w:t>, April 2017</w:t>
      </w:r>
      <w:r w:rsidRPr="001224E1">
        <w:rPr>
          <w:rStyle w:val="AERtextitalic"/>
          <w:i w:val="0"/>
        </w:rPr>
        <w:t xml:space="preserve">, </w:t>
      </w:r>
      <w:r w:rsidRPr="00D7695B">
        <w:rPr>
          <w:rStyle w:val="AERtextitalic"/>
          <w:i w:val="0"/>
        </w:rPr>
        <w:t>p</w:t>
      </w:r>
      <w:r w:rsidRPr="00396EBB">
        <w:rPr>
          <w:rStyle w:val="AERtextitalic"/>
          <w:i w:val="0"/>
        </w:rPr>
        <w:t>p. 11</w:t>
      </w:r>
      <w:r w:rsidRPr="00D7695B">
        <w:rPr>
          <w:rStyle w:val="AERtextitalic"/>
          <w:i w:val="0"/>
        </w:rPr>
        <w:t>, 23</w:t>
      </w:r>
      <w:r w:rsidRPr="00396EBB">
        <w:rPr>
          <w:rStyle w:val="AERtextitalic"/>
          <w:i w:val="0"/>
        </w:rPr>
        <w:t>.</w:t>
      </w:r>
    </w:p>
  </w:footnote>
  <w:footnote w:id="640">
    <w:p w:rsidR="00B31E52" w:rsidRPr="001224E1" w:rsidRDefault="00B31E52" w:rsidP="00396EBB">
      <w:pPr>
        <w:pStyle w:val="FootnoteText"/>
      </w:pPr>
      <w:r>
        <w:rPr>
          <w:rStyle w:val="FootnoteReference"/>
        </w:rPr>
        <w:footnoteRef/>
      </w:r>
      <w:r>
        <w:t xml:space="preserve"> </w:t>
      </w:r>
      <w:r>
        <w:tab/>
        <w:t xml:space="preserve">M. Lally, </w:t>
      </w:r>
      <w:r w:rsidRPr="00E750F8">
        <w:rPr>
          <w:rStyle w:val="AERtextitalic"/>
        </w:rPr>
        <w:t>Issues in the estimation of gamma</w:t>
      </w:r>
      <w:r>
        <w:t>, April 2017</w:t>
      </w:r>
      <w:r w:rsidRPr="001224E1">
        <w:rPr>
          <w:rStyle w:val="AERtextitalic"/>
          <w:i w:val="0"/>
        </w:rPr>
        <w:t xml:space="preserve">, </w:t>
      </w:r>
      <w:r w:rsidRPr="00FF354E">
        <w:rPr>
          <w:rStyle w:val="AERtextitalic"/>
          <w:i w:val="0"/>
        </w:rPr>
        <w:t>p</w:t>
      </w:r>
      <w:r w:rsidRPr="00396EBB">
        <w:rPr>
          <w:rStyle w:val="AERtextitalic"/>
          <w:i w:val="0"/>
        </w:rPr>
        <w:t>. </w:t>
      </w:r>
      <w:r w:rsidRPr="00FF354E">
        <w:rPr>
          <w:rStyle w:val="AERtextitalic"/>
          <w:i w:val="0"/>
        </w:rPr>
        <w:t>23</w:t>
      </w:r>
      <w:r w:rsidRPr="00396EBB">
        <w:rPr>
          <w:rStyle w:val="AERtextitalic"/>
          <w:i w:val="0"/>
        </w:rPr>
        <w:t>.</w:t>
      </w:r>
    </w:p>
  </w:footnote>
  <w:footnote w:id="641">
    <w:p w:rsidR="00B31E52" w:rsidRPr="001224E1" w:rsidRDefault="00B31E52" w:rsidP="00E43353">
      <w:pPr>
        <w:pStyle w:val="FootnoteText"/>
      </w:pPr>
      <w:r>
        <w:rPr>
          <w:rStyle w:val="FootnoteReference"/>
        </w:rPr>
        <w:footnoteRef/>
      </w:r>
      <w:r>
        <w:t xml:space="preserve"> </w:t>
      </w:r>
      <w:r>
        <w:tab/>
        <w:t xml:space="preserve">M. Lally, </w:t>
      </w:r>
      <w:r w:rsidRPr="00E750F8">
        <w:rPr>
          <w:rStyle w:val="AERtextitalic"/>
        </w:rPr>
        <w:t>Issues in the estimation of gamma</w:t>
      </w:r>
      <w:r>
        <w:t>, April 2017</w:t>
      </w:r>
      <w:r w:rsidRPr="001224E1">
        <w:rPr>
          <w:rStyle w:val="AERtextitalic"/>
          <w:i w:val="0"/>
        </w:rPr>
        <w:t>, p. </w:t>
      </w:r>
      <w:r w:rsidRPr="002D6646">
        <w:rPr>
          <w:rStyle w:val="AERtextitalic"/>
          <w:i w:val="0"/>
        </w:rPr>
        <w:t>1</w:t>
      </w:r>
      <w:r w:rsidRPr="002D7AA8">
        <w:rPr>
          <w:rStyle w:val="AERtextitalic"/>
          <w:i w:val="0"/>
        </w:rPr>
        <w:t>2</w:t>
      </w:r>
      <w:r>
        <w:rPr>
          <w:rStyle w:val="AERtextitalic"/>
        </w:rPr>
        <w:t xml:space="preserve">; </w:t>
      </w:r>
      <w:r>
        <w:t xml:space="preserve">Frontier Economics, </w:t>
      </w:r>
      <w:r>
        <w:rPr>
          <w:rStyle w:val="AERtextitalic"/>
        </w:rPr>
        <w:t xml:space="preserve">Issues in the estimation of gamma, Report prepared for AGN, Multinet Gas, AusNet Transmission and AusNet Gas, </w:t>
      </w:r>
      <w:r w:rsidRPr="004423C9">
        <w:rPr>
          <w:rStyle w:val="AERtextitalic"/>
          <w:i w:val="0"/>
        </w:rPr>
        <w:t>September 2016, p. 10.</w:t>
      </w:r>
      <w:r>
        <w:rPr>
          <w:rStyle w:val="AERtextitalic"/>
        </w:rPr>
        <w:t xml:space="preserve"> </w:t>
      </w:r>
    </w:p>
  </w:footnote>
  <w:footnote w:id="642">
    <w:p w:rsidR="00B31E52" w:rsidRPr="001224E1" w:rsidRDefault="00B31E52" w:rsidP="002D6646">
      <w:pPr>
        <w:pStyle w:val="FootnoteText"/>
      </w:pPr>
      <w:r>
        <w:rPr>
          <w:rStyle w:val="FootnoteReference"/>
        </w:rPr>
        <w:footnoteRef/>
      </w:r>
      <w:r>
        <w:t xml:space="preserve"> </w:t>
      </w:r>
      <w:r>
        <w:tab/>
        <w:t xml:space="preserve">M. Lally, </w:t>
      </w:r>
      <w:r w:rsidRPr="00E750F8">
        <w:rPr>
          <w:rStyle w:val="AERtextitalic"/>
        </w:rPr>
        <w:t>Issues in the estimation of gamma</w:t>
      </w:r>
      <w:r>
        <w:t>, April 2017</w:t>
      </w:r>
      <w:r w:rsidRPr="001224E1">
        <w:rPr>
          <w:rStyle w:val="AERtextitalic"/>
          <w:i w:val="0"/>
        </w:rPr>
        <w:t>, p. </w:t>
      </w:r>
      <w:r w:rsidRPr="002D6646">
        <w:rPr>
          <w:rStyle w:val="AERtextitalic"/>
          <w:i w:val="0"/>
        </w:rPr>
        <w:t>1</w:t>
      </w:r>
      <w:r w:rsidRPr="00DC0074">
        <w:rPr>
          <w:rStyle w:val="AERtextitalic"/>
          <w:i w:val="0"/>
        </w:rPr>
        <w:t>2</w:t>
      </w:r>
      <w:r w:rsidRPr="002D6646">
        <w:rPr>
          <w:rStyle w:val="AERtextitalic"/>
          <w:i w:val="0"/>
        </w:rPr>
        <w:t>.</w:t>
      </w:r>
    </w:p>
  </w:footnote>
  <w:footnote w:id="643">
    <w:p w:rsidR="00B31E52" w:rsidRPr="001224E1" w:rsidRDefault="00B31E52" w:rsidP="002D6646">
      <w:pPr>
        <w:pStyle w:val="FootnoteText"/>
      </w:pPr>
      <w:r>
        <w:rPr>
          <w:rStyle w:val="FootnoteReference"/>
        </w:rPr>
        <w:footnoteRef/>
      </w:r>
      <w:r>
        <w:t xml:space="preserve"> </w:t>
      </w:r>
      <w:r>
        <w:tab/>
        <w:t xml:space="preserve">M. Lally, </w:t>
      </w:r>
      <w:r w:rsidRPr="00E750F8">
        <w:rPr>
          <w:rStyle w:val="AERtextitalic"/>
        </w:rPr>
        <w:t>Issues in the estimation of gamma</w:t>
      </w:r>
      <w:r>
        <w:t>, April 2017</w:t>
      </w:r>
      <w:r w:rsidRPr="001224E1">
        <w:rPr>
          <w:rStyle w:val="AERtextitalic"/>
          <w:i w:val="0"/>
        </w:rPr>
        <w:t>, p. </w:t>
      </w:r>
      <w:r w:rsidRPr="002D6646">
        <w:rPr>
          <w:rStyle w:val="AERtextitalic"/>
          <w:i w:val="0"/>
        </w:rPr>
        <w:t>1</w:t>
      </w:r>
      <w:r w:rsidRPr="00DC0074">
        <w:rPr>
          <w:rStyle w:val="AERtextitalic"/>
          <w:i w:val="0"/>
        </w:rPr>
        <w:t>2</w:t>
      </w:r>
      <w:r w:rsidRPr="002D6646">
        <w:rPr>
          <w:rStyle w:val="AERtextitalic"/>
          <w:i w:val="0"/>
        </w:rPr>
        <w:t>.</w:t>
      </w:r>
    </w:p>
  </w:footnote>
  <w:footnote w:id="644">
    <w:p w:rsidR="00B31E52" w:rsidRDefault="00B31E52" w:rsidP="00C52695">
      <w:pPr>
        <w:pStyle w:val="FootnoteText"/>
      </w:pPr>
      <w:r>
        <w:rPr>
          <w:rStyle w:val="FootnoteReference"/>
        </w:rPr>
        <w:footnoteRef/>
      </w:r>
      <w:r>
        <w:t xml:space="preserve"> </w:t>
      </w:r>
      <w:r>
        <w:tab/>
        <w:t xml:space="preserve">EMRF, </w:t>
      </w:r>
      <w:r w:rsidRPr="006D5D8E">
        <w:rPr>
          <w:rStyle w:val="AERtextitalic"/>
        </w:rPr>
        <w:t>NSW Electricity Distribution Revenue Reset, AER Draft Decision and revised proposals from Ausgrid, Endeavour Energy and Essential Energy, A response</w:t>
      </w:r>
      <w:r>
        <w:t>, February 2015, p. 71.</w:t>
      </w:r>
    </w:p>
  </w:footnote>
  <w:footnote w:id="645">
    <w:p w:rsidR="00B31E52" w:rsidRDefault="00B31E52" w:rsidP="00C52695">
      <w:pPr>
        <w:pStyle w:val="FootnoteText"/>
      </w:pPr>
      <w:r>
        <w:rPr>
          <w:rStyle w:val="FootnoteReference"/>
        </w:rPr>
        <w:footnoteRef/>
      </w:r>
      <w:r>
        <w:t xml:space="preserve"> </w:t>
      </w:r>
      <w:r>
        <w:tab/>
        <w:t xml:space="preserve">SFG, </w:t>
      </w:r>
      <w:r>
        <w:rPr>
          <w:rStyle w:val="AERtextitalic"/>
        </w:rPr>
        <w:t>Estimating gamma for regulatory purposes</w:t>
      </w:r>
      <w:r>
        <w:t>, 6 February 2015, para. 209.</w:t>
      </w:r>
    </w:p>
  </w:footnote>
  <w:footnote w:id="646">
    <w:p w:rsidR="00B31E52" w:rsidRDefault="00B31E52" w:rsidP="00C52695">
      <w:pPr>
        <w:pStyle w:val="FootnoteText"/>
      </w:pPr>
      <w:r>
        <w:rPr>
          <w:rStyle w:val="FootnoteReference"/>
        </w:rPr>
        <w:footnoteRef/>
      </w:r>
      <w:r>
        <w:t xml:space="preserve"> </w:t>
      </w:r>
      <w:r>
        <w:tab/>
        <w:t xml:space="preserve">NERA, </w:t>
      </w:r>
      <w:r w:rsidRPr="00C26A14">
        <w:rPr>
          <w:rStyle w:val="AERtextitalic"/>
        </w:rPr>
        <w:t>Estimating distribution and redemption rates from taxation statistics</w:t>
      </w:r>
      <w:r>
        <w:t>, March 2015, p. ii.</w:t>
      </w:r>
    </w:p>
  </w:footnote>
  <w:footnote w:id="647">
    <w:p w:rsidR="00B31E52" w:rsidRDefault="00B31E52" w:rsidP="00C52695">
      <w:pPr>
        <w:pStyle w:val="FootnoteText"/>
      </w:pPr>
      <w:r>
        <w:rPr>
          <w:rStyle w:val="FootnoteReference"/>
        </w:rPr>
        <w:footnoteRef/>
      </w:r>
      <w:r>
        <w:t xml:space="preserve"> </w:t>
      </w:r>
      <w:r>
        <w:tab/>
        <w:t xml:space="preserve">Frontier Economics, </w:t>
      </w:r>
      <w:r w:rsidRPr="00D14DE4">
        <w:rPr>
          <w:rStyle w:val="AERtextitalic"/>
        </w:rPr>
        <w:t>An appropriate regulatory estimate of gamma</w:t>
      </w:r>
      <w:r>
        <w:t>, June 2015, p. 28.</w:t>
      </w:r>
    </w:p>
  </w:footnote>
  <w:footnote w:id="648">
    <w:p w:rsidR="00B31E52" w:rsidRDefault="00B31E52" w:rsidP="00C52695">
      <w:pPr>
        <w:pStyle w:val="FootnoteText"/>
      </w:pPr>
      <w:r>
        <w:rPr>
          <w:rStyle w:val="FootnoteReference"/>
        </w:rPr>
        <w:footnoteRef/>
      </w:r>
      <w:r>
        <w:t xml:space="preserve"> </w:t>
      </w:r>
      <w:r>
        <w:tab/>
      </w:r>
      <w:r w:rsidRPr="00DD218F">
        <w:t xml:space="preserve">AusNet Transmission, </w:t>
      </w:r>
      <w:r w:rsidRPr="00DD218F">
        <w:rPr>
          <w:rStyle w:val="AERtextitalic"/>
        </w:rPr>
        <w:t>Transmission Revenue Review 2017-2022</w:t>
      </w:r>
      <w:r w:rsidRPr="00DD218F">
        <w:t>, October 2015, p. </w:t>
      </w:r>
      <w:r>
        <w:t xml:space="preserve">292; Australian Gas Networks, </w:t>
      </w:r>
      <w:r>
        <w:rPr>
          <w:rStyle w:val="AERtextitalic"/>
        </w:rPr>
        <w:t>Attachment 11 Response to Draft Decision: Cost of Tax</w:t>
      </w:r>
      <w:r>
        <w:t xml:space="preserve">, January 2016, pp. 7-8; ActewAGL, </w:t>
      </w:r>
      <w:r w:rsidRPr="00AF5B33">
        <w:rPr>
          <w:rStyle w:val="AERtextitalic"/>
        </w:rPr>
        <w:t>Appendix 5.01 Detailed response to rate of return, gamma and inflation</w:t>
      </w:r>
      <w:r>
        <w:t xml:space="preserve">, January 2016, p. 109; AusNet Electricity Services, </w:t>
      </w:r>
      <w:r w:rsidRPr="00AF5B33">
        <w:rPr>
          <w:rStyle w:val="AERtextitalic"/>
        </w:rPr>
        <w:t>Revised Regulatory Proposal</w:t>
      </w:r>
      <w:r>
        <w:t xml:space="preserve">, January 2016, p. 7-80; United Energy, </w:t>
      </w:r>
      <w:r w:rsidRPr="00AF5B33">
        <w:rPr>
          <w:rStyle w:val="AERtextitalic"/>
        </w:rPr>
        <w:t>Response to AER Preliminary Determination Re: Rate of return and gamma</w:t>
      </w:r>
      <w:r>
        <w:t xml:space="preserve">, January 2016, p. 81; CitiPower, </w:t>
      </w:r>
      <w:r w:rsidRPr="00AF5B33">
        <w:rPr>
          <w:rStyle w:val="AERtextitalic"/>
        </w:rPr>
        <w:t>Revised Regulatory Proposal 2016-2020</w:t>
      </w:r>
      <w:r>
        <w:t xml:space="preserve">; January 2016, p. 359; Jemena Electricity Networks, </w:t>
      </w:r>
      <w:r w:rsidRPr="00AF5B33">
        <w:rPr>
          <w:rStyle w:val="AERtextitalic"/>
        </w:rPr>
        <w:t>Attachment 6-1 Rate of return, gamma, forecast inflation, and debt and equity raising costs</w:t>
      </w:r>
      <w:r>
        <w:t xml:space="preserve">, January 2016, p. 87; Powercor, </w:t>
      </w:r>
      <w:r w:rsidRPr="00AF5B33">
        <w:rPr>
          <w:rStyle w:val="AERtextitalic"/>
        </w:rPr>
        <w:t>Revised Regulatory Proposal 2016-2020</w:t>
      </w:r>
      <w:r>
        <w:t xml:space="preserve">, January 2016, p. 353; APNT, </w:t>
      </w:r>
      <w:r w:rsidRPr="00903ED1">
        <w:rPr>
          <w:rStyle w:val="AERtextitalic"/>
        </w:rPr>
        <w:t>Access Arrangement Revised Proposal to Draft Decision</w:t>
      </w:r>
      <w:r>
        <w:t xml:space="preserve">, January 2016, p. 91; AusNet Transmission, </w:t>
      </w:r>
      <w:r>
        <w:rPr>
          <w:rStyle w:val="AERtextitalic"/>
        </w:rPr>
        <w:t>Transmission Revenue Proposal Review 2017-2022, Revised Revenue Proposal</w:t>
      </w:r>
      <w:r>
        <w:t>, 21 September 2016, pp. 205-206.</w:t>
      </w:r>
    </w:p>
  </w:footnote>
  <w:footnote w:id="649">
    <w:p w:rsidR="00B31E52" w:rsidRDefault="00B31E52" w:rsidP="00C52695">
      <w:pPr>
        <w:pStyle w:val="FootnoteText"/>
      </w:pPr>
      <w:r>
        <w:rPr>
          <w:rStyle w:val="FootnoteReference"/>
        </w:rPr>
        <w:footnoteRef/>
      </w:r>
      <w:r>
        <w:t xml:space="preserve"> </w:t>
      </w:r>
      <w:r>
        <w:tab/>
      </w:r>
      <w:r w:rsidRPr="00712BC2">
        <w:t xml:space="preserve">M. Lally, </w:t>
      </w:r>
      <w:r>
        <w:rPr>
          <w:rStyle w:val="AERtextitalic"/>
        </w:rPr>
        <w:t>Gamma and the ACT Decision</w:t>
      </w:r>
      <w:r>
        <w:t>, May 2016, pp. 26-29.</w:t>
      </w:r>
    </w:p>
  </w:footnote>
  <w:footnote w:id="650">
    <w:p w:rsidR="00B31E52" w:rsidRDefault="00B31E52" w:rsidP="00C52695">
      <w:pPr>
        <w:pStyle w:val="FootnoteText"/>
      </w:pPr>
      <w:r>
        <w:rPr>
          <w:rStyle w:val="FootnoteReference"/>
        </w:rPr>
        <w:footnoteRef/>
      </w:r>
      <w:r>
        <w:t xml:space="preserve"> </w:t>
      </w:r>
      <w:r>
        <w:tab/>
        <w:t xml:space="preserve">NERA, </w:t>
      </w:r>
      <w:r w:rsidRPr="00D54762">
        <w:rPr>
          <w:rStyle w:val="AERtextitalic"/>
        </w:rPr>
        <w:t>Estimating distribution and redemption rates: Response to the AER's final decisions for the NSW and ACT electricity distributors, and for Jemena Gas Networks</w:t>
      </w:r>
      <w:r>
        <w:t>, June 2015, p. 18.</w:t>
      </w:r>
    </w:p>
  </w:footnote>
  <w:footnote w:id="651">
    <w:p w:rsidR="00B31E52" w:rsidRDefault="00B31E52" w:rsidP="00C52695">
      <w:pPr>
        <w:pStyle w:val="FootnoteText"/>
      </w:pPr>
      <w:r>
        <w:rPr>
          <w:rStyle w:val="FootnoteReference"/>
        </w:rPr>
        <w:footnoteRef/>
      </w:r>
      <w:r>
        <w:t xml:space="preserve"> </w:t>
      </w:r>
      <w:r>
        <w:tab/>
      </w:r>
      <w:r w:rsidRPr="00DD218F">
        <w:t xml:space="preserve">AusNet Transmission, </w:t>
      </w:r>
      <w:r w:rsidRPr="00DD218F">
        <w:rPr>
          <w:rStyle w:val="AERtextitalic"/>
        </w:rPr>
        <w:t>Transmission Revenue Review 2017-2022</w:t>
      </w:r>
      <w:r w:rsidRPr="00DD218F">
        <w:t>, October 2015, p</w:t>
      </w:r>
      <w:r>
        <w:t>p</w:t>
      </w:r>
      <w:r w:rsidRPr="00DD218F">
        <w:t>. </w:t>
      </w:r>
      <w:r>
        <w:t xml:space="preserve">288, 292; AusNet Services, </w:t>
      </w:r>
      <w:r w:rsidRPr="00D414CC">
        <w:rPr>
          <w:rStyle w:val="Emphasis"/>
        </w:rPr>
        <w:t>2016-20 Regulatory Proposal</w:t>
      </w:r>
      <w:r>
        <w:t xml:space="preserve">, April 2015, pp. 353-354; United Energy, </w:t>
      </w:r>
      <w:r w:rsidRPr="00D414CC">
        <w:rPr>
          <w:rStyle w:val="Emphasis"/>
        </w:rPr>
        <w:t>Assessment of the Value of Imputation Credits - Gamma, Proposal for 2016 to 2020</w:t>
      </w:r>
      <w:r>
        <w:t xml:space="preserve">, April 2015, pp. 1–4; CitiPower, </w:t>
      </w:r>
      <w:r w:rsidRPr="00596AF9">
        <w:rPr>
          <w:i/>
        </w:rPr>
        <w:t>Appendix J - Gamma</w:t>
      </w:r>
      <w:r>
        <w:t xml:space="preserve">, April 2015, pp. 4–7; Powercor, </w:t>
      </w:r>
      <w:r w:rsidRPr="00D414CC">
        <w:rPr>
          <w:rStyle w:val="Emphasis"/>
        </w:rPr>
        <w:t>Appendix J - Gamma</w:t>
      </w:r>
      <w:r>
        <w:t xml:space="preserve">, April 2015, pp. 4–7; Jemena Electricity, </w:t>
      </w:r>
      <w:r w:rsidRPr="00D414CC">
        <w:rPr>
          <w:rStyle w:val="Emphasis"/>
        </w:rPr>
        <w:t>Attachment 06-06 Gamma proposal</w:t>
      </w:r>
      <w:r>
        <w:t>, April 2015, pp. 6–8;</w:t>
      </w:r>
      <w:r w:rsidRPr="00A427FF">
        <w:t xml:space="preserve"> </w:t>
      </w:r>
      <w:r>
        <w:t xml:space="preserve">SA Power Networks, </w:t>
      </w:r>
      <w:r>
        <w:rPr>
          <w:rStyle w:val="AERtextitalic"/>
        </w:rPr>
        <w:t>Revised regulatory proposal 2015-20</w:t>
      </w:r>
      <w:r>
        <w:t xml:space="preserve">, July 2015, p. 378; Energex, </w:t>
      </w:r>
      <w:r w:rsidRPr="00D414CC">
        <w:rPr>
          <w:rStyle w:val="Emphasis"/>
        </w:rPr>
        <w:t>Revised Regulatory Proposal</w:t>
      </w:r>
      <w:r>
        <w:t xml:space="preserve">, July 2015, pp. 124–125; Ergon, </w:t>
      </w:r>
      <w:r w:rsidRPr="00596AF9">
        <w:rPr>
          <w:i/>
        </w:rPr>
        <w:t>Revised Regulatory Proposal</w:t>
      </w:r>
      <w:r>
        <w:t xml:space="preserve">, July 2015, p. 153; ActewAGL Distribution, </w:t>
      </w:r>
      <w:r w:rsidRPr="00D414CC">
        <w:rPr>
          <w:rStyle w:val="Emphasis"/>
        </w:rPr>
        <w:t>Attachment 8 Detailed gamma proposal</w:t>
      </w:r>
      <w:r>
        <w:t xml:space="preserve">, June 2015, pp. 4-6; Australian Gas Networks, </w:t>
      </w:r>
      <w:r w:rsidRPr="00596AF9">
        <w:rPr>
          <w:i/>
        </w:rPr>
        <w:t>Access Arrangement Information - Attachment 11.2 Value of Imputation Credits</w:t>
      </w:r>
      <w:r>
        <w:t xml:space="preserve">, July 2015; pp. 3–6. Amadeus Gas Pipeline </w:t>
      </w:r>
      <w:r w:rsidRPr="00596AF9">
        <w:rPr>
          <w:i/>
        </w:rPr>
        <w:t>Access Arrangement Revision Proposal Submission</w:t>
      </w:r>
      <w:r>
        <w:t xml:space="preserve">, August 2015, p. 153; ActewAGL, </w:t>
      </w:r>
      <w:r w:rsidRPr="00AF5B33">
        <w:rPr>
          <w:rStyle w:val="AERtextitalic"/>
        </w:rPr>
        <w:t>Appendix 5.01 Detailed response to rate of return, gamma and inflation</w:t>
      </w:r>
      <w:r>
        <w:t xml:space="preserve">, January 2016, p. 111; AusNet Electricity Services, </w:t>
      </w:r>
      <w:r w:rsidRPr="00AF5B33">
        <w:rPr>
          <w:rStyle w:val="AERtextitalic"/>
        </w:rPr>
        <w:t>Revised Regulatory Proposal</w:t>
      </w:r>
      <w:r>
        <w:t xml:space="preserve">, January 2016, p. 7-82; United Energy, </w:t>
      </w:r>
      <w:r w:rsidRPr="00AF5B33">
        <w:rPr>
          <w:rStyle w:val="AERtextitalic"/>
        </w:rPr>
        <w:t>Response to AER Preliminary Determination Re: Rate of return and gamma</w:t>
      </w:r>
      <w:r>
        <w:t xml:space="preserve">, January 2016, p. 83; CitiPower, </w:t>
      </w:r>
      <w:r w:rsidRPr="00AF5B33">
        <w:rPr>
          <w:rStyle w:val="AERtextitalic"/>
        </w:rPr>
        <w:t>Revised Regulatory Proposal 2016-2020</w:t>
      </w:r>
      <w:r>
        <w:t xml:space="preserve">; January 2016, pp. 360-361; Jemena Electricity Networks, </w:t>
      </w:r>
      <w:r w:rsidRPr="00AF5B33">
        <w:rPr>
          <w:rStyle w:val="AERtextitalic"/>
        </w:rPr>
        <w:t>Attachment 6-1 Rate of return, gamma, forecast inflation, and debt and equity raising costs</w:t>
      </w:r>
      <w:r>
        <w:t xml:space="preserve">, January 2016, p. 89; Powercor, </w:t>
      </w:r>
      <w:r w:rsidRPr="00AF5B33">
        <w:rPr>
          <w:rStyle w:val="AERtextitalic"/>
        </w:rPr>
        <w:t>Revised Regulatory Proposal 2016-2020</w:t>
      </w:r>
      <w:r>
        <w:t xml:space="preserve">, January 2016, p. 355; AusNet Transmission, </w:t>
      </w:r>
      <w:r>
        <w:rPr>
          <w:rStyle w:val="AERtextitalic"/>
        </w:rPr>
        <w:t>Transmission Revenue Proposal Review 2017-2022, Revised Revenue Proposal</w:t>
      </w:r>
      <w:r>
        <w:t>, 21 September 2016, pp. 205-206.</w:t>
      </w:r>
    </w:p>
  </w:footnote>
  <w:footnote w:id="652">
    <w:p w:rsidR="00B31E52" w:rsidRDefault="00B31E52" w:rsidP="00C52695">
      <w:pPr>
        <w:pStyle w:val="FootnoteText"/>
      </w:pPr>
      <w:r>
        <w:rPr>
          <w:rStyle w:val="FootnoteReference"/>
        </w:rPr>
        <w:footnoteRef/>
      </w:r>
      <w:r>
        <w:t xml:space="preserve"> </w:t>
      </w:r>
      <w:r>
        <w:tab/>
        <w:t xml:space="preserve">ActewAGL, </w:t>
      </w:r>
      <w:r w:rsidRPr="00AF5B33">
        <w:rPr>
          <w:rStyle w:val="AERtextitalic"/>
        </w:rPr>
        <w:t>Appendix 5.01 Detailed response to rate of return, gamma and inflation</w:t>
      </w:r>
      <w:r>
        <w:t xml:space="preserve">, January 2016, p. 122; AusNet Electricity Services, </w:t>
      </w:r>
      <w:r w:rsidRPr="00AF5B33">
        <w:rPr>
          <w:rStyle w:val="AERtextitalic"/>
        </w:rPr>
        <w:t>Revised Regulatory Proposal</w:t>
      </w:r>
      <w:r>
        <w:t xml:space="preserve">, January 2016, p. 7-90; United Energy, </w:t>
      </w:r>
      <w:r w:rsidRPr="00AF5B33">
        <w:rPr>
          <w:rStyle w:val="AERtextitalic"/>
        </w:rPr>
        <w:t>Response to AER Preliminary Determination Re: Rate of return and gamma</w:t>
      </w:r>
      <w:r>
        <w:t xml:space="preserve">, January 2016, p. 91; CitiPower, </w:t>
      </w:r>
      <w:r w:rsidRPr="00AF5B33">
        <w:rPr>
          <w:rStyle w:val="AERtextitalic"/>
        </w:rPr>
        <w:t>Revised Regulatory Proposal 2016-2020</w:t>
      </w:r>
      <w:r>
        <w:t xml:space="preserve">; January 2016, p. 369; Jemena Electricity Networks, </w:t>
      </w:r>
      <w:r w:rsidRPr="00AF5B33">
        <w:rPr>
          <w:rStyle w:val="AERtextitalic"/>
        </w:rPr>
        <w:t>Attachment 6-1 Rate of return, gamma, forecast inflation, and debt and equity raising costs</w:t>
      </w:r>
      <w:r>
        <w:t xml:space="preserve">, January 2016, p. 98; Powercor, </w:t>
      </w:r>
      <w:r w:rsidRPr="00AF5B33">
        <w:rPr>
          <w:rStyle w:val="AERtextitalic"/>
        </w:rPr>
        <w:t>Revised Regulatory Proposal 2016-2020</w:t>
      </w:r>
      <w:r>
        <w:t>, January 2016, p. 363.</w:t>
      </w:r>
    </w:p>
  </w:footnote>
  <w:footnote w:id="653">
    <w:p w:rsidR="00B31E52" w:rsidRDefault="00B31E52" w:rsidP="00C52695">
      <w:pPr>
        <w:pStyle w:val="FootnoteText"/>
      </w:pPr>
      <w:r>
        <w:rPr>
          <w:rStyle w:val="FootnoteReference"/>
        </w:rPr>
        <w:footnoteRef/>
      </w:r>
      <w:r>
        <w:t xml:space="preserve"> </w:t>
      </w:r>
      <w:r>
        <w:tab/>
        <w:t xml:space="preserve">SFG, </w:t>
      </w:r>
      <w:r>
        <w:rPr>
          <w:rStyle w:val="AERtextitalic"/>
        </w:rPr>
        <w:t>Estimating gamma for regulatory purposes</w:t>
      </w:r>
      <w:r>
        <w:t>, 6 February 2015, para. 216.</w:t>
      </w:r>
    </w:p>
  </w:footnote>
  <w:footnote w:id="654">
    <w:p w:rsidR="00B31E52" w:rsidRDefault="00B31E52" w:rsidP="00C52695">
      <w:pPr>
        <w:pStyle w:val="FootnoteText"/>
      </w:pPr>
      <w:r>
        <w:rPr>
          <w:rStyle w:val="FootnoteReference"/>
        </w:rPr>
        <w:footnoteRef/>
      </w:r>
      <w:r>
        <w:t xml:space="preserve"> </w:t>
      </w:r>
      <w:r>
        <w:tab/>
        <w:t xml:space="preserve">J. Handley, </w:t>
      </w:r>
      <w:r w:rsidRPr="005B7CF2">
        <w:rPr>
          <w:rStyle w:val="AERtextitalic"/>
        </w:rPr>
        <w:t>Report prepared for the Australian Energy Regulator: Advice on the NERA report 'Estimating distribution and redemption rates from taxation statistics'</w:t>
      </w:r>
      <w:r>
        <w:t>, 20 May 2015, pp. 7–8.</w:t>
      </w:r>
    </w:p>
  </w:footnote>
  <w:footnote w:id="655">
    <w:p w:rsidR="00B31E52" w:rsidRDefault="00B31E52" w:rsidP="00C52695">
      <w:pPr>
        <w:pStyle w:val="FootnoteText"/>
      </w:pPr>
      <w:r>
        <w:rPr>
          <w:rStyle w:val="FootnoteReference"/>
        </w:rPr>
        <w:footnoteRef/>
      </w:r>
      <w:r>
        <w:t xml:space="preserve"> </w:t>
      </w:r>
      <w:r>
        <w:tab/>
      </w:r>
      <w:r w:rsidRPr="00712BC2">
        <w:t xml:space="preserve">M. Lally, </w:t>
      </w:r>
      <w:r>
        <w:rPr>
          <w:rStyle w:val="AERtextitalic"/>
        </w:rPr>
        <w:t>Gamma and the ACT Decision</w:t>
      </w:r>
      <w:r>
        <w:t xml:space="preserve">, May 2016, p. 25; AusNet Transmission, </w:t>
      </w:r>
      <w:r>
        <w:rPr>
          <w:rStyle w:val="AERtextitalic"/>
        </w:rPr>
        <w:t>Transmission Revenue Proposal Review 2017-2022, Revised Revenue Proposal</w:t>
      </w:r>
      <w:r>
        <w:t>, 21 September 2016, p. 205.</w:t>
      </w:r>
    </w:p>
  </w:footnote>
  <w:footnote w:id="656">
    <w:p w:rsidR="00B31E52" w:rsidRPr="004D25AD" w:rsidRDefault="00B31E52" w:rsidP="00CD38B5">
      <w:pPr>
        <w:pStyle w:val="FootnoteText"/>
      </w:pPr>
      <w:r>
        <w:rPr>
          <w:rStyle w:val="FootnoteReference"/>
        </w:rPr>
        <w:footnoteRef/>
      </w:r>
      <w:r>
        <w:t xml:space="preserve"> </w:t>
      </w:r>
      <w:r>
        <w:tab/>
        <w:t xml:space="preserve">M. Lally, </w:t>
      </w:r>
      <w:r w:rsidRPr="00E750F8">
        <w:rPr>
          <w:rStyle w:val="AERtextitalic"/>
        </w:rPr>
        <w:t>Issues in the estimation of gamma</w:t>
      </w:r>
      <w:r>
        <w:t>, April 2017</w:t>
      </w:r>
      <w:r w:rsidRPr="006A200A">
        <w:rPr>
          <w:rStyle w:val="AERtextitalic"/>
          <w:i w:val="0"/>
        </w:rPr>
        <w:t xml:space="preserve">, </w:t>
      </w:r>
      <w:r w:rsidRPr="00CD38B5">
        <w:rPr>
          <w:rStyle w:val="AERtextitalic"/>
          <w:i w:val="0"/>
        </w:rPr>
        <w:t>p</w:t>
      </w:r>
      <w:r w:rsidRPr="004423C9">
        <w:rPr>
          <w:rStyle w:val="AERtextitalic"/>
          <w:i w:val="0"/>
        </w:rPr>
        <w:t>p</w:t>
      </w:r>
      <w:r w:rsidRPr="00CD38B5">
        <w:rPr>
          <w:rStyle w:val="AERtextitalic"/>
          <w:i w:val="0"/>
        </w:rPr>
        <w:t>. </w:t>
      </w:r>
      <w:r w:rsidRPr="004423C9">
        <w:rPr>
          <w:rStyle w:val="AERtextitalic"/>
          <w:i w:val="0"/>
        </w:rPr>
        <w:t xml:space="preserve">13, </w:t>
      </w:r>
      <w:r w:rsidRPr="00CD38B5">
        <w:rPr>
          <w:rStyle w:val="AERtextitalic"/>
          <w:i w:val="0"/>
        </w:rPr>
        <w:t>24.</w:t>
      </w:r>
    </w:p>
  </w:footnote>
  <w:footnote w:id="657">
    <w:p w:rsidR="00B31E52" w:rsidRDefault="00B31E52" w:rsidP="00C52695">
      <w:pPr>
        <w:pStyle w:val="FootnoteText"/>
      </w:pPr>
      <w:r>
        <w:rPr>
          <w:rStyle w:val="FootnoteReference"/>
        </w:rPr>
        <w:footnoteRef/>
      </w:r>
      <w:r>
        <w:t xml:space="preserve"> </w:t>
      </w:r>
      <w:r>
        <w:tab/>
      </w:r>
      <w:r w:rsidRPr="00712BC2">
        <w:t xml:space="preserve">M. Lally, </w:t>
      </w:r>
      <w:r>
        <w:rPr>
          <w:rStyle w:val="AERtextitalic"/>
        </w:rPr>
        <w:t>Gamma and the ACT Decision</w:t>
      </w:r>
      <w:r>
        <w:t>, May 2016, p. 7.</w:t>
      </w:r>
    </w:p>
  </w:footnote>
  <w:footnote w:id="658">
    <w:p w:rsidR="00B31E52" w:rsidRDefault="00B31E52" w:rsidP="00EB58A2">
      <w:pPr>
        <w:pStyle w:val="FootnoteText"/>
      </w:pPr>
      <w:r>
        <w:rPr>
          <w:rStyle w:val="FootnoteReference"/>
        </w:rPr>
        <w:footnoteRef/>
      </w:r>
      <w:r>
        <w:t xml:space="preserve"> </w:t>
      </w:r>
      <w:r>
        <w:tab/>
        <w:t xml:space="preserve">M. Lally, </w:t>
      </w:r>
      <w:r w:rsidRPr="00EF4AD5">
        <w:rPr>
          <w:rStyle w:val="AERtextitalic"/>
        </w:rPr>
        <w:t>Issues in the estimation of gamma</w:t>
      </w:r>
      <w:r>
        <w:t>, April 2017</w:t>
      </w:r>
      <w:r w:rsidRPr="004423C9">
        <w:rPr>
          <w:rStyle w:val="AERtextitalic"/>
          <w:i w:val="0"/>
        </w:rPr>
        <w:t>, p. 29.</w:t>
      </w:r>
    </w:p>
  </w:footnote>
  <w:footnote w:id="659">
    <w:p w:rsidR="00B31E52" w:rsidRDefault="00B31E52" w:rsidP="00C52695">
      <w:pPr>
        <w:pStyle w:val="FootnoteText"/>
      </w:pPr>
      <w:r>
        <w:rPr>
          <w:rStyle w:val="FootnoteReference"/>
        </w:rPr>
        <w:footnoteRef/>
      </w:r>
      <w:r>
        <w:t xml:space="preserve"> </w:t>
      </w:r>
      <w:r>
        <w:tab/>
      </w:r>
      <w:r w:rsidRPr="00712BC2">
        <w:t xml:space="preserve">M. Lally, </w:t>
      </w:r>
      <w:r>
        <w:rPr>
          <w:rStyle w:val="AERtextitalic"/>
        </w:rPr>
        <w:t>Gamma and the ACT Decision</w:t>
      </w:r>
      <w:r>
        <w:t>, May 2016, p. 29.</w:t>
      </w:r>
    </w:p>
  </w:footnote>
  <w:footnote w:id="660">
    <w:p w:rsidR="00B31E52" w:rsidRDefault="00B31E52" w:rsidP="00514A99">
      <w:pPr>
        <w:pStyle w:val="FootnoteText"/>
      </w:pPr>
      <w:r>
        <w:rPr>
          <w:rStyle w:val="FootnoteReference"/>
        </w:rPr>
        <w:footnoteRef/>
      </w:r>
      <w:r>
        <w:t xml:space="preserve"> </w:t>
      </w:r>
      <w:r>
        <w:tab/>
      </w:r>
      <w:r w:rsidRPr="007646B1">
        <w:t xml:space="preserve">AER, </w:t>
      </w:r>
      <w:r>
        <w:rPr>
          <w:rStyle w:val="AERtextitalic"/>
        </w:rPr>
        <w:t>Better regulation: Explanatory S</w:t>
      </w:r>
      <w:r w:rsidRPr="007646B1">
        <w:rPr>
          <w:rStyle w:val="AERtextitalic"/>
        </w:rPr>
        <w:t xml:space="preserve">tatement </w:t>
      </w:r>
      <w:r>
        <w:rPr>
          <w:rStyle w:val="AERtextitalic"/>
        </w:rPr>
        <w:t>R</w:t>
      </w:r>
      <w:r w:rsidRPr="007646B1">
        <w:rPr>
          <w:rStyle w:val="AERtextitalic"/>
        </w:rPr>
        <w:t>ate</w:t>
      </w:r>
      <w:r>
        <w:rPr>
          <w:rStyle w:val="AERtextitalic"/>
        </w:rPr>
        <w:t xml:space="preserve"> of Return Guideline,</w:t>
      </w:r>
      <w:r w:rsidRPr="007646B1">
        <w:t xml:space="preserve"> December 2013</w:t>
      </w:r>
      <w:r>
        <w:t xml:space="preserve">, </w:t>
      </w:r>
      <w:r w:rsidRPr="00514A99">
        <w:t>pp. 163–164.</w:t>
      </w:r>
    </w:p>
  </w:footnote>
  <w:footnote w:id="661">
    <w:p w:rsidR="00B31E52" w:rsidRDefault="00B31E52" w:rsidP="00C52695">
      <w:pPr>
        <w:pStyle w:val="FootnoteText"/>
      </w:pPr>
      <w:r>
        <w:rPr>
          <w:rStyle w:val="FootnoteReference"/>
        </w:rPr>
        <w:footnoteRef/>
      </w:r>
      <w:r>
        <w:t xml:space="preserve"> </w:t>
      </w:r>
      <w:r>
        <w:tab/>
        <w:t xml:space="preserve">EMRF, </w:t>
      </w:r>
      <w:r w:rsidRPr="006D5D8E">
        <w:rPr>
          <w:rStyle w:val="AERtextitalic"/>
        </w:rPr>
        <w:t>NSW Electricity Distribution Revenue Reset, AER Draft Decision and revised proposals from Ausgrid, Endeavour Energy and Essential Energy, A response</w:t>
      </w:r>
      <w:r>
        <w:t>, February 2015, pp. 31–32.</w:t>
      </w:r>
    </w:p>
  </w:footnote>
  <w:footnote w:id="662">
    <w:p w:rsidR="00B31E52" w:rsidRDefault="00B31E52" w:rsidP="00C52695">
      <w:pPr>
        <w:pStyle w:val="FootnoteText"/>
      </w:pPr>
      <w:r>
        <w:rPr>
          <w:rStyle w:val="FootnoteReference"/>
        </w:rPr>
        <w:footnoteRef/>
      </w:r>
      <w:r>
        <w:t xml:space="preserve"> </w:t>
      </w:r>
      <w:r>
        <w:tab/>
        <w:t xml:space="preserve">The ATO website contains a list of events that cause a debit to a company's franking account balance: </w:t>
      </w:r>
      <w:r w:rsidRPr="006E4C5C">
        <w:t>https://www.ato.gov.au/Business/Imputation/In-detail/Simplified-imputation---the-franking-account/?page=5#When_does_a_franking_debit_arise_</w:t>
      </w:r>
      <w:r>
        <w:t xml:space="preserve">. Accessed 9 April 2015. NERA identified that the bankruptcy of a company and the failure of a company to report its franking account balance can also cause the aggregate franking account balance to decrease: </w:t>
      </w:r>
      <w:r w:rsidRPr="002C1893">
        <w:t xml:space="preserve">NERA, </w:t>
      </w:r>
      <w:r w:rsidRPr="002C1893">
        <w:rPr>
          <w:rStyle w:val="AERtextitalic"/>
        </w:rPr>
        <w:t>The payout ratio: A report for the Energy Networks Association</w:t>
      </w:r>
      <w:r w:rsidRPr="002C1893">
        <w:t>, June 2013</w:t>
      </w:r>
      <w:r>
        <w:t>, p. 5</w:t>
      </w:r>
      <w:r w:rsidRPr="002C1893">
        <w:t>.</w:t>
      </w:r>
    </w:p>
  </w:footnote>
  <w:footnote w:id="663">
    <w:p w:rsidR="00B31E52" w:rsidRDefault="00B31E52" w:rsidP="00C52695">
      <w:pPr>
        <w:pStyle w:val="FootnoteText"/>
      </w:pPr>
      <w:r>
        <w:rPr>
          <w:rStyle w:val="FootnoteReference"/>
        </w:rPr>
        <w:footnoteRef/>
      </w:r>
      <w:r>
        <w:t xml:space="preserve"> </w:t>
      </w:r>
      <w:r>
        <w:tab/>
      </w:r>
      <w:r w:rsidRPr="00DF6BAC">
        <w:t xml:space="preserve">N. Hathaway, </w:t>
      </w:r>
      <w:r w:rsidRPr="00DF6BAC">
        <w:rPr>
          <w:rStyle w:val="AERtextitalic"/>
        </w:rPr>
        <w:t>Imputation credit redemption ATO data 1988–2011: Where have all the credits gone?</w:t>
      </w:r>
      <w:r>
        <w:t xml:space="preserve">, September 2013, para. 97; </w:t>
      </w:r>
      <w:r w:rsidRPr="002C1893">
        <w:t xml:space="preserve">NERA, </w:t>
      </w:r>
      <w:r w:rsidRPr="002C1893">
        <w:rPr>
          <w:rStyle w:val="AERtextitalic"/>
        </w:rPr>
        <w:t>The payout ratio: A report for the Energy Networks Association</w:t>
      </w:r>
      <w:r w:rsidRPr="002C1893">
        <w:t>, June 2013</w:t>
      </w:r>
      <w:r>
        <w:t>, p. 11</w:t>
      </w:r>
      <w:r w:rsidRPr="002C1893">
        <w:t>.</w:t>
      </w:r>
    </w:p>
  </w:footnote>
  <w:footnote w:id="664">
    <w:p w:rsidR="00B31E52" w:rsidRDefault="00B31E52" w:rsidP="00C52695">
      <w:pPr>
        <w:pStyle w:val="FootnoteText"/>
      </w:pPr>
      <w:r>
        <w:rPr>
          <w:rStyle w:val="FootnoteReference"/>
        </w:rPr>
        <w:footnoteRef/>
      </w:r>
      <w:r>
        <w:t xml:space="preserve"> </w:t>
      </w:r>
      <w:r>
        <w:tab/>
      </w:r>
      <w:r w:rsidRPr="002C1893">
        <w:t xml:space="preserve">NERA, </w:t>
      </w:r>
      <w:r w:rsidRPr="002C1893">
        <w:rPr>
          <w:rStyle w:val="AERtextitalic"/>
        </w:rPr>
        <w:t>The payout ratio: A report for the Energy Networks Association</w:t>
      </w:r>
      <w:r w:rsidRPr="002C1893">
        <w:t>, June 2013</w:t>
      </w:r>
      <w:r>
        <w:t>, p. 11</w:t>
      </w:r>
      <w:r w:rsidRPr="002C1893">
        <w:t>.</w:t>
      </w:r>
    </w:p>
  </w:footnote>
  <w:footnote w:id="665">
    <w:p w:rsidR="00B31E52" w:rsidRDefault="00B31E52" w:rsidP="00C52695">
      <w:pPr>
        <w:pStyle w:val="FootnoteText"/>
      </w:pPr>
      <w:r>
        <w:rPr>
          <w:rStyle w:val="FootnoteReference"/>
        </w:rPr>
        <w:footnoteRef/>
      </w:r>
      <w:r>
        <w:t xml:space="preserve"> </w:t>
      </w:r>
      <w:r>
        <w:tab/>
      </w:r>
      <w:r w:rsidRPr="00DF6BAC">
        <w:t xml:space="preserve">N. Hathaway, </w:t>
      </w:r>
      <w:r w:rsidRPr="00DF6BAC">
        <w:rPr>
          <w:rStyle w:val="AERtextitalic"/>
        </w:rPr>
        <w:t>Imputation credit redemption ATO data 1988–2011: Where have all the credits gone?</w:t>
      </w:r>
      <w:r>
        <w:t>, September 2013, para. 99.</w:t>
      </w:r>
    </w:p>
  </w:footnote>
  <w:footnote w:id="666">
    <w:p w:rsidR="00B31E52" w:rsidRDefault="00B31E52" w:rsidP="00C52695">
      <w:pPr>
        <w:pStyle w:val="FootnoteText"/>
      </w:pPr>
      <w:r>
        <w:rPr>
          <w:rStyle w:val="FootnoteReference"/>
        </w:rPr>
        <w:footnoteRef/>
      </w:r>
      <w:r>
        <w:t xml:space="preserve"> </w:t>
      </w:r>
      <w:r>
        <w:tab/>
        <w:t xml:space="preserve">M. Lally, </w:t>
      </w:r>
      <w:r w:rsidRPr="00550383">
        <w:rPr>
          <w:rStyle w:val="AERtextitalic"/>
        </w:rPr>
        <w:t>Review of submissions to the QCA on the MRP, risk-free rate and gamma</w:t>
      </w:r>
      <w:r>
        <w:t>, 12 March 2014, p. 30;</w:t>
      </w:r>
      <w:r w:rsidRPr="000921FF">
        <w:t xml:space="preserve"> </w:t>
      </w:r>
      <w:r w:rsidRPr="00712BC2">
        <w:t xml:space="preserve">M. Lally, </w:t>
      </w:r>
      <w:r>
        <w:rPr>
          <w:rStyle w:val="AERtextitalic"/>
        </w:rPr>
        <w:t>Gamma and the ACT Decision</w:t>
      </w:r>
      <w:r>
        <w:t>, May 2016, p. 26.</w:t>
      </w:r>
    </w:p>
  </w:footnote>
  <w:footnote w:id="667">
    <w:p w:rsidR="00B31E52" w:rsidRDefault="00B31E52" w:rsidP="00C52695">
      <w:pPr>
        <w:pStyle w:val="FootnoteText"/>
      </w:pPr>
      <w:r>
        <w:rPr>
          <w:rStyle w:val="FootnoteReference"/>
        </w:rPr>
        <w:footnoteRef/>
      </w:r>
      <w:r>
        <w:t xml:space="preserve"> </w:t>
      </w:r>
      <w:r>
        <w:tab/>
      </w:r>
      <w:r w:rsidRPr="00DF6BAC">
        <w:t xml:space="preserve">N. Hathaway, </w:t>
      </w:r>
      <w:r w:rsidRPr="00DF6BAC">
        <w:rPr>
          <w:rStyle w:val="AERtextitalic"/>
        </w:rPr>
        <w:t>Imputation cred</w:t>
      </w:r>
      <w:r>
        <w:rPr>
          <w:rStyle w:val="AERtextitalic"/>
        </w:rPr>
        <w:t>it redemption ATO data 1988–2012</w:t>
      </w:r>
      <w:r w:rsidRPr="00DF6BAC">
        <w:rPr>
          <w:rStyle w:val="AERtextitalic"/>
        </w:rPr>
        <w:t>: Where have all the credits gone?</w:t>
      </w:r>
      <w:r>
        <w:rPr>
          <w:rStyle w:val="AERtextitalic"/>
        </w:rPr>
        <w:t xml:space="preserve"> (draft)</w:t>
      </w:r>
      <w:r>
        <w:t>, October 2014.</w:t>
      </w:r>
    </w:p>
  </w:footnote>
  <w:footnote w:id="668">
    <w:p w:rsidR="00B31E52" w:rsidRDefault="00B31E52" w:rsidP="00C52695">
      <w:pPr>
        <w:pStyle w:val="FootnoteText"/>
      </w:pPr>
      <w:r>
        <w:rPr>
          <w:rStyle w:val="FootnoteReference"/>
        </w:rPr>
        <w:footnoteRef/>
      </w:r>
      <w:r>
        <w:t xml:space="preserve"> </w:t>
      </w:r>
      <w:r>
        <w:tab/>
      </w:r>
      <w:r w:rsidRPr="00DF6BAC">
        <w:t xml:space="preserve">N. Hathaway, </w:t>
      </w:r>
      <w:r w:rsidRPr="00DF6BAC">
        <w:rPr>
          <w:rStyle w:val="AERtextitalic"/>
        </w:rPr>
        <w:t>Imputation cred</w:t>
      </w:r>
      <w:r>
        <w:rPr>
          <w:rStyle w:val="AERtextitalic"/>
        </w:rPr>
        <w:t>it redemption ATO data 1988–2012</w:t>
      </w:r>
      <w:r w:rsidRPr="00DF6BAC">
        <w:rPr>
          <w:rStyle w:val="AERtextitalic"/>
        </w:rPr>
        <w:t>: Where have all the credits gone?</w:t>
      </w:r>
      <w:r>
        <w:rPr>
          <w:rStyle w:val="AERtextitalic"/>
        </w:rPr>
        <w:t xml:space="preserve"> (draft)</w:t>
      </w:r>
      <w:r>
        <w:t>, October 2014.</w:t>
      </w:r>
    </w:p>
  </w:footnote>
  <w:footnote w:id="669">
    <w:p w:rsidR="00B31E52" w:rsidRDefault="00B31E52" w:rsidP="00C52695">
      <w:pPr>
        <w:pStyle w:val="FootnoteText"/>
      </w:pPr>
      <w:r>
        <w:rPr>
          <w:rStyle w:val="FootnoteReference"/>
        </w:rPr>
        <w:footnoteRef/>
      </w:r>
      <w:r>
        <w:t xml:space="preserve"> </w:t>
      </w:r>
      <w:r>
        <w:tab/>
        <w:t xml:space="preserve">Specifically, we use data from </w:t>
      </w:r>
      <w:r w:rsidRPr="00B01373">
        <w:t>Australian National Accounts: Finance and Wealth</w:t>
      </w:r>
      <w:r w:rsidRPr="0061054A">
        <w:t xml:space="preserve"> (ABS cat. 5232.0)</w:t>
      </w:r>
      <w:r>
        <w:t>.</w:t>
      </w:r>
    </w:p>
  </w:footnote>
  <w:footnote w:id="670">
    <w:p w:rsidR="00B31E52" w:rsidRDefault="00B31E52" w:rsidP="00C52695">
      <w:pPr>
        <w:pStyle w:val="FootnoteText"/>
      </w:pPr>
      <w:r>
        <w:rPr>
          <w:rStyle w:val="FootnoteReference"/>
        </w:rPr>
        <w:footnoteRef/>
      </w:r>
      <w:r>
        <w:t xml:space="preserve"> </w:t>
      </w:r>
      <w:r>
        <w:tab/>
      </w:r>
      <w:r w:rsidRPr="00874F27">
        <w:t xml:space="preserve">J. Handley, </w:t>
      </w:r>
      <w:r w:rsidRPr="00874F27">
        <w:rPr>
          <w:rStyle w:val="AERtextitalic"/>
        </w:rPr>
        <w:t>Report prepared for the Australian Energy Regulator: Advice on the value of imputation credits</w:t>
      </w:r>
      <w:r w:rsidRPr="00874F27">
        <w:t>, 29 September 2014</w:t>
      </w:r>
      <w:r>
        <w:t xml:space="preserve">, pp. 24–25; </w:t>
      </w:r>
      <w:r w:rsidRPr="00582678">
        <w:t xml:space="preserve">M. Lally, </w:t>
      </w:r>
      <w:r w:rsidRPr="00582678">
        <w:rPr>
          <w:rStyle w:val="AERtextitalic"/>
        </w:rPr>
        <w:t>The estimation of gamma</w:t>
      </w:r>
      <w:r w:rsidRPr="00582678">
        <w:t>, 23 November 2013</w:t>
      </w:r>
      <w:r>
        <w:t>, pp. 11–12.</w:t>
      </w:r>
    </w:p>
  </w:footnote>
  <w:footnote w:id="671">
    <w:p w:rsidR="00B31E52" w:rsidRDefault="00B31E52" w:rsidP="00C52695">
      <w:pPr>
        <w:pStyle w:val="FootnoteText"/>
      </w:pPr>
      <w:r>
        <w:rPr>
          <w:rStyle w:val="FootnoteReference"/>
        </w:rPr>
        <w:footnoteRef/>
      </w:r>
      <w:r>
        <w:t xml:space="preserve"> </w:t>
      </w:r>
      <w:r>
        <w:tab/>
      </w:r>
      <w:r w:rsidRPr="00712BC2">
        <w:t xml:space="preserve">M. Lally, </w:t>
      </w:r>
      <w:r>
        <w:rPr>
          <w:rStyle w:val="AERtextitalic"/>
        </w:rPr>
        <w:t>Gamma and the ACT Decision</w:t>
      </w:r>
      <w:r>
        <w:t>, May 2016, p. 16.</w:t>
      </w:r>
    </w:p>
  </w:footnote>
  <w:footnote w:id="672">
    <w:p w:rsidR="00B31E52" w:rsidRDefault="00B31E52" w:rsidP="00C52695">
      <w:pPr>
        <w:pStyle w:val="FootnoteText"/>
      </w:pPr>
      <w:r>
        <w:rPr>
          <w:rStyle w:val="FootnoteReference"/>
        </w:rPr>
        <w:footnoteRef/>
      </w:r>
      <w:r>
        <w:t xml:space="preserve"> </w:t>
      </w:r>
      <w:r>
        <w:tab/>
      </w:r>
      <w:r w:rsidRPr="00712BC2">
        <w:t xml:space="preserve">M. Lally, </w:t>
      </w:r>
      <w:r>
        <w:rPr>
          <w:rStyle w:val="AERtextitalic"/>
        </w:rPr>
        <w:t>Gamma and the ACT Decision</w:t>
      </w:r>
      <w:r>
        <w:t>, May 2016, p. 16.</w:t>
      </w:r>
    </w:p>
  </w:footnote>
  <w:footnote w:id="673">
    <w:p w:rsidR="00B31E52" w:rsidRDefault="00B31E52" w:rsidP="00C52695">
      <w:pPr>
        <w:pStyle w:val="FootnoteText"/>
      </w:pPr>
      <w:r>
        <w:rPr>
          <w:rStyle w:val="FootnoteReference"/>
        </w:rPr>
        <w:footnoteRef/>
      </w:r>
      <w:r>
        <w:t xml:space="preserve"> </w:t>
      </w:r>
      <w:r>
        <w:tab/>
      </w:r>
      <w:r w:rsidRPr="00853053">
        <w:t xml:space="preserve">Australian Bureau of Statistics, </w:t>
      </w:r>
      <w:r w:rsidRPr="00853053">
        <w:rPr>
          <w:rStyle w:val="AERtextitalic"/>
        </w:rPr>
        <w:t>Feature article: Foreign ownership of equity</w:t>
      </w:r>
      <w:r w:rsidRPr="00853053">
        <w:t xml:space="preserve">, </w:t>
      </w:r>
      <w:r>
        <w:t xml:space="preserve">September 2007. </w:t>
      </w:r>
      <w:r w:rsidRPr="00853053">
        <w:t xml:space="preserve">Available at: </w:t>
      </w:r>
      <w:r w:rsidRPr="00611553">
        <w:t>http://www.abs.gov.au/AUSSTATS/abs@.nsf/Previousproducts/5302.0Feature%20Article10Sep%202007?opendocument&amp;tabname=Summary&amp;prodno=5302.0&amp;issue=Sep%202007&amp;num=&amp;view</w:t>
      </w:r>
      <w:r>
        <w:t>. Accessed 9 April 2015.</w:t>
      </w:r>
    </w:p>
  </w:footnote>
  <w:footnote w:id="674">
    <w:p w:rsidR="00B31E52" w:rsidRDefault="00B31E52" w:rsidP="00C52695">
      <w:pPr>
        <w:pStyle w:val="FootnoteText"/>
      </w:pPr>
      <w:r>
        <w:rPr>
          <w:rStyle w:val="FootnoteReference"/>
        </w:rPr>
        <w:footnoteRef/>
      </w:r>
      <w:r>
        <w:t xml:space="preserve"> </w:t>
      </w:r>
      <w:r>
        <w:tab/>
      </w:r>
      <w:r w:rsidRPr="00DF6BAC">
        <w:t xml:space="preserve">N. Hathaway, </w:t>
      </w:r>
      <w:r w:rsidRPr="00DF6BAC">
        <w:rPr>
          <w:rStyle w:val="AERtextitalic"/>
        </w:rPr>
        <w:t>Imputation credit redemption ATO data 1988–2011: Where have all the credits gone?</w:t>
      </w:r>
      <w:r>
        <w:t>, September 2013, figure 5.</w:t>
      </w:r>
    </w:p>
  </w:footnote>
  <w:footnote w:id="675">
    <w:p w:rsidR="00B31E52" w:rsidRDefault="00B31E52" w:rsidP="00C52695">
      <w:pPr>
        <w:pStyle w:val="FootnoteText"/>
      </w:pPr>
      <w:r>
        <w:rPr>
          <w:rStyle w:val="FootnoteReference"/>
        </w:rPr>
        <w:footnoteRef/>
      </w:r>
      <w:r>
        <w:t xml:space="preserve"> </w:t>
      </w:r>
      <w:r>
        <w:tab/>
        <w:t>If governments are assumed to waste the credits they receive, the equity ownership approach supports an estimate of the utilisation rate of between 0.54 and 0.65 if all equity is considered, and between 0.38 and 0.54 if only listed equity is considered.</w:t>
      </w:r>
    </w:p>
  </w:footnote>
  <w:footnote w:id="676">
    <w:p w:rsidR="00B31E52" w:rsidRDefault="00B31E52" w:rsidP="00C52695">
      <w:pPr>
        <w:pStyle w:val="FootnoteText"/>
      </w:pPr>
      <w:r>
        <w:rPr>
          <w:rStyle w:val="FootnoteReference"/>
        </w:rPr>
        <w:footnoteRef/>
      </w:r>
      <w:r>
        <w:t xml:space="preserve"> </w:t>
      </w:r>
      <w:r>
        <w:tab/>
      </w:r>
      <w:r w:rsidRPr="005F06A5">
        <w:t xml:space="preserve">Frontier, </w:t>
      </w:r>
      <w:r w:rsidRPr="001453E4">
        <w:rPr>
          <w:rStyle w:val="AERtextitalic"/>
        </w:rPr>
        <w:t>The appropriate use of tax statistics when estimating gamma</w:t>
      </w:r>
      <w:r w:rsidRPr="005F06A5">
        <w:t>, January 2016, p. </w:t>
      </w:r>
      <w:r>
        <w:t>7.</w:t>
      </w:r>
    </w:p>
  </w:footnote>
  <w:footnote w:id="677">
    <w:p w:rsidR="00B31E52" w:rsidRDefault="00B31E52" w:rsidP="00C52695">
      <w:pPr>
        <w:pStyle w:val="FootnoteText"/>
      </w:pPr>
      <w:r>
        <w:rPr>
          <w:rStyle w:val="FootnoteReference"/>
        </w:rPr>
        <w:footnoteRef/>
      </w:r>
      <w:r>
        <w:t xml:space="preserve"> </w:t>
      </w:r>
      <w:r>
        <w:tab/>
        <w:t xml:space="preserve">Frontier, </w:t>
      </w:r>
      <w:r>
        <w:rPr>
          <w:rStyle w:val="AERtextitalic"/>
        </w:rPr>
        <w:t>Regulatory estimation of gamma report prepared form Powerlink</w:t>
      </w:r>
      <w:r w:rsidRPr="00C2259D">
        <w:t xml:space="preserve">, </w:t>
      </w:r>
      <w:r>
        <w:t>January 2016, p. 16.</w:t>
      </w:r>
    </w:p>
  </w:footnote>
  <w:footnote w:id="678">
    <w:p w:rsidR="00B31E52" w:rsidRDefault="00B31E52" w:rsidP="00C52695">
      <w:pPr>
        <w:pStyle w:val="FootnoteText"/>
      </w:pPr>
      <w:r>
        <w:rPr>
          <w:rStyle w:val="FootnoteReference"/>
        </w:rPr>
        <w:footnoteRef/>
      </w:r>
      <w:r>
        <w:t xml:space="preserve"> </w:t>
      </w:r>
      <w:r>
        <w:tab/>
        <w:t xml:space="preserve">Frontier, </w:t>
      </w:r>
      <w:r>
        <w:rPr>
          <w:rStyle w:val="AERtextitalic"/>
        </w:rPr>
        <w:t>Regulatory estimation of gamma report prepared form Powerlink</w:t>
      </w:r>
      <w:r w:rsidRPr="00C2259D">
        <w:t xml:space="preserve">, </w:t>
      </w:r>
      <w:r>
        <w:t>January 2016, p. 16.</w:t>
      </w:r>
    </w:p>
  </w:footnote>
  <w:footnote w:id="679">
    <w:p w:rsidR="00B31E52" w:rsidRDefault="00B31E52" w:rsidP="00C52695">
      <w:pPr>
        <w:pStyle w:val="FootnoteText"/>
      </w:pPr>
      <w:r>
        <w:rPr>
          <w:rStyle w:val="FootnoteReference"/>
        </w:rPr>
        <w:footnoteRef/>
      </w:r>
      <w:r>
        <w:t xml:space="preserve"> </w:t>
      </w:r>
      <w:r>
        <w:tab/>
        <w:t xml:space="preserve">ActewAGL, </w:t>
      </w:r>
      <w:r w:rsidRPr="009E4F6C">
        <w:rPr>
          <w:rStyle w:val="AERtextitalic"/>
        </w:rPr>
        <w:t>Revised Regulatory Proposal 2015-19</w:t>
      </w:r>
      <w:r>
        <w:t xml:space="preserve">, January 2015, pp. 485–486; Ausgrid, </w:t>
      </w:r>
      <w:r w:rsidRPr="00D75F7A">
        <w:rPr>
          <w:rStyle w:val="AERtextitalic"/>
        </w:rPr>
        <w:t>Ausgrid's revised proposal on gamma</w:t>
      </w:r>
      <w:r>
        <w:t xml:space="preserve">, January 2015, p. 1; Directlink, </w:t>
      </w:r>
      <w:r w:rsidRPr="0000771B">
        <w:rPr>
          <w:rStyle w:val="AERtextitalic"/>
        </w:rPr>
        <w:t>Directlink submission on gamma (updated)</w:t>
      </w:r>
      <w:r>
        <w:t xml:space="preserve">, January 2015, p. 1; Endeavour Energy, </w:t>
      </w:r>
      <w:r w:rsidRPr="00DF3162">
        <w:rPr>
          <w:rStyle w:val="AERtextitalic"/>
        </w:rPr>
        <w:t>Endeavour Energy's response to the AER draft decision re gamma</w:t>
      </w:r>
      <w:r>
        <w:t xml:space="preserve">, January 2015, p. 1; Essential Energy, </w:t>
      </w:r>
      <w:r w:rsidRPr="000E181F">
        <w:rPr>
          <w:rStyle w:val="AERtextitalic"/>
        </w:rPr>
        <w:t>Essential's response to AER draft decision re gamma</w:t>
      </w:r>
      <w:r>
        <w:t xml:space="preserve">, January 2015, p. 1; and JGN, </w:t>
      </w:r>
      <w:r w:rsidRPr="000E181F">
        <w:rPr>
          <w:rStyle w:val="AERtextitalic"/>
        </w:rPr>
        <w:t>Gamma - response to the draft decision</w:t>
      </w:r>
      <w:r>
        <w:t xml:space="preserve">, February 2015, p. 1; Jemena Electricity, </w:t>
      </w:r>
      <w:r w:rsidRPr="00596AF9">
        <w:rPr>
          <w:i/>
        </w:rPr>
        <w:t>Attachment 06-06 Gamma proposal</w:t>
      </w:r>
      <w:r>
        <w:t xml:space="preserve">, April 2015, p. 1:  Energex, </w:t>
      </w:r>
      <w:r w:rsidRPr="00596AF9">
        <w:rPr>
          <w:i/>
        </w:rPr>
        <w:t>Revised Regulatory Proposal</w:t>
      </w:r>
      <w:r>
        <w:t xml:space="preserve">, July 2015, p. 13;   Powercor, </w:t>
      </w:r>
      <w:r w:rsidRPr="00596AF9">
        <w:rPr>
          <w:i/>
        </w:rPr>
        <w:t>Regulatory Proposal 2016</w:t>
      </w:r>
      <w:r>
        <w:rPr>
          <w:i/>
        </w:rPr>
        <w:t>–</w:t>
      </w:r>
      <w:r w:rsidRPr="00596AF9">
        <w:rPr>
          <w:i/>
        </w:rPr>
        <w:t>20</w:t>
      </w:r>
      <w:r>
        <w:t xml:space="preserve">, April 2015, p. 249; CitiPower, </w:t>
      </w:r>
      <w:r w:rsidRPr="00596AF9">
        <w:rPr>
          <w:i/>
        </w:rPr>
        <w:t>Regulatory Proposal</w:t>
      </w:r>
      <w:r>
        <w:t xml:space="preserve">, April 2015, p. 241; AusNet Services, </w:t>
      </w:r>
      <w:r w:rsidRPr="00596AF9">
        <w:rPr>
          <w:i/>
        </w:rPr>
        <w:t>2016-20 Regulatory Proposal</w:t>
      </w:r>
      <w:r>
        <w:t xml:space="preserve">, April 2015, pp. 367–368; United Energy, </w:t>
      </w:r>
      <w:r w:rsidRPr="00596AF9">
        <w:rPr>
          <w:i/>
        </w:rPr>
        <w:t>Assessment of the Value of Imputation Credits - Gamma, Proposal for 2016 to 2020</w:t>
      </w:r>
      <w:r>
        <w:t>, April 2015, pp. 19–20.</w:t>
      </w:r>
    </w:p>
  </w:footnote>
  <w:footnote w:id="680">
    <w:p w:rsidR="00B31E52" w:rsidRDefault="00B31E52" w:rsidP="00C52695">
      <w:pPr>
        <w:pStyle w:val="FootnoteText"/>
      </w:pPr>
      <w:r>
        <w:rPr>
          <w:rStyle w:val="FootnoteReference"/>
        </w:rPr>
        <w:footnoteRef/>
      </w:r>
      <w:r>
        <w:t xml:space="preserve"> </w:t>
      </w:r>
      <w:r>
        <w:tab/>
        <w:t xml:space="preserve">J. Handley, </w:t>
      </w:r>
      <w:r w:rsidRPr="00626887">
        <w:rPr>
          <w:rStyle w:val="AERtextitalic"/>
        </w:rPr>
        <w:t>Report prepared for the Australian Energy Regulator: Further advice on the value of imputation credits</w:t>
      </w:r>
      <w:r>
        <w:t>, 16 April 2015, p. 12.</w:t>
      </w:r>
    </w:p>
  </w:footnote>
  <w:footnote w:id="681">
    <w:p w:rsidR="00B31E52" w:rsidRDefault="00B31E52" w:rsidP="00C52695">
      <w:pPr>
        <w:pStyle w:val="FootnoteText"/>
      </w:pPr>
      <w:r>
        <w:rPr>
          <w:rStyle w:val="FootnoteReference"/>
        </w:rPr>
        <w:footnoteRef/>
      </w:r>
      <w:r>
        <w:t xml:space="preserve"> </w:t>
      </w:r>
      <w:r>
        <w:tab/>
      </w:r>
      <w:r w:rsidRPr="00DD218F">
        <w:t xml:space="preserve">AusNet Transmission, </w:t>
      </w:r>
      <w:r w:rsidRPr="00DD218F">
        <w:rPr>
          <w:rStyle w:val="AERtextitalic"/>
        </w:rPr>
        <w:t>Transmission Revenue Review 2017-2022</w:t>
      </w:r>
      <w:r w:rsidRPr="00DD218F">
        <w:t>, October 2015, p</w:t>
      </w:r>
      <w:r>
        <w:t>p</w:t>
      </w:r>
      <w:r w:rsidRPr="00DD218F">
        <w:t>. </w:t>
      </w:r>
      <w:r>
        <w:t xml:space="preserve">304-305; Australian Gas Networks, </w:t>
      </w:r>
      <w:r>
        <w:rPr>
          <w:rStyle w:val="AERtextitalic"/>
        </w:rPr>
        <w:t>Attachment 11 Response to Draft Decision: Cost of Tax</w:t>
      </w:r>
      <w:r>
        <w:t xml:space="preserve">, January 2016, p. 18; ActewAGL, </w:t>
      </w:r>
      <w:r w:rsidRPr="00AF5B33">
        <w:rPr>
          <w:rStyle w:val="AERtextitalic"/>
        </w:rPr>
        <w:t>Appendix 5.01 Detailed response to rate of return, gamma and inflation</w:t>
      </w:r>
      <w:r>
        <w:t xml:space="preserve">, January 2016, pp. 121, 123; AusNet Electricity Services, </w:t>
      </w:r>
      <w:r w:rsidRPr="00AF5B33">
        <w:rPr>
          <w:rStyle w:val="AERtextitalic"/>
        </w:rPr>
        <w:t>Revised Regulatory Proposal</w:t>
      </w:r>
      <w:r>
        <w:t xml:space="preserve">, January 2016, pp. 7-90, 7-91; United Energy, </w:t>
      </w:r>
      <w:r w:rsidRPr="00AF5B33">
        <w:rPr>
          <w:rStyle w:val="AERtextitalic"/>
        </w:rPr>
        <w:t>Response to AER Preliminary Determination Re: Rate of return and gamma</w:t>
      </w:r>
      <w:r>
        <w:t xml:space="preserve">, January 2016, pp. 91, 92; CitiPower, </w:t>
      </w:r>
      <w:r w:rsidRPr="00AF5B33">
        <w:rPr>
          <w:rStyle w:val="AERtextitalic"/>
        </w:rPr>
        <w:t>Revised Regulatory Proposal 2016-2020</w:t>
      </w:r>
      <w:r>
        <w:t xml:space="preserve">; January 2016, pp. 368, 370; Jemena Electricity Networks, </w:t>
      </w:r>
      <w:r w:rsidRPr="00AF5B33">
        <w:rPr>
          <w:rStyle w:val="AERtextitalic"/>
        </w:rPr>
        <w:t>Attachment 6-1 Rate of return, gamma, forecast inflation, and debt and equity raising costs</w:t>
      </w:r>
      <w:r>
        <w:t xml:space="preserve">, January 2016, pp. 98, 99; Powercor, </w:t>
      </w:r>
      <w:r w:rsidRPr="00AF5B33">
        <w:rPr>
          <w:rStyle w:val="AERtextitalic"/>
        </w:rPr>
        <w:t>Revised Regulatory Proposal 2016-2020</w:t>
      </w:r>
      <w:r>
        <w:t xml:space="preserve">, January 2016, pp. 362, 364; AusNet Transmission, </w:t>
      </w:r>
      <w:r>
        <w:rPr>
          <w:rStyle w:val="AERtextitalic"/>
        </w:rPr>
        <w:t>Transmission Revenue Proposal Review 2017-2022, Revised Revenue Proposal</w:t>
      </w:r>
      <w:r>
        <w:t>, 21 September 2016, p. 210.</w:t>
      </w:r>
    </w:p>
  </w:footnote>
  <w:footnote w:id="682">
    <w:p w:rsidR="00B31E52" w:rsidRDefault="00B31E52" w:rsidP="00C52695">
      <w:pPr>
        <w:pStyle w:val="FootnoteText"/>
      </w:pPr>
      <w:r>
        <w:rPr>
          <w:rStyle w:val="FootnoteReference"/>
        </w:rPr>
        <w:footnoteRef/>
      </w:r>
      <w:r>
        <w:t xml:space="preserve"> </w:t>
      </w:r>
      <w:r>
        <w:tab/>
        <w:t xml:space="preserve">Frontier, </w:t>
      </w:r>
      <w:r>
        <w:rPr>
          <w:rStyle w:val="AERtextitalic"/>
        </w:rPr>
        <w:t>Regulatory estimation of gamma report prepared form Powerlink</w:t>
      </w:r>
      <w:r w:rsidRPr="00C2259D">
        <w:t xml:space="preserve">, </w:t>
      </w:r>
      <w:r>
        <w:t>January 2016, pp. 13-15.</w:t>
      </w:r>
    </w:p>
  </w:footnote>
  <w:footnote w:id="683">
    <w:p w:rsidR="00B31E52" w:rsidRDefault="00B31E52" w:rsidP="00C52695">
      <w:pPr>
        <w:pStyle w:val="FootnoteText"/>
      </w:pPr>
      <w:r>
        <w:rPr>
          <w:rStyle w:val="FootnoteReference"/>
        </w:rPr>
        <w:footnoteRef/>
      </w:r>
      <w:r>
        <w:t xml:space="preserve"> </w:t>
      </w:r>
      <w:r>
        <w:tab/>
        <w:t xml:space="preserve">J. Handley, </w:t>
      </w:r>
      <w:r w:rsidRPr="00626887">
        <w:rPr>
          <w:rStyle w:val="AERtextitalic"/>
        </w:rPr>
        <w:t>Report prepared for the Australian Energy Regulator: Further advice on the value of imputation credits</w:t>
      </w:r>
      <w:r>
        <w:t>, 16 April 2015, p. 13.</w:t>
      </w:r>
    </w:p>
  </w:footnote>
  <w:footnote w:id="684">
    <w:p w:rsidR="00B31E52" w:rsidRDefault="00B31E52" w:rsidP="00C52695">
      <w:pPr>
        <w:pStyle w:val="FootnoteText"/>
      </w:pPr>
      <w:r>
        <w:rPr>
          <w:rStyle w:val="FootnoteReference"/>
        </w:rPr>
        <w:footnoteRef/>
      </w:r>
      <w:r>
        <w:t xml:space="preserve"> </w:t>
      </w:r>
      <w:r>
        <w:tab/>
        <w:t xml:space="preserve">Frontier, </w:t>
      </w:r>
      <w:r>
        <w:rPr>
          <w:rStyle w:val="AERtextitalic"/>
        </w:rPr>
        <w:t>Regulatory estimation of gamma report prepared form Powerlink</w:t>
      </w:r>
      <w:r w:rsidRPr="00C2259D">
        <w:t xml:space="preserve">, </w:t>
      </w:r>
      <w:r>
        <w:t>January 2016, pp. 13-15.</w:t>
      </w:r>
    </w:p>
  </w:footnote>
  <w:footnote w:id="685">
    <w:p w:rsidR="00B31E52" w:rsidRDefault="00B31E52" w:rsidP="00C52695">
      <w:pPr>
        <w:pStyle w:val="FootnoteText"/>
      </w:pPr>
      <w:r>
        <w:rPr>
          <w:rStyle w:val="FootnoteReference"/>
        </w:rPr>
        <w:footnoteRef/>
      </w:r>
      <w:r>
        <w:t xml:space="preserve"> </w:t>
      </w:r>
      <w:r>
        <w:tab/>
      </w:r>
      <w:r w:rsidRPr="00712BC2">
        <w:t xml:space="preserve">M. Lally, </w:t>
      </w:r>
      <w:r>
        <w:rPr>
          <w:rStyle w:val="AERtextitalic"/>
        </w:rPr>
        <w:t>Gamma and the ACT Decision</w:t>
      </w:r>
      <w:r>
        <w:t>, May 2016, p. 17.</w:t>
      </w:r>
    </w:p>
  </w:footnote>
  <w:footnote w:id="686">
    <w:p w:rsidR="00B31E52" w:rsidRDefault="00B31E52" w:rsidP="00C52695">
      <w:pPr>
        <w:pStyle w:val="FootnoteText"/>
      </w:pPr>
      <w:r>
        <w:rPr>
          <w:rStyle w:val="FootnoteReference"/>
        </w:rPr>
        <w:footnoteRef/>
      </w:r>
      <w:r>
        <w:t xml:space="preserve"> </w:t>
      </w:r>
      <w:r>
        <w:tab/>
      </w:r>
      <w:r w:rsidRPr="00712BC2">
        <w:t xml:space="preserve">M. Lally, </w:t>
      </w:r>
      <w:r>
        <w:rPr>
          <w:rStyle w:val="AERtextitalic"/>
        </w:rPr>
        <w:t>Gamma and the ACT Decision</w:t>
      </w:r>
      <w:r>
        <w:t>, May 2016, p. 17.</w:t>
      </w:r>
    </w:p>
  </w:footnote>
  <w:footnote w:id="687">
    <w:p w:rsidR="00B31E52" w:rsidRDefault="00B31E52" w:rsidP="00C52695">
      <w:pPr>
        <w:pStyle w:val="FootnoteText"/>
      </w:pPr>
      <w:r>
        <w:rPr>
          <w:rStyle w:val="FootnoteReference"/>
        </w:rPr>
        <w:footnoteRef/>
      </w:r>
      <w:r>
        <w:t xml:space="preserve"> </w:t>
      </w:r>
      <w:r>
        <w:tab/>
        <w:t xml:space="preserve">SFG, </w:t>
      </w:r>
      <w:r>
        <w:rPr>
          <w:rStyle w:val="AERtextitalic"/>
        </w:rPr>
        <w:t>Estimating gamma for regulatory purposes</w:t>
      </w:r>
      <w:r>
        <w:t>, 6 February 2015, para. 147(a).</w:t>
      </w:r>
    </w:p>
  </w:footnote>
  <w:footnote w:id="688">
    <w:p w:rsidR="00B31E52" w:rsidRDefault="00B31E52" w:rsidP="00C52695">
      <w:pPr>
        <w:pStyle w:val="FootnoteText"/>
      </w:pPr>
      <w:r>
        <w:rPr>
          <w:rStyle w:val="FootnoteReference"/>
        </w:rPr>
        <w:footnoteRef/>
      </w:r>
      <w:r>
        <w:t xml:space="preserve"> </w:t>
      </w:r>
      <w:r>
        <w:tab/>
        <w:t xml:space="preserve">J. Handley, </w:t>
      </w:r>
      <w:r w:rsidRPr="00626887">
        <w:rPr>
          <w:rStyle w:val="AERtextitalic"/>
        </w:rPr>
        <w:t>Report prepared for the Australian Energy Regulator: Further advice on the value of imputation credits</w:t>
      </w:r>
      <w:r>
        <w:t>, 16 April 2015, footnote 16.</w:t>
      </w:r>
    </w:p>
  </w:footnote>
  <w:footnote w:id="689">
    <w:p w:rsidR="00B31E52" w:rsidRDefault="00B31E52" w:rsidP="00C52695">
      <w:pPr>
        <w:pStyle w:val="FootnoteText"/>
      </w:pPr>
      <w:r>
        <w:rPr>
          <w:rStyle w:val="FootnoteReference"/>
        </w:rPr>
        <w:footnoteRef/>
      </w:r>
      <w:r>
        <w:t xml:space="preserve"> </w:t>
      </w:r>
      <w:r>
        <w:tab/>
        <w:t xml:space="preserve">Australian Gas Networks, </w:t>
      </w:r>
      <w:r>
        <w:rPr>
          <w:rStyle w:val="AERtextitalic"/>
        </w:rPr>
        <w:t>Attachment 11 Response to Draft Decision: Cost of Tax</w:t>
      </w:r>
      <w:r>
        <w:t xml:space="preserve">, January 2016, p. 18; ActewAGL, </w:t>
      </w:r>
      <w:r w:rsidRPr="00AF5B33">
        <w:rPr>
          <w:rStyle w:val="AERtextitalic"/>
        </w:rPr>
        <w:t>Appendix 5.01 Detailed response to rate of return, gamma and inflation</w:t>
      </w:r>
      <w:r>
        <w:t xml:space="preserve">, January 2016, p. 123; AusNet Electricity Services, </w:t>
      </w:r>
      <w:r w:rsidRPr="00AF5B33">
        <w:rPr>
          <w:rStyle w:val="AERtextitalic"/>
        </w:rPr>
        <w:t>Revised Regulatory Proposal</w:t>
      </w:r>
      <w:r>
        <w:t xml:space="preserve">, January 2016, p. 7-91; United Energy, </w:t>
      </w:r>
      <w:r w:rsidRPr="00AF5B33">
        <w:rPr>
          <w:rStyle w:val="AERtextitalic"/>
        </w:rPr>
        <w:t>Response to AER Preliminary Determination Re: Rate of return and gamma</w:t>
      </w:r>
      <w:r>
        <w:t xml:space="preserve">, January 2016, p. 92; CitiPower, </w:t>
      </w:r>
      <w:r w:rsidRPr="00AF5B33">
        <w:rPr>
          <w:rStyle w:val="AERtextitalic"/>
        </w:rPr>
        <w:t>Revised Regulatory Proposal 2016-2020</w:t>
      </w:r>
      <w:r>
        <w:t xml:space="preserve">; January 2016, p. 370; Jemena Electricity Networks, </w:t>
      </w:r>
      <w:r w:rsidRPr="00AF5B33">
        <w:rPr>
          <w:rStyle w:val="AERtextitalic"/>
        </w:rPr>
        <w:t>Attachment 6-1 Rate of return, gamma, forecast inflation, and debt and equity raising costs</w:t>
      </w:r>
      <w:r>
        <w:t xml:space="preserve">, January 2016, p. 99; Powercor, </w:t>
      </w:r>
      <w:r w:rsidRPr="00AF5B33">
        <w:rPr>
          <w:rStyle w:val="AERtextitalic"/>
        </w:rPr>
        <w:t>Revised Regulatory Proposal 2016-2020</w:t>
      </w:r>
      <w:r>
        <w:t>, January 2016, p. 364.</w:t>
      </w:r>
    </w:p>
  </w:footnote>
  <w:footnote w:id="690">
    <w:p w:rsidR="00B31E52" w:rsidRDefault="00B31E52" w:rsidP="00C52695">
      <w:pPr>
        <w:pStyle w:val="FootnoteText"/>
      </w:pPr>
      <w:r>
        <w:rPr>
          <w:rStyle w:val="FootnoteReference"/>
        </w:rPr>
        <w:footnoteRef/>
      </w:r>
      <w:r>
        <w:t xml:space="preserve"> </w:t>
      </w:r>
      <w:r>
        <w:tab/>
        <w:t xml:space="preserve">Frontier Economics, </w:t>
      </w:r>
      <w:r w:rsidRPr="00D14DE4">
        <w:rPr>
          <w:rStyle w:val="AERtextitalic"/>
        </w:rPr>
        <w:t>An appropriate regulatory estimate of gamma</w:t>
      </w:r>
      <w:r>
        <w:t xml:space="preserve">, June 2015, pp. 31–32; </w:t>
      </w:r>
      <w:r w:rsidRPr="00312B47">
        <w:t>Frontier, The appropriate use of tax statistics when estimating gamma, January 2016, p. </w:t>
      </w:r>
      <w:r>
        <w:t>7.</w:t>
      </w:r>
    </w:p>
  </w:footnote>
  <w:footnote w:id="691">
    <w:p w:rsidR="00B31E52" w:rsidRDefault="00B31E52" w:rsidP="00C52695">
      <w:pPr>
        <w:pStyle w:val="FootnoteText"/>
      </w:pPr>
      <w:r>
        <w:rPr>
          <w:rStyle w:val="FootnoteReference"/>
        </w:rPr>
        <w:footnoteRef/>
      </w:r>
      <w:r>
        <w:t xml:space="preserve"> </w:t>
      </w:r>
      <w:r>
        <w:tab/>
      </w:r>
      <w:r w:rsidRPr="00AC2168">
        <w:t xml:space="preserve">United Energy, </w:t>
      </w:r>
      <w:r w:rsidRPr="00C3341F">
        <w:rPr>
          <w:rStyle w:val="AERtextitalic"/>
        </w:rPr>
        <w:t>Submission on AER preliminary determination - Submission on gamma</w:t>
      </w:r>
      <w:r w:rsidRPr="00AC2168">
        <w:t xml:space="preserve">, 26 April 2016; Australian Competition Tribunal, </w:t>
      </w:r>
      <w:r w:rsidRPr="00C3341F">
        <w:rPr>
          <w:rStyle w:val="AERtextitalic"/>
        </w:rPr>
        <w:t>Application by Public Interest Advocacy Centre Ltd and Ausgrid [2016] ACompT 1</w:t>
      </w:r>
      <w:r w:rsidRPr="00AC2168">
        <w:t>, 26 February 2016, para. 1093.</w:t>
      </w:r>
    </w:p>
  </w:footnote>
  <w:footnote w:id="692">
    <w:p w:rsidR="00B31E52" w:rsidRDefault="00B31E52" w:rsidP="00C52695">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26 February 2016, para</w:t>
      </w:r>
      <w:r w:rsidRPr="00CE7082">
        <w:t xml:space="preserve">. </w:t>
      </w:r>
      <w:r w:rsidRPr="00AC2168">
        <w:t>1090.</w:t>
      </w:r>
    </w:p>
  </w:footnote>
  <w:footnote w:id="693">
    <w:p w:rsidR="00B31E52" w:rsidRDefault="00B31E52" w:rsidP="00C52695">
      <w:pPr>
        <w:pStyle w:val="FootnoteText"/>
      </w:pPr>
      <w:r>
        <w:rPr>
          <w:rStyle w:val="FootnoteReference"/>
        </w:rPr>
        <w:footnoteRef/>
      </w:r>
      <w:r>
        <w:t xml:space="preserve"> </w:t>
      </w:r>
      <w:r>
        <w:tab/>
      </w:r>
      <w:r w:rsidRPr="00712BC2">
        <w:t xml:space="preserve">M. Lally, </w:t>
      </w:r>
      <w:r>
        <w:rPr>
          <w:rStyle w:val="AERtextitalic"/>
        </w:rPr>
        <w:t>Gamma and the ACT Decision</w:t>
      </w:r>
      <w:r>
        <w:t>, May 2016, p. 16.</w:t>
      </w:r>
    </w:p>
  </w:footnote>
  <w:footnote w:id="694">
    <w:p w:rsidR="00B31E52" w:rsidRDefault="00B31E52" w:rsidP="00C52695">
      <w:pPr>
        <w:pStyle w:val="FootnoteText"/>
      </w:pPr>
      <w:r>
        <w:rPr>
          <w:rStyle w:val="FootnoteReference"/>
        </w:rPr>
        <w:footnoteRef/>
      </w:r>
      <w:r>
        <w:t xml:space="preserve"> </w:t>
      </w:r>
      <w:r>
        <w:tab/>
      </w:r>
      <w:r w:rsidRPr="00AC2168">
        <w:t xml:space="preserve">United Energy, </w:t>
      </w:r>
      <w:r w:rsidRPr="00C3341F">
        <w:rPr>
          <w:rStyle w:val="AERtextitalic"/>
        </w:rPr>
        <w:t>Submission on AER preliminary determination - Submission on gamma</w:t>
      </w:r>
      <w:r w:rsidRPr="00AC2168">
        <w:t xml:space="preserve">, 26 April 2016; Australian Competition Tribunal, </w:t>
      </w:r>
      <w:r w:rsidRPr="00C3341F">
        <w:rPr>
          <w:rStyle w:val="AERtextitalic"/>
        </w:rPr>
        <w:t>Application by Public Interest Advocacy Centre Ltd and Ausgrid [2016] ACompT 1</w:t>
      </w:r>
      <w:r w:rsidRPr="00AC2168">
        <w:t>, 26 February 2016, para. 1100.</w:t>
      </w:r>
    </w:p>
  </w:footnote>
  <w:footnote w:id="695">
    <w:p w:rsidR="00B31E52" w:rsidRDefault="00B31E52">
      <w:pPr>
        <w:pStyle w:val="FootnoteText"/>
      </w:pPr>
      <w:r>
        <w:rPr>
          <w:rStyle w:val="FootnoteReference"/>
        </w:rPr>
        <w:footnoteRef/>
      </w:r>
      <w:r>
        <w:t xml:space="preserve"> </w:t>
      </w:r>
      <w:r>
        <w:tab/>
        <w:t xml:space="preserve">Federal Court of Australia, </w:t>
      </w:r>
      <w:r w:rsidRPr="00B23401">
        <w:rPr>
          <w:rStyle w:val="AERtextitalic"/>
        </w:rPr>
        <w:t>Australian Energy Regulator v Australian Competition Tribunal (No 2) [2017] FCAFC 79</w:t>
      </w:r>
      <w:r>
        <w:t>, May 2017, p. 216.</w:t>
      </w:r>
    </w:p>
  </w:footnote>
  <w:footnote w:id="696">
    <w:p w:rsidR="00B31E52" w:rsidRDefault="00B31E52" w:rsidP="00C52695">
      <w:pPr>
        <w:pStyle w:val="FootnoteText"/>
      </w:pPr>
      <w:r>
        <w:rPr>
          <w:rStyle w:val="FootnoteReference"/>
        </w:rPr>
        <w:footnoteRef/>
      </w:r>
      <w:r>
        <w:t xml:space="preserve"> </w:t>
      </w:r>
      <w:r>
        <w:tab/>
        <w:t xml:space="preserve">These statistics are available at: </w:t>
      </w:r>
      <w:r w:rsidRPr="00611553">
        <w:t>https://www.ato.gov.au/About-ATO/Research-and-statistics/Taxation-statistics/</w:t>
      </w:r>
      <w:r>
        <w:t>. Accessed 9 April 2015.</w:t>
      </w:r>
    </w:p>
  </w:footnote>
  <w:footnote w:id="697">
    <w:p w:rsidR="00B31E52" w:rsidRDefault="00B31E52" w:rsidP="00C52695">
      <w:pPr>
        <w:pStyle w:val="FootnoteText"/>
      </w:pPr>
      <w:r>
        <w:rPr>
          <w:rStyle w:val="FootnoteReference"/>
        </w:rPr>
        <w:footnoteRef/>
      </w:r>
      <w:r>
        <w:t xml:space="preserve"> </w:t>
      </w:r>
      <w:r>
        <w:tab/>
      </w:r>
      <w:r w:rsidRPr="000A5FAF">
        <w:t xml:space="preserve">N. Hathaway, </w:t>
      </w:r>
      <w:r w:rsidRPr="000A5FAF">
        <w:rPr>
          <w:rStyle w:val="AERtextitalic"/>
        </w:rPr>
        <w:t>Imputation credit redemption ATO data 1988–2011: Where have all the credits gone?</w:t>
      </w:r>
      <w:r w:rsidRPr="000A5FAF">
        <w:t>, September 2013.</w:t>
      </w:r>
      <w:r>
        <w:t xml:space="preserve"> Hathaway's calculations actually suggest estimates of the utilisation rate of 0.44 and 0.62 and corresponding estimates of the distribution rate of 0.69 and 0.49, respectively. However, we round these distribution rate estimates up to 0.7 and 0.5, which implies slightly higher amounts of credits distributed and therefore slightly lower utilisation rates of 0.43 and 0.61.</w:t>
      </w:r>
    </w:p>
  </w:footnote>
  <w:footnote w:id="698">
    <w:p w:rsidR="00B31E52" w:rsidRDefault="00B31E52" w:rsidP="00C52695">
      <w:pPr>
        <w:pStyle w:val="FootnoteText"/>
      </w:pPr>
      <w:r>
        <w:rPr>
          <w:rStyle w:val="FootnoteReference"/>
        </w:rPr>
        <w:footnoteRef/>
      </w:r>
      <w:r>
        <w:t xml:space="preserve"> </w:t>
      </w:r>
      <w:r>
        <w:tab/>
      </w:r>
      <w:r w:rsidRPr="009A018E">
        <w:t xml:space="preserve">N. Hathaway, </w:t>
      </w:r>
      <w:r w:rsidRPr="009A018E">
        <w:rPr>
          <w:rStyle w:val="AERtextitalic"/>
        </w:rPr>
        <w:t>Imputation credit redemption ATO data 1988–2011: Where have all the credits gone?</w:t>
      </w:r>
      <w:r>
        <w:t>, September 2013, para. 32.</w:t>
      </w:r>
    </w:p>
  </w:footnote>
  <w:footnote w:id="699">
    <w:p w:rsidR="00B31E52" w:rsidRDefault="00B31E52" w:rsidP="00C52695">
      <w:pPr>
        <w:pStyle w:val="FootnoteText"/>
      </w:pPr>
      <w:r>
        <w:rPr>
          <w:rStyle w:val="FootnoteReference"/>
        </w:rPr>
        <w:footnoteRef/>
      </w:r>
      <w:r>
        <w:t xml:space="preserve"> </w:t>
      </w:r>
      <w:r>
        <w:tab/>
      </w:r>
      <w:r w:rsidRPr="00506F9B">
        <w:t xml:space="preserve">M. Lally, </w:t>
      </w:r>
      <w:r w:rsidRPr="00506F9B">
        <w:rPr>
          <w:rStyle w:val="AERtextitalic"/>
        </w:rPr>
        <w:t>Gamma and the ACT Decision</w:t>
      </w:r>
      <w:r w:rsidRPr="00506F9B">
        <w:t>, May 2016, p. </w:t>
      </w:r>
      <w:r>
        <w:t>20</w:t>
      </w:r>
      <w:r w:rsidRPr="00506F9B">
        <w:t>.</w:t>
      </w:r>
    </w:p>
  </w:footnote>
  <w:footnote w:id="700">
    <w:p w:rsidR="00B31E52" w:rsidRDefault="00B31E52" w:rsidP="00C52695">
      <w:pPr>
        <w:pStyle w:val="FootnoteText"/>
      </w:pPr>
      <w:r>
        <w:rPr>
          <w:rStyle w:val="FootnoteReference"/>
        </w:rPr>
        <w:footnoteRef/>
      </w:r>
      <w:r>
        <w:t xml:space="preserve"> </w:t>
      </w:r>
      <w:r>
        <w:tab/>
        <w:t xml:space="preserve">NERA, </w:t>
      </w:r>
      <w:r w:rsidRPr="001763FD">
        <w:rPr>
          <w:rStyle w:val="AERtextitalic"/>
        </w:rPr>
        <w:t>Estimating distribution and redemption rates from taxation statistics</w:t>
      </w:r>
      <w:r>
        <w:t>, March 2015.</w:t>
      </w:r>
      <w:r w:rsidDel="002370AA">
        <w:t xml:space="preserve"> </w:t>
      </w:r>
    </w:p>
  </w:footnote>
  <w:footnote w:id="701">
    <w:p w:rsidR="00B31E52" w:rsidRDefault="00B31E52" w:rsidP="00C52695">
      <w:pPr>
        <w:pStyle w:val="FootnoteText"/>
      </w:pPr>
      <w:r>
        <w:rPr>
          <w:rStyle w:val="FootnoteReference"/>
        </w:rPr>
        <w:footnoteRef/>
      </w:r>
      <w:r>
        <w:t xml:space="preserve"> </w:t>
      </w:r>
      <w:r>
        <w:tab/>
        <w:t xml:space="preserve">Frontier Economics, </w:t>
      </w:r>
      <w:r w:rsidRPr="00D14DE4">
        <w:rPr>
          <w:rStyle w:val="AERtextitalic"/>
        </w:rPr>
        <w:t>An appropriate regulatory estimate of gamma</w:t>
      </w:r>
      <w:r>
        <w:t xml:space="preserve">, June 2015, pp. 31–32; </w:t>
      </w:r>
      <w:r w:rsidRPr="00312B47">
        <w:t xml:space="preserve">Frontier, </w:t>
      </w:r>
      <w:r w:rsidRPr="00FE3642">
        <w:rPr>
          <w:rStyle w:val="AERtextitalic"/>
        </w:rPr>
        <w:t>The appropriate use of tax statistics when estimating gamma</w:t>
      </w:r>
      <w:r w:rsidRPr="00312B47">
        <w:t>, January 2016, p. </w:t>
      </w:r>
      <w:r>
        <w:t>31.</w:t>
      </w:r>
    </w:p>
  </w:footnote>
  <w:footnote w:id="702">
    <w:p w:rsidR="00B31E52" w:rsidRDefault="00B31E52" w:rsidP="00C52695">
      <w:pPr>
        <w:pStyle w:val="FootnoteText"/>
      </w:pPr>
      <w:r>
        <w:rPr>
          <w:rStyle w:val="FootnoteReference"/>
        </w:rPr>
        <w:footnoteRef/>
      </w:r>
      <w:r>
        <w:t xml:space="preserve"> </w:t>
      </w:r>
      <w:r>
        <w:tab/>
      </w:r>
      <w:r w:rsidRPr="00AC2168">
        <w:t xml:space="preserve">Australian Competition Tribunal, </w:t>
      </w:r>
      <w:r w:rsidRPr="00C3341F">
        <w:rPr>
          <w:rStyle w:val="AERtextitalic"/>
        </w:rPr>
        <w:t>Application by Public Interest Advocacy Centre Ltd and Ausgrid [2016] ACompT 1</w:t>
      </w:r>
      <w:r w:rsidRPr="00AC2168">
        <w:t>, 26 February 2016, paras. 1048, 1090 and 1095.</w:t>
      </w:r>
    </w:p>
  </w:footnote>
  <w:footnote w:id="703">
    <w:p w:rsidR="00B31E52" w:rsidRDefault="00B31E52" w:rsidP="00BC1E8B">
      <w:pPr>
        <w:pStyle w:val="FootnoteText"/>
      </w:pPr>
      <w:r>
        <w:rPr>
          <w:rStyle w:val="FootnoteReference"/>
        </w:rPr>
        <w:footnoteRef/>
      </w:r>
      <w:r>
        <w:t xml:space="preserve"> </w:t>
      </w:r>
      <w:r>
        <w:tab/>
        <w:t xml:space="preserve">Frontier, </w:t>
      </w:r>
      <w:r>
        <w:rPr>
          <w:rStyle w:val="AERtextitalic"/>
        </w:rPr>
        <w:t>Regulatory estimation of gamma report prepared form Powerlink</w:t>
      </w:r>
      <w:r w:rsidRPr="00C2259D">
        <w:t xml:space="preserve">, </w:t>
      </w:r>
      <w:r>
        <w:t xml:space="preserve">January 2016, p. 10; Frontier Economics, </w:t>
      </w:r>
      <w:r>
        <w:rPr>
          <w:rStyle w:val="AERtextitalic"/>
        </w:rPr>
        <w:t xml:space="preserve">Issues in the estimation of gamma, Report prepared for AGN, Multinet Gas, AusNet Transmission and AusNet Gas, </w:t>
      </w:r>
      <w:r w:rsidRPr="004423C9">
        <w:rPr>
          <w:rStyle w:val="AERtextitalic"/>
          <w:i w:val="0"/>
        </w:rPr>
        <w:t>September 2016, p. 3.</w:t>
      </w:r>
    </w:p>
  </w:footnote>
  <w:footnote w:id="704">
    <w:p w:rsidR="00B31E52" w:rsidRDefault="00B31E52" w:rsidP="00C03DF6">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SA Power Networks</w:t>
      </w:r>
      <w:r w:rsidRPr="000F2066">
        <w:rPr>
          <w:rStyle w:val="AERtextitalic"/>
        </w:rPr>
        <w:t xml:space="preserve"> [20</w:t>
      </w:r>
      <w:r>
        <w:rPr>
          <w:rStyle w:val="AERtextitalic"/>
        </w:rPr>
        <w:t>16</w:t>
      </w:r>
      <w:r w:rsidRPr="000F2066">
        <w:rPr>
          <w:rStyle w:val="AERtextitalic"/>
        </w:rPr>
        <w:t xml:space="preserve">] ACompT </w:t>
      </w:r>
      <w:r>
        <w:rPr>
          <w:rStyle w:val="AERtextitalic"/>
        </w:rPr>
        <w:t>11</w:t>
      </w:r>
      <w:r>
        <w:t xml:space="preserve">, 28 October 2016, </w:t>
      </w:r>
      <w:r w:rsidRPr="008F5D24">
        <w:t xml:space="preserve">para. </w:t>
      </w:r>
      <w:r>
        <w:t>193</w:t>
      </w:r>
      <w:r w:rsidRPr="008F5D24">
        <w:t>.</w:t>
      </w:r>
    </w:p>
  </w:footnote>
  <w:footnote w:id="705">
    <w:p w:rsidR="00B31E52" w:rsidRDefault="00B31E52" w:rsidP="00177813">
      <w:pPr>
        <w:pStyle w:val="FootnoteText"/>
      </w:pPr>
      <w:r>
        <w:rPr>
          <w:rStyle w:val="FootnoteReference"/>
        </w:rPr>
        <w:footnoteRef/>
      </w:r>
      <w:r>
        <w:t xml:space="preserve"> </w:t>
      </w:r>
      <w:r>
        <w:tab/>
      </w:r>
      <w:r w:rsidRPr="00712BC2">
        <w:t xml:space="preserve">M. Lally, </w:t>
      </w:r>
      <w:r>
        <w:rPr>
          <w:rStyle w:val="AERtextitalic"/>
        </w:rPr>
        <w:t>Gamma and the ACT Decision</w:t>
      </w:r>
      <w:r>
        <w:t xml:space="preserve">, May 2016, p. 20; M. Lally, </w:t>
      </w:r>
      <w:r w:rsidRPr="00FE3642">
        <w:rPr>
          <w:rStyle w:val="AERtextitalic"/>
        </w:rPr>
        <w:t>Issues in the estimation of gamma</w:t>
      </w:r>
      <w:r>
        <w:t>, April 2017</w:t>
      </w:r>
      <w:r w:rsidRPr="00D7695B">
        <w:rPr>
          <w:rStyle w:val="AERtextitalic"/>
          <w:i w:val="0"/>
        </w:rPr>
        <w:t>, p. 24.</w:t>
      </w:r>
    </w:p>
  </w:footnote>
  <w:footnote w:id="706">
    <w:p w:rsidR="00B31E52" w:rsidRDefault="00B31E52" w:rsidP="00C52695">
      <w:pPr>
        <w:pStyle w:val="FootnoteText"/>
      </w:pPr>
      <w:r>
        <w:rPr>
          <w:rStyle w:val="FootnoteReference"/>
        </w:rPr>
        <w:footnoteRef/>
      </w:r>
      <w:r>
        <w:t xml:space="preserve"> </w:t>
      </w:r>
      <w:r>
        <w:tab/>
      </w:r>
      <w:r w:rsidRPr="00712BC2">
        <w:t xml:space="preserve">M. Lally, </w:t>
      </w:r>
      <w:r>
        <w:rPr>
          <w:rStyle w:val="AERtextitalic"/>
        </w:rPr>
        <w:t>Gamma and the ACT Decision</w:t>
      </w:r>
      <w:r>
        <w:t>, May 2016, p. 20.</w:t>
      </w:r>
    </w:p>
  </w:footnote>
  <w:footnote w:id="707">
    <w:p w:rsidR="00B31E52" w:rsidRPr="001224E1" w:rsidRDefault="00B31E52" w:rsidP="00E85280">
      <w:pPr>
        <w:pStyle w:val="FootnoteText"/>
      </w:pPr>
      <w:r>
        <w:rPr>
          <w:rStyle w:val="FootnoteReference"/>
        </w:rPr>
        <w:footnoteRef/>
      </w:r>
      <w:r>
        <w:t xml:space="preserve"> </w:t>
      </w:r>
      <w:r>
        <w:tab/>
        <w:t xml:space="preserve">M. Lally, </w:t>
      </w:r>
      <w:r w:rsidRPr="00E750F8">
        <w:rPr>
          <w:rStyle w:val="AERtextitalic"/>
        </w:rPr>
        <w:t>Issues in the estimation of gamma</w:t>
      </w:r>
      <w:r>
        <w:t>, April 2017</w:t>
      </w:r>
      <w:r w:rsidRPr="001224E1">
        <w:rPr>
          <w:rStyle w:val="AERtextitalic"/>
          <w:i w:val="0"/>
        </w:rPr>
        <w:t>, p. </w:t>
      </w:r>
      <w:r w:rsidRPr="003A0C07">
        <w:rPr>
          <w:rStyle w:val="AERtextitalic"/>
          <w:i w:val="0"/>
        </w:rPr>
        <w:t>1</w:t>
      </w:r>
      <w:r w:rsidRPr="00DC0074">
        <w:rPr>
          <w:rStyle w:val="AERtextitalic"/>
          <w:i w:val="0"/>
        </w:rPr>
        <w:t>3</w:t>
      </w:r>
      <w:r w:rsidRPr="00D7695B">
        <w:rPr>
          <w:rStyle w:val="AERtextitalic"/>
          <w:i w:val="0"/>
        </w:rPr>
        <w:t>, 24</w:t>
      </w:r>
      <w:r>
        <w:rPr>
          <w:rStyle w:val="AERtextitalic"/>
        </w:rPr>
        <w:t xml:space="preserve">; </w:t>
      </w:r>
      <w:r>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xml:space="preserve">, 26 February 2016, </w:t>
      </w:r>
      <w:r w:rsidRPr="00E0248B">
        <w:t>para</w:t>
      </w:r>
      <w:r>
        <w:t>s. </w:t>
      </w:r>
      <w:r w:rsidRPr="00E0248B">
        <w:t>10</w:t>
      </w:r>
      <w:r>
        <w:t>66, 10</w:t>
      </w:r>
      <w:r w:rsidRPr="00E0248B">
        <w:t>93,</w:t>
      </w:r>
      <w:r>
        <w:t xml:space="preserve"> </w:t>
      </w:r>
      <w:r w:rsidRPr="00E0248B">
        <w:t>1095</w:t>
      </w:r>
      <w:r>
        <w:t>.</w:t>
      </w:r>
    </w:p>
  </w:footnote>
  <w:footnote w:id="708">
    <w:p w:rsidR="00B31E52" w:rsidRPr="001224E1" w:rsidRDefault="00B31E52" w:rsidP="00BF2DCE">
      <w:pPr>
        <w:pStyle w:val="FootnoteText"/>
      </w:pPr>
      <w:r>
        <w:rPr>
          <w:rStyle w:val="FootnoteReference"/>
        </w:rPr>
        <w:footnoteRef/>
      </w:r>
      <w:r>
        <w:t xml:space="preserve"> </w:t>
      </w:r>
      <w:r>
        <w:tab/>
        <w:t xml:space="preserve">M. Lally, </w:t>
      </w:r>
      <w:r w:rsidRPr="00E750F8">
        <w:rPr>
          <w:rStyle w:val="AERtextitalic"/>
        </w:rPr>
        <w:t>Issues in the estimation of gamma</w:t>
      </w:r>
      <w:r>
        <w:t>, April 2017</w:t>
      </w:r>
      <w:r w:rsidRPr="001224E1">
        <w:rPr>
          <w:rStyle w:val="AERtextitalic"/>
          <w:i w:val="0"/>
        </w:rPr>
        <w:t>, p. </w:t>
      </w:r>
      <w:r w:rsidRPr="003A0C07">
        <w:rPr>
          <w:rStyle w:val="AERtextitalic"/>
          <w:i w:val="0"/>
        </w:rPr>
        <w:t>1</w:t>
      </w:r>
      <w:r w:rsidRPr="00DC0074">
        <w:rPr>
          <w:rStyle w:val="AERtextitalic"/>
          <w:i w:val="0"/>
        </w:rPr>
        <w:t>3</w:t>
      </w:r>
      <w:r w:rsidRPr="002D6646">
        <w:rPr>
          <w:rStyle w:val="AERtextitalic"/>
          <w:i w:val="0"/>
        </w:rPr>
        <w:t>.</w:t>
      </w:r>
    </w:p>
  </w:footnote>
  <w:footnote w:id="709">
    <w:p w:rsidR="00B31E52" w:rsidRPr="00E24154" w:rsidRDefault="00B31E52" w:rsidP="00BC1E8B">
      <w:pPr>
        <w:pStyle w:val="FootnoteText"/>
      </w:pPr>
      <w:r>
        <w:rPr>
          <w:rStyle w:val="FootnoteReference"/>
        </w:rPr>
        <w:footnoteRef/>
      </w:r>
      <w:r>
        <w:t xml:space="preserve"> </w:t>
      </w:r>
      <w:r>
        <w:tab/>
        <w:t xml:space="preserve">M. Lally, </w:t>
      </w:r>
      <w:r w:rsidRPr="00FE3642">
        <w:rPr>
          <w:rStyle w:val="AERtextitalic"/>
        </w:rPr>
        <w:t>Issues in the estimation of gamma</w:t>
      </w:r>
      <w:r>
        <w:t>, April 2017</w:t>
      </w:r>
      <w:r w:rsidRPr="00D7695B">
        <w:rPr>
          <w:rStyle w:val="AERtextitalic"/>
          <w:i w:val="0"/>
        </w:rPr>
        <w:t xml:space="preserve">, </w:t>
      </w:r>
      <w:r w:rsidRPr="00BC1E8B">
        <w:rPr>
          <w:rStyle w:val="AERtextitalic"/>
          <w:i w:val="0"/>
        </w:rPr>
        <w:t>p</w:t>
      </w:r>
      <w:r w:rsidRPr="004423C9">
        <w:rPr>
          <w:rStyle w:val="AERtextitalic"/>
          <w:i w:val="0"/>
        </w:rPr>
        <w:t>p</w:t>
      </w:r>
      <w:r w:rsidRPr="00BC1E8B">
        <w:rPr>
          <w:rStyle w:val="AERtextitalic"/>
          <w:i w:val="0"/>
        </w:rPr>
        <w:t>. </w:t>
      </w:r>
      <w:r w:rsidRPr="004423C9">
        <w:rPr>
          <w:rStyle w:val="AERtextitalic"/>
          <w:i w:val="0"/>
        </w:rPr>
        <w:t>13, 24</w:t>
      </w:r>
      <w:r w:rsidRPr="00BC1E8B">
        <w:rPr>
          <w:rStyle w:val="AERtextitalic"/>
          <w:i w:val="0"/>
        </w:rPr>
        <w:t>.</w:t>
      </w:r>
    </w:p>
  </w:footnote>
  <w:footnote w:id="710">
    <w:p w:rsidR="00B31E52" w:rsidRDefault="00B31E52" w:rsidP="004741BD">
      <w:pPr>
        <w:pStyle w:val="FootnoteText"/>
      </w:pPr>
      <w:r>
        <w:rPr>
          <w:rStyle w:val="FootnoteReference"/>
        </w:rPr>
        <w:footnoteRef/>
      </w:r>
      <w:r>
        <w:t xml:space="preserve"> </w:t>
      </w:r>
      <w:r>
        <w:tab/>
        <w:t xml:space="preserve">M. Lally, </w:t>
      </w:r>
      <w:r w:rsidRPr="00EF4AD5">
        <w:rPr>
          <w:rStyle w:val="AERtextitalic"/>
        </w:rPr>
        <w:t>Issues in the estimation of gamma</w:t>
      </w:r>
      <w:r>
        <w:t>, April 2017</w:t>
      </w:r>
      <w:r w:rsidRPr="004423C9">
        <w:rPr>
          <w:rStyle w:val="AERtextitalic"/>
          <w:i w:val="0"/>
        </w:rPr>
        <w:t>, pp. 13, 24.</w:t>
      </w:r>
    </w:p>
  </w:footnote>
  <w:footnote w:id="711">
    <w:p w:rsidR="00B31E52" w:rsidRDefault="00B31E52" w:rsidP="00C52695">
      <w:pPr>
        <w:pStyle w:val="FootnoteText"/>
      </w:pPr>
      <w:r>
        <w:rPr>
          <w:rStyle w:val="FootnoteReference"/>
        </w:rPr>
        <w:footnoteRef/>
      </w:r>
      <w:r>
        <w:t xml:space="preserve"> </w:t>
      </w:r>
      <w:r>
        <w:tab/>
      </w:r>
      <w:r w:rsidRPr="004635C5">
        <w:t xml:space="preserve">Lally, </w:t>
      </w:r>
      <w:r w:rsidRPr="005764F6">
        <w:rPr>
          <w:rStyle w:val="AERtextitalic"/>
        </w:rPr>
        <w:t>Gamma and the ACT Decision</w:t>
      </w:r>
      <w:r w:rsidRPr="004635C5">
        <w:t>, May 2016, p. 5.</w:t>
      </w:r>
    </w:p>
  </w:footnote>
  <w:footnote w:id="712">
    <w:p w:rsidR="00B31E52" w:rsidRPr="00E750F8" w:rsidRDefault="00B31E52" w:rsidP="004741BD">
      <w:pPr>
        <w:pStyle w:val="FootnoteText"/>
        <w:rPr>
          <w:rStyle w:val="AERtextitalic"/>
          <w:i w:val="0"/>
        </w:rPr>
      </w:pPr>
      <w:r>
        <w:rPr>
          <w:rStyle w:val="FootnoteReference"/>
        </w:rPr>
        <w:footnoteRef/>
      </w:r>
      <w:r>
        <w:t xml:space="preserve"> </w:t>
      </w:r>
      <w:r>
        <w:tab/>
        <w:t xml:space="preserve">Frontier Economics, </w:t>
      </w:r>
      <w:r>
        <w:rPr>
          <w:rStyle w:val="AERtextitalic"/>
        </w:rPr>
        <w:t xml:space="preserve">Issues in the estimation of gamma, Report prepared for AGN, Multinet Gas, AusNet Transmission and AusNet Gas, </w:t>
      </w:r>
      <w:r w:rsidRPr="00485A29">
        <w:rPr>
          <w:rStyle w:val="AERtextitalic"/>
          <w:i w:val="0"/>
        </w:rPr>
        <w:t xml:space="preserve">September 2016, </w:t>
      </w:r>
      <w:r w:rsidRPr="004741BD">
        <w:rPr>
          <w:rStyle w:val="AERtextitalic"/>
          <w:i w:val="0"/>
        </w:rPr>
        <w:t>p</w:t>
      </w:r>
      <w:r w:rsidRPr="004423C9">
        <w:rPr>
          <w:rStyle w:val="AERtextitalic"/>
          <w:i w:val="0"/>
        </w:rPr>
        <w:t>p</w:t>
      </w:r>
      <w:r w:rsidRPr="004741BD">
        <w:rPr>
          <w:rStyle w:val="AERtextitalic"/>
          <w:i w:val="0"/>
        </w:rPr>
        <w:t>. 3-4</w:t>
      </w:r>
      <w:r w:rsidRPr="004423C9">
        <w:rPr>
          <w:rStyle w:val="AERtextitalic"/>
          <w:i w:val="0"/>
        </w:rPr>
        <w:t>, 12-15</w:t>
      </w:r>
      <w:r>
        <w:rPr>
          <w:rStyle w:val="AERtextitalic"/>
        </w:rPr>
        <w:t xml:space="preserve">; </w:t>
      </w:r>
      <w:r>
        <w:t xml:space="preserve">AusNet Transmission, </w:t>
      </w:r>
      <w:r>
        <w:rPr>
          <w:rStyle w:val="AERtextitalic"/>
        </w:rPr>
        <w:t>Transmission Revenue Proposal Review 2017-2022, Revised Revenue Proposal</w:t>
      </w:r>
      <w:r>
        <w:t>, 21 September 2016, p. 210.</w:t>
      </w:r>
    </w:p>
  </w:footnote>
  <w:footnote w:id="713">
    <w:p w:rsidR="00B31E52" w:rsidRPr="00025FF7" w:rsidRDefault="00B31E52" w:rsidP="004741BD">
      <w:pPr>
        <w:pStyle w:val="FootnoteText"/>
        <w:rPr>
          <w:rStyle w:val="AERtextitalic"/>
          <w:i w:val="0"/>
        </w:rPr>
      </w:pPr>
      <w:r>
        <w:rPr>
          <w:rStyle w:val="FootnoteReference"/>
        </w:rPr>
        <w:footnoteRef/>
      </w:r>
      <w:r>
        <w:t xml:space="preserve"> </w:t>
      </w:r>
      <w:r>
        <w:tab/>
        <w:t xml:space="preserve">Frontier Economics, </w:t>
      </w:r>
      <w:r>
        <w:rPr>
          <w:rStyle w:val="AERtextitalic"/>
        </w:rPr>
        <w:t xml:space="preserve">Issues in the estimation of gamma, Report prepared for AGN, Multinet Gas, AusNet Transmission and AusNet Gas, </w:t>
      </w:r>
      <w:r w:rsidRPr="004741BD">
        <w:rPr>
          <w:rStyle w:val="AERtextitalic"/>
          <w:i w:val="0"/>
        </w:rPr>
        <w:t>September 2016, p</w:t>
      </w:r>
      <w:r w:rsidRPr="004423C9">
        <w:rPr>
          <w:rStyle w:val="AERtextitalic"/>
          <w:i w:val="0"/>
        </w:rPr>
        <w:t>p</w:t>
      </w:r>
      <w:r w:rsidRPr="004741BD">
        <w:rPr>
          <w:rStyle w:val="AERtextitalic"/>
          <w:i w:val="0"/>
        </w:rPr>
        <w:t>. 3-4</w:t>
      </w:r>
      <w:r w:rsidRPr="004423C9">
        <w:rPr>
          <w:rStyle w:val="AERtextitalic"/>
          <w:i w:val="0"/>
        </w:rPr>
        <w:t>, 14-15.</w:t>
      </w:r>
    </w:p>
  </w:footnote>
  <w:footnote w:id="714">
    <w:p w:rsidR="00B31E52" w:rsidRPr="00574CB8" w:rsidRDefault="00B31E52" w:rsidP="00574CB8">
      <w:pPr>
        <w:pStyle w:val="FootnoteText"/>
        <w:rPr>
          <w:rStyle w:val="AERtextitalic"/>
          <w:i w:val="0"/>
        </w:rPr>
      </w:pPr>
      <w:r>
        <w:rPr>
          <w:rStyle w:val="FootnoteReference"/>
        </w:rPr>
        <w:footnoteRef/>
      </w:r>
      <w:r>
        <w:t xml:space="preserve"> </w:t>
      </w:r>
      <w:r>
        <w:tab/>
        <w:t xml:space="preserve">Frontier Economics, </w:t>
      </w:r>
      <w:r>
        <w:rPr>
          <w:rStyle w:val="AERtextitalic"/>
        </w:rPr>
        <w:t xml:space="preserve">Issues in the estimation of gamma, Report prepared for AGN, Multinet Gas, AusNet Transmission and AusNet Gas, </w:t>
      </w:r>
      <w:r w:rsidRPr="00025FF7">
        <w:rPr>
          <w:rStyle w:val="AERtextitalic"/>
          <w:i w:val="0"/>
        </w:rPr>
        <w:t xml:space="preserve">September 2016, </w:t>
      </w:r>
      <w:r w:rsidRPr="00574CB8">
        <w:rPr>
          <w:rStyle w:val="AERtextitalic"/>
          <w:i w:val="0"/>
        </w:rPr>
        <w:t>p</w:t>
      </w:r>
      <w:r w:rsidRPr="007A4EAF">
        <w:rPr>
          <w:rStyle w:val="AERtextitalic"/>
          <w:i w:val="0"/>
        </w:rPr>
        <w:t>p</w:t>
      </w:r>
      <w:r w:rsidRPr="00574CB8">
        <w:rPr>
          <w:rStyle w:val="AERtextitalic"/>
          <w:i w:val="0"/>
        </w:rPr>
        <w:t>. 3-4</w:t>
      </w:r>
      <w:r w:rsidRPr="007A4EAF">
        <w:rPr>
          <w:rStyle w:val="AERtextitalic"/>
          <w:i w:val="0"/>
        </w:rPr>
        <w:t>.</w:t>
      </w:r>
    </w:p>
  </w:footnote>
  <w:footnote w:id="715">
    <w:p w:rsidR="00B31E52" w:rsidRPr="00E750F8" w:rsidRDefault="00B31E52" w:rsidP="00D32E5E">
      <w:pPr>
        <w:pStyle w:val="FootnoteText"/>
        <w:rPr>
          <w:rStyle w:val="AERtextitalic"/>
          <w:i w:val="0"/>
        </w:rPr>
      </w:pPr>
      <w:r>
        <w:rPr>
          <w:rStyle w:val="FootnoteReference"/>
        </w:rPr>
        <w:footnoteRef/>
      </w:r>
      <w:r>
        <w:t xml:space="preserve"> </w:t>
      </w:r>
      <w:r>
        <w:tab/>
        <w:t xml:space="preserve">Hathaway, </w:t>
      </w:r>
      <w:r>
        <w:rPr>
          <w:rStyle w:val="AERtextitalic"/>
        </w:rPr>
        <w:t xml:space="preserve">Imputation Credit Redemption ATO data 1988-2011 Where have all the credits gone, </w:t>
      </w:r>
      <w:r w:rsidRPr="00E73A9E">
        <w:rPr>
          <w:rStyle w:val="AERtextitalic"/>
          <w:i w:val="0"/>
        </w:rPr>
        <w:t>September 2013, p. 5.</w:t>
      </w:r>
    </w:p>
  </w:footnote>
  <w:footnote w:id="716">
    <w:p w:rsidR="00B31E52" w:rsidRPr="00970F7A" w:rsidRDefault="00B31E52" w:rsidP="00187ED0">
      <w:pPr>
        <w:pStyle w:val="FootnoteText"/>
        <w:rPr>
          <w:rStyle w:val="AERtextitalic"/>
          <w:i w:val="0"/>
        </w:rPr>
      </w:pPr>
      <w:r>
        <w:rPr>
          <w:rStyle w:val="FootnoteReference"/>
        </w:rPr>
        <w:footnoteRef/>
      </w:r>
      <w:r>
        <w:t xml:space="preserve"> </w:t>
      </w:r>
      <w:r>
        <w:tab/>
        <w:t xml:space="preserve">Hathaway, </w:t>
      </w:r>
      <w:r>
        <w:rPr>
          <w:rStyle w:val="AERtextitalic"/>
        </w:rPr>
        <w:t xml:space="preserve">Imputation Credit Redemption ATO data 1988-2011 Where have all the credits gone, </w:t>
      </w:r>
      <w:r w:rsidRPr="00970F7A">
        <w:rPr>
          <w:rStyle w:val="AERtextitalic"/>
          <w:i w:val="0"/>
        </w:rPr>
        <w:t>September 2013, p. </w:t>
      </w:r>
      <w:r w:rsidRPr="00E73A9E">
        <w:rPr>
          <w:rStyle w:val="AERtextitalic"/>
          <w:i w:val="0"/>
        </w:rPr>
        <w:t>39</w:t>
      </w:r>
      <w:r w:rsidRPr="00970F7A">
        <w:rPr>
          <w:rStyle w:val="AERtextitalic"/>
          <w:i w:val="0"/>
        </w:rPr>
        <w:t>.</w:t>
      </w:r>
    </w:p>
  </w:footnote>
  <w:footnote w:id="717">
    <w:p w:rsidR="00B31E52" w:rsidRDefault="00B31E52" w:rsidP="0023036D">
      <w:pPr>
        <w:pStyle w:val="FootnoteText"/>
      </w:pPr>
      <w:r>
        <w:rPr>
          <w:rStyle w:val="FootnoteReference"/>
        </w:rPr>
        <w:footnoteRef/>
      </w:r>
      <w:r>
        <w:t xml:space="preserve"> </w:t>
      </w:r>
      <w:r>
        <w:tab/>
        <w:t xml:space="preserve">Hathaway, </w:t>
      </w:r>
      <w:r>
        <w:rPr>
          <w:rStyle w:val="AERtextitalic"/>
        </w:rPr>
        <w:t xml:space="preserve">Imputation Credit Redemption ATO data 1988-2011 Where have all the credits gone, </w:t>
      </w:r>
      <w:r w:rsidRPr="00D20596">
        <w:rPr>
          <w:rStyle w:val="AERtextitalic"/>
          <w:i w:val="0"/>
        </w:rPr>
        <w:t>September 2013, p. 39</w:t>
      </w:r>
      <w:r w:rsidRPr="0023036D">
        <w:rPr>
          <w:rStyle w:val="AERtextitalic"/>
        </w:rPr>
        <w:t>.</w:t>
      </w:r>
    </w:p>
  </w:footnote>
  <w:footnote w:id="718">
    <w:p w:rsidR="00B31E52" w:rsidRDefault="00B31E52" w:rsidP="005A1971">
      <w:pPr>
        <w:pStyle w:val="FootnoteText"/>
      </w:pPr>
      <w:r>
        <w:rPr>
          <w:rStyle w:val="FootnoteReference"/>
        </w:rPr>
        <w:footnoteRef/>
      </w:r>
      <w:r>
        <w:t xml:space="preserve"> </w:t>
      </w:r>
      <w:r>
        <w:tab/>
        <w:t xml:space="preserve">Hathaway, </w:t>
      </w:r>
      <w:r>
        <w:rPr>
          <w:rStyle w:val="AERtextitalic"/>
        </w:rPr>
        <w:t xml:space="preserve">Imputation Credit Redemption ATO data 1988-2011 Where have all the credits gone, </w:t>
      </w:r>
      <w:r w:rsidRPr="00D20596">
        <w:rPr>
          <w:rStyle w:val="AERtextitalic"/>
          <w:i w:val="0"/>
        </w:rPr>
        <w:t>September 2013, p. 39.</w:t>
      </w:r>
    </w:p>
  </w:footnote>
  <w:footnote w:id="719">
    <w:p w:rsidR="00B31E52" w:rsidRPr="001224E1" w:rsidRDefault="00B31E52" w:rsidP="00E24154">
      <w:pPr>
        <w:pStyle w:val="FootnoteText"/>
      </w:pPr>
      <w:r>
        <w:rPr>
          <w:rStyle w:val="FootnoteReference"/>
        </w:rPr>
        <w:footnoteRef/>
      </w:r>
      <w:r>
        <w:t xml:space="preserve"> </w:t>
      </w:r>
      <w:r>
        <w:tab/>
        <w:t xml:space="preserve">M. Lally, </w:t>
      </w:r>
      <w:r w:rsidRPr="00E750F8">
        <w:rPr>
          <w:rStyle w:val="AERtextitalic"/>
        </w:rPr>
        <w:t>Issues in the estimation of gamma</w:t>
      </w:r>
      <w:r>
        <w:t>, April 2017</w:t>
      </w:r>
      <w:r w:rsidRPr="001224E1">
        <w:rPr>
          <w:rStyle w:val="AERtextitalic"/>
          <w:i w:val="0"/>
        </w:rPr>
        <w:t xml:space="preserve">, </w:t>
      </w:r>
      <w:r w:rsidRPr="00E24154">
        <w:rPr>
          <w:rStyle w:val="AERtextitalic"/>
          <w:i w:val="0"/>
        </w:rPr>
        <w:t>p</w:t>
      </w:r>
      <w:r w:rsidRPr="00D7695B">
        <w:rPr>
          <w:rStyle w:val="AERtextitalic"/>
          <w:i w:val="0"/>
        </w:rPr>
        <w:t>p</w:t>
      </w:r>
      <w:r w:rsidRPr="00E24154">
        <w:rPr>
          <w:rStyle w:val="AERtextitalic"/>
          <w:i w:val="0"/>
        </w:rPr>
        <w:t>. 13</w:t>
      </w:r>
      <w:r w:rsidRPr="00D7695B">
        <w:rPr>
          <w:rStyle w:val="AERtextitalic"/>
          <w:i w:val="0"/>
        </w:rPr>
        <w:t>, 24</w:t>
      </w:r>
      <w:r w:rsidRPr="00E24154">
        <w:rPr>
          <w:rStyle w:val="AERtextitalic"/>
          <w:i w:val="0"/>
        </w:rPr>
        <w:t>.</w:t>
      </w:r>
    </w:p>
  </w:footnote>
  <w:footnote w:id="720">
    <w:p w:rsidR="00B31E52" w:rsidRPr="00E24154" w:rsidRDefault="00B31E52" w:rsidP="00E24154">
      <w:pPr>
        <w:pStyle w:val="FootnoteText"/>
      </w:pPr>
      <w:r>
        <w:rPr>
          <w:rStyle w:val="FootnoteReference"/>
        </w:rPr>
        <w:footnoteRef/>
      </w:r>
      <w:r>
        <w:t xml:space="preserve"> </w:t>
      </w:r>
      <w:r>
        <w:tab/>
        <w:t xml:space="preserve">M. Lally, </w:t>
      </w:r>
      <w:r w:rsidRPr="00E750F8">
        <w:rPr>
          <w:rStyle w:val="AERtextitalic"/>
        </w:rPr>
        <w:t>Issues in the estimation of gamma</w:t>
      </w:r>
      <w:r>
        <w:t>, April 2017</w:t>
      </w:r>
      <w:r w:rsidRPr="00E24154">
        <w:rPr>
          <w:rStyle w:val="AERtextitalic"/>
          <w:i w:val="0"/>
        </w:rPr>
        <w:t>, p</w:t>
      </w:r>
      <w:r w:rsidRPr="00D7695B">
        <w:rPr>
          <w:rStyle w:val="AERtextitalic"/>
          <w:i w:val="0"/>
        </w:rPr>
        <w:t>p</w:t>
      </w:r>
      <w:r w:rsidRPr="00E24154">
        <w:rPr>
          <w:rStyle w:val="AERtextitalic"/>
          <w:i w:val="0"/>
        </w:rPr>
        <w:t>. 13</w:t>
      </w:r>
      <w:r w:rsidRPr="00D7695B">
        <w:rPr>
          <w:rStyle w:val="AERtextitalic"/>
          <w:i w:val="0"/>
        </w:rPr>
        <w:t>, 24</w:t>
      </w:r>
      <w:r w:rsidRPr="00E24154">
        <w:rPr>
          <w:rStyle w:val="AERtextitalic"/>
          <w:i w:val="0"/>
        </w:rPr>
        <w:t>.</w:t>
      </w:r>
    </w:p>
  </w:footnote>
  <w:footnote w:id="721">
    <w:p w:rsidR="00B31E52" w:rsidRPr="007C48E7" w:rsidRDefault="00B31E52" w:rsidP="00E24154">
      <w:pPr>
        <w:pStyle w:val="FootnoteText"/>
      </w:pPr>
      <w:r>
        <w:rPr>
          <w:rStyle w:val="FootnoteReference"/>
        </w:rPr>
        <w:footnoteRef/>
      </w:r>
      <w:r>
        <w:t xml:space="preserve"> </w:t>
      </w:r>
      <w:r>
        <w:tab/>
        <w:t xml:space="preserve">M. Lally, </w:t>
      </w:r>
      <w:r w:rsidRPr="00E750F8">
        <w:rPr>
          <w:rStyle w:val="AERtextitalic"/>
        </w:rPr>
        <w:t>Issues in the estimation of gamma</w:t>
      </w:r>
      <w:r>
        <w:t>, April 2017</w:t>
      </w:r>
      <w:r w:rsidRPr="001224E1">
        <w:rPr>
          <w:rStyle w:val="AERtextitalic"/>
          <w:i w:val="0"/>
        </w:rPr>
        <w:t>,</w:t>
      </w:r>
      <w:r w:rsidRPr="007C48E7">
        <w:rPr>
          <w:rStyle w:val="AERtextitalic"/>
          <w:i w:val="0"/>
        </w:rPr>
        <w:t xml:space="preserve"> p</w:t>
      </w:r>
      <w:r w:rsidRPr="00D7695B">
        <w:rPr>
          <w:rStyle w:val="AERtextitalic"/>
          <w:i w:val="0"/>
        </w:rPr>
        <w:t>p</w:t>
      </w:r>
      <w:r w:rsidRPr="007C48E7">
        <w:rPr>
          <w:rStyle w:val="AERtextitalic"/>
          <w:i w:val="0"/>
        </w:rPr>
        <w:t>. 1</w:t>
      </w:r>
      <w:r w:rsidRPr="000F2FCF">
        <w:rPr>
          <w:rStyle w:val="AERtextitalic"/>
          <w:i w:val="0"/>
        </w:rPr>
        <w:t>3</w:t>
      </w:r>
      <w:r w:rsidRPr="00D7695B">
        <w:rPr>
          <w:rStyle w:val="AERtextitalic"/>
          <w:i w:val="0"/>
        </w:rPr>
        <w:t>, 24</w:t>
      </w:r>
      <w:r w:rsidRPr="00E24154">
        <w:rPr>
          <w:rStyle w:val="AERtextitalic"/>
          <w:i w:val="0"/>
        </w:rPr>
        <w:t>.</w:t>
      </w:r>
    </w:p>
  </w:footnote>
  <w:footnote w:id="722">
    <w:p w:rsidR="00B31E52" w:rsidRDefault="00B31E52" w:rsidP="00C52695">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xml:space="preserve">, 26 February 2016, </w:t>
      </w:r>
      <w:r w:rsidRPr="00AC2168">
        <w:t>para. 1090.</w:t>
      </w:r>
    </w:p>
  </w:footnote>
  <w:footnote w:id="723">
    <w:p w:rsidR="00B31E52" w:rsidRDefault="00B31E52" w:rsidP="00C52695">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xml:space="preserve">, 26 February 2016, </w:t>
      </w:r>
      <w:r w:rsidRPr="00AC2168">
        <w:t>para. 109</w:t>
      </w:r>
      <w:r>
        <w:t>2</w:t>
      </w:r>
      <w:r w:rsidRPr="00AC2168">
        <w:t>.</w:t>
      </w:r>
    </w:p>
  </w:footnote>
  <w:footnote w:id="724">
    <w:p w:rsidR="00B31E52" w:rsidRPr="00EB7A6C" w:rsidRDefault="00B31E52" w:rsidP="00C52695">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xml:space="preserve">, 26 February 2016, </w:t>
      </w:r>
      <w:r w:rsidRPr="00AC2168">
        <w:t>para. 109</w:t>
      </w:r>
      <w:r>
        <w:t>2</w:t>
      </w:r>
      <w:r w:rsidRPr="00AC2168">
        <w:t>.</w:t>
      </w:r>
    </w:p>
  </w:footnote>
  <w:footnote w:id="725">
    <w:p w:rsidR="00B31E52" w:rsidRDefault="00B31E52" w:rsidP="00C52695">
      <w:pPr>
        <w:pStyle w:val="FootnoteText"/>
      </w:pPr>
      <w:r>
        <w:rPr>
          <w:rStyle w:val="FootnoteReference"/>
        </w:rPr>
        <w:footnoteRef/>
      </w:r>
      <w:r>
        <w:t xml:space="preserve"> </w:t>
      </w:r>
      <w:r>
        <w:tab/>
      </w:r>
      <w:r w:rsidRPr="00712BC2">
        <w:t xml:space="preserve">M. Lally, </w:t>
      </w:r>
      <w:r>
        <w:rPr>
          <w:rStyle w:val="AERtextitalic"/>
        </w:rPr>
        <w:t>Gamma and the ACT Decision</w:t>
      </w:r>
      <w:r>
        <w:t>, May 2016, p. 21.</w:t>
      </w:r>
    </w:p>
  </w:footnote>
  <w:footnote w:id="726">
    <w:p w:rsidR="00B31E52" w:rsidRDefault="00B31E52" w:rsidP="00E10FAC">
      <w:pPr>
        <w:pStyle w:val="FootnoteText"/>
      </w:pPr>
      <w:r>
        <w:rPr>
          <w:rStyle w:val="FootnoteReference"/>
        </w:rPr>
        <w:footnoteRef/>
      </w:r>
      <w:r>
        <w:t xml:space="preserve"> </w:t>
      </w:r>
      <w:r>
        <w:tab/>
      </w:r>
      <w:r w:rsidRPr="00645287">
        <w:t xml:space="preserve">Lally, </w:t>
      </w:r>
      <w:r w:rsidRPr="00E64E9B">
        <w:rPr>
          <w:rStyle w:val="AERtextitalic"/>
        </w:rPr>
        <w:t>Gamma and the ACT Decision</w:t>
      </w:r>
      <w:r w:rsidRPr="00645287">
        <w:t>, May 2016, p. 5</w:t>
      </w:r>
      <w:r>
        <w:t xml:space="preserve">; M. Lally, </w:t>
      </w:r>
      <w:r w:rsidRPr="00E750F8">
        <w:rPr>
          <w:rStyle w:val="AERtextitalic"/>
        </w:rPr>
        <w:t>Issues in the estimation of gamma</w:t>
      </w:r>
      <w:r>
        <w:t>, April 2017</w:t>
      </w:r>
      <w:r w:rsidRPr="006A200A">
        <w:rPr>
          <w:rStyle w:val="AERtextitalic"/>
          <w:i w:val="0"/>
        </w:rPr>
        <w:t>, pp. 27, 2</w:t>
      </w:r>
      <w:r w:rsidRPr="002915B0">
        <w:rPr>
          <w:rStyle w:val="AERtextitalic"/>
          <w:i w:val="0"/>
        </w:rPr>
        <w:t>9.</w:t>
      </w:r>
    </w:p>
  </w:footnote>
  <w:footnote w:id="727">
    <w:p w:rsidR="00B31E52" w:rsidRDefault="00B31E52" w:rsidP="00C52695">
      <w:pPr>
        <w:pStyle w:val="FootnoteText"/>
      </w:pPr>
      <w:r>
        <w:rPr>
          <w:rStyle w:val="FootnoteReference"/>
        </w:rPr>
        <w:footnoteRef/>
      </w:r>
      <w:r>
        <w:t xml:space="preserve"> </w:t>
      </w:r>
      <w:r>
        <w:tab/>
      </w:r>
      <w:r w:rsidRPr="00712BC2">
        <w:t xml:space="preserve">M. Lally, </w:t>
      </w:r>
      <w:r>
        <w:rPr>
          <w:rStyle w:val="AERtextitalic"/>
        </w:rPr>
        <w:t>Gamma and the ACT Decision</w:t>
      </w:r>
      <w:r>
        <w:t>, May 2016, p. 20.</w:t>
      </w:r>
    </w:p>
  </w:footnote>
  <w:footnote w:id="728">
    <w:p w:rsidR="00B31E52" w:rsidRPr="00EB7A6C" w:rsidRDefault="00B31E52" w:rsidP="00C52695">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xml:space="preserve">, 26 February 2016, </w:t>
      </w:r>
      <w:r w:rsidRPr="00AC2168">
        <w:t>para. 109</w:t>
      </w:r>
      <w:r>
        <w:t>2</w:t>
      </w:r>
      <w:r w:rsidRPr="00AC2168">
        <w:t>.</w:t>
      </w:r>
    </w:p>
  </w:footnote>
  <w:footnote w:id="729">
    <w:p w:rsidR="00B31E52" w:rsidRDefault="00B31E52">
      <w:pPr>
        <w:pStyle w:val="FootnoteText"/>
      </w:pPr>
      <w:r>
        <w:rPr>
          <w:rStyle w:val="FootnoteReference"/>
        </w:rPr>
        <w:footnoteRef/>
      </w:r>
      <w:r>
        <w:t xml:space="preserve"> </w:t>
      </w:r>
      <w:r>
        <w:tab/>
        <w:t xml:space="preserve">Frontier, </w:t>
      </w:r>
      <w:r>
        <w:rPr>
          <w:rStyle w:val="AERtextitalic"/>
        </w:rPr>
        <w:t>An updated dividend drop-off estimate of theta: Report prepared for AGN, MultiNet Gas, AusNet Transmission, AusNet Gas Distribution and TransGrid</w:t>
      </w:r>
      <w:r>
        <w:t>, September</w:t>
      </w:r>
      <w:r w:rsidRPr="00B86472">
        <w:t xml:space="preserve"> 201</w:t>
      </w:r>
      <w:r>
        <w:t>6</w:t>
      </w:r>
      <w:r w:rsidRPr="00B86472">
        <w:t>.</w:t>
      </w:r>
    </w:p>
  </w:footnote>
  <w:footnote w:id="730">
    <w:p w:rsidR="00B31E52" w:rsidRDefault="00B31E52" w:rsidP="00C52695">
      <w:pPr>
        <w:pStyle w:val="FootnoteText"/>
      </w:pPr>
      <w:r>
        <w:rPr>
          <w:rStyle w:val="FootnoteReference"/>
        </w:rPr>
        <w:footnoteRef/>
      </w:r>
      <w:r>
        <w:t xml:space="preserve"> </w:t>
      </w:r>
      <w:r>
        <w:tab/>
      </w:r>
      <w:r w:rsidRPr="00913229">
        <w:t xml:space="preserve">D. Vo, B. Gellard and S. Mero, 'Estimating the market value of franking credits: Empirical evidence from Australia', </w:t>
      </w:r>
      <w:r w:rsidRPr="00913229">
        <w:rPr>
          <w:rStyle w:val="AERtextitalic"/>
        </w:rPr>
        <w:t>ERA working paper</w:t>
      </w:r>
      <w:r w:rsidRPr="00913229">
        <w:t>, April 2013.</w:t>
      </w:r>
    </w:p>
  </w:footnote>
  <w:footnote w:id="731">
    <w:p w:rsidR="00B31E52" w:rsidRDefault="00B31E52" w:rsidP="00C52695">
      <w:pPr>
        <w:pStyle w:val="FootnoteText"/>
      </w:pPr>
      <w:r>
        <w:rPr>
          <w:rStyle w:val="FootnoteReference"/>
        </w:rPr>
        <w:footnoteRef/>
      </w:r>
      <w:r>
        <w:t xml:space="preserve"> </w:t>
      </w:r>
      <w:r>
        <w:tab/>
        <w:t xml:space="preserve">SFG, </w:t>
      </w:r>
      <w:r w:rsidRPr="002B2BAB">
        <w:rPr>
          <w:rStyle w:val="AERtextitalic"/>
        </w:rPr>
        <w:t>Updated dividend drop-off estimate of theta</w:t>
      </w:r>
      <w:r>
        <w:rPr>
          <w:rStyle w:val="AERtextitalic"/>
        </w:rPr>
        <w:t>: Report for the Energy Networks Association</w:t>
      </w:r>
      <w:r>
        <w:t>, 7 </w:t>
      </w:r>
      <w:r w:rsidRPr="00B86472">
        <w:t>June 2013.</w:t>
      </w:r>
    </w:p>
  </w:footnote>
  <w:footnote w:id="732">
    <w:p w:rsidR="00B31E52" w:rsidRDefault="00B31E52" w:rsidP="00C52695">
      <w:pPr>
        <w:pStyle w:val="FootnoteText"/>
      </w:pPr>
      <w:r>
        <w:rPr>
          <w:rStyle w:val="FootnoteReference"/>
        </w:rPr>
        <w:footnoteRef/>
      </w:r>
      <w:r>
        <w:t xml:space="preserve"> </w:t>
      </w:r>
      <w:r>
        <w:tab/>
        <w:t xml:space="preserve">SFG, </w:t>
      </w:r>
      <w:r w:rsidRPr="00B86472">
        <w:rPr>
          <w:rStyle w:val="AERtextitalic"/>
        </w:rPr>
        <w:t>Dividend drop-off estimate of theta</w:t>
      </w:r>
      <w:r>
        <w:rPr>
          <w:rStyle w:val="AERtextitalic"/>
        </w:rPr>
        <w:t>, Final report, Re: Application by Energex Limited (No 2) [2010] ACompT 7,</w:t>
      </w:r>
      <w:r>
        <w:t xml:space="preserve"> 21 March 2011.</w:t>
      </w:r>
    </w:p>
  </w:footnote>
  <w:footnote w:id="733">
    <w:p w:rsidR="00B31E52" w:rsidRDefault="00B31E52" w:rsidP="00C52695">
      <w:pPr>
        <w:pStyle w:val="FootnoteText"/>
      </w:pPr>
      <w:r>
        <w:rPr>
          <w:rStyle w:val="FootnoteReference"/>
        </w:rPr>
        <w:footnoteRef/>
      </w:r>
      <w:r>
        <w:t xml:space="preserve"> </w:t>
      </w:r>
      <w:r>
        <w:tab/>
        <w:t xml:space="preserve">A. Minney, 'The valuation of franking credits to investors', </w:t>
      </w:r>
      <w:r w:rsidRPr="00CD1C0D">
        <w:rPr>
          <w:rStyle w:val="AERtextitalic"/>
        </w:rPr>
        <w:t>JASSA: The FINS</w:t>
      </w:r>
      <w:r>
        <w:rPr>
          <w:rStyle w:val="AERtextitalic"/>
        </w:rPr>
        <w:t>I</w:t>
      </w:r>
      <w:r w:rsidRPr="00CD1C0D">
        <w:rPr>
          <w:rStyle w:val="AERtextitalic"/>
        </w:rPr>
        <w:t>A journal of applied finance</w:t>
      </w:r>
      <w:r>
        <w:t>, no. 2, 2010, pp. 29–34.</w:t>
      </w:r>
    </w:p>
  </w:footnote>
  <w:footnote w:id="734">
    <w:p w:rsidR="00B31E52" w:rsidRDefault="00B31E52" w:rsidP="00C52695">
      <w:pPr>
        <w:pStyle w:val="FootnoteText"/>
      </w:pPr>
      <w:r>
        <w:rPr>
          <w:rStyle w:val="FootnoteReference"/>
        </w:rPr>
        <w:footnoteRef/>
      </w:r>
      <w:r>
        <w:t xml:space="preserve"> </w:t>
      </w:r>
      <w:r>
        <w:tab/>
        <w:t xml:space="preserve">D. Beggs and C. Skeels, 'Market arbitrage of cash dividends and franking credits', </w:t>
      </w:r>
      <w:r w:rsidRPr="00341F25">
        <w:rPr>
          <w:rStyle w:val="AERtextitalic"/>
        </w:rPr>
        <w:t>The economic record</w:t>
      </w:r>
      <w:r>
        <w:t>, vol. 82, 2006, pp. 239</w:t>
      </w:r>
      <w:r>
        <w:rPr>
          <w:rFonts w:cs="Gautami"/>
        </w:rPr>
        <w:t>–</w:t>
      </w:r>
      <w:r>
        <w:t>252.</w:t>
      </w:r>
    </w:p>
  </w:footnote>
  <w:footnote w:id="735">
    <w:p w:rsidR="00B31E52" w:rsidRDefault="00B31E52" w:rsidP="00C52695">
      <w:pPr>
        <w:pStyle w:val="FootnoteText"/>
      </w:pPr>
      <w:r>
        <w:rPr>
          <w:rStyle w:val="FootnoteReference"/>
        </w:rPr>
        <w:footnoteRef/>
      </w:r>
      <w:r>
        <w:t xml:space="preserve"> </w:t>
      </w:r>
      <w:r>
        <w:tab/>
        <w:t xml:space="preserve">N. Hathaway and B. Officer, </w:t>
      </w:r>
      <w:r w:rsidRPr="00AF729D">
        <w:rPr>
          <w:rStyle w:val="AERtextitalic"/>
        </w:rPr>
        <w:t>The value of imputation tax cred</w:t>
      </w:r>
      <w:r>
        <w:rPr>
          <w:rStyle w:val="AERtextitalic"/>
        </w:rPr>
        <w:t xml:space="preserve">its, </w:t>
      </w:r>
      <w:r w:rsidRPr="00AF729D">
        <w:rPr>
          <w:rStyle w:val="AERtextitalic"/>
        </w:rPr>
        <w:t>Update 2004</w:t>
      </w:r>
      <w:r>
        <w:t>, November 2004.</w:t>
      </w:r>
    </w:p>
  </w:footnote>
  <w:footnote w:id="736">
    <w:p w:rsidR="00B31E52" w:rsidRDefault="00B31E52" w:rsidP="00C52695">
      <w:pPr>
        <w:pStyle w:val="FootnoteText"/>
      </w:pPr>
      <w:r>
        <w:rPr>
          <w:rStyle w:val="FootnoteReference"/>
        </w:rPr>
        <w:footnoteRef/>
      </w:r>
      <w:r>
        <w:t xml:space="preserve"> </w:t>
      </w:r>
      <w:r>
        <w:tab/>
      </w:r>
      <w:r w:rsidRPr="003A3A99">
        <w:t xml:space="preserve">D. Bellamy and S. Gray, 'Using stock price changes to estimate the value of dividend franking credits', </w:t>
      </w:r>
      <w:r w:rsidRPr="003A3A99">
        <w:rPr>
          <w:rStyle w:val="AERtextitalic"/>
        </w:rPr>
        <w:t>working paper, University of Queensland Business School</w:t>
      </w:r>
      <w:r w:rsidRPr="003A3A99">
        <w:t>, March 2004.</w:t>
      </w:r>
    </w:p>
  </w:footnote>
  <w:footnote w:id="737">
    <w:p w:rsidR="00B31E52" w:rsidRDefault="00B31E52" w:rsidP="00C52695">
      <w:pPr>
        <w:pStyle w:val="FootnoteText"/>
      </w:pPr>
      <w:r>
        <w:rPr>
          <w:rStyle w:val="FootnoteReference"/>
        </w:rPr>
        <w:footnoteRef/>
      </w:r>
      <w:r>
        <w:t xml:space="preserve"> </w:t>
      </w:r>
      <w:r>
        <w:tab/>
        <w:t>P. Bruckner, N. Dews and D. White, '</w:t>
      </w:r>
      <w:r w:rsidRPr="002B2BAB">
        <w:t xml:space="preserve">Capturing </w:t>
      </w:r>
      <w:r>
        <w:t>v</w:t>
      </w:r>
      <w:r w:rsidRPr="002B2BAB">
        <w:t xml:space="preserve">alue from </w:t>
      </w:r>
      <w:r>
        <w:t>d</w:t>
      </w:r>
      <w:r w:rsidRPr="002B2BAB">
        <w:t xml:space="preserve">ividend </w:t>
      </w:r>
      <w:r>
        <w:t>i</w:t>
      </w:r>
      <w:r w:rsidRPr="002B2BAB">
        <w:t xml:space="preserve">mputation: How Australian </w:t>
      </w:r>
      <w:r>
        <w:t>c</w:t>
      </w:r>
      <w:r w:rsidRPr="002B2BAB">
        <w:t xml:space="preserve">ompanies </w:t>
      </w:r>
      <w:r>
        <w:t>s</w:t>
      </w:r>
      <w:r w:rsidRPr="002B2BAB">
        <w:t xml:space="preserve">hould </w:t>
      </w:r>
      <w:r>
        <w:t>r</w:t>
      </w:r>
      <w:r w:rsidRPr="002B2BAB">
        <w:t xml:space="preserve">ecognize and </w:t>
      </w:r>
      <w:r>
        <w:t>c</w:t>
      </w:r>
      <w:r w:rsidRPr="002B2BAB">
        <w:t xml:space="preserve">apitalise on a </w:t>
      </w:r>
      <w:r>
        <w:t>m</w:t>
      </w:r>
      <w:r w:rsidRPr="002B2BAB">
        <w:t xml:space="preserve">ajor </w:t>
      </w:r>
      <w:r>
        <w:t>o</w:t>
      </w:r>
      <w:r w:rsidRPr="002B2BAB">
        <w:t xml:space="preserve">pportunity to </w:t>
      </w:r>
      <w:r>
        <w:t>i</w:t>
      </w:r>
      <w:r w:rsidRPr="002B2BAB">
        <w:t xml:space="preserve">ncrease </w:t>
      </w:r>
      <w:r>
        <w:t>s</w:t>
      </w:r>
      <w:r w:rsidRPr="002B2BAB">
        <w:t xml:space="preserve">hareholder </w:t>
      </w:r>
      <w:r>
        <w:t>v</w:t>
      </w:r>
      <w:r w:rsidRPr="002B2BAB">
        <w:t>alue</w:t>
      </w:r>
      <w:r>
        <w:t xml:space="preserve">', </w:t>
      </w:r>
      <w:r w:rsidRPr="0073373B">
        <w:rPr>
          <w:rStyle w:val="AERtextitalic"/>
        </w:rPr>
        <w:t>McKinsey and Company report</w:t>
      </w:r>
      <w:r w:rsidRPr="005A578B">
        <w:t>,</w:t>
      </w:r>
      <w:r>
        <w:t xml:space="preserve"> 1994.</w:t>
      </w:r>
    </w:p>
  </w:footnote>
  <w:footnote w:id="738">
    <w:p w:rsidR="00B31E52" w:rsidRDefault="00B31E52" w:rsidP="00C52695">
      <w:pPr>
        <w:pStyle w:val="FootnoteText"/>
      </w:pPr>
      <w:r>
        <w:rPr>
          <w:rStyle w:val="FootnoteReference"/>
        </w:rPr>
        <w:footnoteRef/>
      </w:r>
      <w:r>
        <w:t xml:space="preserve"> </w:t>
      </w:r>
      <w:r>
        <w:tab/>
        <w:t xml:space="preserve">P. Brown and A. Clarke, 'The ex-dividend day behaviour of Australian share prices before and after dividend imputation', </w:t>
      </w:r>
      <w:r w:rsidRPr="00B86472">
        <w:rPr>
          <w:rStyle w:val="AERtextitalic"/>
        </w:rPr>
        <w:t xml:space="preserve">Australian </w:t>
      </w:r>
      <w:r>
        <w:rPr>
          <w:rStyle w:val="AERtextitalic"/>
        </w:rPr>
        <w:t>j</w:t>
      </w:r>
      <w:r w:rsidRPr="00B86472">
        <w:rPr>
          <w:rStyle w:val="AERtextitalic"/>
        </w:rPr>
        <w:t xml:space="preserve">ournal of </w:t>
      </w:r>
      <w:r>
        <w:rPr>
          <w:rStyle w:val="AERtextitalic"/>
        </w:rPr>
        <w:t>m</w:t>
      </w:r>
      <w:r w:rsidRPr="00B86472">
        <w:rPr>
          <w:rStyle w:val="AERtextitalic"/>
        </w:rPr>
        <w:t>anagement</w:t>
      </w:r>
      <w:r>
        <w:t>, vol. 18, June 1993, pp. 1–40.</w:t>
      </w:r>
    </w:p>
  </w:footnote>
  <w:footnote w:id="739">
    <w:p w:rsidR="00B31E52" w:rsidRDefault="00B31E52" w:rsidP="00C52695">
      <w:pPr>
        <w:pStyle w:val="FootnoteText"/>
      </w:pPr>
      <w:r>
        <w:rPr>
          <w:rStyle w:val="FootnoteReference"/>
        </w:rPr>
        <w:footnoteRef/>
      </w:r>
      <w:r>
        <w:t xml:space="preserve"> </w:t>
      </w:r>
      <w:r>
        <w:tab/>
        <w:t xml:space="preserve">C. Feuerherdt, S. Gray and J. Hall, 'The value of imputation tax credits on Australian hybrid securities', </w:t>
      </w:r>
      <w:r w:rsidRPr="00C37255">
        <w:rPr>
          <w:rStyle w:val="AERtextitalic"/>
        </w:rPr>
        <w:t xml:space="preserve">International </w:t>
      </w:r>
      <w:r>
        <w:rPr>
          <w:rStyle w:val="AERtextitalic"/>
        </w:rPr>
        <w:t>r</w:t>
      </w:r>
      <w:r w:rsidRPr="00C37255">
        <w:rPr>
          <w:rStyle w:val="AERtextitalic"/>
        </w:rPr>
        <w:t xml:space="preserve">eview of </w:t>
      </w:r>
      <w:r>
        <w:rPr>
          <w:rStyle w:val="AERtextitalic"/>
        </w:rPr>
        <w:t>f</w:t>
      </w:r>
      <w:r w:rsidRPr="00C37255">
        <w:rPr>
          <w:rStyle w:val="AERtextitalic"/>
        </w:rPr>
        <w:t>inance,</w:t>
      </w:r>
      <w:r>
        <w:t xml:space="preserve"> vol. 10(3), 2010, pp. 365–401.</w:t>
      </w:r>
    </w:p>
  </w:footnote>
  <w:footnote w:id="740">
    <w:p w:rsidR="00B31E52" w:rsidRDefault="00B31E52" w:rsidP="00C52695">
      <w:pPr>
        <w:pStyle w:val="FootnoteText"/>
      </w:pPr>
      <w:r>
        <w:rPr>
          <w:rStyle w:val="FootnoteReference"/>
        </w:rPr>
        <w:footnoteRef/>
      </w:r>
      <w:r>
        <w:t xml:space="preserve"> </w:t>
      </w:r>
      <w:r>
        <w:tab/>
        <w:t xml:space="preserve">SFG, </w:t>
      </w:r>
      <w:r w:rsidRPr="005E70ED">
        <w:rPr>
          <w:rStyle w:val="AERtextitalic"/>
        </w:rPr>
        <w:t>Using market data to estimate the equilibrium value of distributed imputation tax credits, Report for the Energy Networks Association</w:t>
      </w:r>
      <w:r>
        <w:t>, 3 October 2013.</w:t>
      </w:r>
    </w:p>
  </w:footnote>
  <w:footnote w:id="741">
    <w:p w:rsidR="00B31E52" w:rsidRDefault="00B31E52" w:rsidP="00C52695">
      <w:pPr>
        <w:pStyle w:val="FootnoteText"/>
      </w:pPr>
      <w:r>
        <w:rPr>
          <w:rStyle w:val="FootnoteReference"/>
        </w:rPr>
        <w:footnoteRef/>
      </w:r>
      <w:r>
        <w:t xml:space="preserve"> </w:t>
      </w:r>
      <w:r>
        <w:tab/>
        <w:t xml:space="preserve">D. Cannavan, F. Finn, S. Gray, 'The value of dividend imputation tax credits in Australia', </w:t>
      </w:r>
      <w:r>
        <w:rPr>
          <w:rStyle w:val="AERtextitalic"/>
        </w:rPr>
        <w:t>Journal of financial economics</w:t>
      </w:r>
      <w:r>
        <w:t>, vol. 73, 2004, pp. 167</w:t>
      </w:r>
      <w:r>
        <w:rPr>
          <w:rFonts w:cs="Gautami"/>
        </w:rPr>
        <w:t>–</w:t>
      </w:r>
      <w:r>
        <w:t>197.</w:t>
      </w:r>
    </w:p>
  </w:footnote>
  <w:footnote w:id="742">
    <w:p w:rsidR="00B31E52" w:rsidRDefault="00B31E52" w:rsidP="00C52695">
      <w:pPr>
        <w:pStyle w:val="FootnoteText"/>
      </w:pPr>
      <w:r>
        <w:rPr>
          <w:rStyle w:val="FootnoteReference"/>
        </w:rPr>
        <w:footnoteRef/>
      </w:r>
      <w:r>
        <w:t xml:space="preserve"> </w:t>
      </w:r>
      <w:r>
        <w:tab/>
        <w:t xml:space="preserve">J. Cummings and A. Frino, 'Tax effects on the pricing of Australian stock index futures', </w:t>
      </w:r>
      <w:r w:rsidRPr="00C37255">
        <w:rPr>
          <w:rStyle w:val="AERtextitalic"/>
        </w:rPr>
        <w:t xml:space="preserve">Australian </w:t>
      </w:r>
      <w:r>
        <w:rPr>
          <w:rStyle w:val="AERtextitalic"/>
        </w:rPr>
        <w:t>j</w:t>
      </w:r>
      <w:r w:rsidRPr="00C37255">
        <w:rPr>
          <w:rStyle w:val="AERtextitalic"/>
        </w:rPr>
        <w:t xml:space="preserve">ournal of </w:t>
      </w:r>
      <w:r>
        <w:rPr>
          <w:rStyle w:val="AERtextitalic"/>
        </w:rPr>
        <w:t>m</w:t>
      </w:r>
      <w:r w:rsidRPr="00C37255">
        <w:rPr>
          <w:rStyle w:val="AERtextitalic"/>
        </w:rPr>
        <w:t>anagement</w:t>
      </w:r>
      <w:r>
        <w:t>, vol. 33(2), December 2008, pp. 391</w:t>
      </w:r>
      <w:r w:rsidRPr="00CE4FAF">
        <w:t>–</w:t>
      </w:r>
      <w:r>
        <w:t>406.</w:t>
      </w:r>
    </w:p>
  </w:footnote>
  <w:footnote w:id="743">
    <w:p w:rsidR="00B31E52" w:rsidRDefault="00B31E52" w:rsidP="00C52695">
      <w:pPr>
        <w:pStyle w:val="FootnoteText"/>
      </w:pPr>
      <w:r>
        <w:rPr>
          <w:rStyle w:val="FootnoteReference"/>
        </w:rPr>
        <w:footnoteRef/>
      </w:r>
      <w:r>
        <w:t xml:space="preserve"> </w:t>
      </w:r>
      <w:r>
        <w:tab/>
        <w:t xml:space="preserve">NERA, </w:t>
      </w:r>
      <w:r w:rsidRPr="004A02F9">
        <w:rPr>
          <w:rStyle w:val="AERtextitalic"/>
        </w:rPr>
        <w:t>Imputation credits and equity prices and returns, A report for the Energy Networks Association</w:t>
      </w:r>
      <w:r>
        <w:t xml:space="preserve">, October 2013. </w:t>
      </w:r>
    </w:p>
  </w:footnote>
  <w:footnote w:id="744">
    <w:p w:rsidR="00B31E52" w:rsidRDefault="00B31E52" w:rsidP="00C52695">
      <w:pPr>
        <w:pStyle w:val="FootnoteText"/>
      </w:pPr>
      <w:r>
        <w:rPr>
          <w:rStyle w:val="FootnoteReference"/>
        </w:rPr>
        <w:footnoteRef/>
      </w:r>
      <w:r>
        <w:t xml:space="preserve"> </w:t>
      </w:r>
      <w:r>
        <w:tab/>
        <w:t xml:space="preserve">P. Lajbcygier and S. Wheatley, 'Imputation credits and equity returns', </w:t>
      </w:r>
      <w:r w:rsidRPr="00336C79">
        <w:rPr>
          <w:rStyle w:val="AERtextitalic"/>
        </w:rPr>
        <w:t>The economic record</w:t>
      </w:r>
      <w:r>
        <w:t>, vol. 88 (283), December 2012, pp. 476–494.</w:t>
      </w:r>
    </w:p>
  </w:footnote>
  <w:footnote w:id="745">
    <w:p w:rsidR="00B31E52" w:rsidRDefault="00B31E52" w:rsidP="00C52695">
      <w:pPr>
        <w:pStyle w:val="FootnoteText"/>
      </w:pPr>
      <w:r>
        <w:rPr>
          <w:rStyle w:val="FootnoteReference"/>
        </w:rPr>
        <w:footnoteRef/>
      </w:r>
      <w:r>
        <w:t xml:space="preserve"> </w:t>
      </w:r>
      <w:r>
        <w:tab/>
        <w:t xml:space="preserve">K. Siau, S. Sault and G. Warren, 'Are imputation credits capitalised into stock prices', </w:t>
      </w:r>
      <w:r>
        <w:rPr>
          <w:rStyle w:val="AERtextitalic"/>
        </w:rPr>
        <w:t xml:space="preserve">ANU </w:t>
      </w:r>
      <w:r w:rsidRPr="00647825">
        <w:rPr>
          <w:rStyle w:val="AERtextitalic"/>
        </w:rPr>
        <w:t>working paper</w:t>
      </w:r>
      <w:r w:rsidRPr="00647825">
        <w:t>,</w:t>
      </w:r>
      <w:r>
        <w:t xml:space="preserve"> 18 June 2013.</w:t>
      </w:r>
    </w:p>
  </w:footnote>
  <w:footnote w:id="746">
    <w:p w:rsidR="00B31E52" w:rsidRDefault="00B31E52" w:rsidP="00C52695">
      <w:pPr>
        <w:pStyle w:val="FootnoteText"/>
      </w:pPr>
      <w:r>
        <w:rPr>
          <w:rStyle w:val="FootnoteReference"/>
        </w:rPr>
        <w:footnoteRef/>
      </w:r>
      <w:r>
        <w:t xml:space="preserve"> </w:t>
      </w:r>
      <w:r>
        <w:tab/>
        <w:t xml:space="preserve">K. Siau, S. Sault and G. Warren, 'Are imputation credits capitalised into stock prices', </w:t>
      </w:r>
      <w:r>
        <w:rPr>
          <w:rStyle w:val="AERtextitalic"/>
        </w:rPr>
        <w:t>Accounting and Finance,</w:t>
      </w:r>
      <w:r>
        <w:t xml:space="preserve"> Vol. 55, 2015, pp. 241–277.</w:t>
      </w:r>
    </w:p>
  </w:footnote>
  <w:footnote w:id="747">
    <w:p w:rsidR="00B31E52" w:rsidRDefault="00B31E52" w:rsidP="00C52695">
      <w:pPr>
        <w:pStyle w:val="FootnoteText"/>
      </w:pPr>
      <w:r>
        <w:rPr>
          <w:rStyle w:val="FootnoteReference"/>
        </w:rPr>
        <w:footnoteRef/>
      </w:r>
      <w:r>
        <w:t xml:space="preserve"> </w:t>
      </w:r>
      <w:r>
        <w:tab/>
        <w:t xml:space="preserve">NERA, </w:t>
      </w:r>
      <w:r>
        <w:rPr>
          <w:rStyle w:val="AERtextitalic"/>
        </w:rPr>
        <w:t>Do Imputation Credits Lower the Cost of Equity? Cross-Sectional Tests A report for United Energy</w:t>
      </w:r>
      <w:r>
        <w:t>, April 2015.</w:t>
      </w:r>
    </w:p>
  </w:footnote>
  <w:footnote w:id="748">
    <w:p w:rsidR="00B31E52" w:rsidRDefault="00B31E52" w:rsidP="00C52695">
      <w:pPr>
        <w:pStyle w:val="FootnoteText"/>
      </w:pPr>
      <w:r>
        <w:rPr>
          <w:rStyle w:val="FootnoteReference"/>
        </w:rPr>
        <w:footnoteRef/>
      </w:r>
      <w:r>
        <w:t xml:space="preserve"> </w:t>
      </w:r>
      <w:r>
        <w:tab/>
        <w:t xml:space="preserve">H. Chu and G. Partington, 'The market valuation of cash dividends: The case of the CRA bonus issue, </w:t>
      </w:r>
      <w:r w:rsidRPr="00C37255">
        <w:rPr>
          <w:rStyle w:val="AERtextitalic"/>
        </w:rPr>
        <w:t>International review of finance</w:t>
      </w:r>
      <w:r>
        <w:t>, Vol. 8(2), June 2008, pp. 1</w:t>
      </w:r>
      <w:r w:rsidRPr="00CE4FAF">
        <w:t>–</w:t>
      </w:r>
      <w:r>
        <w:t>20.</w:t>
      </w:r>
    </w:p>
  </w:footnote>
  <w:footnote w:id="749">
    <w:p w:rsidR="00B31E52" w:rsidRDefault="00B31E52" w:rsidP="00C52695">
      <w:pPr>
        <w:pStyle w:val="FootnoteText"/>
      </w:pPr>
      <w:r>
        <w:rPr>
          <w:rStyle w:val="FootnoteReference"/>
        </w:rPr>
        <w:footnoteRef/>
      </w:r>
      <w:r>
        <w:t xml:space="preserve"> </w:t>
      </w:r>
      <w:r>
        <w:tab/>
      </w:r>
      <w:r w:rsidRPr="009C64A5">
        <w:t xml:space="preserve">H. Chu and G. Partington, 'The market value of dividends: evidence from a new method', </w:t>
      </w:r>
      <w:r w:rsidRPr="009C64A5">
        <w:rPr>
          <w:rStyle w:val="AERtextitalic"/>
        </w:rPr>
        <w:t xml:space="preserve">Paper presented at the Accounting Association of Australia and New Zealand Annual Conference, Wellington, </w:t>
      </w:r>
      <w:r w:rsidRPr="009C64A5">
        <w:t>2001.</w:t>
      </w:r>
    </w:p>
  </w:footnote>
  <w:footnote w:id="750">
    <w:p w:rsidR="00B31E52" w:rsidRDefault="00B31E52" w:rsidP="00C52695">
      <w:pPr>
        <w:pStyle w:val="FootnoteText"/>
      </w:pPr>
      <w:r>
        <w:rPr>
          <w:rStyle w:val="FootnoteReference"/>
        </w:rPr>
        <w:footnoteRef/>
      </w:r>
      <w:r>
        <w:t xml:space="preserve"> </w:t>
      </w:r>
      <w:r>
        <w:tab/>
        <w:t xml:space="preserve">S. Walker and G. Partington, 'The value of dividends: Evidence from cum-dividend trading in the ex-dividend period', </w:t>
      </w:r>
      <w:r w:rsidRPr="007D37C7">
        <w:rPr>
          <w:rStyle w:val="AERtextitalic"/>
        </w:rPr>
        <w:t>Accounting and Finance</w:t>
      </w:r>
      <w:r>
        <w:t>, vol. 39(3), November 1999, pp. 275</w:t>
      </w:r>
      <w:r w:rsidRPr="00CE4FAF">
        <w:t>–</w:t>
      </w:r>
      <w:r>
        <w:t>296.</w:t>
      </w:r>
    </w:p>
  </w:footnote>
  <w:footnote w:id="751">
    <w:p w:rsidR="00B31E52" w:rsidRDefault="00B31E52" w:rsidP="00C52695">
      <w:pPr>
        <w:pStyle w:val="FootnoteText"/>
      </w:pPr>
      <w:r>
        <w:rPr>
          <w:rStyle w:val="FootnoteReference"/>
        </w:rPr>
        <w:footnoteRef/>
      </w:r>
      <w:r>
        <w:t xml:space="preserve"> </w:t>
      </w:r>
      <w:r>
        <w:tab/>
      </w:r>
      <w:r w:rsidRPr="00D064B9">
        <w:t xml:space="preserve">AusNet Transmission, </w:t>
      </w:r>
      <w:r w:rsidRPr="00D064B9">
        <w:rPr>
          <w:rStyle w:val="AERtextitalic"/>
        </w:rPr>
        <w:t>Transmission Revenue Review 2017-2022</w:t>
      </w:r>
      <w:r w:rsidRPr="00D064B9">
        <w:t>, October 2015, p. </w:t>
      </w:r>
      <w:r>
        <w:t xml:space="preserve">306; Australian Gas Networks, </w:t>
      </w:r>
      <w:r>
        <w:rPr>
          <w:rStyle w:val="AERtextitalic"/>
        </w:rPr>
        <w:t>Attachment 11 Response to Draft Decision: Cost of Tax</w:t>
      </w:r>
      <w:r>
        <w:t xml:space="preserve">, January 2016, p. 20; ActewAGL, </w:t>
      </w:r>
      <w:r w:rsidRPr="00AF5B33">
        <w:rPr>
          <w:rStyle w:val="AERtextitalic"/>
        </w:rPr>
        <w:t>Appendix 5.01 Detailed response to rate of return, gamma and inflation</w:t>
      </w:r>
      <w:r>
        <w:t xml:space="preserve">, January 2016, p. 126; AusNet Electricity Services, </w:t>
      </w:r>
      <w:r w:rsidRPr="00AF5B33">
        <w:rPr>
          <w:rStyle w:val="AERtextitalic"/>
        </w:rPr>
        <w:t>Revised Regulatory Proposal</w:t>
      </w:r>
      <w:r>
        <w:t xml:space="preserve">, January 2016, p. 7-94; United Energy, </w:t>
      </w:r>
      <w:r w:rsidRPr="00AF5B33">
        <w:rPr>
          <w:rStyle w:val="AERtextitalic"/>
        </w:rPr>
        <w:t>Response to AER Preliminary Determination Re: Rate of return and gamma</w:t>
      </w:r>
      <w:r>
        <w:t xml:space="preserve">, January 2016, p. 95; CitiPower, </w:t>
      </w:r>
      <w:r w:rsidRPr="00AF5B33">
        <w:rPr>
          <w:rStyle w:val="AERtextitalic"/>
        </w:rPr>
        <w:t>Revised Regulatory Proposal 2016-2020</w:t>
      </w:r>
      <w:r>
        <w:t xml:space="preserve">; January 2016, p. 373; Jemena Electricity Networks, </w:t>
      </w:r>
      <w:r w:rsidRPr="00AF5B33">
        <w:rPr>
          <w:rStyle w:val="AERtextitalic"/>
        </w:rPr>
        <w:t>Attachment 6-1 Rate of return, gamma, forecast inflation, and debt and equity raising costs</w:t>
      </w:r>
      <w:r>
        <w:t xml:space="preserve">, January 2016, p. 102; Powercor, </w:t>
      </w:r>
      <w:r w:rsidRPr="00AF5B33">
        <w:rPr>
          <w:rStyle w:val="AERtextitalic"/>
        </w:rPr>
        <w:t>Revised Regulatory Proposal 2016-2020</w:t>
      </w:r>
      <w:r>
        <w:t>, January 2016, p. 367.</w:t>
      </w:r>
    </w:p>
  </w:footnote>
  <w:footnote w:id="752">
    <w:p w:rsidR="00B31E52" w:rsidRDefault="00B31E52" w:rsidP="00C52695">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xml:space="preserve">, 26 February 2016, </w:t>
      </w:r>
      <w:r w:rsidRPr="00AC2168">
        <w:t>para. 1092.</w:t>
      </w:r>
    </w:p>
  </w:footnote>
  <w:footnote w:id="753">
    <w:p w:rsidR="00B31E52" w:rsidRDefault="00B31E52" w:rsidP="00DA4BFB">
      <w:pPr>
        <w:pStyle w:val="FootnoteText"/>
      </w:pPr>
      <w:r>
        <w:rPr>
          <w:rStyle w:val="FootnoteReference"/>
        </w:rPr>
        <w:footnoteRef/>
      </w:r>
      <w:r>
        <w:t xml:space="preserve"> </w:t>
      </w:r>
      <w:r>
        <w:tab/>
        <w:t xml:space="preserve">Frontier, </w:t>
      </w:r>
      <w:r>
        <w:rPr>
          <w:rStyle w:val="AERtextitalic"/>
        </w:rPr>
        <w:t>An updated dividend drop-off estimate of theta: Report prepared for AGN, MultiNet Gas, AusNet Transmission, AusNet Gas Distribution and TransGrid</w:t>
      </w:r>
      <w:r>
        <w:t>, September</w:t>
      </w:r>
      <w:r w:rsidRPr="00B86472">
        <w:t xml:space="preserve"> 201</w:t>
      </w:r>
      <w:r>
        <w:t>6</w:t>
      </w:r>
      <w:r w:rsidRPr="00B86472">
        <w:t>.</w:t>
      </w:r>
    </w:p>
  </w:footnote>
  <w:footnote w:id="754">
    <w:p w:rsidR="00B31E52" w:rsidRDefault="00B31E52" w:rsidP="00C52695">
      <w:pPr>
        <w:pStyle w:val="FootnoteText"/>
      </w:pPr>
      <w:r>
        <w:rPr>
          <w:rStyle w:val="FootnoteReference"/>
        </w:rPr>
        <w:footnoteRef/>
      </w:r>
      <w:r>
        <w:t xml:space="preserve"> </w:t>
      </w:r>
      <w:r>
        <w:tab/>
      </w:r>
      <w:r w:rsidRPr="00913229">
        <w:t xml:space="preserve">D. Vo, B. Gellard and S. Mero, 'Estimating the market value of franking credits: Empirical evidence from Australia', </w:t>
      </w:r>
      <w:r w:rsidRPr="00913229">
        <w:rPr>
          <w:rStyle w:val="AERtextitalic"/>
        </w:rPr>
        <w:t>ERA working paper</w:t>
      </w:r>
      <w:r w:rsidRPr="00913229">
        <w:t>, April 2013.</w:t>
      </w:r>
    </w:p>
  </w:footnote>
  <w:footnote w:id="755">
    <w:p w:rsidR="00B31E52" w:rsidRDefault="00B31E52" w:rsidP="00C52695">
      <w:pPr>
        <w:pStyle w:val="FootnoteText"/>
      </w:pPr>
      <w:r>
        <w:rPr>
          <w:rStyle w:val="FootnoteReference"/>
        </w:rPr>
        <w:footnoteRef/>
      </w:r>
      <w:r>
        <w:t xml:space="preserve"> </w:t>
      </w:r>
      <w:r>
        <w:tab/>
        <w:t xml:space="preserve">SFG, </w:t>
      </w:r>
      <w:r w:rsidRPr="002B2BAB">
        <w:rPr>
          <w:rStyle w:val="AERtextitalic"/>
        </w:rPr>
        <w:t>Updated dividend drop-off estimate of theta</w:t>
      </w:r>
      <w:r>
        <w:rPr>
          <w:rStyle w:val="AERtextitalic"/>
        </w:rPr>
        <w:t>: Report for the Energy Networks Association</w:t>
      </w:r>
      <w:r>
        <w:t>, 7 </w:t>
      </w:r>
      <w:r w:rsidRPr="00B86472">
        <w:t>June 2013</w:t>
      </w:r>
      <w:r>
        <w:t>, p. 1</w:t>
      </w:r>
      <w:r w:rsidRPr="00B86472">
        <w:t>.</w:t>
      </w:r>
    </w:p>
  </w:footnote>
  <w:footnote w:id="756">
    <w:p w:rsidR="00B31E52" w:rsidRDefault="00B31E52" w:rsidP="00C52695">
      <w:pPr>
        <w:pStyle w:val="FootnoteText"/>
      </w:pPr>
      <w:r>
        <w:rPr>
          <w:rStyle w:val="FootnoteReference"/>
        </w:rPr>
        <w:footnoteRef/>
      </w:r>
      <w:r>
        <w:t xml:space="preserve"> </w:t>
      </w:r>
      <w:r>
        <w:tab/>
        <w:t xml:space="preserve">SFG, </w:t>
      </w:r>
      <w:r w:rsidRPr="00B86472">
        <w:rPr>
          <w:rStyle w:val="AERtextitalic"/>
        </w:rPr>
        <w:t>Dividend drop-off estimate of theta</w:t>
      </w:r>
      <w:r>
        <w:rPr>
          <w:rStyle w:val="AERtextitalic"/>
        </w:rPr>
        <w:t>, Final report, Re: Application by Energex Limited (No 2) [2010] ACompT 7,</w:t>
      </w:r>
      <w:r>
        <w:t xml:space="preserve"> 21 March 2011, p. 3.</w:t>
      </w:r>
    </w:p>
  </w:footnote>
  <w:footnote w:id="757">
    <w:p w:rsidR="00B31E52" w:rsidRDefault="00B31E52" w:rsidP="00C52695">
      <w:pPr>
        <w:pStyle w:val="FootnoteText"/>
      </w:pPr>
      <w:r>
        <w:rPr>
          <w:rStyle w:val="FootnoteReference"/>
        </w:rPr>
        <w:footnoteRef/>
      </w:r>
      <w:r>
        <w:t xml:space="preserve"> </w:t>
      </w:r>
      <w:r>
        <w:tab/>
        <w:t xml:space="preserve">A. Minney, 'The valuation of franking credits to investors', </w:t>
      </w:r>
      <w:r w:rsidRPr="00CD1C0D">
        <w:rPr>
          <w:rStyle w:val="AERtextitalic"/>
        </w:rPr>
        <w:t>JASSA: The FINS</w:t>
      </w:r>
      <w:r>
        <w:rPr>
          <w:rStyle w:val="AERtextitalic"/>
        </w:rPr>
        <w:t>I</w:t>
      </w:r>
      <w:r w:rsidRPr="00CD1C0D">
        <w:rPr>
          <w:rStyle w:val="AERtextitalic"/>
        </w:rPr>
        <w:t>A journal of applied finance</w:t>
      </w:r>
      <w:r>
        <w:t>, no. 2, 2010, p. 32.</w:t>
      </w:r>
    </w:p>
  </w:footnote>
  <w:footnote w:id="758">
    <w:p w:rsidR="00B31E52" w:rsidRDefault="00B31E52" w:rsidP="00C52695">
      <w:pPr>
        <w:pStyle w:val="FootnoteText"/>
      </w:pPr>
      <w:r>
        <w:rPr>
          <w:rStyle w:val="FootnoteReference"/>
        </w:rPr>
        <w:footnoteRef/>
      </w:r>
      <w:r>
        <w:t xml:space="preserve"> </w:t>
      </w:r>
      <w:r>
        <w:tab/>
        <w:t xml:space="preserve">D. Beggs and C. Skeels, 'Market arbitrage of cash dividends and franking credits', </w:t>
      </w:r>
      <w:r w:rsidRPr="00341F25">
        <w:rPr>
          <w:rStyle w:val="AERtextitalic"/>
        </w:rPr>
        <w:t>The economic record</w:t>
      </w:r>
      <w:r>
        <w:t>, vol. 82, 2006, p. 247.</w:t>
      </w:r>
    </w:p>
  </w:footnote>
  <w:footnote w:id="759">
    <w:p w:rsidR="00B31E52" w:rsidRDefault="00B31E52" w:rsidP="00C52695">
      <w:pPr>
        <w:pStyle w:val="FootnoteText"/>
      </w:pPr>
      <w:r>
        <w:rPr>
          <w:rStyle w:val="FootnoteReference"/>
        </w:rPr>
        <w:footnoteRef/>
      </w:r>
      <w:r>
        <w:t xml:space="preserve"> </w:t>
      </w:r>
      <w:r>
        <w:tab/>
        <w:t xml:space="preserve">N. Hathaway and B. Officer, </w:t>
      </w:r>
      <w:r w:rsidRPr="00AF729D">
        <w:rPr>
          <w:rStyle w:val="AERtextitalic"/>
        </w:rPr>
        <w:t>The value of imputation tax credits</w:t>
      </w:r>
      <w:r>
        <w:rPr>
          <w:rStyle w:val="AERtextitalic"/>
        </w:rPr>
        <w:t xml:space="preserve">, </w:t>
      </w:r>
      <w:r w:rsidRPr="00AF729D">
        <w:rPr>
          <w:rStyle w:val="AERtextitalic"/>
        </w:rPr>
        <w:t>Update 2004</w:t>
      </w:r>
      <w:r>
        <w:t>, November 2004, p. 21.</w:t>
      </w:r>
    </w:p>
  </w:footnote>
  <w:footnote w:id="760">
    <w:p w:rsidR="00B31E52" w:rsidRDefault="00B31E52" w:rsidP="00C52695">
      <w:pPr>
        <w:pStyle w:val="FootnoteText"/>
      </w:pPr>
      <w:r>
        <w:rPr>
          <w:rStyle w:val="FootnoteReference"/>
        </w:rPr>
        <w:footnoteRef/>
      </w:r>
      <w:r>
        <w:t xml:space="preserve"> </w:t>
      </w:r>
      <w:r>
        <w:tab/>
      </w:r>
      <w:r w:rsidRPr="003A3A99">
        <w:t xml:space="preserve">D. Bellamy and S. Gray, 'Using stock price changes to estimate the value of dividend franking credits', </w:t>
      </w:r>
      <w:r w:rsidRPr="003A3A99">
        <w:rPr>
          <w:rStyle w:val="AERtextitalic"/>
        </w:rPr>
        <w:t>working paper, University of Queensland Business School</w:t>
      </w:r>
      <w:r>
        <w:t>, March 2004, pp. 5 and 21.</w:t>
      </w:r>
    </w:p>
  </w:footnote>
  <w:footnote w:id="761">
    <w:p w:rsidR="00B31E52" w:rsidRDefault="00B31E52" w:rsidP="00C52695">
      <w:pPr>
        <w:pStyle w:val="FootnoteText"/>
      </w:pPr>
      <w:r>
        <w:rPr>
          <w:rStyle w:val="FootnoteReference"/>
        </w:rPr>
        <w:footnoteRef/>
      </w:r>
      <w:r>
        <w:t xml:space="preserve"> </w:t>
      </w:r>
      <w:r>
        <w:tab/>
        <w:t>P. Bruckner, N. Dews and D. White, '</w:t>
      </w:r>
      <w:r w:rsidRPr="002B2BAB">
        <w:t xml:space="preserve">Capturing </w:t>
      </w:r>
      <w:r>
        <w:t>v</w:t>
      </w:r>
      <w:r w:rsidRPr="002B2BAB">
        <w:t xml:space="preserve">alue from </w:t>
      </w:r>
      <w:r>
        <w:t>d</w:t>
      </w:r>
      <w:r w:rsidRPr="002B2BAB">
        <w:t xml:space="preserve">ividend </w:t>
      </w:r>
      <w:r>
        <w:t>i</w:t>
      </w:r>
      <w:r w:rsidRPr="002B2BAB">
        <w:t xml:space="preserve">mputation: How Australian </w:t>
      </w:r>
      <w:r>
        <w:t>c</w:t>
      </w:r>
      <w:r w:rsidRPr="002B2BAB">
        <w:t xml:space="preserve">ompanies </w:t>
      </w:r>
      <w:r>
        <w:t>s</w:t>
      </w:r>
      <w:r w:rsidRPr="002B2BAB">
        <w:t xml:space="preserve">hould </w:t>
      </w:r>
      <w:r>
        <w:t>r</w:t>
      </w:r>
      <w:r w:rsidRPr="002B2BAB">
        <w:t xml:space="preserve">ecognize and </w:t>
      </w:r>
      <w:r>
        <w:t>c</w:t>
      </w:r>
      <w:r w:rsidRPr="002B2BAB">
        <w:t xml:space="preserve">apitalise on a </w:t>
      </w:r>
      <w:r>
        <w:t>m</w:t>
      </w:r>
      <w:r w:rsidRPr="002B2BAB">
        <w:t xml:space="preserve">ajor </w:t>
      </w:r>
      <w:r>
        <w:t>o</w:t>
      </w:r>
      <w:r w:rsidRPr="002B2BAB">
        <w:t xml:space="preserve">pportunity to </w:t>
      </w:r>
      <w:r>
        <w:t>i</w:t>
      </w:r>
      <w:r w:rsidRPr="002B2BAB">
        <w:t xml:space="preserve">ncrease </w:t>
      </w:r>
      <w:r>
        <w:t>s</w:t>
      </w:r>
      <w:r w:rsidRPr="002B2BAB">
        <w:t xml:space="preserve">hareholder </w:t>
      </w:r>
      <w:r>
        <w:t>v</w:t>
      </w:r>
      <w:r w:rsidRPr="002B2BAB">
        <w:t>alue</w:t>
      </w:r>
      <w:r>
        <w:t xml:space="preserve">', </w:t>
      </w:r>
      <w:r w:rsidRPr="0073373B">
        <w:rPr>
          <w:rStyle w:val="AERtextitalic"/>
        </w:rPr>
        <w:t>McKinsey and Company report</w:t>
      </w:r>
      <w:r w:rsidRPr="005A578B">
        <w:t>,</w:t>
      </w:r>
      <w:r>
        <w:t xml:space="preserve"> 1994, p. 27.</w:t>
      </w:r>
    </w:p>
  </w:footnote>
  <w:footnote w:id="762">
    <w:p w:rsidR="00B31E52" w:rsidRDefault="00B31E52" w:rsidP="00C52695">
      <w:pPr>
        <w:pStyle w:val="FootnoteText"/>
      </w:pPr>
      <w:r>
        <w:rPr>
          <w:rStyle w:val="FootnoteReference"/>
        </w:rPr>
        <w:footnoteRef/>
      </w:r>
      <w:r>
        <w:t xml:space="preserve"> </w:t>
      </w:r>
      <w:r>
        <w:tab/>
        <w:t xml:space="preserve">P. Brown and A. Clarke, 'The ex-dividend day behaviour of Australian share prices before and after dividend imputation', </w:t>
      </w:r>
      <w:r w:rsidRPr="00B86472">
        <w:rPr>
          <w:rStyle w:val="AERtextitalic"/>
        </w:rPr>
        <w:t xml:space="preserve">Australian </w:t>
      </w:r>
      <w:r>
        <w:rPr>
          <w:rStyle w:val="AERtextitalic"/>
        </w:rPr>
        <w:t>j</w:t>
      </w:r>
      <w:r w:rsidRPr="00B86472">
        <w:rPr>
          <w:rStyle w:val="AERtextitalic"/>
        </w:rPr>
        <w:t xml:space="preserve">ournal of </w:t>
      </w:r>
      <w:r>
        <w:rPr>
          <w:rStyle w:val="AERtextitalic"/>
        </w:rPr>
        <w:t>m</w:t>
      </w:r>
      <w:r w:rsidRPr="00B86472">
        <w:rPr>
          <w:rStyle w:val="AERtextitalic"/>
        </w:rPr>
        <w:t>anagement</w:t>
      </w:r>
      <w:r>
        <w:t>, vol. 18, June 1993, p. 1.</w:t>
      </w:r>
    </w:p>
  </w:footnote>
  <w:footnote w:id="763">
    <w:p w:rsidR="00B31E52" w:rsidRDefault="00B31E52" w:rsidP="00C52695">
      <w:pPr>
        <w:pStyle w:val="FootnoteText"/>
      </w:pPr>
      <w:r>
        <w:rPr>
          <w:rStyle w:val="FootnoteReference"/>
        </w:rPr>
        <w:footnoteRef/>
      </w:r>
      <w:r>
        <w:t xml:space="preserve"> </w:t>
      </w:r>
      <w:r>
        <w:tab/>
        <w:t xml:space="preserve">A. Ainsworth, G. Partington and G. Warren, </w:t>
      </w:r>
      <w:r w:rsidRPr="00814197">
        <w:rPr>
          <w:rStyle w:val="AERtextitalic"/>
        </w:rPr>
        <w:t>Do franking credits matter? Exploring the financial implications of dividend imputation</w:t>
      </w:r>
      <w:r>
        <w:t>, May 2015, p. 17.</w:t>
      </w:r>
    </w:p>
  </w:footnote>
  <w:footnote w:id="764">
    <w:p w:rsidR="00B31E52" w:rsidRDefault="00B31E52">
      <w:pPr>
        <w:pStyle w:val="FootnoteText"/>
      </w:pPr>
      <w:r>
        <w:rPr>
          <w:rStyle w:val="FootnoteReference"/>
        </w:rPr>
        <w:footnoteRef/>
      </w:r>
      <w:r>
        <w:t xml:space="preserve"> </w:t>
      </w:r>
      <w:r>
        <w:tab/>
        <w:t xml:space="preserve">Frontier, </w:t>
      </w:r>
      <w:r>
        <w:rPr>
          <w:rStyle w:val="AERtextitalic"/>
        </w:rPr>
        <w:t>An updated dividend drop-off estimate of theta: Report prepared for AGN, MultiNet Gas, AusNet Transmission, AusNet Gas Distribution and TransGrid</w:t>
      </w:r>
      <w:r>
        <w:t>, September</w:t>
      </w:r>
      <w:r w:rsidRPr="00B86472">
        <w:t xml:space="preserve"> 201</w:t>
      </w:r>
      <w:r>
        <w:t xml:space="preserve">6, p. 6; AusNet Transmission, </w:t>
      </w:r>
      <w:r>
        <w:rPr>
          <w:rStyle w:val="AERtextitalic"/>
        </w:rPr>
        <w:t>Transmission Revenue Proposal Review 2017-2022, Revised Revenue Proposal</w:t>
      </w:r>
      <w:r>
        <w:t>, 21 September 2016, pp. 209, 212.</w:t>
      </w:r>
    </w:p>
  </w:footnote>
  <w:footnote w:id="765">
    <w:p w:rsidR="00B31E52" w:rsidRDefault="00B31E52">
      <w:pPr>
        <w:pStyle w:val="FootnoteText"/>
      </w:pPr>
      <w:r>
        <w:rPr>
          <w:rStyle w:val="FootnoteReference"/>
        </w:rPr>
        <w:footnoteRef/>
      </w:r>
      <w:r>
        <w:t xml:space="preserve"> </w:t>
      </w:r>
      <w:r>
        <w:tab/>
        <w:t xml:space="preserve">AusNet Transmission, </w:t>
      </w:r>
      <w:r>
        <w:rPr>
          <w:rStyle w:val="AERtextitalic"/>
        </w:rPr>
        <w:t>Transmission Revenue Proposal Review 2017-2022, Revised Revenue Proposal</w:t>
      </w:r>
      <w:r>
        <w:t xml:space="preserve">, 21 September 2016, p. 209; Frontier, </w:t>
      </w:r>
      <w:r>
        <w:rPr>
          <w:rStyle w:val="AERtextitalic"/>
        </w:rPr>
        <w:t>An updated dividend drop-off estimate of theta: Report prepared for AGN, MultiNet Gas, AusNet Transmission, AusNet Gas Distribution and TransGrid</w:t>
      </w:r>
      <w:r>
        <w:t>, September</w:t>
      </w:r>
      <w:r w:rsidRPr="00B86472">
        <w:t xml:space="preserve"> 201</w:t>
      </w:r>
      <w:r>
        <w:t>6</w:t>
      </w:r>
      <w:r w:rsidRPr="00B86472">
        <w:t>.</w:t>
      </w:r>
    </w:p>
  </w:footnote>
  <w:footnote w:id="766">
    <w:p w:rsidR="00B31E52" w:rsidRPr="00037690" w:rsidRDefault="00B31E52" w:rsidP="00037690">
      <w:pPr>
        <w:pStyle w:val="FootnoteText"/>
        <w:rPr>
          <w:rStyle w:val="AERtextitalic"/>
          <w:i w:val="0"/>
        </w:rPr>
      </w:pPr>
      <w:r>
        <w:rPr>
          <w:rStyle w:val="FootnoteReference"/>
        </w:rPr>
        <w:footnoteRef/>
      </w:r>
      <w:r>
        <w:t xml:space="preserve"> </w:t>
      </w:r>
      <w:r>
        <w:tab/>
        <w:t xml:space="preserve">M. Lally, </w:t>
      </w:r>
      <w:r w:rsidRPr="00E750F8">
        <w:rPr>
          <w:rStyle w:val="AERtextitalic"/>
        </w:rPr>
        <w:t>Issues in the estimation of gamma</w:t>
      </w:r>
      <w:r>
        <w:t>, April 2017</w:t>
      </w:r>
      <w:r w:rsidRPr="00037690">
        <w:rPr>
          <w:rStyle w:val="AERtextitalic"/>
          <w:i w:val="0"/>
        </w:rPr>
        <w:t>, p. 4.</w:t>
      </w:r>
    </w:p>
  </w:footnote>
  <w:footnote w:id="767">
    <w:p w:rsidR="00B31E52" w:rsidRDefault="00B31E52" w:rsidP="00037690">
      <w:pPr>
        <w:pStyle w:val="FootnoteText"/>
      </w:pPr>
      <w:r>
        <w:rPr>
          <w:rStyle w:val="FootnoteReference"/>
        </w:rPr>
        <w:footnoteRef/>
      </w:r>
      <w:r>
        <w:t xml:space="preserve"> </w:t>
      </w:r>
      <w:r>
        <w:tab/>
        <w:t xml:space="preserve">M. Lally, </w:t>
      </w:r>
      <w:r w:rsidRPr="00E750F8">
        <w:rPr>
          <w:rStyle w:val="AERtextitalic"/>
        </w:rPr>
        <w:t>Issues in the estimation of gamma</w:t>
      </w:r>
      <w:r>
        <w:t>, April 2017</w:t>
      </w:r>
      <w:r w:rsidRPr="00037690">
        <w:rPr>
          <w:rStyle w:val="AERtextitalic"/>
          <w:i w:val="0"/>
        </w:rPr>
        <w:t>, p. 4.</w:t>
      </w:r>
    </w:p>
  </w:footnote>
  <w:footnote w:id="768">
    <w:p w:rsidR="00B31E52" w:rsidRDefault="00B31E52" w:rsidP="004A20C0">
      <w:pPr>
        <w:pStyle w:val="FootnoteText"/>
      </w:pPr>
      <w:r>
        <w:rPr>
          <w:rStyle w:val="FootnoteReference"/>
        </w:rPr>
        <w:footnoteRef/>
      </w:r>
      <w:r>
        <w:t xml:space="preserve"> </w:t>
      </w:r>
      <w:r>
        <w:tab/>
        <w:t xml:space="preserve">Due to bid-ask bounce and to unrelated price movement over the cum to ex-day interval, aggravated by the high correlation between the imputation credits and the cash dividend which makes it difficult to identify the impact of only the credits on market prices even if the aggregate effect from the cash dividend and the credit were clear. See: M. Lally, </w:t>
      </w:r>
      <w:r w:rsidRPr="00E750F8">
        <w:rPr>
          <w:rStyle w:val="AERtextitalic"/>
        </w:rPr>
        <w:t>Issues in the estimation of gamma</w:t>
      </w:r>
      <w:r>
        <w:t>, April 2017</w:t>
      </w:r>
      <w:r w:rsidRPr="00037690">
        <w:rPr>
          <w:rStyle w:val="AERtextitalic"/>
          <w:i w:val="0"/>
        </w:rPr>
        <w:t>, p. 4.</w:t>
      </w:r>
    </w:p>
  </w:footnote>
  <w:footnote w:id="769">
    <w:p w:rsidR="00B31E52" w:rsidRDefault="00B31E52" w:rsidP="00283213">
      <w:pPr>
        <w:pStyle w:val="FootnoteText"/>
      </w:pPr>
      <w:r>
        <w:rPr>
          <w:rStyle w:val="FootnoteReference"/>
        </w:rPr>
        <w:footnoteRef/>
      </w:r>
      <w:r>
        <w:t xml:space="preserve"> </w:t>
      </w:r>
      <w:r>
        <w:tab/>
        <w:t xml:space="preserve">M. Lally, </w:t>
      </w:r>
      <w:r w:rsidRPr="00E750F8">
        <w:rPr>
          <w:rStyle w:val="AERtextitalic"/>
        </w:rPr>
        <w:t>Issues in the estimation of gamma</w:t>
      </w:r>
      <w:r>
        <w:t>, April 2017</w:t>
      </w:r>
      <w:r w:rsidRPr="00037690">
        <w:rPr>
          <w:rStyle w:val="AERtextitalic"/>
          <w:i w:val="0"/>
        </w:rPr>
        <w:t>, p. </w:t>
      </w:r>
      <w:r w:rsidRPr="00D75E7C">
        <w:rPr>
          <w:rStyle w:val="AERtextitalic"/>
          <w:i w:val="0"/>
        </w:rPr>
        <w:t>5</w:t>
      </w:r>
      <w:r w:rsidRPr="00037690">
        <w:rPr>
          <w:rStyle w:val="AERtextitalic"/>
          <w:i w:val="0"/>
        </w:rPr>
        <w:t>.</w:t>
      </w:r>
    </w:p>
  </w:footnote>
  <w:footnote w:id="770">
    <w:p w:rsidR="00B31E52" w:rsidRDefault="00B31E52">
      <w:pPr>
        <w:pStyle w:val="FootnoteText"/>
      </w:pPr>
      <w:r>
        <w:rPr>
          <w:rStyle w:val="FootnoteReference"/>
        </w:rPr>
        <w:footnoteRef/>
      </w:r>
      <w:r>
        <w:t xml:space="preserve"> </w:t>
      </w:r>
      <w:r>
        <w:tab/>
        <w:t>Pr</w:t>
      </w:r>
      <w:r w:rsidRPr="00875062">
        <w:rPr>
          <w:lang w:val="en-US"/>
        </w:rPr>
        <w:t>ogressively removing the 20 most extreme pairs of observations comprising the one that exerts the most upward effect on the estimated franking credit coefficient and the one exerting the most downward effect, and rerunning the model after each pair is deleted</w:t>
      </w:r>
      <w:r>
        <w:t>.</w:t>
      </w:r>
    </w:p>
  </w:footnote>
  <w:footnote w:id="771">
    <w:p w:rsidR="00B31E52" w:rsidRDefault="00B31E52">
      <w:pPr>
        <w:pStyle w:val="FootnoteText"/>
      </w:pPr>
      <w:r>
        <w:rPr>
          <w:rStyle w:val="FootnoteReference"/>
        </w:rPr>
        <w:footnoteRef/>
      </w:r>
      <w:r>
        <w:t xml:space="preserve"> </w:t>
      </w:r>
      <w:r>
        <w:tab/>
        <w:t>P</w:t>
      </w:r>
      <w:r w:rsidRPr="00875062">
        <w:rPr>
          <w:lang w:val="en-US"/>
        </w:rPr>
        <w:t>rogressively removing the 30 most extreme observations in absolute terms, and rerunning the model after each deletion</w:t>
      </w:r>
      <w:r>
        <w:t>.</w:t>
      </w:r>
    </w:p>
  </w:footnote>
  <w:footnote w:id="772">
    <w:p w:rsidR="00B31E52" w:rsidRDefault="00B31E52" w:rsidP="00875062">
      <w:pPr>
        <w:pStyle w:val="FootnoteText"/>
      </w:pPr>
      <w:r>
        <w:rPr>
          <w:rStyle w:val="FootnoteReference"/>
        </w:rPr>
        <w:footnoteRef/>
      </w:r>
      <w:r>
        <w:t xml:space="preserve"> </w:t>
      </w:r>
      <w:r>
        <w:tab/>
        <w:t xml:space="preserve">M. Lally, </w:t>
      </w:r>
      <w:r w:rsidRPr="00E750F8">
        <w:rPr>
          <w:rStyle w:val="AERtextitalic"/>
        </w:rPr>
        <w:t>Issues in the estimation of gamma</w:t>
      </w:r>
      <w:r>
        <w:t>, April 2017</w:t>
      </w:r>
      <w:r w:rsidRPr="00037690">
        <w:rPr>
          <w:rStyle w:val="AERtextitalic"/>
          <w:i w:val="0"/>
        </w:rPr>
        <w:t>, p. </w:t>
      </w:r>
      <w:r w:rsidRPr="00797AF3">
        <w:rPr>
          <w:rStyle w:val="AERtextitalic"/>
          <w:i w:val="0"/>
        </w:rPr>
        <w:t>5</w:t>
      </w:r>
      <w:r w:rsidRPr="00037690">
        <w:rPr>
          <w:rStyle w:val="AERtextitalic"/>
          <w:i w:val="0"/>
        </w:rPr>
        <w:t>.</w:t>
      </w:r>
    </w:p>
  </w:footnote>
  <w:footnote w:id="773">
    <w:p w:rsidR="00B31E52" w:rsidRPr="005A48E0" w:rsidRDefault="00B31E52" w:rsidP="005A48E0">
      <w:pPr>
        <w:pStyle w:val="FootnoteText"/>
      </w:pPr>
      <w:r>
        <w:rPr>
          <w:rStyle w:val="FootnoteReference"/>
        </w:rPr>
        <w:footnoteRef/>
      </w:r>
      <w:r>
        <w:t xml:space="preserve"> </w:t>
      </w:r>
      <w:r>
        <w:tab/>
        <w:t xml:space="preserve">M. Lally, </w:t>
      </w:r>
      <w:r w:rsidRPr="00E750F8">
        <w:rPr>
          <w:rStyle w:val="AERtextitalic"/>
        </w:rPr>
        <w:t>Issues in the estimation of gamma</w:t>
      </w:r>
      <w:r>
        <w:t>, April 2017</w:t>
      </w:r>
      <w:r w:rsidRPr="005A48E0">
        <w:rPr>
          <w:rStyle w:val="AERtextitalic"/>
          <w:i w:val="0"/>
        </w:rPr>
        <w:t>, p</w:t>
      </w:r>
      <w:r w:rsidRPr="00D75E7C">
        <w:rPr>
          <w:rStyle w:val="AERtextitalic"/>
          <w:i w:val="0"/>
        </w:rPr>
        <w:t>p</w:t>
      </w:r>
      <w:r w:rsidRPr="005A48E0">
        <w:rPr>
          <w:rStyle w:val="AERtextitalic"/>
          <w:i w:val="0"/>
        </w:rPr>
        <w:t>. 5</w:t>
      </w:r>
      <w:r w:rsidRPr="00D75E7C">
        <w:rPr>
          <w:rStyle w:val="AERtextitalic"/>
          <w:i w:val="0"/>
        </w:rPr>
        <w:t>, 8-9</w:t>
      </w:r>
      <w:r w:rsidRPr="00B449E0">
        <w:rPr>
          <w:rStyle w:val="AERtextitalic"/>
          <w:i w:val="0"/>
        </w:rPr>
        <w:t>.</w:t>
      </w:r>
    </w:p>
  </w:footnote>
  <w:footnote w:id="774">
    <w:p w:rsidR="00B31E52" w:rsidRDefault="00B31E52" w:rsidP="00FF38EE">
      <w:pPr>
        <w:pStyle w:val="FootnoteText"/>
      </w:pPr>
      <w:r>
        <w:rPr>
          <w:rStyle w:val="FootnoteReference"/>
        </w:rPr>
        <w:footnoteRef/>
      </w:r>
      <w:r>
        <w:t xml:space="preserve"> </w:t>
      </w:r>
      <w:r>
        <w:tab/>
        <w:t xml:space="preserve">M. Lally, </w:t>
      </w:r>
      <w:r w:rsidRPr="00E750F8">
        <w:rPr>
          <w:rStyle w:val="AERtextitalic"/>
        </w:rPr>
        <w:t>Issues in the estimation of gamma</w:t>
      </w:r>
      <w:r>
        <w:t>, April 2017</w:t>
      </w:r>
      <w:r w:rsidRPr="00037690">
        <w:rPr>
          <w:rStyle w:val="AERtextitalic"/>
          <w:i w:val="0"/>
        </w:rPr>
        <w:t>, p. </w:t>
      </w:r>
      <w:r w:rsidRPr="00797AF3">
        <w:rPr>
          <w:rStyle w:val="AERtextitalic"/>
          <w:i w:val="0"/>
        </w:rPr>
        <w:t>5</w:t>
      </w:r>
      <w:r w:rsidRPr="00037690">
        <w:rPr>
          <w:rStyle w:val="AERtextitalic"/>
          <w:i w:val="0"/>
        </w:rPr>
        <w:t>.</w:t>
      </w:r>
    </w:p>
  </w:footnote>
  <w:footnote w:id="775">
    <w:p w:rsidR="00B31E52" w:rsidRDefault="00B31E52" w:rsidP="00B505F7">
      <w:pPr>
        <w:pStyle w:val="FootnoteText"/>
      </w:pPr>
      <w:r>
        <w:rPr>
          <w:rStyle w:val="FootnoteReference"/>
        </w:rPr>
        <w:footnoteRef/>
      </w:r>
      <w:r>
        <w:t xml:space="preserve"> </w:t>
      </w:r>
      <w:r>
        <w:tab/>
        <w:t xml:space="preserve">M. Lally, </w:t>
      </w:r>
      <w:r w:rsidRPr="00E750F8">
        <w:rPr>
          <w:rStyle w:val="AERtextitalic"/>
        </w:rPr>
        <w:t>Issues in the estimation of gamma</w:t>
      </w:r>
      <w:r>
        <w:t>, April 2017</w:t>
      </w:r>
      <w:r w:rsidRPr="00B449E0">
        <w:rPr>
          <w:rStyle w:val="AERtextitalic"/>
          <w:i w:val="0"/>
        </w:rPr>
        <w:t>, p</w:t>
      </w:r>
      <w:r w:rsidRPr="00D75E7C">
        <w:rPr>
          <w:rStyle w:val="AERtextitalic"/>
          <w:i w:val="0"/>
        </w:rPr>
        <w:t>p</w:t>
      </w:r>
      <w:r w:rsidRPr="00B505F7">
        <w:rPr>
          <w:rStyle w:val="AERtextitalic"/>
          <w:i w:val="0"/>
        </w:rPr>
        <w:t>. </w:t>
      </w:r>
      <w:r w:rsidRPr="00B449E0">
        <w:rPr>
          <w:rStyle w:val="AERtextitalic"/>
          <w:i w:val="0"/>
        </w:rPr>
        <w:t>5</w:t>
      </w:r>
      <w:r w:rsidRPr="00D75E7C">
        <w:rPr>
          <w:rStyle w:val="AERtextitalic"/>
          <w:i w:val="0"/>
        </w:rPr>
        <w:t>, 7</w:t>
      </w:r>
      <w:r w:rsidRPr="00B505F7">
        <w:rPr>
          <w:rStyle w:val="AERtextitalic"/>
          <w:i w:val="0"/>
        </w:rPr>
        <w:t>.</w:t>
      </w:r>
    </w:p>
  </w:footnote>
  <w:footnote w:id="776">
    <w:p w:rsidR="00B31E52" w:rsidRPr="00032060" w:rsidRDefault="00B31E52" w:rsidP="00E750F8">
      <w:pPr>
        <w:pStyle w:val="FootnoteText"/>
        <w:rPr>
          <w:rFonts w:ascii="Times New Roman" w:hAnsi="Times New Roman" w:cs="Times New Roman"/>
        </w:rPr>
      </w:pPr>
      <w:r w:rsidRPr="00032060">
        <w:rPr>
          <w:rStyle w:val="FootnoteReference"/>
          <w:rFonts w:ascii="Times New Roman" w:hAnsi="Times New Roman" w:cs="Times New Roman"/>
        </w:rPr>
        <w:footnoteRef/>
      </w:r>
      <w:r w:rsidRPr="00032060">
        <w:t xml:space="preserve"> </w:t>
      </w:r>
      <w:r>
        <w:tab/>
      </w:r>
      <w:r w:rsidRPr="00E750F8">
        <w:t xml:space="preserve">Mero et al (2017) conduct a number of </w:t>
      </w:r>
      <w:r w:rsidRPr="00FF38EE">
        <w:t>formal tests of these models.</w:t>
      </w:r>
      <w:r w:rsidRPr="00E750F8">
        <w:t xml:space="preserve"> Remarkably, they find that only Model 4 fails the heteroscedasticity test despite the fact that SFG (2011) develops it in order to address this problem and Frontier (2016a) favours it.</w:t>
      </w:r>
      <w:r>
        <w:t xml:space="preserve"> See: M. Lally, Issues in the estimation of gamma, April 2017</w:t>
      </w:r>
      <w:r w:rsidRPr="00E750F8">
        <w:rPr>
          <w:rStyle w:val="AERtextitalic"/>
          <w:i w:val="0"/>
        </w:rPr>
        <w:t>, pp. 5-6.</w:t>
      </w:r>
    </w:p>
  </w:footnote>
  <w:footnote w:id="777">
    <w:p w:rsidR="00B31E52" w:rsidRDefault="00B31E52" w:rsidP="00A962CC">
      <w:pPr>
        <w:pStyle w:val="FootnoteText"/>
      </w:pPr>
      <w:r>
        <w:rPr>
          <w:rStyle w:val="FootnoteReference"/>
        </w:rPr>
        <w:footnoteRef/>
      </w:r>
      <w:r>
        <w:t xml:space="preserve"> </w:t>
      </w:r>
      <w:r>
        <w:tab/>
        <w:t xml:space="preserve">M. Lally, </w:t>
      </w:r>
      <w:r w:rsidRPr="00E750F8">
        <w:rPr>
          <w:rStyle w:val="AERtextitalic"/>
        </w:rPr>
        <w:t>Issues in the estimation of gamma</w:t>
      </w:r>
      <w:r>
        <w:t>, April 2017</w:t>
      </w:r>
      <w:r w:rsidRPr="00037690">
        <w:rPr>
          <w:rStyle w:val="AERtextitalic"/>
          <w:i w:val="0"/>
        </w:rPr>
        <w:t>, p. </w:t>
      </w:r>
      <w:r w:rsidRPr="00D75E7C">
        <w:rPr>
          <w:rStyle w:val="AERtextitalic"/>
          <w:i w:val="0"/>
        </w:rPr>
        <w:t>6</w:t>
      </w:r>
      <w:r w:rsidRPr="00037690">
        <w:rPr>
          <w:rStyle w:val="AERtextitalic"/>
          <w:i w:val="0"/>
        </w:rPr>
        <w:t>.</w:t>
      </w:r>
    </w:p>
  </w:footnote>
  <w:footnote w:id="778">
    <w:p w:rsidR="00B31E52" w:rsidRDefault="00B31E52" w:rsidP="00A962CC">
      <w:pPr>
        <w:pStyle w:val="FootnoteText"/>
      </w:pPr>
      <w:r>
        <w:rPr>
          <w:rStyle w:val="FootnoteReference"/>
        </w:rPr>
        <w:footnoteRef/>
      </w:r>
      <w:r>
        <w:t xml:space="preserve"> </w:t>
      </w:r>
      <w:r>
        <w:tab/>
        <w:t xml:space="preserve">M. Lally, </w:t>
      </w:r>
      <w:r w:rsidRPr="00E750F8">
        <w:rPr>
          <w:rStyle w:val="AERtextitalic"/>
        </w:rPr>
        <w:t>Issues in the estimation of gamma</w:t>
      </w:r>
      <w:r>
        <w:t>, April 2017</w:t>
      </w:r>
      <w:r w:rsidRPr="00037690">
        <w:rPr>
          <w:rStyle w:val="AERtextitalic"/>
          <w:i w:val="0"/>
        </w:rPr>
        <w:t>, p. </w:t>
      </w:r>
      <w:r w:rsidRPr="00797AF3">
        <w:rPr>
          <w:rStyle w:val="AERtextitalic"/>
          <w:i w:val="0"/>
        </w:rPr>
        <w:t>6</w:t>
      </w:r>
      <w:r w:rsidRPr="00037690">
        <w:rPr>
          <w:rStyle w:val="AERtextitalic"/>
          <w:i w:val="0"/>
        </w:rPr>
        <w:t>.</w:t>
      </w:r>
    </w:p>
  </w:footnote>
  <w:footnote w:id="779">
    <w:p w:rsidR="00B31E52" w:rsidRDefault="00B31E52" w:rsidP="00FE3642">
      <w:pPr>
        <w:pStyle w:val="FootnoteText"/>
      </w:pPr>
      <w:r>
        <w:rPr>
          <w:rStyle w:val="FootnoteReference"/>
        </w:rPr>
        <w:footnoteRef/>
      </w:r>
      <w:r>
        <w:t xml:space="preserve"> </w:t>
      </w:r>
      <w:r>
        <w:tab/>
        <w:t xml:space="preserve">M. Lally, </w:t>
      </w:r>
      <w:r w:rsidRPr="00E750F8">
        <w:rPr>
          <w:rStyle w:val="AERtextitalic"/>
        </w:rPr>
        <w:t>Issues in the estimation of gamma</w:t>
      </w:r>
      <w:r>
        <w:t>, April 2017</w:t>
      </w:r>
      <w:r w:rsidRPr="00037690">
        <w:rPr>
          <w:rStyle w:val="AERtextitalic"/>
          <w:i w:val="0"/>
        </w:rPr>
        <w:t xml:space="preserve">, </w:t>
      </w:r>
      <w:r w:rsidRPr="00FE3642">
        <w:rPr>
          <w:rStyle w:val="AERtextitalic"/>
          <w:i w:val="0"/>
        </w:rPr>
        <w:t>p. 7.</w:t>
      </w:r>
    </w:p>
  </w:footnote>
  <w:footnote w:id="780">
    <w:p w:rsidR="00B31E52" w:rsidRPr="00FE3642" w:rsidRDefault="00B31E52" w:rsidP="00FE3642">
      <w:pPr>
        <w:pStyle w:val="FootnoteText"/>
      </w:pPr>
      <w:r>
        <w:rPr>
          <w:rStyle w:val="FootnoteReference"/>
        </w:rPr>
        <w:footnoteRef/>
      </w:r>
      <w:r>
        <w:t xml:space="preserve"> </w:t>
      </w:r>
      <w:r>
        <w:tab/>
        <w:t xml:space="preserve">M. Lally, </w:t>
      </w:r>
      <w:r w:rsidRPr="00E750F8">
        <w:rPr>
          <w:rStyle w:val="AERtextitalic"/>
        </w:rPr>
        <w:t>Issues in the estimation of gamma</w:t>
      </w:r>
      <w:r>
        <w:t>, April 2017</w:t>
      </w:r>
      <w:r w:rsidRPr="00037690">
        <w:rPr>
          <w:rStyle w:val="AERtextitalic"/>
          <w:i w:val="0"/>
        </w:rPr>
        <w:t xml:space="preserve">, </w:t>
      </w:r>
      <w:r w:rsidRPr="00FE3642">
        <w:rPr>
          <w:rStyle w:val="AERtextitalic"/>
          <w:i w:val="0"/>
        </w:rPr>
        <w:t>p. 7.</w:t>
      </w:r>
    </w:p>
  </w:footnote>
  <w:footnote w:id="781">
    <w:p w:rsidR="00B31E52" w:rsidRDefault="00B31E52" w:rsidP="00177813">
      <w:pPr>
        <w:pStyle w:val="FootnoteText"/>
      </w:pPr>
      <w:r>
        <w:rPr>
          <w:rStyle w:val="FootnoteReference"/>
        </w:rPr>
        <w:footnoteRef/>
      </w:r>
      <w:r>
        <w:t xml:space="preserve"> </w:t>
      </w:r>
      <w:r>
        <w:tab/>
        <w:t xml:space="preserve">M. Lally, </w:t>
      </w:r>
      <w:r w:rsidRPr="00FE3642">
        <w:rPr>
          <w:rStyle w:val="AERtextitalic"/>
        </w:rPr>
        <w:t>Issues in the estimation of gamma</w:t>
      </w:r>
      <w:r>
        <w:t>, April 2017</w:t>
      </w:r>
      <w:r w:rsidRPr="00D7695B">
        <w:rPr>
          <w:rStyle w:val="AERtextitalic"/>
          <w:i w:val="0"/>
        </w:rPr>
        <w:t>, p. 25.</w:t>
      </w:r>
    </w:p>
  </w:footnote>
  <w:footnote w:id="782">
    <w:p w:rsidR="00B31E52" w:rsidRDefault="00B31E52" w:rsidP="002C7983">
      <w:pPr>
        <w:pStyle w:val="FootnoteText"/>
      </w:pPr>
      <w:r>
        <w:rPr>
          <w:rStyle w:val="FootnoteReference"/>
        </w:rPr>
        <w:footnoteRef/>
      </w:r>
      <w:r>
        <w:t xml:space="preserve"> </w:t>
      </w:r>
      <w:r>
        <w:tab/>
        <w:t xml:space="preserve">Frontier, </w:t>
      </w:r>
      <w:r>
        <w:rPr>
          <w:rStyle w:val="AERtextitalic"/>
        </w:rPr>
        <w:t>An updated dividend drop-off estimate of theta: Report prepared for AGN, MultiNet Gas, AusNet Transmission, AusNet Gas Distribution and TransGrid</w:t>
      </w:r>
      <w:r>
        <w:t>, September</w:t>
      </w:r>
      <w:r w:rsidRPr="00B86472">
        <w:t xml:space="preserve"> 201</w:t>
      </w:r>
      <w:r>
        <w:t>6, p. 31.</w:t>
      </w:r>
    </w:p>
  </w:footnote>
  <w:footnote w:id="783">
    <w:p w:rsidR="00B31E52" w:rsidRDefault="00B31E52" w:rsidP="00C32CF1">
      <w:pPr>
        <w:pStyle w:val="FootnoteText"/>
      </w:pPr>
      <w:r>
        <w:rPr>
          <w:rStyle w:val="FootnoteReference"/>
        </w:rPr>
        <w:footnoteRef/>
      </w:r>
      <w:r>
        <w:t xml:space="preserve"> </w:t>
      </w:r>
      <w:r>
        <w:tab/>
        <w:t xml:space="preserve">SFG, </w:t>
      </w:r>
      <w:r w:rsidRPr="00B86472">
        <w:rPr>
          <w:rStyle w:val="AERtextitalic"/>
        </w:rPr>
        <w:t>Dividend drop-off estimate of theta</w:t>
      </w:r>
      <w:r>
        <w:rPr>
          <w:rStyle w:val="AERtextitalic"/>
        </w:rPr>
        <w:t>, Final report, Re: Application by Energex Limited (No 2) [2010] ACompT 7,</w:t>
      </w:r>
      <w:r>
        <w:t xml:space="preserve"> 21 March 2011, pp. 32-33.</w:t>
      </w:r>
    </w:p>
  </w:footnote>
  <w:footnote w:id="784">
    <w:p w:rsidR="00B31E52" w:rsidRPr="00CB04CA" w:rsidRDefault="00B31E52" w:rsidP="00CB04CA">
      <w:pPr>
        <w:pStyle w:val="FootnoteText"/>
      </w:pPr>
      <w:r>
        <w:rPr>
          <w:rStyle w:val="FootnoteReference"/>
        </w:rPr>
        <w:footnoteRef/>
      </w:r>
      <w:r>
        <w:t xml:space="preserve"> </w:t>
      </w:r>
      <w:r>
        <w:tab/>
      </w:r>
      <w:r w:rsidRPr="00933EC6">
        <w:rPr>
          <w:rStyle w:val="AERbody"/>
          <w:sz w:val="16"/>
        </w:rPr>
        <w:t>Consistent with the 2011 methodology, we note that average of the robust regression estimate of theta is 0.34 which is consistent with the 2011 study. However, the average of the</w:t>
      </w:r>
      <w:r w:rsidRPr="00E268FF">
        <w:rPr>
          <w:rStyle w:val="AERbody"/>
          <w:sz w:val="16"/>
        </w:rPr>
        <w:t xml:space="preserve"> estimate of theta from Model Specification 4 across Table 5 to 6 is 0.38 using the most recent data which is higher than the 0.34 presented in the 2011 study. In the </w:t>
      </w:r>
      <w:r>
        <w:rPr>
          <w:rStyle w:val="AERtextunderline"/>
        </w:rPr>
        <w:t>recent</w:t>
      </w:r>
      <w:r w:rsidRPr="00E268FF">
        <w:rPr>
          <w:rStyle w:val="AERbody"/>
          <w:sz w:val="16"/>
        </w:rPr>
        <w:t xml:space="preserve"> Frontier report we have not bee</w:t>
      </w:r>
      <w:r w:rsidRPr="00D647C5">
        <w:rPr>
          <w:rStyle w:val="AERbody"/>
          <w:sz w:val="16"/>
        </w:rPr>
        <w:t>n provided for data for table 7 and 8. As a result we have only average table 5 and 6. It should be noted that a theta estimate of 0.38 is also consistent with the confidence intervals presented in the latest Frontier report (0.26 to 0.34).</w:t>
      </w:r>
    </w:p>
  </w:footnote>
  <w:footnote w:id="785">
    <w:p w:rsidR="00B31E52" w:rsidRDefault="00B31E52" w:rsidP="00B505F7">
      <w:pPr>
        <w:pStyle w:val="FootnoteText"/>
      </w:pPr>
      <w:r>
        <w:rPr>
          <w:rStyle w:val="FootnoteReference"/>
        </w:rPr>
        <w:footnoteRef/>
      </w:r>
      <w:r>
        <w:t xml:space="preserve"> </w:t>
      </w:r>
      <w:r>
        <w:tab/>
        <w:t xml:space="preserve">M. Lally, </w:t>
      </w:r>
      <w:r w:rsidRPr="00E750F8">
        <w:rPr>
          <w:rStyle w:val="AERtextitalic"/>
        </w:rPr>
        <w:t>Issues in the estimation of gamma</w:t>
      </w:r>
      <w:r>
        <w:t>, April 2017</w:t>
      </w:r>
      <w:r w:rsidRPr="00B505F7">
        <w:rPr>
          <w:rStyle w:val="AERtextitalic"/>
          <w:i w:val="0"/>
        </w:rPr>
        <w:t>, p. </w:t>
      </w:r>
      <w:r w:rsidRPr="00D75E7C">
        <w:rPr>
          <w:rStyle w:val="AERtextitalic"/>
          <w:i w:val="0"/>
        </w:rPr>
        <w:t>8</w:t>
      </w:r>
      <w:r w:rsidRPr="00B505F7">
        <w:rPr>
          <w:rStyle w:val="AERtextitalic"/>
          <w:i w:val="0"/>
        </w:rPr>
        <w:t>.</w:t>
      </w:r>
    </w:p>
  </w:footnote>
  <w:footnote w:id="786">
    <w:p w:rsidR="00B31E52" w:rsidRDefault="00B31E52" w:rsidP="00B505F7">
      <w:pPr>
        <w:pStyle w:val="FootnoteText"/>
      </w:pPr>
      <w:r>
        <w:rPr>
          <w:rStyle w:val="FootnoteReference"/>
        </w:rPr>
        <w:footnoteRef/>
      </w:r>
      <w:r>
        <w:t xml:space="preserve"> </w:t>
      </w:r>
      <w:r>
        <w:tab/>
        <w:t xml:space="preserve">M. Lally, </w:t>
      </w:r>
      <w:r w:rsidRPr="00E750F8">
        <w:rPr>
          <w:rStyle w:val="AERtextitalic"/>
        </w:rPr>
        <w:t>Issues in the estimation of gamma</w:t>
      </w:r>
      <w:r>
        <w:t>, April 2017</w:t>
      </w:r>
      <w:r w:rsidRPr="00B505F7">
        <w:rPr>
          <w:rStyle w:val="AERtextitalic"/>
          <w:i w:val="0"/>
        </w:rPr>
        <w:t>, p. </w:t>
      </w:r>
      <w:r w:rsidRPr="00D75E7C">
        <w:rPr>
          <w:rStyle w:val="AERtextitalic"/>
          <w:i w:val="0"/>
        </w:rPr>
        <w:t>8</w:t>
      </w:r>
      <w:r w:rsidRPr="00B505F7">
        <w:rPr>
          <w:rStyle w:val="AERtextitalic"/>
          <w:i w:val="0"/>
        </w:rPr>
        <w:t>.</w:t>
      </w:r>
    </w:p>
  </w:footnote>
  <w:footnote w:id="787">
    <w:p w:rsidR="00B31E52" w:rsidRDefault="00B31E52" w:rsidP="00C52695">
      <w:pPr>
        <w:pStyle w:val="FootnoteText"/>
      </w:pPr>
      <w:r>
        <w:rPr>
          <w:rStyle w:val="FootnoteReference"/>
        </w:rPr>
        <w:footnoteRef/>
      </w:r>
      <w:r>
        <w:t xml:space="preserve"> </w:t>
      </w:r>
      <w:r>
        <w:tab/>
        <w:t xml:space="preserve">C. Feuerherdt, S. Gray and J. Hall, 'The value of imputation tax credits on Australian hybrid securities', </w:t>
      </w:r>
      <w:r w:rsidRPr="00C37255">
        <w:rPr>
          <w:rStyle w:val="AERtextitalic"/>
        </w:rPr>
        <w:t xml:space="preserve">International </w:t>
      </w:r>
      <w:r>
        <w:rPr>
          <w:rStyle w:val="AERtextitalic"/>
        </w:rPr>
        <w:t>r</w:t>
      </w:r>
      <w:r w:rsidRPr="00C37255">
        <w:rPr>
          <w:rStyle w:val="AERtextitalic"/>
        </w:rPr>
        <w:t xml:space="preserve">eview of </w:t>
      </w:r>
      <w:r>
        <w:rPr>
          <w:rStyle w:val="AERtextitalic"/>
        </w:rPr>
        <w:t>f</w:t>
      </w:r>
      <w:r w:rsidRPr="00C37255">
        <w:rPr>
          <w:rStyle w:val="AERtextitalic"/>
        </w:rPr>
        <w:t>inance,</w:t>
      </w:r>
      <w:r>
        <w:t xml:space="preserve"> vol. 10(3), 2010, pp. 365–401.</w:t>
      </w:r>
    </w:p>
  </w:footnote>
  <w:footnote w:id="788">
    <w:p w:rsidR="00B31E52" w:rsidRDefault="00B31E52" w:rsidP="00C52695">
      <w:pPr>
        <w:pStyle w:val="FootnoteText"/>
      </w:pPr>
      <w:r>
        <w:rPr>
          <w:rStyle w:val="FootnoteReference"/>
        </w:rPr>
        <w:footnoteRef/>
      </w:r>
      <w:r>
        <w:t xml:space="preserve"> </w:t>
      </w:r>
      <w:r>
        <w:tab/>
        <w:t xml:space="preserve">SFG, </w:t>
      </w:r>
      <w:r w:rsidRPr="005E70ED">
        <w:rPr>
          <w:rStyle w:val="AERtextitalic"/>
        </w:rPr>
        <w:t>Using market data to estimate the equilibrium value of distributed imputation tax credits, Report for the Energy Networks Association</w:t>
      </w:r>
      <w:r>
        <w:t>, 3 October 2013, p. 3.</w:t>
      </w:r>
    </w:p>
  </w:footnote>
  <w:footnote w:id="789">
    <w:p w:rsidR="00B31E52" w:rsidRDefault="00B31E52" w:rsidP="00C52695">
      <w:pPr>
        <w:pStyle w:val="FootnoteText"/>
      </w:pPr>
      <w:r>
        <w:rPr>
          <w:rStyle w:val="FootnoteReference"/>
        </w:rPr>
        <w:footnoteRef/>
      </w:r>
      <w:r>
        <w:t xml:space="preserve"> </w:t>
      </w:r>
      <w:r>
        <w:tab/>
        <w:t xml:space="preserve">D. Cannavan, F. Finn, S. Gray, 'The value of dividend imputation tax credits in Australia', </w:t>
      </w:r>
      <w:r>
        <w:rPr>
          <w:rStyle w:val="AERtextitalic"/>
        </w:rPr>
        <w:t>Journal of financial economics</w:t>
      </w:r>
      <w:r>
        <w:t>, vol. 73, 2004, pp. 167</w:t>
      </w:r>
      <w:r w:rsidRPr="003C16EB">
        <w:t>–</w:t>
      </w:r>
      <w:r>
        <w:t>197.</w:t>
      </w:r>
    </w:p>
  </w:footnote>
  <w:footnote w:id="790">
    <w:p w:rsidR="00B31E52" w:rsidRDefault="00B31E52" w:rsidP="00C52695">
      <w:pPr>
        <w:pStyle w:val="FootnoteText"/>
      </w:pPr>
      <w:r>
        <w:rPr>
          <w:rStyle w:val="FootnoteReference"/>
        </w:rPr>
        <w:footnoteRef/>
      </w:r>
      <w:r>
        <w:t xml:space="preserve"> </w:t>
      </w:r>
      <w:r>
        <w:tab/>
        <w:t xml:space="preserve">J. Cummings and A. Frino, 'Tax effects on the pricing of Australian stock index futures', </w:t>
      </w:r>
      <w:r w:rsidRPr="00C37255">
        <w:rPr>
          <w:rStyle w:val="AERtextitalic"/>
        </w:rPr>
        <w:t xml:space="preserve">Australian </w:t>
      </w:r>
      <w:r>
        <w:rPr>
          <w:rStyle w:val="AERtextitalic"/>
        </w:rPr>
        <w:t>j</w:t>
      </w:r>
      <w:r w:rsidRPr="00C37255">
        <w:rPr>
          <w:rStyle w:val="AERtextitalic"/>
        </w:rPr>
        <w:t xml:space="preserve">ournal of </w:t>
      </w:r>
      <w:r>
        <w:rPr>
          <w:rStyle w:val="AERtextitalic"/>
        </w:rPr>
        <w:t>m</w:t>
      </w:r>
      <w:r w:rsidRPr="00C37255">
        <w:rPr>
          <w:rStyle w:val="AERtextitalic"/>
        </w:rPr>
        <w:t>anagement</w:t>
      </w:r>
      <w:r>
        <w:t>, vol. 33(2), December 2008, pp. 391</w:t>
      </w:r>
      <w:r w:rsidRPr="00CE4FAF">
        <w:t>–</w:t>
      </w:r>
      <w:r>
        <w:t>406.</w:t>
      </w:r>
    </w:p>
  </w:footnote>
  <w:footnote w:id="791">
    <w:p w:rsidR="00B31E52" w:rsidRDefault="00B31E52" w:rsidP="00C52695">
      <w:pPr>
        <w:pStyle w:val="FootnoteText"/>
      </w:pPr>
      <w:r>
        <w:rPr>
          <w:rStyle w:val="FootnoteReference"/>
        </w:rPr>
        <w:footnoteRef/>
      </w:r>
      <w:r>
        <w:t xml:space="preserve"> </w:t>
      </w:r>
      <w:r>
        <w:tab/>
        <w:t xml:space="preserve">NERA, </w:t>
      </w:r>
      <w:r w:rsidRPr="004A02F9">
        <w:rPr>
          <w:rStyle w:val="AERtextitalic"/>
        </w:rPr>
        <w:t>Imputation credits and equity prices and returns, A report for the Energy Networks Association</w:t>
      </w:r>
      <w:r>
        <w:t>, October 2013, p. 22.</w:t>
      </w:r>
    </w:p>
  </w:footnote>
  <w:footnote w:id="792">
    <w:p w:rsidR="00B31E52" w:rsidRDefault="00B31E52" w:rsidP="00C52695">
      <w:pPr>
        <w:pStyle w:val="FootnoteText"/>
      </w:pPr>
      <w:r>
        <w:rPr>
          <w:rStyle w:val="FootnoteReference"/>
        </w:rPr>
        <w:footnoteRef/>
      </w:r>
      <w:r>
        <w:t xml:space="preserve"> </w:t>
      </w:r>
      <w:r>
        <w:tab/>
        <w:t xml:space="preserve">P. Lajbcygier and S. Wheatley, 'Imputation credits and equity returns', </w:t>
      </w:r>
      <w:r w:rsidRPr="00336C79">
        <w:rPr>
          <w:rStyle w:val="AERtextitalic"/>
        </w:rPr>
        <w:t>The economic record</w:t>
      </w:r>
      <w:r>
        <w:t>, vol. 88 (283), December 2012, p. 490.</w:t>
      </w:r>
    </w:p>
  </w:footnote>
  <w:footnote w:id="793">
    <w:p w:rsidR="00B31E52" w:rsidRDefault="00B31E52" w:rsidP="00C52695">
      <w:pPr>
        <w:pStyle w:val="FootnoteText"/>
      </w:pPr>
      <w:r>
        <w:rPr>
          <w:rStyle w:val="FootnoteReference"/>
        </w:rPr>
        <w:footnoteRef/>
      </w:r>
      <w:r>
        <w:t xml:space="preserve"> </w:t>
      </w:r>
      <w:r>
        <w:tab/>
        <w:t xml:space="preserve">K. Siau, S. Sault and G. Warren, 'Are imputation credits capitalised into stock </w:t>
      </w:r>
      <w:r w:rsidRPr="00647825">
        <w:t xml:space="preserve">prices', </w:t>
      </w:r>
      <w:r w:rsidRPr="00647825">
        <w:rPr>
          <w:rStyle w:val="AERtextitalic"/>
        </w:rPr>
        <w:t>ANU working paper</w:t>
      </w:r>
      <w:r w:rsidRPr="00647825">
        <w:t>, 18 June</w:t>
      </w:r>
      <w:r>
        <w:t xml:space="preserve"> 2013, pp. 24 and 27.</w:t>
      </w:r>
    </w:p>
  </w:footnote>
  <w:footnote w:id="794">
    <w:p w:rsidR="00B31E52" w:rsidRDefault="00B31E52" w:rsidP="00C52695">
      <w:pPr>
        <w:pStyle w:val="FootnoteText"/>
      </w:pPr>
      <w:r>
        <w:rPr>
          <w:rStyle w:val="FootnoteReference"/>
        </w:rPr>
        <w:footnoteRef/>
      </w:r>
      <w:r>
        <w:t xml:space="preserve"> </w:t>
      </w:r>
      <w:r>
        <w:tab/>
        <w:t xml:space="preserve">K. Siau, S. Sault and G. Warren, 'Are imputation credits capitalised into stock prices', </w:t>
      </w:r>
      <w:r>
        <w:rPr>
          <w:rStyle w:val="AERtextitalic"/>
        </w:rPr>
        <w:t>Accounting and Finance,</w:t>
      </w:r>
      <w:r>
        <w:t xml:space="preserve"> Vol. 55, 2015, pp. 241–277.</w:t>
      </w:r>
    </w:p>
  </w:footnote>
  <w:footnote w:id="795">
    <w:p w:rsidR="00B31E52" w:rsidRDefault="00B31E52" w:rsidP="00C52695">
      <w:pPr>
        <w:pStyle w:val="FootnoteText"/>
      </w:pPr>
      <w:r>
        <w:rPr>
          <w:rStyle w:val="FootnoteReference"/>
        </w:rPr>
        <w:footnoteRef/>
      </w:r>
      <w:r>
        <w:t xml:space="preserve"> </w:t>
      </w:r>
      <w:r>
        <w:tab/>
        <w:t xml:space="preserve">NERA, </w:t>
      </w:r>
      <w:r>
        <w:rPr>
          <w:rStyle w:val="AERtextitalic"/>
        </w:rPr>
        <w:t>Do Imputation Credits Lower the Cost of Equity? Cross-Sectional Tests A report for United Energy</w:t>
      </w:r>
      <w:r>
        <w:t>, April 2015, pp. 21, 23.</w:t>
      </w:r>
    </w:p>
  </w:footnote>
  <w:footnote w:id="796">
    <w:p w:rsidR="00B31E52" w:rsidRDefault="00B31E52" w:rsidP="00C52695">
      <w:pPr>
        <w:pStyle w:val="FootnoteText"/>
      </w:pPr>
      <w:r>
        <w:rPr>
          <w:rStyle w:val="FootnoteReference"/>
        </w:rPr>
        <w:footnoteRef/>
      </w:r>
      <w:r>
        <w:t xml:space="preserve"> </w:t>
      </w:r>
      <w:r>
        <w:tab/>
        <w:t xml:space="preserve">H. Chu and G. Partington, 'The market valuation of cash dividends: The case of the CRA bonus issue, </w:t>
      </w:r>
      <w:r w:rsidRPr="00C37255">
        <w:rPr>
          <w:rStyle w:val="AERtextitalic"/>
        </w:rPr>
        <w:t>International review of finance</w:t>
      </w:r>
      <w:r>
        <w:t>, Vol. 8(2), June 2008, pp. 1</w:t>
      </w:r>
      <w:r w:rsidRPr="00CE4FAF">
        <w:t>–</w:t>
      </w:r>
      <w:r>
        <w:t>20.</w:t>
      </w:r>
    </w:p>
  </w:footnote>
  <w:footnote w:id="797">
    <w:p w:rsidR="00B31E52" w:rsidRDefault="00B31E52" w:rsidP="00C52695">
      <w:pPr>
        <w:pStyle w:val="FootnoteText"/>
      </w:pPr>
      <w:r>
        <w:rPr>
          <w:rStyle w:val="FootnoteReference"/>
        </w:rPr>
        <w:footnoteRef/>
      </w:r>
      <w:r>
        <w:t xml:space="preserve"> </w:t>
      </w:r>
      <w:r>
        <w:tab/>
        <w:t xml:space="preserve">S. Walker and G. Partington, 'The value of dividends: Evidence from cum-dividend trading in the ex-dividend period', </w:t>
      </w:r>
      <w:r w:rsidRPr="007D37C7">
        <w:rPr>
          <w:rStyle w:val="AERtextitalic"/>
        </w:rPr>
        <w:t>Accounting and Finance</w:t>
      </w:r>
      <w:r>
        <w:t>, vol. 39(3), November 1999, p. 293.</w:t>
      </w:r>
    </w:p>
  </w:footnote>
  <w:footnote w:id="798">
    <w:p w:rsidR="00B31E52" w:rsidRDefault="00B31E52" w:rsidP="00C52695">
      <w:pPr>
        <w:pStyle w:val="FootnoteText"/>
      </w:pPr>
      <w:r>
        <w:rPr>
          <w:rStyle w:val="FootnoteReference"/>
        </w:rPr>
        <w:footnoteRef/>
      </w:r>
      <w:r>
        <w:t xml:space="preserve"> </w:t>
      </w:r>
      <w:r>
        <w:tab/>
        <w:t>H. Chu and G. Partington</w:t>
      </w:r>
      <w:r w:rsidRPr="00623152">
        <w:t xml:space="preserve">, 'The value of dividends: evidence from a new method', </w:t>
      </w:r>
      <w:r w:rsidRPr="00623152">
        <w:rPr>
          <w:rStyle w:val="AERtextitalic"/>
        </w:rPr>
        <w:t>Paper presented at the Accounting Association of Australia and New Zealand Annual Conference, Wellington</w:t>
      </w:r>
      <w:r>
        <w:rPr>
          <w:rStyle w:val="AERtextitalic"/>
        </w:rPr>
        <w:t xml:space="preserve">, </w:t>
      </w:r>
      <w:r>
        <w:t>2001, p. 2.</w:t>
      </w:r>
    </w:p>
  </w:footnote>
  <w:footnote w:id="799">
    <w:p w:rsidR="00B31E52" w:rsidRDefault="00B31E52" w:rsidP="00C52695">
      <w:pPr>
        <w:pStyle w:val="FootnoteText"/>
      </w:pPr>
      <w:r>
        <w:rPr>
          <w:rStyle w:val="FootnoteReference"/>
        </w:rPr>
        <w:footnoteRef/>
      </w:r>
      <w:r>
        <w:t xml:space="preserve"> </w:t>
      </w:r>
      <w:r>
        <w:tab/>
        <w:t xml:space="preserve">The earlier working paper, although substantively the same as the 2015 paper, remains referenced in this decision because this was the paper considered by us in making our decisions released in April and June 2015. </w:t>
      </w:r>
    </w:p>
  </w:footnote>
  <w:footnote w:id="800">
    <w:p w:rsidR="00B31E52" w:rsidRDefault="00B31E52" w:rsidP="00C52695">
      <w:pPr>
        <w:pStyle w:val="FootnoteText"/>
      </w:pPr>
      <w:r>
        <w:rPr>
          <w:rStyle w:val="FootnoteReference"/>
        </w:rPr>
        <w:footnoteRef/>
      </w:r>
      <w:r>
        <w:t xml:space="preserve"> </w:t>
      </w:r>
      <w:r>
        <w:tab/>
        <w:t xml:space="preserve">NERA, </w:t>
      </w:r>
      <w:r>
        <w:rPr>
          <w:rStyle w:val="AERtextitalic"/>
        </w:rPr>
        <w:t>Do Imputation Credits Lower the Cost of Equity? Cross-Sectional Tests A report for United Energy</w:t>
      </w:r>
      <w:r>
        <w:t xml:space="preserve">, April 2015, p vii; </w:t>
      </w:r>
      <w:r w:rsidRPr="00582678">
        <w:t xml:space="preserve">M. Lally, </w:t>
      </w:r>
      <w:r w:rsidRPr="00582678">
        <w:rPr>
          <w:rStyle w:val="AERtextitalic"/>
        </w:rPr>
        <w:t>The estimation of gamma</w:t>
      </w:r>
      <w:r w:rsidRPr="00582678">
        <w:t>, 23 November 2013</w:t>
      </w:r>
      <w:r>
        <w:t>, p. 25.</w:t>
      </w:r>
    </w:p>
  </w:footnote>
  <w:footnote w:id="801">
    <w:p w:rsidR="00B31E52" w:rsidRDefault="00B31E52" w:rsidP="00C52695">
      <w:pPr>
        <w:pStyle w:val="FootnoteText"/>
        <w:ind w:left="364" w:hanging="364"/>
      </w:pPr>
      <w:r>
        <w:rPr>
          <w:rStyle w:val="FootnoteReference"/>
        </w:rPr>
        <w:footnoteRef/>
      </w:r>
      <w:r>
        <w:t xml:space="preserve"> </w:t>
      </w:r>
      <w:r>
        <w:tab/>
        <w:t xml:space="preserve">NERA, </w:t>
      </w:r>
      <w:r>
        <w:rPr>
          <w:rStyle w:val="AERtextitalic"/>
        </w:rPr>
        <w:t>Do Imputation Credits Lower the Cost of Equity? Cross-Sectional Tests A report for United Energy</w:t>
      </w:r>
      <w:r>
        <w:t>, April 2015, p vii.</w:t>
      </w:r>
    </w:p>
  </w:footnote>
  <w:footnote w:id="802">
    <w:p w:rsidR="00B31E52" w:rsidRDefault="00B31E52" w:rsidP="00C52695">
      <w:pPr>
        <w:pStyle w:val="FootnoteText"/>
      </w:pPr>
      <w:r>
        <w:rPr>
          <w:rStyle w:val="FootnoteReference"/>
        </w:rPr>
        <w:footnoteRef/>
      </w:r>
      <w:r>
        <w:t xml:space="preserve"> </w:t>
      </w:r>
      <w:r>
        <w:tab/>
        <w:t>Concerns around the reliability of the estimates of the return on equity from the Black CAPM are discussed in the rate of return attachment to this draft decision.</w:t>
      </w:r>
    </w:p>
  </w:footnote>
  <w:footnote w:id="803">
    <w:p w:rsidR="00B31E52" w:rsidRDefault="00B31E52" w:rsidP="00C52695">
      <w:pPr>
        <w:pStyle w:val="FootnoteText"/>
      </w:pPr>
      <w:r>
        <w:rPr>
          <w:rStyle w:val="FootnoteReference"/>
        </w:rPr>
        <w:footnoteRef/>
      </w:r>
      <w:r>
        <w:t xml:space="preserve"> </w:t>
      </w:r>
      <w:r>
        <w:tab/>
        <w:t xml:space="preserve">A. Ainsworth, G. Partington and G. Warren, </w:t>
      </w:r>
      <w:r w:rsidRPr="00814197">
        <w:rPr>
          <w:rStyle w:val="AERtextitalic"/>
        </w:rPr>
        <w:t>Do franking credits matter? Exploring the financial implications of dividend imputation</w:t>
      </w:r>
      <w:r>
        <w:t>, May 2015.</w:t>
      </w:r>
    </w:p>
  </w:footnote>
  <w:footnote w:id="804">
    <w:p w:rsidR="00B31E52" w:rsidRDefault="00B31E52" w:rsidP="00C52695">
      <w:pPr>
        <w:pStyle w:val="FootnoteText"/>
      </w:pPr>
      <w:r>
        <w:rPr>
          <w:rStyle w:val="FootnoteReference"/>
        </w:rPr>
        <w:footnoteRef/>
      </w:r>
      <w:r>
        <w:t xml:space="preserve"> </w:t>
      </w:r>
      <w:r>
        <w:tab/>
      </w:r>
      <w:r w:rsidRPr="00D064B9">
        <w:t xml:space="preserve">AusNet Transmission, </w:t>
      </w:r>
      <w:r w:rsidRPr="00D064B9">
        <w:rPr>
          <w:rStyle w:val="AERtextitalic"/>
        </w:rPr>
        <w:t>Transmission Revenue Review 2017-2022</w:t>
      </w:r>
      <w:r w:rsidRPr="00D064B9">
        <w:t>, October 2015, p</w:t>
      </w:r>
      <w:r>
        <w:t>p</w:t>
      </w:r>
      <w:r w:rsidRPr="00D064B9">
        <w:t>. </w:t>
      </w:r>
      <w:r>
        <w:t xml:space="preserve">288, 300; Australian Gas Networks, </w:t>
      </w:r>
      <w:r>
        <w:rPr>
          <w:rStyle w:val="AERtextitalic"/>
        </w:rPr>
        <w:t>Attachment 11 Response to Draft Decision: Cost of Tax</w:t>
      </w:r>
      <w:r>
        <w:t xml:space="preserve">, January 2016, p. 13; ActewAGL, </w:t>
      </w:r>
      <w:r w:rsidRPr="00AF5B33">
        <w:rPr>
          <w:rStyle w:val="AERtextitalic"/>
        </w:rPr>
        <w:t>Appendix 5.01 Detailed response to rate of return, gamma and inflation</w:t>
      </w:r>
      <w:r>
        <w:t xml:space="preserve">, January 2016, p. 117; AusNet Electricity Services, </w:t>
      </w:r>
      <w:r w:rsidRPr="00AF5B33">
        <w:rPr>
          <w:rStyle w:val="AERtextitalic"/>
        </w:rPr>
        <w:t>Revised Regulatory Proposal</w:t>
      </w:r>
      <w:r>
        <w:t xml:space="preserve">, January 2016, p. 7-85; United Energy, </w:t>
      </w:r>
      <w:r w:rsidRPr="00AF5B33">
        <w:rPr>
          <w:rStyle w:val="AERtextitalic"/>
        </w:rPr>
        <w:t>Response to AER Preliminary Determination Re: Rate of return and gamma</w:t>
      </w:r>
      <w:r>
        <w:t xml:space="preserve">, January 2016, p. 87; CitiPower, </w:t>
      </w:r>
      <w:r w:rsidRPr="00AF5B33">
        <w:rPr>
          <w:rStyle w:val="AERtextitalic"/>
        </w:rPr>
        <w:t>Revised Regulatory Proposal 2016-2020</w:t>
      </w:r>
      <w:r>
        <w:t xml:space="preserve">; January 2016, p. 365; Jemena Electricity Networks, </w:t>
      </w:r>
      <w:r w:rsidRPr="00AF5B33">
        <w:rPr>
          <w:rStyle w:val="AERtextitalic"/>
        </w:rPr>
        <w:t>Attachment 6-1 Rate of return, gamma, forecast inflation, and debt and equity raising costs</w:t>
      </w:r>
      <w:r>
        <w:t xml:space="preserve">, January 2016, p. 93; Powercor, </w:t>
      </w:r>
      <w:r w:rsidRPr="00AF5B33">
        <w:rPr>
          <w:rStyle w:val="AERtextitalic"/>
        </w:rPr>
        <w:t>Revised Regulatory Proposal 2016-2020</w:t>
      </w:r>
      <w:r>
        <w:t xml:space="preserve">, January 2016, p. 359; APNT, </w:t>
      </w:r>
      <w:r w:rsidRPr="00903ED1">
        <w:rPr>
          <w:rStyle w:val="AERtextitalic"/>
        </w:rPr>
        <w:t>Access Arrangement Revised Proposal to Draft Decision</w:t>
      </w:r>
      <w:r>
        <w:t xml:space="preserve">, January 2016, p. 93; AusNet Transmission, </w:t>
      </w:r>
      <w:r>
        <w:rPr>
          <w:rStyle w:val="AERtextitalic"/>
        </w:rPr>
        <w:t>Transmission Revenue Proposal Review 2017-2022, Revised Revenue Proposal</w:t>
      </w:r>
      <w:r>
        <w:t>, 21 September 2016, p. 204.</w:t>
      </w:r>
    </w:p>
  </w:footnote>
  <w:footnote w:id="805">
    <w:p w:rsidR="00B31E52" w:rsidRDefault="00B31E52" w:rsidP="002A7E2F">
      <w:pPr>
        <w:pStyle w:val="FootnoteText"/>
      </w:pPr>
      <w:r>
        <w:rPr>
          <w:rStyle w:val="FootnoteReference"/>
        </w:rPr>
        <w:footnoteRef/>
      </w:r>
      <w:r>
        <w:t xml:space="preserve"> </w:t>
      </w:r>
      <w:r>
        <w:tab/>
      </w:r>
      <w:r w:rsidRPr="002A7E2F">
        <w:t xml:space="preserve">Frontier Economics, </w:t>
      </w:r>
      <w:r w:rsidRPr="008B1CA1">
        <w:rPr>
          <w:rStyle w:val="AERtextitalic"/>
        </w:rPr>
        <w:t>Perspectives for the estimation of gamma</w:t>
      </w:r>
      <w:r w:rsidRPr="002A7E2F">
        <w:t>, December 2016</w:t>
      </w:r>
      <w:r>
        <w:t>, para. 35.</w:t>
      </w:r>
    </w:p>
  </w:footnote>
  <w:footnote w:id="806">
    <w:p w:rsidR="00B31E52" w:rsidRDefault="00B31E52" w:rsidP="00C52695">
      <w:pPr>
        <w:pStyle w:val="FootnoteText"/>
      </w:pPr>
      <w:r>
        <w:rPr>
          <w:rStyle w:val="FootnoteReference"/>
        </w:rPr>
        <w:footnoteRef/>
      </w:r>
      <w:r>
        <w:t xml:space="preserve"> </w:t>
      </w:r>
      <w:r>
        <w:tab/>
        <w:t xml:space="preserve">SFG, </w:t>
      </w:r>
      <w:r>
        <w:rPr>
          <w:rStyle w:val="AERtextitalic"/>
        </w:rPr>
        <w:t>Estimating gamma for regulatory purposes</w:t>
      </w:r>
      <w:r>
        <w:t>, 6 February 2015, para. 79.</w:t>
      </w:r>
    </w:p>
  </w:footnote>
  <w:footnote w:id="807">
    <w:p w:rsidR="00B31E52" w:rsidRDefault="00B31E52" w:rsidP="00C52695">
      <w:pPr>
        <w:pStyle w:val="FootnoteText"/>
      </w:pPr>
      <w:r>
        <w:rPr>
          <w:rStyle w:val="FootnoteReference"/>
        </w:rPr>
        <w:footnoteRef/>
      </w:r>
      <w:r>
        <w:t xml:space="preserve"> </w:t>
      </w:r>
      <w:r>
        <w:tab/>
      </w:r>
      <w:r w:rsidRPr="00712BC2">
        <w:t xml:space="preserve">M. Lally, </w:t>
      </w:r>
      <w:r>
        <w:rPr>
          <w:rStyle w:val="AERtextitalic"/>
        </w:rPr>
        <w:t>Gamma and the ACT Decision</w:t>
      </w:r>
      <w:r>
        <w:t>, May 2016, p. 15.</w:t>
      </w:r>
    </w:p>
  </w:footnote>
  <w:footnote w:id="808">
    <w:p w:rsidR="00B31E52" w:rsidRDefault="00B31E52" w:rsidP="00C52695">
      <w:pPr>
        <w:pStyle w:val="FootnoteText"/>
      </w:pPr>
      <w:r>
        <w:rPr>
          <w:rStyle w:val="FootnoteReference"/>
        </w:rPr>
        <w:footnoteRef/>
      </w:r>
      <w:r>
        <w:t xml:space="preserve"> </w:t>
      </w:r>
      <w:r>
        <w:tab/>
        <w:t xml:space="preserve">SFG, </w:t>
      </w:r>
      <w:r>
        <w:rPr>
          <w:rStyle w:val="AERtextitalic"/>
        </w:rPr>
        <w:t>Estimating gamma for regulatory purposes</w:t>
      </w:r>
      <w:r>
        <w:t xml:space="preserve">, 6 February 2015, para. 78; Frontier Economics, </w:t>
      </w:r>
      <w:r w:rsidRPr="00D14DE4">
        <w:rPr>
          <w:rStyle w:val="AERtextitalic"/>
        </w:rPr>
        <w:t>An appropriate regulatory estimate of gamma</w:t>
      </w:r>
      <w:r>
        <w:t>, June 2015, p. 36.</w:t>
      </w:r>
    </w:p>
  </w:footnote>
  <w:footnote w:id="809">
    <w:p w:rsidR="00B31E52" w:rsidRDefault="00B31E52" w:rsidP="00C52695">
      <w:pPr>
        <w:pStyle w:val="FootnoteText"/>
      </w:pPr>
      <w:r>
        <w:rPr>
          <w:rStyle w:val="FootnoteReference"/>
        </w:rPr>
        <w:footnoteRef/>
      </w:r>
      <w:r>
        <w:t xml:space="preserve"> </w:t>
      </w:r>
      <w:r>
        <w:tab/>
        <w:t>SFG</w:t>
      </w:r>
      <w:r w:rsidRPr="007C38AD">
        <w:rPr>
          <w:rStyle w:val="AERtextitalic"/>
        </w:rPr>
        <w:t>, Equity beta</w:t>
      </w:r>
      <w:r>
        <w:t>, 12 May 2014, para. 15.</w:t>
      </w:r>
    </w:p>
  </w:footnote>
  <w:footnote w:id="810">
    <w:p w:rsidR="00B31E52" w:rsidRDefault="00B31E52" w:rsidP="00C52695">
      <w:pPr>
        <w:pStyle w:val="FootnoteText"/>
      </w:pPr>
      <w:r>
        <w:rPr>
          <w:rStyle w:val="FootnoteReference"/>
        </w:rPr>
        <w:footnoteRef/>
      </w:r>
      <w:r>
        <w:t xml:space="preserve"> </w:t>
      </w:r>
      <w:r>
        <w:tab/>
        <w:t xml:space="preserve">SFG, </w:t>
      </w:r>
      <w:r>
        <w:rPr>
          <w:rStyle w:val="AERtextitalic"/>
        </w:rPr>
        <w:t>Estimating gamma for regulatory purposes</w:t>
      </w:r>
      <w:r>
        <w:t>, 6 February 2015, para. 52.</w:t>
      </w:r>
    </w:p>
  </w:footnote>
  <w:footnote w:id="811">
    <w:p w:rsidR="00B31E52" w:rsidRDefault="00B31E52" w:rsidP="00C52695">
      <w:pPr>
        <w:pStyle w:val="FootnoteText"/>
      </w:pPr>
      <w:r>
        <w:rPr>
          <w:rStyle w:val="FootnoteReference"/>
        </w:rPr>
        <w:footnoteRef/>
      </w:r>
      <w:r>
        <w:t xml:space="preserve"> </w:t>
      </w:r>
      <w:r>
        <w:tab/>
      </w:r>
      <w:r w:rsidRPr="00D064B9">
        <w:t xml:space="preserve">AusNet Transmission, </w:t>
      </w:r>
      <w:r w:rsidRPr="00D064B9">
        <w:rPr>
          <w:rStyle w:val="AERtextitalic"/>
        </w:rPr>
        <w:t>Transmission Revenue Review 2017-2022</w:t>
      </w:r>
      <w:r w:rsidRPr="00D064B9">
        <w:t>, October 2015, p</w:t>
      </w:r>
      <w:r>
        <w:t>p</w:t>
      </w:r>
      <w:r w:rsidRPr="00D064B9">
        <w:t>. </w:t>
      </w:r>
      <w:r>
        <w:t xml:space="preserve">294, 300; Australian Gas Networks, </w:t>
      </w:r>
      <w:r>
        <w:rPr>
          <w:rStyle w:val="AERtextitalic"/>
        </w:rPr>
        <w:t>Attachment 11 Response to Draft Decision: Cost of Tax</w:t>
      </w:r>
      <w:r>
        <w:t xml:space="preserve">, January 2016, p. 7; ActewAGL, </w:t>
      </w:r>
      <w:r w:rsidRPr="00AF5B33">
        <w:rPr>
          <w:rStyle w:val="AERtextitalic"/>
        </w:rPr>
        <w:t>Appendix 5.01 Detailed response to rate of return, gamma and inflation</w:t>
      </w:r>
      <w:r>
        <w:t xml:space="preserve">, January 2016, p. 116; AusNet Electricity Services, </w:t>
      </w:r>
      <w:r w:rsidRPr="00AF5B33">
        <w:rPr>
          <w:rStyle w:val="AERtextitalic"/>
        </w:rPr>
        <w:t>Revised Regulatory Proposal</w:t>
      </w:r>
      <w:r>
        <w:t xml:space="preserve">, January 2016, p. 7-85; United Energy, </w:t>
      </w:r>
      <w:r w:rsidRPr="00AF5B33">
        <w:rPr>
          <w:rStyle w:val="AERtextitalic"/>
        </w:rPr>
        <w:t>Response to AER Preliminary Determination Re: Rate of return and gamma</w:t>
      </w:r>
      <w:r>
        <w:t xml:space="preserve">, January 2016, p. 86; CitiPower, </w:t>
      </w:r>
      <w:r w:rsidRPr="00AF5B33">
        <w:rPr>
          <w:rStyle w:val="AERtextitalic"/>
        </w:rPr>
        <w:t>Revised Regulatory Proposal 2016-2020</w:t>
      </w:r>
      <w:r>
        <w:t xml:space="preserve">; January 2016, p. 364; Jemena Electricity Networks, </w:t>
      </w:r>
      <w:r w:rsidRPr="00AF5B33">
        <w:rPr>
          <w:rStyle w:val="AERtextitalic"/>
        </w:rPr>
        <w:t>Attachment 6-1 Rate of return, gamma, forecast inflation, and debt and equity raising costs</w:t>
      </w:r>
      <w:r>
        <w:t xml:space="preserve">, January 2016, p. 93; Powercor, </w:t>
      </w:r>
      <w:r w:rsidRPr="00AF5B33">
        <w:rPr>
          <w:rStyle w:val="AERtextitalic"/>
        </w:rPr>
        <w:t>Revised Regulatory Proposal 2016-2020</w:t>
      </w:r>
      <w:r>
        <w:t>, January 2016, p. 358.</w:t>
      </w:r>
    </w:p>
  </w:footnote>
  <w:footnote w:id="812">
    <w:p w:rsidR="00B31E52" w:rsidRDefault="00B31E52" w:rsidP="00C52695">
      <w:pPr>
        <w:pStyle w:val="FootnoteText"/>
      </w:pPr>
      <w:r>
        <w:rPr>
          <w:rStyle w:val="FootnoteReference"/>
        </w:rPr>
        <w:footnoteRef/>
      </w:r>
      <w:r>
        <w:t xml:space="preserve"> </w:t>
      </w:r>
      <w:r>
        <w:tab/>
        <w:t xml:space="preserve">J. Handley, </w:t>
      </w:r>
      <w:r w:rsidRPr="00626887">
        <w:rPr>
          <w:rStyle w:val="AERtextitalic"/>
        </w:rPr>
        <w:t>Report prepared for the Australian Energy Regulator: Further advice on the value of imputation credits</w:t>
      </w:r>
      <w:r>
        <w:t>, 16 April 2015, p. 5.</w:t>
      </w:r>
    </w:p>
  </w:footnote>
  <w:footnote w:id="813">
    <w:p w:rsidR="00B31E52" w:rsidRDefault="00B31E52" w:rsidP="00C52695">
      <w:pPr>
        <w:pStyle w:val="FootnoteText"/>
      </w:pPr>
      <w:r>
        <w:rPr>
          <w:rStyle w:val="FootnoteReference"/>
        </w:rPr>
        <w:footnoteRef/>
      </w:r>
      <w:r>
        <w:t xml:space="preserve"> </w:t>
      </w:r>
      <w:r>
        <w:tab/>
        <w:t>In equation (2) in Elton and Gruber (1970) if tax on ordinary income and capital gains tax are the same (t</w:t>
      </w:r>
      <w:r w:rsidRPr="005764F6">
        <w:rPr>
          <w:rStyle w:val="AERsubscript"/>
        </w:rPr>
        <w:t>o</w:t>
      </w:r>
      <w:r>
        <w:t xml:space="preserve"> = t</w:t>
      </w:r>
      <w:r w:rsidRPr="005764F6">
        <w:rPr>
          <w:rStyle w:val="AERsubscript"/>
        </w:rPr>
        <w:t>c</w:t>
      </w:r>
      <w:r>
        <w:t>) then P</w:t>
      </w:r>
      <w:r w:rsidRPr="005764F6">
        <w:rPr>
          <w:rStyle w:val="AERsubscript"/>
        </w:rPr>
        <w:t>A</w:t>
      </w:r>
      <w:r>
        <w:t xml:space="preserve"> = P</w:t>
      </w:r>
      <w:r w:rsidRPr="005764F6">
        <w:rPr>
          <w:rStyle w:val="AERsubscript"/>
        </w:rPr>
        <w:t>B</w:t>
      </w:r>
      <w:r>
        <w:t xml:space="preserve"> + D. See: </w:t>
      </w:r>
      <w:r w:rsidRPr="00A47F4F">
        <w:t>Edwin J. Elton and Martin J. Gruber, 'Marginal Stockholder Tax Rates and the Clientele effect' The Review of Economics and Statistics, Vol. 52, No.1 (Feb 1970)</w:t>
      </w:r>
      <w:r>
        <w:t>, p</w:t>
      </w:r>
      <w:r w:rsidRPr="00A47F4F">
        <w:t>. 6</w:t>
      </w:r>
      <w:r>
        <w:t>9.</w:t>
      </w:r>
    </w:p>
  </w:footnote>
  <w:footnote w:id="814">
    <w:p w:rsidR="00B31E52" w:rsidRDefault="00B31E52" w:rsidP="00C52695">
      <w:pPr>
        <w:pStyle w:val="FootnoteText"/>
      </w:pPr>
      <w:r>
        <w:rPr>
          <w:rStyle w:val="FootnoteReference"/>
        </w:rPr>
        <w:footnoteRef/>
      </w:r>
      <w:r>
        <w:t xml:space="preserve"> </w:t>
      </w:r>
      <w:r>
        <w:tab/>
        <w:t>Defined as 20 minus 0.6928.</w:t>
      </w:r>
    </w:p>
  </w:footnote>
  <w:footnote w:id="815">
    <w:p w:rsidR="00B31E52" w:rsidRDefault="00B31E52" w:rsidP="00AD7E20">
      <w:pPr>
        <w:pStyle w:val="FootnoteText"/>
      </w:pPr>
      <w:r>
        <w:rPr>
          <w:rStyle w:val="FootnoteReference"/>
        </w:rPr>
        <w:footnoteRef/>
      </w:r>
      <w:r>
        <w:t xml:space="preserve"> </w:t>
      </w:r>
      <w:r>
        <w:tab/>
        <w:t xml:space="preserve">M. Lally, </w:t>
      </w:r>
      <w:r w:rsidRPr="00E750F8">
        <w:rPr>
          <w:rStyle w:val="AERtextitalic"/>
        </w:rPr>
        <w:t>Issues in the estimation of gamma</w:t>
      </w:r>
      <w:r>
        <w:t>, April 2017</w:t>
      </w:r>
      <w:r w:rsidRPr="00FF354E">
        <w:rPr>
          <w:rStyle w:val="AERtextitalic"/>
          <w:i w:val="0"/>
        </w:rPr>
        <w:t xml:space="preserve">, </w:t>
      </w:r>
      <w:r w:rsidRPr="00AD7E20">
        <w:rPr>
          <w:rStyle w:val="AERtextitalic"/>
          <w:i w:val="0"/>
        </w:rPr>
        <w:t>p</w:t>
      </w:r>
      <w:r w:rsidRPr="00D7695B">
        <w:rPr>
          <w:rStyle w:val="AERtextitalic"/>
          <w:i w:val="0"/>
        </w:rPr>
        <w:t>p</w:t>
      </w:r>
      <w:r w:rsidRPr="00AD7E20">
        <w:rPr>
          <w:rStyle w:val="AERtextitalic"/>
          <w:i w:val="0"/>
        </w:rPr>
        <w:t>. </w:t>
      </w:r>
      <w:r w:rsidRPr="00D7695B">
        <w:rPr>
          <w:rStyle w:val="AERtextitalic"/>
          <w:i w:val="0"/>
        </w:rPr>
        <w:t>6-7</w:t>
      </w:r>
      <w:r w:rsidRPr="00AD7E20">
        <w:rPr>
          <w:rStyle w:val="AERtextitalic"/>
          <w:i w:val="0"/>
        </w:rPr>
        <w:t>.</w:t>
      </w:r>
    </w:p>
  </w:footnote>
  <w:footnote w:id="816">
    <w:p w:rsidR="00B31E52" w:rsidRDefault="00B31E52" w:rsidP="00C52695">
      <w:pPr>
        <w:pStyle w:val="FootnoteText"/>
      </w:pPr>
      <w:r>
        <w:rPr>
          <w:rStyle w:val="FootnoteReference"/>
        </w:rPr>
        <w:footnoteRef/>
      </w:r>
      <w:r>
        <w:t xml:space="preserve"> </w:t>
      </w:r>
      <w:r>
        <w:tab/>
        <w:t>We also note distributed dividends are directly observable.</w:t>
      </w:r>
    </w:p>
  </w:footnote>
  <w:footnote w:id="817">
    <w:p w:rsidR="00B31E52" w:rsidRDefault="00B31E52" w:rsidP="00C52695">
      <w:pPr>
        <w:pStyle w:val="FootnoteText"/>
      </w:pPr>
      <w:r>
        <w:rPr>
          <w:rStyle w:val="FootnoteReference"/>
        </w:rPr>
        <w:footnoteRef/>
      </w:r>
      <w:r>
        <w:t xml:space="preserve"> </w:t>
      </w:r>
      <w:r>
        <w:tab/>
        <w:t xml:space="preserve">Edwin J. Elton and Martin J. Gruber, 'Marginal Stockholder Tax Rates and the Clientele effect' </w:t>
      </w:r>
      <w:r w:rsidRPr="00FE3642">
        <w:rPr>
          <w:rStyle w:val="AERtextitalic"/>
        </w:rPr>
        <w:t>The Review of Economics and Statistics</w:t>
      </w:r>
      <w:r>
        <w:t>, Vol. 52, No.1 (Feb 1970), pp. 68-74, pin point ref: 69.</w:t>
      </w:r>
    </w:p>
  </w:footnote>
  <w:footnote w:id="818">
    <w:p w:rsidR="00B31E52" w:rsidRDefault="00B31E52" w:rsidP="00C52695">
      <w:pPr>
        <w:pStyle w:val="FootnoteText"/>
      </w:pPr>
      <w:r>
        <w:rPr>
          <w:rStyle w:val="FootnoteReference"/>
        </w:rPr>
        <w:footnoteRef/>
      </w:r>
      <w:r>
        <w:t xml:space="preserve"> </w:t>
      </w:r>
      <w:r>
        <w:tab/>
      </w:r>
      <w:r w:rsidRPr="00712BC2">
        <w:t xml:space="preserve">M. Lally, </w:t>
      </w:r>
      <w:r>
        <w:rPr>
          <w:rStyle w:val="AERtextitalic"/>
        </w:rPr>
        <w:t>Gamma and the ACT Decision</w:t>
      </w:r>
      <w:r>
        <w:t>, May 2016, p. 24.</w:t>
      </w:r>
    </w:p>
  </w:footnote>
  <w:footnote w:id="819">
    <w:p w:rsidR="00B31E52" w:rsidRDefault="00B31E52" w:rsidP="00C52695">
      <w:pPr>
        <w:pStyle w:val="FootnoteText"/>
      </w:pPr>
      <w:r>
        <w:rPr>
          <w:rStyle w:val="FootnoteReference"/>
        </w:rPr>
        <w:footnoteRef/>
      </w:r>
      <w:r>
        <w:t xml:space="preserve"> </w:t>
      </w:r>
      <w:r>
        <w:tab/>
      </w:r>
      <w:r w:rsidRPr="00712BC2">
        <w:t xml:space="preserve">M. Lally, </w:t>
      </w:r>
      <w:r>
        <w:rPr>
          <w:rStyle w:val="AERtextitalic"/>
        </w:rPr>
        <w:t>Gamma and the ACT Decision</w:t>
      </w:r>
      <w:r>
        <w:t>, May 2016, p. 24.</w:t>
      </w:r>
    </w:p>
  </w:footnote>
  <w:footnote w:id="820">
    <w:p w:rsidR="00B31E52" w:rsidRDefault="00B31E52" w:rsidP="00C52695">
      <w:pPr>
        <w:pStyle w:val="FootnoteText"/>
      </w:pPr>
      <w:r>
        <w:rPr>
          <w:rStyle w:val="FootnoteReference"/>
        </w:rPr>
        <w:footnoteRef/>
      </w:r>
      <w:r>
        <w:t xml:space="preserve"> </w:t>
      </w:r>
      <w:r>
        <w:tab/>
        <w:t>In practice super funds have a CGT discount of 0.33 and not 0.5. However, in order to not complicate the analysis we do not introduce an additional CGT discount rate.</w:t>
      </w:r>
    </w:p>
  </w:footnote>
  <w:footnote w:id="821">
    <w:p w:rsidR="00B31E52" w:rsidRDefault="00B31E52" w:rsidP="00C52695">
      <w:pPr>
        <w:pStyle w:val="FootnoteText"/>
      </w:pPr>
      <w:r>
        <w:rPr>
          <w:rStyle w:val="FootnoteReference"/>
        </w:rPr>
        <w:footnoteRef/>
      </w:r>
      <w:r>
        <w:t xml:space="preserve"> </w:t>
      </w:r>
      <w:r>
        <w:tab/>
        <w:t>Edwin J. Elton and Martin J. Gruber, 'Marginal Stockholder Tax Rates and the Clientele effect</w:t>
      </w:r>
      <w:r>
        <w:rPr>
          <w:rStyle w:val="Emphasis"/>
        </w:rPr>
        <w:t>,</w:t>
      </w:r>
      <w:r w:rsidRPr="00D414CC">
        <w:rPr>
          <w:rStyle w:val="Emphasis"/>
        </w:rPr>
        <w:t xml:space="preserve"> The Review of Economics and Statistics</w:t>
      </w:r>
      <w:r>
        <w:t>, Vol. 52, No.1 (Feb 1970), p. 6.</w:t>
      </w:r>
    </w:p>
  </w:footnote>
  <w:footnote w:id="822">
    <w:p w:rsidR="00B31E52" w:rsidRDefault="00B31E52" w:rsidP="0088298B">
      <w:pPr>
        <w:pStyle w:val="FootnoteText"/>
      </w:pPr>
      <w:r>
        <w:rPr>
          <w:rStyle w:val="FootnoteReference"/>
        </w:rPr>
        <w:footnoteRef/>
      </w:r>
      <w:r>
        <w:t xml:space="preserve"> </w:t>
      </w:r>
      <w:r>
        <w:tab/>
      </w:r>
      <w:r w:rsidRPr="005764F6">
        <w:rPr>
          <w:rStyle w:val="FootnoteReference"/>
          <w:vertAlign w:val="baseline"/>
        </w:rPr>
        <w:t xml:space="preserve">Ainsworth A, K Fong, D Gallagher, and G Partington (2015),’Institutional Trading around the ex-dividend day’, </w:t>
      </w:r>
      <w:r w:rsidRPr="00D414CC">
        <w:rPr>
          <w:rStyle w:val="Emphasis"/>
        </w:rPr>
        <w:t>Australian Journal of Management</w:t>
      </w:r>
      <w:r w:rsidRPr="005764F6">
        <w:rPr>
          <w:rStyle w:val="FootnoteReference"/>
          <w:vertAlign w:val="baseline"/>
        </w:rPr>
        <w:t>, January, pp. 1-25.</w:t>
      </w:r>
      <w:r w:rsidRPr="00F267EC">
        <w:t xml:space="preserve"> </w:t>
      </w:r>
    </w:p>
  </w:footnote>
  <w:footnote w:id="823">
    <w:p w:rsidR="00B31E52" w:rsidRDefault="00B31E52">
      <w:pPr>
        <w:pStyle w:val="FootnoteText"/>
      </w:pPr>
      <w:r>
        <w:rPr>
          <w:rStyle w:val="FootnoteReference"/>
        </w:rPr>
        <w:footnoteRef/>
      </w:r>
      <w:r>
        <w:t xml:space="preserve"> </w:t>
      </w:r>
      <w:r>
        <w:tab/>
      </w:r>
      <w:r w:rsidRPr="001247E2">
        <w:t xml:space="preserve">Frontier Economics, </w:t>
      </w:r>
      <w:r w:rsidRPr="001A43CB">
        <w:rPr>
          <w:rStyle w:val="AERtextitalic"/>
        </w:rPr>
        <w:t>Perspectives for the estimation of gamma</w:t>
      </w:r>
      <w:r w:rsidRPr="001247E2">
        <w:t>, December 2016</w:t>
      </w:r>
      <w:r>
        <w:t>, para. 35.</w:t>
      </w:r>
    </w:p>
  </w:footnote>
  <w:footnote w:id="824">
    <w:p w:rsidR="00B31E52" w:rsidRDefault="00B31E52">
      <w:pPr>
        <w:pStyle w:val="FootnoteText"/>
      </w:pPr>
      <w:r>
        <w:rPr>
          <w:rStyle w:val="FootnoteReference"/>
        </w:rPr>
        <w:footnoteRef/>
      </w:r>
      <w:r>
        <w:t xml:space="preserve"> </w:t>
      </w:r>
      <w:r>
        <w:tab/>
        <w:t xml:space="preserve">Federal Court of Australia, </w:t>
      </w:r>
      <w:r w:rsidRPr="00B23401">
        <w:rPr>
          <w:rStyle w:val="AERtextitalic"/>
        </w:rPr>
        <w:t>Australian Energy Regulator v Australian Competition Tribunal (No 2) [2017] FCAFC 79</w:t>
      </w:r>
      <w:r>
        <w:t>, May 2017, pp.215 - 216.</w:t>
      </w:r>
    </w:p>
  </w:footnote>
  <w:footnote w:id="825">
    <w:p w:rsidR="00B31E52" w:rsidRDefault="00B31E52" w:rsidP="00C52695">
      <w:pPr>
        <w:pStyle w:val="FootnoteText"/>
      </w:pPr>
      <w:r>
        <w:rPr>
          <w:rStyle w:val="FootnoteReference"/>
        </w:rPr>
        <w:footnoteRef/>
      </w:r>
      <w:r>
        <w:t xml:space="preserve"> </w:t>
      </w:r>
      <w:r>
        <w:tab/>
        <w:t xml:space="preserve">Australian Gas Networks, </w:t>
      </w:r>
      <w:r>
        <w:rPr>
          <w:rStyle w:val="AERtextitalic"/>
        </w:rPr>
        <w:t>Attachment 11 Response to Draft Decision: Cost of Tax</w:t>
      </w:r>
      <w:r>
        <w:t>, January 2016, p. 13</w:t>
      </w:r>
      <w:r w:rsidRPr="00511278">
        <w:t xml:space="preserve">; ActewAGL, </w:t>
      </w:r>
      <w:r w:rsidRPr="00511278">
        <w:rPr>
          <w:rStyle w:val="AERtextitalic"/>
        </w:rPr>
        <w:t>Appendix 5.01 Detailed response to rate of return, gamma and inflation</w:t>
      </w:r>
      <w:r w:rsidRPr="00511278">
        <w:t>, January 2016</w:t>
      </w:r>
      <w:r>
        <w:t>, pp</w:t>
      </w:r>
      <w:r w:rsidRPr="00511278">
        <w:t>. </w:t>
      </w:r>
      <w:r>
        <w:t>117, 126-127</w:t>
      </w:r>
      <w:r w:rsidRPr="00511278">
        <w:t xml:space="preserve">; AusNet Electricity Services, </w:t>
      </w:r>
      <w:r w:rsidRPr="00511278">
        <w:rPr>
          <w:rStyle w:val="AERtextitalic"/>
        </w:rPr>
        <w:t>Revised Regulatory Proposal</w:t>
      </w:r>
      <w:r w:rsidRPr="00511278">
        <w:t xml:space="preserve">, January 2016, </w:t>
      </w:r>
      <w:r>
        <w:t>p</w:t>
      </w:r>
      <w:r w:rsidRPr="00511278">
        <w:t>p. </w:t>
      </w:r>
      <w:r>
        <w:t>7-86, 7-94</w:t>
      </w:r>
      <w:r w:rsidRPr="00511278">
        <w:t xml:space="preserve">; United Energy, </w:t>
      </w:r>
      <w:r w:rsidRPr="00511278">
        <w:rPr>
          <w:rStyle w:val="AERtextitalic"/>
        </w:rPr>
        <w:t>Response to AER Preliminary Determination Re: Rate of return and gamma</w:t>
      </w:r>
      <w:r w:rsidRPr="00511278">
        <w:t>, January 2016, p</w:t>
      </w:r>
      <w:r>
        <w:t>p</w:t>
      </w:r>
      <w:r w:rsidRPr="00511278">
        <w:t>. </w:t>
      </w:r>
      <w:r>
        <w:t>87, 95</w:t>
      </w:r>
      <w:r w:rsidRPr="00511278">
        <w:t xml:space="preserve">; CitiPower, </w:t>
      </w:r>
      <w:r w:rsidRPr="00511278">
        <w:rPr>
          <w:rStyle w:val="AERtextitalic"/>
        </w:rPr>
        <w:t>Revised Regulatory Proposal 2016-2020</w:t>
      </w:r>
      <w:r w:rsidRPr="00511278">
        <w:t>; January 2016, p</w:t>
      </w:r>
      <w:r>
        <w:t>p</w:t>
      </w:r>
      <w:r w:rsidRPr="00511278">
        <w:t>. </w:t>
      </w:r>
      <w:r>
        <w:t>365, 373-374</w:t>
      </w:r>
      <w:r w:rsidRPr="00511278">
        <w:t xml:space="preserve">; Jemena Electricity Networks, </w:t>
      </w:r>
      <w:r w:rsidRPr="00511278">
        <w:rPr>
          <w:rStyle w:val="AERtextitalic"/>
        </w:rPr>
        <w:t>Attachment 6-1 Rate of return, gamma, forecast inflation, and debt and equity raising costs</w:t>
      </w:r>
      <w:r w:rsidRPr="00511278">
        <w:t xml:space="preserve">, January 2016, </w:t>
      </w:r>
      <w:r>
        <w:t>pp</w:t>
      </w:r>
      <w:r w:rsidRPr="00511278">
        <w:t>. </w:t>
      </w:r>
      <w:r>
        <w:t>94, 102-103</w:t>
      </w:r>
      <w:r w:rsidRPr="00511278">
        <w:t xml:space="preserve">; Powercor, </w:t>
      </w:r>
      <w:r w:rsidRPr="00511278">
        <w:rPr>
          <w:rStyle w:val="AERtextitalic"/>
        </w:rPr>
        <w:t>Revised Regulatory Proposal 2016-2020</w:t>
      </w:r>
      <w:r w:rsidRPr="00511278">
        <w:t>, January 2016, p. </w:t>
      </w:r>
      <w:r>
        <w:t>359, 367-368</w:t>
      </w:r>
      <w:r w:rsidRPr="00511278">
        <w:t>.</w:t>
      </w:r>
    </w:p>
  </w:footnote>
  <w:footnote w:id="826">
    <w:p w:rsidR="00B31E52" w:rsidRDefault="00B31E52" w:rsidP="00647E9D">
      <w:pPr>
        <w:pStyle w:val="FootnoteText"/>
      </w:pPr>
      <w:r>
        <w:rPr>
          <w:rStyle w:val="FootnoteReference"/>
        </w:rPr>
        <w:footnoteRef/>
      </w:r>
      <w:r>
        <w:t xml:space="preserve"> </w:t>
      </w:r>
      <w:r>
        <w:tab/>
      </w:r>
      <w:r w:rsidRPr="0015337C">
        <w:t xml:space="preserve">AusNet Transmission, </w:t>
      </w:r>
      <w:r w:rsidRPr="0015337C">
        <w:rPr>
          <w:rStyle w:val="AERtextitalic"/>
        </w:rPr>
        <w:t>Transmission Revenue Review 2017-2022</w:t>
      </w:r>
      <w:r w:rsidRPr="0015337C">
        <w:t>, October 2015, p. </w:t>
      </w:r>
      <w:r>
        <w:t xml:space="preserve">307; Australian Gas Networks, </w:t>
      </w:r>
      <w:r>
        <w:rPr>
          <w:rStyle w:val="AERtextitalic"/>
        </w:rPr>
        <w:t>Attachment 11 Response to Draft Decision: Cost of Tax</w:t>
      </w:r>
      <w:r>
        <w:t>, January 2016, p. 13</w:t>
      </w:r>
      <w:r w:rsidRPr="00511278">
        <w:t xml:space="preserve">; ActewAGL, </w:t>
      </w:r>
      <w:r w:rsidRPr="00511278">
        <w:rPr>
          <w:rStyle w:val="AERtextitalic"/>
        </w:rPr>
        <w:t>Appendix 5.01 Detailed response to rate of return, gamma and inflation</w:t>
      </w:r>
      <w:r w:rsidRPr="00511278">
        <w:t>, January 2016</w:t>
      </w:r>
      <w:r>
        <w:t>, pp</w:t>
      </w:r>
      <w:r w:rsidRPr="00511278">
        <w:t>. </w:t>
      </w:r>
      <w:r>
        <w:t>117, 126-127</w:t>
      </w:r>
      <w:r w:rsidRPr="00511278">
        <w:t xml:space="preserve">; AusNet Electricity Services, </w:t>
      </w:r>
      <w:r w:rsidRPr="00511278">
        <w:rPr>
          <w:rStyle w:val="AERtextitalic"/>
        </w:rPr>
        <w:t>Revised Regulatory Proposal</w:t>
      </w:r>
      <w:r w:rsidRPr="00511278">
        <w:t xml:space="preserve">, January 2016, </w:t>
      </w:r>
      <w:r>
        <w:t>p</w:t>
      </w:r>
      <w:r w:rsidRPr="00511278">
        <w:t>p. </w:t>
      </w:r>
      <w:r>
        <w:t>7-86, 7-94</w:t>
      </w:r>
      <w:r w:rsidRPr="00511278">
        <w:t xml:space="preserve">; United Energy, </w:t>
      </w:r>
      <w:r w:rsidRPr="00511278">
        <w:rPr>
          <w:rStyle w:val="AERtextitalic"/>
        </w:rPr>
        <w:t>Response to AER Preliminary Determination Re: Rate of return and gamma</w:t>
      </w:r>
      <w:r w:rsidRPr="00511278">
        <w:t>, January 2016, p</w:t>
      </w:r>
      <w:r>
        <w:t>p</w:t>
      </w:r>
      <w:r w:rsidRPr="00511278">
        <w:t>. </w:t>
      </w:r>
      <w:r>
        <w:t>87, 95</w:t>
      </w:r>
      <w:r w:rsidRPr="00511278">
        <w:t xml:space="preserve">; CitiPower, </w:t>
      </w:r>
      <w:r w:rsidRPr="00511278">
        <w:rPr>
          <w:rStyle w:val="AERtextitalic"/>
        </w:rPr>
        <w:t>Revised Regulatory Proposal 2016-2020</w:t>
      </w:r>
      <w:r w:rsidRPr="00511278">
        <w:t>; January 2016, p</w:t>
      </w:r>
      <w:r>
        <w:t>p</w:t>
      </w:r>
      <w:r w:rsidRPr="00511278">
        <w:t>. </w:t>
      </w:r>
      <w:r>
        <w:t>365, 373-374</w:t>
      </w:r>
      <w:r w:rsidRPr="00511278">
        <w:t xml:space="preserve">; Jemena Electricity Networks, </w:t>
      </w:r>
      <w:r w:rsidRPr="00511278">
        <w:rPr>
          <w:rStyle w:val="AERtextitalic"/>
        </w:rPr>
        <w:t>Attachment 6-1 Rate of return, gamma, forecast inflation, and debt and equity raising costs</w:t>
      </w:r>
      <w:r w:rsidRPr="00511278">
        <w:t xml:space="preserve">, January 2016, </w:t>
      </w:r>
      <w:r>
        <w:t>pp</w:t>
      </w:r>
      <w:r w:rsidRPr="00511278">
        <w:t>. </w:t>
      </w:r>
      <w:r>
        <w:t>94, 102-103</w:t>
      </w:r>
      <w:r w:rsidRPr="00511278">
        <w:t xml:space="preserve">; Powercor, </w:t>
      </w:r>
      <w:r w:rsidRPr="00511278">
        <w:rPr>
          <w:rStyle w:val="AERtextitalic"/>
        </w:rPr>
        <w:t>Revised Regulatory Proposal 2016-2020</w:t>
      </w:r>
      <w:r w:rsidRPr="00511278">
        <w:t>, January 2016, p. </w:t>
      </w:r>
      <w:r>
        <w:t xml:space="preserve">359, 367-368; APNT, </w:t>
      </w:r>
      <w:r w:rsidRPr="00903ED1">
        <w:rPr>
          <w:rStyle w:val="AERtextitalic"/>
        </w:rPr>
        <w:t>Access Arrangement Revised Proposal to Draft Decision</w:t>
      </w:r>
      <w:r>
        <w:t xml:space="preserve">, January 2016, p. 94; Frontier Economics, </w:t>
      </w:r>
      <w:r>
        <w:rPr>
          <w:rStyle w:val="AERtextitalic"/>
        </w:rPr>
        <w:t>Issues in the estimation of gamma</w:t>
      </w:r>
      <w:r>
        <w:t xml:space="preserve">, September 2016, paras. 91-93; </w:t>
      </w:r>
      <w:r w:rsidRPr="00647E9D">
        <w:t xml:space="preserve"> Multinet, </w:t>
      </w:r>
      <w:r w:rsidRPr="008B1CA1">
        <w:rPr>
          <w:rStyle w:val="AERtextitalic"/>
        </w:rPr>
        <w:t>Corporate Income Tax Overview</w:t>
      </w:r>
      <w:r>
        <w:t xml:space="preserve">, December 2016, p. 21; </w:t>
      </w:r>
      <w:r w:rsidRPr="00647E9D">
        <w:t xml:space="preserve">AusNet Services Gas Distribution, </w:t>
      </w:r>
      <w:r w:rsidRPr="008B1CA1">
        <w:rPr>
          <w:rStyle w:val="AERtextitalic"/>
        </w:rPr>
        <w:t>Gas Access Arrangement Review 2018-2022</w:t>
      </w:r>
      <w:r>
        <w:t>, December 2016, p. 253</w:t>
      </w:r>
      <w:r w:rsidRPr="00647E9D">
        <w:t>.</w:t>
      </w:r>
    </w:p>
  </w:footnote>
  <w:footnote w:id="827">
    <w:p w:rsidR="00B31E52" w:rsidRDefault="00B31E52" w:rsidP="00C52695">
      <w:pPr>
        <w:pStyle w:val="FootnoteText"/>
      </w:pPr>
      <w:r>
        <w:rPr>
          <w:rStyle w:val="FootnoteReference"/>
        </w:rPr>
        <w:footnoteRef/>
      </w:r>
      <w:r>
        <w:t xml:space="preserve"> </w:t>
      </w:r>
      <w:r>
        <w:tab/>
        <w:t xml:space="preserve">SFG, </w:t>
      </w:r>
      <w:r>
        <w:rPr>
          <w:rStyle w:val="AERtextitalic"/>
        </w:rPr>
        <w:t>Estimating gamma for regulatory purposes</w:t>
      </w:r>
      <w:r>
        <w:t>, 6 February 2015, p</w:t>
      </w:r>
      <w:r w:rsidRPr="00D01050">
        <w:t>ara</w:t>
      </w:r>
      <w:r>
        <w:t>.</w:t>
      </w:r>
      <w:r w:rsidRPr="00D01050">
        <w:t xml:space="preserve"> 50</w:t>
      </w:r>
      <w:r>
        <w:t>.</w:t>
      </w:r>
    </w:p>
  </w:footnote>
  <w:footnote w:id="828">
    <w:p w:rsidR="00B31E52" w:rsidRDefault="00B31E52" w:rsidP="00C52695">
      <w:pPr>
        <w:pStyle w:val="FootnoteText"/>
      </w:pPr>
      <w:r>
        <w:rPr>
          <w:rStyle w:val="FootnoteReference"/>
        </w:rPr>
        <w:footnoteRef/>
      </w:r>
      <w:r>
        <w:t xml:space="preserve"> </w:t>
      </w:r>
      <w:r>
        <w:tab/>
        <w:t xml:space="preserve">SFG, </w:t>
      </w:r>
      <w:r w:rsidRPr="00C014CC">
        <w:rPr>
          <w:rStyle w:val="AERtextitalic"/>
        </w:rPr>
        <w:t>An appropriate regulatory estimate of gamma</w:t>
      </w:r>
      <w:r>
        <w:t>, 21 May 2014, para. 65.</w:t>
      </w:r>
    </w:p>
  </w:footnote>
  <w:footnote w:id="829">
    <w:p w:rsidR="00B31E52" w:rsidRDefault="00B31E52" w:rsidP="00C430A8">
      <w:pPr>
        <w:pStyle w:val="FootnoteText"/>
      </w:pPr>
      <w:r>
        <w:rPr>
          <w:rStyle w:val="FootnoteReference"/>
        </w:rPr>
        <w:footnoteRef/>
      </w:r>
      <w:r>
        <w:t xml:space="preserve"> </w:t>
      </w:r>
      <w:r>
        <w:tab/>
      </w:r>
      <w:r w:rsidRPr="00712BC2">
        <w:t xml:space="preserve">M. Lally, </w:t>
      </w:r>
      <w:r>
        <w:rPr>
          <w:rStyle w:val="AERtextitalic"/>
        </w:rPr>
        <w:t>Gamma and the ACT Decision</w:t>
      </w:r>
      <w:r>
        <w:t xml:space="preserve">, May 2016, p. 24; M. Lally, </w:t>
      </w:r>
      <w:r w:rsidRPr="00E750F8">
        <w:rPr>
          <w:rStyle w:val="AERtextitalic"/>
        </w:rPr>
        <w:t>Issues in the estimation of gamma</w:t>
      </w:r>
      <w:r>
        <w:t>, April 2017</w:t>
      </w:r>
      <w:r w:rsidRPr="00447949">
        <w:rPr>
          <w:rStyle w:val="AERtextitalic"/>
          <w:i w:val="0"/>
        </w:rPr>
        <w:t>, pp. 21-22.</w:t>
      </w:r>
    </w:p>
  </w:footnote>
  <w:footnote w:id="830">
    <w:p w:rsidR="00B31E52" w:rsidRDefault="00B31E52" w:rsidP="000E0D4D">
      <w:pPr>
        <w:pStyle w:val="FootnoteText"/>
      </w:pPr>
      <w:r>
        <w:rPr>
          <w:rStyle w:val="FootnoteReference"/>
        </w:rPr>
        <w:footnoteRef/>
      </w:r>
      <w:r>
        <w:t xml:space="preserve"> </w:t>
      </w:r>
      <w:r>
        <w:tab/>
      </w:r>
      <w:r w:rsidRPr="00E750F8">
        <w:rPr>
          <w:rStyle w:val="Hyperlink"/>
          <w:color w:val="auto"/>
          <w:sz w:val="16"/>
          <w:u w:val="none"/>
        </w:rPr>
        <w:t xml:space="preserve">Frontier Economics, </w:t>
      </w:r>
      <w:r w:rsidRPr="00E750F8">
        <w:rPr>
          <w:rStyle w:val="AERtextitalic"/>
        </w:rPr>
        <w:t>Issues in the estimation of gamma</w:t>
      </w:r>
      <w:r w:rsidRPr="00E750F8">
        <w:rPr>
          <w:rStyle w:val="Hyperlink"/>
          <w:color w:val="auto"/>
          <w:sz w:val="16"/>
          <w:u w:val="none"/>
        </w:rPr>
        <w:t>, September 2016, p</w:t>
      </w:r>
      <w:r w:rsidRPr="004423C9">
        <w:rPr>
          <w:rStyle w:val="Hyperlink"/>
          <w:color w:val="auto"/>
          <w:sz w:val="16"/>
          <w:u w:val="none"/>
        </w:rPr>
        <w:t>. 23.</w:t>
      </w:r>
    </w:p>
  </w:footnote>
  <w:footnote w:id="831">
    <w:p w:rsidR="00B31E52" w:rsidRPr="001224E1" w:rsidRDefault="00B31E52" w:rsidP="00D0581B">
      <w:pPr>
        <w:pStyle w:val="FootnoteText"/>
      </w:pPr>
      <w:r>
        <w:rPr>
          <w:rStyle w:val="FootnoteReference"/>
        </w:rPr>
        <w:footnoteRef/>
      </w:r>
      <w:r>
        <w:t xml:space="preserve"> </w:t>
      </w:r>
      <w:r>
        <w:tab/>
        <w:t xml:space="preserve">M. Lally, </w:t>
      </w:r>
      <w:r w:rsidRPr="00E750F8">
        <w:rPr>
          <w:rStyle w:val="AERtextitalic"/>
        </w:rPr>
        <w:t>Issues in the estimation of gamma</w:t>
      </w:r>
      <w:r>
        <w:t>, April 2017</w:t>
      </w:r>
      <w:r w:rsidRPr="001224E1">
        <w:rPr>
          <w:rStyle w:val="AERtextitalic"/>
          <w:i w:val="0"/>
        </w:rPr>
        <w:t>, p</w:t>
      </w:r>
      <w:r w:rsidRPr="00D0581B">
        <w:rPr>
          <w:rStyle w:val="AERtextitalic"/>
          <w:i w:val="0"/>
        </w:rPr>
        <w:t>. </w:t>
      </w:r>
      <w:r w:rsidRPr="00D7695B">
        <w:rPr>
          <w:rStyle w:val="AERtextitalic"/>
          <w:i w:val="0"/>
        </w:rPr>
        <w:t>2</w:t>
      </w:r>
      <w:r w:rsidRPr="00D0581B">
        <w:rPr>
          <w:rStyle w:val="AERtextitalic"/>
          <w:i w:val="0"/>
        </w:rPr>
        <w:t>1.</w:t>
      </w:r>
    </w:p>
  </w:footnote>
  <w:footnote w:id="832">
    <w:p w:rsidR="00B31E52" w:rsidRPr="001224E1" w:rsidRDefault="00B31E52" w:rsidP="00AD7E20">
      <w:pPr>
        <w:pStyle w:val="FootnoteText"/>
      </w:pPr>
      <w:r>
        <w:rPr>
          <w:rStyle w:val="FootnoteReference"/>
        </w:rPr>
        <w:footnoteRef/>
      </w:r>
      <w:r>
        <w:t xml:space="preserve"> </w:t>
      </w:r>
      <w:r>
        <w:tab/>
        <w:t xml:space="preserve">M. Lally, </w:t>
      </w:r>
      <w:r w:rsidRPr="00E750F8">
        <w:rPr>
          <w:rStyle w:val="AERtextitalic"/>
        </w:rPr>
        <w:t>Issues in the estimation of gamma</w:t>
      </w:r>
      <w:r>
        <w:t>, April 2017</w:t>
      </w:r>
      <w:r w:rsidRPr="001224E1">
        <w:rPr>
          <w:rStyle w:val="AERtextitalic"/>
          <w:i w:val="0"/>
        </w:rPr>
        <w:t xml:space="preserve">, </w:t>
      </w:r>
      <w:r w:rsidRPr="0057145F">
        <w:rPr>
          <w:rStyle w:val="AERtextitalic"/>
          <w:i w:val="0"/>
        </w:rPr>
        <w:t>p</w:t>
      </w:r>
      <w:r w:rsidRPr="00D7695B">
        <w:rPr>
          <w:rStyle w:val="AERtextitalic"/>
          <w:i w:val="0"/>
        </w:rPr>
        <w:t>p</w:t>
      </w:r>
      <w:r w:rsidRPr="0057145F">
        <w:rPr>
          <w:rStyle w:val="AERtextitalic"/>
          <w:i w:val="0"/>
        </w:rPr>
        <w:t>. </w:t>
      </w:r>
      <w:r w:rsidRPr="00D7695B">
        <w:rPr>
          <w:rStyle w:val="AERtextitalic"/>
          <w:i w:val="0"/>
        </w:rPr>
        <w:t>21-22</w:t>
      </w:r>
      <w:r>
        <w:rPr>
          <w:rStyle w:val="AERtextitalic"/>
        </w:rPr>
        <w:t>,</w:t>
      </w:r>
      <w:r w:rsidRPr="00D7695B">
        <w:rPr>
          <w:rStyle w:val="AERtextitalic"/>
          <w:i w:val="0"/>
        </w:rPr>
        <w:t xml:space="preserve"> 26</w:t>
      </w:r>
      <w:r w:rsidRPr="00AD7E20">
        <w:rPr>
          <w:rStyle w:val="AERtextitalic"/>
          <w:i w:val="0"/>
        </w:rPr>
        <w:t>.</w:t>
      </w:r>
    </w:p>
  </w:footnote>
  <w:footnote w:id="833">
    <w:p w:rsidR="00B31E52" w:rsidRDefault="00B31E52" w:rsidP="00C52695">
      <w:pPr>
        <w:pStyle w:val="FootnoteText"/>
      </w:pPr>
      <w:r>
        <w:rPr>
          <w:rStyle w:val="FootnoteReference"/>
        </w:rPr>
        <w:footnoteRef/>
      </w:r>
      <w:r>
        <w:t xml:space="preserve"> </w:t>
      </w:r>
      <w:r>
        <w:tab/>
      </w:r>
      <w:r w:rsidRPr="003A52B7">
        <w:t xml:space="preserve">AusNet Transmission, </w:t>
      </w:r>
      <w:r w:rsidRPr="003A52B7">
        <w:rPr>
          <w:rStyle w:val="AERtextitalic"/>
        </w:rPr>
        <w:t>Transmission Revenue Review 2017-2022</w:t>
      </w:r>
      <w:r w:rsidRPr="003A52B7">
        <w:t>, October 2015, p</w:t>
      </w:r>
      <w:r>
        <w:t>p</w:t>
      </w:r>
      <w:r w:rsidRPr="003A52B7">
        <w:t>. </w:t>
      </w:r>
      <w:r>
        <w:t xml:space="preserve">301, 303, 306; Australian Gas Networks, </w:t>
      </w:r>
      <w:r>
        <w:rPr>
          <w:rStyle w:val="AERtextitalic"/>
        </w:rPr>
        <w:t>Attachment 11 Response to Draft Decision: Cost of Tax</w:t>
      </w:r>
      <w:r>
        <w:t>, January 2016, pp. 13-16</w:t>
      </w:r>
      <w:r w:rsidRPr="00511278">
        <w:t xml:space="preserve">; ActewAGL, </w:t>
      </w:r>
      <w:r w:rsidRPr="00511278">
        <w:rPr>
          <w:rStyle w:val="AERtextitalic"/>
        </w:rPr>
        <w:t>Appendix 5.01 Detailed response to rate of return, gamma and inflation</w:t>
      </w:r>
      <w:r w:rsidRPr="00511278">
        <w:t>, January 2016</w:t>
      </w:r>
      <w:r>
        <w:t>, pp</w:t>
      </w:r>
      <w:r w:rsidRPr="00511278">
        <w:t>. </w:t>
      </w:r>
      <w:r>
        <w:t>117-118, 125-126</w:t>
      </w:r>
      <w:r w:rsidRPr="00511278">
        <w:t xml:space="preserve">; AusNet Electricity Services, </w:t>
      </w:r>
      <w:r w:rsidRPr="00511278">
        <w:rPr>
          <w:rStyle w:val="AERtextitalic"/>
        </w:rPr>
        <w:t>Revised Regulatory Proposal</w:t>
      </w:r>
      <w:r w:rsidRPr="00511278">
        <w:t>, January 2016, p</w:t>
      </w:r>
      <w:r>
        <w:t>p</w:t>
      </w:r>
      <w:r w:rsidRPr="00511278">
        <w:t>. </w:t>
      </w:r>
      <w:r>
        <w:t>7-86, 7-87, 7-93</w:t>
      </w:r>
      <w:r w:rsidRPr="00511278">
        <w:t xml:space="preserve">; United Energy, </w:t>
      </w:r>
      <w:r w:rsidRPr="00511278">
        <w:rPr>
          <w:rStyle w:val="AERtextitalic"/>
        </w:rPr>
        <w:t>Response to AER Preliminary Determination Re: Rate of return and gamma</w:t>
      </w:r>
      <w:r w:rsidRPr="00511278">
        <w:t>, January 2016, p</w:t>
      </w:r>
      <w:r>
        <w:t>p</w:t>
      </w:r>
      <w:r w:rsidRPr="00511278">
        <w:t>. </w:t>
      </w:r>
      <w:r>
        <w:t>87-88, 94</w:t>
      </w:r>
      <w:r w:rsidRPr="00511278">
        <w:t xml:space="preserve">; CitiPower, </w:t>
      </w:r>
      <w:r w:rsidRPr="00511278">
        <w:rPr>
          <w:rStyle w:val="AERtextitalic"/>
        </w:rPr>
        <w:t>Revised Regulatory Proposal 2016-2020</w:t>
      </w:r>
      <w:r w:rsidRPr="00511278">
        <w:t>; January 2016, p</w:t>
      </w:r>
      <w:r>
        <w:t>p</w:t>
      </w:r>
      <w:r w:rsidRPr="00511278">
        <w:t>. </w:t>
      </w:r>
      <w:r>
        <w:t>365-366, 372</w:t>
      </w:r>
      <w:r w:rsidRPr="00511278">
        <w:t xml:space="preserve">; Jemena Electricity Networks, </w:t>
      </w:r>
      <w:r w:rsidRPr="00511278">
        <w:rPr>
          <w:rStyle w:val="AERtextitalic"/>
        </w:rPr>
        <w:t>Attachment 6-1 Rate of return, gamma, forecast inflation, and debt and equity raising costs</w:t>
      </w:r>
      <w:r w:rsidRPr="00511278">
        <w:t xml:space="preserve">, January 2016, </w:t>
      </w:r>
      <w:r>
        <w:t>p</w:t>
      </w:r>
      <w:r w:rsidRPr="00511278">
        <w:t>p. </w:t>
      </w:r>
      <w:r>
        <w:t>94-95, 102</w:t>
      </w:r>
      <w:r w:rsidRPr="00511278">
        <w:t xml:space="preserve">; Powercor, </w:t>
      </w:r>
      <w:r w:rsidRPr="00511278">
        <w:rPr>
          <w:rStyle w:val="AERtextitalic"/>
        </w:rPr>
        <w:t>Revised Regulatory Proposal 2016-2020</w:t>
      </w:r>
      <w:r w:rsidRPr="00511278">
        <w:t xml:space="preserve">, January 2016, </w:t>
      </w:r>
      <w:r>
        <w:t>p</w:t>
      </w:r>
      <w:r w:rsidRPr="00511278">
        <w:t>p. </w:t>
      </w:r>
      <w:r>
        <w:t>359-360, 366.</w:t>
      </w:r>
    </w:p>
  </w:footnote>
  <w:footnote w:id="834">
    <w:p w:rsidR="00B31E52" w:rsidRDefault="00B31E52" w:rsidP="00EA0A18">
      <w:pPr>
        <w:pStyle w:val="FootnoteText"/>
      </w:pPr>
      <w:r>
        <w:rPr>
          <w:rStyle w:val="FootnoteReference"/>
        </w:rPr>
        <w:footnoteRef/>
      </w:r>
      <w:r>
        <w:t xml:space="preserve"> </w:t>
      </w:r>
      <w:r>
        <w:tab/>
        <w:t xml:space="preserve">Australian Gas Networks, </w:t>
      </w:r>
      <w:r>
        <w:rPr>
          <w:rStyle w:val="AERtextitalic"/>
        </w:rPr>
        <w:t>Attachment 11 Response to Draft Decision: Cost of Tax</w:t>
      </w:r>
      <w:r>
        <w:t>, January 2016, pp. 13-16</w:t>
      </w:r>
      <w:r w:rsidRPr="00511278">
        <w:t xml:space="preserve">; ActewAGL, </w:t>
      </w:r>
      <w:r w:rsidRPr="00511278">
        <w:rPr>
          <w:rStyle w:val="AERtextitalic"/>
        </w:rPr>
        <w:t>Appendix 5.01 Detailed response to rate of return, gamma and inflation</w:t>
      </w:r>
      <w:r>
        <w:t xml:space="preserve">, January 2016, </w:t>
      </w:r>
      <w:r w:rsidRPr="00511278">
        <w:t>p. </w:t>
      </w:r>
      <w:r>
        <w:t>117</w:t>
      </w:r>
      <w:r w:rsidRPr="00511278">
        <w:t xml:space="preserve">; AusNet Electricity Services, </w:t>
      </w:r>
      <w:r w:rsidRPr="00511278">
        <w:rPr>
          <w:rStyle w:val="AERtextitalic"/>
        </w:rPr>
        <w:t>Revised Regulatory Proposal</w:t>
      </w:r>
      <w:r w:rsidRPr="00511278">
        <w:t>, January 2016, p. </w:t>
      </w:r>
      <w:r>
        <w:t>7-86</w:t>
      </w:r>
      <w:r w:rsidRPr="00511278">
        <w:t xml:space="preserve">; United Energy, </w:t>
      </w:r>
      <w:r w:rsidRPr="00511278">
        <w:rPr>
          <w:rStyle w:val="AERtextitalic"/>
        </w:rPr>
        <w:t>Response to AER Preliminary Determination Re: Rate of return and gamma</w:t>
      </w:r>
      <w:r w:rsidRPr="00511278">
        <w:t>, January 2016, p. </w:t>
      </w:r>
      <w:r>
        <w:t>87</w:t>
      </w:r>
      <w:r w:rsidRPr="00511278">
        <w:t xml:space="preserve">; CitiPower, </w:t>
      </w:r>
      <w:r w:rsidRPr="00511278">
        <w:rPr>
          <w:rStyle w:val="AERtextitalic"/>
        </w:rPr>
        <w:t>Revised Regulatory Proposal 2016-2020</w:t>
      </w:r>
      <w:r w:rsidRPr="00511278">
        <w:t>; January 2016, p</w:t>
      </w:r>
      <w:r>
        <w:t>p</w:t>
      </w:r>
      <w:r w:rsidRPr="00511278">
        <w:t>. </w:t>
      </w:r>
      <w:r>
        <w:t>365-366</w:t>
      </w:r>
      <w:r w:rsidRPr="00511278">
        <w:t xml:space="preserve">; Jemena Electricity Networks, </w:t>
      </w:r>
      <w:r w:rsidRPr="00511278">
        <w:rPr>
          <w:rStyle w:val="AERtextitalic"/>
        </w:rPr>
        <w:t>Attachment 6-1 Rate of return, gamma, forecast inflation, and debt and equity raising costs</w:t>
      </w:r>
      <w:r w:rsidRPr="00511278">
        <w:t>, January 2016, p. </w:t>
      </w:r>
      <w:r>
        <w:t>94</w:t>
      </w:r>
      <w:r w:rsidRPr="00511278">
        <w:t xml:space="preserve">; Powercor, </w:t>
      </w:r>
      <w:r w:rsidRPr="00511278">
        <w:rPr>
          <w:rStyle w:val="AERtextitalic"/>
        </w:rPr>
        <w:t>Revised Regulatory Proposal 2016-2020</w:t>
      </w:r>
      <w:r w:rsidRPr="00511278">
        <w:t xml:space="preserve">, January 2016, </w:t>
      </w:r>
      <w:r>
        <w:t>p</w:t>
      </w:r>
      <w:r w:rsidRPr="00511278">
        <w:t>p. </w:t>
      </w:r>
      <w:r>
        <w:t xml:space="preserve">359-360; </w:t>
      </w:r>
      <w:r w:rsidRPr="00647E9D">
        <w:t xml:space="preserve">Multinet, </w:t>
      </w:r>
      <w:r w:rsidRPr="00A50981">
        <w:rPr>
          <w:rStyle w:val="AERtextitalic"/>
        </w:rPr>
        <w:t>Corporate Income Tax Overview</w:t>
      </w:r>
      <w:r>
        <w:t xml:space="preserve">, December 2016, p. 18; </w:t>
      </w:r>
      <w:r w:rsidRPr="00647E9D">
        <w:t xml:space="preserve">AusNet Services Gas Distribution, </w:t>
      </w:r>
      <w:r w:rsidRPr="00A50981">
        <w:rPr>
          <w:rStyle w:val="AERtextitalic"/>
        </w:rPr>
        <w:t>Gas Access Arrangement Review 2018-2022</w:t>
      </w:r>
      <w:r>
        <w:t>, December 2016, p. 249</w:t>
      </w:r>
      <w:r w:rsidRPr="00647E9D">
        <w:t>.</w:t>
      </w:r>
    </w:p>
  </w:footnote>
  <w:footnote w:id="835">
    <w:p w:rsidR="00B31E52" w:rsidRDefault="00B31E52" w:rsidP="00C52695">
      <w:pPr>
        <w:pStyle w:val="FootnoteText"/>
      </w:pPr>
      <w:r>
        <w:rPr>
          <w:rStyle w:val="FootnoteReference"/>
        </w:rPr>
        <w:footnoteRef/>
      </w:r>
      <w:r>
        <w:t xml:space="preserve"> </w:t>
      </w:r>
      <w:r>
        <w:tab/>
      </w:r>
      <w:r w:rsidRPr="003A52B7">
        <w:t xml:space="preserve">AusNet Transmission, </w:t>
      </w:r>
      <w:r w:rsidRPr="003A52B7">
        <w:rPr>
          <w:rStyle w:val="AERtextitalic"/>
        </w:rPr>
        <w:t>Transmission Revenue Review 2017-2022</w:t>
      </w:r>
      <w:r w:rsidRPr="003A52B7">
        <w:t>, October 2015, p. </w:t>
      </w:r>
      <w:r>
        <w:t xml:space="preserve">286, 303; Australian Gas Networks, </w:t>
      </w:r>
      <w:r>
        <w:rPr>
          <w:rStyle w:val="AERtextitalic"/>
        </w:rPr>
        <w:t>Attachment 11 Response to Draft Decision: Cost of Tax</w:t>
      </w:r>
      <w:r>
        <w:t>, January 2016, p. 20</w:t>
      </w:r>
      <w:r w:rsidRPr="00511278">
        <w:t xml:space="preserve">; ActewAGL, </w:t>
      </w:r>
      <w:r w:rsidRPr="00511278">
        <w:rPr>
          <w:rStyle w:val="AERtextitalic"/>
        </w:rPr>
        <w:t>Appendix 5.01 Detailed response to rate of return, gamma and inflation</w:t>
      </w:r>
      <w:r>
        <w:t xml:space="preserve">, January 2016, </w:t>
      </w:r>
      <w:r w:rsidRPr="00511278">
        <w:t>p. </w:t>
      </w:r>
      <w:r>
        <w:t>125</w:t>
      </w:r>
      <w:r w:rsidRPr="00511278">
        <w:t xml:space="preserve">; AusNet Electricity Services, </w:t>
      </w:r>
      <w:r w:rsidRPr="00511278">
        <w:rPr>
          <w:rStyle w:val="AERtextitalic"/>
        </w:rPr>
        <w:t>Revised Regulatory Proposal</w:t>
      </w:r>
      <w:r w:rsidRPr="00511278">
        <w:t>, January 2016, p. </w:t>
      </w:r>
      <w:r>
        <w:t>7-93</w:t>
      </w:r>
      <w:r w:rsidRPr="00511278">
        <w:t xml:space="preserve">; United Energy, </w:t>
      </w:r>
      <w:r w:rsidRPr="00511278">
        <w:rPr>
          <w:rStyle w:val="AERtextitalic"/>
        </w:rPr>
        <w:t>Response to AER Preliminary Determination Re: Rate of return and gamma</w:t>
      </w:r>
      <w:r w:rsidRPr="00511278">
        <w:t>, January 2016, p. </w:t>
      </w:r>
      <w:r>
        <w:t>94</w:t>
      </w:r>
      <w:r w:rsidRPr="00511278">
        <w:t xml:space="preserve">; CitiPower, </w:t>
      </w:r>
      <w:r w:rsidRPr="00511278">
        <w:rPr>
          <w:rStyle w:val="AERtextitalic"/>
        </w:rPr>
        <w:t>Revised Regulatory Proposal 2016-2020</w:t>
      </w:r>
      <w:r w:rsidRPr="00511278">
        <w:t>; January 2016, p. </w:t>
      </w:r>
      <w:r>
        <w:t>372</w:t>
      </w:r>
      <w:r w:rsidRPr="00511278">
        <w:t xml:space="preserve">; Jemena Electricity Networks, </w:t>
      </w:r>
      <w:r w:rsidRPr="00511278">
        <w:rPr>
          <w:rStyle w:val="AERtextitalic"/>
        </w:rPr>
        <w:t>Attachment 6-1 Rate of return, gamma, forecast inflation, and debt and equity raising costs</w:t>
      </w:r>
      <w:r w:rsidRPr="00511278">
        <w:t>, January 2016, p. </w:t>
      </w:r>
      <w:r>
        <w:t>101</w:t>
      </w:r>
      <w:r w:rsidRPr="00511278">
        <w:t xml:space="preserve">; Powercor, </w:t>
      </w:r>
      <w:r w:rsidRPr="00511278">
        <w:rPr>
          <w:rStyle w:val="AERtextitalic"/>
        </w:rPr>
        <w:t>Revised Regulatory Proposal 2016-2020</w:t>
      </w:r>
      <w:r w:rsidRPr="00511278">
        <w:t>, January 2016, p. </w:t>
      </w:r>
      <w:r>
        <w:t>366.</w:t>
      </w:r>
    </w:p>
  </w:footnote>
  <w:footnote w:id="836">
    <w:p w:rsidR="00B31E52" w:rsidRDefault="00B31E52" w:rsidP="00C52695">
      <w:pPr>
        <w:pStyle w:val="FootnoteText"/>
      </w:pPr>
      <w:r>
        <w:rPr>
          <w:rStyle w:val="FootnoteReference"/>
        </w:rPr>
        <w:footnoteRef/>
      </w:r>
      <w:r>
        <w:t xml:space="preserve"> </w:t>
      </w:r>
      <w:r>
        <w:tab/>
      </w:r>
      <w:r w:rsidRPr="00F267EC">
        <w:t xml:space="preserve">Frontier Economics, </w:t>
      </w:r>
      <w:r w:rsidRPr="00F267EC">
        <w:rPr>
          <w:rStyle w:val="AERtextitalic"/>
        </w:rPr>
        <w:t>The appropriate use of tax statistics when estimating gamma</w:t>
      </w:r>
      <w:r w:rsidRPr="00F267EC">
        <w:t>, January 2016.</w:t>
      </w:r>
    </w:p>
  </w:footnote>
  <w:footnote w:id="837">
    <w:p w:rsidR="00B31E52" w:rsidRDefault="00B31E52" w:rsidP="00C52695">
      <w:pPr>
        <w:pStyle w:val="FootnoteText"/>
      </w:pPr>
      <w:r>
        <w:rPr>
          <w:rStyle w:val="FootnoteReference"/>
        </w:rPr>
        <w:footnoteRef/>
      </w:r>
      <w:r>
        <w:t xml:space="preserve"> </w:t>
      </w:r>
      <w:r>
        <w:tab/>
      </w:r>
      <w:r w:rsidRPr="004D735C">
        <w:t xml:space="preserve">J. Handley, </w:t>
      </w:r>
      <w:r w:rsidRPr="008916E4">
        <w:rPr>
          <w:rStyle w:val="AERtextitalic"/>
        </w:rPr>
        <w:t>Report prepared for the Australian Energy Regulator: Advice on the value of imputation credits</w:t>
      </w:r>
      <w:r w:rsidRPr="004D735C">
        <w:t>, 29 September 201</w:t>
      </w:r>
      <w:r>
        <w:t xml:space="preserve">4, pp. 43–44; J. Handley, </w:t>
      </w:r>
      <w:r w:rsidRPr="00626887">
        <w:rPr>
          <w:rStyle w:val="AERtextitalic"/>
        </w:rPr>
        <w:t>Report prepared for the Australian Energy Regulator: Further advice on the value of imputation credits</w:t>
      </w:r>
      <w:r>
        <w:t xml:space="preserve">, 16 April 2015, p. 16; </w:t>
      </w:r>
      <w:r w:rsidRPr="00582678">
        <w:t xml:space="preserve">M. Lally, </w:t>
      </w:r>
      <w:r w:rsidRPr="00582678">
        <w:rPr>
          <w:rStyle w:val="AERtextitalic"/>
        </w:rPr>
        <w:t>The estimation of gamma</w:t>
      </w:r>
      <w:r w:rsidRPr="00582678">
        <w:t>, 23 November 2013</w:t>
      </w:r>
      <w:r>
        <w:t>, p. 21.</w:t>
      </w:r>
    </w:p>
  </w:footnote>
  <w:footnote w:id="838">
    <w:p w:rsidR="00B31E52" w:rsidRDefault="00B31E52" w:rsidP="00C52695">
      <w:pPr>
        <w:pStyle w:val="FootnoteText"/>
      </w:pPr>
      <w:r>
        <w:rPr>
          <w:rStyle w:val="FootnoteReference"/>
        </w:rPr>
        <w:footnoteRef/>
      </w:r>
      <w:r>
        <w:t xml:space="preserve"> </w:t>
      </w:r>
      <w:r>
        <w:tab/>
        <w:t xml:space="preserve">ActewAGL, </w:t>
      </w:r>
      <w:r w:rsidRPr="000E181F">
        <w:rPr>
          <w:rStyle w:val="AERtextitalic"/>
        </w:rPr>
        <w:t>Detailed response to the AER's draft decision in relation to gamma</w:t>
      </w:r>
      <w:r>
        <w:t xml:space="preserve">, January 2015, p. 7; Ausgrid, </w:t>
      </w:r>
      <w:r w:rsidRPr="00D75F7A">
        <w:rPr>
          <w:rStyle w:val="AERtextitalic"/>
        </w:rPr>
        <w:t>Ausgrid's revised proposal on gamma</w:t>
      </w:r>
      <w:r>
        <w:t xml:space="preserve">, January 2015, p. 8; Directlink, </w:t>
      </w:r>
      <w:r w:rsidRPr="0000771B">
        <w:rPr>
          <w:rStyle w:val="AERtextitalic"/>
        </w:rPr>
        <w:t>Directlink submission on gamma (updated)</w:t>
      </w:r>
      <w:r>
        <w:t xml:space="preserve">, January 2015, p. 11; Endeavour Energy, </w:t>
      </w:r>
      <w:r w:rsidRPr="00DF3162">
        <w:rPr>
          <w:rStyle w:val="AERtextitalic"/>
        </w:rPr>
        <w:t>Endeavour Energy's response to the AER draft decision re gamma</w:t>
      </w:r>
      <w:r>
        <w:t xml:space="preserve">, January 2015, p. 8; Essential Energy, </w:t>
      </w:r>
      <w:r w:rsidRPr="000E181F">
        <w:rPr>
          <w:rStyle w:val="AERtextitalic"/>
        </w:rPr>
        <w:t>Essential's response to AER draft decision re gamma</w:t>
      </w:r>
      <w:r>
        <w:t xml:space="preserve">, January 2015, p. 8; and JGN, </w:t>
      </w:r>
      <w:r w:rsidRPr="000E181F">
        <w:rPr>
          <w:rStyle w:val="AERtextitalic"/>
        </w:rPr>
        <w:t>Gamma - response to the draft decision</w:t>
      </w:r>
      <w:r>
        <w:t>, February 2015, p. 10.</w:t>
      </w:r>
    </w:p>
  </w:footnote>
  <w:footnote w:id="839">
    <w:p w:rsidR="00B31E52" w:rsidRDefault="00B31E52" w:rsidP="00C52695">
      <w:pPr>
        <w:pStyle w:val="FootnoteText"/>
      </w:pPr>
      <w:r>
        <w:rPr>
          <w:rStyle w:val="FootnoteReference"/>
        </w:rPr>
        <w:footnoteRef/>
      </w:r>
      <w:r>
        <w:t xml:space="preserve"> </w:t>
      </w:r>
      <w:r>
        <w:tab/>
        <w:t xml:space="preserve">SFG, </w:t>
      </w:r>
      <w:r>
        <w:rPr>
          <w:rStyle w:val="AERtextitalic"/>
        </w:rPr>
        <w:t>Estimating gamma for regulatory purposes</w:t>
      </w:r>
      <w:r>
        <w:t xml:space="preserve">, 6 February 2015, para. 185(c); Australian Gas Networks, </w:t>
      </w:r>
      <w:r>
        <w:rPr>
          <w:rStyle w:val="AERtextitalic"/>
        </w:rPr>
        <w:t>Attachment 11 Response to Draft Decision: Cost of Tax</w:t>
      </w:r>
      <w:r>
        <w:t>, January 2016, p. 16.</w:t>
      </w:r>
    </w:p>
  </w:footnote>
  <w:footnote w:id="840">
    <w:p w:rsidR="00B31E52" w:rsidRDefault="00B31E52" w:rsidP="00C52695">
      <w:pPr>
        <w:pStyle w:val="FootnoteText"/>
      </w:pPr>
      <w:r>
        <w:rPr>
          <w:rStyle w:val="FootnoteReference"/>
        </w:rPr>
        <w:footnoteRef/>
      </w:r>
      <w:r>
        <w:t xml:space="preserve"> </w:t>
      </w:r>
      <w:r>
        <w:tab/>
      </w:r>
      <w:r w:rsidRPr="00582678">
        <w:t xml:space="preserve">M. Lally, </w:t>
      </w:r>
      <w:r w:rsidRPr="00582678">
        <w:rPr>
          <w:rStyle w:val="AERtextitalic"/>
        </w:rPr>
        <w:t>The estimation of gamma</w:t>
      </w:r>
      <w:r w:rsidRPr="00582678">
        <w:t>, 23 November 2013</w:t>
      </w:r>
      <w:r>
        <w:t>, p. 20.</w:t>
      </w:r>
    </w:p>
  </w:footnote>
  <w:footnote w:id="841">
    <w:p w:rsidR="00B31E52" w:rsidRDefault="00B31E52" w:rsidP="00C52695">
      <w:pPr>
        <w:pStyle w:val="FootnoteText"/>
      </w:pPr>
      <w:r>
        <w:rPr>
          <w:rStyle w:val="FootnoteReference"/>
        </w:rPr>
        <w:footnoteRef/>
      </w:r>
      <w:r>
        <w:t xml:space="preserve"> </w:t>
      </w:r>
      <w:r>
        <w:tab/>
      </w:r>
      <w:r w:rsidRPr="00582678">
        <w:t xml:space="preserve">M. Lally, </w:t>
      </w:r>
      <w:r w:rsidRPr="00582678">
        <w:rPr>
          <w:rStyle w:val="AERtextitalic"/>
        </w:rPr>
        <w:t>The estimation of gamma</w:t>
      </w:r>
      <w:r w:rsidRPr="00582678">
        <w:t>, 23 November 2013</w:t>
      </w:r>
      <w:r>
        <w:t>, p. 26.</w:t>
      </w:r>
    </w:p>
  </w:footnote>
  <w:footnote w:id="842">
    <w:p w:rsidR="00B31E52" w:rsidRDefault="00B31E52" w:rsidP="00C52695">
      <w:pPr>
        <w:pStyle w:val="FootnoteText"/>
      </w:pPr>
      <w:r>
        <w:rPr>
          <w:rStyle w:val="FootnoteReference"/>
        </w:rPr>
        <w:footnoteRef/>
      </w:r>
      <w:r>
        <w:t xml:space="preserve"> </w:t>
      </w:r>
      <w:r>
        <w:tab/>
      </w:r>
      <w:r w:rsidRPr="00582678">
        <w:t xml:space="preserve">M. Lally, </w:t>
      </w:r>
      <w:r w:rsidRPr="00582678">
        <w:rPr>
          <w:rStyle w:val="AERtextitalic"/>
        </w:rPr>
        <w:t>The estimation of gamma</w:t>
      </w:r>
      <w:r w:rsidRPr="00582678">
        <w:t>, 23 November 2013</w:t>
      </w:r>
      <w:r>
        <w:t>, p. 29.</w:t>
      </w:r>
    </w:p>
  </w:footnote>
  <w:footnote w:id="843">
    <w:p w:rsidR="00B31E52" w:rsidRDefault="00B31E52" w:rsidP="00C52695">
      <w:pPr>
        <w:pStyle w:val="FootnoteText"/>
      </w:pPr>
      <w:r>
        <w:rPr>
          <w:rStyle w:val="FootnoteReference"/>
        </w:rPr>
        <w:footnoteRef/>
      </w:r>
      <w:r>
        <w:t xml:space="preserve"> </w:t>
      </w:r>
      <w:r>
        <w:tab/>
      </w:r>
      <w:r w:rsidRPr="004D735C">
        <w:t xml:space="preserve">J. Handley, </w:t>
      </w:r>
      <w:r w:rsidRPr="008916E4">
        <w:rPr>
          <w:rStyle w:val="AERtextitalic"/>
        </w:rPr>
        <w:t>Report prepared for the Australian Energy Regulator: Advice on the value of imputation credits</w:t>
      </w:r>
      <w:r w:rsidRPr="004D735C">
        <w:t>, 29 September 201</w:t>
      </w:r>
      <w:r>
        <w:t>4, p. 44.</w:t>
      </w:r>
    </w:p>
  </w:footnote>
  <w:footnote w:id="844">
    <w:p w:rsidR="00B31E52" w:rsidRDefault="00B31E52" w:rsidP="00C52695">
      <w:pPr>
        <w:pStyle w:val="FootnoteText"/>
      </w:pPr>
      <w:r>
        <w:rPr>
          <w:rStyle w:val="FootnoteReference"/>
        </w:rPr>
        <w:footnoteRef/>
      </w:r>
      <w:r>
        <w:t xml:space="preserve"> </w:t>
      </w:r>
      <w:r>
        <w:tab/>
        <w:t xml:space="preserve">J. Handley, </w:t>
      </w:r>
      <w:r w:rsidRPr="00626887">
        <w:rPr>
          <w:rStyle w:val="AERtextitalic"/>
        </w:rPr>
        <w:t>Report prepared for the Australian Energy Regulator: Further advice on the value of imputation credits</w:t>
      </w:r>
      <w:r>
        <w:t>, 16 April 2015, p. 18.</w:t>
      </w:r>
    </w:p>
  </w:footnote>
  <w:footnote w:id="845">
    <w:p w:rsidR="00B31E52" w:rsidRDefault="00B31E52" w:rsidP="00C52695">
      <w:pPr>
        <w:pStyle w:val="FootnoteText"/>
      </w:pPr>
      <w:r>
        <w:rPr>
          <w:rStyle w:val="FootnoteReference"/>
        </w:rPr>
        <w:footnoteRef/>
      </w:r>
      <w:r>
        <w:t xml:space="preserve"> </w:t>
      </w:r>
      <w:r>
        <w:tab/>
        <w:t xml:space="preserve">SA Centre for Economic Studies (2015), </w:t>
      </w:r>
      <w:r>
        <w:rPr>
          <w:rStyle w:val="AERtextitalic"/>
        </w:rPr>
        <w:t>Independent e</w:t>
      </w:r>
      <w:r w:rsidRPr="00253C46">
        <w:rPr>
          <w:rStyle w:val="AERtextitalic"/>
        </w:rPr>
        <w:t>stimate of the WACC for SA Power Networks 2015 to 2020</w:t>
      </w:r>
      <w:r>
        <w:rPr>
          <w:rStyle w:val="AERtextitalic"/>
        </w:rPr>
        <w:t xml:space="preserve">: </w:t>
      </w:r>
      <w:r w:rsidRPr="00EB47DF">
        <w:rPr>
          <w:rStyle w:val="AERtextitalic"/>
        </w:rPr>
        <w:t>Report commissioned by the</w:t>
      </w:r>
      <w:r>
        <w:rPr>
          <w:rStyle w:val="AERtextitalic"/>
        </w:rPr>
        <w:t xml:space="preserve"> SA</w:t>
      </w:r>
      <w:r w:rsidRPr="00EB47DF">
        <w:rPr>
          <w:rStyle w:val="AERtextitalic"/>
        </w:rPr>
        <w:t xml:space="preserve"> Council of Social Services</w:t>
      </w:r>
      <w:r>
        <w:t>, January 2015, p. 17.</w:t>
      </w:r>
    </w:p>
  </w:footnote>
  <w:footnote w:id="846">
    <w:p w:rsidR="00B31E52" w:rsidRDefault="00B31E52" w:rsidP="0095204D">
      <w:pPr>
        <w:pStyle w:val="FootnoteText"/>
      </w:pPr>
      <w:r>
        <w:rPr>
          <w:rStyle w:val="FootnoteReference"/>
        </w:rPr>
        <w:footnoteRef/>
      </w:r>
      <w:r>
        <w:t xml:space="preserve"> </w:t>
      </w:r>
      <w:r>
        <w:tab/>
        <w:t xml:space="preserve">Frontier Economics, </w:t>
      </w:r>
      <w:r>
        <w:rPr>
          <w:rStyle w:val="AERtextitalic"/>
        </w:rPr>
        <w:t>Issues in the estimation of gamma</w:t>
      </w:r>
      <w:r>
        <w:t>, September 2016, pp. 4, 17-18.</w:t>
      </w:r>
    </w:p>
  </w:footnote>
  <w:footnote w:id="847">
    <w:p w:rsidR="00B31E52" w:rsidRPr="001224E1" w:rsidRDefault="00B31E52" w:rsidP="00CF3D56">
      <w:pPr>
        <w:pStyle w:val="FootnoteText"/>
      </w:pPr>
      <w:r>
        <w:rPr>
          <w:rStyle w:val="FootnoteReference"/>
        </w:rPr>
        <w:footnoteRef/>
      </w:r>
      <w:r>
        <w:t xml:space="preserve"> </w:t>
      </w:r>
      <w:r>
        <w:tab/>
        <w:t xml:space="preserve">M. Lally, </w:t>
      </w:r>
      <w:r w:rsidRPr="00E750F8">
        <w:rPr>
          <w:rStyle w:val="AERtextitalic"/>
        </w:rPr>
        <w:t>Issues in the estimation of gamma</w:t>
      </w:r>
      <w:r>
        <w:t>, April 2017</w:t>
      </w:r>
      <w:r w:rsidRPr="001224E1">
        <w:rPr>
          <w:rStyle w:val="AERtextitalic"/>
          <w:i w:val="0"/>
        </w:rPr>
        <w:t>, p. </w:t>
      </w:r>
      <w:r w:rsidRPr="003A0C07">
        <w:rPr>
          <w:rStyle w:val="AERtextitalic"/>
          <w:i w:val="0"/>
        </w:rPr>
        <w:t>1</w:t>
      </w:r>
      <w:r w:rsidRPr="00DC0074">
        <w:rPr>
          <w:rStyle w:val="AERtextitalic"/>
          <w:i w:val="0"/>
        </w:rPr>
        <w:t>3</w:t>
      </w:r>
      <w:r w:rsidRPr="002D7AA8">
        <w:rPr>
          <w:rStyle w:val="AERtextitalic"/>
          <w:i w:val="0"/>
        </w:rPr>
        <w:t>-14</w:t>
      </w:r>
      <w:r w:rsidRPr="002D6646">
        <w:rPr>
          <w:rStyle w:val="AERtextitalic"/>
          <w:i w:val="0"/>
        </w:rPr>
        <w:t>.</w:t>
      </w:r>
    </w:p>
  </w:footnote>
  <w:footnote w:id="848">
    <w:p w:rsidR="00B31E52" w:rsidRPr="001224E1" w:rsidRDefault="00B31E52" w:rsidP="00AD7E20">
      <w:pPr>
        <w:pStyle w:val="FootnoteText"/>
      </w:pPr>
      <w:r>
        <w:rPr>
          <w:rStyle w:val="FootnoteReference"/>
        </w:rPr>
        <w:footnoteRef/>
      </w:r>
      <w:r>
        <w:t xml:space="preserve"> </w:t>
      </w:r>
      <w:r>
        <w:tab/>
        <w:t xml:space="preserve">M. Lally, </w:t>
      </w:r>
      <w:r w:rsidRPr="00E750F8">
        <w:rPr>
          <w:rStyle w:val="AERtextitalic"/>
        </w:rPr>
        <w:t>Issues in the estimation of gamma</w:t>
      </w:r>
      <w:r>
        <w:t>, April 2017</w:t>
      </w:r>
      <w:r w:rsidRPr="00AD7E20">
        <w:rPr>
          <w:rStyle w:val="AERtextitalic"/>
          <w:i w:val="0"/>
        </w:rPr>
        <w:t>, p</w:t>
      </w:r>
      <w:r w:rsidRPr="005B77D3">
        <w:rPr>
          <w:rStyle w:val="AERtextitalic"/>
          <w:i w:val="0"/>
        </w:rPr>
        <w:t>p. 14</w:t>
      </w:r>
      <w:r w:rsidRPr="0059076A">
        <w:rPr>
          <w:rStyle w:val="AERtextitalic"/>
          <w:i w:val="0"/>
        </w:rPr>
        <w:t>-16</w:t>
      </w:r>
      <w:r w:rsidRPr="00D7695B">
        <w:rPr>
          <w:rStyle w:val="AERtextitalic"/>
          <w:i w:val="0"/>
        </w:rPr>
        <w:t>, 25-26</w:t>
      </w:r>
      <w:r w:rsidRPr="00AD7E20">
        <w:rPr>
          <w:rStyle w:val="AERtextitalic"/>
          <w:i w:val="0"/>
        </w:rPr>
        <w:t>.</w:t>
      </w:r>
    </w:p>
  </w:footnote>
  <w:footnote w:id="849">
    <w:p w:rsidR="00B31E52" w:rsidRDefault="00B31E52" w:rsidP="001B0EF1">
      <w:pPr>
        <w:pStyle w:val="FootnoteText"/>
      </w:pPr>
      <w:r>
        <w:rPr>
          <w:rStyle w:val="FootnoteReference"/>
        </w:rPr>
        <w:footnoteRef/>
      </w:r>
      <w:r>
        <w:t xml:space="preserve"> </w:t>
      </w:r>
      <w:r>
        <w:tab/>
        <w:t xml:space="preserve">In his example Lally shows that for a dividend of 4 dollars and an imputation credit of $2, the net effect of all these transaction costs could produce an expected price drop of anywhere in the range of $4 to $6. See: M. Lally, </w:t>
      </w:r>
      <w:r w:rsidRPr="00E750F8">
        <w:rPr>
          <w:rStyle w:val="AERtextitalic"/>
        </w:rPr>
        <w:t>Issues in the estimation of gamma</w:t>
      </w:r>
      <w:r>
        <w:t>, April 2017</w:t>
      </w:r>
      <w:r w:rsidRPr="004423C9">
        <w:rPr>
          <w:rStyle w:val="AERtextitalic"/>
          <w:i w:val="0"/>
        </w:rPr>
        <w:t>, pp. 14-16</w:t>
      </w:r>
      <w:r w:rsidRPr="0021673C">
        <w:rPr>
          <w:rStyle w:val="AERtextitalic"/>
        </w:rPr>
        <w:t>.</w:t>
      </w:r>
    </w:p>
  </w:footnote>
  <w:footnote w:id="850">
    <w:p w:rsidR="00B31E52" w:rsidRDefault="00B31E52" w:rsidP="00C52695">
      <w:pPr>
        <w:pStyle w:val="FootnoteText"/>
      </w:pPr>
      <w:r>
        <w:rPr>
          <w:rStyle w:val="FootnoteReference"/>
        </w:rPr>
        <w:footnoteRef/>
      </w:r>
      <w:r>
        <w:t xml:space="preserve"> </w:t>
      </w:r>
      <w:r>
        <w:tab/>
      </w:r>
      <w:r w:rsidRPr="00B04480">
        <w:t xml:space="preserve">SFG, </w:t>
      </w:r>
      <w:r w:rsidRPr="00B04480">
        <w:rPr>
          <w:rStyle w:val="AERtextitalic"/>
        </w:rPr>
        <w:t>Dividend drop-off estimate of theta, Final report, Re: Application by Energex Limited (No 2) [2010] ACompT 7,</w:t>
      </w:r>
      <w:r w:rsidRPr="00B04480">
        <w:t xml:space="preserve"> 21 March 2011</w:t>
      </w:r>
      <w:r>
        <w:t xml:space="preserve">; </w:t>
      </w:r>
      <w:r w:rsidRPr="00B04480">
        <w:t xml:space="preserve">SFG, </w:t>
      </w:r>
      <w:r w:rsidRPr="00B04480">
        <w:rPr>
          <w:rStyle w:val="AERtextitalic"/>
        </w:rPr>
        <w:t>Updated dividend drop-off estimate of theta: Report for the Energy Networks Association</w:t>
      </w:r>
      <w:r w:rsidRPr="00B04480">
        <w:t>, 7 June 2013.</w:t>
      </w:r>
      <w:r>
        <w:t xml:space="preserve"> </w:t>
      </w:r>
    </w:p>
  </w:footnote>
  <w:footnote w:id="851">
    <w:p w:rsidR="00B31E52" w:rsidRDefault="00B31E52" w:rsidP="00C52695">
      <w:pPr>
        <w:pStyle w:val="FootnoteText"/>
      </w:pPr>
      <w:r>
        <w:rPr>
          <w:rStyle w:val="FootnoteReference"/>
        </w:rPr>
        <w:footnoteRef/>
      </w:r>
      <w:r>
        <w:t xml:space="preserve"> </w:t>
      </w:r>
      <w:r>
        <w:tab/>
      </w:r>
      <w:r w:rsidRPr="003A52B7">
        <w:t xml:space="preserve">AusNet Transmission, </w:t>
      </w:r>
      <w:r w:rsidRPr="003A52B7">
        <w:rPr>
          <w:rStyle w:val="AERtextitalic"/>
        </w:rPr>
        <w:t>Transmission Revenue Review 2017-2022</w:t>
      </w:r>
      <w:r w:rsidRPr="003A52B7">
        <w:t>, October 2015, p. </w:t>
      </w:r>
      <w:r>
        <w:t xml:space="preserve">303; Australian Gas Networks, </w:t>
      </w:r>
      <w:r>
        <w:rPr>
          <w:rStyle w:val="AERtextitalic"/>
        </w:rPr>
        <w:t>Attachment 11 Response to Draft Decision: Cost of Tax</w:t>
      </w:r>
      <w:r>
        <w:t>, January 2016, p. 16</w:t>
      </w:r>
      <w:r w:rsidRPr="00511278">
        <w:t xml:space="preserve">; ActewAGL, </w:t>
      </w:r>
      <w:r w:rsidRPr="00511278">
        <w:rPr>
          <w:rStyle w:val="AERtextitalic"/>
        </w:rPr>
        <w:t>Appendix 5.01 Detailed response to rate of return, gamma and inflation</w:t>
      </w:r>
      <w:r>
        <w:t xml:space="preserve">, January 2016, </w:t>
      </w:r>
      <w:r w:rsidRPr="00511278">
        <w:t>p. </w:t>
      </w:r>
      <w:r>
        <w:t>120</w:t>
      </w:r>
      <w:r w:rsidRPr="00511278">
        <w:t xml:space="preserve">; AusNet Electricity Services, </w:t>
      </w:r>
      <w:r w:rsidRPr="00511278">
        <w:rPr>
          <w:rStyle w:val="AERtextitalic"/>
        </w:rPr>
        <w:t>Revised Regulatory Proposal</w:t>
      </w:r>
      <w:r w:rsidRPr="00511278">
        <w:t>, January 2016, p. </w:t>
      </w:r>
      <w:r>
        <w:t>7-89</w:t>
      </w:r>
      <w:r w:rsidRPr="00511278">
        <w:t xml:space="preserve">; United Energy, </w:t>
      </w:r>
      <w:r w:rsidRPr="00511278">
        <w:rPr>
          <w:rStyle w:val="AERtextitalic"/>
        </w:rPr>
        <w:t>Response to AER Preliminary Determination Re: Rate of return and gamma</w:t>
      </w:r>
      <w:r w:rsidRPr="00511278">
        <w:t>, January 2016, p. </w:t>
      </w:r>
      <w:r>
        <w:t>90</w:t>
      </w:r>
      <w:r w:rsidRPr="00511278">
        <w:t xml:space="preserve">; CitiPower, </w:t>
      </w:r>
      <w:r w:rsidRPr="00511278">
        <w:rPr>
          <w:rStyle w:val="AERtextitalic"/>
        </w:rPr>
        <w:t>Revised Regulatory Proposal 2016-2020</w:t>
      </w:r>
      <w:r w:rsidRPr="00511278">
        <w:t>; January 2016, p. </w:t>
      </w:r>
      <w:r>
        <w:t>368</w:t>
      </w:r>
      <w:r w:rsidRPr="00511278">
        <w:t xml:space="preserve">; Jemena Electricity Networks, </w:t>
      </w:r>
      <w:r w:rsidRPr="00511278">
        <w:rPr>
          <w:rStyle w:val="AERtextitalic"/>
        </w:rPr>
        <w:t>Attachment 6-1 Rate of return, gamma, forecast inflation, and debt and equity raising costs</w:t>
      </w:r>
      <w:r w:rsidRPr="00511278">
        <w:t>, January 2016, p. </w:t>
      </w:r>
      <w:r>
        <w:t>97</w:t>
      </w:r>
      <w:r w:rsidRPr="00511278">
        <w:t xml:space="preserve">; Powercor, </w:t>
      </w:r>
      <w:r w:rsidRPr="00511278">
        <w:rPr>
          <w:rStyle w:val="AERtextitalic"/>
        </w:rPr>
        <w:t>Revised Regulatory Proposal 2016-2020</w:t>
      </w:r>
      <w:r w:rsidRPr="00511278">
        <w:t>, January 2016, p. </w:t>
      </w:r>
      <w:r>
        <w:t>362.</w:t>
      </w:r>
    </w:p>
  </w:footnote>
  <w:footnote w:id="852">
    <w:p w:rsidR="00B31E52" w:rsidRDefault="00B31E52" w:rsidP="00C52695">
      <w:pPr>
        <w:pStyle w:val="FootnoteText"/>
      </w:pPr>
      <w:r>
        <w:rPr>
          <w:rStyle w:val="FootnoteReference"/>
        </w:rPr>
        <w:footnoteRef/>
      </w:r>
      <w:r>
        <w:t xml:space="preserve"> </w:t>
      </w:r>
      <w:r>
        <w:tab/>
      </w:r>
      <w:r w:rsidRPr="00B04480">
        <w:t xml:space="preserve">SFG, </w:t>
      </w:r>
      <w:r w:rsidRPr="00B04480">
        <w:rPr>
          <w:rStyle w:val="AERtextitalic"/>
        </w:rPr>
        <w:t>Dividend drop-off estimate of theta, Final report, Re: Application by Energex Limited (No 2) [2010] ACompT 7,</w:t>
      </w:r>
      <w:r w:rsidRPr="00B04480">
        <w:t xml:space="preserve"> 21 March 2011</w:t>
      </w:r>
      <w:r>
        <w:t xml:space="preserve">; </w:t>
      </w:r>
      <w:r w:rsidRPr="00B04480">
        <w:t xml:space="preserve">Australian Competition Tribunal, </w:t>
      </w:r>
      <w:r w:rsidRPr="00B04480">
        <w:rPr>
          <w:rStyle w:val="AERtextitalic"/>
        </w:rPr>
        <w:t>Application by Energex Limited (Gamma) (No 5) [2011] ACompT 9</w:t>
      </w:r>
      <w:r w:rsidRPr="00B04480">
        <w:t>, May 2011</w:t>
      </w:r>
      <w:r>
        <w:t xml:space="preserve">, para. 38; </w:t>
      </w:r>
      <w:r w:rsidRPr="00B04480">
        <w:t xml:space="preserve">SFG, </w:t>
      </w:r>
      <w:r w:rsidRPr="00B04480">
        <w:rPr>
          <w:rStyle w:val="AERtextitalic"/>
        </w:rPr>
        <w:t>Updated dividend drop-off estimate of theta: Report for the Energy Networks Association</w:t>
      </w:r>
      <w:r w:rsidRPr="00B04480">
        <w:t>, 7 June 2013.</w:t>
      </w:r>
    </w:p>
  </w:footnote>
  <w:footnote w:id="853">
    <w:p w:rsidR="00B31E52" w:rsidRDefault="00B31E52" w:rsidP="00C52695">
      <w:pPr>
        <w:pStyle w:val="FootnoteText"/>
      </w:pPr>
      <w:r>
        <w:rPr>
          <w:rStyle w:val="FootnoteReference"/>
        </w:rPr>
        <w:footnoteRef/>
      </w:r>
      <w:r>
        <w:t xml:space="preserve"> </w:t>
      </w:r>
      <w:r>
        <w:tab/>
      </w:r>
      <w:r w:rsidRPr="006C192F">
        <w:t xml:space="preserve">D. Cannavan, F. Finn, S. Gray, 'The value of dividend imputation tax credits in Australia', </w:t>
      </w:r>
      <w:r w:rsidRPr="006C192F">
        <w:rPr>
          <w:rStyle w:val="AERtextitalic"/>
        </w:rPr>
        <w:t>Journal of financial economics</w:t>
      </w:r>
      <w:r>
        <w:t>, vol. 73, 2004, p. 175.</w:t>
      </w:r>
    </w:p>
  </w:footnote>
  <w:footnote w:id="854">
    <w:p w:rsidR="00B31E52" w:rsidRDefault="00B31E52" w:rsidP="00C52695">
      <w:pPr>
        <w:pStyle w:val="FootnoteText"/>
      </w:pPr>
      <w:r>
        <w:rPr>
          <w:rStyle w:val="FootnoteReference"/>
        </w:rPr>
        <w:footnoteRef/>
      </w:r>
      <w:r>
        <w:t xml:space="preserve"> </w:t>
      </w:r>
      <w:r>
        <w:tab/>
      </w:r>
      <w:r w:rsidRPr="006C192F">
        <w:t xml:space="preserve">K. Siau, S. Sault and G. Warren, 'Are imputation credits capitalised into stock prices', </w:t>
      </w:r>
      <w:r w:rsidRPr="006C192F">
        <w:rPr>
          <w:rStyle w:val="AERtextitalic"/>
        </w:rPr>
        <w:t>ANU working paper</w:t>
      </w:r>
      <w:r w:rsidRPr="006C192F">
        <w:t>, 18 June 2013, p. 2 and pp. 8–9</w:t>
      </w:r>
      <w:r>
        <w:t>.</w:t>
      </w:r>
    </w:p>
  </w:footnote>
  <w:footnote w:id="855">
    <w:p w:rsidR="00B31E52" w:rsidRDefault="00B31E52" w:rsidP="00C52695">
      <w:pPr>
        <w:pStyle w:val="FootnoteText"/>
      </w:pPr>
      <w:r>
        <w:rPr>
          <w:rStyle w:val="FootnoteReference"/>
        </w:rPr>
        <w:footnoteRef/>
      </w:r>
      <w:r>
        <w:t xml:space="preserve"> </w:t>
      </w:r>
      <w:r>
        <w:tab/>
      </w:r>
      <w:r w:rsidRPr="00BE4458">
        <w:t xml:space="preserve">M. McKenzie and G. Partington, </w:t>
      </w:r>
      <w:r w:rsidRPr="00BE4458">
        <w:rPr>
          <w:rStyle w:val="AERtextitalic"/>
        </w:rPr>
        <w:t>Report to the Queensland Resources Council: Review of Aurizon Network’s draft access undertaking</w:t>
      </w:r>
      <w:r>
        <w:t>, 5 October 2013,</w:t>
      </w:r>
      <w:r w:rsidRPr="00BE4458">
        <w:t xml:space="preserve"> </w:t>
      </w:r>
      <w:r>
        <w:t>pp. 33</w:t>
      </w:r>
      <w:r w:rsidRPr="00BE4458">
        <w:t>–</w:t>
      </w:r>
      <w:r>
        <w:t>34.</w:t>
      </w:r>
    </w:p>
  </w:footnote>
  <w:footnote w:id="856">
    <w:p w:rsidR="00B31E52" w:rsidRDefault="00B31E52" w:rsidP="00C52695">
      <w:pPr>
        <w:pStyle w:val="FootnoteText"/>
      </w:pPr>
      <w:r>
        <w:rPr>
          <w:rStyle w:val="FootnoteReference"/>
        </w:rPr>
        <w:footnoteRef/>
      </w:r>
      <w:r>
        <w:t xml:space="preserve"> </w:t>
      </w:r>
      <w:r>
        <w:tab/>
      </w:r>
      <w:r w:rsidRPr="002015C5">
        <w:t xml:space="preserve">M. Lally, </w:t>
      </w:r>
      <w:r w:rsidRPr="002015C5">
        <w:rPr>
          <w:rStyle w:val="AERtextitalic"/>
        </w:rPr>
        <w:t>The estimation of gamma</w:t>
      </w:r>
      <w:r>
        <w:t>, 23 November 2013, p. 20.</w:t>
      </w:r>
    </w:p>
  </w:footnote>
  <w:footnote w:id="857">
    <w:p w:rsidR="00B31E52" w:rsidRDefault="00B31E52" w:rsidP="00C52695">
      <w:pPr>
        <w:pStyle w:val="FootnoteText"/>
      </w:pPr>
      <w:r>
        <w:rPr>
          <w:rStyle w:val="FootnoteReference"/>
        </w:rPr>
        <w:footnoteRef/>
      </w:r>
      <w:r>
        <w:t xml:space="preserve"> </w:t>
      </w:r>
      <w:r>
        <w:tab/>
      </w:r>
      <w:r w:rsidRPr="00D24127">
        <w:t xml:space="preserve">J. Handley, </w:t>
      </w:r>
      <w:r w:rsidRPr="00D24127">
        <w:rPr>
          <w:rStyle w:val="AERtextitalic"/>
        </w:rPr>
        <w:t>Report prepared for the Australian Energy Regulator: Advice on the value of imputation credits</w:t>
      </w:r>
      <w:r w:rsidRPr="00D24127">
        <w:t>, 29 September 2014</w:t>
      </w:r>
      <w:r>
        <w:t>, p. 44.</w:t>
      </w:r>
    </w:p>
  </w:footnote>
  <w:footnote w:id="858">
    <w:p w:rsidR="00B31E52" w:rsidRDefault="00B31E52" w:rsidP="00C52695">
      <w:pPr>
        <w:pStyle w:val="FootnoteText"/>
      </w:pPr>
      <w:r>
        <w:rPr>
          <w:rStyle w:val="FootnoteReference"/>
        </w:rPr>
        <w:footnoteRef/>
      </w:r>
      <w:r>
        <w:t xml:space="preserve"> </w:t>
      </w:r>
      <w:r>
        <w:tab/>
        <w:t xml:space="preserve">SA Centre for Economic Studies (2015), </w:t>
      </w:r>
      <w:r>
        <w:rPr>
          <w:rStyle w:val="AERtextitalic"/>
        </w:rPr>
        <w:t>Independent e</w:t>
      </w:r>
      <w:r w:rsidRPr="00253C46">
        <w:rPr>
          <w:rStyle w:val="AERtextitalic"/>
        </w:rPr>
        <w:t>stimate of the WACC for SA Power Networks 2015 to 2020</w:t>
      </w:r>
      <w:r>
        <w:rPr>
          <w:rStyle w:val="AERtextitalic"/>
        </w:rPr>
        <w:t xml:space="preserve">: </w:t>
      </w:r>
      <w:r w:rsidRPr="00EB47DF">
        <w:rPr>
          <w:rStyle w:val="AERtextitalic"/>
        </w:rPr>
        <w:t>Report commissioned by the</w:t>
      </w:r>
      <w:r>
        <w:rPr>
          <w:rStyle w:val="AERtextitalic"/>
        </w:rPr>
        <w:t xml:space="preserve"> SA</w:t>
      </w:r>
      <w:r w:rsidRPr="00EB47DF">
        <w:rPr>
          <w:rStyle w:val="AERtextitalic"/>
        </w:rPr>
        <w:t xml:space="preserve"> Council of Social Services</w:t>
      </w:r>
      <w:r>
        <w:t>, January 2015, pp. 16–17.</w:t>
      </w:r>
    </w:p>
  </w:footnote>
  <w:footnote w:id="859">
    <w:p w:rsidR="00B31E52" w:rsidRDefault="00B31E52" w:rsidP="00C52695">
      <w:pPr>
        <w:pStyle w:val="FootnoteText"/>
      </w:pPr>
      <w:r>
        <w:rPr>
          <w:rStyle w:val="FootnoteReference"/>
        </w:rPr>
        <w:footnoteRef/>
      </w:r>
      <w:r>
        <w:t xml:space="preserve"> </w:t>
      </w:r>
      <w:r>
        <w:tab/>
      </w:r>
      <w:r w:rsidRPr="00A403E6">
        <w:t xml:space="preserve">Queensland Competition Authority, </w:t>
      </w:r>
      <w:r w:rsidRPr="00A403E6">
        <w:rPr>
          <w:rStyle w:val="AERtextitalic"/>
        </w:rPr>
        <w:t>Cost of capital: Market parameters</w:t>
      </w:r>
      <w:r>
        <w:t>, August 2014,</w:t>
      </w:r>
      <w:r w:rsidRPr="00A403E6">
        <w:t xml:space="preserve"> </w:t>
      </w:r>
      <w:r>
        <w:t>pp. 27</w:t>
      </w:r>
      <w:r w:rsidRPr="00A403E6">
        <w:t>–</w:t>
      </w:r>
      <w:r>
        <w:t>28.</w:t>
      </w:r>
    </w:p>
  </w:footnote>
  <w:footnote w:id="860">
    <w:p w:rsidR="00B31E52" w:rsidRDefault="00B31E52" w:rsidP="00C52695">
      <w:pPr>
        <w:pStyle w:val="FootnoteText"/>
      </w:pPr>
      <w:r>
        <w:rPr>
          <w:rStyle w:val="FootnoteReference"/>
        </w:rPr>
        <w:footnoteRef/>
      </w:r>
      <w:r>
        <w:t xml:space="preserve"> </w:t>
      </w:r>
      <w:r>
        <w:tab/>
      </w:r>
      <w:r w:rsidRPr="00E443A3">
        <w:t xml:space="preserve">Economic Regulation Authority, </w:t>
      </w:r>
      <w:r w:rsidRPr="00E443A3">
        <w:rPr>
          <w:rStyle w:val="AERtextitalic"/>
        </w:rPr>
        <w:t>Explanatory Statement for the Rate of Return Guidelines</w:t>
      </w:r>
      <w:r>
        <w:t xml:space="preserve">, December </w:t>
      </w:r>
      <w:r w:rsidRPr="00E443A3">
        <w:t>2013</w:t>
      </w:r>
      <w:r>
        <w:t xml:space="preserve">, para. 920. As noted, the ERA has published a revised draft Guideline, which no longer prefers the use of dividend drop off studies: Economic Regulation Authority, </w:t>
      </w:r>
      <w:r w:rsidRPr="00792648">
        <w:rPr>
          <w:rStyle w:val="AERtextitalic"/>
        </w:rPr>
        <w:t xml:space="preserve">Review of the method for estimating the weighted average cost of capital for </w:t>
      </w:r>
      <w:r>
        <w:rPr>
          <w:rStyle w:val="AERtextitalic"/>
        </w:rPr>
        <w:t>regulated</w:t>
      </w:r>
      <w:r w:rsidRPr="00792648">
        <w:rPr>
          <w:rStyle w:val="AERtextitalic"/>
        </w:rPr>
        <w:t xml:space="preserve"> railway networks, </w:t>
      </w:r>
      <w:r>
        <w:rPr>
          <w:rStyle w:val="AERtextitalic"/>
        </w:rPr>
        <w:t>Revised d</w:t>
      </w:r>
      <w:r w:rsidRPr="00792648">
        <w:rPr>
          <w:rStyle w:val="AERtextitalic"/>
        </w:rPr>
        <w:t xml:space="preserve">raft </w:t>
      </w:r>
      <w:r>
        <w:rPr>
          <w:rStyle w:val="AERtextitalic"/>
        </w:rPr>
        <w:t>decision</w:t>
      </w:r>
      <w:r>
        <w:t>, 28 November 2014.</w:t>
      </w:r>
    </w:p>
  </w:footnote>
  <w:footnote w:id="861">
    <w:p w:rsidR="00B31E52" w:rsidRDefault="00B31E52" w:rsidP="00C52695">
      <w:pPr>
        <w:pStyle w:val="FootnoteText"/>
      </w:pPr>
      <w:r>
        <w:rPr>
          <w:rStyle w:val="FootnoteReference"/>
        </w:rPr>
        <w:footnoteRef/>
      </w:r>
      <w:r>
        <w:t xml:space="preserve"> </w:t>
      </w:r>
      <w:r>
        <w:tab/>
        <w:t xml:space="preserve">SA Power Networks, </w:t>
      </w:r>
      <w:r>
        <w:rPr>
          <w:rStyle w:val="AERtextitalic"/>
        </w:rPr>
        <w:t>Revised regulatory proposal 2015-20</w:t>
      </w:r>
      <w:r>
        <w:t>, July 2015, p. 373.</w:t>
      </w:r>
    </w:p>
  </w:footnote>
  <w:footnote w:id="862">
    <w:p w:rsidR="00B31E52" w:rsidRDefault="00B31E52" w:rsidP="00C52695">
      <w:pPr>
        <w:pStyle w:val="FootnoteText"/>
      </w:pPr>
      <w:r>
        <w:rPr>
          <w:rStyle w:val="FootnoteReference"/>
        </w:rPr>
        <w:footnoteRef/>
      </w:r>
      <w:r>
        <w:t xml:space="preserve"> </w:t>
      </w:r>
      <w:r>
        <w:tab/>
      </w:r>
      <w:r w:rsidRPr="00D24127">
        <w:t xml:space="preserve">J. Handley, </w:t>
      </w:r>
      <w:r w:rsidRPr="00D24127">
        <w:rPr>
          <w:rStyle w:val="AERtextitalic"/>
        </w:rPr>
        <w:t>Report prepared for the Australian Energy Regulator: Advice on the value of imputation credits</w:t>
      </w:r>
      <w:r w:rsidRPr="00D24127">
        <w:t>, 29 September 2014</w:t>
      </w:r>
      <w:r>
        <w:t>, p. 22.</w:t>
      </w:r>
    </w:p>
  </w:footnote>
  <w:footnote w:id="863">
    <w:p w:rsidR="00B31E52" w:rsidRDefault="00B31E52" w:rsidP="00C52695">
      <w:pPr>
        <w:pStyle w:val="FootnoteText"/>
      </w:pPr>
      <w:r>
        <w:rPr>
          <w:rStyle w:val="FootnoteReference"/>
        </w:rPr>
        <w:footnoteRef/>
      </w:r>
      <w:r>
        <w:t xml:space="preserve"> </w:t>
      </w:r>
      <w:r>
        <w:tab/>
        <w:t>Note that the standard Sharpe–Lintner CAPM also assumes segmented capital markets. In effect, the Officer CAPM is the standard Sharpe-Lintner CAPM adjusted to incorporate imputation credits.</w:t>
      </w:r>
    </w:p>
  </w:footnote>
  <w:footnote w:id="864">
    <w:p w:rsidR="00B31E52" w:rsidRDefault="00B31E52" w:rsidP="00C52695">
      <w:pPr>
        <w:pStyle w:val="FootnoteText"/>
      </w:pPr>
      <w:r>
        <w:rPr>
          <w:rStyle w:val="FootnoteReference"/>
        </w:rPr>
        <w:footnoteRef/>
      </w:r>
      <w:r>
        <w:t xml:space="preserve"> </w:t>
      </w:r>
      <w:r>
        <w:tab/>
        <w:t xml:space="preserve">M. </w:t>
      </w:r>
      <w:r w:rsidRPr="002B01D6">
        <w:t xml:space="preserve">Lally, </w:t>
      </w:r>
      <w:r w:rsidRPr="002B01D6">
        <w:rPr>
          <w:rStyle w:val="AERtextitalic"/>
        </w:rPr>
        <w:t>The estimation of gamma</w:t>
      </w:r>
      <w:r>
        <w:t>, 23 November 2013, p. 3.</w:t>
      </w:r>
    </w:p>
  </w:footnote>
  <w:footnote w:id="865">
    <w:p w:rsidR="00B31E52" w:rsidRDefault="00B31E52" w:rsidP="00C52695">
      <w:pPr>
        <w:pStyle w:val="FootnoteText"/>
      </w:pPr>
      <w:r>
        <w:rPr>
          <w:rStyle w:val="FootnoteReference"/>
        </w:rPr>
        <w:footnoteRef/>
      </w:r>
      <w:r>
        <w:t xml:space="preserve"> </w:t>
      </w:r>
      <w:r>
        <w:tab/>
        <w:t xml:space="preserve">M. </w:t>
      </w:r>
      <w:r w:rsidRPr="002B01D6">
        <w:t xml:space="preserve">Lally, </w:t>
      </w:r>
      <w:r w:rsidRPr="00A70E2C">
        <w:rPr>
          <w:rStyle w:val="AERtextitalic"/>
        </w:rPr>
        <w:t>The estimation of gamma</w:t>
      </w:r>
      <w:r>
        <w:t>, 23 November 2013, pp. 3 and 4.</w:t>
      </w:r>
    </w:p>
  </w:footnote>
  <w:footnote w:id="866">
    <w:p w:rsidR="00B31E52" w:rsidRDefault="00B31E52" w:rsidP="00C52695">
      <w:pPr>
        <w:pStyle w:val="FootnoteText"/>
      </w:pPr>
      <w:r>
        <w:rPr>
          <w:rStyle w:val="FootnoteReference"/>
        </w:rPr>
        <w:footnoteRef/>
      </w:r>
      <w:r>
        <w:t xml:space="preserve"> </w:t>
      </w:r>
      <w:r>
        <w:tab/>
        <w:t xml:space="preserve">M. </w:t>
      </w:r>
      <w:r w:rsidRPr="002B01D6">
        <w:t xml:space="preserve">Lally, </w:t>
      </w:r>
      <w:r w:rsidRPr="002B01D6">
        <w:rPr>
          <w:rStyle w:val="AERtextitalic"/>
        </w:rPr>
        <w:t>The estimation of gamma</w:t>
      </w:r>
      <w:r>
        <w:t>, 23 November 2013, p. 14.</w:t>
      </w:r>
    </w:p>
  </w:footnote>
  <w:footnote w:id="867">
    <w:p w:rsidR="00B31E52" w:rsidRDefault="00B31E52" w:rsidP="00C52695">
      <w:pPr>
        <w:pStyle w:val="FootnoteText"/>
      </w:pPr>
      <w:r>
        <w:rPr>
          <w:rStyle w:val="FootnoteReference"/>
        </w:rPr>
        <w:footnoteRef/>
      </w:r>
      <w:r>
        <w:t xml:space="preserve"> </w:t>
      </w:r>
      <w:r>
        <w:tab/>
        <w:t xml:space="preserve">M. </w:t>
      </w:r>
      <w:r w:rsidRPr="002B01D6">
        <w:t xml:space="preserve">Lally, </w:t>
      </w:r>
      <w:r w:rsidRPr="002B01D6">
        <w:rPr>
          <w:rStyle w:val="AERtextitalic"/>
        </w:rPr>
        <w:t>The estimation of gamma</w:t>
      </w:r>
      <w:r>
        <w:t>, 23 November 2013, p. 38.</w:t>
      </w:r>
    </w:p>
  </w:footnote>
  <w:footnote w:id="868">
    <w:p w:rsidR="00B31E52" w:rsidRDefault="00B31E52" w:rsidP="00C52695">
      <w:pPr>
        <w:pStyle w:val="FootnoteText"/>
      </w:pPr>
      <w:r>
        <w:rPr>
          <w:rStyle w:val="FootnoteReference"/>
        </w:rPr>
        <w:footnoteRef/>
      </w:r>
      <w:r>
        <w:t xml:space="preserve"> </w:t>
      </w:r>
      <w:r>
        <w:tab/>
        <w:t xml:space="preserve">M. </w:t>
      </w:r>
      <w:r w:rsidRPr="002B01D6">
        <w:t xml:space="preserve">Lally, </w:t>
      </w:r>
      <w:r w:rsidRPr="002B01D6">
        <w:rPr>
          <w:rStyle w:val="AERtextitalic"/>
        </w:rPr>
        <w:t>The estimation of gamma</w:t>
      </w:r>
      <w:r>
        <w:t>, 23 November 2013, pp. 38–47.</w:t>
      </w:r>
    </w:p>
  </w:footnote>
  <w:footnote w:id="869">
    <w:p w:rsidR="00B31E52" w:rsidRDefault="00B31E52" w:rsidP="00C52695">
      <w:pPr>
        <w:pStyle w:val="FootnoteText"/>
      </w:pPr>
      <w:r>
        <w:rPr>
          <w:rStyle w:val="FootnoteReference"/>
        </w:rPr>
        <w:footnoteRef/>
      </w:r>
      <w:r>
        <w:t xml:space="preserve"> </w:t>
      </w:r>
      <w:r>
        <w:tab/>
        <w:t xml:space="preserve">M. </w:t>
      </w:r>
      <w:r w:rsidRPr="002B01D6">
        <w:t xml:space="preserve">Lally, </w:t>
      </w:r>
      <w:r w:rsidRPr="002B01D6">
        <w:rPr>
          <w:rStyle w:val="AERtextitalic"/>
        </w:rPr>
        <w:t>The estimation of gamma</w:t>
      </w:r>
      <w:r>
        <w:t>, 23 November 2013, pp. 46–47.</w:t>
      </w:r>
    </w:p>
  </w:footnote>
  <w:footnote w:id="870">
    <w:p w:rsidR="00B31E52" w:rsidRDefault="00B31E52" w:rsidP="00C52695">
      <w:pPr>
        <w:pStyle w:val="FootnoteText"/>
      </w:pPr>
      <w:r>
        <w:rPr>
          <w:rStyle w:val="FootnoteReference"/>
        </w:rPr>
        <w:footnoteRef/>
      </w:r>
      <w:r>
        <w:t xml:space="preserve"> </w:t>
      </w:r>
      <w:r>
        <w:tab/>
      </w:r>
      <w:r w:rsidRPr="00D24127">
        <w:t xml:space="preserve">J. Handley, </w:t>
      </w:r>
      <w:r w:rsidRPr="00D24127">
        <w:rPr>
          <w:rStyle w:val="AERtextitalic"/>
        </w:rPr>
        <w:t>Report prepared for the Australian Energy Regulator: Advice on the value of imputation credits</w:t>
      </w:r>
      <w:r w:rsidRPr="00D24127">
        <w:t>, 29 September 2014</w:t>
      </w:r>
      <w:r>
        <w:t>, pp. 31–32.</w:t>
      </w:r>
    </w:p>
  </w:footnote>
  <w:footnote w:id="871">
    <w:p w:rsidR="00B31E52" w:rsidRDefault="00B31E52" w:rsidP="00C52695">
      <w:pPr>
        <w:pStyle w:val="FootnoteText"/>
      </w:pPr>
      <w:r>
        <w:rPr>
          <w:rStyle w:val="FootnoteReference"/>
        </w:rPr>
        <w:footnoteRef/>
      </w:r>
      <w:r>
        <w:t xml:space="preserve"> </w:t>
      </w:r>
      <w:r>
        <w:tab/>
      </w:r>
      <w:r w:rsidRPr="00D24127">
        <w:t xml:space="preserve">J. Handley, </w:t>
      </w:r>
      <w:r w:rsidRPr="00D24127">
        <w:rPr>
          <w:rStyle w:val="AERtextitalic"/>
        </w:rPr>
        <w:t>Report prepared for the Australian Energy Regulator: Advice on the value of imputation credits</w:t>
      </w:r>
      <w:r w:rsidRPr="00D24127">
        <w:t>, 29 September 2014</w:t>
      </w:r>
      <w:r>
        <w:t>, p. 23.</w:t>
      </w:r>
    </w:p>
  </w:footnote>
  <w:footnote w:id="872">
    <w:p w:rsidR="00B31E52" w:rsidRDefault="00B31E52" w:rsidP="00C52695">
      <w:pPr>
        <w:pStyle w:val="FootnoteText"/>
      </w:pPr>
      <w:r>
        <w:rPr>
          <w:rStyle w:val="FootnoteReference"/>
        </w:rPr>
        <w:footnoteRef/>
      </w:r>
      <w:r>
        <w:t xml:space="preserve"> </w:t>
      </w:r>
      <w:r>
        <w:tab/>
      </w:r>
      <w:r w:rsidRPr="00D24127">
        <w:t xml:space="preserve">J. Handley, </w:t>
      </w:r>
      <w:r w:rsidRPr="00D24127">
        <w:rPr>
          <w:rStyle w:val="AERtextitalic"/>
        </w:rPr>
        <w:t>Report prepared for the Australian Energy Regulator: Advice on the value of imputation credits</w:t>
      </w:r>
      <w:r w:rsidRPr="00D24127">
        <w:t>, 29 September 2014</w:t>
      </w:r>
      <w:r>
        <w:t>, pp. 3 and 32.</w:t>
      </w:r>
    </w:p>
  </w:footnote>
  <w:footnote w:id="873">
    <w:p w:rsidR="00B31E52" w:rsidRDefault="00B31E52" w:rsidP="00C52695">
      <w:pPr>
        <w:pStyle w:val="FootnoteText"/>
      </w:pPr>
      <w:r>
        <w:rPr>
          <w:rStyle w:val="FootnoteReference"/>
        </w:rPr>
        <w:footnoteRef/>
      </w:r>
      <w:r>
        <w:t xml:space="preserve"> </w:t>
      </w:r>
      <w:r>
        <w:tab/>
      </w:r>
      <w:r w:rsidRPr="00FC33A4">
        <w:t xml:space="preserve">SFG, </w:t>
      </w:r>
      <w:r w:rsidRPr="00FC33A4">
        <w:rPr>
          <w:rStyle w:val="AERtextitalic"/>
        </w:rPr>
        <w:t>An appropriate regulatory estimate of gamma</w:t>
      </w:r>
      <w:r>
        <w:t>, 21 May 2014,</w:t>
      </w:r>
      <w:r w:rsidRPr="00FC33A4">
        <w:t xml:space="preserve"> </w:t>
      </w:r>
      <w:r>
        <w:t xml:space="preserve">pp. 88–93; </w:t>
      </w:r>
      <w:r w:rsidRPr="00FC33A4">
        <w:t xml:space="preserve">M. Lally, </w:t>
      </w:r>
      <w:r w:rsidRPr="00FC33A4">
        <w:rPr>
          <w:rStyle w:val="AERtextitalic"/>
        </w:rPr>
        <w:t>Review of submissions to the QCA on the MRP, risk-free rate and gamma</w:t>
      </w:r>
      <w:r>
        <w:t>, 12 March 2014, pp. 31</w:t>
      </w:r>
      <w:r w:rsidRPr="00FC33A4">
        <w:t>–</w:t>
      </w:r>
      <w:r>
        <w:t>33.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EEA7C50"/>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3C00B7F"/>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0">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1">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3">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4">
    <w:nsid w:val="26AA0DA7"/>
    <w:multiLevelType w:val="multilevel"/>
    <w:tmpl w:val="95F6A130"/>
    <w:lvl w:ilvl="0">
      <w:start w:val="1"/>
      <w:numFmt w:val="upperLetter"/>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6">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7">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34B82394"/>
    <w:multiLevelType w:val="hybridMultilevel"/>
    <w:tmpl w:val="546ADF06"/>
    <w:lvl w:ilvl="0" w:tplc="403EE442">
      <w:start w:val="1"/>
      <w:numFmt w:val="lowerLetter"/>
      <w:lvlText w:val="(%1)"/>
      <w:lvlJc w:val="left"/>
      <w:pPr>
        <w:ind w:left="1021" w:hanging="341"/>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9">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CF07D5F"/>
    <w:multiLevelType w:val="hybridMultilevel"/>
    <w:tmpl w:val="D6DC675A"/>
    <w:lvl w:ilvl="0" w:tplc="6C6CF7F2">
      <w:start w:val="1"/>
      <w:numFmt w:val="lowerLetter"/>
      <w:lvlText w:val="(%1)"/>
      <w:lvlJc w:val="left"/>
      <w:pPr>
        <w:ind w:left="1361" w:hanging="340"/>
      </w:pPr>
      <w:rPr>
        <w:rFonts w:hint="default"/>
      </w:rPr>
    </w:lvl>
    <w:lvl w:ilvl="1" w:tplc="0C090019" w:tentative="1">
      <w:start w:val="1"/>
      <w:numFmt w:val="lowerLetter"/>
      <w:lvlText w:val="%2."/>
      <w:lvlJc w:val="left"/>
      <w:pPr>
        <w:ind w:left="2101" w:hanging="360"/>
      </w:pPr>
    </w:lvl>
    <w:lvl w:ilvl="2" w:tplc="0C09001B" w:tentative="1">
      <w:start w:val="1"/>
      <w:numFmt w:val="lowerRoman"/>
      <w:lvlText w:val="%3."/>
      <w:lvlJc w:val="right"/>
      <w:pPr>
        <w:ind w:left="2821" w:hanging="180"/>
      </w:pPr>
    </w:lvl>
    <w:lvl w:ilvl="3" w:tplc="0C09000F" w:tentative="1">
      <w:start w:val="1"/>
      <w:numFmt w:val="decimal"/>
      <w:lvlText w:val="%4."/>
      <w:lvlJc w:val="left"/>
      <w:pPr>
        <w:ind w:left="3541" w:hanging="360"/>
      </w:pPr>
    </w:lvl>
    <w:lvl w:ilvl="4" w:tplc="0C090019" w:tentative="1">
      <w:start w:val="1"/>
      <w:numFmt w:val="lowerLetter"/>
      <w:lvlText w:val="%5."/>
      <w:lvlJc w:val="left"/>
      <w:pPr>
        <w:ind w:left="4261" w:hanging="360"/>
      </w:pPr>
    </w:lvl>
    <w:lvl w:ilvl="5" w:tplc="0C09001B" w:tentative="1">
      <w:start w:val="1"/>
      <w:numFmt w:val="lowerRoman"/>
      <w:lvlText w:val="%6."/>
      <w:lvlJc w:val="right"/>
      <w:pPr>
        <w:ind w:left="4981" w:hanging="180"/>
      </w:pPr>
    </w:lvl>
    <w:lvl w:ilvl="6" w:tplc="0C09000F" w:tentative="1">
      <w:start w:val="1"/>
      <w:numFmt w:val="decimal"/>
      <w:lvlText w:val="%7."/>
      <w:lvlJc w:val="left"/>
      <w:pPr>
        <w:ind w:left="5701" w:hanging="360"/>
      </w:pPr>
    </w:lvl>
    <w:lvl w:ilvl="7" w:tplc="0C090019" w:tentative="1">
      <w:start w:val="1"/>
      <w:numFmt w:val="lowerLetter"/>
      <w:lvlText w:val="%8."/>
      <w:lvlJc w:val="left"/>
      <w:pPr>
        <w:ind w:left="6421" w:hanging="360"/>
      </w:pPr>
    </w:lvl>
    <w:lvl w:ilvl="8" w:tplc="0C09001B" w:tentative="1">
      <w:start w:val="1"/>
      <w:numFmt w:val="lowerRoman"/>
      <w:lvlText w:val="%9."/>
      <w:lvlJc w:val="right"/>
      <w:pPr>
        <w:ind w:left="7141" w:hanging="180"/>
      </w:pPr>
    </w:lvl>
  </w:abstractNum>
  <w:abstractNum w:abstractNumId="21">
    <w:nsid w:val="47F53878"/>
    <w:multiLevelType w:val="hybridMultilevel"/>
    <w:tmpl w:val="45E6ECA4"/>
    <w:lvl w:ilvl="0" w:tplc="C406CFC0">
      <w:start w:val="1"/>
      <w:numFmt w:val="upperLetter"/>
      <w:pStyle w:val="Heading7"/>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tentative="1">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25">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7">
    <w:nsid w:val="59B95977"/>
    <w:multiLevelType w:val="hybridMultilevel"/>
    <w:tmpl w:val="12B2A13C"/>
    <w:lvl w:ilvl="0" w:tplc="CC161006">
      <w:numFmt w:val="bullet"/>
      <w:lvlText w:val="-"/>
      <w:lvlJc w:val="left"/>
      <w:pPr>
        <w:ind w:left="360" w:hanging="360"/>
      </w:pPr>
      <w:rPr>
        <w:rFonts w:ascii="Arial" w:eastAsiaTheme="minorHAnsi" w:hAnsi="Arial" w:cs="Aria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nsid w:val="5ECE4384"/>
    <w:multiLevelType w:val="multilevel"/>
    <w:tmpl w:val="82F42BCA"/>
    <w:lvl w:ilvl="0">
      <w:start w:val="4"/>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9">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30">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31"/>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9"/>
  </w:num>
  <w:num w:numId="13">
    <w:abstractNumId w:val="19"/>
  </w:num>
  <w:num w:numId="14">
    <w:abstractNumId w:val="11"/>
  </w:num>
  <w:num w:numId="15">
    <w:abstractNumId w:val="13"/>
  </w:num>
  <w:num w:numId="16">
    <w:abstractNumId w:val="22"/>
  </w:num>
  <w:num w:numId="17">
    <w:abstractNumId w:val="10"/>
  </w:num>
  <w:num w:numId="18">
    <w:abstractNumId w:val="15"/>
  </w:num>
  <w:num w:numId="19">
    <w:abstractNumId w:val="23"/>
  </w:num>
  <w:num w:numId="20">
    <w:abstractNumId w:val="30"/>
  </w:num>
  <w:num w:numId="21">
    <w:abstractNumId w:val="26"/>
  </w:num>
  <w:num w:numId="22">
    <w:abstractNumId w:val="24"/>
  </w:num>
  <w:num w:numId="23">
    <w:abstractNumId w:val="16"/>
  </w:num>
  <w:num w:numId="24">
    <w:abstractNumId w:val="25"/>
  </w:num>
  <w:num w:numId="25">
    <w:abstractNumId w:val="28"/>
  </w:num>
  <w:num w:numId="26">
    <w:abstractNumId w:val="17"/>
  </w:num>
  <w:num w:numId="27">
    <w:abstractNumId w:val="14"/>
  </w:num>
  <w:num w:numId="28">
    <w:abstractNumId w:val="9"/>
  </w:num>
  <w:num w:numId="29">
    <w:abstractNumId w:val="18"/>
  </w:num>
  <w:num w:numId="30">
    <w:abstractNumId w:val="20"/>
  </w:num>
  <w:num w:numId="31">
    <w:abstractNumId w:val="27"/>
  </w:num>
  <w:num w:numId="32">
    <w:abstractNumId w:val="2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2"/>
  <w:removePersonalInformation/>
  <w:removeDateAndTime/>
  <w:hideSpellingErrors/>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1UiKUPQQEoZ4lPbrD43J9Z/MipmREL0ksZ08rjagYx0=" w:saltValue="jW5X3jq7zjmqpWPQ1DBQ2w==" w:algorithmName="SHA-256"/>
  <w:defaultTabStop w:val="340"/>
  <w:characterSpacingControl w:val="doNotCompress"/>
  <w:hdrShapeDefaults>
    <o:shapedefaults v:ext="edit" spidmax="3297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T:\AER\1. AusNet TX 2016\1. Final Decision\1. Public\1. Overview and attachments - Public\AER - AusNet Services 2017-22 - Attachment 4 - Value of imputation credits - April 2017.docx"/>
  </w:docVars>
  <w:rsids>
    <w:rsidRoot w:val="00961A4A"/>
    <w:rsid w:val="00001B62"/>
    <w:rsid w:val="000028DB"/>
    <w:rsid w:val="000035FC"/>
    <w:rsid w:val="00005540"/>
    <w:rsid w:val="0000638D"/>
    <w:rsid w:val="00011421"/>
    <w:rsid w:val="00011740"/>
    <w:rsid w:val="00013824"/>
    <w:rsid w:val="00014158"/>
    <w:rsid w:val="00014EFD"/>
    <w:rsid w:val="000169CB"/>
    <w:rsid w:val="00021202"/>
    <w:rsid w:val="00021C2B"/>
    <w:rsid w:val="00021F98"/>
    <w:rsid w:val="00022C1D"/>
    <w:rsid w:val="00023359"/>
    <w:rsid w:val="000238AD"/>
    <w:rsid w:val="0002517F"/>
    <w:rsid w:val="00027D9E"/>
    <w:rsid w:val="00031065"/>
    <w:rsid w:val="000335EC"/>
    <w:rsid w:val="0003578C"/>
    <w:rsid w:val="00037690"/>
    <w:rsid w:val="00037D9B"/>
    <w:rsid w:val="00040E25"/>
    <w:rsid w:val="00041282"/>
    <w:rsid w:val="000414F1"/>
    <w:rsid w:val="000421CC"/>
    <w:rsid w:val="00047AD8"/>
    <w:rsid w:val="00047E16"/>
    <w:rsid w:val="000531CA"/>
    <w:rsid w:val="000614C5"/>
    <w:rsid w:val="00063247"/>
    <w:rsid w:val="00063F95"/>
    <w:rsid w:val="0006482A"/>
    <w:rsid w:val="0006499D"/>
    <w:rsid w:val="0006681A"/>
    <w:rsid w:val="000707CC"/>
    <w:rsid w:val="00070F9F"/>
    <w:rsid w:val="0007137B"/>
    <w:rsid w:val="00074101"/>
    <w:rsid w:val="00074FE0"/>
    <w:rsid w:val="00075D94"/>
    <w:rsid w:val="00077389"/>
    <w:rsid w:val="00081628"/>
    <w:rsid w:val="000818BE"/>
    <w:rsid w:val="00083274"/>
    <w:rsid w:val="00085663"/>
    <w:rsid w:val="00085EBF"/>
    <w:rsid w:val="00086871"/>
    <w:rsid w:val="000873B3"/>
    <w:rsid w:val="0009187D"/>
    <w:rsid w:val="00092B4B"/>
    <w:rsid w:val="00093525"/>
    <w:rsid w:val="00094970"/>
    <w:rsid w:val="000955E7"/>
    <w:rsid w:val="00095A67"/>
    <w:rsid w:val="00096343"/>
    <w:rsid w:val="00096A14"/>
    <w:rsid w:val="000A057F"/>
    <w:rsid w:val="000A1F39"/>
    <w:rsid w:val="000A20C4"/>
    <w:rsid w:val="000A2DAD"/>
    <w:rsid w:val="000A3020"/>
    <w:rsid w:val="000A3573"/>
    <w:rsid w:val="000A6C7B"/>
    <w:rsid w:val="000B321F"/>
    <w:rsid w:val="000B4231"/>
    <w:rsid w:val="000C17A3"/>
    <w:rsid w:val="000C2B40"/>
    <w:rsid w:val="000C5949"/>
    <w:rsid w:val="000C74C5"/>
    <w:rsid w:val="000C7E9B"/>
    <w:rsid w:val="000D122C"/>
    <w:rsid w:val="000D1DAD"/>
    <w:rsid w:val="000D5934"/>
    <w:rsid w:val="000D7F98"/>
    <w:rsid w:val="000E0D4D"/>
    <w:rsid w:val="000E131E"/>
    <w:rsid w:val="000E1819"/>
    <w:rsid w:val="000E4821"/>
    <w:rsid w:val="000E517D"/>
    <w:rsid w:val="000E6C72"/>
    <w:rsid w:val="000E71C3"/>
    <w:rsid w:val="000E792B"/>
    <w:rsid w:val="000F2EAB"/>
    <w:rsid w:val="000F2FCF"/>
    <w:rsid w:val="000F4D0A"/>
    <w:rsid w:val="000F6C8F"/>
    <w:rsid w:val="0010101C"/>
    <w:rsid w:val="00102BE4"/>
    <w:rsid w:val="0010358A"/>
    <w:rsid w:val="001039FF"/>
    <w:rsid w:val="0010651C"/>
    <w:rsid w:val="00107408"/>
    <w:rsid w:val="001125F3"/>
    <w:rsid w:val="00112F3A"/>
    <w:rsid w:val="00113F3B"/>
    <w:rsid w:val="00113F4C"/>
    <w:rsid w:val="00114985"/>
    <w:rsid w:val="00114B5E"/>
    <w:rsid w:val="00116542"/>
    <w:rsid w:val="00116EB2"/>
    <w:rsid w:val="00116FD8"/>
    <w:rsid w:val="001176FB"/>
    <w:rsid w:val="001203C4"/>
    <w:rsid w:val="00120638"/>
    <w:rsid w:val="001207B2"/>
    <w:rsid w:val="00121F68"/>
    <w:rsid w:val="001224E1"/>
    <w:rsid w:val="00122E82"/>
    <w:rsid w:val="0012365B"/>
    <w:rsid w:val="00124609"/>
    <w:rsid w:val="001247E2"/>
    <w:rsid w:val="0012604C"/>
    <w:rsid w:val="00126272"/>
    <w:rsid w:val="00126A4C"/>
    <w:rsid w:val="00126EC0"/>
    <w:rsid w:val="00130940"/>
    <w:rsid w:val="00131627"/>
    <w:rsid w:val="00132804"/>
    <w:rsid w:val="001362F0"/>
    <w:rsid w:val="0014067F"/>
    <w:rsid w:val="00142226"/>
    <w:rsid w:val="00144DD3"/>
    <w:rsid w:val="00144E73"/>
    <w:rsid w:val="001453E4"/>
    <w:rsid w:val="0014573B"/>
    <w:rsid w:val="00146239"/>
    <w:rsid w:val="0014698D"/>
    <w:rsid w:val="001568D8"/>
    <w:rsid w:val="001573E4"/>
    <w:rsid w:val="001603C6"/>
    <w:rsid w:val="00160756"/>
    <w:rsid w:val="00160A89"/>
    <w:rsid w:val="0017232E"/>
    <w:rsid w:val="00172F87"/>
    <w:rsid w:val="001737FA"/>
    <w:rsid w:val="00173B8F"/>
    <w:rsid w:val="00173FC3"/>
    <w:rsid w:val="00174102"/>
    <w:rsid w:val="001745BF"/>
    <w:rsid w:val="001754EE"/>
    <w:rsid w:val="00177813"/>
    <w:rsid w:val="00177AB1"/>
    <w:rsid w:val="00180157"/>
    <w:rsid w:val="00180548"/>
    <w:rsid w:val="00180B2D"/>
    <w:rsid w:val="00180C78"/>
    <w:rsid w:val="00181379"/>
    <w:rsid w:val="00185C55"/>
    <w:rsid w:val="00185CB9"/>
    <w:rsid w:val="00186F77"/>
    <w:rsid w:val="00187D9E"/>
    <w:rsid w:val="00187ED0"/>
    <w:rsid w:val="001908FC"/>
    <w:rsid w:val="001921F2"/>
    <w:rsid w:val="001926A4"/>
    <w:rsid w:val="00192AD5"/>
    <w:rsid w:val="00192B61"/>
    <w:rsid w:val="00193B7C"/>
    <w:rsid w:val="00194D86"/>
    <w:rsid w:val="001958F9"/>
    <w:rsid w:val="00196AEF"/>
    <w:rsid w:val="00197663"/>
    <w:rsid w:val="001A0EE0"/>
    <w:rsid w:val="001A13F8"/>
    <w:rsid w:val="001A1E83"/>
    <w:rsid w:val="001A3115"/>
    <w:rsid w:val="001A5B30"/>
    <w:rsid w:val="001A7113"/>
    <w:rsid w:val="001B0EF1"/>
    <w:rsid w:val="001B2BD0"/>
    <w:rsid w:val="001B39CD"/>
    <w:rsid w:val="001B45A0"/>
    <w:rsid w:val="001B5B96"/>
    <w:rsid w:val="001C0911"/>
    <w:rsid w:val="001C216D"/>
    <w:rsid w:val="001C6A1D"/>
    <w:rsid w:val="001D055E"/>
    <w:rsid w:val="001D08B7"/>
    <w:rsid w:val="001D193B"/>
    <w:rsid w:val="001D288D"/>
    <w:rsid w:val="001D5F36"/>
    <w:rsid w:val="001D5F3E"/>
    <w:rsid w:val="001D6A7F"/>
    <w:rsid w:val="001E0C22"/>
    <w:rsid w:val="001E1469"/>
    <w:rsid w:val="001E1DD3"/>
    <w:rsid w:val="001E3B1D"/>
    <w:rsid w:val="001E51E2"/>
    <w:rsid w:val="001E6A60"/>
    <w:rsid w:val="001F0046"/>
    <w:rsid w:val="001F03BD"/>
    <w:rsid w:val="001F3DDD"/>
    <w:rsid w:val="001F41CA"/>
    <w:rsid w:val="001F492E"/>
    <w:rsid w:val="001F50E5"/>
    <w:rsid w:val="001F59A2"/>
    <w:rsid w:val="001F5A73"/>
    <w:rsid w:val="001F6DA3"/>
    <w:rsid w:val="002010BC"/>
    <w:rsid w:val="002016E7"/>
    <w:rsid w:val="00202E03"/>
    <w:rsid w:val="0020492C"/>
    <w:rsid w:val="002110F5"/>
    <w:rsid w:val="00213606"/>
    <w:rsid w:val="0021402E"/>
    <w:rsid w:val="002145B0"/>
    <w:rsid w:val="002160C8"/>
    <w:rsid w:val="0021673C"/>
    <w:rsid w:val="00220D0D"/>
    <w:rsid w:val="00221105"/>
    <w:rsid w:val="0022448B"/>
    <w:rsid w:val="00224DB9"/>
    <w:rsid w:val="002265F4"/>
    <w:rsid w:val="00226744"/>
    <w:rsid w:val="00226CBF"/>
    <w:rsid w:val="0023036D"/>
    <w:rsid w:val="00231EA7"/>
    <w:rsid w:val="00233264"/>
    <w:rsid w:val="00233775"/>
    <w:rsid w:val="002364FB"/>
    <w:rsid w:val="0024015A"/>
    <w:rsid w:val="002439E6"/>
    <w:rsid w:val="00245EB8"/>
    <w:rsid w:val="00246DAF"/>
    <w:rsid w:val="00251745"/>
    <w:rsid w:val="00251EEB"/>
    <w:rsid w:val="00254FC7"/>
    <w:rsid w:val="0025680D"/>
    <w:rsid w:val="00261C5F"/>
    <w:rsid w:val="002621B0"/>
    <w:rsid w:val="00263AC0"/>
    <w:rsid w:val="0026412F"/>
    <w:rsid w:val="00264264"/>
    <w:rsid w:val="00266B4F"/>
    <w:rsid w:val="0026772D"/>
    <w:rsid w:val="0027092E"/>
    <w:rsid w:val="00273C4F"/>
    <w:rsid w:val="00275256"/>
    <w:rsid w:val="0027533B"/>
    <w:rsid w:val="002808EF"/>
    <w:rsid w:val="00283213"/>
    <w:rsid w:val="00283230"/>
    <w:rsid w:val="00285E87"/>
    <w:rsid w:val="002862CE"/>
    <w:rsid w:val="00286874"/>
    <w:rsid w:val="00286D94"/>
    <w:rsid w:val="002876B3"/>
    <w:rsid w:val="00290C63"/>
    <w:rsid w:val="002915B0"/>
    <w:rsid w:val="002928B6"/>
    <w:rsid w:val="00296B65"/>
    <w:rsid w:val="00297C2E"/>
    <w:rsid w:val="002A0C23"/>
    <w:rsid w:val="002A52C5"/>
    <w:rsid w:val="002A5A14"/>
    <w:rsid w:val="002A7318"/>
    <w:rsid w:val="002A7DEF"/>
    <w:rsid w:val="002A7E2F"/>
    <w:rsid w:val="002B1CEA"/>
    <w:rsid w:val="002B41BB"/>
    <w:rsid w:val="002B7973"/>
    <w:rsid w:val="002B7E95"/>
    <w:rsid w:val="002C0BAC"/>
    <w:rsid w:val="002C1C0B"/>
    <w:rsid w:val="002C233C"/>
    <w:rsid w:val="002C3B6E"/>
    <w:rsid w:val="002C4A34"/>
    <w:rsid w:val="002C7983"/>
    <w:rsid w:val="002D0E02"/>
    <w:rsid w:val="002D0F57"/>
    <w:rsid w:val="002D1212"/>
    <w:rsid w:val="002D1B2C"/>
    <w:rsid w:val="002D320C"/>
    <w:rsid w:val="002D52D3"/>
    <w:rsid w:val="002D6646"/>
    <w:rsid w:val="002D72E8"/>
    <w:rsid w:val="002D7AA8"/>
    <w:rsid w:val="002E5B8D"/>
    <w:rsid w:val="002E6000"/>
    <w:rsid w:val="002E7B22"/>
    <w:rsid w:val="002F37AE"/>
    <w:rsid w:val="002F4C1F"/>
    <w:rsid w:val="002F7986"/>
    <w:rsid w:val="00300124"/>
    <w:rsid w:val="00301B40"/>
    <w:rsid w:val="003029EE"/>
    <w:rsid w:val="00302E82"/>
    <w:rsid w:val="00305764"/>
    <w:rsid w:val="00305CC8"/>
    <w:rsid w:val="00307F6D"/>
    <w:rsid w:val="003113A6"/>
    <w:rsid w:val="003128F2"/>
    <w:rsid w:val="00313433"/>
    <w:rsid w:val="00313CB3"/>
    <w:rsid w:val="00314175"/>
    <w:rsid w:val="003177A2"/>
    <w:rsid w:val="003200DF"/>
    <w:rsid w:val="00320EAB"/>
    <w:rsid w:val="003217B7"/>
    <w:rsid w:val="00322148"/>
    <w:rsid w:val="0032245F"/>
    <w:rsid w:val="00323FDA"/>
    <w:rsid w:val="003249E9"/>
    <w:rsid w:val="003250CB"/>
    <w:rsid w:val="003271B5"/>
    <w:rsid w:val="00327A1E"/>
    <w:rsid w:val="00330980"/>
    <w:rsid w:val="00330D4E"/>
    <w:rsid w:val="00331264"/>
    <w:rsid w:val="00332686"/>
    <w:rsid w:val="00332BB9"/>
    <w:rsid w:val="00334C8D"/>
    <w:rsid w:val="00343A18"/>
    <w:rsid w:val="00345A28"/>
    <w:rsid w:val="003518B3"/>
    <w:rsid w:val="00352F01"/>
    <w:rsid w:val="003547F6"/>
    <w:rsid w:val="00356933"/>
    <w:rsid w:val="003575D8"/>
    <w:rsid w:val="00357F78"/>
    <w:rsid w:val="00357FE8"/>
    <w:rsid w:val="0036034D"/>
    <w:rsid w:val="003634DD"/>
    <w:rsid w:val="00366113"/>
    <w:rsid w:val="00370FAF"/>
    <w:rsid w:val="00374DD7"/>
    <w:rsid w:val="00375A31"/>
    <w:rsid w:val="003819D6"/>
    <w:rsid w:val="003846F1"/>
    <w:rsid w:val="003852DC"/>
    <w:rsid w:val="003870A9"/>
    <w:rsid w:val="003903F6"/>
    <w:rsid w:val="00392905"/>
    <w:rsid w:val="00396EBB"/>
    <w:rsid w:val="003979E9"/>
    <w:rsid w:val="00397C86"/>
    <w:rsid w:val="003A0A04"/>
    <w:rsid w:val="003A0C07"/>
    <w:rsid w:val="003A29CF"/>
    <w:rsid w:val="003A6595"/>
    <w:rsid w:val="003B39BF"/>
    <w:rsid w:val="003B43D1"/>
    <w:rsid w:val="003B47A6"/>
    <w:rsid w:val="003B484F"/>
    <w:rsid w:val="003B59F5"/>
    <w:rsid w:val="003B6C29"/>
    <w:rsid w:val="003B6D7B"/>
    <w:rsid w:val="003B7FBA"/>
    <w:rsid w:val="003C0038"/>
    <w:rsid w:val="003C06B0"/>
    <w:rsid w:val="003C1824"/>
    <w:rsid w:val="003C3017"/>
    <w:rsid w:val="003C303F"/>
    <w:rsid w:val="003C3A9C"/>
    <w:rsid w:val="003C5E38"/>
    <w:rsid w:val="003C692F"/>
    <w:rsid w:val="003D222B"/>
    <w:rsid w:val="003D4F01"/>
    <w:rsid w:val="003D52F6"/>
    <w:rsid w:val="003D598E"/>
    <w:rsid w:val="003D5B8B"/>
    <w:rsid w:val="003D5C36"/>
    <w:rsid w:val="003D77FD"/>
    <w:rsid w:val="003E08B5"/>
    <w:rsid w:val="003E44A6"/>
    <w:rsid w:val="003F14DA"/>
    <w:rsid w:val="003F15A6"/>
    <w:rsid w:val="003F174D"/>
    <w:rsid w:val="003F3CEB"/>
    <w:rsid w:val="00400514"/>
    <w:rsid w:val="0040224B"/>
    <w:rsid w:val="004037F5"/>
    <w:rsid w:val="00403CF0"/>
    <w:rsid w:val="00404C06"/>
    <w:rsid w:val="00407BED"/>
    <w:rsid w:val="004134F9"/>
    <w:rsid w:val="004135F1"/>
    <w:rsid w:val="00413BA1"/>
    <w:rsid w:val="00415F31"/>
    <w:rsid w:val="00420370"/>
    <w:rsid w:val="00423A77"/>
    <w:rsid w:val="00424391"/>
    <w:rsid w:val="00424C45"/>
    <w:rsid w:val="00426A15"/>
    <w:rsid w:val="0043011A"/>
    <w:rsid w:val="0043393C"/>
    <w:rsid w:val="00434A21"/>
    <w:rsid w:val="0043564A"/>
    <w:rsid w:val="00437CA2"/>
    <w:rsid w:val="00441002"/>
    <w:rsid w:val="004423C9"/>
    <w:rsid w:val="00442493"/>
    <w:rsid w:val="00443010"/>
    <w:rsid w:val="00447094"/>
    <w:rsid w:val="00447949"/>
    <w:rsid w:val="00450764"/>
    <w:rsid w:val="00452BA3"/>
    <w:rsid w:val="0045326E"/>
    <w:rsid w:val="004576F7"/>
    <w:rsid w:val="0045777E"/>
    <w:rsid w:val="00461024"/>
    <w:rsid w:val="00466F26"/>
    <w:rsid w:val="0047297F"/>
    <w:rsid w:val="004733FE"/>
    <w:rsid w:val="004741BD"/>
    <w:rsid w:val="00476EB6"/>
    <w:rsid w:val="00480144"/>
    <w:rsid w:val="0048052E"/>
    <w:rsid w:val="00480B4B"/>
    <w:rsid w:val="00481AB4"/>
    <w:rsid w:val="00483A35"/>
    <w:rsid w:val="00484398"/>
    <w:rsid w:val="00485A29"/>
    <w:rsid w:val="00485DC4"/>
    <w:rsid w:val="0048667E"/>
    <w:rsid w:val="00487822"/>
    <w:rsid w:val="00490D58"/>
    <w:rsid w:val="00490FB7"/>
    <w:rsid w:val="00491349"/>
    <w:rsid w:val="00492389"/>
    <w:rsid w:val="004927A4"/>
    <w:rsid w:val="00493CF5"/>
    <w:rsid w:val="00493F01"/>
    <w:rsid w:val="00496686"/>
    <w:rsid w:val="0049684D"/>
    <w:rsid w:val="0049781D"/>
    <w:rsid w:val="004A1240"/>
    <w:rsid w:val="004A20C0"/>
    <w:rsid w:val="004A2F1A"/>
    <w:rsid w:val="004A43D1"/>
    <w:rsid w:val="004A640B"/>
    <w:rsid w:val="004A6F75"/>
    <w:rsid w:val="004A7047"/>
    <w:rsid w:val="004A7A28"/>
    <w:rsid w:val="004B01DC"/>
    <w:rsid w:val="004B0B95"/>
    <w:rsid w:val="004B1B5E"/>
    <w:rsid w:val="004B237A"/>
    <w:rsid w:val="004B4412"/>
    <w:rsid w:val="004B6A76"/>
    <w:rsid w:val="004C348C"/>
    <w:rsid w:val="004C4498"/>
    <w:rsid w:val="004C667C"/>
    <w:rsid w:val="004D00D8"/>
    <w:rsid w:val="004D178B"/>
    <w:rsid w:val="004D25AD"/>
    <w:rsid w:val="004D4040"/>
    <w:rsid w:val="004D45D1"/>
    <w:rsid w:val="004D4888"/>
    <w:rsid w:val="004D558A"/>
    <w:rsid w:val="004D55BA"/>
    <w:rsid w:val="004D6623"/>
    <w:rsid w:val="004E22EC"/>
    <w:rsid w:val="004E4D73"/>
    <w:rsid w:val="004E55C5"/>
    <w:rsid w:val="004E5CF9"/>
    <w:rsid w:val="004E74F9"/>
    <w:rsid w:val="004F2C4D"/>
    <w:rsid w:val="004F5197"/>
    <w:rsid w:val="004F6A0E"/>
    <w:rsid w:val="00500ED3"/>
    <w:rsid w:val="0050114F"/>
    <w:rsid w:val="00502F39"/>
    <w:rsid w:val="00503A35"/>
    <w:rsid w:val="00511C89"/>
    <w:rsid w:val="00512695"/>
    <w:rsid w:val="005134DC"/>
    <w:rsid w:val="00513A57"/>
    <w:rsid w:val="00514A99"/>
    <w:rsid w:val="005154E4"/>
    <w:rsid w:val="005173FB"/>
    <w:rsid w:val="00517655"/>
    <w:rsid w:val="00524BC1"/>
    <w:rsid w:val="005259C1"/>
    <w:rsid w:val="00526F08"/>
    <w:rsid w:val="005271EF"/>
    <w:rsid w:val="0052722C"/>
    <w:rsid w:val="00530128"/>
    <w:rsid w:val="005319CD"/>
    <w:rsid w:val="00532467"/>
    <w:rsid w:val="00532F24"/>
    <w:rsid w:val="005338F0"/>
    <w:rsid w:val="00536674"/>
    <w:rsid w:val="00540418"/>
    <w:rsid w:val="00540EF3"/>
    <w:rsid w:val="005410EE"/>
    <w:rsid w:val="00541886"/>
    <w:rsid w:val="00541EFC"/>
    <w:rsid w:val="00544C12"/>
    <w:rsid w:val="00547DB6"/>
    <w:rsid w:val="005516CF"/>
    <w:rsid w:val="0055269A"/>
    <w:rsid w:val="00553342"/>
    <w:rsid w:val="00561339"/>
    <w:rsid w:val="005621D1"/>
    <w:rsid w:val="00564A4D"/>
    <w:rsid w:val="005660BE"/>
    <w:rsid w:val="0056734B"/>
    <w:rsid w:val="00567BA5"/>
    <w:rsid w:val="0057145F"/>
    <w:rsid w:val="00571B35"/>
    <w:rsid w:val="00571D57"/>
    <w:rsid w:val="00574CB8"/>
    <w:rsid w:val="00577A09"/>
    <w:rsid w:val="00581D1C"/>
    <w:rsid w:val="00582254"/>
    <w:rsid w:val="005829C2"/>
    <w:rsid w:val="00582EDA"/>
    <w:rsid w:val="005832AD"/>
    <w:rsid w:val="005837DD"/>
    <w:rsid w:val="00584D8F"/>
    <w:rsid w:val="00586F6B"/>
    <w:rsid w:val="0059076A"/>
    <w:rsid w:val="00590C66"/>
    <w:rsid w:val="00591AB8"/>
    <w:rsid w:val="005928B2"/>
    <w:rsid w:val="00594627"/>
    <w:rsid w:val="005957B5"/>
    <w:rsid w:val="005A1971"/>
    <w:rsid w:val="005A404D"/>
    <w:rsid w:val="005A48E0"/>
    <w:rsid w:val="005A5848"/>
    <w:rsid w:val="005A64FC"/>
    <w:rsid w:val="005A67B5"/>
    <w:rsid w:val="005A7817"/>
    <w:rsid w:val="005B1E3C"/>
    <w:rsid w:val="005B2BA9"/>
    <w:rsid w:val="005B30A0"/>
    <w:rsid w:val="005B423C"/>
    <w:rsid w:val="005B55D7"/>
    <w:rsid w:val="005B704A"/>
    <w:rsid w:val="005B77D3"/>
    <w:rsid w:val="005B7E4F"/>
    <w:rsid w:val="005C0A2B"/>
    <w:rsid w:val="005C26CC"/>
    <w:rsid w:val="005C46D8"/>
    <w:rsid w:val="005C5217"/>
    <w:rsid w:val="005C5551"/>
    <w:rsid w:val="005C73D7"/>
    <w:rsid w:val="005D01B1"/>
    <w:rsid w:val="005D1658"/>
    <w:rsid w:val="005D2499"/>
    <w:rsid w:val="005D7BA2"/>
    <w:rsid w:val="005E11C0"/>
    <w:rsid w:val="005E1C36"/>
    <w:rsid w:val="005E2393"/>
    <w:rsid w:val="005E25EB"/>
    <w:rsid w:val="005E2725"/>
    <w:rsid w:val="005E28F2"/>
    <w:rsid w:val="005E2A05"/>
    <w:rsid w:val="005E2E6D"/>
    <w:rsid w:val="005E36C2"/>
    <w:rsid w:val="005E4605"/>
    <w:rsid w:val="005E594B"/>
    <w:rsid w:val="005F224E"/>
    <w:rsid w:val="005F3CA6"/>
    <w:rsid w:val="005F3F18"/>
    <w:rsid w:val="005F4611"/>
    <w:rsid w:val="005F4F09"/>
    <w:rsid w:val="005F5503"/>
    <w:rsid w:val="005F59F7"/>
    <w:rsid w:val="005F6361"/>
    <w:rsid w:val="005F64F6"/>
    <w:rsid w:val="005F797E"/>
    <w:rsid w:val="00602BA7"/>
    <w:rsid w:val="006038F6"/>
    <w:rsid w:val="0060460E"/>
    <w:rsid w:val="00605C23"/>
    <w:rsid w:val="006067E5"/>
    <w:rsid w:val="00607633"/>
    <w:rsid w:val="00607773"/>
    <w:rsid w:val="00607A28"/>
    <w:rsid w:val="00610F74"/>
    <w:rsid w:val="00611EC0"/>
    <w:rsid w:val="00612F4F"/>
    <w:rsid w:val="006132A3"/>
    <w:rsid w:val="006141C4"/>
    <w:rsid w:val="00615C6B"/>
    <w:rsid w:val="00621DCE"/>
    <w:rsid w:val="0062564A"/>
    <w:rsid w:val="00630745"/>
    <w:rsid w:val="00630BA8"/>
    <w:rsid w:val="00632C53"/>
    <w:rsid w:val="00632D6D"/>
    <w:rsid w:val="006418BE"/>
    <w:rsid w:val="006425B8"/>
    <w:rsid w:val="00642B2F"/>
    <w:rsid w:val="00642C3E"/>
    <w:rsid w:val="006455B8"/>
    <w:rsid w:val="00646040"/>
    <w:rsid w:val="00647E9D"/>
    <w:rsid w:val="00647F58"/>
    <w:rsid w:val="00651429"/>
    <w:rsid w:val="00651532"/>
    <w:rsid w:val="00651C88"/>
    <w:rsid w:val="00652404"/>
    <w:rsid w:val="006537AA"/>
    <w:rsid w:val="00656863"/>
    <w:rsid w:val="0066104A"/>
    <w:rsid w:val="006623F7"/>
    <w:rsid w:val="0066341E"/>
    <w:rsid w:val="00663DAD"/>
    <w:rsid w:val="00664394"/>
    <w:rsid w:val="00666067"/>
    <w:rsid w:val="0066636C"/>
    <w:rsid w:val="00666B2A"/>
    <w:rsid w:val="00675E20"/>
    <w:rsid w:val="00676679"/>
    <w:rsid w:val="00677BC6"/>
    <w:rsid w:val="00682278"/>
    <w:rsid w:val="0068340D"/>
    <w:rsid w:val="00683C89"/>
    <w:rsid w:val="0068558A"/>
    <w:rsid w:val="00687400"/>
    <w:rsid w:val="0069134C"/>
    <w:rsid w:val="006919E7"/>
    <w:rsid w:val="00697C88"/>
    <w:rsid w:val="00697C8E"/>
    <w:rsid w:val="006A08A8"/>
    <w:rsid w:val="006A200A"/>
    <w:rsid w:val="006A327F"/>
    <w:rsid w:val="006A34E1"/>
    <w:rsid w:val="006A3D1E"/>
    <w:rsid w:val="006A7DA8"/>
    <w:rsid w:val="006B14BA"/>
    <w:rsid w:val="006B2395"/>
    <w:rsid w:val="006B4CF9"/>
    <w:rsid w:val="006B5456"/>
    <w:rsid w:val="006B623C"/>
    <w:rsid w:val="006B645D"/>
    <w:rsid w:val="006B66C7"/>
    <w:rsid w:val="006B7AC8"/>
    <w:rsid w:val="006C032A"/>
    <w:rsid w:val="006C1736"/>
    <w:rsid w:val="006C23B4"/>
    <w:rsid w:val="006C6181"/>
    <w:rsid w:val="006C6D7F"/>
    <w:rsid w:val="006D36C8"/>
    <w:rsid w:val="006D5008"/>
    <w:rsid w:val="006D550F"/>
    <w:rsid w:val="006D5D54"/>
    <w:rsid w:val="006D62B4"/>
    <w:rsid w:val="006E09A5"/>
    <w:rsid w:val="006E2795"/>
    <w:rsid w:val="006E6548"/>
    <w:rsid w:val="006F4BCA"/>
    <w:rsid w:val="006F68EC"/>
    <w:rsid w:val="00701CAB"/>
    <w:rsid w:val="00705600"/>
    <w:rsid w:val="00707563"/>
    <w:rsid w:val="00713956"/>
    <w:rsid w:val="00716BBE"/>
    <w:rsid w:val="00716D95"/>
    <w:rsid w:val="0071786E"/>
    <w:rsid w:val="00717A85"/>
    <w:rsid w:val="00720626"/>
    <w:rsid w:val="00720E79"/>
    <w:rsid w:val="007221E9"/>
    <w:rsid w:val="0072348C"/>
    <w:rsid w:val="0072420D"/>
    <w:rsid w:val="00724A37"/>
    <w:rsid w:val="0072542C"/>
    <w:rsid w:val="0072638E"/>
    <w:rsid w:val="007273AE"/>
    <w:rsid w:val="007303C3"/>
    <w:rsid w:val="007314B6"/>
    <w:rsid w:val="00731756"/>
    <w:rsid w:val="00741F36"/>
    <w:rsid w:val="007429BE"/>
    <w:rsid w:val="007431C1"/>
    <w:rsid w:val="00743223"/>
    <w:rsid w:val="0074358D"/>
    <w:rsid w:val="00746513"/>
    <w:rsid w:val="00746E01"/>
    <w:rsid w:val="007471FF"/>
    <w:rsid w:val="00747414"/>
    <w:rsid w:val="00747591"/>
    <w:rsid w:val="007521A6"/>
    <w:rsid w:val="00756336"/>
    <w:rsid w:val="00757364"/>
    <w:rsid w:val="00757B4D"/>
    <w:rsid w:val="00757BDF"/>
    <w:rsid w:val="007609D0"/>
    <w:rsid w:val="00760B7C"/>
    <w:rsid w:val="0076179A"/>
    <w:rsid w:val="00763CE4"/>
    <w:rsid w:val="00763E5D"/>
    <w:rsid w:val="007651CE"/>
    <w:rsid w:val="00767740"/>
    <w:rsid w:val="0077122A"/>
    <w:rsid w:val="00774F93"/>
    <w:rsid w:val="00775206"/>
    <w:rsid w:val="00777EE6"/>
    <w:rsid w:val="00780052"/>
    <w:rsid w:val="00780D9D"/>
    <w:rsid w:val="00782EEA"/>
    <w:rsid w:val="0078557D"/>
    <w:rsid w:val="007856D1"/>
    <w:rsid w:val="007856FF"/>
    <w:rsid w:val="0078679C"/>
    <w:rsid w:val="00787430"/>
    <w:rsid w:val="007904D6"/>
    <w:rsid w:val="0079361D"/>
    <w:rsid w:val="00796270"/>
    <w:rsid w:val="00797A7F"/>
    <w:rsid w:val="007A3BE8"/>
    <w:rsid w:val="007A4EAF"/>
    <w:rsid w:val="007A77C1"/>
    <w:rsid w:val="007B04C4"/>
    <w:rsid w:val="007B186E"/>
    <w:rsid w:val="007B1E9A"/>
    <w:rsid w:val="007B2660"/>
    <w:rsid w:val="007B2C72"/>
    <w:rsid w:val="007B3CAB"/>
    <w:rsid w:val="007B43C4"/>
    <w:rsid w:val="007B55A1"/>
    <w:rsid w:val="007C109E"/>
    <w:rsid w:val="007C1C53"/>
    <w:rsid w:val="007C2BD7"/>
    <w:rsid w:val="007C48E7"/>
    <w:rsid w:val="007C5B1C"/>
    <w:rsid w:val="007C5EA7"/>
    <w:rsid w:val="007C74BB"/>
    <w:rsid w:val="007D0028"/>
    <w:rsid w:val="007D2437"/>
    <w:rsid w:val="007D456E"/>
    <w:rsid w:val="007D69CB"/>
    <w:rsid w:val="007D76DD"/>
    <w:rsid w:val="007E014A"/>
    <w:rsid w:val="007E04C5"/>
    <w:rsid w:val="007E2DB7"/>
    <w:rsid w:val="007E3457"/>
    <w:rsid w:val="007E3916"/>
    <w:rsid w:val="007E4904"/>
    <w:rsid w:val="007E4CB5"/>
    <w:rsid w:val="007E5EE6"/>
    <w:rsid w:val="007E73C0"/>
    <w:rsid w:val="007F066B"/>
    <w:rsid w:val="007F089A"/>
    <w:rsid w:val="007F0C93"/>
    <w:rsid w:val="007F1489"/>
    <w:rsid w:val="007F5902"/>
    <w:rsid w:val="007F6EED"/>
    <w:rsid w:val="007F71B2"/>
    <w:rsid w:val="0080043B"/>
    <w:rsid w:val="00800904"/>
    <w:rsid w:val="00800A30"/>
    <w:rsid w:val="00800B10"/>
    <w:rsid w:val="008033C4"/>
    <w:rsid w:val="00805CE3"/>
    <w:rsid w:val="00806C88"/>
    <w:rsid w:val="00807D00"/>
    <w:rsid w:val="0081034E"/>
    <w:rsid w:val="00812A72"/>
    <w:rsid w:val="008146B5"/>
    <w:rsid w:val="00814F86"/>
    <w:rsid w:val="00815596"/>
    <w:rsid w:val="00815C5D"/>
    <w:rsid w:val="008162F8"/>
    <w:rsid w:val="00823068"/>
    <w:rsid w:val="00823931"/>
    <w:rsid w:val="00825724"/>
    <w:rsid w:val="0082655C"/>
    <w:rsid w:val="0082744A"/>
    <w:rsid w:val="00830AD2"/>
    <w:rsid w:val="00830DAE"/>
    <w:rsid w:val="008344F6"/>
    <w:rsid w:val="0083510F"/>
    <w:rsid w:val="00840BBE"/>
    <w:rsid w:val="00841096"/>
    <w:rsid w:val="00842AFA"/>
    <w:rsid w:val="0084364B"/>
    <w:rsid w:val="008500FA"/>
    <w:rsid w:val="00850361"/>
    <w:rsid w:val="00850EA5"/>
    <w:rsid w:val="00851209"/>
    <w:rsid w:val="00852A6C"/>
    <w:rsid w:val="0085365D"/>
    <w:rsid w:val="0085480B"/>
    <w:rsid w:val="00857430"/>
    <w:rsid w:val="00857606"/>
    <w:rsid w:val="00862855"/>
    <w:rsid w:val="00865144"/>
    <w:rsid w:val="0087471D"/>
    <w:rsid w:val="00874D14"/>
    <w:rsid w:val="00875062"/>
    <w:rsid w:val="008802AB"/>
    <w:rsid w:val="008819C8"/>
    <w:rsid w:val="00882758"/>
    <w:rsid w:val="0088298B"/>
    <w:rsid w:val="00882ECD"/>
    <w:rsid w:val="008837AC"/>
    <w:rsid w:val="00883F85"/>
    <w:rsid w:val="0088616E"/>
    <w:rsid w:val="00886429"/>
    <w:rsid w:val="0088743A"/>
    <w:rsid w:val="00887BE2"/>
    <w:rsid w:val="008919F2"/>
    <w:rsid w:val="0089265C"/>
    <w:rsid w:val="00893A37"/>
    <w:rsid w:val="00894933"/>
    <w:rsid w:val="008A31CC"/>
    <w:rsid w:val="008A587D"/>
    <w:rsid w:val="008B1CA1"/>
    <w:rsid w:val="008B34DF"/>
    <w:rsid w:val="008B35CD"/>
    <w:rsid w:val="008B5FCC"/>
    <w:rsid w:val="008C5486"/>
    <w:rsid w:val="008C7C56"/>
    <w:rsid w:val="008D06D8"/>
    <w:rsid w:val="008D09C3"/>
    <w:rsid w:val="008D0C4A"/>
    <w:rsid w:val="008D1661"/>
    <w:rsid w:val="008D5200"/>
    <w:rsid w:val="008D60DA"/>
    <w:rsid w:val="008D6237"/>
    <w:rsid w:val="008D7509"/>
    <w:rsid w:val="008E1126"/>
    <w:rsid w:val="008E2D57"/>
    <w:rsid w:val="008E3F2C"/>
    <w:rsid w:val="008E7031"/>
    <w:rsid w:val="008E77DE"/>
    <w:rsid w:val="008E7B6F"/>
    <w:rsid w:val="008F07A3"/>
    <w:rsid w:val="008F407D"/>
    <w:rsid w:val="008F4235"/>
    <w:rsid w:val="008F4739"/>
    <w:rsid w:val="009001B6"/>
    <w:rsid w:val="00900997"/>
    <w:rsid w:val="00900E1B"/>
    <w:rsid w:val="00902B9B"/>
    <w:rsid w:val="0090431C"/>
    <w:rsid w:val="00910E36"/>
    <w:rsid w:val="009119B6"/>
    <w:rsid w:val="00912E57"/>
    <w:rsid w:val="00913303"/>
    <w:rsid w:val="00917D55"/>
    <w:rsid w:val="00917EFE"/>
    <w:rsid w:val="00922C6D"/>
    <w:rsid w:val="009233EE"/>
    <w:rsid w:val="00924687"/>
    <w:rsid w:val="00924CC4"/>
    <w:rsid w:val="0092522D"/>
    <w:rsid w:val="00926026"/>
    <w:rsid w:val="00927008"/>
    <w:rsid w:val="00927B0B"/>
    <w:rsid w:val="00931678"/>
    <w:rsid w:val="00932CE6"/>
    <w:rsid w:val="00933A13"/>
    <w:rsid w:val="00933EC6"/>
    <w:rsid w:val="00934207"/>
    <w:rsid w:val="0093432E"/>
    <w:rsid w:val="00936ADD"/>
    <w:rsid w:val="00940CBA"/>
    <w:rsid w:val="00942BBE"/>
    <w:rsid w:val="00944227"/>
    <w:rsid w:val="00944318"/>
    <w:rsid w:val="00944EFE"/>
    <w:rsid w:val="0094542A"/>
    <w:rsid w:val="009460AA"/>
    <w:rsid w:val="00946610"/>
    <w:rsid w:val="00946DE4"/>
    <w:rsid w:val="0094731F"/>
    <w:rsid w:val="00947D29"/>
    <w:rsid w:val="00951978"/>
    <w:rsid w:val="0095204D"/>
    <w:rsid w:val="009528C0"/>
    <w:rsid w:val="009545AC"/>
    <w:rsid w:val="00957389"/>
    <w:rsid w:val="009608B3"/>
    <w:rsid w:val="00961A4A"/>
    <w:rsid w:val="00962A4A"/>
    <w:rsid w:val="00962DCD"/>
    <w:rsid w:val="009661DE"/>
    <w:rsid w:val="009671AB"/>
    <w:rsid w:val="009701ED"/>
    <w:rsid w:val="009704EE"/>
    <w:rsid w:val="009722CF"/>
    <w:rsid w:val="00972820"/>
    <w:rsid w:val="00976D05"/>
    <w:rsid w:val="00983C25"/>
    <w:rsid w:val="009856B7"/>
    <w:rsid w:val="00985C86"/>
    <w:rsid w:val="00986246"/>
    <w:rsid w:val="009900E7"/>
    <w:rsid w:val="00991FC6"/>
    <w:rsid w:val="0099386D"/>
    <w:rsid w:val="00996349"/>
    <w:rsid w:val="00996A8E"/>
    <w:rsid w:val="00997314"/>
    <w:rsid w:val="0099771D"/>
    <w:rsid w:val="00997BDC"/>
    <w:rsid w:val="009A213E"/>
    <w:rsid w:val="009A39D8"/>
    <w:rsid w:val="009A3D22"/>
    <w:rsid w:val="009A5F3E"/>
    <w:rsid w:val="009A5FC3"/>
    <w:rsid w:val="009A643F"/>
    <w:rsid w:val="009A78E0"/>
    <w:rsid w:val="009A7D9D"/>
    <w:rsid w:val="009B090B"/>
    <w:rsid w:val="009B1B59"/>
    <w:rsid w:val="009B20EA"/>
    <w:rsid w:val="009B225F"/>
    <w:rsid w:val="009B3B0D"/>
    <w:rsid w:val="009B4DFC"/>
    <w:rsid w:val="009B6CBD"/>
    <w:rsid w:val="009B74B0"/>
    <w:rsid w:val="009C009A"/>
    <w:rsid w:val="009C0D47"/>
    <w:rsid w:val="009C153C"/>
    <w:rsid w:val="009C1656"/>
    <w:rsid w:val="009C171C"/>
    <w:rsid w:val="009C5004"/>
    <w:rsid w:val="009C78E8"/>
    <w:rsid w:val="009C7B80"/>
    <w:rsid w:val="009D3906"/>
    <w:rsid w:val="009D6B46"/>
    <w:rsid w:val="009E16C6"/>
    <w:rsid w:val="009E5DB0"/>
    <w:rsid w:val="009F08EB"/>
    <w:rsid w:val="009F10AE"/>
    <w:rsid w:val="009F3543"/>
    <w:rsid w:val="009F4940"/>
    <w:rsid w:val="009F4F9D"/>
    <w:rsid w:val="009F5BA1"/>
    <w:rsid w:val="00A01BA1"/>
    <w:rsid w:val="00A02A88"/>
    <w:rsid w:val="00A041D8"/>
    <w:rsid w:val="00A0562E"/>
    <w:rsid w:val="00A0726D"/>
    <w:rsid w:val="00A107D0"/>
    <w:rsid w:val="00A11A7C"/>
    <w:rsid w:val="00A126CC"/>
    <w:rsid w:val="00A12D71"/>
    <w:rsid w:val="00A20F7E"/>
    <w:rsid w:val="00A2267E"/>
    <w:rsid w:val="00A23281"/>
    <w:rsid w:val="00A235DE"/>
    <w:rsid w:val="00A3116F"/>
    <w:rsid w:val="00A316DD"/>
    <w:rsid w:val="00A318FD"/>
    <w:rsid w:val="00A32FBB"/>
    <w:rsid w:val="00A343CA"/>
    <w:rsid w:val="00A344C5"/>
    <w:rsid w:val="00A344D3"/>
    <w:rsid w:val="00A34845"/>
    <w:rsid w:val="00A41A5B"/>
    <w:rsid w:val="00A42583"/>
    <w:rsid w:val="00A428EE"/>
    <w:rsid w:val="00A436D9"/>
    <w:rsid w:val="00A4478A"/>
    <w:rsid w:val="00A44852"/>
    <w:rsid w:val="00A502D4"/>
    <w:rsid w:val="00A534B7"/>
    <w:rsid w:val="00A53C3A"/>
    <w:rsid w:val="00A5534F"/>
    <w:rsid w:val="00A560AC"/>
    <w:rsid w:val="00A566D0"/>
    <w:rsid w:val="00A56DF6"/>
    <w:rsid w:val="00A57D04"/>
    <w:rsid w:val="00A60A26"/>
    <w:rsid w:val="00A61598"/>
    <w:rsid w:val="00A61B2F"/>
    <w:rsid w:val="00A63EDD"/>
    <w:rsid w:val="00A704B2"/>
    <w:rsid w:val="00A81177"/>
    <w:rsid w:val="00A828D8"/>
    <w:rsid w:val="00A84A99"/>
    <w:rsid w:val="00A84F46"/>
    <w:rsid w:val="00A871DE"/>
    <w:rsid w:val="00A871F4"/>
    <w:rsid w:val="00A914ED"/>
    <w:rsid w:val="00A91911"/>
    <w:rsid w:val="00A93524"/>
    <w:rsid w:val="00A962CC"/>
    <w:rsid w:val="00AA3B8E"/>
    <w:rsid w:val="00AA3CB2"/>
    <w:rsid w:val="00AA4603"/>
    <w:rsid w:val="00AA582F"/>
    <w:rsid w:val="00AA6360"/>
    <w:rsid w:val="00AA6387"/>
    <w:rsid w:val="00AA7999"/>
    <w:rsid w:val="00AA7F24"/>
    <w:rsid w:val="00AB2275"/>
    <w:rsid w:val="00AB2A83"/>
    <w:rsid w:val="00AB2F1E"/>
    <w:rsid w:val="00AB4C05"/>
    <w:rsid w:val="00AB4D90"/>
    <w:rsid w:val="00AB7072"/>
    <w:rsid w:val="00AC0C43"/>
    <w:rsid w:val="00AC1B2C"/>
    <w:rsid w:val="00AC1DFF"/>
    <w:rsid w:val="00AC26C8"/>
    <w:rsid w:val="00AC3264"/>
    <w:rsid w:val="00AC43D6"/>
    <w:rsid w:val="00AC44F5"/>
    <w:rsid w:val="00AC4546"/>
    <w:rsid w:val="00AC67DA"/>
    <w:rsid w:val="00AD35FD"/>
    <w:rsid w:val="00AD585A"/>
    <w:rsid w:val="00AD74B8"/>
    <w:rsid w:val="00AD7E20"/>
    <w:rsid w:val="00AE0569"/>
    <w:rsid w:val="00AE1BF1"/>
    <w:rsid w:val="00AE1CAF"/>
    <w:rsid w:val="00AE2B29"/>
    <w:rsid w:val="00AE4D54"/>
    <w:rsid w:val="00AE6459"/>
    <w:rsid w:val="00AF0CB7"/>
    <w:rsid w:val="00AF0DD2"/>
    <w:rsid w:val="00AF1BD9"/>
    <w:rsid w:val="00AF36A7"/>
    <w:rsid w:val="00AF450C"/>
    <w:rsid w:val="00AF679B"/>
    <w:rsid w:val="00B01367"/>
    <w:rsid w:val="00B01A20"/>
    <w:rsid w:val="00B022C2"/>
    <w:rsid w:val="00B02FD0"/>
    <w:rsid w:val="00B03101"/>
    <w:rsid w:val="00B06C2F"/>
    <w:rsid w:val="00B12938"/>
    <w:rsid w:val="00B13048"/>
    <w:rsid w:val="00B1398E"/>
    <w:rsid w:val="00B1716D"/>
    <w:rsid w:val="00B17A1D"/>
    <w:rsid w:val="00B207A0"/>
    <w:rsid w:val="00B20921"/>
    <w:rsid w:val="00B217BD"/>
    <w:rsid w:val="00B21DBF"/>
    <w:rsid w:val="00B2303F"/>
    <w:rsid w:val="00B2397A"/>
    <w:rsid w:val="00B26935"/>
    <w:rsid w:val="00B31E52"/>
    <w:rsid w:val="00B330D7"/>
    <w:rsid w:val="00B330EB"/>
    <w:rsid w:val="00B36D6C"/>
    <w:rsid w:val="00B41274"/>
    <w:rsid w:val="00B424C0"/>
    <w:rsid w:val="00B428E3"/>
    <w:rsid w:val="00B449E0"/>
    <w:rsid w:val="00B505F7"/>
    <w:rsid w:val="00B51329"/>
    <w:rsid w:val="00B514DD"/>
    <w:rsid w:val="00B519E2"/>
    <w:rsid w:val="00B52287"/>
    <w:rsid w:val="00B52AF0"/>
    <w:rsid w:val="00B561BD"/>
    <w:rsid w:val="00B56E03"/>
    <w:rsid w:val="00B57E75"/>
    <w:rsid w:val="00B62735"/>
    <w:rsid w:val="00B630B5"/>
    <w:rsid w:val="00B63B14"/>
    <w:rsid w:val="00B64DFC"/>
    <w:rsid w:val="00B735C0"/>
    <w:rsid w:val="00B7379B"/>
    <w:rsid w:val="00B7446E"/>
    <w:rsid w:val="00B8080B"/>
    <w:rsid w:val="00B80970"/>
    <w:rsid w:val="00B80A25"/>
    <w:rsid w:val="00B81184"/>
    <w:rsid w:val="00B82223"/>
    <w:rsid w:val="00B84FF5"/>
    <w:rsid w:val="00B850CF"/>
    <w:rsid w:val="00B87BA5"/>
    <w:rsid w:val="00B87C39"/>
    <w:rsid w:val="00B9562D"/>
    <w:rsid w:val="00B958AD"/>
    <w:rsid w:val="00B961C0"/>
    <w:rsid w:val="00B9733D"/>
    <w:rsid w:val="00B97844"/>
    <w:rsid w:val="00BA0BE9"/>
    <w:rsid w:val="00BA4665"/>
    <w:rsid w:val="00BA6BF6"/>
    <w:rsid w:val="00BA6E01"/>
    <w:rsid w:val="00BB2B15"/>
    <w:rsid w:val="00BB2FB2"/>
    <w:rsid w:val="00BB3304"/>
    <w:rsid w:val="00BB4E44"/>
    <w:rsid w:val="00BB71EE"/>
    <w:rsid w:val="00BC08F9"/>
    <w:rsid w:val="00BC0D27"/>
    <w:rsid w:val="00BC11CF"/>
    <w:rsid w:val="00BC1E8B"/>
    <w:rsid w:val="00BC4377"/>
    <w:rsid w:val="00BC58A3"/>
    <w:rsid w:val="00BD2C2C"/>
    <w:rsid w:val="00BD3446"/>
    <w:rsid w:val="00BD5D87"/>
    <w:rsid w:val="00BD6803"/>
    <w:rsid w:val="00BD6891"/>
    <w:rsid w:val="00BD7E05"/>
    <w:rsid w:val="00BE1F1B"/>
    <w:rsid w:val="00BE2C3C"/>
    <w:rsid w:val="00BE354A"/>
    <w:rsid w:val="00BE473E"/>
    <w:rsid w:val="00BE47B5"/>
    <w:rsid w:val="00BE4C1D"/>
    <w:rsid w:val="00BE4FFA"/>
    <w:rsid w:val="00BF1C4B"/>
    <w:rsid w:val="00BF2DCE"/>
    <w:rsid w:val="00BF378B"/>
    <w:rsid w:val="00BF534C"/>
    <w:rsid w:val="00BF6311"/>
    <w:rsid w:val="00BF76FE"/>
    <w:rsid w:val="00C0053F"/>
    <w:rsid w:val="00C03DF6"/>
    <w:rsid w:val="00C0453E"/>
    <w:rsid w:val="00C05325"/>
    <w:rsid w:val="00C062AF"/>
    <w:rsid w:val="00C07A52"/>
    <w:rsid w:val="00C13381"/>
    <w:rsid w:val="00C13700"/>
    <w:rsid w:val="00C21B8A"/>
    <w:rsid w:val="00C22762"/>
    <w:rsid w:val="00C25A56"/>
    <w:rsid w:val="00C25FA6"/>
    <w:rsid w:val="00C2638E"/>
    <w:rsid w:val="00C26737"/>
    <w:rsid w:val="00C27763"/>
    <w:rsid w:val="00C32CF1"/>
    <w:rsid w:val="00C3646D"/>
    <w:rsid w:val="00C40C2B"/>
    <w:rsid w:val="00C40DB2"/>
    <w:rsid w:val="00C41752"/>
    <w:rsid w:val="00C420BC"/>
    <w:rsid w:val="00C42924"/>
    <w:rsid w:val="00C430A8"/>
    <w:rsid w:val="00C43D62"/>
    <w:rsid w:val="00C4561A"/>
    <w:rsid w:val="00C4634F"/>
    <w:rsid w:val="00C4792B"/>
    <w:rsid w:val="00C52695"/>
    <w:rsid w:val="00C52A14"/>
    <w:rsid w:val="00C538A9"/>
    <w:rsid w:val="00C53B5A"/>
    <w:rsid w:val="00C54418"/>
    <w:rsid w:val="00C54F5A"/>
    <w:rsid w:val="00C569B4"/>
    <w:rsid w:val="00C56A93"/>
    <w:rsid w:val="00C60A75"/>
    <w:rsid w:val="00C6204B"/>
    <w:rsid w:val="00C6205E"/>
    <w:rsid w:val="00C628EE"/>
    <w:rsid w:val="00C639B9"/>
    <w:rsid w:val="00C641FD"/>
    <w:rsid w:val="00C649A9"/>
    <w:rsid w:val="00C67A92"/>
    <w:rsid w:val="00C70961"/>
    <w:rsid w:val="00C72D05"/>
    <w:rsid w:val="00C81758"/>
    <w:rsid w:val="00C84560"/>
    <w:rsid w:val="00C8459C"/>
    <w:rsid w:val="00C845C2"/>
    <w:rsid w:val="00C84AEE"/>
    <w:rsid w:val="00C865C3"/>
    <w:rsid w:val="00C86679"/>
    <w:rsid w:val="00C8739E"/>
    <w:rsid w:val="00C87BA0"/>
    <w:rsid w:val="00C87D45"/>
    <w:rsid w:val="00C923B2"/>
    <w:rsid w:val="00C94140"/>
    <w:rsid w:val="00CA0803"/>
    <w:rsid w:val="00CA2D09"/>
    <w:rsid w:val="00CA489E"/>
    <w:rsid w:val="00CA58E1"/>
    <w:rsid w:val="00CA67ED"/>
    <w:rsid w:val="00CA6B82"/>
    <w:rsid w:val="00CA6D30"/>
    <w:rsid w:val="00CA7D6A"/>
    <w:rsid w:val="00CB0279"/>
    <w:rsid w:val="00CB04CA"/>
    <w:rsid w:val="00CB1FC3"/>
    <w:rsid w:val="00CB3A71"/>
    <w:rsid w:val="00CB5775"/>
    <w:rsid w:val="00CB58C3"/>
    <w:rsid w:val="00CB60DB"/>
    <w:rsid w:val="00CB666B"/>
    <w:rsid w:val="00CB73DB"/>
    <w:rsid w:val="00CC0912"/>
    <w:rsid w:val="00CC0D35"/>
    <w:rsid w:val="00CC14F7"/>
    <w:rsid w:val="00CC480F"/>
    <w:rsid w:val="00CC6A70"/>
    <w:rsid w:val="00CC7F1D"/>
    <w:rsid w:val="00CD04C8"/>
    <w:rsid w:val="00CD38B5"/>
    <w:rsid w:val="00CD4CCD"/>
    <w:rsid w:val="00CD51D7"/>
    <w:rsid w:val="00CD6421"/>
    <w:rsid w:val="00CD67EE"/>
    <w:rsid w:val="00CE088F"/>
    <w:rsid w:val="00CE3AAB"/>
    <w:rsid w:val="00CE484B"/>
    <w:rsid w:val="00CE54A1"/>
    <w:rsid w:val="00CE6AF5"/>
    <w:rsid w:val="00CE7B95"/>
    <w:rsid w:val="00CF236B"/>
    <w:rsid w:val="00CF3D56"/>
    <w:rsid w:val="00CF3F33"/>
    <w:rsid w:val="00CF4CC9"/>
    <w:rsid w:val="00CF4EC3"/>
    <w:rsid w:val="00CF538C"/>
    <w:rsid w:val="00CF58DD"/>
    <w:rsid w:val="00CF6177"/>
    <w:rsid w:val="00CF66C7"/>
    <w:rsid w:val="00D006AE"/>
    <w:rsid w:val="00D01CF0"/>
    <w:rsid w:val="00D0442A"/>
    <w:rsid w:val="00D04AA1"/>
    <w:rsid w:val="00D054B0"/>
    <w:rsid w:val="00D0581B"/>
    <w:rsid w:val="00D06BBC"/>
    <w:rsid w:val="00D07909"/>
    <w:rsid w:val="00D12039"/>
    <w:rsid w:val="00D13E52"/>
    <w:rsid w:val="00D1563D"/>
    <w:rsid w:val="00D157E2"/>
    <w:rsid w:val="00D17061"/>
    <w:rsid w:val="00D20596"/>
    <w:rsid w:val="00D205DF"/>
    <w:rsid w:val="00D2154B"/>
    <w:rsid w:val="00D22131"/>
    <w:rsid w:val="00D226F0"/>
    <w:rsid w:val="00D232C2"/>
    <w:rsid w:val="00D26221"/>
    <w:rsid w:val="00D27530"/>
    <w:rsid w:val="00D27E51"/>
    <w:rsid w:val="00D30ACF"/>
    <w:rsid w:val="00D31492"/>
    <w:rsid w:val="00D325B8"/>
    <w:rsid w:val="00D32E5E"/>
    <w:rsid w:val="00D35DB1"/>
    <w:rsid w:val="00D414CC"/>
    <w:rsid w:val="00D42C73"/>
    <w:rsid w:val="00D45F43"/>
    <w:rsid w:val="00D51D81"/>
    <w:rsid w:val="00D536B1"/>
    <w:rsid w:val="00D5616B"/>
    <w:rsid w:val="00D577C3"/>
    <w:rsid w:val="00D60597"/>
    <w:rsid w:val="00D61388"/>
    <w:rsid w:val="00D61A54"/>
    <w:rsid w:val="00D626D1"/>
    <w:rsid w:val="00D62D25"/>
    <w:rsid w:val="00D63A1D"/>
    <w:rsid w:val="00D63D0F"/>
    <w:rsid w:val="00D647C5"/>
    <w:rsid w:val="00D64DEA"/>
    <w:rsid w:val="00D64E74"/>
    <w:rsid w:val="00D65957"/>
    <w:rsid w:val="00D7168E"/>
    <w:rsid w:val="00D719B9"/>
    <w:rsid w:val="00D71E57"/>
    <w:rsid w:val="00D7360C"/>
    <w:rsid w:val="00D7512E"/>
    <w:rsid w:val="00D75204"/>
    <w:rsid w:val="00D7561B"/>
    <w:rsid w:val="00D75E7C"/>
    <w:rsid w:val="00D7695B"/>
    <w:rsid w:val="00D76D53"/>
    <w:rsid w:val="00D80893"/>
    <w:rsid w:val="00D81354"/>
    <w:rsid w:val="00D819BF"/>
    <w:rsid w:val="00D83160"/>
    <w:rsid w:val="00D8361A"/>
    <w:rsid w:val="00D84854"/>
    <w:rsid w:val="00D85A4C"/>
    <w:rsid w:val="00D85C45"/>
    <w:rsid w:val="00D92681"/>
    <w:rsid w:val="00D92CF1"/>
    <w:rsid w:val="00D92D38"/>
    <w:rsid w:val="00D94AA4"/>
    <w:rsid w:val="00D95082"/>
    <w:rsid w:val="00D950F5"/>
    <w:rsid w:val="00D978D9"/>
    <w:rsid w:val="00D979B2"/>
    <w:rsid w:val="00D97EE4"/>
    <w:rsid w:val="00DA154B"/>
    <w:rsid w:val="00DA22CC"/>
    <w:rsid w:val="00DA2C69"/>
    <w:rsid w:val="00DA2D69"/>
    <w:rsid w:val="00DA4752"/>
    <w:rsid w:val="00DA4BFB"/>
    <w:rsid w:val="00DA5171"/>
    <w:rsid w:val="00DA61F3"/>
    <w:rsid w:val="00DA6A65"/>
    <w:rsid w:val="00DA6FFE"/>
    <w:rsid w:val="00DB09A8"/>
    <w:rsid w:val="00DB0F93"/>
    <w:rsid w:val="00DB1A67"/>
    <w:rsid w:val="00DB1A82"/>
    <w:rsid w:val="00DB3243"/>
    <w:rsid w:val="00DB48C6"/>
    <w:rsid w:val="00DB5074"/>
    <w:rsid w:val="00DB68C3"/>
    <w:rsid w:val="00DB6F2B"/>
    <w:rsid w:val="00DB720E"/>
    <w:rsid w:val="00DB750D"/>
    <w:rsid w:val="00DC1EEF"/>
    <w:rsid w:val="00DC246F"/>
    <w:rsid w:val="00DC4215"/>
    <w:rsid w:val="00DC5D3C"/>
    <w:rsid w:val="00DC7981"/>
    <w:rsid w:val="00DD026D"/>
    <w:rsid w:val="00DD0283"/>
    <w:rsid w:val="00DD280B"/>
    <w:rsid w:val="00DD379C"/>
    <w:rsid w:val="00DD4301"/>
    <w:rsid w:val="00DD4941"/>
    <w:rsid w:val="00DD57D7"/>
    <w:rsid w:val="00DD71F3"/>
    <w:rsid w:val="00DE1093"/>
    <w:rsid w:val="00DE1938"/>
    <w:rsid w:val="00DE3646"/>
    <w:rsid w:val="00DE3695"/>
    <w:rsid w:val="00DE4EFA"/>
    <w:rsid w:val="00DE5520"/>
    <w:rsid w:val="00DE563D"/>
    <w:rsid w:val="00DE717B"/>
    <w:rsid w:val="00DF1C36"/>
    <w:rsid w:val="00DF30C3"/>
    <w:rsid w:val="00DF462C"/>
    <w:rsid w:val="00DF5547"/>
    <w:rsid w:val="00DF7A54"/>
    <w:rsid w:val="00E0248B"/>
    <w:rsid w:val="00E04818"/>
    <w:rsid w:val="00E05498"/>
    <w:rsid w:val="00E06442"/>
    <w:rsid w:val="00E10ABB"/>
    <w:rsid w:val="00E10FAC"/>
    <w:rsid w:val="00E11684"/>
    <w:rsid w:val="00E119AC"/>
    <w:rsid w:val="00E12C10"/>
    <w:rsid w:val="00E13ABA"/>
    <w:rsid w:val="00E14153"/>
    <w:rsid w:val="00E14A44"/>
    <w:rsid w:val="00E15F9A"/>
    <w:rsid w:val="00E21D08"/>
    <w:rsid w:val="00E21D48"/>
    <w:rsid w:val="00E21E18"/>
    <w:rsid w:val="00E2259C"/>
    <w:rsid w:val="00E23993"/>
    <w:rsid w:val="00E24154"/>
    <w:rsid w:val="00E24689"/>
    <w:rsid w:val="00E25B8C"/>
    <w:rsid w:val="00E268FF"/>
    <w:rsid w:val="00E26B5E"/>
    <w:rsid w:val="00E30CB4"/>
    <w:rsid w:val="00E30F6E"/>
    <w:rsid w:val="00E365A7"/>
    <w:rsid w:val="00E36B57"/>
    <w:rsid w:val="00E37140"/>
    <w:rsid w:val="00E37976"/>
    <w:rsid w:val="00E37CE4"/>
    <w:rsid w:val="00E4076C"/>
    <w:rsid w:val="00E43353"/>
    <w:rsid w:val="00E43C30"/>
    <w:rsid w:val="00E44905"/>
    <w:rsid w:val="00E4542B"/>
    <w:rsid w:val="00E46526"/>
    <w:rsid w:val="00E47334"/>
    <w:rsid w:val="00E54575"/>
    <w:rsid w:val="00E54768"/>
    <w:rsid w:val="00E5634C"/>
    <w:rsid w:val="00E575F9"/>
    <w:rsid w:val="00E57D43"/>
    <w:rsid w:val="00E60B6C"/>
    <w:rsid w:val="00E6185B"/>
    <w:rsid w:val="00E622F2"/>
    <w:rsid w:val="00E63766"/>
    <w:rsid w:val="00E65C85"/>
    <w:rsid w:val="00E66199"/>
    <w:rsid w:val="00E66D21"/>
    <w:rsid w:val="00E678B4"/>
    <w:rsid w:val="00E70737"/>
    <w:rsid w:val="00E707D5"/>
    <w:rsid w:val="00E723E6"/>
    <w:rsid w:val="00E72A4A"/>
    <w:rsid w:val="00E72AEB"/>
    <w:rsid w:val="00E73A9E"/>
    <w:rsid w:val="00E750F8"/>
    <w:rsid w:val="00E755EC"/>
    <w:rsid w:val="00E7624D"/>
    <w:rsid w:val="00E8071F"/>
    <w:rsid w:val="00E84AD8"/>
    <w:rsid w:val="00E85280"/>
    <w:rsid w:val="00E91AA4"/>
    <w:rsid w:val="00E926F4"/>
    <w:rsid w:val="00E97452"/>
    <w:rsid w:val="00EA0691"/>
    <w:rsid w:val="00EA0A18"/>
    <w:rsid w:val="00EA1B54"/>
    <w:rsid w:val="00EA1C94"/>
    <w:rsid w:val="00EA1D26"/>
    <w:rsid w:val="00EA2249"/>
    <w:rsid w:val="00EA2FC2"/>
    <w:rsid w:val="00EA3C68"/>
    <w:rsid w:val="00EA3D42"/>
    <w:rsid w:val="00EA4E82"/>
    <w:rsid w:val="00EA54D5"/>
    <w:rsid w:val="00EA6B1B"/>
    <w:rsid w:val="00EB0238"/>
    <w:rsid w:val="00EB0D94"/>
    <w:rsid w:val="00EB58A2"/>
    <w:rsid w:val="00EB5E79"/>
    <w:rsid w:val="00EC04F1"/>
    <w:rsid w:val="00EC4C53"/>
    <w:rsid w:val="00EC7124"/>
    <w:rsid w:val="00ED14CF"/>
    <w:rsid w:val="00ED2A57"/>
    <w:rsid w:val="00ED4259"/>
    <w:rsid w:val="00ED42AE"/>
    <w:rsid w:val="00ED5BD3"/>
    <w:rsid w:val="00ED7323"/>
    <w:rsid w:val="00EE209C"/>
    <w:rsid w:val="00EE2785"/>
    <w:rsid w:val="00EE28F3"/>
    <w:rsid w:val="00EE34C4"/>
    <w:rsid w:val="00EE4781"/>
    <w:rsid w:val="00EE50D1"/>
    <w:rsid w:val="00EE66C0"/>
    <w:rsid w:val="00EE68FB"/>
    <w:rsid w:val="00EF05EC"/>
    <w:rsid w:val="00EF2DC5"/>
    <w:rsid w:val="00EF5110"/>
    <w:rsid w:val="00EF56D7"/>
    <w:rsid w:val="00EF590B"/>
    <w:rsid w:val="00EF6D51"/>
    <w:rsid w:val="00F00740"/>
    <w:rsid w:val="00F0657E"/>
    <w:rsid w:val="00F0689C"/>
    <w:rsid w:val="00F07197"/>
    <w:rsid w:val="00F10411"/>
    <w:rsid w:val="00F11C08"/>
    <w:rsid w:val="00F11F36"/>
    <w:rsid w:val="00F143A3"/>
    <w:rsid w:val="00F15882"/>
    <w:rsid w:val="00F171E0"/>
    <w:rsid w:val="00F20BD3"/>
    <w:rsid w:val="00F21D44"/>
    <w:rsid w:val="00F24840"/>
    <w:rsid w:val="00F24DB2"/>
    <w:rsid w:val="00F27213"/>
    <w:rsid w:val="00F27F31"/>
    <w:rsid w:val="00F32DCE"/>
    <w:rsid w:val="00F33D1C"/>
    <w:rsid w:val="00F34CD4"/>
    <w:rsid w:val="00F354FC"/>
    <w:rsid w:val="00F3718A"/>
    <w:rsid w:val="00F373A5"/>
    <w:rsid w:val="00F37A59"/>
    <w:rsid w:val="00F40012"/>
    <w:rsid w:val="00F439A9"/>
    <w:rsid w:val="00F45579"/>
    <w:rsid w:val="00F46E3F"/>
    <w:rsid w:val="00F47559"/>
    <w:rsid w:val="00F51AEE"/>
    <w:rsid w:val="00F5204A"/>
    <w:rsid w:val="00F547E5"/>
    <w:rsid w:val="00F5581D"/>
    <w:rsid w:val="00F56E3D"/>
    <w:rsid w:val="00F64C7B"/>
    <w:rsid w:val="00F676DD"/>
    <w:rsid w:val="00F702AF"/>
    <w:rsid w:val="00F7048E"/>
    <w:rsid w:val="00F7230D"/>
    <w:rsid w:val="00F72F52"/>
    <w:rsid w:val="00F730F4"/>
    <w:rsid w:val="00F73143"/>
    <w:rsid w:val="00F75877"/>
    <w:rsid w:val="00F75A26"/>
    <w:rsid w:val="00F76190"/>
    <w:rsid w:val="00F7654C"/>
    <w:rsid w:val="00F76631"/>
    <w:rsid w:val="00F76706"/>
    <w:rsid w:val="00F80840"/>
    <w:rsid w:val="00F809D6"/>
    <w:rsid w:val="00F81503"/>
    <w:rsid w:val="00F81E28"/>
    <w:rsid w:val="00F83AA7"/>
    <w:rsid w:val="00F83FAD"/>
    <w:rsid w:val="00F8507B"/>
    <w:rsid w:val="00F87965"/>
    <w:rsid w:val="00F94E7D"/>
    <w:rsid w:val="00F94F9F"/>
    <w:rsid w:val="00F952A0"/>
    <w:rsid w:val="00F96E4A"/>
    <w:rsid w:val="00F97D14"/>
    <w:rsid w:val="00FA0D11"/>
    <w:rsid w:val="00FA19F3"/>
    <w:rsid w:val="00FA1A9B"/>
    <w:rsid w:val="00FA2A41"/>
    <w:rsid w:val="00FA3C7F"/>
    <w:rsid w:val="00FB5334"/>
    <w:rsid w:val="00FB5673"/>
    <w:rsid w:val="00FB60FE"/>
    <w:rsid w:val="00FB6CA0"/>
    <w:rsid w:val="00FB74E2"/>
    <w:rsid w:val="00FC179B"/>
    <w:rsid w:val="00FC3D7B"/>
    <w:rsid w:val="00FC40BB"/>
    <w:rsid w:val="00FC70EB"/>
    <w:rsid w:val="00FD3860"/>
    <w:rsid w:val="00FD5614"/>
    <w:rsid w:val="00FD5E78"/>
    <w:rsid w:val="00FD6B9E"/>
    <w:rsid w:val="00FE09C8"/>
    <w:rsid w:val="00FE0BE1"/>
    <w:rsid w:val="00FE1A21"/>
    <w:rsid w:val="00FE1DE9"/>
    <w:rsid w:val="00FE3642"/>
    <w:rsid w:val="00FE36AF"/>
    <w:rsid w:val="00FE39C2"/>
    <w:rsid w:val="00FE3C32"/>
    <w:rsid w:val="00FE4FB2"/>
    <w:rsid w:val="00FE50AF"/>
    <w:rsid w:val="00FE53CC"/>
    <w:rsid w:val="00FE55BF"/>
    <w:rsid w:val="00FE64AE"/>
    <w:rsid w:val="00FE7426"/>
    <w:rsid w:val="00FF2E6C"/>
    <w:rsid w:val="00FF3134"/>
    <w:rsid w:val="00FF38EE"/>
    <w:rsid w:val="00FF43DC"/>
    <w:rsid w:val="00FF56BB"/>
    <w:rsid w:val="00FF7AE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297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iPriority="1" w:unhideWhenUsed="0"/>
    <w:lsdException w:name="footnote text" w:uiPriority="2" w:qFormat="1"/>
    <w:lsdException w:name="header" w:uiPriority="0" w:qFormat="1"/>
    <w:lsdException w:name="footer" w:qFormat="1"/>
    <w:lsdException w:name="caption" w:uiPriority="35" w:qFormat="1"/>
    <w:lsdException w:name="footnote reference" w:qFormat="1"/>
    <w:lsdException w:name="page number" w:uiPriority="0"/>
    <w:lsdException w:name="List" w:uiPriority="0" w:qFormat="1"/>
    <w:lsdException w:name="List Bullet" w:uiPriority="0"/>
    <w:lsdException w:name="List Number" w:uiPriority="0" w:qFormat="1"/>
    <w:lsdException w:name="List Bullet 2" w:qFormat="1"/>
    <w:lsdException w:name="List Bullet 3" w:uiPriority="0" w:qFormat="1"/>
    <w:lsdException w:name="Title" w:semiHidden="0" w:uiPriority="0" w:unhideWhenUsed="0" w:qFormat="1"/>
    <w:lsdException w:name="Default Paragraph Font" w:uiPriority="1"/>
    <w:lsdException w:name="Body Text" w:uiPriority="0"/>
    <w:lsdException w:name="Body Text Indent" w:uiPriority="0"/>
    <w:lsdException w:name="List Continue" w:uiPriority="0" w:qFormat="1"/>
    <w:lsdException w:name="List Continue 2" w:uiPriority="0" w:qFormat="1"/>
    <w:lsdException w:name="List Continue 3" w:uiPriority="0" w:qFormat="1"/>
    <w:lsdException w:name="Subtitle" w:semiHidden="0" w:uiPriority="11" w:unhideWhenUsed="0"/>
    <w:lsdException w:name="Body Text 2" w:uiPriority="0"/>
    <w:lsdException w:name="Body Text 3" w:uiPriority="0"/>
    <w:lsdException w:name="Body Text Indent 3" w:uiPriority="0"/>
    <w:lsdException w:name="Hyperlink" w:qFormat="1"/>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Outline List 3"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FC179B"/>
    <w:pPr>
      <w:spacing w:line="276" w:lineRule="auto"/>
    </w:pPr>
    <w:rPr>
      <w:rFonts w:ascii="Arial" w:hAnsi="Arial"/>
    </w:rPr>
  </w:style>
  <w:style w:type="paragraph" w:styleId="Heading1">
    <w:name w:val="heading 1"/>
    <w:aliases w:val="(Alt + 1)"/>
    <w:basedOn w:val="Normal"/>
    <w:next w:val="Normal"/>
    <w:link w:val="Heading1Char"/>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aliases w:val="Appendix 1"/>
    <w:next w:val="Normal"/>
    <w:link w:val="Heading5Char"/>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aliases w:val="Appendix 2"/>
    <w:basedOn w:val="Normal"/>
    <w:next w:val="Normal"/>
    <w:link w:val="Heading6Char"/>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aliases w:val="(Appen),t,Appendix 3"/>
    <w:basedOn w:val="Heading1"/>
    <w:next w:val="Normal"/>
    <w:link w:val="Heading7Char"/>
    <w:qFormat/>
    <w:rsid w:val="00021F98"/>
    <w:pPr>
      <w:numPr>
        <w:numId w:val="32"/>
      </w:numPr>
      <w:tabs>
        <w:tab w:val="clear" w:pos="680"/>
        <w:tab w:val="left" w:pos="1021"/>
      </w:tabs>
      <w:ind w:left="357" w:hanging="357"/>
      <w:outlineLvl w:val="6"/>
    </w:pPr>
  </w:style>
  <w:style w:type="paragraph" w:styleId="Heading8">
    <w:name w:val="heading 8"/>
    <w:basedOn w:val="Heading2"/>
    <w:next w:val="Normal"/>
    <w:link w:val="Heading8Char"/>
    <w:qFormat/>
    <w:rsid w:val="00CB0279"/>
    <w:pPr>
      <w:numPr>
        <w:numId w:val="27"/>
      </w:numPr>
      <w:tabs>
        <w:tab w:val="clear" w:pos="680"/>
        <w:tab w:val="left" w:pos="1021"/>
      </w:tabs>
      <w:outlineLvl w:val="7"/>
    </w:pPr>
  </w:style>
  <w:style w:type="paragraph" w:styleId="Heading9">
    <w:name w:val="heading 9"/>
    <w:basedOn w:val="Heading3"/>
    <w:next w:val="Normal"/>
    <w:link w:val="Heading9Char"/>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lt + 1) Char"/>
    <w:basedOn w:val="DefaultParagraphFont"/>
    <w:link w:val="Heading1"/>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126A4C"/>
    <w:rPr>
      <w:rFonts w:ascii="Arial" w:eastAsiaTheme="majorEastAsia" w:hAnsi="Arial" w:cstheme="majorBidi"/>
      <w:b/>
      <w:bCs/>
      <w:iCs/>
      <w:color w:val="51626F"/>
      <w:sz w:val="24"/>
    </w:rPr>
  </w:style>
  <w:style w:type="character" w:customStyle="1" w:styleId="Heading5Char">
    <w:name w:val="Heading 5 Char"/>
    <w:aliases w:val="Appendix 1 Char"/>
    <w:basedOn w:val="DefaultParagraphFont"/>
    <w:link w:val="Heading5"/>
    <w:rsid w:val="00126A4C"/>
    <w:rPr>
      <w:rFonts w:ascii="Arial" w:eastAsiaTheme="majorEastAsia" w:hAnsi="Arial" w:cstheme="majorBidi"/>
      <w:b/>
      <w:color w:val="170017" w:themeColor="accent1" w:themeShade="7F"/>
    </w:rPr>
  </w:style>
  <w:style w:type="character" w:customStyle="1" w:styleId="Heading6Char">
    <w:name w:val="Heading 6 Char"/>
    <w:aliases w:val="Appendix 2 Char"/>
    <w:basedOn w:val="DefaultParagraphFont"/>
    <w:link w:val="Heading6"/>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iPriority w:val="99"/>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aliases w:val="Footer Base"/>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aliases w:val="Footer Base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aliases w:val="(Appen) Char,t Char,Appendix 3 Char"/>
    <w:basedOn w:val="DefaultParagraphFont"/>
    <w:link w:val="Heading7"/>
    <w:rsid w:val="00021F98"/>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rsid w:val="00C53B5A"/>
    <w:pPr>
      <w:spacing w:before="60" w:after="60"/>
    </w:pPr>
    <w:rPr>
      <w:rFonts w:ascii="Arial" w:hAnsi="Arial"/>
      <w:sz w:val="20"/>
    </w:rPr>
    <w:tblPr>
      <w:tblInd w:w="0" w:type="dxa"/>
      <w:tblBorders>
        <w:top w:val="single" w:sz="4" w:space="0" w:color="BFBFBF" w:themeColor="background1" w:themeShade="BF"/>
        <w:bottom w:val="single" w:sz="4" w:space="0" w:color="BFBFBF" w:themeColor="background1" w:themeShade="BF"/>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Ind w:w="0" w:type="dxa"/>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CellMar>
        <w:top w:w="0" w:type="dxa"/>
        <w:left w:w="108" w:type="dxa"/>
        <w:bottom w:w="0" w:type="dxa"/>
        <w:right w:w="108" w:type="dxa"/>
      </w:tblCellMar>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Ind w:w="0" w:type="dxa"/>
      <w:tblBorders>
        <w:top w:val="single" w:sz="8" w:space="0" w:color="2F002F" w:themeColor="accent1"/>
        <w:bottom w:val="single" w:sz="8" w:space="0" w:color="2F002F"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Ind w:w="0" w:type="dxa"/>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CellMar>
        <w:top w:w="0" w:type="dxa"/>
        <w:left w:w="108" w:type="dxa"/>
        <w:bottom w:w="0" w:type="dxa"/>
        <w:right w:w="108" w:type="dxa"/>
      </w:tblCellMar>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Ind w:w="0" w:type="dxa"/>
      <w:tblBorders>
        <w:top w:val="single" w:sz="8" w:space="0" w:color="002060" w:themeColor="accent3"/>
        <w:bottom w:val="single" w:sz="8" w:space="0" w:color="002060"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Ind w:w="0" w:type="dxa"/>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Ind w:w="0" w:type="dxa"/>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Ind w:w="0" w:type="dxa"/>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Ind w:w="0" w:type="dxa"/>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Ind w:w="0" w:type="dxa"/>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Ind w:w="0" w:type="dxa"/>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Ind w:w="0" w:type="dxa"/>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Ind w:w="0" w:type="dxa"/>
      <w:tblBorders>
        <w:top w:val="single" w:sz="8" w:space="0" w:color="076A92" w:themeColor="text1"/>
        <w:left w:val="single" w:sz="8" w:space="0" w:color="076A92" w:themeColor="text1"/>
        <w:bottom w:val="single" w:sz="8" w:space="0" w:color="076A92" w:themeColor="text1"/>
        <w:right w:val="single" w:sz="8" w:space="0" w:color="076A92"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Ind w:w="0" w:type="dxa"/>
      <w:tblBorders>
        <w:top w:val="single" w:sz="8" w:space="0" w:color="000000" w:themeColor="accent5"/>
        <w:bottom w:val="single" w:sz="8" w:space="0" w:color="000000"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Ind w:w="0" w:type="dxa"/>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66636C"/>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Ind w:w="0" w:type="dxa"/>
      <w:tblBorders>
        <w:top w:val="single" w:sz="8" w:space="0" w:color="2F002F" w:themeColor="accent1"/>
        <w:left w:val="single" w:sz="8" w:space="0" w:color="2F002F" w:themeColor="accent1"/>
        <w:bottom w:val="single" w:sz="8" w:space="0" w:color="2F002F" w:themeColor="accent1"/>
        <w:right w:val="single" w:sz="8" w:space="0" w:color="2F002F"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Ind w:w="0" w:type="dxa"/>
      <w:tblBorders>
        <w:top w:val="single" w:sz="8" w:space="0" w:color="002060" w:themeColor="accent3"/>
        <w:left w:val="single" w:sz="8" w:space="0" w:color="002060" w:themeColor="accent3"/>
        <w:bottom w:val="single" w:sz="8" w:space="0" w:color="002060" w:themeColor="accent3"/>
        <w:right w:val="single" w:sz="8" w:space="0" w:color="002060"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Ind w:w="0" w:type="dxa"/>
      <w:tblBorders>
        <w:top w:val="single" w:sz="8" w:space="0" w:color="000000" w:themeColor="accent5"/>
        <w:left w:val="single" w:sz="8" w:space="0" w:color="000000" w:themeColor="accent5"/>
        <w:bottom w:val="single" w:sz="8" w:space="0" w:color="000000" w:themeColor="accent5"/>
        <w:right w:val="single" w:sz="8" w:space="0" w:color="000000" w:themeColor="accent5"/>
      </w:tblBorders>
      <w:tblCellMar>
        <w:top w:w="0" w:type="dxa"/>
        <w:left w:w="108" w:type="dxa"/>
        <w:bottom w:w="0" w:type="dxa"/>
        <w:right w:w="108" w:type="dxa"/>
      </w:tblCellMar>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2"/>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qFormat/>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Ind w:w="0" w:type="dxa"/>
      <w:tblBorders>
        <w:top w:val="single" w:sz="8" w:space="0" w:color="C00000" w:themeColor="accent4"/>
        <w:bottom w:val="single" w:sz="8" w:space="0" w:color="C0000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Ind w:w="0" w:type="dxa"/>
      <w:tblBorders>
        <w:top w:val="single" w:sz="8" w:space="0" w:color="70303C" w:themeColor="accent6"/>
        <w:bottom w:val="single" w:sz="8" w:space="0" w:color="70303C"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Ind w:w="0" w:type="dxa"/>
      <w:tblBorders>
        <w:top w:val="single" w:sz="4" w:space="0" w:color="FFFFFF" w:themeColor="background2"/>
        <w:bottom w:val="single" w:sz="4" w:space="0" w:color="FFFFFF" w:themeColor="background2"/>
        <w:insideH w:val="single" w:sz="4" w:space="0" w:color="FFFFFF" w:themeColor="background2"/>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Ind w:w="0" w:type="dxa"/>
      <w:tblBorders>
        <w:top w:val="single" w:sz="8" w:space="0" w:color="C14E00" w:themeColor="accent2"/>
        <w:left w:val="single" w:sz="8" w:space="0" w:color="C14E00" w:themeColor="accent2"/>
        <w:bottom w:val="single" w:sz="8" w:space="0" w:color="C14E00" w:themeColor="accent2"/>
        <w:right w:val="single" w:sz="8" w:space="0" w:color="C14E00"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Ind w:w="0" w:type="dxa"/>
      <w:tblBorders>
        <w:top w:val="single" w:sz="8" w:space="0" w:color="C00000" w:themeColor="accent4"/>
        <w:left w:val="single" w:sz="8" w:space="0" w:color="C00000" w:themeColor="accent4"/>
        <w:bottom w:val="single" w:sz="8" w:space="0" w:color="C00000" w:themeColor="accent4"/>
        <w:right w:val="single" w:sz="8" w:space="0" w:color="C00000"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Ind w:w="0" w:type="dxa"/>
      <w:tblBorders>
        <w:top w:val="single" w:sz="8" w:space="0" w:color="70303C" w:themeColor="accent6"/>
        <w:left w:val="single" w:sz="8" w:space="0" w:color="70303C" w:themeColor="accent6"/>
        <w:bottom w:val="single" w:sz="8" w:space="0" w:color="70303C" w:themeColor="accent6"/>
        <w:right w:val="single" w:sz="8" w:space="0" w:color="70303C"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Ind w:w="0" w:type="dxa"/>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Ind w:w="0" w:type="dxa"/>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Ind w:w="0" w:type="dxa"/>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Ind w:w="0" w:type="dxa"/>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Ind w:w="0" w:type="dxa"/>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Ind w:w="0" w:type="dxa"/>
      <w:tblBorders>
        <w:insideV w:val="single" w:sz="4" w:space="0" w:color="FFFFFF" w:themeColor="background2"/>
      </w:tblBorders>
      <w:tblCellMar>
        <w:top w:w="0" w:type="dxa"/>
        <w:left w:w="108" w:type="dxa"/>
        <w:bottom w:w="0" w:type="dxa"/>
        <w:right w:w="108" w:type="dxa"/>
      </w:tblCellMar>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Ind w:w="0" w:type="dxa"/>
      <w:tblBorders>
        <w:bottom w:val="single" w:sz="4" w:space="0" w:color="auto"/>
      </w:tblBorders>
      <w:tblCellMar>
        <w:top w:w="0" w:type="dxa"/>
        <w:left w:w="108" w:type="dxa"/>
        <w:bottom w:w="0" w:type="dxa"/>
        <w:right w:w="108" w:type="dxa"/>
      </w:tblCellMar>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C52695"/>
    <w:pPr>
      <w:spacing w:before="0" w:after="240" w:line="288" w:lineRule="auto"/>
      <w:jc w:val="both"/>
    </w:pPr>
    <w:rPr>
      <w:rFonts w:ascii="Times New Roman" w:eastAsia="Calibri" w:hAnsi="Times New Roman" w:cs="Times New Roman"/>
      <w:sz w:val="24"/>
      <w:szCs w:val="24"/>
    </w:rPr>
  </w:style>
  <w:style w:type="paragraph" w:styleId="PlainText">
    <w:name w:val="Plain Text"/>
    <w:basedOn w:val="Normal"/>
    <w:link w:val="PlainTextChar"/>
    <w:uiPriority w:val="99"/>
    <w:unhideWhenUsed/>
    <w:rsid w:val="00C52695"/>
    <w:pPr>
      <w:spacing w:before="0" w:after="100" w:afterAutospacing="1" w:line="240" w:lineRule="auto"/>
    </w:pPr>
    <w:rPr>
      <w:rFonts w:ascii="Verdana" w:eastAsia="Times New Roman" w:hAnsi="Verdana" w:cs="Times New Roman"/>
      <w:sz w:val="24"/>
      <w:szCs w:val="24"/>
      <w:lang w:eastAsia="en-AU"/>
    </w:rPr>
  </w:style>
  <w:style w:type="character" w:customStyle="1" w:styleId="PlainTextChar">
    <w:name w:val="Plain Text Char"/>
    <w:basedOn w:val="DefaultParagraphFont"/>
    <w:link w:val="PlainText"/>
    <w:uiPriority w:val="99"/>
    <w:rsid w:val="00C52695"/>
    <w:rPr>
      <w:rFonts w:ascii="Verdana" w:eastAsia="Times New Roman" w:hAnsi="Verdana" w:cs="Times New Roman"/>
      <w:sz w:val="24"/>
      <w:szCs w:val="24"/>
      <w:lang w:eastAsia="en-AU"/>
    </w:rPr>
  </w:style>
  <w:style w:type="paragraph" w:styleId="BodyText">
    <w:name w:val="Body Text"/>
    <w:basedOn w:val="Normal"/>
    <w:link w:val="BodyTextChar"/>
    <w:unhideWhenUsed/>
    <w:rsid w:val="00C52695"/>
    <w:pPr>
      <w:spacing w:before="0" w:after="120" w:line="288" w:lineRule="auto"/>
      <w:jc w:val="both"/>
    </w:pPr>
    <w:rPr>
      <w:rFonts w:ascii="Gautami" w:eastAsia="Calibri" w:hAnsi="Gautami" w:cs="Times New Roman"/>
      <w:sz w:val="20"/>
      <w:szCs w:val="20"/>
    </w:rPr>
  </w:style>
  <w:style w:type="character" w:customStyle="1" w:styleId="BodyTextChar">
    <w:name w:val="Body Text Char"/>
    <w:basedOn w:val="DefaultParagraphFont"/>
    <w:link w:val="BodyText"/>
    <w:rsid w:val="00C52695"/>
    <w:rPr>
      <w:rFonts w:ascii="Gautami" w:eastAsia="Calibri" w:hAnsi="Gautami" w:cs="Times New Roman"/>
      <w:sz w:val="20"/>
      <w:szCs w:val="20"/>
    </w:rPr>
  </w:style>
  <w:style w:type="paragraph" w:styleId="BodyTextIndent3">
    <w:name w:val="Body Text Indent 3"/>
    <w:basedOn w:val="Normal"/>
    <w:link w:val="BodyTextIndent3Char"/>
    <w:rsid w:val="00C52695"/>
    <w:pPr>
      <w:tabs>
        <w:tab w:val="num" w:pos="284"/>
        <w:tab w:val="left" w:pos="1418"/>
      </w:tabs>
      <w:spacing w:before="0" w:line="240" w:lineRule="auto"/>
      <w:ind w:left="426"/>
    </w:pPr>
    <w:rPr>
      <w:rFonts w:ascii="Arial Narrow" w:eastAsia="Times New Roman" w:hAnsi="Arial Narrow" w:cs="Times New Roman"/>
      <w:sz w:val="24"/>
      <w:szCs w:val="20"/>
      <w:lang w:val="en-US" w:eastAsia="en-AU"/>
    </w:rPr>
  </w:style>
  <w:style w:type="character" w:customStyle="1" w:styleId="BodyTextIndent3Char">
    <w:name w:val="Body Text Indent 3 Char"/>
    <w:basedOn w:val="DefaultParagraphFont"/>
    <w:link w:val="BodyTextIndent3"/>
    <w:rsid w:val="00C52695"/>
    <w:rPr>
      <w:rFonts w:ascii="Arial Narrow" w:eastAsia="Times New Roman" w:hAnsi="Arial Narrow" w:cs="Times New Roman"/>
      <w:sz w:val="24"/>
      <w:szCs w:val="20"/>
      <w:lang w:val="en-US" w:eastAsia="en-AU"/>
    </w:rPr>
  </w:style>
  <w:style w:type="numbering" w:styleId="ArticleSection">
    <w:name w:val="Outline List 3"/>
    <w:basedOn w:val="NoList"/>
    <w:semiHidden/>
    <w:rsid w:val="00C52695"/>
    <w:pPr>
      <w:numPr>
        <w:numId w:val="28"/>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iPriority="1" w:unhideWhenUsed="0"/>
    <w:lsdException w:name="footnote text" w:uiPriority="2" w:qFormat="1"/>
    <w:lsdException w:name="header" w:uiPriority="0" w:qFormat="1"/>
    <w:lsdException w:name="footer" w:qFormat="1"/>
    <w:lsdException w:name="caption" w:uiPriority="35" w:qFormat="1"/>
    <w:lsdException w:name="footnote reference" w:qFormat="1"/>
    <w:lsdException w:name="page number" w:uiPriority="0"/>
    <w:lsdException w:name="List" w:uiPriority="0" w:qFormat="1"/>
    <w:lsdException w:name="List Bullet" w:uiPriority="0"/>
    <w:lsdException w:name="List Number" w:uiPriority="0" w:qFormat="1"/>
    <w:lsdException w:name="List Bullet 2" w:qFormat="1"/>
    <w:lsdException w:name="List Bullet 3" w:uiPriority="0" w:qFormat="1"/>
    <w:lsdException w:name="Title" w:semiHidden="0" w:uiPriority="0" w:unhideWhenUsed="0" w:qFormat="1"/>
    <w:lsdException w:name="Default Paragraph Font" w:uiPriority="1"/>
    <w:lsdException w:name="Body Text" w:uiPriority="0"/>
    <w:lsdException w:name="Body Text Indent" w:uiPriority="0"/>
    <w:lsdException w:name="List Continue" w:uiPriority="0" w:qFormat="1"/>
    <w:lsdException w:name="List Continue 2" w:uiPriority="0" w:qFormat="1"/>
    <w:lsdException w:name="List Continue 3" w:uiPriority="0" w:qFormat="1"/>
    <w:lsdException w:name="Subtitle" w:semiHidden="0" w:uiPriority="11" w:unhideWhenUsed="0"/>
    <w:lsdException w:name="Body Text 2" w:uiPriority="0"/>
    <w:lsdException w:name="Body Text 3" w:uiPriority="0"/>
    <w:lsdException w:name="Body Text Indent 3" w:uiPriority="0"/>
    <w:lsdException w:name="Hyperlink" w:qFormat="1"/>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Outline List 3"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FC179B"/>
    <w:pPr>
      <w:spacing w:line="276" w:lineRule="auto"/>
    </w:pPr>
    <w:rPr>
      <w:rFonts w:ascii="Arial" w:hAnsi="Arial"/>
    </w:rPr>
  </w:style>
  <w:style w:type="paragraph" w:styleId="Heading1">
    <w:name w:val="heading 1"/>
    <w:aliases w:val="(Alt + 1)"/>
    <w:basedOn w:val="Normal"/>
    <w:next w:val="Normal"/>
    <w:link w:val="Heading1Char"/>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aliases w:val="Appendix 1"/>
    <w:next w:val="Normal"/>
    <w:link w:val="Heading5Char"/>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aliases w:val="Appendix 2"/>
    <w:basedOn w:val="Normal"/>
    <w:next w:val="Normal"/>
    <w:link w:val="Heading6Char"/>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aliases w:val="(Appen),t,Appendix 3"/>
    <w:basedOn w:val="Heading1"/>
    <w:next w:val="Normal"/>
    <w:link w:val="Heading7Char"/>
    <w:qFormat/>
    <w:rsid w:val="00021F98"/>
    <w:pPr>
      <w:numPr>
        <w:numId w:val="32"/>
      </w:numPr>
      <w:tabs>
        <w:tab w:val="clear" w:pos="680"/>
        <w:tab w:val="left" w:pos="1021"/>
      </w:tabs>
      <w:ind w:left="357" w:hanging="357"/>
      <w:outlineLvl w:val="6"/>
    </w:pPr>
  </w:style>
  <w:style w:type="paragraph" w:styleId="Heading8">
    <w:name w:val="heading 8"/>
    <w:basedOn w:val="Heading2"/>
    <w:next w:val="Normal"/>
    <w:link w:val="Heading8Char"/>
    <w:qFormat/>
    <w:rsid w:val="00CB0279"/>
    <w:pPr>
      <w:numPr>
        <w:numId w:val="27"/>
      </w:numPr>
      <w:tabs>
        <w:tab w:val="clear" w:pos="680"/>
        <w:tab w:val="left" w:pos="1021"/>
      </w:tabs>
      <w:outlineLvl w:val="7"/>
    </w:pPr>
  </w:style>
  <w:style w:type="paragraph" w:styleId="Heading9">
    <w:name w:val="heading 9"/>
    <w:basedOn w:val="Heading3"/>
    <w:next w:val="Normal"/>
    <w:link w:val="Heading9Char"/>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lt + 1) Char"/>
    <w:basedOn w:val="DefaultParagraphFont"/>
    <w:link w:val="Heading1"/>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126A4C"/>
    <w:rPr>
      <w:rFonts w:ascii="Arial" w:eastAsiaTheme="majorEastAsia" w:hAnsi="Arial" w:cstheme="majorBidi"/>
      <w:b/>
      <w:bCs/>
      <w:iCs/>
      <w:color w:val="51626F"/>
      <w:sz w:val="24"/>
    </w:rPr>
  </w:style>
  <w:style w:type="character" w:customStyle="1" w:styleId="Heading5Char">
    <w:name w:val="Heading 5 Char"/>
    <w:aliases w:val="Appendix 1 Char"/>
    <w:basedOn w:val="DefaultParagraphFont"/>
    <w:link w:val="Heading5"/>
    <w:rsid w:val="00126A4C"/>
    <w:rPr>
      <w:rFonts w:ascii="Arial" w:eastAsiaTheme="majorEastAsia" w:hAnsi="Arial" w:cstheme="majorBidi"/>
      <w:b/>
      <w:color w:val="170017" w:themeColor="accent1" w:themeShade="7F"/>
    </w:rPr>
  </w:style>
  <w:style w:type="character" w:customStyle="1" w:styleId="Heading6Char">
    <w:name w:val="Heading 6 Char"/>
    <w:aliases w:val="Appendix 2 Char"/>
    <w:basedOn w:val="DefaultParagraphFont"/>
    <w:link w:val="Heading6"/>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iPriority w:val="99"/>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aliases w:val="Footer Base"/>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aliases w:val="Footer Base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aliases w:val="(Appen) Char,t Char,Appendix 3 Char"/>
    <w:basedOn w:val="DefaultParagraphFont"/>
    <w:link w:val="Heading7"/>
    <w:rsid w:val="00021F98"/>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rsid w:val="00C53B5A"/>
    <w:pPr>
      <w:spacing w:before="60" w:after="60"/>
    </w:pPr>
    <w:rPr>
      <w:rFonts w:ascii="Arial" w:hAnsi="Arial"/>
      <w:sz w:val="20"/>
    </w:rPr>
    <w:tblPr>
      <w:tblInd w:w="0" w:type="dxa"/>
      <w:tblBorders>
        <w:top w:val="single" w:sz="4" w:space="0" w:color="BFBFBF" w:themeColor="background1" w:themeShade="BF"/>
        <w:bottom w:val="single" w:sz="4" w:space="0" w:color="BFBFBF" w:themeColor="background1" w:themeShade="BF"/>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Ind w:w="0" w:type="dxa"/>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CellMar>
        <w:top w:w="0" w:type="dxa"/>
        <w:left w:w="108" w:type="dxa"/>
        <w:bottom w:w="0" w:type="dxa"/>
        <w:right w:w="108" w:type="dxa"/>
      </w:tblCellMar>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Ind w:w="0" w:type="dxa"/>
      <w:tblBorders>
        <w:top w:val="single" w:sz="8" w:space="0" w:color="2F002F" w:themeColor="accent1"/>
        <w:bottom w:val="single" w:sz="8" w:space="0" w:color="2F002F"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Ind w:w="0" w:type="dxa"/>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CellMar>
        <w:top w:w="0" w:type="dxa"/>
        <w:left w:w="108" w:type="dxa"/>
        <w:bottom w:w="0" w:type="dxa"/>
        <w:right w:w="108" w:type="dxa"/>
      </w:tblCellMar>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Ind w:w="0" w:type="dxa"/>
      <w:tblBorders>
        <w:top w:val="single" w:sz="8" w:space="0" w:color="002060" w:themeColor="accent3"/>
        <w:bottom w:val="single" w:sz="8" w:space="0" w:color="002060"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Ind w:w="0" w:type="dxa"/>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Ind w:w="0" w:type="dxa"/>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Ind w:w="0" w:type="dxa"/>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Ind w:w="0" w:type="dxa"/>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Ind w:w="0" w:type="dxa"/>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Ind w:w="0" w:type="dxa"/>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Ind w:w="0" w:type="dxa"/>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Ind w:w="0" w:type="dxa"/>
      <w:tblBorders>
        <w:top w:val="single" w:sz="8" w:space="0" w:color="076A92" w:themeColor="text1"/>
        <w:left w:val="single" w:sz="8" w:space="0" w:color="076A92" w:themeColor="text1"/>
        <w:bottom w:val="single" w:sz="8" w:space="0" w:color="076A92" w:themeColor="text1"/>
        <w:right w:val="single" w:sz="8" w:space="0" w:color="076A92"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Ind w:w="0" w:type="dxa"/>
      <w:tblBorders>
        <w:top w:val="single" w:sz="8" w:space="0" w:color="000000" w:themeColor="accent5"/>
        <w:bottom w:val="single" w:sz="8" w:space="0" w:color="000000"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Ind w:w="0" w:type="dxa"/>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66636C"/>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Ind w:w="0" w:type="dxa"/>
      <w:tblBorders>
        <w:top w:val="single" w:sz="8" w:space="0" w:color="2F002F" w:themeColor="accent1"/>
        <w:left w:val="single" w:sz="8" w:space="0" w:color="2F002F" w:themeColor="accent1"/>
        <w:bottom w:val="single" w:sz="8" w:space="0" w:color="2F002F" w:themeColor="accent1"/>
        <w:right w:val="single" w:sz="8" w:space="0" w:color="2F002F"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Ind w:w="0" w:type="dxa"/>
      <w:tblBorders>
        <w:top w:val="single" w:sz="8" w:space="0" w:color="002060" w:themeColor="accent3"/>
        <w:left w:val="single" w:sz="8" w:space="0" w:color="002060" w:themeColor="accent3"/>
        <w:bottom w:val="single" w:sz="8" w:space="0" w:color="002060" w:themeColor="accent3"/>
        <w:right w:val="single" w:sz="8" w:space="0" w:color="002060"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Ind w:w="0" w:type="dxa"/>
      <w:tblBorders>
        <w:top w:val="single" w:sz="8" w:space="0" w:color="000000" w:themeColor="accent5"/>
        <w:left w:val="single" w:sz="8" w:space="0" w:color="000000" w:themeColor="accent5"/>
        <w:bottom w:val="single" w:sz="8" w:space="0" w:color="000000" w:themeColor="accent5"/>
        <w:right w:val="single" w:sz="8" w:space="0" w:color="000000" w:themeColor="accent5"/>
      </w:tblBorders>
      <w:tblCellMar>
        <w:top w:w="0" w:type="dxa"/>
        <w:left w:w="108" w:type="dxa"/>
        <w:bottom w:w="0" w:type="dxa"/>
        <w:right w:w="108" w:type="dxa"/>
      </w:tblCellMar>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2"/>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qFormat/>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Ind w:w="0" w:type="dxa"/>
      <w:tblBorders>
        <w:top w:val="single" w:sz="8" w:space="0" w:color="C00000" w:themeColor="accent4"/>
        <w:bottom w:val="single" w:sz="8" w:space="0" w:color="C0000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Ind w:w="0" w:type="dxa"/>
      <w:tblBorders>
        <w:top w:val="single" w:sz="8" w:space="0" w:color="70303C" w:themeColor="accent6"/>
        <w:bottom w:val="single" w:sz="8" w:space="0" w:color="70303C"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Ind w:w="0" w:type="dxa"/>
      <w:tblBorders>
        <w:top w:val="single" w:sz="4" w:space="0" w:color="FFFFFF" w:themeColor="background2"/>
        <w:bottom w:val="single" w:sz="4" w:space="0" w:color="FFFFFF" w:themeColor="background2"/>
        <w:insideH w:val="single" w:sz="4" w:space="0" w:color="FFFFFF" w:themeColor="background2"/>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Ind w:w="0" w:type="dxa"/>
      <w:tblBorders>
        <w:top w:val="single" w:sz="8" w:space="0" w:color="C14E00" w:themeColor="accent2"/>
        <w:left w:val="single" w:sz="8" w:space="0" w:color="C14E00" w:themeColor="accent2"/>
        <w:bottom w:val="single" w:sz="8" w:space="0" w:color="C14E00" w:themeColor="accent2"/>
        <w:right w:val="single" w:sz="8" w:space="0" w:color="C14E00"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Ind w:w="0" w:type="dxa"/>
      <w:tblBorders>
        <w:top w:val="single" w:sz="8" w:space="0" w:color="C00000" w:themeColor="accent4"/>
        <w:left w:val="single" w:sz="8" w:space="0" w:color="C00000" w:themeColor="accent4"/>
        <w:bottom w:val="single" w:sz="8" w:space="0" w:color="C00000" w:themeColor="accent4"/>
        <w:right w:val="single" w:sz="8" w:space="0" w:color="C00000"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Ind w:w="0" w:type="dxa"/>
      <w:tblBorders>
        <w:top w:val="single" w:sz="8" w:space="0" w:color="70303C" w:themeColor="accent6"/>
        <w:left w:val="single" w:sz="8" w:space="0" w:color="70303C" w:themeColor="accent6"/>
        <w:bottom w:val="single" w:sz="8" w:space="0" w:color="70303C" w:themeColor="accent6"/>
        <w:right w:val="single" w:sz="8" w:space="0" w:color="70303C"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Ind w:w="0" w:type="dxa"/>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Ind w:w="0" w:type="dxa"/>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Ind w:w="0" w:type="dxa"/>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Ind w:w="0" w:type="dxa"/>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Ind w:w="0" w:type="dxa"/>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Ind w:w="0" w:type="dxa"/>
      <w:tblBorders>
        <w:insideV w:val="single" w:sz="4" w:space="0" w:color="FFFFFF" w:themeColor="background2"/>
      </w:tblBorders>
      <w:tblCellMar>
        <w:top w:w="0" w:type="dxa"/>
        <w:left w:w="108" w:type="dxa"/>
        <w:bottom w:w="0" w:type="dxa"/>
        <w:right w:w="108" w:type="dxa"/>
      </w:tblCellMar>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Ind w:w="0" w:type="dxa"/>
      <w:tblBorders>
        <w:bottom w:val="single" w:sz="4" w:space="0" w:color="auto"/>
      </w:tblBorders>
      <w:tblCellMar>
        <w:top w:w="0" w:type="dxa"/>
        <w:left w:w="108" w:type="dxa"/>
        <w:bottom w:w="0" w:type="dxa"/>
        <w:right w:w="108" w:type="dxa"/>
      </w:tblCellMar>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C52695"/>
    <w:pPr>
      <w:spacing w:before="0" w:after="240" w:line="288" w:lineRule="auto"/>
      <w:jc w:val="both"/>
    </w:pPr>
    <w:rPr>
      <w:rFonts w:ascii="Times New Roman" w:eastAsia="Calibri" w:hAnsi="Times New Roman" w:cs="Times New Roman"/>
      <w:sz w:val="24"/>
      <w:szCs w:val="24"/>
    </w:rPr>
  </w:style>
  <w:style w:type="paragraph" w:styleId="PlainText">
    <w:name w:val="Plain Text"/>
    <w:basedOn w:val="Normal"/>
    <w:link w:val="PlainTextChar"/>
    <w:uiPriority w:val="99"/>
    <w:unhideWhenUsed/>
    <w:rsid w:val="00C52695"/>
    <w:pPr>
      <w:spacing w:before="0" w:after="100" w:afterAutospacing="1" w:line="240" w:lineRule="auto"/>
    </w:pPr>
    <w:rPr>
      <w:rFonts w:ascii="Verdana" w:eastAsia="Times New Roman" w:hAnsi="Verdana" w:cs="Times New Roman"/>
      <w:sz w:val="24"/>
      <w:szCs w:val="24"/>
      <w:lang w:eastAsia="en-AU"/>
    </w:rPr>
  </w:style>
  <w:style w:type="character" w:customStyle="1" w:styleId="PlainTextChar">
    <w:name w:val="Plain Text Char"/>
    <w:basedOn w:val="DefaultParagraphFont"/>
    <w:link w:val="PlainText"/>
    <w:uiPriority w:val="99"/>
    <w:rsid w:val="00C52695"/>
    <w:rPr>
      <w:rFonts w:ascii="Verdana" w:eastAsia="Times New Roman" w:hAnsi="Verdana" w:cs="Times New Roman"/>
      <w:sz w:val="24"/>
      <w:szCs w:val="24"/>
      <w:lang w:eastAsia="en-AU"/>
    </w:rPr>
  </w:style>
  <w:style w:type="paragraph" w:styleId="BodyText">
    <w:name w:val="Body Text"/>
    <w:basedOn w:val="Normal"/>
    <w:link w:val="BodyTextChar"/>
    <w:unhideWhenUsed/>
    <w:rsid w:val="00C52695"/>
    <w:pPr>
      <w:spacing w:before="0" w:after="120" w:line="288" w:lineRule="auto"/>
      <w:jc w:val="both"/>
    </w:pPr>
    <w:rPr>
      <w:rFonts w:ascii="Gautami" w:eastAsia="Calibri" w:hAnsi="Gautami" w:cs="Times New Roman"/>
      <w:sz w:val="20"/>
      <w:szCs w:val="20"/>
    </w:rPr>
  </w:style>
  <w:style w:type="character" w:customStyle="1" w:styleId="BodyTextChar">
    <w:name w:val="Body Text Char"/>
    <w:basedOn w:val="DefaultParagraphFont"/>
    <w:link w:val="BodyText"/>
    <w:rsid w:val="00C52695"/>
    <w:rPr>
      <w:rFonts w:ascii="Gautami" w:eastAsia="Calibri" w:hAnsi="Gautami" w:cs="Times New Roman"/>
      <w:sz w:val="20"/>
      <w:szCs w:val="20"/>
    </w:rPr>
  </w:style>
  <w:style w:type="paragraph" w:styleId="BodyTextIndent3">
    <w:name w:val="Body Text Indent 3"/>
    <w:basedOn w:val="Normal"/>
    <w:link w:val="BodyTextIndent3Char"/>
    <w:rsid w:val="00C52695"/>
    <w:pPr>
      <w:tabs>
        <w:tab w:val="num" w:pos="284"/>
        <w:tab w:val="left" w:pos="1418"/>
      </w:tabs>
      <w:spacing w:before="0" w:line="240" w:lineRule="auto"/>
      <w:ind w:left="426"/>
    </w:pPr>
    <w:rPr>
      <w:rFonts w:ascii="Arial Narrow" w:eastAsia="Times New Roman" w:hAnsi="Arial Narrow" w:cs="Times New Roman"/>
      <w:sz w:val="24"/>
      <w:szCs w:val="20"/>
      <w:lang w:val="en-US" w:eastAsia="en-AU"/>
    </w:rPr>
  </w:style>
  <w:style w:type="character" w:customStyle="1" w:styleId="BodyTextIndent3Char">
    <w:name w:val="Body Text Indent 3 Char"/>
    <w:basedOn w:val="DefaultParagraphFont"/>
    <w:link w:val="BodyTextIndent3"/>
    <w:rsid w:val="00C52695"/>
    <w:rPr>
      <w:rFonts w:ascii="Arial Narrow" w:eastAsia="Times New Roman" w:hAnsi="Arial Narrow" w:cs="Times New Roman"/>
      <w:sz w:val="24"/>
      <w:szCs w:val="20"/>
      <w:lang w:val="en-US" w:eastAsia="en-AU"/>
    </w:rPr>
  </w:style>
  <w:style w:type="numbering" w:styleId="ArticleSection">
    <w:name w:val="Outline List 3"/>
    <w:basedOn w:val="NoList"/>
    <w:semiHidden/>
    <w:rsid w:val="00C52695"/>
    <w:pPr>
      <w:numPr>
        <w:numId w:val="2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4472075">
      <w:bodyDiv w:val="1"/>
      <w:marLeft w:val="0"/>
      <w:marRight w:val="0"/>
      <w:marTop w:val="0"/>
      <w:marBottom w:val="0"/>
      <w:divBdr>
        <w:top w:val="none" w:sz="0" w:space="0" w:color="auto"/>
        <w:left w:val="none" w:sz="0" w:space="0" w:color="auto"/>
        <w:bottom w:val="none" w:sz="0" w:space="0" w:color="auto"/>
        <w:right w:val="none" w:sz="0" w:space="0" w:color="auto"/>
      </w:divBdr>
    </w:div>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image" Target="media/image2.e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5.emf"/><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7.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7.png"/><Relationship Id="rId5" Type="http://schemas.openxmlformats.org/officeDocument/2006/relationships/settings" Target="settings.xml"/><Relationship Id="rId15" Type="http://schemas.openxmlformats.org/officeDocument/2006/relationships/footer" Target="footer5.xml"/><Relationship Id="rId23" Type="http://schemas.openxmlformats.org/officeDocument/2006/relationships/chart" Target="charts/chart1.xml"/><Relationship Id="rId10" Type="http://schemas.openxmlformats.org/officeDocument/2006/relationships/hyperlink" Target="mailto:AERInquiry@aer.gov.au" TargetMode="External"/><Relationship Id="rId19" Type="http://schemas.openxmlformats.org/officeDocument/2006/relationships/image" Target="media/image3.e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4.xml"/><Relationship Id="rId22" Type="http://schemas.openxmlformats.org/officeDocument/2006/relationships/image" Target="media/image6.emf"/></Relationships>
</file>

<file path=word/charts/_rels/chart1.xml.rels><?xml version="1.0" encoding="UTF-8" standalone="yes"?>
<Relationships xmlns="http://schemas.openxmlformats.org/package/2006/relationships"><Relationship Id="rId1" Type="http://schemas.openxmlformats.org/officeDocument/2006/relationships/oleObject" Target="file:///C:\Users\hsmyc\AppData\Local\Microsoft\Windows\Temporary%20Internet%20Files\Content.Outlook\0B6F3HHR\Equity_ownership_approach_calculations_-_data_to_December_2016_final.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v>Listed equity</c:v>
          </c:tx>
          <c:marker>
            <c:symbol val="none"/>
          </c:marker>
          <c:cat>
            <c:numRef>
              <c:f>Listed_byownership!$AY$1:$DL$1</c:f>
              <c:numCache>
                <c:formatCode>mmm\-yyyy</c:formatCode>
                <c:ptCount val="66"/>
                <c:pt idx="0">
                  <c:v>36770</c:v>
                </c:pt>
                <c:pt idx="1">
                  <c:v>36861</c:v>
                </c:pt>
                <c:pt idx="2">
                  <c:v>36951</c:v>
                </c:pt>
                <c:pt idx="3">
                  <c:v>37043</c:v>
                </c:pt>
                <c:pt idx="4">
                  <c:v>37135</c:v>
                </c:pt>
                <c:pt idx="5">
                  <c:v>37226</c:v>
                </c:pt>
                <c:pt idx="6">
                  <c:v>37316</c:v>
                </c:pt>
                <c:pt idx="7">
                  <c:v>37408</c:v>
                </c:pt>
                <c:pt idx="8">
                  <c:v>37500</c:v>
                </c:pt>
                <c:pt idx="9">
                  <c:v>37591</c:v>
                </c:pt>
                <c:pt idx="10">
                  <c:v>37681</c:v>
                </c:pt>
                <c:pt idx="11">
                  <c:v>37773</c:v>
                </c:pt>
                <c:pt idx="12">
                  <c:v>37865</c:v>
                </c:pt>
                <c:pt idx="13">
                  <c:v>37956</c:v>
                </c:pt>
                <c:pt idx="14">
                  <c:v>38047</c:v>
                </c:pt>
                <c:pt idx="15">
                  <c:v>38139</c:v>
                </c:pt>
                <c:pt idx="16">
                  <c:v>38231</c:v>
                </c:pt>
                <c:pt idx="17">
                  <c:v>38322</c:v>
                </c:pt>
                <c:pt idx="18">
                  <c:v>38412</c:v>
                </c:pt>
                <c:pt idx="19">
                  <c:v>38504</c:v>
                </c:pt>
                <c:pt idx="20">
                  <c:v>38596</c:v>
                </c:pt>
                <c:pt idx="21">
                  <c:v>38687</c:v>
                </c:pt>
                <c:pt idx="22">
                  <c:v>38777</c:v>
                </c:pt>
                <c:pt idx="23">
                  <c:v>38869</c:v>
                </c:pt>
                <c:pt idx="24">
                  <c:v>38961</c:v>
                </c:pt>
                <c:pt idx="25">
                  <c:v>39052</c:v>
                </c:pt>
                <c:pt idx="26">
                  <c:v>39142</c:v>
                </c:pt>
                <c:pt idx="27">
                  <c:v>39234</c:v>
                </c:pt>
                <c:pt idx="28">
                  <c:v>39326</c:v>
                </c:pt>
                <c:pt idx="29">
                  <c:v>39417</c:v>
                </c:pt>
                <c:pt idx="30">
                  <c:v>39508</c:v>
                </c:pt>
                <c:pt idx="31">
                  <c:v>39600</c:v>
                </c:pt>
                <c:pt idx="32">
                  <c:v>39692</c:v>
                </c:pt>
                <c:pt idx="33">
                  <c:v>39783</c:v>
                </c:pt>
                <c:pt idx="34">
                  <c:v>39873</c:v>
                </c:pt>
                <c:pt idx="35">
                  <c:v>39965</c:v>
                </c:pt>
                <c:pt idx="36">
                  <c:v>40057</c:v>
                </c:pt>
                <c:pt idx="37">
                  <c:v>40148</c:v>
                </c:pt>
                <c:pt idx="38">
                  <c:v>40238</c:v>
                </c:pt>
                <c:pt idx="39">
                  <c:v>40330</c:v>
                </c:pt>
                <c:pt idx="40">
                  <c:v>40422</c:v>
                </c:pt>
                <c:pt idx="41">
                  <c:v>40513</c:v>
                </c:pt>
                <c:pt idx="42">
                  <c:v>40603</c:v>
                </c:pt>
                <c:pt idx="43">
                  <c:v>40695</c:v>
                </c:pt>
                <c:pt idx="44">
                  <c:v>40787</c:v>
                </c:pt>
                <c:pt idx="45">
                  <c:v>40878</c:v>
                </c:pt>
                <c:pt idx="46">
                  <c:v>40969</c:v>
                </c:pt>
                <c:pt idx="47">
                  <c:v>41061</c:v>
                </c:pt>
                <c:pt idx="48">
                  <c:v>41153</c:v>
                </c:pt>
                <c:pt idx="49">
                  <c:v>41244</c:v>
                </c:pt>
                <c:pt idx="50">
                  <c:v>41334</c:v>
                </c:pt>
                <c:pt idx="51">
                  <c:v>41426</c:v>
                </c:pt>
                <c:pt idx="52">
                  <c:v>41518</c:v>
                </c:pt>
                <c:pt idx="53">
                  <c:v>41609</c:v>
                </c:pt>
                <c:pt idx="54">
                  <c:v>41699</c:v>
                </c:pt>
                <c:pt idx="55">
                  <c:v>41791</c:v>
                </c:pt>
                <c:pt idx="56">
                  <c:v>41883</c:v>
                </c:pt>
                <c:pt idx="57">
                  <c:v>41974</c:v>
                </c:pt>
                <c:pt idx="58">
                  <c:v>42064</c:v>
                </c:pt>
                <c:pt idx="59">
                  <c:v>42156</c:v>
                </c:pt>
                <c:pt idx="60">
                  <c:v>42248</c:v>
                </c:pt>
                <c:pt idx="61">
                  <c:v>42339</c:v>
                </c:pt>
                <c:pt idx="62">
                  <c:v>42430</c:v>
                </c:pt>
                <c:pt idx="63">
                  <c:v>42522</c:v>
                </c:pt>
                <c:pt idx="64">
                  <c:v>42614</c:v>
                </c:pt>
                <c:pt idx="65">
                  <c:v>42705</c:v>
                </c:pt>
              </c:numCache>
            </c:numRef>
          </c:cat>
          <c:val>
            <c:numRef>
              <c:f>Listed_byownership!$AY$26:$DL$26</c:f>
              <c:numCache>
                <c:formatCode>0.000</c:formatCode>
                <c:ptCount val="66"/>
                <c:pt idx="0">
                  <c:v>0.51331445057490632</c:v>
                </c:pt>
                <c:pt idx="1">
                  <c:v>0.54740179008912082</c:v>
                </c:pt>
                <c:pt idx="2">
                  <c:v>0.54310171127191231</c:v>
                </c:pt>
                <c:pt idx="3">
                  <c:v>0.53875567644088151</c:v>
                </c:pt>
                <c:pt idx="4">
                  <c:v>0.51811696504201321</c:v>
                </c:pt>
                <c:pt idx="5">
                  <c:v>0.52607619800155792</c:v>
                </c:pt>
                <c:pt idx="6">
                  <c:v>0.53580042518168736</c:v>
                </c:pt>
                <c:pt idx="7">
                  <c:v>0.5267941424621374</c:v>
                </c:pt>
                <c:pt idx="8">
                  <c:v>0.50738287658747039</c:v>
                </c:pt>
                <c:pt idx="9">
                  <c:v>0.4949847392152148</c:v>
                </c:pt>
                <c:pt idx="10">
                  <c:v>0.48632985120039407</c:v>
                </c:pt>
                <c:pt idx="11">
                  <c:v>0.48046657766441003</c:v>
                </c:pt>
                <c:pt idx="12">
                  <c:v>0.48121142657072408</c:v>
                </c:pt>
                <c:pt idx="13">
                  <c:v>0.48297981379279192</c:v>
                </c:pt>
                <c:pt idx="14">
                  <c:v>0.49225038368125401</c:v>
                </c:pt>
                <c:pt idx="15">
                  <c:v>0.49178262124711314</c:v>
                </c:pt>
                <c:pt idx="16">
                  <c:v>0.50714313460001781</c:v>
                </c:pt>
                <c:pt idx="17">
                  <c:v>0.54665246613076113</c:v>
                </c:pt>
                <c:pt idx="18">
                  <c:v>0.54442826845200165</c:v>
                </c:pt>
                <c:pt idx="19">
                  <c:v>0.54528860416761127</c:v>
                </c:pt>
                <c:pt idx="20">
                  <c:v>0.55002511606485549</c:v>
                </c:pt>
                <c:pt idx="21">
                  <c:v>0.54618689642612106</c:v>
                </c:pt>
                <c:pt idx="22">
                  <c:v>0.54941445210130901</c:v>
                </c:pt>
                <c:pt idx="23">
                  <c:v>0.54639100487001557</c:v>
                </c:pt>
                <c:pt idx="24">
                  <c:v>0.54088739492994631</c:v>
                </c:pt>
                <c:pt idx="25">
                  <c:v>0.54784288148077342</c:v>
                </c:pt>
                <c:pt idx="26">
                  <c:v>0.54698404663904909</c:v>
                </c:pt>
                <c:pt idx="27">
                  <c:v>0.54839503960161373</c:v>
                </c:pt>
                <c:pt idx="28">
                  <c:v>0.54862432239755754</c:v>
                </c:pt>
                <c:pt idx="29">
                  <c:v>0.54581431321268947</c:v>
                </c:pt>
                <c:pt idx="30">
                  <c:v>0.50080266551432184</c:v>
                </c:pt>
                <c:pt idx="31">
                  <c:v>0.49310591510999369</c:v>
                </c:pt>
                <c:pt idx="32">
                  <c:v>0.47518261512886678</c:v>
                </c:pt>
                <c:pt idx="33">
                  <c:v>0.4400887438346871</c:v>
                </c:pt>
                <c:pt idx="34">
                  <c:v>0.42028507683039051</c:v>
                </c:pt>
                <c:pt idx="35">
                  <c:v>0.43888922149010823</c:v>
                </c:pt>
                <c:pt idx="36">
                  <c:v>0.4688934244047932</c:v>
                </c:pt>
                <c:pt idx="37">
                  <c:v>0.46857039216103596</c:v>
                </c:pt>
                <c:pt idx="38">
                  <c:v>0.46569326706426883</c:v>
                </c:pt>
                <c:pt idx="39">
                  <c:v>0.4517250628939764</c:v>
                </c:pt>
                <c:pt idx="40">
                  <c:v>0.45701627138621825</c:v>
                </c:pt>
                <c:pt idx="41">
                  <c:v>0.46077574179146125</c:v>
                </c:pt>
                <c:pt idx="42">
                  <c:v>0.46704651190893381</c:v>
                </c:pt>
                <c:pt idx="43">
                  <c:v>0.43321316580584668</c:v>
                </c:pt>
                <c:pt idx="44">
                  <c:v>0.40000364987402565</c:v>
                </c:pt>
                <c:pt idx="45">
                  <c:v>0.38832911992922337</c:v>
                </c:pt>
                <c:pt idx="46">
                  <c:v>0.39525208293579506</c:v>
                </c:pt>
                <c:pt idx="47">
                  <c:v>0.3846074377987253</c:v>
                </c:pt>
                <c:pt idx="48">
                  <c:v>0.40715572143867662</c:v>
                </c:pt>
                <c:pt idx="49">
                  <c:v>0.41691417652603729</c:v>
                </c:pt>
                <c:pt idx="50">
                  <c:v>0.4315510678455885</c:v>
                </c:pt>
                <c:pt idx="51">
                  <c:v>0.41907671497619026</c:v>
                </c:pt>
                <c:pt idx="52">
                  <c:v>0.44419056906512755</c:v>
                </c:pt>
                <c:pt idx="53">
                  <c:v>0.45238654734388395</c:v>
                </c:pt>
                <c:pt idx="54">
                  <c:v>0.45229934813213296</c:v>
                </c:pt>
                <c:pt idx="55">
                  <c:v>0.45705642378418171</c:v>
                </c:pt>
                <c:pt idx="56">
                  <c:v>0.44573655151095753</c:v>
                </c:pt>
                <c:pt idx="57">
                  <c:v>0.45877624375864767</c:v>
                </c:pt>
                <c:pt idx="58">
                  <c:v>0.47019508958563133</c:v>
                </c:pt>
                <c:pt idx="59">
                  <c:v>0.45316227846725993</c:v>
                </c:pt>
                <c:pt idx="60">
                  <c:v>0.44637842288194929</c:v>
                </c:pt>
                <c:pt idx="61">
                  <c:v>0.46631156582769701</c:v>
                </c:pt>
                <c:pt idx="62">
                  <c:v>0.45718367582544445</c:v>
                </c:pt>
                <c:pt idx="63">
                  <c:v>0.4584669576312006</c:v>
                </c:pt>
                <c:pt idx="64">
                  <c:v>0.47010738258739848</c:v>
                </c:pt>
                <c:pt idx="65">
                  <c:v>0.47392897247897725</c:v>
                </c:pt>
              </c:numCache>
            </c:numRef>
          </c:val>
          <c:smooth val="0"/>
        </c:ser>
        <c:ser>
          <c:idx val="1"/>
          <c:order val="1"/>
          <c:tx>
            <c:v>Total equity</c:v>
          </c:tx>
          <c:marker>
            <c:symbol val="none"/>
          </c:marker>
          <c:cat>
            <c:numRef>
              <c:f>Listed_byownership!$AY$1:$DL$1</c:f>
              <c:numCache>
                <c:formatCode>mmm\-yyyy</c:formatCode>
                <c:ptCount val="66"/>
                <c:pt idx="0">
                  <c:v>36770</c:v>
                </c:pt>
                <c:pt idx="1">
                  <c:v>36861</c:v>
                </c:pt>
                <c:pt idx="2">
                  <c:v>36951</c:v>
                </c:pt>
                <c:pt idx="3">
                  <c:v>37043</c:v>
                </c:pt>
                <c:pt idx="4">
                  <c:v>37135</c:v>
                </c:pt>
                <c:pt idx="5">
                  <c:v>37226</c:v>
                </c:pt>
                <c:pt idx="6">
                  <c:v>37316</c:v>
                </c:pt>
                <c:pt idx="7">
                  <c:v>37408</c:v>
                </c:pt>
                <c:pt idx="8">
                  <c:v>37500</c:v>
                </c:pt>
                <c:pt idx="9">
                  <c:v>37591</c:v>
                </c:pt>
                <c:pt idx="10">
                  <c:v>37681</c:v>
                </c:pt>
                <c:pt idx="11">
                  <c:v>37773</c:v>
                </c:pt>
                <c:pt idx="12">
                  <c:v>37865</c:v>
                </c:pt>
                <c:pt idx="13">
                  <c:v>37956</c:v>
                </c:pt>
                <c:pt idx="14">
                  <c:v>38047</c:v>
                </c:pt>
                <c:pt idx="15">
                  <c:v>38139</c:v>
                </c:pt>
                <c:pt idx="16">
                  <c:v>38231</c:v>
                </c:pt>
                <c:pt idx="17">
                  <c:v>38322</c:v>
                </c:pt>
                <c:pt idx="18">
                  <c:v>38412</c:v>
                </c:pt>
                <c:pt idx="19">
                  <c:v>38504</c:v>
                </c:pt>
                <c:pt idx="20">
                  <c:v>38596</c:v>
                </c:pt>
                <c:pt idx="21">
                  <c:v>38687</c:v>
                </c:pt>
                <c:pt idx="22">
                  <c:v>38777</c:v>
                </c:pt>
                <c:pt idx="23">
                  <c:v>38869</c:v>
                </c:pt>
                <c:pt idx="24">
                  <c:v>38961</c:v>
                </c:pt>
                <c:pt idx="25">
                  <c:v>39052</c:v>
                </c:pt>
                <c:pt idx="26">
                  <c:v>39142</c:v>
                </c:pt>
                <c:pt idx="27">
                  <c:v>39234</c:v>
                </c:pt>
                <c:pt idx="28">
                  <c:v>39326</c:v>
                </c:pt>
                <c:pt idx="29">
                  <c:v>39417</c:v>
                </c:pt>
                <c:pt idx="30">
                  <c:v>39508</c:v>
                </c:pt>
                <c:pt idx="31">
                  <c:v>39600</c:v>
                </c:pt>
                <c:pt idx="32">
                  <c:v>39692</c:v>
                </c:pt>
                <c:pt idx="33">
                  <c:v>39783</c:v>
                </c:pt>
                <c:pt idx="34">
                  <c:v>39873</c:v>
                </c:pt>
                <c:pt idx="35">
                  <c:v>39965</c:v>
                </c:pt>
                <c:pt idx="36">
                  <c:v>40057</c:v>
                </c:pt>
                <c:pt idx="37">
                  <c:v>40148</c:v>
                </c:pt>
                <c:pt idx="38">
                  <c:v>40238</c:v>
                </c:pt>
                <c:pt idx="39">
                  <c:v>40330</c:v>
                </c:pt>
                <c:pt idx="40">
                  <c:v>40422</c:v>
                </c:pt>
                <c:pt idx="41">
                  <c:v>40513</c:v>
                </c:pt>
                <c:pt idx="42">
                  <c:v>40603</c:v>
                </c:pt>
                <c:pt idx="43">
                  <c:v>40695</c:v>
                </c:pt>
                <c:pt idx="44">
                  <c:v>40787</c:v>
                </c:pt>
                <c:pt idx="45">
                  <c:v>40878</c:v>
                </c:pt>
                <c:pt idx="46">
                  <c:v>40969</c:v>
                </c:pt>
                <c:pt idx="47">
                  <c:v>41061</c:v>
                </c:pt>
                <c:pt idx="48">
                  <c:v>41153</c:v>
                </c:pt>
                <c:pt idx="49">
                  <c:v>41244</c:v>
                </c:pt>
                <c:pt idx="50">
                  <c:v>41334</c:v>
                </c:pt>
                <c:pt idx="51">
                  <c:v>41426</c:v>
                </c:pt>
                <c:pt idx="52">
                  <c:v>41518</c:v>
                </c:pt>
                <c:pt idx="53">
                  <c:v>41609</c:v>
                </c:pt>
                <c:pt idx="54">
                  <c:v>41699</c:v>
                </c:pt>
                <c:pt idx="55">
                  <c:v>41791</c:v>
                </c:pt>
                <c:pt idx="56">
                  <c:v>41883</c:v>
                </c:pt>
                <c:pt idx="57">
                  <c:v>41974</c:v>
                </c:pt>
                <c:pt idx="58">
                  <c:v>42064</c:v>
                </c:pt>
                <c:pt idx="59">
                  <c:v>42156</c:v>
                </c:pt>
                <c:pt idx="60">
                  <c:v>42248</c:v>
                </c:pt>
                <c:pt idx="61">
                  <c:v>42339</c:v>
                </c:pt>
                <c:pt idx="62">
                  <c:v>42430</c:v>
                </c:pt>
                <c:pt idx="63">
                  <c:v>42522</c:v>
                </c:pt>
                <c:pt idx="64">
                  <c:v>42614</c:v>
                </c:pt>
                <c:pt idx="65">
                  <c:v>42705</c:v>
                </c:pt>
              </c:numCache>
            </c:numRef>
          </c:cat>
          <c:val>
            <c:numRef>
              <c:f>Total_byownership!$AY$26:$DL$26</c:f>
              <c:numCache>
                <c:formatCode>0.000</c:formatCode>
                <c:ptCount val="66"/>
                <c:pt idx="0">
                  <c:v>0.58425201354567091</c:v>
                </c:pt>
                <c:pt idx="1">
                  <c:v>0.60569815065071397</c:v>
                </c:pt>
                <c:pt idx="2">
                  <c:v>0.60585932636479833</c:v>
                </c:pt>
                <c:pt idx="3">
                  <c:v>0.60411136464342363</c:v>
                </c:pt>
                <c:pt idx="4">
                  <c:v>0.59600586521449883</c:v>
                </c:pt>
                <c:pt idx="5">
                  <c:v>0.59914602920931159</c:v>
                </c:pt>
                <c:pt idx="6">
                  <c:v>0.61036165613900506</c:v>
                </c:pt>
                <c:pt idx="7">
                  <c:v>0.60607191119291004</c:v>
                </c:pt>
                <c:pt idx="8">
                  <c:v>0.60124506132103772</c:v>
                </c:pt>
                <c:pt idx="9">
                  <c:v>0.58628237752466172</c:v>
                </c:pt>
                <c:pt idx="10">
                  <c:v>0.58746355213379808</c:v>
                </c:pt>
                <c:pt idx="11">
                  <c:v>0.58404309773350904</c:v>
                </c:pt>
                <c:pt idx="12">
                  <c:v>0.58115942028985512</c:v>
                </c:pt>
                <c:pt idx="13">
                  <c:v>0.58447012205323123</c:v>
                </c:pt>
                <c:pt idx="14">
                  <c:v>0.59983973280644987</c:v>
                </c:pt>
                <c:pt idx="15">
                  <c:v>0.6093910163636469</c:v>
                </c:pt>
                <c:pt idx="16">
                  <c:v>0.61943081095565988</c:v>
                </c:pt>
                <c:pt idx="17">
                  <c:v>0.6231669790248916</c:v>
                </c:pt>
                <c:pt idx="18">
                  <c:v>0.63606341769160424</c:v>
                </c:pt>
                <c:pt idx="19">
                  <c:v>0.67538619366119979</c:v>
                </c:pt>
                <c:pt idx="20">
                  <c:v>0.67567348433165919</c:v>
                </c:pt>
                <c:pt idx="21">
                  <c:v>0.67147220720107614</c:v>
                </c:pt>
                <c:pt idx="22">
                  <c:v>0.66250234450862655</c:v>
                </c:pt>
                <c:pt idx="23">
                  <c:v>0.66774648596032493</c:v>
                </c:pt>
                <c:pt idx="24">
                  <c:v>0.66579368560086194</c:v>
                </c:pt>
                <c:pt idx="25">
                  <c:v>0.66250703930813359</c:v>
                </c:pt>
                <c:pt idx="26">
                  <c:v>0.65222264149974718</c:v>
                </c:pt>
                <c:pt idx="27">
                  <c:v>0.64801594602580037</c:v>
                </c:pt>
                <c:pt idx="28">
                  <c:v>0.64219582047024315</c:v>
                </c:pt>
                <c:pt idx="29">
                  <c:v>0.64199405052179848</c:v>
                </c:pt>
                <c:pt idx="30">
                  <c:v>0.62525118389789125</c:v>
                </c:pt>
                <c:pt idx="31">
                  <c:v>0.61844866856343517</c:v>
                </c:pt>
                <c:pt idx="32">
                  <c:v>0.61941034964637787</c:v>
                </c:pt>
                <c:pt idx="33">
                  <c:v>0.59912025856652684</c:v>
                </c:pt>
                <c:pt idx="34">
                  <c:v>0.58989934731681193</c:v>
                </c:pt>
                <c:pt idx="35">
                  <c:v>0.59010157700773058</c:v>
                </c:pt>
                <c:pt idx="36">
                  <c:v>0.59097963446241641</c:v>
                </c:pt>
                <c:pt idx="37">
                  <c:v>0.59132725785343854</c:v>
                </c:pt>
                <c:pt idx="38">
                  <c:v>0.58815798155776733</c:v>
                </c:pt>
                <c:pt idx="39">
                  <c:v>0.58690759525051373</c:v>
                </c:pt>
                <c:pt idx="40">
                  <c:v>0.58698907949536139</c:v>
                </c:pt>
                <c:pt idx="41">
                  <c:v>0.58006919492542774</c:v>
                </c:pt>
                <c:pt idx="42">
                  <c:v>0.57699228785063705</c:v>
                </c:pt>
                <c:pt idx="43">
                  <c:v>0.5784555901055225</c:v>
                </c:pt>
                <c:pt idx="44">
                  <c:v>0.57241174823519236</c:v>
                </c:pt>
                <c:pt idx="45">
                  <c:v>0.57102041665191194</c:v>
                </c:pt>
                <c:pt idx="46">
                  <c:v>0.57066374198177838</c:v>
                </c:pt>
                <c:pt idx="47">
                  <c:v>0.573975586818951</c:v>
                </c:pt>
                <c:pt idx="48">
                  <c:v>0.58596023950606413</c:v>
                </c:pt>
                <c:pt idx="49">
                  <c:v>0.59424071617227037</c:v>
                </c:pt>
                <c:pt idx="50">
                  <c:v>0.60098107520022082</c:v>
                </c:pt>
                <c:pt idx="51">
                  <c:v>0.60254041395552238</c:v>
                </c:pt>
                <c:pt idx="52">
                  <c:v>0.6110817604515788</c:v>
                </c:pt>
                <c:pt idx="53">
                  <c:v>0.61290855810556089</c:v>
                </c:pt>
                <c:pt idx="54">
                  <c:v>0.61078779355156088</c:v>
                </c:pt>
                <c:pt idx="55">
                  <c:v>0.61305569631528833</c:v>
                </c:pt>
                <c:pt idx="56">
                  <c:v>0.60911118017280574</c:v>
                </c:pt>
                <c:pt idx="57">
                  <c:v>0.61559982431057736</c:v>
                </c:pt>
                <c:pt idx="58">
                  <c:v>0.61886899514260851</c:v>
                </c:pt>
                <c:pt idx="59">
                  <c:v>0.61649880383613764</c:v>
                </c:pt>
                <c:pt idx="60">
                  <c:v>0.61529557278293145</c:v>
                </c:pt>
                <c:pt idx="61">
                  <c:v>0.62168668078110756</c:v>
                </c:pt>
                <c:pt idx="62">
                  <c:v>0.61534355926976803</c:v>
                </c:pt>
                <c:pt idx="63">
                  <c:v>0.61269329697232633</c:v>
                </c:pt>
                <c:pt idx="64">
                  <c:v>0.60612201705758517</c:v>
                </c:pt>
                <c:pt idx="65">
                  <c:v>0.60322398382318576</c:v>
                </c:pt>
              </c:numCache>
            </c:numRef>
          </c:val>
          <c:smooth val="0"/>
        </c:ser>
        <c:dLbls>
          <c:showLegendKey val="0"/>
          <c:showVal val="0"/>
          <c:showCatName val="0"/>
          <c:showSerName val="0"/>
          <c:showPercent val="0"/>
          <c:showBubbleSize val="0"/>
        </c:dLbls>
        <c:marker val="1"/>
        <c:smooth val="0"/>
        <c:axId val="37292288"/>
        <c:axId val="37298176"/>
      </c:lineChart>
      <c:dateAx>
        <c:axId val="37292288"/>
        <c:scaling>
          <c:orientation val="minMax"/>
        </c:scaling>
        <c:delete val="0"/>
        <c:axPos val="b"/>
        <c:numFmt formatCode="mmm\-yyyy" sourceLinked="1"/>
        <c:majorTickMark val="out"/>
        <c:minorTickMark val="none"/>
        <c:tickLblPos val="nextTo"/>
        <c:crossAx val="37298176"/>
        <c:crosses val="autoZero"/>
        <c:auto val="0"/>
        <c:lblOffset val="100"/>
        <c:baseTimeUnit val="months"/>
        <c:majorUnit val="12"/>
        <c:majorTimeUnit val="months"/>
      </c:dateAx>
      <c:valAx>
        <c:axId val="37298176"/>
        <c:scaling>
          <c:orientation val="minMax"/>
          <c:max val="0.70000000000000007"/>
          <c:min val="0.30000000000000004"/>
        </c:scaling>
        <c:delete val="0"/>
        <c:axPos val="l"/>
        <c:majorGridlines/>
        <c:title>
          <c:tx>
            <c:rich>
              <a:bodyPr rot="0" vert="horz"/>
              <a:lstStyle/>
              <a:p>
                <a:pPr>
                  <a:defRPr/>
                </a:pPr>
                <a:r>
                  <a:rPr lang="en-AU"/>
                  <a:t>Refined domestic ownership</a:t>
                </a:r>
                <a:r>
                  <a:rPr lang="en-AU" baseline="0"/>
                  <a:t> share of Australian equity </a:t>
                </a:r>
              </a:p>
            </c:rich>
          </c:tx>
          <c:layout/>
          <c:overlay val="0"/>
        </c:title>
        <c:numFmt formatCode="0.000" sourceLinked="1"/>
        <c:majorTickMark val="out"/>
        <c:minorTickMark val="none"/>
        <c:tickLblPos val="nextTo"/>
        <c:crossAx val="37292288"/>
        <c:crossesAt val="36770"/>
        <c:crossBetween val="midCat"/>
        <c:majorUnit val="5.000000000000001E-2"/>
        <c:minorUnit val="4.000000000000001E-3"/>
      </c:valAx>
    </c:plotArea>
    <c:legend>
      <c:legendPos val="b"/>
      <c:layout/>
      <c:overlay val="0"/>
    </c:legend>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17306C6C</Template>
  <TotalTime>0</TotalTime>
  <Pages>219</Pages>
  <Words>69394</Words>
  <Characters>395547</Characters>
  <Application>Microsoft Office Word</Application>
  <DocSecurity>0</DocSecurity>
  <Lines>3296</Lines>
  <Paragraphs>928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2017-07-05T01:10:00Z</dcterms:created>
  <dcterms:modified xsi:type="dcterms:W3CDTF">2017-07-05T01:11:00Z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