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1522EF4C" wp14:editId="7842E057">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38A5707A" wp14:editId="3DD8D05D">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8A3285" w:rsidRDefault="008A3285" w:rsidP="00D5015C">
          <w:pPr>
            <w:pStyle w:val="ReportSubtitle"/>
          </w:pPr>
          <w:r w:rsidRPr="008A3285">
            <w:t>DRAFT DECISION</w:t>
          </w:r>
        </w:p>
        <w:p w:rsidR="004475B7" w:rsidRDefault="004475B7" w:rsidP="00D5015C">
          <w:pPr>
            <w:pStyle w:val="ReportSubtitle"/>
          </w:pPr>
          <w:r>
            <w:t>Multinet G</w:t>
          </w:r>
          <w:r w:rsidR="00D5015C">
            <w:t xml:space="preserve">as </w:t>
          </w:r>
        </w:p>
        <w:p w:rsidR="00D5015C" w:rsidRDefault="004475B7" w:rsidP="00D5015C">
          <w:pPr>
            <w:pStyle w:val="ReportSubtitle"/>
          </w:pPr>
          <w:r>
            <w:t>A</w:t>
          </w:r>
          <w:r w:rsidR="00D5015C">
            <w:t>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7F665B">
            <w:t>5</w:t>
          </w:r>
          <w:r w:rsidR="000474DF">
            <w:t xml:space="preserve"> </w:t>
          </w:r>
          <w:r w:rsidR="00185BA5">
            <w:t>–</w:t>
          </w:r>
          <w:r w:rsidR="000474DF">
            <w:t xml:space="preserve"> </w:t>
          </w:r>
          <w:r w:rsidR="007F665B">
            <w:t>Regulatory depreciation</w:t>
          </w:r>
        </w:p>
        <w:p w:rsidR="00D5015C" w:rsidRDefault="00D5015C" w:rsidP="00327A1E">
          <w:pPr>
            <w:pStyle w:val="ReportDate"/>
          </w:pPr>
        </w:p>
        <w:p w:rsidR="00D5015C" w:rsidRDefault="00D5015C" w:rsidP="00327A1E">
          <w:pPr>
            <w:pStyle w:val="ReportDate"/>
          </w:pPr>
        </w:p>
        <w:p w:rsidR="000A6C7B" w:rsidRPr="00327A1E" w:rsidRDefault="00B7472B" w:rsidP="00327A1E">
          <w:pPr>
            <w:pStyle w:val="ReportDate"/>
          </w:pPr>
          <w:r>
            <w:t>Ju</w:t>
          </w:r>
          <w:r w:rsidR="009830B5">
            <w:t>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7F665B">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B7472B" w:rsidRPr="00B7472B" w:rsidRDefault="00B7472B" w:rsidP="00B7472B">
      <w:r w:rsidRPr="00B7472B">
        <w:t xml:space="preserve">Tel: </w:t>
      </w:r>
      <w:r w:rsidRPr="00B7472B">
        <w:tab/>
        <w:t>1300 585 165</w:t>
      </w:r>
    </w:p>
    <w:p w:rsidR="00761454" w:rsidRDefault="00B7472B" w:rsidP="00B7472B">
      <w:r w:rsidRPr="00B7472B">
        <w:t xml:space="preserve">Email: </w:t>
      </w:r>
      <w:hyperlink r:id="rId12" w:history="1">
        <w:r w:rsidRPr="00B7472B">
          <w:rPr>
            <w:rStyle w:val="Hyperlink"/>
          </w:rPr>
          <w:t>AERInquiry@aer.gov.au</w:t>
        </w:r>
      </w:hyperlink>
      <w:r w:rsidRPr="00B7472B">
        <w:br/>
      </w:r>
      <w:r w:rsidR="00761454">
        <w:br w:type="page"/>
      </w:r>
    </w:p>
    <w:p w:rsidR="00761454" w:rsidRDefault="00761454" w:rsidP="00761454">
      <w:pPr>
        <w:pStyle w:val="UnnumberedHeading"/>
        <w:numPr>
          <w:ilvl w:val="0"/>
          <w:numId w:val="23"/>
        </w:numPr>
      </w:pPr>
      <w:bookmarkStart w:id="1" w:name="_Toc404153950"/>
      <w:bookmarkStart w:id="2" w:name="_Toc404437593"/>
      <w:bookmarkStart w:id="3" w:name="_Toc486836574"/>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606E5C">
        <w:t>Multinet</w:t>
      </w:r>
      <w:r>
        <w:t xml:space="preserve">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761454" w:rsidRPr="009D3906" w:rsidRDefault="00761454" w:rsidP="00761454"/>
    <w:p w:rsidR="00CE2A23" w:rsidRPr="00CE2A23" w:rsidRDefault="00CE2A23" w:rsidP="00CE2A23">
      <w:bookmarkStart w:id="4" w:name="_Toc404354899"/>
      <w:bookmarkStart w:id="5" w:name="_Toc404353070"/>
      <w:bookmarkStart w:id="6" w:name="_Toc404684201"/>
      <w:bookmarkStart w:id="7" w:name="_Toc404700923"/>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36575"/>
      <w:r>
        <w:t>Contents</w:t>
      </w:r>
      <w:bookmarkEnd w:id="8"/>
      <w:bookmarkEnd w:id="9"/>
    </w:p>
    <w:p w:rsidR="00CE2A23" w:rsidRDefault="00CE2A23" w:rsidP="00CE2A23"/>
    <w:sdt>
      <w:sdtPr>
        <w:id w:val="1269200322"/>
        <w:docPartObj>
          <w:docPartGallery w:val="Table of Contents"/>
          <w:docPartUnique/>
        </w:docPartObj>
      </w:sdtPr>
      <w:sdtEndPr/>
      <w:sdtContent>
        <w:p w:rsidR="009830B5" w:rsidRDefault="009217B9">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36574" w:history="1">
            <w:r w:rsidR="009830B5" w:rsidRPr="00094047">
              <w:rPr>
                <w:rStyle w:val="Hyperlink"/>
              </w:rPr>
              <w:t>Note</w:t>
            </w:r>
            <w:r w:rsidR="009830B5">
              <w:rPr>
                <w:webHidden/>
              </w:rPr>
              <w:tab/>
            </w:r>
            <w:r w:rsidR="009830B5">
              <w:rPr>
                <w:webHidden/>
              </w:rPr>
              <w:fldChar w:fldCharType="begin"/>
            </w:r>
            <w:r w:rsidR="009830B5">
              <w:rPr>
                <w:webHidden/>
              </w:rPr>
              <w:instrText xml:space="preserve"> PAGEREF _Toc486836574 \h </w:instrText>
            </w:r>
            <w:r w:rsidR="009830B5">
              <w:rPr>
                <w:webHidden/>
              </w:rPr>
            </w:r>
            <w:r w:rsidR="009830B5">
              <w:rPr>
                <w:webHidden/>
              </w:rPr>
              <w:fldChar w:fldCharType="separate"/>
            </w:r>
            <w:r w:rsidR="00210078">
              <w:rPr>
                <w:webHidden/>
              </w:rPr>
              <w:t>5-2</w:t>
            </w:r>
            <w:r w:rsidR="009830B5">
              <w:rPr>
                <w:webHidden/>
              </w:rPr>
              <w:fldChar w:fldCharType="end"/>
            </w:r>
          </w:hyperlink>
        </w:p>
        <w:p w:rsidR="009830B5" w:rsidRDefault="00210078">
          <w:pPr>
            <w:pStyle w:val="TOC1"/>
            <w:rPr>
              <w:rFonts w:asciiTheme="minorHAnsi" w:eastAsiaTheme="minorEastAsia" w:hAnsiTheme="minorHAnsi"/>
              <w:b w:val="0"/>
              <w:color w:val="auto"/>
              <w:sz w:val="22"/>
              <w:lang w:val="en-AU" w:eastAsia="en-AU"/>
            </w:rPr>
          </w:pPr>
          <w:hyperlink w:anchor="_Toc486836575" w:history="1">
            <w:r w:rsidR="009830B5" w:rsidRPr="00094047">
              <w:rPr>
                <w:rStyle w:val="Hyperlink"/>
              </w:rPr>
              <w:t>Contents</w:t>
            </w:r>
            <w:r w:rsidR="009830B5">
              <w:rPr>
                <w:webHidden/>
              </w:rPr>
              <w:tab/>
            </w:r>
            <w:r w:rsidR="009830B5">
              <w:rPr>
                <w:webHidden/>
              </w:rPr>
              <w:fldChar w:fldCharType="begin"/>
            </w:r>
            <w:r w:rsidR="009830B5">
              <w:rPr>
                <w:webHidden/>
              </w:rPr>
              <w:instrText xml:space="preserve"> PAGEREF _Toc486836575 \h </w:instrText>
            </w:r>
            <w:r w:rsidR="009830B5">
              <w:rPr>
                <w:webHidden/>
              </w:rPr>
            </w:r>
            <w:r w:rsidR="009830B5">
              <w:rPr>
                <w:webHidden/>
              </w:rPr>
              <w:fldChar w:fldCharType="separate"/>
            </w:r>
            <w:r>
              <w:rPr>
                <w:webHidden/>
              </w:rPr>
              <w:t>5-3</w:t>
            </w:r>
            <w:r w:rsidR="009830B5">
              <w:rPr>
                <w:webHidden/>
              </w:rPr>
              <w:fldChar w:fldCharType="end"/>
            </w:r>
          </w:hyperlink>
        </w:p>
        <w:p w:rsidR="009830B5" w:rsidRDefault="00210078">
          <w:pPr>
            <w:pStyle w:val="TOC1"/>
            <w:rPr>
              <w:rFonts w:asciiTheme="minorHAnsi" w:eastAsiaTheme="minorEastAsia" w:hAnsiTheme="minorHAnsi"/>
              <w:b w:val="0"/>
              <w:color w:val="auto"/>
              <w:sz w:val="22"/>
              <w:lang w:val="en-AU" w:eastAsia="en-AU"/>
            </w:rPr>
          </w:pPr>
          <w:hyperlink w:anchor="_Toc486836576" w:history="1">
            <w:r w:rsidR="009830B5" w:rsidRPr="00094047">
              <w:rPr>
                <w:rStyle w:val="Hyperlink"/>
              </w:rPr>
              <w:t>Shortened forms</w:t>
            </w:r>
            <w:r w:rsidR="009830B5">
              <w:rPr>
                <w:webHidden/>
              </w:rPr>
              <w:tab/>
            </w:r>
            <w:r w:rsidR="009830B5">
              <w:rPr>
                <w:webHidden/>
              </w:rPr>
              <w:fldChar w:fldCharType="begin"/>
            </w:r>
            <w:r w:rsidR="009830B5">
              <w:rPr>
                <w:webHidden/>
              </w:rPr>
              <w:instrText xml:space="preserve"> PAGEREF _Toc486836576 \h </w:instrText>
            </w:r>
            <w:r w:rsidR="009830B5">
              <w:rPr>
                <w:webHidden/>
              </w:rPr>
            </w:r>
            <w:r w:rsidR="009830B5">
              <w:rPr>
                <w:webHidden/>
              </w:rPr>
              <w:fldChar w:fldCharType="separate"/>
            </w:r>
            <w:r>
              <w:rPr>
                <w:webHidden/>
              </w:rPr>
              <w:t>5-4</w:t>
            </w:r>
            <w:r w:rsidR="009830B5">
              <w:rPr>
                <w:webHidden/>
              </w:rPr>
              <w:fldChar w:fldCharType="end"/>
            </w:r>
          </w:hyperlink>
        </w:p>
        <w:p w:rsidR="009830B5" w:rsidRDefault="00210078">
          <w:pPr>
            <w:pStyle w:val="TOC1"/>
            <w:rPr>
              <w:rFonts w:asciiTheme="minorHAnsi" w:eastAsiaTheme="minorEastAsia" w:hAnsiTheme="minorHAnsi"/>
              <w:b w:val="0"/>
              <w:color w:val="auto"/>
              <w:sz w:val="22"/>
              <w:lang w:val="en-AU" w:eastAsia="en-AU"/>
            </w:rPr>
          </w:pPr>
          <w:hyperlink w:anchor="_Toc486836577" w:history="1">
            <w:r w:rsidR="009830B5" w:rsidRPr="00094047">
              <w:rPr>
                <w:rStyle w:val="Hyperlink"/>
              </w:rPr>
              <w:t>5</w:t>
            </w:r>
            <w:r w:rsidR="009830B5">
              <w:rPr>
                <w:rFonts w:asciiTheme="minorHAnsi" w:eastAsiaTheme="minorEastAsia" w:hAnsiTheme="minorHAnsi"/>
                <w:b w:val="0"/>
                <w:color w:val="auto"/>
                <w:sz w:val="22"/>
                <w:lang w:val="en-AU" w:eastAsia="en-AU"/>
              </w:rPr>
              <w:tab/>
            </w:r>
            <w:r w:rsidR="009830B5" w:rsidRPr="00094047">
              <w:rPr>
                <w:rStyle w:val="Hyperlink"/>
              </w:rPr>
              <w:t>Regulatory depreciation</w:t>
            </w:r>
            <w:r w:rsidR="009830B5">
              <w:rPr>
                <w:webHidden/>
              </w:rPr>
              <w:tab/>
            </w:r>
            <w:r w:rsidR="009830B5">
              <w:rPr>
                <w:webHidden/>
              </w:rPr>
              <w:fldChar w:fldCharType="begin"/>
            </w:r>
            <w:r w:rsidR="009830B5">
              <w:rPr>
                <w:webHidden/>
              </w:rPr>
              <w:instrText xml:space="preserve"> PAGEREF _Toc486836577 \h </w:instrText>
            </w:r>
            <w:r w:rsidR="009830B5">
              <w:rPr>
                <w:webHidden/>
              </w:rPr>
            </w:r>
            <w:r w:rsidR="009830B5">
              <w:rPr>
                <w:webHidden/>
              </w:rPr>
              <w:fldChar w:fldCharType="separate"/>
            </w:r>
            <w:r>
              <w:rPr>
                <w:webHidden/>
              </w:rPr>
              <w:t>5-5</w:t>
            </w:r>
            <w:r w:rsidR="009830B5">
              <w:rPr>
                <w:webHidden/>
              </w:rPr>
              <w:fldChar w:fldCharType="end"/>
            </w:r>
          </w:hyperlink>
        </w:p>
        <w:p w:rsidR="009830B5" w:rsidRDefault="00210078">
          <w:pPr>
            <w:pStyle w:val="TOC2"/>
            <w:rPr>
              <w:rFonts w:asciiTheme="minorHAnsi" w:eastAsiaTheme="minorEastAsia" w:hAnsiTheme="minorHAnsi"/>
              <w:b w:val="0"/>
              <w:color w:val="auto"/>
              <w:sz w:val="22"/>
              <w:lang w:eastAsia="en-AU"/>
            </w:rPr>
          </w:pPr>
          <w:hyperlink w:anchor="_Toc486836578" w:history="1">
            <w:r w:rsidR="009830B5" w:rsidRPr="00094047">
              <w:rPr>
                <w:rStyle w:val="Hyperlink"/>
              </w:rPr>
              <w:t>5.1</w:t>
            </w:r>
            <w:r w:rsidR="009830B5">
              <w:rPr>
                <w:rFonts w:asciiTheme="minorHAnsi" w:eastAsiaTheme="minorEastAsia" w:hAnsiTheme="minorHAnsi"/>
                <w:b w:val="0"/>
                <w:color w:val="auto"/>
                <w:sz w:val="22"/>
                <w:lang w:eastAsia="en-AU"/>
              </w:rPr>
              <w:tab/>
            </w:r>
            <w:r w:rsidR="009830B5" w:rsidRPr="00094047">
              <w:rPr>
                <w:rStyle w:val="Hyperlink"/>
              </w:rPr>
              <w:t>Draft decision</w:t>
            </w:r>
            <w:r w:rsidR="009830B5">
              <w:rPr>
                <w:webHidden/>
              </w:rPr>
              <w:tab/>
            </w:r>
            <w:r w:rsidR="009830B5">
              <w:rPr>
                <w:webHidden/>
              </w:rPr>
              <w:fldChar w:fldCharType="begin"/>
            </w:r>
            <w:r w:rsidR="009830B5">
              <w:rPr>
                <w:webHidden/>
              </w:rPr>
              <w:instrText xml:space="preserve"> PAGEREF _Toc486836578 \h </w:instrText>
            </w:r>
            <w:r w:rsidR="009830B5">
              <w:rPr>
                <w:webHidden/>
              </w:rPr>
            </w:r>
            <w:r w:rsidR="009830B5">
              <w:rPr>
                <w:webHidden/>
              </w:rPr>
              <w:fldChar w:fldCharType="separate"/>
            </w:r>
            <w:r>
              <w:rPr>
                <w:webHidden/>
              </w:rPr>
              <w:t>5-5</w:t>
            </w:r>
            <w:r w:rsidR="009830B5">
              <w:rPr>
                <w:webHidden/>
              </w:rPr>
              <w:fldChar w:fldCharType="end"/>
            </w:r>
          </w:hyperlink>
        </w:p>
        <w:p w:rsidR="009830B5" w:rsidRDefault="00210078">
          <w:pPr>
            <w:pStyle w:val="TOC2"/>
            <w:rPr>
              <w:rFonts w:asciiTheme="minorHAnsi" w:eastAsiaTheme="minorEastAsia" w:hAnsiTheme="minorHAnsi"/>
              <w:b w:val="0"/>
              <w:color w:val="auto"/>
              <w:sz w:val="22"/>
              <w:lang w:eastAsia="en-AU"/>
            </w:rPr>
          </w:pPr>
          <w:hyperlink w:anchor="_Toc486836579" w:history="1">
            <w:r w:rsidR="009830B5" w:rsidRPr="00094047">
              <w:rPr>
                <w:rStyle w:val="Hyperlink"/>
              </w:rPr>
              <w:t>5.2</w:t>
            </w:r>
            <w:r w:rsidR="009830B5">
              <w:rPr>
                <w:rFonts w:asciiTheme="minorHAnsi" w:eastAsiaTheme="minorEastAsia" w:hAnsiTheme="minorHAnsi"/>
                <w:b w:val="0"/>
                <w:color w:val="auto"/>
                <w:sz w:val="22"/>
                <w:lang w:eastAsia="en-AU"/>
              </w:rPr>
              <w:tab/>
            </w:r>
            <w:r w:rsidR="009830B5" w:rsidRPr="00094047">
              <w:rPr>
                <w:rStyle w:val="Hyperlink"/>
              </w:rPr>
              <w:t>Multinet’s proposal</w:t>
            </w:r>
            <w:r w:rsidR="009830B5">
              <w:rPr>
                <w:webHidden/>
              </w:rPr>
              <w:tab/>
            </w:r>
            <w:r w:rsidR="009830B5">
              <w:rPr>
                <w:webHidden/>
              </w:rPr>
              <w:fldChar w:fldCharType="begin"/>
            </w:r>
            <w:r w:rsidR="009830B5">
              <w:rPr>
                <w:webHidden/>
              </w:rPr>
              <w:instrText xml:space="preserve"> PAGEREF _Toc486836579 \h </w:instrText>
            </w:r>
            <w:r w:rsidR="009830B5">
              <w:rPr>
                <w:webHidden/>
              </w:rPr>
            </w:r>
            <w:r w:rsidR="009830B5">
              <w:rPr>
                <w:webHidden/>
              </w:rPr>
              <w:fldChar w:fldCharType="separate"/>
            </w:r>
            <w:r>
              <w:rPr>
                <w:webHidden/>
              </w:rPr>
              <w:t>5-6</w:t>
            </w:r>
            <w:r w:rsidR="009830B5">
              <w:rPr>
                <w:webHidden/>
              </w:rPr>
              <w:fldChar w:fldCharType="end"/>
            </w:r>
          </w:hyperlink>
        </w:p>
        <w:p w:rsidR="009830B5" w:rsidRDefault="00210078">
          <w:pPr>
            <w:pStyle w:val="TOC2"/>
            <w:rPr>
              <w:rFonts w:asciiTheme="minorHAnsi" w:eastAsiaTheme="minorEastAsia" w:hAnsiTheme="minorHAnsi"/>
              <w:b w:val="0"/>
              <w:color w:val="auto"/>
              <w:sz w:val="22"/>
              <w:lang w:eastAsia="en-AU"/>
            </w:rPr>
          </w:pPr>
          <w:hyperlink w:anchor="_Toc486836580" w:history="1">
            <w:r w:rsidR="009830B5" w:rsidRPr="00094047">
              <w:rPr>
                <w:rStyle w:val="Hyperlink"/>
              </w:rPr>
              <w:t>5.3</w:t>
            </w:r>
            <w:r w:rsidR="009830B5">
              <w:rPr>
                <w:rFonts w:asciiTheme="minorHAnsi" w:eastAsiaTheme="minorEastAsia" w:hAnsiTheme="minorHAnsi"/>
                <w:b w:val="0"/>
                <w:color w:val="auto"/>
                <w:sz w:val="22"/>
                <w:lang w:eastAsia="en-AU"/>
              </w:rPr>
              <w:tab/>
            </w:r>
            <w:r w:rsidR="009830B5" w:rsidRPr="00094047">
              <w:rPr>
                <w:rStyle w:val="Hyperlink"/>
              </w:rPr>
              <w:t>Assessment approach</w:t>
            </w:r>
            <w:r w:rsidR="009830B5">
              <w:rPr>
                <w:webHidden/>
              </w:rPr>
              <w:tab/>
            </w:r>
            <w:r w:rsidR="009830B5">
              <w:rPr>
                <w:webHidden/>
              </w:rPr>
              <w:fldChar w:fldCharType="begin"/>
            </w:r>
            <w:r w:rsidR="009830B5">
              <w:rPr>
                <w:webHidden/>
              </w:rPr>
              <w:instrText xml:space="preserve"> PAGEREF _Toc486836580 \h </w:instrText>
            </w:r>
            <w:r w:rsidR="009830B5">
              <w:rPr>
                <w:webHidden/>
              </w:rPr>
            </w:r>
            <w:r w:rsidR="009830B5">
              <w:rPr>
                <w:webHidden/>
              </w:rPr>
              <w:fldChar w:fldCharType="separate"/>
            </w:r>
            <w:r>
              <w:rPr>
                <w:webHidden/>
              </w:rPr>
              <w:t>5-7</w:t>
            </w:r>
            <w:r w:rsidR="009830B5">
              <w:rPr>
                <w:webHidden/>
              </w:rPr>
              <w:fldChar w:fldCharType="end"/>
            </w:r>
          </w:hyperlink>
        </w:p>
        <w:p w:rsidR="009830B5" w:rsidRDefault="00210078">
          <w:pPr>
            <w:pStyle w:val="TOC3"/>
            <w:rPr>
              <w:rFonts w:asciiTheme="minorHAnsi" w:eastAsiaTheme="minorEastAsia" w:hAnsiTheme="minorHAnsi"/>
              <w:lang w:eastAsia="en-AU"/>
            </w:rPr>
          </w:pPr>
          <w:hyperlink w:anchor="_Toc486836581" w:history="1">
            <w:r w:rsidR="009830B5" w:rsidRPr="00094047">
              <w:rPr>
                <w:rStyle w:val="Hyperlink"/>
              </w:rPr>
              <w:t>5.3.1</w:t>
            </w:r>
            <w:r w:rsidR="009830B5">
              <w:rPr>
                <w:rFonts w:asciiTheme="minorHAnsi" w:eastAsiaTheme="minorEastAsia" w:hAnsiTheme="minorHAnsi"/>
                <w:lang w:eastAsia="en-AU"/>
              </w:rPr>
              <w:tab/>
            </w:r>
            <w:r w:rsidR="009830B5" w:rsidRPr="00094047">
              <w:rPr>
                <w:rStyle w:val="Hyperlink"/>
              </w:rPr>
              <w:t>Interrelationships</w:t>
            </w:r>
            <w:r w:rsidR="009830B5">
              <w:rPr>
                <w:webHidden/>
              </w:rPr>
              <w:tab/>
            </w:r>
            <w:r w:rsidR="009830B5">
              <w:rPr>
                <w:webHidden/>
              </w:rPr>
              <w:fldChar w:fldCharType="begin"/>
            </w:r>
            <w:r w:rsidR="009830B5">
              <w:rPr>
                <w:webHidden/>
              </w:rPr>
              <w:instrText xml:space="preserve"> PAGEREF _Toc486836581 \h </w:instrText>
            </w:r>
            <w:r w:rsidR="009830B5">
              <w:rPr>
                <w:webHidden/>
              </w:rPr>
            </w:r>
            <w:r w:rsidR="009830B5">
              <w:rPr>
                <w:webHidden/>
              </w:rPr>
              <w:fldChar w:fldCharType="separate"/>
            </w:r>
            <w:r>
              <w:rPr>
                <w:webHidden/>
              </w:rPr>
              <w:t>5-9</w:t>
            </w:r>
            <w:r w:rsidR="009830B5">
              <w:rPr>
                <w:webHidden/>
              </w:rPr>
              <w:fldChar w:fldCharType="end"/>
            </w:r>
          </w:hyperlink>
        </w:p>
        <w:p w:rsidR="009830B5" w:rsidRDefault="00210078">
          <w:pPr>
            <w:pStyle w:val="TOC2"/>
            <w:rPr>
              <w:rFonts w:asciiTheme="minorHAnsi" w:eastAsiaTheme="minorEastAsia" w:hAnsiTheme="minorHAnsi"/>
              <w:b w:val="0"/>
              <w:color w:val="auto"/>
              <w:sz w:val="22"/>
              <w:lang w:eastAsia="en-AU"/>
            </w:rPr>
          </w:pPr>
          <w:hyperlink w:anchor="_Toc486836582" w:history="1">
            <w:r w:rsidR="009830B5" w:rsidRPr="00094047">
              <w:rPr>
                <w:rStyle w:val="Hyperlink"/>
              </w:rPr>
              <w:t>5.4</w:t>
            </w:r>
            <w:r w:rsidR="009830B5">
              <w:rPr>
                <w:rFonts w:asciiTheme="minorHAnsi" w:eastAsiaTheme="minorEastAsia" w:hAnsiTheme="minorHAnsi"/>
                <w:b w:val="0"/>
                <w:color w:val="auto"/>
                <w:sz w:val="22"/>
                <w:lang w:eastAsia="en-AU"/>
              </w:rPr>
              <w:tab/>
            </w:r>
            <w:r w:rsidR="009830B5" w:rsidRPr="00094047">
              <w:rPr>
                <w:rStyle w:val="Hyperlink"/>
              </w:rPr>
              <w:t>Reasons for draft decision</w:t>
            </w:r>
            <w:r w:rsidR="009830B5">
              <w:rPr>
                <w:webHidden/>
              </w:rPr>
              <w:tab/>
            </w:r>
            <w:r w:rsidR="009830B5">
              <w:rPr>
                <w:webHidden/>
              </w:rPr>
              <w:fldChar w:fldCharType="begin"/>
            </w:r>
            <w:r w:rsidR="009830B5">
              <w:rPr>
                <w:webHidden/>
              </w:rPr>
              <w:instrText xml:space="preserve"> PAGEREF _Toc486836582 \h </w:instrText>
            </w:r>
            <w:r w:rsidR="009830B5">
              <w:rPr>
                <w:webHidden/>
              </w:rPr>
            </w:r>
            <w:r w:rsidR="009830B5">
              <w:rPr>
                <w:webHidden/>
              </w:rPr>
              <w:fldChar w:fldCharType="separate"/>
            </w:r>
            <w:r>
              <w:rPr>
                <w:webHidden/>
              </w:rPr>
              <w:t>5-12</w:t>
            </w:r>
            <w:r w:rsidR="009830B5">
              <w:rPr>
                <w:webHidden/>
              </w:rPr>
              <w:fldChar w:fldCharType="end"/>
            </w:r>
          </w:hyperlink>
        </w:p>
        <w:p w:rsidR="009830B5" w:rsidRDefault="00210078">
          <w:pPr>
            <w:pStyle w:val="TOC3"/>
            <w:rPr>
              <w:rFonts w:asciiTheme="minorHAnsi" w:eastAsiaTheme="minorEastAsia" w:hAnsiTheme="minorHAnsi"/>
              <w:lang w:eastAsia="en-AU"/>
            </w:rPr>
          </w:pPr>
          <w:hyperlink w:anchor="_Toc486836583" w:history="1">
            <w:r w:rsidR="009830B5" w:rsidRPr="00094047">
              <w:rPr>
                <w:rStyle w:val="Hyperlink"/>
              </w:rPr>
              <w:t>5.4.1</w:t>
            </w:r>
            <w:r w:rsidR="009830B5">
              <w:rPr>
                <w:rFonts w:asciiTheme="minorHAnsi" w:eastAsiaTheme="minorEastAsia" w:hAnsiTheme="minorHAnsi"/>
                <w:lang w:eastAsia="en-AU"/>
              </w:rPr>
              <w:tab/>
            </w:r>
            <w:r w:rsidR="009830B5" w:rsidRPr="00094047">
              <w:rPr>
                <w:rStyle w:val="Hyperlink"/>
              </w:rPr>
              <w:t>Year-by-year tracking</w:t>
            </w:r>
            <w:r w:rsidR="009830B5">
              <w:rPr>
                <w:webHidden/>
              </w:rPr>
              <w:tab/>
            </w:r>
            <w:r w:rsidR="009830B5">
              <w:rPr>
                <w:webHidden/>
              </w:rPr>
              <w:fldChar w:fldCharType="begin"/>
            </w:r>
            <w:r w:rsidR="009830B5">
              <w:rPr>
                <w:webHidden/>
              </w:rPr>
              <w:instrText xml:space="preserve"> PAGEREF _Toc486836583 \h </w:instrText>
            </w:r>
            <w:r w:rsidR="009830B5">
              <w:rPr>
                <w:webHidden/>
              </w:rPr>
            </w:r>
            <w:r w:rsidR="009830B5">
              <w:rPr>
                <w:webHidden/>
              </w:rPr>
              <w:fldChar w:fldCharType="separate"/>
            </w:r>
            <w:r>
              <w:rPr>
                <w:webHidden/>
              </w:rPr>
              <w:t>5-12</w:t>
            </w:r>
            <w:r w:rsidR="009830B5">
              <w:rPr>
                <w:webHidden/>
              </w:rPr>
              <w:fldChar w:fldCharType="end"/>
            </w:r>
          </w:hyperlink>
        </w:p>
        <w:p w:rsidR="009830B5" w:rsidRDefault="00210078">
          <w:pPr>
            <w:pStyle w:val="TOC3"/>
            <w:rPr>
              <w:rFonts w:asciiTheme="minorHAnsi" w:eastAsiaTheme="minorEastAsia" w:hAnsiTheme="minorHAnsi"/>
              <w:lang w:eastAsia="en-AU"/>
            </w:rPr>
          </w:pPr>
          <w:hyperlink w:anchor="_Toc486836584" w:history="1">
            <w:r w:rsidR="009830B5" w:rsidRPr="00094047">
              <w:rPr>
                <w:rStyle w:val="Hyperlink"/>
              </w:rPr>
              <w:t>5.4.2</w:t>
            </w:r>
            <w:r w:rsidR="009830B5">
              <w:rPr>
                <w:rFonts w:asciiTheme="minorHAnsi" w:eastAsiaTheme="minorEastAsia" w:hAnsiTheme="minorHAnsi"/>
                <w:lang w:eastAsia="en-AU"/>
              </w:rPr>
              <w:tab/>
            </w:r>
            <w:r w:rsidR="009830B5" w:rsidRPr="00094047">
              <w:rPr>
                <w:rStyle w:val="Hyperlink"/>
              </w:rPr>
              <w:t>Accelerated depreciation</w:t>
            </w:r>
            <w:r w:rsidR="009830B5">
              <w:rPr>
                <w:webHidden/>
              </w:rPr>
              <w:tab/>
            </w:r>
            <w:r w:rsidR="009830B5">
              <w:rPr>
                <w:webHidden/>
              </w:rPr>
              <w:fldChar w:fldCharType="begin"/>
            </w:r>
            <w:r w:rsidR="009830B5">
              <w:rPr>
                <w:webHidden/>
              </w:rPr>
              <w:instrText xml:space="preserve"> PAGEREF _Toc486836584 \h </w:instrText>
            </w:r>
            <w:r w:rsidR="009830B5">
              <w:rPr>
                <w:webHidden/>
              </w:rPr>
            </w:r>
            <w:r w:rsidR="009830B5">
              <w:rPr>
                <w:webHidden/>
              </w:rPr>
              <w:fldChar w:fldCharType="separate"/>
            </w:r>
            <w:r>
              <w:rPr>
                <w:webHidden/>
              </w:rPr>
              <w:t>5-13</w:t>
            </w:r>
            <w:r w:rsidR="009830B5">
              <w:rPr>
                <w:webHidden/>
              </w:rPr>
              <w:fldChar w:fldCharType="end"/>
            </w:r>
          </w:hyperlink>
        </w:p>
        <w:p w:rsidR="009830B5" w:rsidRDefault="00210078">
          <w:pPr>
            <w:pStyle w:val="TOC3"/>
            <w:rPr>
              <w:rFonts w:asciiTheme="minorHAnsi" w:eastAsiaTheme="minorEastAsia" w:hAnsiTheme="minorHAnsi"/>
              <w:lang w:eastAsia="en-AU"/>
            </w:rPr>
          </w:pPr>
          <w:hyperlink w:anchor="_Toc486836585" w:history="1">
            <w:r w:rsidR="009830B5" w:rsidRPr="00094047">
              <w:rPr>
                <w:rStyle w:val="Hyperlink"/>
              </w:rPr>
              <w:t>5.4.3</w:t>
            </w:r>
            <w:r w:rsidR="009830B5">
              <w:rPr>
                <w:rFonts w:asciiTheme="minorHAnsi" w:eastAsiaTheme="minorEastAsia" w:hAnsiTheme="minorHAnsi"/>
                <w:lang w:eastAsia="en-AU"/>
              </w:rPr>
              <w:tab/>
            </w:r>
            <w:r w:rsidR="009830B5" w:rsidRPr="00094047">
              <w:rPr>
                <w:rStyle w:val="Hyperlink"/>
              </w:rPr>
              <w:t>Standard asset lives</w:t>
            </w:r>
            <w:r w:rsidR="009830B5">
              <w:rPr>
                <w:webHidden/>
              </w:rPr>
              <w:tab/>
            </w:r>
            <w:r w:rsidR="009830B5">
              <w:rPr>
                <w:webHidden/>
              </w:rPr>
              <w:fldChar w:fldCharType="begin"/>
            </w:r>
            <w:r w:rsidR="009830B5">
              <w:rPr>
                <w:webHidden/>
              </w:rPr>
              <w:instrText xml:space="preserve"> PAGEREF _Toc486836585 \h </w:instrText>
            </w:r>
            <w:r w:rsidR="009830B5">
              <w:rPr>
                <w:webHidden/>
              </w:rPr>
            </w:r>
            <w:r w:rsidR="009830B5">
              <w:rPr>
                <w:webHidden/>
              </w:rPr>
              <w:fldChar w:fldCharType="separate"/>
            </w:r>
            <w:r>
              <w:rPr>
                <w:webHidden/>
              </w:rPr>
              <w:t>5-14</w:t>
            </w:r>
            <w:r w:rsidR="009830B5">
              <w:rPr>
                <w:webHidden/>
              </w:rPr>
              <w:fldChar w:fldCharType="end"/>
            </w:r>
          </w:hyperlink>
        </w:p>
        <w:p w:rsidR="009830B5" w:rsidRDefault="00210078">
          <w:pPr>
            <w:pStyle w:val="TOC3"/>
            <w:rPr>
              <w:rFonts w:asciiTheme="minorHAnsi" w:eastAsiaTheme="minorEastAsia" w:hAnsiTheme="minorHAnsi"/>
              <w:lang w:eastAsia="en-AU"/>
            </w:rPr>
          </w:pPr>
          <w:hyperlink w:anchor="_Toc486836586" w:history="1">
            <w:r w:rsidR="009830B5" w:rsidRPr="00094047">
              <w:rPr>
                <w:rStyle w:val="Hyperlink"/>
              </w:rPr>
              <w:t>5.4.4</w:t>
            </w:r>
            <w:r w:rsidR="009830B5">
              <w:rPr>
                <w:rFonts w:asciiTheme="minorHAnsi" w:eastAsiaTheme="minorEastAsia" w:hAnsiTheme="minorHAnsi"/>
                <w:lang w:eastAsia="en-AU"/>
              </w:rPr>
              <w:tab/>
            </w:r>
            <w:r w:rsidR="009830B5" w:rsidRPr="00094047">
              <w:rPr>
                <w:rStyle w:val="Hyperlink"/>
              </w:rPr>
              <w:t>Application of the forecast depreciation approach</w:t>
            </w:r>
            <w:r w:rsidR="009830B5">
              <w:rPr>
                <w:webHidden/>
              </w:rPr>
              <w:tab/>
            </w:r>
            <w:r w:rsidR="009830B5">
              <w:rPr>
                <w:webHidden/>
              </w:rPr>
              <w:fldChar w:fldCharType="begin"/>
            </w:r>
            <w:r w:rsidR="009830B5">
              <w:rPr>
                <w:webHidden/>
              </w:rPr>
              <w:instrText xml:space="preserve"> PAGEREF _Toc486836586 \h </w:instrText>
            </w:r>
            <w:r w:rsidR="009830B5">
              <w:rPr>
                <w:webHidden/>
              </w:rPr>
            </w:r>
            <w:r w:rsidR="009830B5">
              <w:rPr>
                <w:webHidden/>
              </w:rPr>
              <w:fldChar w:fldCharType="separate"/>
            </w:r>
            <w:r>
              <w:rPr>
                <w:webHidden/>
              </w:rPr>
              <w:t>5-18</w:t>
            </w:r>
            <w:r w:rsidR="009830B5">
              <w:rPr>
                <w:webHidden/>
              </w:rPr>
              <w:fldChar w:fldCharType="end"/>
            </w:r>
          </w:hyperlink>
        </w:p>
        <w:p w:rsidR="009830B5" w:rsidRDefault="00210078">
          <w:pPr>
            <w:pStyle w:val="TOC2"/>
            <w:rPr>
              <w:rFonts w:asciiTheme="minorHAnsi" w:eastAsiaTheme="minorEastAsia" w:hAnsiTheme="minorHAnsi"/>
              <w:b w:val="0"/>
              <w:color w:val="auto"/>
              <w:sz w:val="22"/>
              <w:lang w:eastAsia="en-AU"/>
            </w:rPr>
          </w:pPr>
          <w:hyperlink w:anchor="_Toc486836587" w:history="1">
            <w:r w:rsidR="009830B5" w:rsidRPr="00094047">
              <w:rPr>
                <w:rStyle w:val="Hyperlink"/>
              </w:rPr>
              <w:t>5.5</w:t>
            </w:r>
            <w:r w:rsidR="009830B5">
              <w:rPr>
                <w:rFonts w:asciiTheme="minorHAnsi" w:eastAsiaTheme="minorEastAsia" w:hAnsiTheme="minorHAnsi"/>
                <w:b w:val="0"/>
                <w:color w:val="auto"/>
                <w:sz w:val="22"/>
                <w:lang w:eastAsia="en-AU"/>
              </w:rPr>
              <w:tab/>
            </w:r>
            <w:r w:rsidR="009830B5" w:rsidRPr="00094047">
              <w:rPr>
                <w:rStyle w:val="Hyperlink"/>
              </w:rPr>
              <w:t>Revisions</w:t>
            </w:r>
            <w:r w:rsidR="009830B5">
              <w:rPr>
                <w:webHidden/>
              </w:rPr>
              <w:tab/>
            </w:r>
            <w:r w:rsidR="009830B5">
              <w:rPr>
                <w:webHidden/>
              </w:rPr>
              <w:fldChar w:fldCharType="begin"/>
            </w:r>
            <w:r w:rsidR="009830B5">
              <w:rPr>
                <w:webHidden/>
              </w:rPr>
              <w:instrText xml:space="preserve"> PAGEREF _Toc486836587 \h </w:instrText>
            </w:r>
            <w:r w:rsidR="009830B5">
              <w:rPr>
                <w:webHidden/>
              </w:rPr>
            </w:r>
            <w:r w:rsidR="009830B5">
              <w:rPr>
                <w:webHidden/>
              </w:rPr>
              <w:fldChar w:fldCharType="separate"/>
            </w:r>
            <w:r>
              <w:rPr>
                <w:webHidden/>
              </w:rPr>
              <w:t>5-18</w:t>
            </w:r>
            <w:r w:rsidR="009830B5">
              <w:rPr>
                <w:webHidden/>
              </w:rPr>
              <w:fldChar w:fldCharType="end"/>
            </w:r>
          </w:hyperlink>
        </w:p>
        <w:p w:rsidR="00CE2A23" w:rsidRDefault="009217B9" w:rsidP="009217B9">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0" w:name="_Toc404700925"/>
      <w:bookmarkStart w:id="11" w:name="_Toc486836576"/>
      <w:r>
        <w:t>Shortened forms</w:t>
      </w:r>
      <w:bookmarkEnd w:id="10"/>
      <w:bookmarkEnd w:id="11"/>
    </w:p>
    <w:tbl>
      <w:tblPr>
        <w:tblStyle w:val="AERtable-text0"/>
        <w:tblW w:w="0" w:type="auto"/>
        <w:tblLook w:val="04A0" w:firstRow="1" w:lastRow="0" w:firstColumn="1" w:lastColumn="0" w:noHBand="0" w:noVBand="1"/>
      </w:tblPr>
      <w:tblGrid>
        <w:gridCol w:w="4340"/>
        <w:gridCol w:w="4353"/>
      </w:tblGrid>
      <w:tr w:rsidR="00D62DD7" w:rsidTr="00D62DD7">
        <w:trPr>
          <w:cnfStyle w:val="100000000000" w:firstRow="1" w:lastRow="0" w:firstColumn="0" w:lastColumn="0" w:oddVBand="0" w:evenVBand="0" w:oddHBand="0" w:evenHBand="0" w:firstRowFirstColumn="0" w:firstRowLastColumn="0" w:lastRowFirstColumn="0" w:lastRowLastColumn="0"/>
        </w:trPr>
        <w:tc>
          <w:tcPr>
            <w:tcW w:w="4340" w:type="dxa"/>
          </w:tcPr>
          <w:p w:rsidR="00D62DD7" w:rsidRPr="00D62DD7" w:rsidRDefault="00D62DD7" w:rsidP="00D62DD7">
            <w:pPr>
              <w:numPr>
                <w:ilvl w:val="0"/>
                <w:numId w:val="24"/>
              </w:numPr>
            </w:pPr>
            <w:r w:rsidRPr="00D62DD7">
              <w:t>Shortened form</w:t>
            </w:r>
          </w:p>
        </w:tc>
        <w:tc>
          <w:tcPr>
            <w:tcW w:w="4353" w:type="dxa"/>
          </w:tcPr>
          <w:p w:rsidR="00D62DD7" w:rsidRPr="00D62DD7" w:rsidRDefault="00D62DD7" w:rsidP="00D62DD7">
            <w:pPr>
              <w:numPr>
                <w:ilvl w:val="0"/>
                <w:numId w:val="24"/>
              </w:numPr>
            </w:pPr>
            <w:r w:rsidRPr="00D62DD7">
              <w:t>Extended form</w:t>
            </w:r>
          </w:p>
        </w:tc>
      </w:tr>
      <w:tr w:rsidR="00D62DD7" w:rsidTr="00D62DD7">
        <w:tc>
          <w:tcPr>
            <w:tcW w:w="4340" w:type="dxa"/>
          </w:tcPr>
          <w:p w:rsidR="00D62DD7" w:rsidRPr="00D62DD7" w:rsidRDefault="00D62DD7" w:rsidP="00D62DD7">
            <w:pPr>
              <w:numPr>
                <w:ilvl w:val="0"/>
                <w:numId w:val="24"/>
              </w:numPr>
            </w:pPr>
            <w:r w:rsidRPr="00D62DD7">
              <w:t>AER</w:t>
            </w:r>
          </w:p>
        </w:tc>
        <w:tc>
          <w:tcPr>
            <w:tcW w:w="4353" w:type="dxa"/>
          </w:tcPr>
          <w:p w:rsidR="00D62DD7" w:rsidRPr="00D62DD7" w:rsidRDefault="00D62DD7" w:rsidP="00D62DD7">
            <w:pPr>
              <w:numPr>
                <w:ilvl w:val="0"/>
                <w:numId w:val="24"/>
              </w:numPr>
            </w:pPr>
            <w:r w:rsidRPr="00D62DD7">
              <w:t>Australian Energy Regulator</w:t>
            </w:r>
          </w:p>
        </w:tc>
      </w:tr>
      <w:tr w:rsidR="00D62DD7" w:rsidTr="00D62DD7">
        <w:trPr>
          <w:cnfStyle w:val="000000010000" w:firstRow="0" w:lastRow="0" w:firstColumn="0" w:lastColumn="0" w:oddVBand="0" w:evenVBand="0" w:oddHBand="0" w:evenHBand="1" w:firstRowFirstColumn="0" w:firstRowLastColumn="0" w:lastRowFirstColumn="0" w:lastRowLastColumn="0"/>
        </w:trPr>
        <w:tc>
          <w:tcPr>
            <w:tcW w:w="4340" w:type="dxa"/>
          </w:tcPr>
          <w:p w:rsidR="00D62DD7" w:rsidRPr="00D62DD7" w:rsidRDefault="00D62DD7" w:rsidP="00D62DD7">
            <w:pPr>
              <w:numPr>
                <w:ilvl w:val="0"/>
                <w:numId w:val="24"/>
              </w:numPr>
            </w:pPr>
            <w:r w:rsidRPr="00D62DD7">
              <w:t>ATO</w:t>
            </w:r>
          </w:p>
        </w:tc>
        <w:tc>
          <w:tcPr>
            <w:tcW w:w="4353" w:type="dxa"/>
          </w:tcPr>
          <w:p w:rsidR="00D62DD7" w:rsidRPr="00D62DD7" w:rsidRDefault="00D62DD7" w:rsidP="00D62DD7">
            <w:r w:rsidRPr="00D62DD7">
              <w:t>Australian Tax Office</w:t>
            </w:r>
          </w:p>
        </w:tc>
      </w:tr>
      <w:tr w:rsidR="00D62DD7" w:rsidTr="00D62DD7">
        <w:tc>
          <w:tcPr>
            <w:tcW w:w="4340" w:type="dxa"/>
          </w:tcPr>
          <w:p w:rsidR="00D62DD7" w:rsidRPr="00D62DD7" w:rsidRDefault="00D62DD7" w:rsidP="00D62DD7">
            <w:pPr>
              <w:numPr>
                <w:ilvl w:val="0"/>
                <w:numId w:val="24"/>
              </w:numPr>
            </w:pPr>
            <w:r w:rsidRPr="00D62DD7">
              <w:t>capex</w:t>
            </w:r>
          </w:p>
        </w:tc>
        <w:tc>
          <w:tcPr>
            <w:tcW w:w="4353" w:type="dxa"/>
          </w:tcPr>
          <w:p w:rsidR="00D62DD7" w:rsidRPr="00D62DD7" w:rsidRDefault="00D62DD7" w:rsidP="00D62DD7">
            <w:pPr>
              <w:numPr>
                <w:ilvl w:val="0"/>
                <w:numId w:val="24"/>
              </w:numPr>
            </w:pPr>
            <w:r w:rsidRPr="00D62DD7">
              <w:t>capital expenditure</w:t>
            </w:r>
          </w:p>
        </w:tc>
      </w:tr>
      <w:tr w:rsidR="00D62DD7" w:rsidTr="00D62DD7">
        <w:trPr>
          <w:cnfStyle w:val="000000010000" w:firstRow="0" w:lastRow="0" w:firstColumn="0" w:lastColumn="0" w:oddVBand="0" w:evenVBand="0" w:oddHBand="0" w:evenHBand="1" w:firstRowFirstColumn="0" w:firstRowLastColumn="0" w:lastRowFirstColumn="0" w:lastRowLastColumn="0"/>
        </w:trPr>
        <w:tc>
          <w:tcPr>
            <w:tcW w:w="4340" w:type="dxa"/>
          </w:tcPr>
          <w:p w:rsidR="00D62DD7" w:rsidRPr="00D62DD7" w:rsidRDefault="00D62DD7" w:rsidP="00D62DD7">
            <w:pPr>
              <w:numPr>
                <w:ilvl w:val="0"/>
                <w:numId w:val="24"/>
              </w:numPr>
            </w:pPr>
            <w:r w:rsidRPr="00D62DD7">
              <w:t>CAPM</w:t>
            </w:r>
          </w:p>
        </w:tc>
        <w:tc>
          <w:tcPr>
            <w:tcW w:w="4353" w:type="dxa"/>
          </w:tcPr>
          <w:p w:rsidR="00D62DD7" w:rsidRPr="00D62DD7" w:rsidRDefault="00D62DD7" w:rsidP="00D62DD7">
            <w:pPr>
              <w:numPr>
                <w:ilvl w:val="0"/>
                <w:numId w:val="24"/>
              </w:numPr>
            </w:pPr>
            <w:r w:rsidRPr="00D62DD7">
              <w:t>capital asset pricing model</w:t>
            </w:r>
          </w:p>
        </w:tc>
      </w:tr>
      <w:tr w:rsidR="00D62DD7" w:rsidTr="00D62DD7">
        <w:tc>
          <w:tcPr>
            <w:tcW w:w="4340" w:type="dxa"/>
          </w:tcPr>
          <w:p w:rsidR="00D62DD7" w:rsidRPr="00D62DD7" w:rsidRDefault="00D62DD7" w:rsidP="00D62DD7">
            <w:pPr>
              <w:numPr>
                <w:ilvl w:val="0"/>
                <w:numId w:val="24"/>
              </w:numPr>
            </w:pPr>
            <w:r w:rsidRPr="00D62DD7">
              <w:t>CESS</w:t>
            </w:r>
          </w:p>
        </w:tc>
        <w:tc>
          <w:tcPr>
            <w:tcW w:w="4353" w:type="dxa"/>
          </w:tcPr>
          <w:p w:rsidR="00D62DD7" w:rsidRPr="00D62DD7" w:rsidRDefault="00D62DD7" w:rsidP="00D62DD7">
            <w:pPr>
              <w:numPr>
                <w:ilvl w:val="0"/>
                <w:numId w:val="24"/>
              </w:numPr>
            </w:pPr>
            <w:r w:rsidRPr="00D62DD7">
              <w:t>Capital Expenditure Sharing Scheme</w:t>
            </w:r>
          </w:p>
        </w:tc>
      </w:tr>
      <w:tr w:rsidR="00D62DD7" w:rsidTr="00D62DD7">
        <w:trPr>
          <w:cnfStyle w:val="000000010000" w:firstRow="0" w:lastRow="0" w:firstColumn="0" w:lastColumn="0" w:oddVBand="0" w:evenVBand="0" w:oddHBand="0" w:evenHBand="1" w:firstRowFirstColumn="0" w:firstRowLastColumn="0" w:lastRowFirstColumn="0" w:lastRowLastColumn="0"/>
        </w:trPr>
        <w:tc>
          <w:tcPr>
            <w:tcW w:w="4340" w:type="dxa"/>
          </w:tcPr>
          <w:p w:rsidR="00D62DD7" w:rsidRPr="00D62DD7" w:rsidRDefault="00D62DD7" w:rsidP="00D62DD7">
            <w:pPr>
              <w:numPr>
                <w:ilvl w:val="0"/>
                <w:numId w:val="24"/>
              </w:numPr>
            </w:pPr>
            <w:r w:rsidRPr="00D62DD7">
              <w:t>CPI</w:t>
            </w:r>
          </w:p>
        </w:tc>
        <w:tc>
          <w:tcPr>
            <w:tcW w:w="4353" w:type="dxa"/>
          </w:tcPr>
          <w:p w:rsidR="00D62DD7" w:rsidRPr="00D62DD7" w:rsidRDefault="00D62DD7" w:rsidP="00D62DD7">
            <w:pPr>
              <w:numPr>
                <w:ilvl w:val="0"/>
                <w:numId w:val="24"/>
              </w:numPr>
            </w:pPr>
            <w:r w:rsidRPr="00D62DD7">
              <w:t>consumer price index</w:t>
            </w:r>
          </w:p>
        </w:tc>
      </w:tr>
      <w:tr w:rsidR="00D62DD7" w:rsidTr="00D62DD7">
        <w:tc>
          <w:tcPr>
            <w:tcW w:w="4340" w:type="dxa"/>
          </w:tcPr>
          <w:p w:rsidR="00D62DD7" w:rsidRPr="00D62DD7" w:rsidRDefault="00D62DD7" w:rsidP="00D62DD7">
            <w:pPr>
              <w:numPr>
                <w:ilvl w:val="0"/>
                <w:numId w:val="24"/>
              </w:numPr>
            </w:pPr>
            <w:r w:rsidRPr="00D62DD7">
              <w:t>DRP</w:t>
            </w:r>
          </w:p>
        </w:tc>
        <w:tc>
          <w:tcPr>
            <w:tcW w:w="4353" w:type="dxa"/>
          </w:tcPr>
          <w:p w:rsidR="00D62DD7" w:rsidRPr="00D62DD7" w:rsidRDefault="00D62DD7" w:rsidP="00D62DD7">
            <w:pPr>
              <w:numPr>
                <w:ilvl w:val="0"/>
                <w:numId w:val="24"/>
              </w:numPr>
            </w:pPr>
            <w:r w:rsidRPr="00D62DD7">
              <w:t>debt risk premium</w:t>
            </w:r>
          </w:p>
        </w:tc>
      </w:tr>
      <w:tr w:rsidR="00D62DD7" w:rsidTr="00D62DD7">
        <w:trPr>
          <w:cnfStyle w:val="000000010000" w:firstRow="0" w:lastRow="0" w:firstColumn="0" w:lastColumn="0" w:oddVBand="0" w:evenVBand="0" w:oddHBand="0" w:evenHBand="1" w:firstRowFirstColumn="0" w:firstRowLastColumn="0" w:lastRowFirstColumn="0" w:lastRowLastColumn="0"/>
        </w:trPr>
        <w:tc>
          <w:tcPr>
            <w:tcW w:w="4340" w:type="dxa"/>
          </w:tcPr>
          <w:p w:rsidR="00D62DD7" w:rsidRPr="00D62DD7" w:rsidRDefault="00D62DD7" w:rsidP="00D62DD7">
            <w:pPr>
              <w:numPr>
                <w:ilvl w:val="0"/>
                <w:numId w:val="24"/>
              </w:numPr>
            </w:pPr>
            <w:r w:rsidRPr="00D62DD7">
              <w:t>ECM</w:t>
            </w:r>
          </w:p>
        </w:tc>
        <w:tc>
          <w:tcPr>
            <w:tcW w:w="4353" w:type="dxa"/>
          </w:tcPr>
          <w:p w:rsidR="00D62DD7" w:rsidRPr="00D62DD7" w:rsidRDefault="00D62DD7" w:rsidP="00D62DD7">
            <w:r w:rsidRPr="00D62DD7">
              <w:t>(Opex) Efficiency Carryover Mechanism</w:t>
            </w:r>
          </w:p>
        </w:tc>
      </w:tr>
      <w:tr w:rsidR="00D62DD7" w:rsidTr="00D62DD7">
        <w:tc>
          <w:tcPr>
            <w:tcW w:w="4340" w:type="dxa"/>
          </w:tcPr>
          <w:p w:rsidR="00D62DD7" w:rsidRPr="00D62DD7" w:rsidRDefault="00D62DD7" w:rsidP="00D62DD7">
            <w:pPr>
              <w:numPr>
                <w:ilvl w:val="0"/>
                <w:numId w:val="24"/>
              </w:numPr>
            </w:pPr>
            <w:r w:rsidRPr="00D62DD7">
              <w:t>ERP</w:t>
            </w:r>
          </w:p>
        </w:tc>
        <w:tc>
          <w:tcPr>
            <w:tcW w:w="4353" w:type="dxa"/>
          </w:tcPr>
          <w:p w:rsidR="00D62DD7" w:rsidRPr="00D62DD7" w:rsidRDefault="00D62DD7" w:rsidP="00D62DD7">
            <w:pPr>
              <w:numPr>
                <w:ilvl w:val="0"/>
                <w:numId w:val="24"/>
              </w:numPr>
            </w:pPr>
            <w:r w:rsidRPr="00D62DD7">
              <w:t>equity risk premium</w:t>
            </w:r>
          </w:p>
        </w:tc>
      </w:tr>
      <w:tr w:rsidR="00D62DD7" w:rsidTr="00D62DD7">
        <w:trPr>
          <w:cnfStyle w:val="000000010000" w:firstRow="0" w:lastRow="0" w:firstColumn="0" w:lastColumn="0" w:oddVBand="0" w:evenVBand="0" w:oddHBand="0" w:evenHBand="1" w:firstRowFirstColumn="0" w:firstRowLastColumn="0" w:lastRowFirstColumn="0" w:lastRowLastColumn="0"/>
        </w:trPr>
        <w:tc>
          <w:tcPr>
            <w:tcW w:w="4340" w:type="dxa"/>
          </w:tcPr>
          <w:p w:rsidR="00D62DD7" w:rsidRPr="00D62DD7" w:rsidRDefault="00D62DD7" w:rsidP="00D62DD7">
            <w:pPr>
              <w:numPr>
                <w:ilvl w:val="0"/>
                <w:numId w:val="24"/>
              </w:numPr>
            </w:pPr>
            <w:r w:rsidRPr="00D62DD7">
              <w:t>Expenditure Guideline</w:t>
            </w:r>
          </w:p>
        </w:tc>
        <w:tc>
          <w:tcPr>
            <w:tcW w:w="4353" w:type="dxa"/>
          </w:tcPr>
          <w:p w:rsidR="00D62DD7" w:rsidRPr="00D62DD7" w:rsidRDefault="00D62DD7" w:rsidP="00D62DD7">
            <w:r w:rsidRPr="00D62DD7">
              <w:t>Expenditure Forecast Assessment Guideline</w:t>
            </w:r>
          </w:p>
        </w:tc>
      </w:tr>
      <w:tr w:rsidR="00D62DD7" w:rsidTr="00D62DD7">
        <w:tc>
          <w:tcPr>
            <w:tcW w:w="4340" w:type="dxa"/>
          </w:tcPr>
          <w:p w:rsidR="00D62DD7" w:rsidRPr="00D62DD7" w:rsidRDefault="00D62DD7" w:rsidP="00D62DD7">
            <w:pPr>
              <w:numPr>
                <w:ilvl w:val="0"/>
                <w:numId w:val="24"/>
              </w:numPr>
            </w:pPr>
            <w:r w:rsidRPr="00D62DD7">
              <w:t>gamma</w:t>
            </w:r>
          </w:p>
        </w:tc>
        <w:tc>
          <w:tcPr>
            <w:tcW w:w="4353" w:type="dxa"/>
          </w:tcPr>
          <w:p w:rsidR="00D62DD7" w:rsidRPr="00D62DD7" w:rsidRDefault="00D62DD7" w:rsidP="00D62DD7">
            <w:r w:rsidRPr="00D62DD7">
              <w:t>Value of Imputation Credits</w:t>
            </w:r>
          </w:p>
        </w:tc>
      </w:tr>
      <w:tr w:rsidR="00D62DD7" w:rsidTr="00D62DD7">
        <w:trPr>
          <w:cnfStyle w:val="000000010000" w:firstRow="0" w:lastRow="0" w:firstColumn="0" w:lastColumn="0" w:oddVBand="0" w:evenVBand="0" w:oddHBand="0" w:evenHBand="1" w:firstRowFirstColumn="0" w:firstRowLastColumn="0" w:lastRowFirstColumn="0" w:lastRowLastColumn="0"/>
        </w:trPr>
        <w:tc>
          <w:tcPr>
            <w:tcW w:w="4340" w:type="dxa"/>
          </w:tcPr>
          <w:p w:rsidR="00D62DD7" w:rsidRPr="00D62DD7" w:rsidRDefault="00D62DD7" w:rsidP="00D62DD7">
            <w:pPr>
              <w:numPr>
                <w:ilvl w:val="0"/>
                <w:numId w:val="24"/>
              </w:numPr>
            </w:pPr>
            <w:r w:rsidRPr="00D62DD7">
              <w:t>MRP</w:t>
            </w:r>
          </w:p>
        </w:tc>
        <w:tc>
          <w:tcPr>
            <w:tcW w:w="4353" w:type="dxa"/>
          </w:tcPr>
          <w:p w:rsidR="00D62DD7" w:rsidRPr="00D62DD7" w:rsidRDefault="00D62DD7" w:rsidP="00D62DD7">
            <w:pPr>
              <w:numPr>
                <w:ilvl w:val="0"/>
                <w:numId w:val="24"/>
              </w:numPr>
            </w:pPr>
            <w:r w:rsidRPr="00D62DD7">
              <w:t>market risk premium</w:t>
            </w:r>
          </w:p>
        </w:tc>
      </w:tr>
      <w:tr w:rsidR="00D62DD7" w:rsidTr="00D62DD7">
        <w:tc>
          <w:tcPr>
            <w:tcW w:w="4340" w:type="dxa"/>
          </w:tcPr>
          <w:p w:rsidR="00D62DD7" w:rsidRPr="00D62DD7" w:rsidRDefault="00D62DD7" w:rsidP="00D62DD7">
            <w:pPr>
              <w:numPr>
                <w:ilvl w:val="0"/>
                <w:numId w:val="24"/>
              </w:numPr>
            </w:pPr>
            <w:r w:rsidRPr="00D62DD7">
              <w:t>NGL</w:t>
            </w:r>
          </w:p>
        </w:tc>
        <w:tc>
          <w:tcPr>
            <w:tcW w:w="4353" w:type="dxa"/>
          </w:tcPr>
          <w:p w:rsidR="00D62DD7" w:rsidRPr="00D62DD7" w:rsidRDefault="00D62DD7" w:rsidP="00D62DD7">
            <w:pPr>
              <w:numPr>
                <w:ilvl w:val="0"/>
                <w:numId w:val="24"/>
              </w:numPr>
            </w:pPr>
            <w:r w:rsidRPr="00D62DD7">
              <w:t>National Gas Law</w:t>
            </w:r>
          </w:p>
        </w:tc>
      </w:tr>
      <w:tr w:rsidR="00D62DD7" w:rsidTr="00D62DD7">
        <w:trPr>
          <w:cnfStyle w:val="000000010000" w:firstRow="0" w:lastRow="0" w:firstColumn="0" w:lastColumn="0" w:oddVBand="0" w:evenVBand="0" w:oddHBand="0" w:evenHBand="1" w:firstRowFirstColumn="0" w:firstRowLastColumn="0" w:lastRowFirstColumn="0" w:lastRowLastColumn="0"/>
        </w:trPr>
        <w:tc>
          <w:tcPr>
            <w:tcW w:w="4340" w:type="dxa"/>
          </w:tcPr>
          <w:p w:rsidR="00D62DD7" w:rsidRPr="00D62DD7" w:rsidRDefault="00D62DD7" w:rsidP="00D62DD7">
            <w:pPr>
              <w:numPr>
                <w:ilvl w:val="0"/>
                <w:numId w:val="24"/>
              </w:numPr>
            </w:pPr>
            <w:r w:rsidRPr="00D62DD7">
              <w:t>NGO</w:t>
            </w:r>
          </w:p>
        </w:tc>
        <w:tc>
          <w:tcPr>
            <w:tcW w:w="4353" w:type="dxa"/>
          </w:tcPr>
          <w:p w:rsidR="00D62DD7" w:rsidRPr="00D62DD7" w:rsidRDefault="00D62DD7" w:rsidP="00D62DD7">
            <w:pPr>
              <w:numPr>
                <w:ilvl w:val="0"/>
                <w:numId w:val="24"/>
              </w:numPr>
            </w:pPr>
            <w:r w:rsidRPr="00D62DD7">
              <w:t>national gas objective</w:t>
            </w:r>
          </w:p>
        </w:tc>
      </w:tr>
      <w:tr w:rsidR="00D62DD7" w:rsidTr="00D62DD7">
        <w:tc>
          <w:tcPr>
            <w:tcW w:w="4340" w:type="dxa"/>
          </w:tcPr>
          <w:p w:rsidR="00D62DD7" w:rsidRPr="00D62DD7" w:rsidRDefault="00D62DD7" w:rsidP="00D62DD7">
            <w:pPr>
              <w:numPr>
                <w:ilvl w:val="0"/>
                <w:numId w:val="24"/>
              </w:numPr>
            </w:pPr>
            <w:r w:rsidRPr="00D62DD7">
              <w:t>NGR</w:t>
            </w:r>
          </w:p>
        </w:tc>
        <w:tc>
          <w:tcPr>
            <w:tcW w:w="4353" w:type="dxa"/>
          </w:tcPr>
          <w:p w:rsidR="00D62DD7" w:rsidRPr="00D62DD7" w:rsidRDefault="00D62DD7" w:rsidP="00D62DD7">
            <w:pPr>
              <w:numPr>
                <w:ilvl w:val="0"/>
                <w:numId w:val="24"/>
              </w:numPr>
            </w:pPr>
            <w:r w:rsidRPr="00D62DD7">
              <w:t>National Gas Rules</w:t>
            </w:r>
          </w:p>
        </w:tc>
      </w:tr>
      <w:tr w:rsidR="00D62DD7" w:rsidTr="00D62DD7">
        <w:trPr>
          <w:cnfStyle w:val="000000010000" w:firstRow="0" w:lastRow="0" w:firstColumn="0" w:lastColumn="0" w:oddVBand="0" w:evenVBand="0" w:oddHBand="0" w:evenHBand="1" w:firstRowFirstColumn="0" w:firstRowLastColumn="0" w:lastRowFirstColumn="0" w:lastRowLastColumn="0"/>
        </w:trPr>
        <w:tc>
          <w:tcPr>
            <w:tcW w:w="4340" w:type="dxa"/>
          </w:tcPr>
          <w:p w:rsidR="00D62DD7" w:rsidRPr="00D62DD7" w:rsidRDefault="00D62DD7" w:rsidP="00D62DD7">
            <w:pPr>
              <w:numPr>
                <w:ilvl w:val="0"/>
                <w:numId w:val="24"/>
              </w:numPr>
            </w:pPr>
            <w:r w:rsidRPr="00D62DD7">
              <w:t>NPV</w:t>
            </w:r>
          </w:p>
        </w:tc>
        <w:tc>
          <w:tcPr>
            <w:tcW w:w="4353" w:type="dxa"/>
          </w:tcPr>
          <w:p w:rsidR="00D62DD7" w:rsidRPr="00D62DD7" w:rsidRDefault="00D62DD7" w:rsidP="00D62DD7">
            <w:r w:rsidRPr="00D62DD7">
              <w:t>net present value</w:t>
            </w:r>
          </w:p>
        </w:tc>
      </w:tr>
      <w:tr w:rsidR="00D62DD7" w:rsidTr="00D62DD7">
        <w:tc>
          <w:tcPr>
            <w:tcW w:w="4340" w:type="dxa"/>
          </w:tcPr>
          <w:p w:rsidR="00D62DD7" w:rsidRPr="00D62DD7" w:rsidRDefault="00D62DD7" w:rsidP="00D62DD7">
            <w:pPr>
              <w:numPr>
                <w:ilvl w:val="0"/>
                <w:numId w:val="24"/>
              </w:numPr>
            </w:pPr>
            <w:r w:rsidRPr="00D62DD7">
              <w:t>opex</w:t>
            </w:r>
          </w:p>
        </w:tc>
        <w:tc>
          <w:tcPr>
            <w:tcW w:w="4353" w:type="dxa"/>
          </w:tcPr>
          <w:p w:rsidR="00D62DD7" w:rsidRPr="00D62DD7" w:rsidRDefault="00D62DD7" w:rsidP="00D62DD7">
            <w:pPr>
              <w:numPr>
                <w:ilvl w:val="0"/>
                <w:numId w:val="24"/>
              </w:numPr>
            </w:pPr>
            <w:r w:rsidRPr="00D62DD7">
              <w:t>operating expenditure</w:t>
            </w:r>
          </w:p>
        </w:tc>
      </w:tr>
      <w:tr w:rsidR="00D62DD7" w:rsidTr="00D62DD7">
        <w:trPr>
          <w:cnfStyle w:val="000000010000" w:firstRow="0" w:lastRow="0" w:firstColumn="0" w:lastColumn="0" w:oddVBand="0" w:evenVBand="0" w:oddHBand="0" w:evenHBand="1" w:firstRowFirstColumn="0" w:firstRowLastColumn="0" w:lastRowFirstColumn="0" w:lastRowLastColumn="0"/>
        </w:trPr>
        <w:tc>
          <w:tcPr>
            <w:tcW w:w="4340" w:type="dxa"/>
          </w:tcPr>
          <w:p w:rsidR="00D62DD7" w:rsidRPr="00D62DD7" w:rsidRDefault="00D62DD7" w:rsidP="00D62DD7">
            <w:pPr>
              <w:numPr>
                <w:ilvl w:val="0"/>
                <w:numId w:val="24"/>
              </w:numPr>
            </w:pPr>
            <w:r w:rsidRPr="00D62DD7">
              <w:t>PTRM</w:t>
            </w:r>
          </w:p>
        </w:tc>
        <w:tc>
          <w:tcPr>
            <w:tcW w:w="4353" w:type="dxa"/>
          </w:tcPr>
          <w:p w:rsidR="00D62DD7" w:rsidRPr="00D62DD7" w:rsidRDefault="00D62DD7" w:rsidP="00D62DD7">
            <w:pPr>
              <w:numPr>
                <w:ilvl w:val="0"/>
                <w:numId w:val="24"/>
              </w:numPr>
            </w:pPr>
            <w:r w:rsidRPr="00D62DD7">
              <w:t>post-tax revenue model</w:t>
            </w:r>
          </w:p>
        </w:tc>
      </w:tr>
      <w:tr w:rsidR="00D62DD7" w:rsidTr="00D62DD7">
        <w:tc>
          <w:tcPr>
            <w:tcW w:w="4340" w:type="dxa"/>
          </w:tcPr>
          <w:p w:rsidR="00D62DD7" w:rsidRPr="00D62DD7" w:rsidRDefault="00D62DD7" w:rsidP="00D62DD7">
            <w:pPr>
              <w:numPr>
                <w:ilvl w:val="0"/>
                <w:numId w:val="24"/>
              </w:numPr>
            </w:pPr>
            <w:r w:rsidRPr="00D62DD7">
              <w:t>RBA</w:t>
            </w:r>
          </w:p>
        </w:tc>
        <w:tc>
          <w:tcPr>
            <w:tcW w:w="4353" w:type="dxa"/>
          </w:tcPr>
          <w:p w:rsidR="00D62DD7" w:rsidRPr="00D62DD7" w:rsidRDefault="00D62DD7" w:rsidP="00D62DD7">
            <w:pPr>
              <w:numPr>
                <w:ilvl w:val="0"/>
                <w:numId w:val="24"/>
              </w:numPr>
            </w:pPr>
            <w:r w:rsidRPr="00D62DD7">
              <w:t>Reserve Bank of Australia</w:t>
            </w:r>
          </w:p>
        </w:tc>
      </w:tr>
      <w:tr w:rsidR="00D62DD7" w:rsidTr="00D62DD7">
        <w:trPr>
          <w:cnfStyle w:val="000000010000" w:firstRow="0" w:lastRow="0" w:firstColumn="0" w:lastColumn="0" w:oddVBand="0" w:evenVBand="0" w:oddHBand="0" w:evenHBand="1" w:firstRowFirstColumn="0" w:firstRowLastColumn="0" w:lastRowFirstColumn="0" w:lastRowLastColumn="0"/>
        </w:trPr>
        <w:tc>
          <w:tcPr>
            <w:tcW w:w="4340" w:type="dxa"/>
          </w:tcPr>
          <w:p w:rsidR="00D62DD7" w:rsidRPr="00D62DD7" w:rsidRDefault="00D62DD7" w:rsidP="00D62DD7">
            <w:pPr>
              <w:numPr>
                <w:ilvl w:val="0"/>
                <w:numId w:val="24"/>
              </w:numPr>
            </w:pPr>
            <w:r w:rsidRPr="00D62DD7">
              <w:t>RFM</w:t>
            </w:r>
          </w:p>
        </w:tc>
        <w:tc>
          <w:tcPr>
            <w:tcW w:w="4353" w:type="dxa"/>
          </w:tcPr>
          <w:p w:rsidR="00D62DD7" w:rsidRPr="00D62DD7" w:rsidRDefault="00D62DD7" w:rsidP="00D62DD7">
            <w:pPr>
              <w:numPr>
                <w:ilvl w:val="0"/>
                <w:numId w:val="24"/>
              </w:numPr>
            </w:pPr>
            <w:r w:rsidRPr="00D62DD7">
              <w:t>roll forward model</w:t>
            </w:r>
          </w:p>
        </w:tc>
      </w:tr>
      <w:tr w:rsidR="00D62DD7" w:rsidTr="00D62DD7">
        <w:tc>
          <w:tcPr>
            <w:tcW w:w="4340" w:type="dxa"/>
          </w:tcPr>
          <w:p w:rsidR="00D62DD7" w:rsidRPr="00D62DD7" w:rsidRDefault="00D62DD7" w:rsidP="00D62DD7">
            <w:pPr>
              <w:numPr>
                <w:ilvl w:val="0"/>
                <w:numId w:val="24"/>
              </w:numPr>
            </w:pPr>
            <w:r w:rsidRPr="00D62DD7">
              <w:t>RIN</w:t>
            </w:r>
          </w:p>
        </w:tc>
        <w:tc>
          <w:tcPr>
            <w:tcW w:w="4353" w:type="dxa"/>
          </w:tcPr>
          <w:p w:rsidR="00D62DD7" w:rsidRPr="00D62DD7" w:rsidRDefault="00D62DD7" w:rsidP="00D62DD7">
            <w:pPr>
              <w:numPr>
                <w:ilvl w:val="0"/>
                <w:numId w:val="24"/>
              </w:numPr>
            </w:pPr>
            <w:r w:rsidRPr="00D62DD7">
              <w:t>regulatory information notice</w:t>
            </w:r>
          </w:p>
        </w:tc>
      </w:tr>
      <w:tr w:rsidR="00D62DD7" w:rsidTr="00D62DD7">
        <w:trPr>
          <w:cnfStyle w:val="000000010000" w:firstRow="0" w:lastRow="0" w:firstColumn="0" w:lastColumn="0" w:oddVBand="0" w:evenVBand="0" w:oddHBand="0" w:evenHBand="1" w:firstRowFirstColumn="0" w:firstRowLastColumn="0" w:lastRowFirstColumn="0" w:lastRowLastColumn="0"/>
        </w:trPr>
        <w:tc>
          <w:tcPr>
            <w:tcW w:w="4340" w:type="dxa"/>
          </w:tcPr>
          <w:p w:rsidR="00D62DD7" w:rsidRPr="00D62DD7" w:rsidRDefault="00D62DD7" w:rsidP="00D62DD7">
            <w:pPr>
              <w:numPr>
                <w:ilvl w:val="0"/>
                <w:numId w:val="24"/>
              </w:numPr>
            </w:pPr>
            <w:r w:rsidRPr="00D62DD7">
              <w:t>RPP</w:t>
            </w:r>
          </w:p>
        </w:tc>
        <w:tc>
          <w:tcPr>
            <w:tcW w:w="4353" w:type="dxa"/>
          </w:tcPr>
          <w:p w:rsidR="00D62DD7" w:rsidRPr="00D62DD7" w:rsidRDefault="00D62DD7" w:rsidP="00D62DD7">
            <w:pPr>
              <w:numPr>
                <w:ilvl w:val="0"/>
                <w:numId w:val="24"/>
              </w:numPr>
            </w:pPr>
            <w:r w:rsidRPr="00D62DD7">
              <w:t>revenue and pricing principles</w:t>
            </w:r>
          </w:p>
        </w:tc>
      </w:tr>
      <w:tr w:rsidR="00D62DD7" w:rsidTr="00D62DD7">
        <w:tc>
          <w:tcPr>
            <w:tcW w:w="4340" w:type="dxa"/>
          </w:tcPr>
          <w:p w:rsidR="00D62DD7" w:rsidRPr="00D62DD7" w:rsidRDefault="00D62DD7" w:rsidP="00D62DD7">
            <w:pPr>
              <w:numPr>
                <w:ilvl w:val="0"/>
                <w:numId w:val="24"/>
              </w:numPr>
            </w:pPr>
            <w:r w:rsidRPr="00D62DD7">
              <w:t>SLCAPM</w:t>
            </w:r>
          </w:p>
        </w:tc>
        <w:tc>
          <w:tcPr>
            <w:tcW w:w="4353" w:type="dxa"/>
          </w:tcPr>
          <w:p w:rsidR="00D62DD7" w:rsidRPr="00D62DD7" w:rsidRDefault="00D62DD7" w:rsidP="00D62DD7">
            <w:pPr>
              <w:numPr>
                <w:ilvl w:val="0"/>
                <w:numId w:val="24"/>
              </w:numPr>
            </w:pPr>
            <w:r w:rsidRPr="00D62DD7">
              <w:t>Sharpe-Lintner capital asset pricing model</w:t>
            </w:r>
          </w:p>
        </w:tc>
      </w:tr>
      <w:tr w:rsidR="00D62DD7" w:rsidTr="00D62DD7">
        <w:trPr>
          <w:cnfStyle w:val="000000010000" w:firstRow="0" w:lastRow="0" w:firstColumn="0" w:lastColumn="0" w:oddVBand="0" w:evenVBand="0" w:oddHBand="0" w:evenHBand="1" w:firstRowFirstColumn="0" w:firstRowLastColumn="0" w:lastRowFirstColumn="0" w:lastRowLastColumn="0"/>
        </w:trPr>
        <w:tc>
          <w:tcPr>
            <w:tcW w:w="4340" w:type="dxa"/>
          </w:tcPr>
          <w:p w:rsidR="00D62DD7" w:rsidRPr="00D62DD7" w:rsidRDefault="00D62DD7" w:rsidP="00D62DD7">
            <w:pPr>
              <w:numPr>
                <w:ilvl w:val="0"/>
                <w:numId w:val="24"/>
              </w:numPr>
            </w:pPr>
            <w:r w:rsidRPr="00D62DD7">
              <w:t>STTM</w:t>
            </w:r>
          </w:p>
        </w:tc>
        <w:tc>
          <w:tcPr>
            <w:tcW w:w="4353" w:type="dxa"/>
          </w:tcPr>
          <w:p w:rsidR="00D62DD7" w:rsidRPr="00D62DD7" w:rsidRDefault="00D62DD7" w:rsidP="00D62DD7">
            <w:r w:rsidRPr="00D62DD7">
              <w:t>Short Term Trading Market</w:t>
            </w:r>
          </w:p>
        </w:tc>
      </w:tr>
      <w:tr w:rsidR="00D62DD7" w:rsidTr="00D62DD7">
        <w:tc>
          <w:tcPr>
            <w:tcW w:w="4340" w:type="dxa"/>
          </w:tcPr>
          <w:p w:rsidR="00D62DD7" w:rsidRPr="00D62DD7" w:rsidRDefault="00D62DD7" w:rsidP="00D62DD7">
            <w:pPr>
              <w:numPr>
                <w:ilvl w:val="0"/>
                <w:numId w:val="24"/>
              </w:numPr>
            </w:pPr>
            <w:r w:rsidRPr="00D62DD7">
              <w:t>TAB</w:t>
            </w:r>
          </w:p>
        </w:tc>
        <w:tc>
          <w:tcPr>
            <w:tcW w:w="4353" w:type="dxa"/>
          </w:tcPr>
          <w:p w:rsidR="00D62DD7" w:rsidRPr="00D62DD7" w:rsidRDefault="00D62DD7" w:rsidP="00D62DD7">
            <w:r w:rsidRPr="00D62DD7">
              <w:t>Tax asset base</w:t>
            </w:r>
          </w:p>
        </w:tc>
      </w:tr>
      <w:tr w:rsidR="00D62DD7" w:rsidTr="00D62DD7">
        <w:trPr>
          <w:cnfStyle w:val="000000010000" w:firstRow="0" w:lastRow="0" w:firstColumn="0" w:lastColumn="0" w:oddVBand="0" w:evenVBand="0" w:oddHBand="0" w:evenHBand="1" w:firstRowFirstColumn="0" w:firstRowLastColumn="0" w:lastRowFirstColumn="0" w:lastRowLastColumn="0"/>
        </w:trPr>
        <w:tc>
          <w:tcPr>
            <w:tcW w:w="4340" w:type="dxa"/>
          </w:tcPr>
          <w:p w:rsidR="00D62DD7" w:rsidRPr="00D62DD7" w:rsidRDefault="00D62DD7" w:rsidP="00D62DD7">
            <w:pPr>
              <w:numPr>
                <w:ilvl w:val="0"/>
                <w:numId w:val="24"/>
              </w:numPr>
            </w:pPr>
            <w:r w:rsidRPr="00D62DD7">
              <w:t>UAFG</w:t>
            </w:r>
          </w:p>
        </w:tc>
        <w:tc>
          <w:tcPr>
            <w:tcW w:w="4353" w:type="dxa"/>
          </w:tcPr>
          <w:p w:rsidR="00D62DD7" w:rsidRPr="00D62DD7" w:rsidRDefault="00D62DD7" w:rsidP="00D62DD7">
            <w:r w:rsidRPr="00D62DD7">
              <w:t>Unaccounted for gas</w:t>
            </w:r>
          </w:p>
        </w:tc>
      </w:tr>
      <w:tr w:rsidR="00D62DD7" w:rsidTr="00D62DD7">
        <w:tc>
          <w:tcPr>
            <w:tcW w:w="4340" w:type="dxa"/>
          </w:tcPr>
          <w:p w:rsidR="00D62DD7" w:rsidRPr="00D62DD7" w:rsidRDefault="00D62DD7" w:rsidP="00D62DD7">
            <w:pPr>
              <w:numPr>
                <w:ilvl w:val="0"/>
                <w:numId w:val="24"/>
              </w:numPr>
            </w:pPr>
            <w:r w:rsidRPr="00D62DD7">
              <w:t>WACC</w:t>
            </w:r>
          </w:p>
        </w:tc>
        <w:tc>
          <w:tcPr>
            <w:tcW w:w="4353" w:type="dxa"/>
          </w:tcPr>
          <w:p w:rsidR="00D62DD7" w:rsidRPr="00D62DD7" w:rsidRDefault="00D62DD7" w:rsidP="00D62DD7">
            <w:pPr>
              <w:numPr>
                <w:ilvl w:val="0"/>
                <w:numId w:val="24"/>
              </w:numPr>
            </w:pPr>
            <w:r w:rsidRPr="00D62DD7">
              <w:t>weighted average cost of capital</w:t>
            </w:r>
          </w:p>
        </w:tc>
      </w:tr>
      <w:tr w:rsidR="00D62DD7" w:rsidTr="00D62DD7">
        <w:trPr>
          <w:cnfStyle w:val="000000010000" w:firstRow="0" w:lastRow="0" w:firstColumn="0" w:lastColumn="0" w:oddVBand="0" w:evenVBand="0" w:oddHBand="0" w:evenHBand="1" w:firstRowFirstColumn="0" w:firstRowLastColumn="0" w:lastRowFirstColumn="0" w:lastRowLastColumn="0"/>
        </w:trPr>
        <w:tc>
          <w:tcPr>
            <w:tcW w:w="4340" w:type="dxa"/>
          </w:tcPr>
          <w:p w:rsidR="00D62DD7" w:rsidRPr="00D62DD7" w:rsidRDefault="00D62DD7" w:rsidP="00D62DD7">
            <w:pPr>
              <w:numPr>
                <w:ilvl w:val="0"/>
                <w:numId w:val="24"/>
              </w:numPr>
            </w:pPr>
            <w:r w:rsidRPr="00D62DD7">
              <w:t>WPI</w:t>
            </w:r>
          </w:p>
        </w:tc>
        <w:tc>
          <w:tcPr>
            <w:tcW w:w="4353" w:type="dxa"/>
          </w:tcPr>
          <w:p w:rsidR="00D62DD7" w:rsidRPr="00D62DD7" w:rsidRDefault="00D62DD7" w:rsidP="00D62DD7">
            <w:r w:rsidRPr="00D62DD7">
              <w:t>Wage Price Index</w:t>
            </w:r>
          </w:p>
        </w:tc>
      </w:tr>
    </w:tbl>
    <w:p w:rsidR="00DE563D" w:rsidRDefault="007F665B" w:rsidP="007F665B">
      <w:pPr>
        <w:pStyle w:val="Heading1"/>
      </w:pPr>
      <w:bookmarkStart w:id="12" w:name="_Toc485214884"/>
      <w:bookmarkStart w:id="13" w:name="_Toc485214887"/>
      <w:bookmarkStart w:id="14" w:name="_Toc485214890"/>
      <w:bookmarkStart w:id="15" w:name="_Toc485214893"/>
      <w:bookmarkStart w:id="16" w:name="_Toc485214896"/>
      <w:bookmarkStart w:id="17" w:name="_Toc485214899"/>
      <w:bookmarkStart w:id="18" w:name="_Toc485214902"/>
      <w:bookmarkStart w:id="19" w:name="_Toc485214905"/>
      <w:bookmarkStart w:id="20" w:name="_Toc485214908"/>
      <w:bookmarkStart w:id="21" w:name="_Toc485214911"/>
      <w:bookmarkStart w:id="22" w:name="_Toc485214914"/>
      <w:bookmarkStart w:id="23" w:name="_Toc485214917"/>
      <w:bookmarkStart w:id="24" w:name="_Toc485214920"/>
      <w:bookmarkStart w:id="25" w:name="_Toc485214923"/>
      <w:bookmarkStart w:id="26" w:name="_Toc485214926"/>
      <w:bookmarkStart w:id="27" w:name="_Toc485214929"/>
      <w:bookmarkStart w:id="28" w:name="_Toc485214932"/>
      <w:bookmarkStart w:id="29" w:name="_Toc485214935"/>
      <w:bookmarkStart w:id="30" w:name="_Toc485214938"/>
      <w:bookmarkStart w:id="31" w:name="_Toc485214941"/>
      <w:bookmarkStart w:id="32" w:name="_Toc485214944"/>
      <w:bookmarkStart w:id="33" w:name="_Toc485214947"/>
      <w:bookmarkStart w:id="34" w:name="_Toc485214950"/>
      <w:bookmarkStart w:id="35" w:name="_Toc485214953"/>
      <w:bookmarkStart w:id="36" w:name="_Toc485214956"/>
      <w:bookmarkStart w:id="37" w:name="_Toc485214959"/>
      <w:bookmarkStart w:id="38" w:name="_Toc485214962"/>
      <w:bookmarkStart w:id="39" w:name="_Toc485214965"/>
      <w:bookmarkStart w:id="40" w:name="_Toc416278154"/>
      <w:bookmarkStart w:id="41" w:name="_Toc416346517"/>
      <w:bookmarkStart w:id="42" w:name="_Toc416278157"/>
      <w:bookmarkStart w:id="43" w:name="_Toc416346520"/>
      <w:bookmarkStart w:id="44" w:name="_Toc416278160"/>
      <w:bookmarkStart w:id="45" w:name="_Toc416346523"/>
      <w:bookmarkStart w:id="46" w:name="_Toc416278163"/>
      <w:bookmarkStart w:id="47" w:name="_Toc416346526"/>
      <w:bookmarkStart w:id="48" w:name="_Toc416278166"/>
      <w:bookmarkStart w:id="49" w:name="_Toc416346529"/>
      <w:bookmarkStart w:id="50" w:name="_Toc416278169"/>
      <w:bookmarkStart w:id="51" w:name="_Toc416346532"/>
      <w:bookmarkStart w:id="52" w:name="_Toc416278172"/>
      <w:bookmarkStart w:id="53" w:name="_Toc416346535"/>
      <w:bookmarkStart w:id="54" w:name="_Toc416278175"/>
      <w:bookmarkStart w:id="55" w:name="_Toc416346538"/>
      <w:bookmarkStart w:id="56" w:name="_Toc416278178"/>
      <w:bookmarkStart w:id="57" w:name="_Toc416346541"/>
      <w:bookmarkStart w:id="58" w:name="_Toc416278181"/>
      <w:bookmarkStart w:id="59" w:name="_Toc416346544"/>
      <w:bookmarkStart w:id="60" w:name="_Toc416278184"/>
      <w:bookmarkStart w:id="61" w:name="_Toc416346547"/>
      <w:bookmarkStart w:id="62" w:name="_Toc416278187"/>
      <w:bookmarkStart w:id="63" w:name="_Toc416346550"/>
      <w:bookmarkStart w:id="64" w:name="_Toc416278190"/>
      <w:bookmarkStart w:id="65" w:name="_Toc416346553"/>
      <w:bookmarkStart w:id="66" w:name="_Toc416278193"/>
      <w:bookmarkStart w:id="67" w:name="_Toc416346556"/>
      <w:bookmarkStart w:id="68" w:name="_Toc416278196"/>
      <w:bookmarkStart w:id="69" w:name="_Toc416346559"/>
      <w:bookmarkStart w:id="70" w:name="_Toc416278199"/>
      <w:bookmarkStart w:id="71" w:name="_Toc416346562"/>
      <w:bookmarkStart w:id="72" w:name="_Toc416278202"/>
      <w:bookmarkStart w:id="73" w:name="_Toc416346565"/>
      <w:bookmarkStart w:id="74" w:name="_Toc416278205"/>
      <w:bookmarkStart w:id="75" w:name="_Toc416346568"/>
      <w:bookmarkStart w:id="76" w:name="_Toc416278208"/>
      <w:bookmarkStart w:id="77" w:name="_Toc416346571"/>
      <w:bookmarkStart w:id="78" w:name="_Toc416278211"/>
      <w:bookmarkStart w:id="79" w:name="_Toc416346574"/>
      <w:bookmarkStart w:id="80" w:name="_Toc416278214"/>
      <w:bookmarkStart w:id="81" w:name="_Toc416346577"/>
      <w:bookmarkStart w:id="82" w:name="_Toc416278217"/>
      <w:bookmarkStart w:id="83" w:name="_Toc416346580"/>
      <w:bookmarkStart w:id="84" w:name="_Toc416278220"/>
      <w:bookmarkStart w:id="85" w:name="_Toc416346583"/>
      <w:bookmarkStart w:id="86" w:name="_Toc416278223"/>
      <w:bookmarkStart w:id="87" w:name="_Toc416346586"/>
      <w:bookmarkStart w:id="88" w:name="_Toc416278226"/>
      <w:bookmarkStart w:id="89" w:name="_Toc416346589"/>
      <w:bookmarkStart w:id="90" w:name="_Toc416278229"/>
      <w:bookmarkStart w:id="91" w:name="_Toc416346592"/>
      <w:bookmarkStart w:id="92" w:name="_Toc416278232"/>
      <w:bookmarkStart w:id="93" w:name="_Toc416346595"/>
      <w:bookmarkStart w:id="94" w:name="_Toc416278235"/>
      <w:bookmarkStart w:id="95" w:name="_Toc416346598"/>
      <w:bookmarkStart w:id="96" w:name="_Toc416278238"/>
      <w:bookmarkStart w:id="97" w:name="_Toc416346601"/>
      <w:bookmarkStart w:id="98" w:name="_Toc486836577"/>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Regulatory depreciation</w:t>
      </w:r>
      <w:bookmarkEnd w:id="98"/>
    </w:p>
    <w:p w:rsidR="006273B7" w:rsidRPr="00A575B0" w:rsidRDefault="006273B7" w:rsidP="006273B7">
      <w:r w:rsidRPr="00CA36EA">
        <w:t xml:space="preserve">When determining the total revenue for </w:t>
      </w:r>
      <w:r w:rsidR="00606E5C">
        <w:t>Multinet</w:t>
      </w:r>
      <w:r w:rsidRPr="00CA36EA">
        <w:t xml:space="preserve">, </w:t>
      </w:r>
      <w:r>
        <w:t>we</w:t>
      </w:r>
      <w:r w:rsidRPr="00CA36EA">
        <w:t xml:space="preserve"> </w:t>
      </w:r>
      <w:r>
        <w:t>include an allowance for</w:t>
      </w:r>
      <w:r w:rsidRPr="00CA36EA">
        <w:t xml:space="preserve"> the depreciation </w:t>
      </w:r>
      <w:r>
        <w:t>of</w:t>
      </w:r>
      <w:r w:rsidRPr="00CA36EA">
        <w:t xml:space="preserve"> the projected capital base (</w:t>
      </w:r>
      <w:r>
        <w:t>otherwise referred to as</w:t>
      </w:r>
      <w:r w:rsidRPr="00CA36EA">
        <w:t xml:space="preserve"> </w:t>
      </w:r>
      <w:r>
        <w:t>‘</w:t>
      </w:r>
      <w:r w:rsidRPr="00CA36EA">
        <w:t>return of capital</w:t>
      </w:r>
      <w:r>
        <w:t>’</w:t>
      </w:r>
      <w:r w:rsidRPr="00CA36EA">
        <w:t>).</w:t>
      </w:r>
      <w:r>
        <w:rPr>
          <w:rStyle w:val="FootnoteReference"/>
        </w:rPr>
        <w:footnoteReference w:id="1"/>
      </w:r>
      <w:r w:rsidRPr="00CA36EA">
        <w:t xml:space="preserve"> Regulatory depreciation is used to model the nominal asset values over the </w:t>
      </w:r>
      <w:r>
        <w:t>2</w:t>
      </w:r>
      <w:r w:rsidR="00FD58E5">
        <w:t>018</w:t>
      </w:r>
      <w:r>
        <w:t>–22</w:t>
      </w:r>
      <w:r w:rsidRPr="00CA36EA">
        <w:t xml:space="preserve"> access arrangement </w:t>
      </w:r>
      <w:proofErr w:type="gramStart"/>
      <w:r w:rsidRPr="00CA36EA">
        <w:t>period</w:t>
      </w:r>
      <w:proofErr w:type="gramEnd"/>
      <w:r w:rsidRPr="00CA36EA">
        <w:t xml:space="preserve"> and the depreciation allowance in the total revenue requirement.</w:t>
      </w:r>
      <w:r>
        <w:rPr>
          <w:rStyle w:val="FootnoteReference"/>
        </w:rPr>
        <w:footnoteReference w:id="2"/>
      </w:r>
      <w:r>
        <w:t xml:space="preserve"> </w:t>
      </w:r>
    </w:p>
    <w:p w:rsidR="006273B7" w:rsidRPr="00CA36EA" w:rsidRDefault="006273B7" w:rsidP="006273B7">
      <w:r>
        <w:t>This attachment outlines our</w:t>
      </w:r>
      <w:r w:rsidRPr="00CA36EA">
        <w:t xml:space="preserve"> draft decision on </w:t>
      </w:r>
      <w:r w:rsidR="00606E5C">
        <w:t>Multinet</w:t>
      </w:r>
      <w:r>
        <w:t xml:space="preserve">’s </w:t>
      </w:r>
      <w:r w:rsidRPr="00CA36EA">
        <w:t xml:space="preserve">annual regulatory depreciation allowance </w:t>
      </w:r>
      <w:r>
        <w:t>for the</w:t>
      </w:r>
      <w:r w:rsidRPr="00B41164">
        <w:t xml:space="preserve"> </w:t>
      </w:r>
      <w:r>
        <w:t>201</w:t>
      </w:r>
      <w:r w:rsidR="00FD58E5">
        <w:t>8</w:t>
      </w:r>
      <w:r>
        <w:t>–22</w:t>
      </w:r>
      <w:r w:rsidRPr="00CA36EA">
        <w:t xml:space="preserve"> access arrangement </w:t>
      </w:r>
      <w:proofErr w:type="gramStart"/>
      <w:r w:rsidRPr="00CA36EA">
        <w:t>period</w:t>
      </w:r>
      <w:proofErr w:type="gramEnd"/>
      <w:r w:rsidRPr="00CA36EA">
        <w:t xml:space="preserve">. </w:t>
      </w:r>
      <w:r>
        <w:t>Our</w:t>
      </w:r>
      <w:r w:rsidRPr="00CA36EA">
        <w:t xml:space="preserve"> consideration of specific matters that affect the estimate of regulatory depreciation is also outlined in this attachment. These include:</w:t>
      </w:r>
    </w:p>
    <w:p w:rsidR="006273B7" w:rsidRPr="006273B7" w:rsidRDefault="006273B7" w:rsidP="006273B7">
      <w:pPr>
        <w:pStyle w:val="AERbulletlistfirststyle"/>
      </w:pPr>
      <w:r w:rsidRPr="00A575B0">
        <w:t>the standard asset lives for depreciating new assets associated with forecast capex</w:t>
      </w:r>
      <w:r w:rsidRPr="006273B7">
        <w:rPr>
          <w:rStyle w:val="FootnoteReference"/>
        </w:rPr>
        <w:footnoteReference w:id="3"/>
      </w:r>
    </w:p>
    <w:p w:rsidR="00132D43" w:rsidRDefault="006273B7" w:rsidP="00132D43">
      <w:pPr>
        <w:pStyle w:val="AERbulletlistfirststyle"/>
      </w:pPr>
      <w:proofErr w:type="gramStart"/>
      <w:r w:rsidRPr="00A575B0">
        <w:t>the</w:t>
      </w:r>
      <w:proofErr w:type="gramEnd"/>
      <w:r w:rsidRPr="00A575B0">
        <w:t xml:space="preserve"> </w:t>
      </w:r>
      <w:r w:rsidR="003760A4">
        <w:t>year-by-year</w:t>
      </w:r>
      <w:r w:rsidR="009B108D">
        <w:t xml:space="preserve"> tracking approach to depreciating </w:t>
      </w:r>
      <w:r w:rsidRPr="00A575B0">
        <w:t>assets in the capital base.</w:t>
      </w:r>
    </w:p>
    <w:p w:rsidR="006273B7" w:rsidRPr="00132D43" w:rsidRDefault="006273B7" w:rsidP="006273B7">
      <w:pPr>
        <w:pStyle w:val="AERbulletlistfirststyle"/>
        <w:numPr>
          <w:ilvl w:val="0"/>
          <w:numId w:val="0"/>
        </w:numPr>
      </w:pPr>
      <w:r>
        <w:t xml:space="preserve">We also discuss the prospect of accelerated depreciation for mains </w:t>
      </w:r>
      <w:r w:rsidR="00740728">
        <w:t xml:space="preserve">assets </w:t>
      </w:r>
      <w:r>
        <w:t xml:space="preserve">that are replaced. </w:t>
      </w:r>
    </w:p>
    <w:p w:rsidR="006273B7" w:rsidRDefault="00132D43" w:rsidP="00132D43">
      <w:pPr>
        <w:pStyle w:val="Heading2"/>
      </w:pPr>
      <w:bookmarkStart w:id="99" w:name="_Toc486836578"/>
      <w:r>
        <w:t>Draft decision</w:t>
      </w:r>
      <w:bookmarkEnd w:id="99"/>
    </w:p>
    <w:p w:rsidR="006273B7" w:rsidRDefault="006273B7" w:rsidP="006273B7">
      <w:r>
        <w:t>We</w:t>
      </w:r>
      <w:r w:rsidRPr="00CA36EA">
        <w:t xml:space="preserve"> approve</w:t>
      </w:r>
      <w:r>
        <w:t xml:space="preserve"> </w:t>
      </w:r>
      <w:r w:rsidR="00606E5C">
        <w:t>Multinet</w:t>
      </w:r>
      <w:r>
        <w:t>’s</w:t>
      </w:r>
      <w:r w:rsidRPr="00CA36EA">
        <w:t xml:space="preserve"> proposal to use the </w:t>
      </w:r>
      <w:r>
        <w:t xml:space="preserve">real </w:t>
      </w:r>
      <w:r w:rsidRPr="00CA36EA">
        <w:t>straight-line</w:t>
      </w:r>
      <w:r>
        <w:t xml:space="preserve"> </w:t>
      </w:r>
      <w:r w:rsidRPr="00CA36EA">
        <w:t>method to calculate the re</w:t>
      </w:r>
      <w:r>
        <w:t xml:space="preserve">gulatory depreciation allowance. However, we do not approve </w:t>
      </w:r>
      <w:r w:rsidR="00606E5C">
        <w:t>Multinet</w:t>
      </w:r>
      <w:r>
        <w:t>’s proposed regulatory depreciation allowance of $</w:t>
      </w:r>
      <w:r w:rsidR="00005747">
        <w:t xml:space="preserve">250.8 </w:t>
      </w:r>
      <w:r>
        <w:t>million ($nominal) for the 2</w:t>
      </w:r>
      <w:r w:rsidR="00FD58E5">
        <w:t>018</w:t>
      </w:r>
      <w:r>
        <w:t>–22 access arrangement period. This is mainly because of our</w:t>
      </w:r>
      <w:r w:rsidR="00740728">
        <w:t xml:space="preserve"> draft</w:t>
      </w:r>
      <w:r>
        <w:t xml:space="preserve"> decision to update </w:t>
      </w:r>
      <w:r w:rsidR="009C5F4E">
        <w:t>changes in amounts allowed for accelerated depreciation and its application.</w:t>
      </w:r>
      <w:r w:rsidRPr="00FA7F90">
        <w:t xml:space="preserve"> </w:t>
      </w:r>
      <w:r w:rsidR="00740728">
        <w:t xml:space="preserve">We also made draft decisions on other components of Multinet's proposal which impact on the regulatory depreciation allowance. </w:t>
      </w:r>
      <w:r>
        <w:t>Discussed in other attachments, these determinations include the</w:t>
      </w:r>
      <w:r w:rsidRPr="001C0783">
        <w:t xml:space="preserve"> opening </w:t>
      </w:r>
      <w:r>
        <w:t>capital base (attachment 2)</w:t>
      </w:r>
      <w:r w:rsidR="00740728">
        <w:t>, expected inflation (attachment 2)</w:t>
      </w:r>
      <w:r>
        <w:t xml:space="preserve"> and the </w:t>
      </w:r>
      <w:r w:rsidRPr="001C0783">
        <w:t xml:space="preserve">forecast </w:t>
      </w:r>
      <w:r>
        <w:t>cap</w:t>
      </w:r>
      <w:r w:rsidRPr="001C0783">
        <w:t>ex</w:t>
      </w:r>
      <w:r>
        <w:t xml:space="preserve"> (attachment 6).</w:t>
      </w:r>
      <w:r w:rsidR="00B521C7" w:rsidRPr="00B521C7">
        <w:t xml:space="preserve"> </w:t>
      </w:r>
      <w:r w:rsidR="0055748A">
        <w:t>We also corrected s</w:t>
      </w:r>
      <w:r w:rsidR="00B521C7">
        <w:t xml:space="preserve">ome errors in </w:t>
      </w:r>
      <w:r w:rsidR="00740728">
        <w:t>modelling</w:t>
      </w:r>
      <w:r w:rsidR="00B521C7">
        <w:t>.</w:t>
      </w:r>
    </w:p>
    <w:p w:rsidR="006273B7" w:rsidRDefault="006273B7" w:rsidP="006273B7">
      <w:r w:rsidRPr="00A27483">
        <w:t xml:space="preserve">We </w:t>
      </w:r>
      <w:r>
        <w:t xml:space="preserve">accept all of the </w:t>
      </w:r>
      <w:r w:rsidRPr="00A27483">
        <w:t xml:space="preserve">standard asset lives </w:t>
      </w:r>
      <w:r>
        <w:t xml:space="preserve">proposed by </w:t>
      </w:r>
      <w:r w:rsidR="00606E5C">
        <w:t>Multinet</w:t>
      </w:r>
      <w:r w:rsidR="0055748A">
        <w:t xml:space="preserve"> other than</w:t>
      </w:r>
      <w:r w:rsidR="007620FD">
        <w:t xml:space="preserve"> for </w:t>
      </w:r>
      <w:r w:rsidR="00740728">
        <w:t>the 'B</w:t>
      </w:r>
      <w:r w:rsidR="007620FD">
        <w:t>uildings</w:t>
      </w:r>
      <w:r w:rsidR="00740728">
        <w:t>' asset class</w:t>
      </w:r>
      <w:r>
        <w:t>.</w:t>
      </w:r>
      <w:r w:rsidR="00595854">
        <w:t xml:space="preserve"> </w:t>
      </w:r>
      <w:r w:rsidR="0055748A">
        <w:t xml:space="preserve">Besides the 'Buildings' asset class, the standard asset lives for all other asset classes are broadly </w:t>
      </w:r>
      <w:r w:rsidR="0055748A" w:rsidRPr="00A27483">
        <w:t>comparable with the standard asset lives approved in our recent de</w:t>
      </w:r>
      <w:r w:rsidR="00BA5431">
        <w:t>cisions</w:t>
      </w:r>
      <w:r w:rsidR="0055748A" w:rsidRPr="00A27483">
        <w:t xml:space="preserve"> for other gas service providers.</w:t>
      </w:r>
      <w:r w:rsidR="0055748A" w:rsidRPr="00B07FFE">
        <w:rPr>
          <w:rStyle w:val="FootnoteReference"/>
        </w:rPr>
        <w:footnoteReference w:id="4"/>
      </w:r>
      <w:r w:rsidR="0055748A" w:rsidRPr="00B07FFE">
        <w:rPr>
          <w:rStyle w:val="FootnoteReference"/>
        </w:rPr>
        <w:t xml:space="preserve"> </w:t>
      </w:r>
      <w:r w:rsidR="00595854">
        <w:t xml:space="preserve">Multinet </w:t>
      </w:r>
      <w:r w:rsidR="00595854" w:rsidRPr="00595854">
        <w:t xml:space="preserve">did not provide a standard asset life for equity raising costs. We have determined this </w:t>
      </w:r>
      <w:r w:rsidR="001C06FD">
        <w:t xml:space="preserve">asset </w:t>
      </w:r>
      <w:r w:rsidR="00595854" w:rsidRPr="00595854">
        <w:t>life for the draft decision.</w:t>
      </w:r>
      <w:r>
        <w:t xml:space="preserve"> </w:t>
      </w:r>
      <w:r w:rsidR="0055748A">
        <w:t>We accept Multinet's revision to its</w:t>
      </w:r>
      <w:r w:rsidR="00740728">
        <w:t xml:space="preserve"> 'M</w:t>
      </w:r>
      <w:r w:rsidR="001B64F1">
        <w:t>eters</w:t>
      </w:r>
      <w:r w:rsidR="00740728">
        <w:t>' asset class</w:t>
      </w:r>
      <w:r w:rsidR="001B64F1">
        <w:t xml:space="preserve"> </w:t>
      </w:r>
      <w:r w:rsidR="0055748A">
        <w:t>lives</w:t>
      </w:r>
      <w:r w:rsidR="00C13ABC">
        <w:t>,</w:t>
      </w:r>
      <w:r w:rsidR="00AD5440">
        <w:t xml:space="preserve"> </w:t>
      </w:r>
      <w:r w:rsidR="0055748A">
        <w:t>though we</w:t>
      </w:r>
      <w:r w:rsidR="00B521C7">
        <w:t xml:space="preserve"> do not accept </w:t>
      </w:r>
      <w:r w:rsidR="00606E5C">
        <w:t>Multinet</w:t>
      </w:r>
      <w:r w:rsidR="00B521C7">
        <w:t>'</w:t>
      </w:r>
      <w:r w:rsidR="00A10E56">
        <w:t xml:space="preserve">s proposal to reduce the </w:t>
      </w:r>
      <w:r w:rsidR="00B01957">
        <w:t xml:space="preserve">asset </w:t>
      </w:r>
      <w:r w:rsidR="00A10E56">
        <w:t>li</w:t>
      </w:r>
      <w:r w:rsidR="00B521C7">
        <w:t>ves of all existing meters to 5 years.</w:t>
      </w:r>
      <w:r w:rsidR="007620FD" w:rsidRPr="007620FD">
        <w:t xml:space="preserve"> </w:t>
      </w:r>
      <w:r w:rsidR="007620FD">
        <w:t xml:space="preserve"> </w:t>
      </w:r>
    </w:p>
    <w:p w:rsidR="006273B7" w:rsidRDefault="006273B7" w:rsidP="006273B7">
      <w:r>
        <w:t xml:space="preserve">We accept </w:t>
      </w:r>
      <w:r w:rsidR="00D62DD7">
        <w:t>Multinet's</w:t>
      </w:r>
      <w:r>
        <w:t xml:space="preserve"> proposed </w:t>
      </w:r>
      <w:r w:rsidR="00B01957">
        <w:t>year-by-year</w:t>
      </w:r>
      <w:r w:rsidR="00BE695C">
        <w:t xml:space="preserve"> tracking approach</w:t>
      </w:r>
      <w:r w:rsidR="007620FD" w:rsidRPr="007620FD">
        <w:t xml:space="preserve"> </w:t>
      </w:r>
      <w:r w:rsidR="00B01957">
        <w:t>for depreciating its capital base</w:t>
      </w:r>
      <w:r w:rsidR="009E2AE8">
        <w:t>. Our assessment is present</w:t>
      </w:r>
      <w:r>
        <w:t>ed in section</w:t>
      </w:r>
      <w:r w:rsidR="00815E34">
        <w:t xml:space="preserve"> 5.4.1</w:t>
      </w:r>
      <w:r>
        <w:t>.</w:t>
      </w:r>
    </w:p>
    <w:p w:rsidR="002417A9" w:rsidRDefault="00BF5060" w:rsidP="006273B7">
      <w:r>
        <w:t>We</w:t>
      </w:r>
      <w:r w:rsidR="00B521C7">
        <w:t xml:space="preserve"> </w:t>
      </w:r>
      <w:r w:rsidR="00B01957">
        <w:t xml:space="preserve">also </w:t>
      </w:r>
      <w:r w:rsidR="00B521C7">
        <w:t xml:space="preserve">accept </w:t>
      </w:r>
      <w:r w:rsidR="00606E5C">
        <w:t>Multinet</w:t>
      </w:r>
      <w:r w:rsidR="003D2A27">
        <w:t>'</w:t>
      </w:r>
      <w:r w:rsidR="00D62DD7">
        <w:t>s</w:t>
      </w:r>
      <w:r w:rsidR="00153C1B">
        <w:t xml:space="preserve"> </w:t>
      </w:r>
      <w:r w:rsidR="002417A9" w:rsidRPr="002417A9">
        <w:t xml:space="preserve">proposed accelerated depreciation </w:t>
      </w:r>
      <w:r w:rsidR="002417A9">
        <w:t xml:space="preserve">of </w:t>
      </w:r>
      <w:r w:rsidR="002417A9" w:rsidRPr="002417A9">
        <w:t>mains</w:t>
      </w:r>
      <w:r w:rsidR="002417A9">
        <w:t xml:space="preserve"> and services</w:t>
      </w:r>
      <w:r w:rsidR="002417A9" w:rsidRPr="002417A9">
        <w:t xml:space="preserve"> </w:t>
      </w:r>
      <w:r w:rsidR="002417A9">
        <w:t xml:space="preserve">to be </w:t>
      </w:r>
      <w:r w:rsidR="002417A9" w:rsidRPr="002417A9">
        <w:t>replace</w:t>
      </w:r>
      <w:r w:rsidR="002417A9">
        <w:t>d</w:t>
      </w:r>
      <w:r w:rsidR="002417A9" w:rsidRPr="002417A9">
        <w:t xml:space="preserve"> over the 2018–22 access arrangement </w:t>
      </w:r>
      <w:proofErr w:type="gramStart"/>
      <w:r w:rsidR="002417A9" w:rsidRPr="002417A9">
        <w:t>period</w:t>
      </w:r>
      <w:r w:rsidR="0055748A">
        <w:t xml:space="preserve"> </w:t>
      </w:r>
      <w:r w:rsidR="002417A9" w:rsidRPr="002417A9">
        <w:t xml:space="preserve"> subject</w:t>
      </w:r>
      <w:proofErr w:type="gramEnd"/>
      <w:r w:rsidR="002417A9" w:rsidRPr="002417A9">
        <w:t xml:space="preserve"> to adjustments made to the approved length of mains to be replaced over the 2018–22 access arrangement period, as discussed in attachment 6. </w:t>
      </w:r>
      <w:r w:rsidR="002417A9">
        <w:t xml:space="preserve">We </w:t>
      </w:r>
      <w:r w:rsidR="0055748A">
        <w:t>have also extended</w:t>
      </w:r>
      <w:r w:rsidR="00521A07">
        <w:t xml:space="preserve"> the </w:t>
      </w:r>
      <w:r w:rsidR="00B01957">
        <w:t xml:space="preserve">proposed </w:t>
      </w:r>
      <w:r w:rsidR="00521A07">
        <w:t>remaining asset lives of the residual older mains and services by seven years</w:t>
      </w:r>
      <w:r w:rsidR="0055748A">
        <w:t xml:space="preserve"> to align with our assessment that the mains replacement program will not be completed until 2040</w:t>
      </w:r>
      <w:r w:rsidR="00521A07">
        <w:t>.</w:t>
      </w:r>
    </w:p>
    <w:p w:rsidR="006273B7" w:rsidRPr="00A27483" w:rsidRDefault="006273B7" w:rsidP="006273B7">
      <w:r w:rsidRPr="00A27483">
        <w:t xml:space="preserve">Our draft decision on </w:t>
      </w:r>
      <w:r w:rsidR="00606E5C">
        <w:t>Multinet</w:t>
      </w:r>
      <w:r>
        <w:t>’</w:t>
      </w:r>
      <w:r w:rsidRPr="00A27483">
        <w:t>s regulatory depreciation allowance is $</w:t>
      </w:r>
      <w:r w:rsidR="003105EA">
        <w:t>182.4</w:t>
      </w:r>
      <w:r w:rsidR="00005747" w:rsidRPr="00A27483">
        <w:t> </w:t>
      </w:r>
      <w:r w:rsidRPr="00A27483">
        <w:t xml:space="preserve">million ($nominal) </w:t>
      </w:r>
      <w:r>
        <w:t xml:space="preserve">in total for </w:t>
      </w:r>
      <w:r w:rsidRPr="00A27483">
        <w:t xml:space="preserve">the </w:t>
      </w:r>
      <w:r w:rsidR="00FD58E5">
        <w:t>2018–22</w:t>
      </w:r>
      <w:r w:rsidRPr="00A27483">
        <w:t xml:space="preserve"> access arrangement period as set out in </w:t>
      </w:r>
      <w:r w:rsidRPr="00A27483">
        <w:fldChar w:fldCharType="begin"/>
      </w:r>
      <w:r w:rsidRPr="00A27483">
        <w:instrText xml:space="preserve"> REF  _Ref398282397 \* Lower \h  \* MERGEFORMAT </w:instrText>
      </w:r>
      <w:r w:rsidRPr="00A27483">
        <w:fldChar w:fldCharType="separate"/>
      </w:r>
      <w:r w:rsidR="00210078" w:rsidRPr="001D3081">
        <w:t xml:space="preserve">table </w:t>
      </w:r>
      <w:r w:rsidR="00210078">
        <w:t>5.1</w:t>
      </w:r>
      <w:r w:rsidRPr="00A27483">
        <w:fldChar w:fldCharType="end"/>
      </w:r>
      <w:r w:rsidRPr="00A27483">
        <w:t>.</w:t>
      </w:r>
    </w:p>
    <w:p w:rsidR="006273B7" w:rsidRPr="001D3081" w:rsidRDefault="006273B7" w:rsidP="00B7472B">
      <w:pPr>
        <w:pStyle w:val="Caption"/>
      </w:pPr>
      <w:bookmarkStart w:id="101" w:name="_Ref398282397"/>
      <w:proofErr w:type="gramStart"/>
      <w:r w:rsidRPr="001D3081">
        <w:t xml:space="preserve">Table </w:t>
      </w:r>
      <w:proofErr w:type="gramEnd"/>
      <w:r w:rsidR="009830B5">
        <w:fldChar w:fldCharType="begin"/>
      </w:r>
      <w:r w:rsidR="009830B5">
        <w:instrText xml:space="preserve"> STYLEREF 1 \s </w:instrText>
      </w:r>
      <w:r w:rsidR="009830B5">
        <w:fldChar w:fldCharType="separate"/>
      </w:r>
      <w:r w:rsidR="00210078">
        <w:rPr>
          <w:noProof/>
        </w:rPr>
        <w:t>5</w:t>
      </w:r>
      <w:r w:rsidR="009830B5">
        <w:rPr>
          <w:noProof/>
        </w:rPr>
        <w:fldChar w:fldCharType="end"/>
      </w:r>
      <w:proofErr w:type="gramStart"/>
      <w:r w:rsidR="00384F43">
        <w:t>.</w:t>
      </w:r>
      <w:proofErr w:type="gramEnd"/>
      <w:r w:rsidR="006203F1">
        <w:fldChar w:fldCharType="begin"/>
      </w:r>
      <w:r w:rsidR="006203F1">
        <w:instrText xml:space="preserve"> SEQ Table \* ARABIC \s 1 </w:instrText>
      </w:r>
      <w:r w:rsidR="006203F1">
        <w:fldChar w:fldCharType="separate"/>
      </w:r>
      <w:r w:rsidR="00210078">
        <w:rPr>
          <w:noProof/>
        </w:rPr>
        <w:t>1</w:t>
      </w:r>
      <w:r w:rsidR="006203F1">
        <w:rPr>
          <w:noProof/>
        </w:rPr>
        <w:fldChar w:fldCharType="end"/>
      </w:r>
      <w:bookmarkEnd w:id="101"/>
      <w:r w:rsidRPr="001D3081">
        <w:tab/>
        <w:t xml:space="preserve">AER’s draft decision on </w:t>
      </w:r>
      <w:r w:rsidR="00606E5C">
        <w:t>Multinet</w:t>
      </w:r>
      <w:r w:rsidRPr="001D3081">
        <w:t xml:space="preserve">’s regulatory depreciation allowance for the </w:t>
      </w:r>
      <w:r w:rsidR="00FD58E5">
        <w:t>2018–22</w:t>
      </w:r>
      <w:r w:rsidRPr="001D3081">
        <w:t xml:space="preserve"> access arrangement period ($million, nominal)</w:t>
      </w:r>
    </w:p>
    <w:tbl>
      <w:tblPr>
        <w:tblStyle w:val="AERtable-numbers"/>
        <w:tblW w:w="8755" w:type="dxa"/>
        <w:tblLayout w:type="fixed"/>
        <w:tblLook w:val="04A0" w:firstRow="1" w:lastRow="0" w:firstColumn="1" w:lastColumn="0" w:noHBand="0" w:noVBand="1"/>
      </w:tblPr>
      <w:tblGrid>
        <w:gridCol w:w="2569"/>
        <w:gridCol w:w="1031"/>
        <w:gridCol w:w="1031"/>
        <w:gridCol w:w="1031"/>
        <w:gridCol w:w="1031"/>
        <w:gridCol w:w="1031"/>
        <w:gridCol w:w="1031"/>
      </w:tblGrid>
      <w:tr w:rsidR="006273B7" w:rsidRPr="00A575B0" w:rsidTr="00B01957">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6273B7" w:rsidRPr="00A575B0" w:rsidRDefault="006273B7" w:rsidP="00B7472B">
            <w:pPr>
              <w:keepNext/>
            </w:pPr>
          </w:p>
        </w:tc>
        <w:tc>
          <w:tcPr>
            <w:tcW w:w="1031" w:type="dxa"/>
            <w:noWrap/>
          </w:tcPr>
          <w:p w:rsidR="006273B7" w:rsidRPr="006273B7" w:rsidRDefault="00FD58E5" w:rsidP="00B7472B">
            <w:pPr>
              <w:keepNext/>
              <w:cnfStyle w:val="100000000000" w:firstRow="1" w:lastRow="0" w:firstColumn="0" w:lastColumn="0" w:oddVBand="0" w:evenVBand="0" w:oddHBand="0" w:evenHBand="0" w:firstRowFirstColumn="0" w:firstRowLastColumn="0" w:lastRowFirstColumn="0" w:lastRowLastColumn="0"/>
            </w:pPr>
            <w:r>
              <w:t>20</w:t>
            </w:r>
            <w:r w:rsidR="006273B7" w:rsidRPr="00A575B0">
              <w:t>18</w:t>
            </w:r>
          </w:p>
        </w:tc>
        <w:tc>
          <w:tcPr>
            <w:tcW w:w="1031" w:type="dxa"/>
            <w:noWrap/>
          </w:tcPr>
          <w:p w:rsidR="006273B7" w:rsidRPr="006273B7" w:rsidRDefault="00FD58E5" w:rsidP="00B7472B">
            <w:pPr>
              <w:keepNext/>
              <w:cnfStyle w:val="100000000000" w:firstRow="1" w:lastRow="0" w:firstColumn="0" w:lastColumn="0" w:oddVBand="0" w:evenVBand="0" w:oddHBand="0" w:evenHBand="0" w:firstRowFirstColumn="0" w:firstRowLastColumn="0" w:lastRowFirstColumn="0" w:lastRowLastColumn="0"/>
            </w:pPr>
            <w:r>
              <w:t>20</w:t>
            </w:r>
            <w:r w:rsidR="006273B7" w:rsidRPr="005B4094">
              <w:t>19</w:t>
            </w:r>
          </w:p>
        </w:tc>
        <w:tc>
          <w:tcPr>
            <w:tcW w:w="1031" w:type="dxa"/>
            <w:noWrap/>
          </w:tcPr>
          <w:p w:rsidR="006273B7" w:rsidRPr="006273B7" w:rsidRDefault="00FD58E5" w:rsidP="00B7472B">
            <w:pPr>
              <w:keepNext/>
              <w:cnfStyle w:val="100000000000" w:firstRow="1" w:lastRow="0" w:firstColumn="0" w:lastColumn="0" w:oddVBand="0" w:evenVBand="0" w:oddHBand="0" w:evenHBand="0" w:firstRowFirstColumn="0" w:firstRowLastColumn="0" w:lastRowFirstColumn="0" w:lastRowLastColumn="0"/>
            </w:pPr>
            <w:r>
              <w:t>20</w:t>
            </w:r>
            <w:r w:rsidR="006273B7" w:rsidRPr="005B4094">
              <w:t>20</w:t>
            </w:r>
          </w:p>
        </w:tc>
        <w:tc>
          <w:tcPr>
            <w:tcW w:w="1031" w:type="dxa"/>
            <w:noWrap/>
          </w:tcPr>
          <w:p w:rsidR="006273B7" w:rsidRPr="006273B7" w:rsidRDefault="00FD58E5" w:rsidP="00B7472B">
            <w:pPr>
              <w:keepNext/>
              <w:cnfStyle w:val="100000000000" w:firstRow="1" w:lastRow="0" w:firstColumn="0" w:lastColumn="0" w:oddVBand="0" w:evenVBand="0" w:oddHBand="0" w:evenHBand="0" w:firstRowFirstColumn="0" w:firstRowLastColumn="0" w:lastRowFirstColumn="0" w:lastRowLastColumn="0"/>
            </w:pPr>
            <w:r>
              <w:t>20</w:t>
            </w:r>
            <w:r w:rsidR="006273B7" w:rsidRPr="00F77C82">
              <w:t>21</w:t>
            </w:r>
          </w:p>
        </w:tc>
        <w:tc>
          <w:tcPr>
            <w:tcW w:w="1031" w:type="dxa"/>
            <w:noWrap/>
          </w:tcPr>
          <w:p w:rsidR="006273B7" w:rsidRPr="006273B7" w:rsidRDefault="00FD58E5" w:rsidP="00B7472B">
            <w:pPr>
              <w:keepNext/>
              <w:cnfStyle w:val="100000000000" w:firstRow="1" w:lastRow="0" w:firstColumn="0" w:lastColumn="0" w:oddVBand="0" w:evenVBand="0" w:oddHBand="0" w:evenHBand="0" w:firstRowFirstColumn="0" w:firstRowLastColumn="0" w:lastRowFirstColumn="0" w:lastRowLastColumn="0"/>
            </w:pPr>
            <w:r>
              <w:t>20</w:t>
            </w:r>
            <w:r w:rsidR="006273B7" w:rsidRPr="006273B7">
              <w:t>22</w:t>
            </w:r>
          </w:p>
        </w:tc>
        <w:tc>
          <w:tcPr>
            <w:tcW w:w="1031" w:type="dxa"/>
          </w:tcPr>
          <w:p w:rsidR="006273B7" w:rsidRPr="006273B7" w:rsidRDefault="006273B7" w:rsidP="00B7472B">
            <w:pPr>
              <w:keepNext/>
              <w:cnfStyle w:val="100000000000" w:firstRow="1" w:lastRow="0" w:firstColumn="0" w:lastColumn="0" w:oddVBand="0" w:evenVBand="0" w:oddHBand="0" w:evenHBand="0" w:firstRowFirstColumn="0" w:firstRowLastColumn="0" w:lastRowFirstColumn="0" w:lastRowLastColumn="0"/>
            </w:pPr>
            <w:r w:rsidRPr="00F77C82">
              <w:t>Total</w:t>
            </w:r>
          </w:p>
        </w:tc>
      </w:tr>
      <w:tr w:rsidR="003105EA" w:rsidRPr="009603F9" w:rsidTr="001D78F4">
        <w:trPr>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3105EA" w:rsidRPr="003105EA" w:rsidRDefault="003105EA" w:rsidP="003105EA">
            <w:r w:rsidRPr="003105EA">
              <w:t>Straight-line depreciation</w:t>
            </w:r>
          </w:p>
        </w:tc>
        <w:tc>
          <w:tcPr>
            <w:tcW w:w="1031" w:type="dxa"/>
            <w:noWrap/>
            <w:vAlign w:val="bottom"/>
          </w:tcPr>
          <w:p w:rsidR="003105EA" w:rsidRPr="003105EA" w:rsidRDefault="003105EA" w:rsidP="003105EA">
            <w:pPr>
              <w:cnfStyle w:val="000000000000" w:firstRow="0" w:lastRow="0" w:firstColumn="0" w:lastColumn="0" w:oddVBand="0" w:evenVBand="0" w:oddHBand="0" w:evenHBand="0" w:firstRowFirstColumn="0" w:firstRowLastColumn="0" w:lastRowFirstColumn="0" w:lastRowLastColumn="0"/>
            </w:pPr>
            <w:r w:rsidRPr="003105EA">
              <w:t>60.3</w:t>
            </w:r>
          </w:p>
        </w:tc>
        <w:tc>
          <w:tcPr>
            <w:tcW w:w="1031" w:type="dxa"/>
            <w:noWrap/>
            <w:vAlign w:val="bottom"/>
          </w:tcPr>
          <w:p w:rsidR="003105EA" w:rsidRPr="003105EA" w:rsidRDefault="003105EA" w:rsidP="003105EA">
            <w:pPr>
              <w:cnfStyle w:val="000000000000" w:firstRow="0" w:lastRow="0" w:firstColumn="0" w:lastColumn="0" w:oddVBand="0" w:evenVBand="0" w:oddHBand="0" w:evenHBand="0" w:firstRowFirstColumn="0" w:firstRowLastColumn="0" w:lastRowFirstColumn="0" w:lastRowLastColumn="0"/>
            </w:pPr>
            <w:r w:rsidRPr="003105EA">
              <w:t>63.6</w:t>
            </w:r>
          </w:p>
        </w:tc>
        <w:tc>
          <w:tcPr>
            <w:tcW w:w="1031" w:type="dxa"/>
            <w:noWrap/>
            <w:vAlign w:val="bottom"/>
          </w:tcPr>
          <w:p w:rsidR="003105EA" w:rsidRPr="003105EA" w:rsidRDefault="003105EA" w:rsidP="003105EA">
            <w:pPr>
              <w:cnfStyle w:val="000000000000" w:firstRow="0" w:lastRow="0" w:firstColumn="0" w:lastColumn="0" w:oddVBand="0" w:evenVBand="0" w:oddHBand="0" w:evenHBand="0" w:firstRowFirstColumn="0" w:firstRowLastColumn="0" w:lastRowFirstColumn="0" w:lastRowLastColumn="0"/>
            </w:pPr>
            <w:r w:rsidRPr="003105EA">
              <w:t>67.9</w:t>
            </w:r>
          </w:p>
        </w:tc>
        <w:tc>
          <w:tcPr>
            <w:tcW w:w="1031" w:type="dxa"/>
            <w:noWrap/>
            <w:vAlign w:val="bottom"/>
          </w:tcPr>
          <w:p w:rsidR="003105EA" w:rsidRPr="003105EA" w:rsidRDefault="003105EA" w:rsidP="003105EA">
            <w:pPr>
              <w:cnfStyle w:val="000000000000" w:firstRow="0" w:lastRow="0" w:firstColumn="0" w:lastColumn="0" w:oddVBand="0" w:evenVBand="0" w:oddHBand="0" w:evenHBand="0" w:firstRowFirstColumn="0" w:firstRowLastColumn="0" w:lastRowFirstColumn="0" w:lastRowLastColumn="0"/>
            </w:pPr>
            <w:r w:rsidRPr="003105EA">
              <w:t>71.8</w:t>
            </w:r>
          </w:p>
        </w:tc>
        <w:tc>
          <w:tcPr>
            <w:tcW w:w="1031" w:type="dxa"/>
            <w:noWrap/>
            <w:vAlign w:val="bottom"/>
          </w:tcPr>
          <w:p w:rsidR="003105EA" w:rsidRPr="003105EA" w:rsidRDefault="003105EA" w:rsidP="003105EA">
            <w:pPr>
              <w:cnfStyle w:val="000000000000" w:firstRow="0" w:lastRow="0" w:firstColumn="0" w:lastColumn="0" w:oddVBand="0" w:evenVBand="0" w:oddHBand="0" w:evenHBand="0" w:firstRowFirstColumn="0" w:firstRowLastColumn="0" w:lastRowFirstColumn="0" w:lastRowLastColumn="0"/>
            </w:pPr>
            <w:r w:rsidRPr="003105EA">
              <w:t>76.0</w:t>
            </w:r>
          </w:p>
        </w:tc>
        <w:tc>
          <w:tcPr>
            <w:tcW w:w="1031" w:type="dxa"/>
            <w:vAlign w:val="bottom"/>
          </w:tcPr>
          <w:p w:rsidR="003105EA" w:rsidRPr="003105EA" w:rsidRDefault="003105EA" w:rsidP="003105EA">
            <w:pPr>
              <w:cnfStyle w:val="000000000000" w:firstRow="0" w:lastRow="0" w:firstColumn="0" w:lastColumn="0" w:oddVBand="0" w:evenVBand="0" w:oddHBand="0" w:evenHBand="0" w:firstRowFirstColumn="0" w:firstRowLastColumn="0" w:lastRowFirstColumn="0" w:lastRowLastColumn="0"/>
            </w:pPr>
            <w:r w:rsidRPr="003105EA">
              <w:t>339.6</w:t>
            </w:r>
          </w:p>
        </w:tc>
      </w:tr>
      <w:tr w:rsidR="003105EA" w:rsidRPr="009603F9" w:rsidTr="001D78F4">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3105EA" w:rsidRPr="003105EA" w:rsidRDefault="003105EA" w:rsidP="003105EA">
            <w:r w:rsidRPr="003105EA">
              <w:rPr>
                <w:rStyle w:val="AERtextitalic"/>
              </w:rPr>
              <w:t>Less:</w:t>
            </w:r>
            <w:r w:rsidRPr="003105EA">
              <w:t xml:space="preserve"> indexation on capital base </w:t>
            </w:r>
          </w:p>
        </w:tc>
        <w:tc>
          <w:tcPr>
            <w:tcW w:w="1031" w:type="dxa"/>
            <w:noWrap/>
            <w:vAlign w:val="bottom"/>
          </w:tcPr>
          <w:p w:rsidR="003105EA" w:rsidRPr="003105EA" w:rsidRDefault="003105EA" w:rsidP="003105EA">
            <w:pPr>
              <w:cnfStyle w:val="000000010000" w:firstRow="0" w:lastRow="0" w:firstColumn="0" w:lastColumn="0" w:oddVBand="0" w:evenVBand="0" w:oddHBand="0" w:evenHBand="1" w:firstRowFirstColumn="0" w:firstRowLastColumn="0" w:lastRowFirstColumn="0" w:lastRowLastColumn="0"/>
            </w:pPr>
            <w:r w:rsidRPr="003105EA">
              <w:t>29.2</w:t>
            </w:r>
          </w:p>
        </w:tc>
        <w:tc>
          <w:tcPr>
            <w:tcW w:w="1031" w:type="dxa"/>
            <w:noWrap/>
            <w:vAlign w:val="bottom"/>
          </w:tcPr>
          <w:p w:rsidR="003105EA" w:rsidRPr="003105EA" w:rsidRDefault="003105EA" w:rsidP="003105EA">
            <w:pPr>
              <w:cnfStyle w:val="000000010000" w:firstRow="0" w:lastRow="0" w:firstColumn="0" w:lastColumn="0" w:oddVBand="0" w:evenVBand="0" w:oddHBand="0" w:evenHBand="1" w:firstRowFirstColumn="0" w:firstRowLastColumn="0" w:lastRowFirstColumn="0" w:lastRowLastColumn="0"/>
            </w:pPr>
            <w:r w:rsidRPr="003105EA">
              <w:t>30.5</w:t>
            </w:r>
          </w:p>
        </w:tc>
        <w:tc>
          <w:tcPr>
            <w:tcW w:w="1031" w:type="dxa"/>
            <w:noWrap/>
            <w:vAlign w:val="bottom"/>
          </w:tcPr>
          <w:p w:rsidR="003105EA" w:rsidRPr="003105EA" w:rsidRDefault="003105EA" w:rsidP="003105EA">
            <w:pPr>
              <w:cnfStyle w:val="000000010000" w:firstRow="0" w:lastRow="0" w:firstColumn="0" w:lastColumn="0" w:oddVBand="0" w:evenVBand="0" w:oddHBand="0" w:evenHBand="1" w:firstRowFirstColumn="0" w:firstRowLastColumn="0" w:lastRowFirstColumn="0" w:lastRowLastColumn="0"/>
            </w:pPr>
            <w:r w:rsidRPr="003105EA">
              <w:t>31.6</w:t>
            </w:r>
          </w:p>
        </w:tc>
        <w:tc>
          <w:tcPr>
            <w:tcW w:w="1031" w:type="dxa"/>
            <w:noWrap/>
            <w:vAlign w:val="bottom"/>
          </w:tcPr>
          <w:p w:rsidR="003105EA" w:rsidRPr="003105EA" w:rsidRDefault="003105EA" w:rsidP="003105EA">
            <w:pPr>
              <w:cnfStyle w:val="000000010000" w:firstRow="0" w:lastRow="0" w:firstColumn="0" w:lastColumn="0" w:oddVBand="0" w:evenVBand="0" w:oddHBand="0" w:evenHBand="1" w:firstRowFirstColumn="0" w:firstRowLastColumn="0" w:lastRowFirstColumn="0" w:lastRowLastColumn="0"/>
            </w:pPr>
            <w:r w:rsidRPr="003105EA">
              <w:t>32.5</w:t>
            </w:r>
          </w:p>
        </w:tc>
        <w:tc>
          <w:tcPr>
            <w:tcW w:w="1031" w:type="dxa"/>
            <w:noWrap/>
            <w:vAlign w:val="bottom"/>
          </w:tcPr>
          <w:p w:rsidR="003105EA" w:rsidRPr="003105EA" w:rsidRDefault="003105EA" w:rsidP="003105EA">
            <w:pPr>
              <w:cnfStyle w:val="000000010000" w:firstRow="0" w:lastRow="0" w:firstColumn="0" w:lastColumn="0" w:oddVBand="0" w:evenVBand="0" w:oddHBand="0" w:evenHBand="1" w:firstRowFirstColumn="0" w:firstRowLastColumn="0" w:lastRowFirstColumn="0" w:lastRowLastColumn="0"/>
            </w:pPr>
            <w:r w:rsidRPr="003105EA">
              <w:t>33.4</w:t>
            </w:r>
          </w:p>
        </w:tc>
        <w:tc>
          <w:tcPr>
            <w:tcW w:w="1031" w:type="dxa"/>
            <w:vAlign w:val="bottom"/>
          </w:tcPr>
          <w:p w:rsidR="003105EA" w:rsidRPr="003105EA" w:rsidRDefault="003105EA" w:rsidP="003105EA">
            <w:pPr>
              <w:cnfStyle w:val="000000010000" w:firstRow="0" w:lastRow="0" w:firstColumn="0" w:lastColumn="0" w:oddVBand="0" w:evenVBand="0" w:oddHBand="0" w:evenHBand="1" w:firstRowFirstColumn="0" w:firstRowLastColumn="0" w:lastRowFirstColumn="0" w:lastRowLastColumn="0"/>
            </w:pPr>
            <w:r w:rsidRPr="003105EA">
              <w:t>157.3</w:t>
            </w:r>
          </w:p>
        </w:tc>
      </w:tr>
      <w:tr w:rsidR="003105EA" w:rsidRPr="00A575B0" w:rsidTr="001D78F4">
        <w:trPr>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3105EA" w:rsidRPr="003105EA" w:rsidRDefault="003105EA" w:rsidP="003105EA">
            <w:pPr>
              <w:rPr>
                <w:rStyle w:val="Strong"/>
              </w:rPr>
            </w:pPr>
            <w:r w:rsidRPr="003105EA">
              <w:rPr>
                <w:rStyle w:val="Strong"/>
              </w:rPr>
              <w:t>Regulatory depreciation</w:t>
            </w:r>
          </w:p>
        </w:tc>
        <w:tc>
          <w:tcPr>
            <w:tcW w:w="1031" w:type="dxa"/>
            <w:noWrap/>
            <w:vAlign w:val="bottom"/>
          </w:tcPr>
          <w:p w:rsidR="003105EA" w:rsidRPr="008201A2" w:rsidRDefault="003105EA" w:rsidP="003105EA">
            <w:pPr>
              <w:cnfStyle w:val="000000000000" w:firstRow="0" w:lastRow="0" w:firstColumn="0" w:lastColumn="0" w:oddVBand="0" w:evenVBand="0" w:oddHBand="0" w:evenHBand="0" w:firstRowFirstColumn="0" w:firstRowLastColumn="0" w:lastRowFirstColumn="0" w:lastRowLastColumn="0"/>
              <w:rPr>
                <w:rStyle w:val="Strong"/>
              </w:rPr>
            </w:pPr>
            <w:r w:rsidRPr="001D78F4">
              <w:rPr>
                <w:rStyle w:val="Strong"/>
              </w:rPr>
              <w:t>31.1</w:t>
            </w:r>
          </w:p>
        </w:tc>
        <w:tc>
          <w:tcPr>
            <w:tcW w:w="1031" w:type="dxa"/>
            <w:noWrap/>
            <w:vAlign w:val="bottom"/>
          </w:tcPr>
          <w:p w:rsidR="003105EA" w:rsidRPr="008201A2" w:rsidRDefault="003105EA" w:rsidP="003105EA">
            <w:pPr>
              <w:cnfStyle w:val="000000000000" w:firstRow="0" w:lastRow="0" w:firstColumn="0" w:lastColumn="0" w:oddVBand="0" w:evenVBand="0" w:oddHBand="0" w:evenHBand="0" w:firstRowFirstColumn="0" w:firstRowLastColumn="0" w:lastRowFirstColumn="0" w:lastRowLastColumn="0"/>
              <w:rPr>
                <w:rStyle w:val="Strong"/>
              </w:rPr>
            </w:pPr>
            <w:r w:rsidRPr="001D78F4">
              <w:rPr>
                <w:rStyle w:val="Strong"/>
              </w:rPr>
              <w:t>33.1</w:t>
            </w:r>
          </w:p>
        </w:tc>
        <w:tc>
          <w:tcPr>
            <w:tcW w:w="1031" w:type="dxa"/>
            <w:noWrap/>
            <w:vAlign w:val="bottom"/>
          </w:tcPr>
          <w:p w:rsidR="003105EA" w:rsidRPr="008201A2" w:rsidRDefault="003105EA" w:rsidP="003105EA">
            <w:pPr>
              <w:cnfStyle w:val="000000000000" w:firstRow="0" w:lastRow="0" w:firstColumn="0" w:lastColumn="0" w:oddVBand="0" w:evenVBand="0" w:oddHBand="0" w:evenHBand="0" w:firstRowFirstColumn="0" w:firstRowLastColumn="0" w:lastRowFirstColumn="0" w:lastRowLastColumn="0"/>
              <w:rPr>
                <w:rStyle w:val="Strong"/>
              </w:rPr>
            </w:pPr>
            <w:r w:rsidRPr="001D78F4">
              <w:rPr>
                <w:rStyle w:val="Strong"/>
              </w:rPr>
              <w:t>36.4</w:t>
            </w:r>
          </w:p>
        </w:tc>
        <w:tc>
          <w:tcPr>
            <w:tcW w:w="1031" w:type="dxa"/>
            <w:noWrap/>
            <w:vAlign w:val="bottom"/>
          </w:tcPr>
          <w:p w:rsidR="003105EA" w:rsidRPr="008201A2" w:rsidRDefault="003105EA" w:rsidP="003105EA">
            <w:pPr>
              <w:cnfStyle w:val="000000000000" w:firstRow="0" w:lastRow="0" w:firstColumn="0" w:lastColumn="0" w:oddVBand="0" w:evenVBand="0" w:oddHBand="0" w:evenHBand="0" w:firstRowFirstColumn="0" w:firstRowLastColumn="0" w:lastRowFirstColumn="0" w:lastRowLastColumn="0"/>
              <w:rPr>
                <w:rStyle w:val="Strong"/>
              </w:rPr>
            </w:pPr>
            <w:r w:rsidRPr="001D78F4">
              <w:rPr>
                <w:rStyle w:val="Strong"/>
              </w:rPr>
              <w:t>39.3</w:t>
            </w:r>
          </w:p>
        </w:tc>
        <w:tc>
          <w:tcPr>
            <w:tcW w:w="1031" w:type="dxa"/>
            <w:noWrap/>
            <w:vAlign w:val="bottom"/>
          </w:tcPr>
          <w:p w:rsidR="003105EA" w:rsidRPr="008201A2" w:rsidRDefault="003105EA" w:rsidP="003105EA">
            <w:pPr>
              <w:cnfStyle w:val="000000000000" w:firstRow="0" w:lastRow="0" w:firstColumn="0" w:lastColumn="0" w:oddVBand="0" w:evenVBand="0" w:oddHBand="0" w:evenHBand="0" w:firstRowFirstColumn="0" w:firstRowLastColumn="0" w:lastRowFirstColumn="0" w:lastRowLastColumn="0"/>
              <w:rPr>
                <w:rStyle w:val="Strong"/>
              </w:rPr>
            </w:pPr>
            <w:r w:rsidRPr="001D78F4">
              <w:rPr>
                <w:rStyle w:val="Strong"/>
              </w:rPr>
              <w:t>42.6</w:t>
            </w:r>
          </w:p>
        </w:tc>
        <w:tc>
          <w:tcPr>
            <w:tcW w:w="1031" w:type="dxa"/>
            <w:vAlign w:val="bottom"/>
          </w:tcPr>
          <w:p w:rsidR="003105EA" w:rsidRPr="008201A2" w:rsidRDefault="003105EA" w:rsidP="003105EA">
            <w:pPr>
              <w:cnfStyle w:val="000000000000" w:firstRow="0" w:lastRow="0" w:firstColumn="0" w:lastColumn="0" w:oddVBand="0" w:evenVBand="0" w:oddHBand="0" w:evenHBand="0" w:firstRowFirstColumn="0" w:firstRowLastColumn="0" w:lastRowFirstColumn="0" w:lastRowLastColumn="0"/>
              <w:rPr>
                <w:rStyle w:val="Strong"/>
              </w:rPr>
            </w:pPr>
            <w:r w:rsidRPr="001D78F4">
              <w:rPr>
                <w:rStyle w:val="Strong"/>
              </w:rPr>
              <w:t>182.4</w:t>
            </w:r>
          </w:p>
        </w:tc>
      </w:tr>
    </w:tbl>
    <w:p w:rsidR="006273B7" w:rsidRDefault="006273B7" w:rsidP="00B7472B">
      <w:pPr>
        <w:pStyle w:val="AERtablesource"/>
        <w:keepNext/>
      </w:pPr>
      <w:r>
        <w:t xml:space="preserve">Source: </w:t>
      </w:r>
      <w:r>
        <w:tab/>
        <w:t xml:space="preserve">AER analysis. </w:t>
      </w:r>
    </w:p>
    <w:p w:rsidR="00132D43" w:rsidRDefault="004475B7" w:rsidP="00132D43">
      <w:pPr>
        <w:pStyle w:val="Heading2"/>
      </w:pPr>
      <w:bookmarkStart w:id="102" w:name="_Toc486836579"/>
      <w:r>
        <w:t>Multinet</w:t>
      </w:r>
      <w:r w:rsidR="00132D43">
        <w:t>’s proposal</w:t>
      </w:r>
      <w:bookmarkEnd w:id="102"/>
    </w:p>
    <w:p w:rsidR="009C7FCF" w:rsidRDefault="00606E5C" w:rsidP="009C7FCF">
      <w:r>
        <w:t>Multinet</w:t>
      </w:r>
      <w:r w:rsidR="009C7FCF">
        <w:t xml:space="preserve"> used the AER's post-tax revenue model (PTRM) to calculate the forecast depreciation for the 2018–22 access arrangement </w:t>
      </w:r>
      <w:proofErr w:type="gramStart"/>
      <w:r w:rsidR="009C7FCF">
        <w:t>period</w:t>
      </w:r>
      <w:proofErr w:type="gramEnd"/>
      <w:r w:rsidR="009C7FCF">
        <w:t xml:space="preserve">. Its </w:t>
      </w:r>
      <w:r w:rsidR="009C7FCF" w:rsidRPr="00CA36EA">
        <w:t xml:space="preserve">proposed </w:t>
      </w:r>
      <w:r w:rsidR="009C7FCF">
        <w:t xml:space="preserve">regulatory </w:t>
      </w:r>
      <w:r w:rsidR="009C7FCF" w:rsidRPr="00CA36EA">
        <w:t xml:space="preserve">depreciation for </w:t>
      </w:r>
      <w:r w:rsidR="009C7FCF">
        <w:t>the</w:t>
      </w:r>
      <w:r w:rsidR="009C7FCF" w:rsidRPr="00CA36EA">
        <w:t xml:space="preserve"> </w:t>
      </w:r>
      <w:r w:rsidR="009C7FCF">
        <w:t>2018–22</w:t>
      </w:r>
      <w:r w:rsidR="009C7FCF" w:rsidRPr="00CA36EA">
        <w:t xml:space="preserve"> access arrangement </w:t>
      </w:r>
      <w:proofErr w:type="gramStart"/>
      <w:r w:rsidR="009C7FCF" w:rsidRPr="00CA36EA">
        <w:t>period</w:t>
      </w:r>
      <w:proofErr w:type="gramEnd"/>
      <w:r w:rsidR="009C7FCF" w:rsidRPr="00CA36EA">
        <w:t xml:space="preserve"> is set out in</w:t>
      </w:r>
      <w:r w:rsidR="009C7FCF">
        <w:t xml:space="preserve"> </w:t>
      </w:r>
      <w:r w:rsidR="009C7FCF">
        <w:fldChar w:fldCharType="begin"/>
      </w:r>
      <w:r w:rsidR="009C7FCF">
        <w:instrText xml:space="preserve"> REF  _Ref398892142 \* Lower \h  \* MERGEFORMAT </w:instrText>
      </w:r>
      <w:r w:rsidR="009C7FCF">
        <w:fldChar w:fldCharType="separate"/>
      </w:r>
      <w:r w:rsidR="00210078">
        <w:t>table 5.2</w:t>
      </w:r>
      <w:r w:rsidR="009C7FCF">
        <w:fldChar w:fldCharType="end"/>
      </w:r>
      <w:r w:rsidR="009C7FCF">
        <w:t>.</w:t>
      </w:r>
    </w:p>
    <w:p w:rsidR="00927114" w:rsidRDefault="00606E5C" w:rsidP="00927114">
      <w:r>
        <w:t>Multinet</w:t>
      </w:r>
      <w:r w:rsidR="00927114" w:rsidRPr="00E864D4">
        <w:t xml:space="preserve"> proposed </w:t>
      </w:r>
      <w:r w:rsidR="00B01957">
        <w:t>the</w:t>
      </w:r>
      <w:r w:rsidR="00927114" w:rsidRPr="00E864D4">
        <w:t xml:space="preserve"> year</w:t>
      </w:r>
      <w:r w:rsidR="00B01957">
        <w:t>-</w:t>
      </w:r>
      <w:r w:rsidR="00927114" w:rsidRPr="00E864D4">
        <w:t>by</w:t>
      </w:r>
      <w:r w:rsidR="00B01957">
        <w:t>-</w:t>
      </w:r>
      <w:r w:rsidR="00927114" w:rsidRPr="00E864D4">
        <w:t>year tracking approach to depreciation</w:t>
      </w:r>
      <w:r w:rsidR="00B01957">
        <w:t>, which implements the straight-line method</w:t>
      </w:r>
      <w:r w:rsidR="00927114" w:rsidRPr="00E864D4">
        <w:t>.</w:t>
      </w:r>
      <w:r w:rsidR="00927114">
        <w:rPr>
          <w:rStyle w:val="FootnoteReference"/>
        </w:rPr>
        <w:footnoteReference w:id="5"/>
      </w:r>
      <w:r w:rsidR="00927114" w:rsidRPr="00E864D4">
        <w:t xml:space="preserve">  </w:t>
      </w:r>
      <w:r w:rsidR="005F716F">
        <w:t>It</w:t>
      </w:r>
      <w:r w:rsidR="009E7FF8">
        <w:t xml:space="preserve"> proposed </w:t>
      </w:r>
      <w:r w:rsidR="00927114">
        <w:t>accelerated depreciation o</w:t>
      </w:r>
      <w:r w:rsidR="00B01957">
        <w:t>f its mains and services assets</w:t>
      </w:r>
      <w:r w:rsidR="00927114">
        <w:t xml:space="preserve"> </w:t>
      </w:r>
      <w:r w:rsidR="00B01957">
        <w:t>(</w:t>
      </w:r>
      <w:r w:rsidR="00927114">
        <w:t>distribution pipelines</w:t>
      </w:r>
      <w:r w:rsidR="00B01957">
        <w:t>)</w:t>
      </w:r>
      <w:r w:rsidR="00927114">
        <w:t xml:space="preserve"> it plans to replace, including both those pipes to be replaced over the </w:t>
      </w:r>
      <w:r w:rsidR="00B01957">
        <w:t xml:space="preserve">2018–22 </w:t>
      </w:r>
      <w:r w:rsidR="00927114">
        <w:t>access arrangement period and those pipes to be replaced in future periods</w:t>
      </w:r>
      <w:r w:rsidR="00927114" w:rsidRPr="00E864D4">
        <w:t>.</w:t>
      </w:r>
      <w:r w:rsidR="00927114">
        <w:rPr>
          <w:rStyle w:val="FootnoteReference"/>
        </w:rPr>
        <w:footnoteReference w:id="6"/>
      </w:r>
      <w:r w:rsidR="00927114" w:rsidRPr="00E864D4">
        <w:t xml:space="preserve"> </w:t>
      </w:r>
      <w:r w:rsidR="00B01957">
        <w:t>Multinet</w:t>
      </w:r>
      <w:r w:rsidR="005F716F" w:rsidRPr="00E864D4">
        <w:t xml:space="preserve"> proposed </w:t>
      </w:r>
      <w:r w:rsidR="005F716F">
        <w:t>new asset classes associated with its proposed replacement program</w:t>
      </w:r>
      <w:r w:rsidR="00036E77">
        <w:t xml:space="preserve"> and a new </w:t>
      </w:r>
      <w:r w:rsidR="00B01957">
        <w:t>'M</w:t>
      </w:r>
      <w:r w:rsidR="00036E77">
        <w:t>eters</w:t>
      </w:r>
      <w:r w:rsidR="00B01957">
        <w:t>'</w:t>
      </w:r>
      <w:r w:rsidR="00036E77">
        <w:t xml:space="preserve"> asset class</w:t>
      </w:r>
      <w:r w:rsidR="00B01957">
        <w:t xml:space="preserve"> for applying the accelerated depreciation</w:t>
      </w:r>
      <w:r w:rsidR="005F716F">
        <w:t>.</w:t>
      </w:r>
      <w:r w:rsidR="005F716F">
        <w:rPr>
          <w:rStyle w:val="FootnoteReference"/>
        </w:rPr>
        <w:footnoteReference w:id="7"/>
      </w:r>
      <w:r w:rsidR="005F716F">
        <w:t xml:space="preserve"> It also proposed reducing the standard asset lives for </w:t>
      </w:r>
      <w:r w:rsidR="00B01957">
        <w:t>the 'M</w:t>
      </w:r>
      <w:r w:rsidR="005F716F">
        <w:t>eters</w:t>
      </w:r>
      <w:r w:rsidR="00B01957">
        <w:t>'</w:t>
      </w:r>
      <w:r w:rsidR="005F716F">
        <w:t xml:space="preserve"> and </w:t>
      </w:r>
      <w:r w:rsidR="00B01957">
        <w:t>'B</w:t>
      </w:r>
      <w:r w:rsidR="005F716F">
        <w:t>uildings</w:t>
      </w:r>
      <w:r w:rsidR="00B01957">
        <w:t>' asset classes</w:t>
      </w:r>
      <w:r w:rsidR="00E917A7">
        <w:t xml:space="preserve"> and scaled down the remaining asset lives of buildings proportionately</w:t>
      </w:r>
      <w:r w:rsidR="005F716F">
        <w:t>.</w:t>
      </w:r>
      <w:r w:rsidR="005F716F">
        <w:rPr>
          <w:rStyle w:val="FootnoteReference"/>
        </w:rPr>
        <w:footnoteReference w:id="8"/>
      </w:r>
    </w:p>
    <w:p w:rsidR="006A6B11" w:rsidRDefault="006A6B11" w:rsidP="00927114">
      <w:r w:rsidRPr="006A6B11">
        <w:t>The proposed regulatory depreciation</w:t>
      </w:r>
      <w:r w:rsidR="00B01957">
        <w:t xml:space="preserve"> allowance</w:t>
      </w:r>
      <w:r w:rsidRPr="006A6B11">
        <w:t xml:space="preserve"> is also significantly affected by the </w:t>
      </w:r>
      <w:r w:rsidR="00B01957">
        <w:t>expected</w:t>
      </w:r>
      <w:r w:rsidR="00B01957" w:rsidRPr="006A6B11">
        <w:t xml:space="preserve"> </w:t>
      </w:r>
      <w:r w:rsidRPr="006A6B11">
        <w:t xml:space="preserve">inflation rate. </w:t>
      </w:r>
      <w:r w:rsidR="00606E5C">
        <w:t>Multinet</w:t>
      </w:r>
      <w:r w:rsidRPr="006A6B11">
        <w:t xml:space="preserve"> has proposed a change to the way this is </w:t>
      </w:r>
      <w:r w:rsidR="00B01957">
        <w:t>estimated</w:t>
      </w:r>
      <w:r w:rsidRPr="006A6B11">
        <w:t xml:space="preserve">. This is discussed in attachment </w:t>
      </w:r>
      <w:r w:rsidR="009E2AE8">
        <w:t>3</w:t>
      </w:r>
      <w:r w:rsidRPr="006A6B11">
        <w:t>.</w:t>
      </w:r>
    </w:p>
    <w:p w:rsidR="009C7FCF" w:rsidRPr="005B5FC5" w:rsidRDefault="009C7FCF" w:rsidP="00B7472B">
      <w:pPr>
        <w:pStyle w:val="Caption"/>
      </w:pPr>
      <w:bookmarkStart w:id="103" w:name="_Ref398892142"/>
      <w:proofErr w:type="gramStart"/>
      <w:r>
        <w:t xml:space="preserve">Table </w:t>
      </w:r>
      <w:proofErr w:type="gramEnd"/>
      <w:r w:rsidR="009830B5">
        <w:fldChar w:fldCharType="begin"/>
      </w:r>
      <w:r w:rsidR="009830B5">
        <w:instrText xml:space="preserve"> STYLEREF 1 \s </w:instrText>
      </w:r>
      <w:r w:rsidR="009830B5">
        <w:fldChar w:fldCharType="separate"/>
      </w:r>
      <w:r w:rsidR="00210078">
        <w:rPr>
          <w:noProof/>
        </w:rPr>
        <w:t>5</w:t>
      </w:r>
      <w:r w:rsidR="009830B5">
        <w:rPr>
          <w:noProof/>
        </w:rPr>
        <w:fldChar w:fldCharType="end"/>
      </w:r>
      <w:proofErr w:type="gramStart"/>
      <w:r w:rsidR="00384F43">
        <w:t>.</w:t>
      </w:r>
      <w:proofErr w:type="gramEnd"/>
      <w:r w:rsidR="006203F1">
        <w:fldChar w:fldCharType="begin"/>
      </w:r>
      <w:r w:rsidR="006203F1">
        <w:instrText xml:space="preserve"> SEQ Table \* ARABIC \s 1 </w:instrText>
      </w:r>
      <w:r w:rsidR="006203F1">
        <w:fldChar w:fldCharType="separate"/>
      </w:r>
      <w:r w:rsidR="00210078">
        <w:rPr>
          <w:noProof/>
        </w:rPr>
        <w:t>2</w:t>
      </w:r>
      <w:r w:rsidR="006203F1">
        <w:rPr>
          <w:noProof/>
        </w:rPr>
        <w:fldChar w:fldCharType="end"/>
      </w:r>
      <w:bookmarkEnd w:id="103"/>
      <w:r w:rsidRPr="005B5FC5">
        <w:tab/>
      </w:r>
      <w:r w:rsidR="00606E5C">
        <w:t>Multinet</w:t>
      </w:r>
      <w:r w:rsidRPr="005B5FC5">
        <w:t>’s proposed regulatory depreciation for the 201</w:t>
      </w:r>
      <w:r>
        <w:t>8</w:t>
      </w:r>
      <w:r w:rsidRPr="005B5FC5">
        <w:t>–2</w:t>
      </w:r>
      <w:r>
        <w:t>2</w:t>
      </w:r>
      <w:r w:rsidRPr="005B5FC5">
        <w:t xml:space="preserve"> access arrangement period ($million, nominal)</w:t>
      </w:r>
    </w:p>
    <w:tbl>
      <w:tblPr>
        <w:tblStyle w:val="AERtable-numbers"/>
        <w:tblW w:w="8755" w:type="dxa"/>
        <w:tblLayout w:type="fixed"/>
        <w:tblLook w:val="04A0" w:firstRow="1" w:lastRow="0" w:firstColumn="1" w:lastColumn="0" w:noHBand="0" w:noVBand="1"/>
      </w:tblPr>
      <w:tblGrid>
        <w:gridCol w:w="2563"/>
        <w:gridCol w:w="1032"/>
        <w:gridCol w:w="1032"/>
        <w:gridCol w:w="1032"/>
        <w:gridCol w:w="1032"/>
        <w:gridCol w:w="1032"/>
        <w:gridCol w:w="1032"/>
      </w:tblGrid>
      <w:tr w:rsidR="009C7FCF" w:rsidRPr="00A575B0" w:rsidTr="00B01957">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563" w:type="dxa"/>
            <w:noWrap/>
            <w:hideMark/>
          </w:tcPr>
          <w:p w:rsidR="009C7FCF" w:rsidRPr="00A575B0" w:rsidRDefault="009C7FCF" w:rsidP="00B7472B">
            <w:pPr>
              <w:keepNext/>
            </w:pPr>
          </w:p>
        </w:tc>
        <w:tc>
          <w:tcPr>
            <w:tcW w:w="1032" w:type="dxa"/>
            <w:noWrap/>
          </w:tcPr>
          <w:p w:rsidR="009C7FCF" w:rsidRPr="009C7FCF" w:rsidRDefault="009C7FCF" w:rsidP="00B7472B">
            <w:pPr>
              <w:keepNext/>
              <w:cnfStyle w:val="100000000000" w:firstRow="1" w:lastRow="0" w:firstColumn="0" w:lastColumn="0" w:oddVBand="0" w:evenVBand="0" w:oddHBand="0" w:evenHBand="0" w:firstRowFirstColumn="0" w:firstRowLastColumn="0" w:lastRowFirstColumn="0" w:lastRowLastColumn="0"/>
            </w:pPr>
            <w:r>
              <w:t>20</w:t>
            </w:r>
            <w:r w:rsidRPr="009C7FCF">
              <w:t>18</w:t>
            </w:r>
          </w:p>
        </w:tc>
        <w:tc>
          <w:tcPr>
            <w:tcW w:w="1032" w:type="dxa"/>
            <w:noWrap/>
          </w:tcPr>
          <w:p w:rsidR="009C7FCF" w:rsidRPr="009C7FCF" w:rsidRDefault="009C7FCF" w:rsidP="00B7472B">
            <w:pPr>
              <w:keepNext/>
              <w:cnfStyle w:val="100000000000" w:firstRow="1" w:lastRow="0" w:firstColumn="0" w:lastColumn="0" w:oddVBand="0" w:evenVBand="0" w:oddHBand="0" w:evenHBand="0" w:firstRowFirstColumn="0" w:firstRowLastColumn="0" w:lastRowFirstColumn="0" w:lastRowLastColumn="0"/>
            </w:pPr>
            <w:r>
              <w:t>20</w:t>
            </w:r>
            <w:r w:rsidRPr="009C7FCF">
              <w:t>19</w:t>
            </w:r>
          </w:p>
        </w:tc>
        <w:tc>
          <w:tcPr>
            <w:tcW w:w="1032" w:type="dxa"/>
            <w:noWrap/>
          </w:tcPr>
          <w:p w:rsidR="009C7FCF" w:rsidRPr="009C7FCF" w:rsidRDefault="009C7FCF" w:rsidP="00B7472B">
            <w:pPr>
              <w:keepNext/>
              <w:cnfStyle w:val="100000000000" w:firstRow="1" w:lastRow="0" w:firstColumn="0" w:lastColumn="0" w:oddVBand="0" w:evenVBand="0" w:oddHBand="0" w:evenHBand="0" w:firstRowFirstColumn="0" w:firstRowLastColumn="0" w:lastRowFirstColumn="0" w:lastRowLastColumn="0"/>
            </w:pPr>
            <w:r>
              <w:t>20</w:t>
            </w:r>
            <w:r w:rsidRPr="009C7FCF">
              <w:t>20</w:t>
            </w:r>
          </w:p>
        </w:tc>
        <w:tc>
          <w:tcPr>
            <w:tcW w:w="1032" w:type="dxa"/>
            <w:noWrap/>
          </w:tcPr>
          <w:p w:rsidR="009C7FCF" w:rsidRPr="009C7FCF" w:rsidRDefault="009C7FCF" w:rsidP="00B7472B">
            <w:pPr>
              <w:keepNext/>
              <w:cnfStyle w:val="100000000000" w:firstRow="1" w:lastRow="0" w:firstColumn="0" w:lastColumn="0" w:oddVBand="0" w:evenVBand="0" w:oddHBand="0" w:evenHBand="0" w:firstRowFirstColumn="0" w:firstRowLastColumn="0" w:lastRowFirstColumn="0" w:lastRowLastColumn="0"/>
            </w:pPr>
            <w:r>
              <w:t>20</w:t>
            </w:r>
            <w:r w:rsidRPr="009C7FCF">
              <w:t>21</w:t>
            </w:r>
          </w:p>
        </w:tc>
        <w:tc>
          <w:tcPr>
            <w:tcW w:w="1032" w:type="dxa"/>
            <w:noWrap/>
          </w:tcPr>
          <w:p w:rsidR="009C7FCF" w:rsidRPr="009C7FCF" w:rsidRDefault="009C7FCF" w:rsidP="00B7472B">
            <w:pPr>
              <w:keepNext/>
              <w:cnfStyle w:val="100000000000" w:firstRow="1" w:lastRow="0" w:firstColumn="0" w:lastColumn="0" w:oddVBand="0" w:evenVBand="0" w:oddHBand="0" w:evenHBand="0" w:firstRowFirstColumn="0" w:firstRowLastColumn="0" w:lastRowFirstColumn="0" w:lastRowLastColumn="0"/>
            </w:pPr>
            <w:r>
              <w:t>20</w:t>
            </w:r>
            <w:r w:rsidRPr="009C7FCF">
              <w:t>22</w:t>
            </w:r>
          </w:p>
        </w:tc>
        <w:tc>
          <w:tcPr>
            <w:tcW w:w="1032" w:type="dxa"/>
          </w:tcPr>
          <w:p w:rsidR="009C7FCF" w:rsidRPr="009C7FCF" w:rsidRDefault="009C7FCF" w:rsidP="00B7472B">
            <w:pPr>
              <w:keepNext/>
              <w:cnfStyle w:val="100000000000" w:firstRow="1" w:lastRow="0" w:firstColumn="0" w:lastColumn="0" w:oddVBand="0" w:evenVBand="0" w:oddHBand="0" w:evenHBand="0" w:firstRowFirstColumn="0" w:firstRowLastColumn="0" w:lastRowFirstColumn="0" w:lastRowLastColumn="0"/>
            </w:pPr>
            <w:r w:rsidRPr="00964F02">
              <w:t>Total</w:t>
            </w:r>
          </w:p>
        </w:tc>
      </w:tr>
      <w:tr w:rsidR="00C0544E" w:rsidRPr="009603F9" w:rsidTr="00B01957">
        <w:trPr>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C0544E" w:rsidRPr="00C0544E" w:rsidRDefault="00C0544E" w:rsidP="00B7472B">
            <w:pPr>
              <w:keepNext/>
            </w:pPr>
            <w:r w:rsidRPr="002D595E">
              <w:t>Straight-line depreciation</w:t>
            </w:r>
          </w:p>
        </w:tc>
        <w:tc>
          <w:tcPr>
            <w:tcW w:w="1032" w:type="dxa"/>
            <w:noWrap/>
            <w:vAlign w:val="top"/>
          </w:tcPr>
          <w:p w:rsidR="00C0544E" w:rsidRPr="00C0544E" w:rsidRDefault="00C0544E" w:rsidP="00B7472B">
            <w:pPr>
              <w:keepNext/>
              <w:cnfStyle w:val="000000000000" w:firstRow="0" w:lastRow="0" w:firstColumn="0" w:lastColumn="0" w:oddVBand="0" w:evenVBand="0" w:oddHBand="0" w:evenHBand="0" w:firstRowFirstColumn="0" w:firstRowLastColumn="0" w:lastRowFirstColumn="0" w:lastRowLastColumn="0"/>
            </w:pPr>
            <w:r w:rsidRPr="00C0544E">
              <w:t>66.6</w:t>
            </w:r>
          </w:p>
        </w:tc>
        <w:tc>
          <w:tcPr>
            <w:tcW w:w="1032" w:type="dxa"/>
            <w:noWrap/>
            <w:vAlign w:val="top"/>
          </w:tcPr>
          <w:p w:rsidR="00C0544E" w:rsidRPr="00C0544E" w:rsidRDefault="00C0544E" w:rsidP="00B7472B">
            <w:pPr>
              <w:keepNext/>
              <w:cnfStyle w:val="000000000000" w:firstRow="0" w:lastRow="0" w:firstColumn="0" w:lastColumn="0" w:oddVBand="0" w:evenVBand="0" w:oddHBand="0" w:evenHBand="0" w:firstRowFirstColumn="0" w:firstRowLastColumn="0" w:lastRowFirstColumn="0" w:lastRowLastColumn="0"/>
            </w:pPr>
            <w:r w:rsidRPr="00C0544E">
              <w:t>69.3</w:t>
            </w:r>
          </w:p>
        </w:tc>
        <w:tc>
          <w:tcPr>
            <w:tcW w:w="1032" w:type="dxa"/>
            <w:noWrap/>
            <w:vAlign w:val="top"/>
          </w:tcPr>
          <w:p w:rsidR="00C0544E" w:rsidRPr="00C0544E" w:rsidRDefault="00C0544E" w:rsidP="00B7472B">
            <w:pPr>
              <w:keepNext/>
              <w:cnfStyle w:val="000000000000" w:firstRow="0" w:lastRow="0" w:firstColumn="0" w:lastColumn="0" w:oddVBand="0" w:evenVBand="0" w:oddHBand="0" w:evenHBand="0" w:firstRowFirstColumn="0" w:firstRowLastColumn="0" w:lastRowFirstColumn="0" w:lastRowLastColumn="0"/>
            </w:pPr>
            <w:r w:rsidRPr="00C0544E">
              <w:t>70.5</w:t>
            </w:r>
          </w:p>
        </w:tc>
        <w:tc>
          <w:tcPr>
            <w:tcW w:w="1032" w:type="dxa"/>
            <w:noWrap/>
            <w:vAlign w:val="top"/>
          </w:tcPr>
          <w:p w:rsidR="00C0544E" w:rsidRPr="00C0544E" w:rsidRDefault="00C0544E" w:rsidP="00B7472B">
            <w:pPr>
              <w:keepNext/>
              <w:cnfStyle w:val="000000000000" w:firstRow="0" w:lastRow="0" w:firstColumn="0" w:lastColumn="0" w:oddVBand="0" w:evenVBand="0" w:oddHBand="0" w:evenHBand="0" w:firstRowFirstColumn="0" w:firstRowLastColumn="0" w:lastRowFirstColumn="0" w:lastRowLastColumn="0"/>
            </w:pPr>
            <w:r w:rsidRPr="00C0544E">
              <w:t>74.7</w:t>
            </w:r>
          </w:p>
        </w:tc>
        <w:tc>
          <w:tcPr>
            <w:tcW w:w="1032" w:type="dxa"/>
            <w:noWrap/>
            <w:vAlign w:val="top"/>
          </w:tcPr>
          <w:p w:rsidR="00C0544E" w:rsidRPr="00C0544E" w:rsidRDefault="00C0544E" w:rsidP="00B7472B">
            <w:pPr>
              <w:keepNext/>
              <w:cnfStyle w:val="000000000000" w:firstRow="0" w:lastRow="0" w:firstColumn="0" w:lastColumn="0" w:oddVBand="0" w:evenVBand="0" w:oddHBand="0" w:evenHBand="0" w:firstRowFirstColumn="0" w:firstRowLastColumn="0" w:lastRowFirstColumn="0" w:lastRowLastColumn="0"/>
            </w:pPr>
            <w:r w:rsidRPr="00C0544E">
              <w:t>79.1</w:t>
            </w:r>
          </w:p>
        </w:tc>
        <w:tc>
          <w:tcPr>
            <w:tcW w:w="1032" w:type="dxa"/>
            <w:vAlign w:val="top"/>
          </w:tcPr>
          <w:p w:rsidR="00C0544E" w:rsidRPr="00C0544E" w:rsidRDefault="00005747" w:rsidP="00B7472B">
            <w:pPr>
              <w:keepNext/>
              <w:cnfStyle w:val="000000000000" w:firstRow="0" w:lastRow="0" w:firstColumn="0" w:lastColumn="0" w:oddVBand="0" w:evenVBand="0" w:oddHBand="0" w:evenHBand="0" w:firstRowFirstColumn="0" w:firstRowLastColumn="0" w:lastRowFirstColumn="0" w:lastRowLastColumn="0"/>
            </w:pPr>
            <w:r>
              <w:t>360.1</w:t>
            </w:r>
          </w:p>
        </w:tc>
      </w:tr>
      <w:tr w:rsidR="00C0544E" w:rsidRPr="009603F9" w:rsidTr="00B01957">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C0544E" w:rsidRPr="00C0544E" w:rsidRDefault="00C0544E" w:rsidP="00B7472B">
            <w:pPr>
              <w:keepNext/>
            </w:pPr>
            <w:r w:rsidRPr="002D595E">
              <w:rPr>
                <w:rStyle w:val="AERtextitalic"/>
              </w:rPr>
              <w:t xml:space="preserve">Less: </w:t>
            </w:r>
            <w:r w:rsidRPr="00C0544E">
              <w:t xml:space="preserve">indexation on capital base </w:t>
            </w:r>
          </w:p>
        </w:tc>
        <w:tc>
          <w:tcPr>
            <w:tcW w:w="1032" w:type="dxa"/>
            <w:noWrap/>
            <w:vAlign w:val="top"/>
          </w:tcPr>
          <w:p w:rsidR="00C0544E" w:rsidRPr="00C0544E" w:rsidRDefault="00C0544E" w:rsidP="00B7472B">
            <w:pPr>
              <w:keepNext/>
              <w:cnfStyle w:val="000000010000" w:firstRow="0" w:lastRow="0" w:firstColumn="0" w:lastColumn="0" w:oddVBand="0" w:evenVBand="0" w:oddHBand="0" w:evenHBand="1" w:firstRowFirstColumn="0" w:firstRowLastColumn="0" w:lastRowFirstColumn="0" w:lastRowLastColumn="0"/>
            </w:pPr>
            <w:r w:rsidRPr="00C0544E">
              <w:t>20.0</w:t>
            </w:r>
          </w:p>
        </w:tc>
        <w:tc>
          <w:tcPr>
            <w:tcW w:w="1032" w:type="dxa"/>
            <w:noWrap/>
            <w:vAlign w:val="top"/>
          </w:tcPr>
          <w:p w:rsidR="00C0544E" w:rsidRPr="00C0544E" w:rsidRDefault="00C0544E" w:rsidP="00B7472B">
            <w:pPr>
              <w:keepNext/>
              <w:cnfStyle w:val="000000010000" w:firstRow="0" w:lastRow="0" w:firstColumn="0" w:lastColumn="0" w:oddVBand="0" w:evenVBand="0" w:oddHBand="0" w:evenHBand="1" w:firstRowFirstColumn="0" w:firstRowLastColumn="0" w:lastRowFirstColumn="0" w:lastRowLastColumn="0"/>
            </w:pPr>
            <w:r w:rsidRPr="00C0544E">
              <w:t>21.1</w:t>
            </w:r>
          </w:p>
        </w:tc>
        <w:tc>
          <w:tcPr>
            <w:tcW w:w="1032" w:type="dxa"/>
            <w:noWrap/>
            <w:vAlign w:val="top"/>
          </w:tcPr>
          <w:p w:rsidR="00C0544E" w:rsidRPr="00C0544E" w:rsidRDefault="00C0544E" w:rsidP="00B7472B">
            <w:pPr>
              <w:keepNext/>
              <w:cnfStyle w:val="000000010000" w:firstRow="0" w:lastRow="0" w:firstColumn="0" w:lastColumn="0" w:oddVBand="0" w:evenVBand="0" w:oddHBand="0" w:evenHBand="1" w:firstRowFirstColumn="0" w:firstRowLastColumn="0" w:lastRowFirstColumn="0" w:lastRowLastColumn="0"/>
            </w:pPr>
            <w:r w:rsidRPr="00C0544E">
              <w:t>21.9</w:t>
            </w:r>
          </w:p>
        </w:tc>
        <w:tc>
          <w:tcPr>
            <w:tcW w:w="1032" w:type="dxa"/>
            <w:noWrap/>
            <w:vAlign w:val="top"/>
          </w:tcPr>
          <w:p w:rsidR="00C0544E" w:rsidRPr="00C0544E" w:rsidRDefault="00C0544E" w:rsidP="00B7472B">
            <w:pPr>
              <w:keepNext/>
              <w:cnfStyle w:val="000000010000" w:firstRow="0" w:lastRow="0" w:firstColumn="0" w:lastColumn="0" w:oddVBand="0" w:evenVBand="0" w:oddHBand="0" w:evenHBand="1" w:firstRowFirstColumn="0" w:firstRowLastColumn="0" w:lastRowFirstColumn="0" w:lastRowLastColumn="0"/>
            </w:pPr>
            <w:r w:rsidRPr="00C0544E">
              <w:t>22.7</w:t>
            </w:r>
          </w:p>
        </w:tc>
        <w:tc>
          <w:tcPr>
            <w:tcW w:w="1032" w:type="dxa"/>
            <w:noWrap/>
            <w:vAlign w:val="top"/>
          </w:tcPr>
          <w:p w:rsidR="00C0544E" w:rsidRPr="00C0544E" w:rsidRDefault="00C0544E" w:rsidP="00B7472B">
            <w:pPr>
              <w:keepNext/>
              <w:cnfStyle w:val="000000010000" w:firstRow="0" w:lastRow="0" w:firstColumn="0" w:lastColumn="0" w:oddVBand="0" w:evenVBand="0" w:oddHBand="0" w:evenHBand="1" w:firstRowFirstColumn="0" w:firstRowLastColumn="0" w:lastRowFirstColumn="0" w:lastRowLastColumn="0"/>
            </w:pPr>
            <w:r w:rsidRPr="00C0544E">
              <w:t>23.6</w:t>
            </w:r>
          </w:p>
        </w:tc>
        <w:tc>
          <w:tcPr>
            <w:tcW w:w="1032" w:type="dxa"/>
            <w:vAlign w:val="top"/>
          </w:tcPr>
          <w:p w:rsidR="00C0544E" w:rsidRPr="00C0544E" w:rsidRDefault="00005747" w:rsidP="00B7472B">
            <w:pPr>
              <w:keepNext/>
              <w:cnfStyle w:val="000000010000" w:firstRow="0" w:lastRow="0" w:firstColumn="0" w:lastColumn="0" w:oddVBand="0" w:evenVBand="0" w:oddHBand="0" w:evenHBand="1" w:firstRowFirstColumn="0" w:firstRowLastColumn="0" w:lastRowFirstColumn="0" w:lastRowLastColumn="0"/>
            </w:pPr>
            <w:r>
              <w:t>109.3</w:t>
            </w:r>
          </w:p>
        </w:tc>
      </w:tr>
      <w:tr w:rsidR="00C0544E" w:rsidRPr="00A575B0" w:rsidTr="00B01957">
        <w:trPr>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C0544E" w:rsidRPr="00C0544E" w:rsidRDefault="00C0544E" w:rsidP="00B7472B">
            <w:pPr>
              <w:keepNext/>
              <w:rPr>
                <w:rStyle w:val="Strong"/>
              </w:rPr>
            </w:pPr>
            <w:r w:rsidRPr="002D595E">
              <w:rPr>
                <w:rStyle w:val="Strong"/>
              </w:rPr>
              <w:t>Regulatory depreciation</w:t>
            </w:r>
          </w:p>
        </w:tc>
        <w:tc>
          <w:tcPr>
            <w:tcW w:w="1032" w:type="dxa"/>
            <w:noWrap/>
            <w:vAlign w:val="top"/>
          </w:tcPr>
          <w:p w:rsidR="00C0544E" w:rsidRPr="00C0544E" w:rsidRDefault="00C0544E" w:rsidP="00B7472B">
            <w:pPr>
              <w:keepNext/>
              <w:cnfStyle w:val="000000000000" w:firstRow="0" w:lastRow="0" w:firstColumn="0" w:lastColumn="0" w:oddVBand="0" w:evenVBand="0" w:oddHBand="0" w:evenHBand="0" w:firstRowFirstColumn="0" w:firstRowLastColumn="0" w:lastRowFirstColumn="0" w:lastRowLastColumn="0"/>
              <w:rPr>
                <w:rStyle w:val="Strong"/>
              </w:rPr>
            </w:pPr>
            <w:r w:rsidRPr="00C0544E">
              <w:rPr>
                <w:rStyle w:val="Strong"/>
              </w:rPr>
              <w:t>46.5</w:t>
            </w:r>
          </w:p>
        </w:tc>
        <w:tc>
          <w:tcPr>
            <w:tcW w:w="1032" w:type="dxa"/>
            <w:noWrap/>
            <w:vAlign w:val="top"/>
          </w:tcPr>
          <w:p w:rsidR="00C0544E" w:rsidRPr="00C0544E" w:rsidRDefault="00C0544E" w:rsidP="00B7472B">
            <w:pPr>
              <w:keepNext/>
              <w:cnfStyle w:val="000000000000" w:firstRow="0" w:lastRow="0" w:firstColumn="0" w:lastColumn="0" w:oddVBand="0" w:evenVBand="0" w:oddHBand="0" w:evenHBand="0" w:firstRowFirstColumn="0" w:firstRowLastColumn="0" w:lastRowFirstColumn="0" w:lastRowLastColumn="0"/>
              <w:rPr>
                <w:rStyle w:val="Strong"/>
              </w:rPr>
            </w:pPr>
            <w:r w:rsidRPr="00C0544E">
              <w:rPr>
                <w:rStyle w:val="Strong"/>
              </w:rPr>
              <w:t>48.2</w:t>
            </w:r>
          </w:p>
        </w:tc>
        <w:tc>
          <w:tcPr>
            <w:tcW w:w="1032" w:type="dxa"/>
            <w:noWrap/>
            <w:vAlign w:val="top"/>
          </w:tcPr>
          <w:p w:rsidR="00C0544E" w:rsidRPr="00C0544E" w:rsidRDefault="00C0544E" w:rsidP="00B7472B">
            <w:pPr>
              <w:keepNext/>
              <w:cnfStyle w:val="000000000000" w:firstRow="0" w:lastRow="0" w:firstColumn="0" w:lastColumn="0" w:oddVBand="0" w:evenVBand="0" w:oddHBand="0" w:evenHBand="0" w:firstRowFirstColumn="0" w:firstRowLastColumn="0" w:lastRowFirstColumn="0" w:lastRowLastColumn="0"/>
              <w:rPr>
                <w:rStyle w:val="Strong"/>
              </w:rPr>
            </w:pPr>
            <w:r w:rsidRPr="00C0544E">
              <w:rPr>
                <w:rStyle w:val="Strong"/>
              </w:rPr>
              <w:t>48.6</w:t>
            </w:r>
          </w:p>
        </w:tc>
        <w:tc>
          <w:tcPr>
            <w:tcW w:w="1032" w:type="dxa"/>
            <w:noWrap/>
            <w:vAlign w:val="top"/>
          </w:tcPr>
          <w:p w:rsidR="00C0544E" w:rsidRPr="00C0544E" w:rsidRDefault="00C0544E" w:rsidP="00B7472B">
            <w:pPr>
              <w:keepNext/>
              <w:cnfStyle w:val="000000000000" w:firstRow="0" w:lastRow="0" w:firstColumn="0" w:lastColumn="0" w:oddVBand="0" w:evenVBand="0" w:oddHBand="0" w:evenHBand="0" w:firstRowFirstColumn="0" w:firstRowLastColumn="0" w:lastRowFirstColumn="0" w:lastRowLastColumn="0"/>
              <w:rPr>
                <w:rStyle w:val="Strong"/>
              </w:rPr>
            </w:pPr>
            <w:r w:rsidRPr="00C0544E">
              <w:rPr>
                <w:rStyle w:val="Strong"/>
              </w:rPr>
              <w:t>52.0</w:t>
            </w:r>
          </w:p>
        </w:tc>
        <w:tc>
          <w:tcPr>
            <w:tcW w:w="1032" w:type="dxa"/>
            <w:noWrap/>
            <w:vAlign w:val="top"/>
          </w:tcPr>
          <w:p w:rsidR="00C0544E" w:rsidRPr="00C0544E" w:rsidRDefault="00C0544E" w:rsidP="00B7472B">
            <w:pPr>
              <w:keepNext/>
              <w:cnfStyle w:val="000000000000" w:firstRow="0" w:lastRow="0" w:firstColumn="0" w:lastColumn="0" w:oddVBand="0" w:evenVBand="0" w:oddHBand="0" w:evenHBand="0" w:firstRowFirstColumn="0" w:firstRowLastColumn="0" w:lastRowFirstColumn="0" w:lastRowLastColumn="0"/>
              <w:rPr>
                <w:rStyle w:val="Strong"/>
              </w:rPr>
            </w:pPr>
            <w:r w:rsidRPr="00C0544E">
              <w:rPr>
                <w:rStyle w:val="Strong"/>
              </w:rPr>
              <w:t>55.5</w:t>
            </w:r>
          </w:p>
        </w:tc>
        <w:tc>
          <w:tcPr>
            <w:tcW w:w="1032" w:type="dxa"/>
            <w:vAlign w:val="top"/>
          </w:tcPr>
          <w:p w:rsidR="00C0544E" w:rsidRPr="00C0544E" w:rsidRDefault="00005747" w:rsidP="00B7472B">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250.8</w:t>
            </w:r>
          </w:p>
        </w:tc>
      </w:tr>
    </w:tbl>
    <w:p w:rsidR="000B3979" w:rsidRPr="001D78F4" w:rsidRDefault="009C7FCF" w:rsidP="001D78F4">
      <w:pPr>
        <w:pStyle w:val="AERtablesource"/>
      </w:pPr>
      <w:r w:rsidRPr="009C7FCF">
        <w:rPr>
          <w:rFonts w:eastAsia="Calibri"/>
        </w:rPr>
        <w:t xml:space="preserve">Source: </w:t>
      </w:r>
      <w:r w:rsidRPr="009C7FCF">
        <w:rPr>
          <w:rFonts w:eastAsia="Calibri"/>
        </w:rPr>
        <w:tab/>
      </w:r>
      <w:r w:rsidR="00D62DD7" w:rsidRPr="001D78F4">
        <w:rPr>
          <w:rStyle w:val="AERtextitalic"/>
          <w:i w:val="0"/>
        </w:rPr>
        <w:t xml:space="preserve">Multinet Gas - </w:t>
      </w:r>
      <w:r w:rsidR="00D62DD7" w:rsidRPr="00D62DD7">
        <w:rPr>
          <w:rStyle w:val="AERtextitalic"/>
        </w:rPr>
        <w:t>0.1 - Access Arrangement Review Pricing Model</w:t>
      </w:r>
      <w:r w:rsidR="00D62DD7" w:rsidRPr="001D78F4">
        <w:rPr>
          <w:rStyle w:val="AERtextitalic"/>
          <w:i w:val="0"/>
        </w:rPr>
        <w:t xml:space="preserve"> - 20161221 - PUBLIC</w:t>
      </w:r>
      <w:r w:rsidR="009E7FF8" w:rsidRPr="001D78F4">
        <w:rPr>
          <w:rStyle w:val="AERtextitalic"/>
          <w:i w:val="0"/>
        </w:rPr>
        <w:t>.</w:t>
      </w:r>
    </w:p>
    <w:p w:rsidR="00132D43" w:rsidRDefault="00132D43" w:rsidP="00132D43">
      <w:pPr>
        <w:pStyle w:val="Heading2"/>
      </w:pPr>
      <w:bookmarkStart w:id="104" w:name="_Toc486836580"/>
      <w:r>
        <w:t>Assessment approach</w:t>
      </w:r>
      <w:bookmarkEnd w:id="104"/>
    </w:p>
    <w:p w:rsidR="000B3979" w:rsidRDefault="000B3979" w:rsidP="000B3979">
      <w:r w:rsidRPr="00471C48">
        <w:t xml:space="preserve">In its access arrangement proposal, </w:t>
      </w:r>
      <w:r w:rsidR="00606E5C">
        <w:t>Multinet</w:t>
      </w:r>
      <w:r w:rsidRPr="00471C48">
        <w:t xml:space="preserve"> must provide a forecast of depreciation for the </w:t>
      </w:r>
      <w:r>
        <w:t>2018–22</w:t>
      </w:r>
      <w:r w:rsidRPr="00471C48">
        <w:t xml:space="preserve"> access arrangement </w:t>
      </w:r>
      <w:proofErr w:type="gramStart"/>
      <w:r w:rsidRPr="00471C48">
        <w:t>period</w:t>
      </w:r>
      <w:proofErr w:type="gramEnd"/>
      <w:r w:rsidRPr="00471C48">
        <w:t>, including a demonstration of how the forecast is derived on the basis of the proposed depreciation method.</w:t>
      </w:r>
      <w:r w:rsidRPr="00471C48">
        <w:rPr>
          <w:rStyle w:val="FootnoteReference"/>
        </w:rPr>
        <w:footnoteReference w:id="9"/>
      </w:r>
      <w:r w:rsidRPr="00471C48">
        <w:t xml:space="preserve"> </w:t>
      </w:r>
    </w:p>
    <w:p w:rsidR="000B3979" w:rsidRPr="006E4103" w:rsidRDefault="000B3979" w:rsidP="000B3979">
      <w:r w:rsidRPr="006E4103">
        <w:t>The depreciation schedule sets out the basis on which the pipeline assets constituting the capital base are to be depreciated for the purpose of determining a reference tariff. The depreciation schedule may consist of a number of separate schedules, each relating to a particular asset or class of asset.</w:t>
      </w:r>
      <w:r w:rsidRPr="006E4103">
        <w:rPr>
          <w:rStyle w:val="FootnoteReference"/>
        </w:rPr>
        <w:footnoteReference w:id="10"/>
      </w:r>
      <w:r w:rsidRPr="006E4103">
        <w:t xml:space="preserve"> In making a decision on the proposed depreciation schedule, we assess the compliance of the proposed depreciation schedule with the depreciation criteria set out in the NG</w:t>
      </w:r>
      <w:r w:rsidRPr="006E4103">
        <w:rPr>
          <w:rStyle w:val="AERbody"/>
        </w:rPr>
        <w:t>R.</w:t>
      </w:r>
      <w:r w:rsidRPr="006E4103">
        <w:rPr>
          <w:rStyle w:val="FootnoteReference"/>
        </w:rPr>
        <w:footnoteReference w:id="11"/>
      </w:r>
      <w:r w:rsidRPr="006E4103">
        <w:rPr>
          <w:rStyle w:val="AERbody"/>
        </w:rPr>
        <w:t xml:space="preserve"> </w:t>
      </w:r>
      <w:r>
        <w:t>We</w:t>
      </w:r>
      <w:r w:rsidRPr="00471C48">
        <w:t xml:space="preserve"> must also take into account the NGO and the revenue and pricing principles.</w:t>
      </w:r>
      <w:r w:rsidRPr="00471C48">
        <w:rPr>
          <w:rStyle w:val="FootnoteReference"/>
        </w:rPr>
        <w:footnoteReference w:id="12"/>
      </w:r>
    </w:p>
    <w:p w:rsidR="000B3979" w:rsidRPr="00471C48" w:rsidRDefault="000B3979" w:rsidP="000B3979">
      <w:pPr>
        <w:rPr>
          <w:rStyle w:val="AERbody"/>
        </w:rPr>
      </w:pPr>
      <w:r>
        <w:rPr>
          <w:rStyle w:val="AERbody"/>
        </w:rPr>
        <w:t xml:space="preserve">Our </w:t>
      </w:r>
      <w:r w:rsidRPr="00471C48">
        <w:rPr>
          <w:rStyle w:val="AERbody"/>
        </w:rPr>
        <w:t>discretion under the depreciation criteria is limited.</w:t>
      </w:r>
      <w:r w:rsidRPr="00471C48">
        <w:rPr>
          <w:rStyle w:val="FootnoteReference"/>
        </w:rPr>
        <w:footnoteReference w:id="13"/>
      </w:r>
      <w:r w:rsidRPr="00471C48">
        <w:rPr>
          <w:rStyle w:val="AERbody"/>
        </w:rPr>
        <w:t xml:space="preserve"> The depreciation criteria state that </w:t>
      </w:r>
      <w:r w:rsidRPr="00471C48">
        <w:t>the depreciation schedule should be designed:</w:t>
      </w:r>
    </w:p>
    <w:p w:rsidR="000B3979" w:rsidRPr="00A226D5" w:rsidRDefault="000B3979" w:rsidP="000B3979">
      <w:pPr>
        <w:pStyle w:val="AERbulletlistfirststyle"/>
      </w:pPr>
      <w:r w:rsidRPr="00B9583E">
        <w:t>so that reference tariffs will vary, over time, in a way that promotes efficient growth in the market for reference services</w:t>
      </w:r>
      <w:r w:rsidRPr="00A226D5">
        <w:rPr>
          <w:rStyle w:val="FootnoteReference"/>
        </w:rPr>
        <w:footnoteReference w:id="14"/>
      </w:r>
    </w:p>
    <w:p w:rsidR="000B3979" w:rsidRPr="00A226D5" w:rsidRDefault="000B3979" w:rsidP="000B3979">
      <w:pPr>
        <w:pStyle w:val="AERbulletlistfirststyle"/>
      </w:pPr>
      <w:r w:rsidRPr="00B9583E">
        <w:t>so that each asset or group of assets is depreciated over the economic life of that asset or group of assets</w:t>
      </w:r>
      <w:r w:rsidRPr="00A226D5">
        <w:rPr>
          <w:rStyle w:val="FootnoteReference"/>
        </w:rPr>
        <w:footnoteReference w:id="15"/>
      </w:r>
    </w:p>
    <w:p w:rsidR="000B3979" w:rsidRPr="00A226D5" w:rsidRDefault="000B3979" w:rsidP="000B3979">
      <w:pPr>
        <w:pStyle w:val="AERbulletlistfirststyle"/>
      </w:pPr>
      <w:r w:rsidRPr="00B9583E">
        <w:t>so as to allow, as far as reasonably practicable, for adjustment reflecting changes in the expected economic life of a particular asset, or a particular group of assets</w:t>
      </w:r>
      <w:r w:rsidRPr="00A226D5">
        <w:rPr>
          <w:rStyle w:val="FootnoteReference"/>
        </w:rPr>
        <w:footnoteReference w:id="16"/>
      </w:r>
    </w:p>
    <w:p w:rsidR="000B3979" w:rsidRPr="00A226D5" w:rsidRDefault="000B3979" w:rsidP="000B3979">
      <w:pPr>
        <w:pStyle w:val="AERbulletlistfirststyle"/>
      </w:pPr>
      <w:r w:rsidRPr="00B9583E">
        <w:t xml:space="preserve">so that (subject to the rules about capital redundancy), an </w:t>
      </w:r>
      <w:r w:rsidRPr="00A226D5">
        <w:t>asset is depreciated only once</w:t>
      </w:r>
      <w:r w:rsidRPr="00A226D5">
        <w:rPr>
          <w:rStyle w:val="FootnoteReference"/>
        </w:rPr>
        <w:footnoteReference w:id="17"/>
      </w:r>
      <w:r w:rsidRPr="00A226D5">
        <w:t xml:space="preserve"> </w:t>
      </w:r>
    </w:p>
    <w:p w:rsidR="000B3979" w:rsidRPr="00A226D5" w:rsidRDefault="000B3979" w:rsidP="000B3979">
      <w:pPr>
        <w:pStyle w:val="AERbulletlistfirststyle"/>
      </w:pPr>
      <w:proofErr w:type="gramStart"/>
      <w:r w:rsidRPr="00B9583E">
        <w:t>so</w:t>
      </w:r>
      <w:proofErr w:type="gramEnd"/>
      <w:r w:rsidRPr="00B9583E">
        <w:t xml:space="preserve"> as to allow for the service provider's reasonable needs for cash flow to meet financing, non-capital and other costs.</w:t>
      </w:r>
      <w:r w:rsidRPr="00A226D5">
        <w:rPr>
          <w:rStyle w:val="FootnoteReference"/>
        </w:rPr>
        <w:footnoteReference w:id="18"/>
      </w:r>
    </w:p>
    <w:p w:rsidR="000B3979" w:rsidRDefault="000B3979" w:rsidP="000B3979">
      <w:r w:rsidRPr="00471C48">
        <w:t xml:space="preserve">The depreciation criteria also </w:t>
      </w:r>
      <w:r w:rsidR="0055748A">
        <w:t>provide that</w:t>
      </w:r>
      <w:r>
        <w:t xml:space="preserve"> </w:t>
      </w:r>
      <w:r w:rsidRPr="00471C48">
        <w:t>a substantial amount of depreciation may be deferred.</w:t>
      </w:r>
      <w:r w:rsidRPr="006E4103">
        <w:rPr>
          <w:rStyle w:val="FootnoteReference"/>
        </w:rPr>
        <w:footnoteReference w:id="19"/>
      </w:r>
    </w:p>
    <w:p w:rsidR="00B64042" w:rsidRPr="00471C48" w:rsidRDefault="00B64042" w:rsidP="000B3979">
      <w:pPr>
        <w:rPr>
          <w:rStyle w:val="AERbody"/>
        </w:rPr>
      </w:pPr>
      <w:r>
        <w:t xml:space="preserve">The rules also require that any forecast must be arrived at on a reasonable basis and </w:t>
      </w:r>
      <w:r w:rsidRPr="00B64042">
        <w:t>must represent the best forecast or estimate possible in the circumstances.</w:t>
      </w:r>
      <w:r>
        <w:rPr>
          <w:rStyle w:val="FootnoteReference"/>
        </w:rPr>
        <w:footnoteReference w:id="20"/>
      </w:r>
    </w:p>
    <w:p w:rsidR="000B3979" w:rsidRPr="00471C48" w:rsidRDefault="000B3979" w:rsidP="000B3979">
      <w:r>
        <w:t>The r</w:t>
      </w:r>
      <w:r w:rsidRPr="00471C48">
        <w:t xml:space="preserve">egulatory depreciation allowance is the net total of the </w:t>
      </w:r>
      <w:r>
        <w:t xml:space="preserve">real </w:t>
      </w:r>
      <w:r w:rsidRPr="00471C48">
        <w:t xml:space="preserve">straight-line depreciation </w:t>
      </w:r>
      <w:r w:rsidR="00395CCD">
        <w:t>(</w:t>
      </w:r>
      <w:r w:rsidR="00AF0F9C">
        <w:t>less the</w:t>
      </w:r>
      <w:r>
        <w:t xml:space="preserve"> annual inflation indexation </w:t>
      </w:r>
      <w:r w:rsidRPr="00471C48">
        <w:t xml:space="preserve">on the projected capital base. </w:t>
      </w:r>
      <w:r>
        <w:t>Our</w:t>
      </w:r>
      <w:r w:rsidRPr="00471C48">
        <w:t xml:space="preserve"> </w:t>
      </w:r>
      <w:r>
        <w:t>standard approach is to employ a</w:t>
      </w:r>
      <w:r w:rsidRPr="00471C48">
        <w:t xml:space="preserve"> straight-line method </w:t>
      </w:r>
      <w:r>
        <w:t>for calculating depreciation. We</w:t>
      </w:r>
      <w:r w:rsidRPr="00471C48">
        <w:t xml:space="preserve"> consider that the straight-line method satisfies the </w:t>
      </w:r>
      <w:r>
        <w:t xml:space="preserve">NGR’s </w:t>
      </w:r>
      <w:r w:rsidRPr="00471C48">
        <w:t>depreciation criteria.</w:t>
      </w:r>
      <w:r w:rsidRPr="00471C48">
        <w:rPr>
          <w:rStyle w:val="FootnoteReference"/>
        </w:rPr>
        <w:footnoteReference w:id="21"/>
      </w:r>
      <w:r w:rsidRPr="00471C48">
        <w:t xml:space="preserve"> This is because the straight-line method smooth</w:t>
      </w:r>
      <w:r>
        <w:t>s</w:t>
      </w:r>
      <w:r w:rsidRPr="00471C48">
        <w:t xml:space="preserve"> changes in the reference tariffs, promotes efficient growth of the market, allows assets to be depreciated only once and over its economic life, and allows for a service provider's reasonable needs for cash flow. </w:t>
      </w:r>
    </w:p>
    <w:p w:rsidR="000B3979" w:rsidRPr="00471C48" w:rsidRDefault="000B3979" w:rsidP="000B3979">
      <w:r w:rsidRPr="00471C48">
        <w:t xml:space="preserve">In assessing </w:t>
      </w:r>
      <w:r w:rsidR="00606E5C">
        <w:rPr>
          <w:rStyle w:val="AERbody"/>
        </w:rPr>
        <w:t>Multinet</w:t>
      </w:r>
      <w:r>
        <w:t>’s</w:t>
      </w:r>
      <w:r w:rsidRPr="00471C48">
        <w:t xml:space="preserve"> proposed regulatory depreciation allowance, </w:t>
      </w:r>
      <w:r>
        <w:t>we</w:t>
      </w:r>
      <w:r w:rsidRPr="00471C48">
        <w:t xml:space="preserve"> ha</w:t>
      </w:r>
      <w:r>
        <w:t>ve</w:t>
      </w:r>
      <w:r w:rsidRPr="00471C48">
        <w:t xml:space="preserve"> analysed </w:t>
      </w:r>
      <w:r w:rsidR="00606E5C">
        <w:t>Multinet</w:t>
      </w:r>
      <w:r>
        <w:t>’s</w:t>
      </w:r>
      <w:r w:rsidRPr="00471C48">
        <w:t xml:space="preserve"> proposed </w:t>
      </w:r>
      <w:r>
        <w:t xml:space="preserve">inputs to the PTRM </w:t>
      </w:r>
      <w:r w:rsidRPr="00471C48">
        <w:t>for calculating depreciation</w:t>
      </w:r>
      <w:r>
        <w:t xml:space="preserve"> for the 2018–22 access arrangement period. </w:t>
      </w:r>
      <w:r w:rsidRPr="00471C48">
        <w:t>These inputs include:</w:t>
      </w:r>
      <w:r>
        <w:t xml:space="preserve"> </w:t>
      </w:r>
    </w:p>
    <w:p w:rsidR="009E17F0" w:rsidRPr="00A226D5" w:rsidRDefault="009E17F0" w:rsidP="009E17F0">
      <w:pPr>
        <w:pStyle w:val="AERbulletlistfirststyle"/>
      </w:pPr>
      <w:r w:rsidRPr="00AF0F9C">
        <w:t xml:space="preserve">the depreciation </w:t>
      </w:r>
      <w:r>
        <w:t xml:space="preserve">associated with </w:t>
      </w:r>
      <w:r w:rsidR="00766152">
        <w:t xml:space="preserve">the </w:t>
      </w:r>
      <w:r w:rsidR="00380759" w:rsidRPr="00B9583E">
        <w:t>opening capital base as at 1</w:t>
      </w:r>
      <w:r w:rsidR="00380759">
        <w:t xml:space="preserve"> January</w:t>
      </w:r>
      <w:r w:rsidR="00380759" w:rsidRPr="00B9583E">
        <w:t xml:space="preserve"> 201</w:t>
      </w:r>
      <w:r w:rsidR="00380759">
        <w:t>8</w:t>
      </w:r>
      <w:r>
        <w:t>—</w:t>
      </w:r>
      <w:r w:rsidRPr="00AF0F9C">
        <w:t>calculated in a separate year-by-year tracking depreciation model</w:t>
      </w:r>
    </w:p>
    <w:p w:rsidR="000B3979" w:rsidRPr="00A226D5" w:rsidRDefault="000B3979" w:rsidP="000B3979">
      <w:pPr>
        <w:pStyle w:val="AERbulletlistfirststyle"/>
      </w:pPr>
      <w:r w:rsidRPr="00B9583E">
        <w:t>the forecast net capex in</w:t>
      </w:r>
      <w:r w:rsidR="003C6D2C">
        <w:t xml:space="preserve"> the 2018</w:t>
      </w:r>
      <w:r w:rsidRPr="00A226D5">
        <w:t>–22 access arrangement period</w:t>
      </w:r>
    </w:p>
    <w:p w:rsidR="00380759" w:rsidRDefault="000B3979" w:rsidP="00380759">
      <w:pPr>
        <w:pStyle w:val="AERbulletlistfirststyle"/>
      </w:pPr>
      <w:r w:rsidRPr="00B9583E">
        <w:t>the standard asset life for each asset class—used for calculating the depreciation of new assets associated with forecast net capex in the 201</w:t>
      </w:r>
      <w:r w:rsidR="003C6D2C">
        <w:t>8</w:t>
      </w:r>
      <w:r w:rsidRPr="00A226D5">
        <w:t>–22 access arrangement period</w:t>
      </w:r>
      <w:r w:rsidR="00380759" w:rsidRPr="00380759">
        <w:t xml:space="preserve"> </w:t>
      </w:r>
    </w:p>
    <w:p w:rsidR="00AF0F9C" w:rsidRDefault="00380759" w:rsidP="007A08B7">
      <w:pPr>
        <w:pStyle w:val="AERbulletlistfirststyle"/>
      </w:pPr>
      <w:proofErr w:type="gramStart"/>
      <w:r w:rsidRPr="00380759">
        <w:t>the</w:t>
      </w:r>
      <w:proofErr w:type="gramEnd"/>
      <w:r w:rsidRPr="00380759">
        <w:t xml:space="preserve"> indexation adjustment—based on the forecast capital base and expected inflation rate for the 2018–22 access arrangement period.</w:t>
      </w:r>
    </w:p>
    <w:p w:rsidR="000B3979" w:rsidRPr="00471C48" w:rsidRDefault="000B3979" w:rsidP="000B3979">
      <w:r>
        <w:t xml:space="preserve">Our </w:t>
      </w:r>
      <w:r w:rsidRPr="00471C48">
        <w:t>de</w:t>
      </w:r>
      <w:r w:rsidR="00BA5431">
        <w:t>cisions</w:t>
      </w:r>
      <w:r w:rsidRPr="00471C48">
        <w:t xml:space="preserve"> </w:t>
      </w:r>
      <w:r w:rsidR="00766152">
        <w:t>on the</w:t>
      </w:r>
      <w:r w:rsidRPr="00471C48">
        <w:t xml:space="preserve"> opening </w:t>
      </w:r>
      <w:r w:rsidR="00766152">
        <w:t xml:space="preserve">and forecast </w:t>
      </w:r>
      <w:r w:rsidRPr="005E445B">
        <w:t xml:space="preserve">capital base (attachment 2), </w:t>
      </w:r>
      <w:r w:rsidR="009E17F0">
        <w:t>expected inflation</w:t>
      </w:r>
      <w:r w:rsidRPr="005E445B">
        <w:t xml:space="preserve"> (attachment 3)</w:t>
      </w:r>
      <w:r>
        <w:t xml:space="preserve"> and </w:t>
      </w:r>
      <w:r w:rsidRPr="005E445B">
        <w:t>forecast net capex (attachment 6)</w:t>
      </w:r>
      <w:r w:rsidR="00766152">
        <w:t xml:space="preserve"> are set out elsewhere</w:t>
      </w:r>
      <w:r w:rsidRPr="005E445B">
        <w:t>.</w:t>
      </w:r>
      <w:r w:rsidRPr="00471C48">
        <w:t xml:space="preserve"> </w:t>
      </w:r>
      <w:r>
        <w:t xml:space="preserve">Our </w:t>
      </w:r>
      <w:r w:rsidRPr="00471C48">
        <w:t xml:space="preserve">decision on the required amendments to </w:t>
      </w:r>
      <w:r w:rsidR="00395CCD">
        <w:rPr>
          <w:rStyle w:val="AERbody"/>
        </w:rPr>
        <w:t>Multinet’</w:t>
      </w:r>
      <w:r w:rsidR="00395CCD">
        <w:t>s</w:t>
      </w:r>
      <w:r w:rsidR="00395CCD" w:rsidRPr="00471C48">
        <w:t xml:space="preserve"> </w:t>
      </w:r>
      <w:r w:rsidRPr="00471C48">
        <w:t xml:space="preserve">proposed regulatory depreciation allowance reflects </w:t>
      </w:r>
      <w:r>
        <w:t>our</w:t>
      </w:r>
      <w:r w:rsidRPr="00471C48">
        <w:t xml:space="preserve"> determinations on these building block components. </w:t>
      </w:r>
      <w:r w:rsidR="00395CCD">
        <w:t xml:space="preserve">Our </w:t>
      </w:r>
      <w:r w:rsidR="00395CCD" w:rsidRPr="00471C48">
        <w:t>assessment approach on the remaining input</w:t>
      </w:r>
      <w:r w:rsidR="00AF0F9C">
        <w:t>s</w:t>
      </w:r>
      <w:r w:rsidR="00395CCD" w:rsidRPr="00471C48">
        <w:t xml:space="preserve"> in the above list </w:t>
      </w:r>
      <w:r w:rsidR="001C06FD">
        <w:t>is</w:t>
      </w:r>
      <w:r w:rsidR="00395CCD" w:rsidRPr="00471C48">
        <w:t xml:space="preserve"> set out below.</w:t>
      </w:r>
    </w:p>
    <w:p w:rsidR="000B3979" w:rsidRPr="002D7525" w:rsidRDefault="000B3979" w:rsidP="000B3979">
      <w:r w:rsidRPr="00471C48">
        <w:t xml:space="preserve">In general, </w:t>
      </w:r>
      <w:r>
        <w:t>we</w:t>
      </w:r>
      <w:r w:rsidRPr="00471C48">
        <w:t xml:space="preserve"> consider that consistency in the standard </w:t>
      </w:r>
      <w:r>
        <w:t>asset</w:t>
      </w:r>
      <w:r w:rsidRPr="00471C48">
        <w:t xml:space="preserve"> life for each asset class across access arrangement periods will allow reference tariffs to vary smoothly over time. This will promote efficient growth in the market for reference services.</w:t>
      </w:r>
      <w:r w:rsidRPr="00471C48">
        <w:rPr>
          <w:rStyle w:val="FootnoteReference"/>
        </w:rPr>
        <w:footnoteReference w:id="22"/>
      </w:r>
      <w:r w:rsidRPr="00471C48">
        <w:t xml:space="preserve"> </w:t>
      </w:r>
      <w:r w:rsidR="00395CCD">
        <w:rPr>
          <w:rStyle w:val="AERbody"/>
        </w:rPr>
        <w:t xml:space="preserve">We usually depreciate a service provider's existing assets in the PTRM by using remaining asset lives at the start of an access arrangement period. </w:t>
      </w:r>
      <w:r>
        <w:t>Our</w:t>
      </w:r>
      <w:r w:rsidRPr="00471C48">
        <w:t xml:space="preserve"> standard method for determining the remaining </w:t>
      </w:r>
      <w:r>
        <w:t>asset</w:t>
      </w:r>
      <w:r w:rsidRPr="00471C48">
        <w:t xml:space="preserve"> lives is the weighted average method.</w:t>
      </w:r>
      <w:r>
        <w:rPr>
          <w:rStyle w:val="FootnoteReference"/>
        </w:rPr>
        <w:footnoteReference w:id="23"/>
      </w:r>
      <w:r w:rsidRPr="00471C48">
        <w:t xml:space="preserve"> The weighted average method rolls forward the remaining </w:t>
      </w:r>
      <w:r>
        <w:t>asset</w:t>
      </w:r>
      <w:r w:rsidRPr="00471C48">
        <w:t xml:space="preserve"> life for an asset class from the beginning of the earlier access arrangement period. This </w:t>
      </w:r>
      <w:r>
        <w:t>method</w:t>
      </w:r>
      <w:r w:rsidRPr="00471C48">
        <w:t xml:space="preserve"> reflects the mix of assets within that asset class</w:t>
      </w:r>
      <w:r>
        <w:t>. It also reflects</w:t>
      </w:r>
      <w:r w:rsidRPr="00471C48">
        <w:t xml:space="preserve"> when the</w:t>
      </w:r>
      <w:r>
        <w:t xml:space="preserve"> assets were acquired over that period</w:t>
      </w:r>
      <w:r w:rsidRPr="00471C48">
        <w:t xml:space="preserve"> and the remaining </w:t>
      </w:r>
      <w:r>
        <w:t xml:space="preserve">asset lives of existing assets at the end of that period. The remaining </w:t>
      </w:r>
      <w:r w:rsidRPr="00471C48">
        <w:t>value</w:t>
      </w:r>
      <w:r>
        <w:t>s</w:t>
      </w:r>
      <w:r w:rsidRPr="00471C48">
        <w:t xml:space="preserve"> of </w:t>
      </w:r>
      <w:r>
        <w:t>all</w:t>
      </w:r>
      <w:r w:rsidRPr="00471C48">
        <w:t xml:space="preserve"> assets </w:t>
      </w:r>
      <w:r>
        <w:t xml:space="preserve">are </w:t>
      </w:r>
      <w:r w:rsidRPr="00471C48">
        <w:t>used as weight</w:t>
      </w:r>
      <w:r>
        <w:t>s</w:t>
      </w:r>
      <w:r w:rsidRPr="00471C48">
        <w:t xml:space="preserve"> at the end of the period.</w:t>
      </w:r>
      <w:r>
        <w:rPr>
          <w:rStyle w:val="FootnoteReference"/>
        </w:rPr>
        <w:footnoteReference w:id="24"/>
      </w:r>
      <w:r w:rsidRPr="00471C48">
        <w:t xml:space="preserve"> </w:t>
      </w:r>
      <w:r w:rsidR="00395CCD">
        <w:t xml:space="preserve">Multinet's </w:t>
      </w:r>
      <w:r>
        <w:t xml:space="preserve">proposal, however, has adopted </w:t>
      </w:r>
      <w:r w:rsidR="00395CCD">
        <w:t>the</w:t>
      </w:r>
      <w:r>
        <w:t xml:space="preserve"> year</w:t>
      </w:r>
      <w:r w:rsidR="00395CCD">
        <w:t>-</w:t>
      </w:r>
      <w:r>
        <w:t>by</w:t>
      </w:r>
      <w:r w:rsidR="00395CCD">
        <w:t>-</w:t>
      </w:r>
      <w:r>
        <w:t xml:space="preserve">year tracking method to calculate depreciation. We have assessed whether this change </w:t>
      </w:r>
      <w:r w:rsidR="00395CCD">
        <w:t xml:space="preserve">of approach </w:t>
      </w:r>
      <w:r>
        <w:t xml:space="preserve">would </w:t>
      </w:r>
      <w:r w:rsidR="006260C2">
        <w:t>meet the depreciation criteria of the NGR</w:t>
      </w:r>
      <w:r>
        <w:t>, as discussed in section 5.4.</w:t>
      </w:r>
    </w:p>
    <w:p w:rsidR="000B3979" w:rsidRPr="00A226D5" w:rsidRDefault="000B3979" w:rsidP="00B7472B">
      <w:pPr>
        <w:pStyle w:val="Heading3"/>
        <w:keepNext/>
        <w:ind w:left="720"/>
      </w:pPr>
      <w:bookmarkStart w:id="105" w:name="_Toc429575820"/>
      <w:bookmarkStart w:id="106" w:name="_Toc436042531"/>
      <w:bookmarkStart w:id="107" w:name="_Toc486836581"/>
      <w:r>
        <w:t>Interrelationships</w:t>
      </w:r>
      <w:bookmarkEnd w:id="105"/>
      <w:bookmarkEnd w:id="106"/>
      <w:bookmarkEnd w:id="107"/>
    </w:p>
    <w:p w:rsidR="000B3979" w:rsidRPr="00D57689" w:rsidRDefault="000B3979" w:rsidP="00B7472B">
      <w:pPr>
        <w:keepNext/>
      </w:pPr>
      <w:r w:rsidRPr="00D57689">
        <w:t>The regulatory depreciation allowance is a building block component of the annual building block revenue requirement.</w:t>
      </w:r>
      <w:r w:rsidRPr="00D57689">
        <w:rPr>
          <w:rStyle w:val="FootnoteReference"/>
        </w:rPr>
        <w:footnoteReference w:id="25"/>
      </w:r>
      <w:r w:rsidRPr="00D57689">
        <w:t xml:space="preserve"> Higher (or quicker) depreciation leads to higher revenues over the </w:t>
      </w:r>
      <w:r>
        <w:t>access arrangement</w:t>
      </w:r>
      <w:r w:rsidRPr="00D57689">
        <w:t xml:space="preserve"> period. It also causes the </w:t>
      </w:r>
      <w:r>
        <w:t xml:space="preserve">capital base </w:t>
      </w:r>
      <w:r w:rsidRPr="00D57689">
        <w:t>to reduce more quickly (assuming no further capex). This reduces the return on capital allowance, although this impact is usually s</w:t>
      </w:r>
      <w:r>
        <w:t>maller that</w:t>
      </w:r>
      <w:r w:rsidRPr="00D57689">
        <w:t xml:space="preserve"> the increased depreciation allowance</w:t>
      </w:r>
      <w:r>
        <w:t xml:space="preserve"> in the short to medium term</w:t>
      </w:r>
      <w:r w:rsidRPr="00D57689">
        <w:t>.</w:t>
      </w:r>
      <w:r>
        <w:rPr>
          <w:rStyle w:val="FootnoteReference"/>
        </w:rPr>
        <w:footnoteReference w:id="26"/>
      </w:r>
      <w:r w:rsidRPr="00D57689">
        <w:t xml:space="preserve"> </w:t>
      </w:r>
    </w:p>
    <w:p w:rsidR="000B3979" w:rsidRPr="00D57689" w:rsidRDefault="000B3979" w:rsidP="000B3979">
      <w:r w:rsidRPr="00D57689">
        <w:t xml:space="preserve">Ultimately, however, a </w:t>
      </w:r>
      <w:r>
        <w:t>service provider</w:t>
      </w:r>
      <w:r w:rsidRPr="00D57689">
        <w:t xml:space="preserve"> can only recover the capex it has incurred on assets once. The depreciation allowance reflects how quickly the </w:t>
      </w:r>
      <w:r>
        <w:t>capital base</w:t>
      </w:r>
      <w:r w:rsidRPr="00D57689">
        <w:t xml:space="preserve"> is being recovered and is based on the remaining and standard </w:t>
      </w:r>
      <w:r>
        <w:t>asset</w:t>
      </w:r>
      <w:r w:rsidRPr="00D57689">
        <w:t xml:space="preserve"> lives used in the depreciation calculation. </w:t>
      </w:r>
      <w:r>
        <w:t xml:space="preserve">It </w:t>
      </w:r>
      <w:r w:rsidRPr="00D57689">
        <w:t xml:space="preserve">also depends on the level of the opening </w:t>
      </w:r>
      <w:r>
        <w:t>capital base</w:t>
      </w:r>
      <w:r w:rsidRPr="00D57689">
        <w:t xml:space="preserve"> and the forecast capex. Any increase in these factors also increases the depreciation allowance. </w:t>
      </w:r>
    </w:p>
    <w:p w:rsidR="000B3979" w:rsidRDefault="000B3979" w:rsidP="000B3979">
      <w:r>
        <w:t>Our standard approach is to maintain the capital base in real terms, meaning the capital base is indexed for expected inflation. The return on capital building block has</w:t>
      </w:r>
      <w:r w:rsidDel="007158C3">
        <w:t xml:space="preserve"> </w:t>
      </w:r>
      <w:r>
        <w:t>to be calculated using a nominal rate of return (WACC) applied to the opening capital base.</w:t>
      </w:r>
      <w:r>
        <w:rPr>
          <w:rStyle w:val="FootnoteReference"/>
        </w:rPr>
        <w:footnoteReference w:id="27"/>
      </w:r>
      <w:r>
        <w:t xml:space="preserve"> The total </w:t>
      </w:r>
      <w:r w:rsidRPr="007158C3">
        <w:t xml:space="preserve">revenue requirement </w:t>
      </w:r>
      <w:r>
        <w:t xml:space="preserve">is calculated </w:t>
      </w:r>
      <w:r w:rsidRPr="007158C3">
        <w:t xml:space="preserve">by adding </w:t>
      </w:r>
      <w:r>
        <w:t xml:space="preserve">up the </w:t>
      </w:r>
      <w:r w:rsidRPr="007158C3">
        <w:t>return on capital</w:t>
      </w:r>
      <w:r>
        <w:t>,</w:t>
      </w:r>
      <w:r w:rsidRPr="007158C3">
        <w:t xml:space="preserve"> </w:t>
      </w:r>
      <w:r>
        <w:t>depreciation, opex, and tax building blocks</w:t>
      </w:r>
      <w:r w:rsidRPr="007158C3">
        <w:t>.</w:t>
      </w:r>
      <w:r>
        <w:t xml:space="preserve"> Because inflation on the capital base is accounted for in both the return on capital—based on a nominal rate—and the depreciation</w:t>
      </w:r>
      <w:r w:rsidRPr="007158C3">
        <w:t xml:space="preserve"> </w:t>
      </w:r>
      <w:r>
        <w:t>calculations—based on an indexed capital base—</w:t>
      </w:r>
      <w:r w:rsidRPr="007158C3">
        <w:t xml:space="preserve">an adjustment </w:t>
      </w:r>
      <w:r>
        <w:t xml:space="preserve">must be </w:t>
      </w:r>
      <w:r w:rsidRPr="007158C3">
        <w:t xml:space="preserve">made </w:t>
      </w:r>
      <w:r>
        <w:t xml:space="preserve">to </w:t>
      </w:r>
      <w:r w:rsidRPr="007158C3">
        <w:t xml:space="preserve">the revenue requirement </w:t>
      </w:r>
      <w:r>
        <w:t>to prevent compensating twice for inflation</w:t>
      </w:r>
      <w:r w:rsidRPr="007158C3">
        <w:t>.</w:t>
      </w:r>
    </w:p>
    <w:p w:rsidR="000B3979" w:rsidRDefault="000B3979" w:rsidP="000B3979">
      <w:r w:rsidRPr="00C9216A">
        <w:t xml:space="preserve">To avoid this double compensation, we make an adjustment by subtracting the annual indexation gain </w:t>
      </w:r>
      <w:r>
        <w:t xml:space="preserve">on the capital base </w:t>
      </w:r>
      <w:r w:rsidRPr="00C9216A">
        <w:t>from the calculation of total revenue</w:t>
      </w:r>
      <w:r>
        <w:t>. Our approach is to subtract the indexation of the opening capital base—</w:t>
      </w:r>
      <w:r w:rsidRPr="00C9216A">
        <w:t xml:space="preserve">the opening </w:t>
      </w:r>
      <w:r>
        <w:t>capital base</w:t>
      </w:r>
      <w:r w:rsidRPr="00C9216A">
        <w:t xml:space="preserve"> </w:t>
      </w:r>
      <w:r>
        <w:t xml:space="preserve">multiplied </w:t>
      </w:r>
      <w:r w:rsidRPr="00C9216A">
        <w:t xml:space="preserve">by the </w:t>
      </w:r>
      <w:r>
        <w:t>expected inflation</w:t>
      </w:r>
      <w:r w:rsidRPr="00C9216A">
        <w:t xml:space="preserve"> </w:t>
      </w:r>
      <w:r>
        <w:t>for</w:t>
      </w:r>
      <w:r w:rsidRPr="00C9216A">
        <w:t xml:space="preserve"> the year</w:t>
      </w:r>
      <w:r>
        <w:t>—from the capital base</w:t>
      </w:r>
      <w:r w:rsidRPr="00C9216A">
        <w:t xml:space="preserve"> depreciation. The</w:t>
      </w:r>
      <w:r>
        <w:t xml:space="preserve"> net</w:t>
      </w:r>
      <w:r w:rsidRPr="00C9216A">
        <w:t xml:space="preserve"> result of this calculation is </w:t>
      </w:r>
      <w:r>
        <w:t>referred to as</w:t>
      </w:r>
      <w:r w:rsidRPr="00C9216A">
        <w:t xml:space="preserve"> regulatory depreciation.</w:t>
      </w:r>
      <w:r>
        <w:rPr>
          <w:rStyle w:val="FootnoteReference"/>
        </w:rPr>
        <w:footnoteReference w:id="28"/>
      </w:r>
      <w:r>
        <w:t xml:space="preserve"> Regulatory depreciation </w:t>
      </w:r>
      <w:r w:rsidRPr="00C9216A">
        <w:t xml:space="preserve">is </w:t>
      </w:r>
      <w:r>
        <w:t xml:space="preserve">the amount </w:t>
      </w:r>
      <w:r w:rsidRPr="00C9216A">
        <w:t>used in the building block calculation of total revenue</w:t>
      </w:r>
      <w:r>
        <w:t xml:space="preserve"> to ensure</w:t>
      </w:r>
      <w:r w:rsidRPr="00C9216A">
        <w:t xml:space="preserve"> that the revenue equation is consistent with</w:t>
      </w:r>
      <w:r>
        <w:t xml:space="preserve"> the</w:t>
      </w:r>
      <w:r w:rsidRPr="00C9216A">
        <w:t xml:space="preserve"> use of a </w:t>
      </w:r>
      <w:r>
        <w:t>capital base,</w:t>
      </w:r>
      <w:r w:rsidRPr="00C9216A">
        <w:t xml:space="preserve"> which is </w:t>
      </w:r>
      <w:r>
        <w:t>indexed for inflation annually</w:t>
      </w:r>
      <w:r w:rsidRPr="00C9216A">
        <w:t>.</w:t>
      </w:r>
    </w:p>
    <w:p w:rsidR="000B3979" w:rsidRDefault="000B3979" w:rsidP="000B3979">
      <w:pPr>
        <w:rPr>
          <w:rStyle w:val="AERbody"/>
        </w:rPr>
      </w:pPr>
      <w:r>
        <w:rPr>
          <w:rStyle w:val="AERbody"/>
        </w:rPr>
        <w:t>T</w:t>
      </w:r>
      <w:r w:rsidRPr="00B85B6D">
        <w:rPr>
          <w:rStyle w:val="AERbody"/>
        </w:rPr>
        <w:t>h</w:t>
      </w:r>
      <w:r>
        <w:rPr>
          <w:rStyle w:val="AERbody"/>
        </w:rPr>
        <w:t>is approach</w:t>
      </w:r>
      <w:r w:rsidRPr="00B85B6D">
        <w:rPr>
          <w:rStyle w:val="AERbody"/>
        </w:rPr>
        <w:t xml:space="preserve"> produces the same </w:t>
      </w:r>
      <w:r>
        <w:rPr>
          <w:rStyle w:val="AERbody"/>
        </w:rPr>
        <w:t xml:space="preserve">total </w:t>
      </w:r>
      <w:r w:rsidRPr="00B85B6D">
        <w:rPr>
          <w:rStyle w:val="AERbody"/>
        </w:rPr>
        <w:t xml:space="preserve">revenue requirement and </w:t>
      </w:r>
      <w:r>
        <w:rPr>
          <w:rStyle w:val="AERbody"/>
        </w:rPr>
        <w:t>capital base</w:t>
      </w:r>
      <w:r w:rsidRPr="00B85B6D">
        <w:rPr>
          <w:rStyle w:val="AERbody"/>
        </w:rPr>
        <w:t xml:space="preserve"> as if a real rate of return had been used in combination with a</w:t>
      </w:r>
      <w:r>
        <w:rPr>
          <w:rStyle w:val="AERbody"/>
        </w:rPr>
        <w:t>n indexed</w:t>
      </w:r>
      <w:r w:rsidRPr="00B85B6D">
        <w:rPr>
          <w:rStyle w:val="AERbody"/>
        </w:rPr>
        <w:t xml:space="preserve"> </w:t>
      </w:r>
      <w:r>
        <w:rPr>
          <w:rStyle w:val="AERbody"/>
        </w:rPr>
        <w:t>capital base</w:t>
      </w:r>
      <w:r w:rsidRPr="00B85B6D">
        <w:rPr>
          <w:rStyle w:val="AERbody"/>
        </w:rPr>
        <w:t>.</w:t>
      </w:r>
      <w:r>
        <w:rPr>
          <w:rStyle w:val="AERbody"/>
        </w:rPr>
        <w:t xml:space="preserve"> Under an alternative approach where</w:t>
      </w:r>
      <w:r w:rsidRPr="00B85B6D">
        <w:rPr>
          <w:rStyle w:val="AERbody"/>
        </w:rPr>
        <w:t xml:space="preserve"> a nominal rate of return </w:t>
      </w:r>
      <w:r>
        <w:rPr>
          <w:rStyle w:val="AERbody"/>
        </w:rPr>
        <w:t xml:space="preserve">was </w:t>
      </w:r>
      <w:r w:rsidRPr="00B85B6D">
        <w:rPr>
          <w:rStyle w:val="AERbody"/>
        </w:rPr>
        <w:t>used in combination with a</w:t>
      </w:r>
      <w:r>
        <w:rPr>
          <w:rStyle w:val="AERbody"/>
        </w:rPr>
        <w:t>n</w:t>
      </w:r>
      <w:r w:rsidRPr="00B85B6D">
        <w:rPr>
          <w:rStyle w:val="AERbody"/>
        </w:rPr>
        <w:t xml:space="preserve"> </w:t>
      </w:r>
      <w:r>
        <w:rPr>
          <w:rStyle w:val="AERbody"/>
        </w:rPr>
        <w:t>un-indexed (historical cost) capital base, no adjustment to the depreciation calculation of total revenue would be required. T</w:t>
      </w:r>
      <w:r w:rsidRPr="00B85B6D">
        <w:rPr>
          <w:rStyle w:val="AERbody"/>
        </w:rPr>
        <w:t xml:space="preserve">his </w:t>
      </w:r>
      <w:r>
        <w:rPr>
          <w:rStyle w:val="AERbody"/>
        </w:rPr>
        <w:t xml:space="preserve">alternative approach </w:t>
      </w:r>
      <w:r w:rsidRPr="00B85B6D">
        <w:rPr>
          <w:rStyle w:val="AERbody"/>
        </w:rPr>
        <w:t>produces a different time path of</w:t>
      </w:r>
      <w:r>
        <w:rPr>
          <w:rStyle w:val="AERbody"/>
        </w:rPr>
        <w:t xml:space="preserve"> total</w:t>
      </w:r>
      <w:r w:rsidRPr="00B85B6D">
        <w:rPr>
          <w:rStyle w:val="AERbody"/>
        </w:rPr>
        <w:t xml:space="preserve"> revenue compared to </w:t>
      </w:r>
      <w:r>
        <w:rPr>
          <w:rStyle w:val="AERbody"/>
        </w:rPr>
        <w:t xml:space="preserve">our standard </w:t>
      </w:r>
      <w:r w:rsidRPr="00B85B6D">
        <w:rPr>
          <w:rStyle w:val="AERbody"/>
        </w:rPr>
        <w:t xml:space="preserve">approach. </w:t>
      </w:r>
      <w:r w:rsidRPr="003667D4">
        <w:rPr>
          <w:rStyle w:val="AERbody"/>
        </w:rPr>
        <w:t xml:space="preserve">In particular, </w:t>
      </w:r>
      <w:r>
        <w:rPr>
          <w:rStyle w:val="AERbody"/>
        </w:rPr>
        <w:t>overall revenues would be higher early in the asset's life (as a result of more depreciation being returned to the service provider) and lower in the future—producing a steeper downward sloping profile of total revenue.</w:t>
      </w:r>
      <w:r>
        <w:rPr>
          <w:rStyle w:val="FootnoteReference"/>
        </w:rPr>
        <w:footnoteReference w:id="29"/>
      </w:r>
      <w:r>
        <w:rPr>
          <w:rStyle w:val="AERbody"/>
        </w:rPr>
        <w:t xml:space="preserve"> Under both approaches, the total revenues being recovered are in present value neutral terms—that is, returning the initial cost of the capital base. </w:t>
      </w:r>
    </w:p>
    <w:p w:rsidR="000B3979" w:rsidRDefault="000B3979" w:rsidP="000B3979">
      <w:pPr>
        <w:rPr>
          <w:rStyle w:val="AERbody"/>
        </w:rPr>
      </w:pPr>
      <w:r>
        <w:rPr>
          <w:rStyle w:val="AERbody"/>
        </w:rPr>
        <w:fldChar w:fldCharType="begin"/>
      </w:r>
      <w:r>
        <w:rPr>
          <w:rStyle w:val="AERbody"/>
        </w:rPr>
        <w:instrText xml:space="preserve"> REF _Ref454186887 \h </w:instrText>
      </w:r>
      <w:r>
        <w:rPr>
          <w:rStyle w:val="AERbody"/>
        </w:rPr>
      </w:r>
      <w:r>
        <w:rPr>
          <w:rStyle w:val="AERbody"/>
        </w:rPr>
        <w:fldChar w:fldCharType="separate"/>
      </w:r>
      <w:r w:rsidR="00210078">
        <w:t xml:space="preserve">Figure </w:t>
      </w:r>
      <w:r w:rsidR="00210078">
        <w:rPr>
          <w:noProof/>
        </w:rPr>
        <w:t>5</w:t>
      </w:r>
      <w:r w:rsidR="00210078">
        <w:t>.</w:t>
      </w:r>
      <w:r w:rsidR="00210078">
        <w:rPr>
          <w:noProof/>
        </w:rPr>
        <w:t>1</w:t>
      </w:r>
      <w:r>
        <w:rPr>
          <w:rStyle w:val="AERbody"/>
        </w:rPr>
        <w:fldChar w:fldCharType="end"/>
      </w:r>
      <w:r>
        <w:rPr>
          <w:rStyle w:val="AERbody"/>
        </w:rPr>
        <w:t xml:space="preserve"> shows the recovery of revenue under both approaches using a simplified example.</w:t>
      </w:r>
      <w:r>
        <w:rPr>
          <w:rStyle w:val="FootnoteReference"/>
        </w:rPr>
        <w:footnoteReference w:id="30"/>
      </w:r>
      <w:r>
        <w:rPr>
          <w:rStyle w:val="AERbody"/>
        </w:rPr>
        <w:t xml:space="preserve"> Indexation of the capital base and the offsetting adjustment made to depreciation results in smoother revenue recovery profile over the life of an asset than if the capital base was un-indexed. </w:t>
      </w:r>
    </w:p>
    <w:p w:rsidR="000B3979" w:rsidRDefault="000B3979" w:rsidP="000B3979">
      <w:pPr>
        <w:rPr>
          <w:rStyle w:val="AERbody"/>
        </w:rPr>
      </w:pPr>
      <w:r w:rsidRPr="006A34AC">
        <w:rPr>
          <w:rStyle w:val="AERbody"/>
        </w:rPr>
        <w:t xml:space="preserve">The relative size of the inflation </w:t>
      </w:r>
      <w:r>
        <w:rPr>
          <w:rStyle w:val="AERbody"/>
        </w:rPr>
        <w:t xml:space="preserve">indexation </w:t>
      </w:r>
      <w:r w:rsidRPr="006A34AC">
        <w:rPr>
          <w:rStyle w:val="AERbody"/>
        </w:rPr>
        <w:t>and straight-line depreciation</w:t>
      </w:r>
      <w:r>
        <w:rPr>
          <w:rStyle w:val="AERbody"/>
        </w:rPr>
        <w:t>,</w:t>
      </w:r>
      <w:r w:rsidRPr="006A34AC">
        <w:rPr>
          <w:rStyle w:val="AERbody"/>
        </w:rPr>
        <w:t xml:space="preserve"> and their impact on the capital base using </w:t>
      </w:r>
      <w:r w:rsidR="00606E5C">
        <w:t>Multinet</w:t>
      </w:r>
      <w:r>
        <w:rPr>
          <w:rStyle w:val="AERbody"/>
        </w:rPr>
        <w:t>’</w:t>
      </w:r>
      <w:r w:rsidRPr="006A34AC">
        <w:rPr>
          <w:rStyle w:val="AERbody"/>
        </w:rPr>
        <w:t>s proposal is shown in</w:t>
      </w:r>
      <w:r w:rsidRPr="00D639D1">
        <w:rPr>
          <w:rStyle w:val="AERbody"/>
        </w:rPr>
        <w:t xml:space="preserve"> </w:t>
      </w:r>
      <w:r>
        <w:rPr>
          <w:rStyle w:val="AERbody"/>
        </w:rPr>
        <w:t xml:space="preserve">the capital base </w:t>
      </w:r>
      <w:r w:rsidRPr="00D639D1">
        <w:rPr>
          <w:rStyle w:val="AERbody"/>
        </w:rPr>
        <w:t xml:space="preserve">attachment 2. A ten per cent increase in the straight-line depreciation causes revenues to increase by about </w:t>
      </w:r>
      <w:r w:rsidR="00282CC6">
        <w:rPr>
          <w:rStyle w:val="AERbody"/>
        </w:rPr>
        <w:t>3.1 </w:t>
      </w:r>
      <w:r w:rsidRPr="00D639D1">
        <w:rPr>
          <w:rStyle w:val="AERbody"/>
        </w:rPr>
        <w:t>per cent.</w:t>
      </w:r>
    </w:p>
    <w:p w:rsidR="000B3979" w:rsidRDefault="000B3979" w:rsidP="000B3979">
      <w:pPr>
        <w:pStyle w:val="Caption"/>
      </w:pPr>
      <w:bookmarkStart w:id="108" w:name="_Ref454186887"/>
      <w:proofErr w:type="gramStart"/>
      <w:r>
        <w:t xml:space="preserve">Figure </w:t>
      </w:r>
      <w:proofErr w:type="gramEnd"/>
      <w:r w:rsidRPr="00005FFA">
        <w:fldChar w:fldCharType="begin"/>
      </w:r>
      <w:r>
        <w:instrText xml:space="preserve"> STYLEREF 1 \s </w:instrText>
      </w:r>
      <w:r w:rsidRPr="00005FFA">
        <w:fldChar w:fldCharType="separate"/>
      </w:r>
      <w:r w:rsidR="00210078">
        <w:rPr>
          <w:noProof/>
        </w:rPr>
        <w:t>5</w:t>
      </w:r>
      <w:r w:rsidRPr="00005FFA">
        <w:fldChar w:fldCharType="end"/>
      </w:r>
      <w:proofErr w:type="gramStart"/>
      <w:r>
        <w:t>.</w:t>
      </w:r>
      <w:proofErr w:type="gramEnd"/>
      <w:r w:rsidRPr="00005FFA">
        <w:fldChar w:fldCharType="begin"/>
      </w:r>
      <w:r>
        <w:instrText xml:space="preserve"> SEQ Figure \* ARABIC \s 1 </w:instrText>
      </w:r>
      <w:r w:rsidRPr="00005FFA">
        <w:fldChar w:fldCharType="separate"/>
      </w:r>
      <w:r w:rsidR="00210078">
        <w:rPr>
          <w:noProof/>
        </w:rPr>
        <w:t>1</w:t>
      </w:r>
      <w:r w:rsidRPr="00005FFA">
        <w:fldChar w:fldCharType="end"/>
      </w:r>
      <w:bookmarkEnd w:id="108"/>
      <w:r>
        <w:tab/>
        <w:t xml:space="preserve">Revenue path example – indexed </w:t>
      </w:r>
      <w:proofErr w:type="spellStart"/>
      <w:r>
        <w:t>vs</w:t>
      </w:r>
      <w:proofErr w:type="spellEnd"/>
      <w:r>
        <w:t xml:space="preserve"> un-indexed capital base ($ nominal)</w:t>
      </w:r>
    </w:p>
    <w:p w:rsidR="000B3979" w:rsidRPr="00450B2E" w:rsidRDefault="000B3979" w:rsidP="000B3979">
      <w:r w:rsidRPr="000B3979">
        <w:rPr>
          <w:noProof/>
          <w:lang w:eastAsia="en-AU"/>
        </w:rPr>
        <w:drawing>
          <wp:inline distT="0" distB="0" distL="0" distR="0" wp14:anchorId="369AC38C" wp14:editId="6A4CA1F5">
            <wp:extent cx="5278581" cy="356163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1435" cy="3563563"/>
                    </a:xfrm>
                    <a:prstGeom prst="rect">
                      <a:avLst/>
                    </a:prstGeom>
                    <a:noFill/>
                  </pic:spPr>
                </pic:pic>
              </a:graphicData>
            </a:graphic>
          </wp:inline>
        </w:drawing>
      </w:r>
    </w:p>
    <w:p w:rsidR="00132D43" w:rsidRDefault="000B3979" w:rsidP="000B3979">
      <w:pPr>
        <w:pStyle w:val="AERtablesource"/>
      </w:pPr>
      <w:r>
        <w:t>Source:</w:t>
      </w:r>
      <w:r>
        <w:tab/>
        <w:t>AER analysis.</w:t>
      </w:r>
    </w:p>
    <w:p w:rsidR="007A08B7" w:rsidRPr="007A08B7" w:rsidRDefault="007A08B7" w:rsidP="007A08B7"/>
    <w:p w:rsidR="00132D43" w:rsidRDefault="00132D43" w:rsidP="001D78F4">
      <w:pPr>
        <w:pStyle w:val="Heading2"/>
        <w:keepNext/>
      </w:pPr>
      <w:bookmarkStart w:id="109" w:name="_Toc486836582"/>
      <w:r>
        <w:t>Reasons for draft decision</w:t>
      </w:r>
      <w:bookmarkEnd w:id="109"/>
    </w:p>
    <w:p w:rsidR="0097659C" w:rsidRDefault="00361C41" w:rsidP="001D78F4">
      <w:pPr>
        <w:keepNext/>
      </w:pPr>
      <w:r>
        <w:t>In o</w:t>
      </w:r>
      <w:r w:rsidR="00CC3CD6">
        <w:t>ur assessment of Multinet's proposal</w:t>
      </w:r>
      <w:r>
        <w:t>, we</w:t>
      </w:r>
      <w:r w:rsidR="00CC3CD6">
        <w:t xml:space="preserve"> focused on the following aspects</w:t>
      </w:r>
      <w:r w:rsidR="0097659C">
        <w:t>:</w:t>
      </w:r>
    </w:p>
    <w:p w:rsidR="0097659C" w:rsidRDefault="00395CCD" w:rsidP="001D78F4">
      <w:pPr>
        <w:pStyle w:val="AERbulletlistfirststyle"/>
      </w:pPr>
      <w:r>
        <w:t>y</w:t>
      </w:r>
      <w:r w:rsidR="0097659C">
        <w:t>ear</w:t>
      </w:r>
      <w:r>
        <w:t>-</w:t>
      </w:r>
      <w:r w:rsidR="0097659C">
        <w:t>by</w:t>
      </w:r>
      <w:r>
        <w:t>-</w:t>
      </w:r>
      <w:r w:rsidR="0097659C">
        <w:t>year tracking of depreciation</w:t>
      </w:r>
    </w:p>
    <w:p w:rsidR="0097659C" w:rsidRDefault="00395CCD" w:rsidP="001D78F4">
      <w:pPr>
        <w:pStyle w:val="AERbulletlistfirststyle"/>
      </w:pPr>
      <w:r>
        <w:t>a</w:t>
      </w:r>
      <w:r w:rsidR="0097659C">
        <w:t>ccelerated depreciation of replaced mains</w:t>
      </w:r>
      <w:r>
        <w:t xml:space="preserve"> and services</w:t>
      </w:r>
    </w:p>
    <w:p w:rsidR="0097659C" w:rsidRDefault="00395CCD" w:rsidP="001D78F4">
      <w:pPr>
        <w:pStyle w:val="AERbulletlistfirststyle"/>
      </w:pPr>
      <w:proofErr w:type="gramStart"/>
      <w:r>
        <w:t>c</w:t>
      </w:r>
      <w:r w:rsidR="0097659C">
        <w:t>hanges</w:t>
      </w:r>
      <w:proofErr w:type="gramEnd"/>
      <w:r w:rsidR="0097659C">
        <w:t xml:space="preserve"> to some standard asset lives.</w:t>
      </w:r>
    </w:p>
    <w:p w:rsidR="001B1311" w:rsidRDefault="00395CCD" w:rsidP="001D78F4">
      <w:pPr>
        <w:pStyle w:val="AERbulletlistfirststyle"/>
      </w:pPr>
      <w:proofErr w:type="gramStart"/>
      <w:r>
        <w:t>a</w:t>
      </w:r>
      <w:r w:rsidR="001B1311">
        <w:t>pplication</w:t>
      </w:r>
      <w:proofErr w:type="gramEnd"/>
      <w:r w:rsidR="001B1311">
        <w:t xml:space="preserve"> of forecast depreciation</w:t>
      </w:r>
      <w:r w:rsidR="00383891">
        <w:t xml:space="preserve"> approach.</w:t>
      </w:r>
      <w:r w:rsidR="001B1311">
        <w:t xml:space="preserve"> </w:t>
      </w:r>
    </w:p>
    <w:p w:rsidR="00815E34" w:rsidRDefault="0097659C" w:rsidP="00132D43">
      <w:r w:rsidRPr="0097659C">
        <w:t>Each of these is discussed in turn</w:t>
      </w:r>
      <w:r>
        <w:t xml:space="preserve"> in the following subsections</w:t>
      </w:r>
      <w:r w:rsidRPr="0097659C">
        <w:t>.</w:t>
      </w:r>
    </w:p>
    <w:p w:rsidR="009F5DAD" w:rsidRDefault="00152B99" w:rsidP="00B7472B">
      <w:pPr>
        <w:pStyle w:val="Heading3"/>
        <w:ind w:left="720"/>
      </w:pPr>
      <w:bookmarkStart w:id="110" w:name="_Toc486836583"/>
      <w:r>
        <w:t>Year</w:t>
      </w:r>
      <w:r w:rsidR="00395CCD">
        <w:t>-</w:t>
      </w:r>
      <w:r>
        <w:t>by</w:t>
      </w:r>
      <w:r w:rsidR="00395CCD">
        <w:t>-</w:t>
      </w:r>
      <w:r>
        <w:t>year tracking</w:t>
      </w:r>
      <w:bookmarkEnd w:id="110"/>
    </w:p>
    <w:p w:rsidR="00152B99" w:rsidRDefault="00606E5C" w:rsidP="009F5DAD">
      <w:r>
        <w:t>Multinet</w:t>
      </w:r>
      <w:r w:rsidR="00152B99" w:rsidRPr="00152B99">
        <w:t xml:space="preserve"> </w:t>
      </w:r>
      <w:r w:rsidR="00152B99">
        <w:t xml:space="preserve">proposed </w:t>
      </w:r>
      <w:r w:rsidR="00395CCD">
        <w:t>the</w:t>
      </w:r>
      <w:r w:rsidR="00152B99">
        <w:t xml:space="preserve"> year</w:t>
      </w:r>
      <w:r w:rsidR="00395CCD">
        <w:t>-</w:t>
      </w:r>
      <w:r w:rsidR="00152B99">
        <w:t>by</w:t>
      </w:r>
      <w:r w:rsidR="00395CCD">
        <w:t>-</w:t>
      </w:r>
      <w:r w:rsidR="00152B99">
        <w:t>year tracking approach</w:t>
      </w:r>
      <w:r w:rsidR="00395CCD">
        <w:t xml:space="preserve"> to implement straight-line depreciation</w:t>
      </w:r>
      <w:r w:rsidR="00152B99">
        <w:t>.</w:t>
      </w:r>
      <w:r w:rsidR="00D17F8F">
        <w:rPr>
          <w:rStyle w:val="FootnoteReference"/>
        </w:rPr>
        <w:footnoteReference w:id="31"/>
      </w:r>
      <w:r w:rsidR="00152B99">
        <w:t xml:space="preserve"> This represents a change from the current approach to determining remaining asset lives</w:t>
      </w:r>
      <w:r w:rsidR="00395CCD">
        <w:t xml:space="preserve"> at the end of each access arrangement period</w:t>
      </w:r>
      <w:r w:rsidR="00152B99">
        <w:t xml:space="preserve">. </w:t>
      </w:r>
      <w:r>
        <w:t>Multinet</w:t>
      </w:r>
      <w:r w:rsidR="009F5DAD">
        <w:t xml:space="preserve"> stated </w:t>
      </w:r>
      <w:r w:rsidR="00395CCD">
        <w:t>the</w:t>
      </w:r>
      <w:r w:rsidR="009F5DAD">
        <w:t xml:space="preserve"> year</w:t>
      </w:r>
      <w:r w:rsidR="00395CCD">
        <w:t>-</w:t>
      </w:r>
      <w:r w:rsidR="009F5DAD">
        <w:t>by</w:t>
      </w:r>
      <w:r w:rsidR="00395CCD">
        <w:t>-</w:t>
      </w:r>
      <w:r w:rsidR="009F5DAD">
        <w:t>year tracking approach is the AER's preferred option.</w:t>
      </w:r>
      <w:r w:rsidR="009F5DAD">
        <w:rPr>
          <w:rStyle w:val="FootnoteReference"/>
        </w:rPr>
        <w:footnoteReference w:id="32"/>
      </w:r>
      <w:r w:rsidR="009F5DAD">
        <w:t xml:space="preserve"> This</w:t>
      </w:r>
      <w:r w:rsidR="00152B99">
        <w:t xml:space="preserve"> statement</w:t>
      </w:r>
      <w:r w:rsidR="009F5DAD">
        <w:t xml:space="preserve"> is incorrect. Our preferred option </w:t>
      </w:r>
      <w:r w:rsidR="00152B99">
        <w:t>(</w:t>
      </w:r>
      <w:r w:rsidR="009F5DAD">
        <w:t>as noted above</w:t>
      </w:r>
      <w:r w:rsidR="00152B99">
        <w:t>)</w:t>
      </w:r>
      <w:r w:rsidR="009F5DAD">
        <w:t xml:space="preserve"> is a weighted average remaining life </w:t>
      </w:r>
      <w:r w:rsidR="00152B99">
        <w:t xml:space="preserve">(WARL) </w:t>
      </w:r>
      <w:r w:rsidR="009F5DAD">
        <w:t xml:space="preserve">approach. </w:t>
      </w:r>
      <w:r w:rsidR="00152B99">
        <w:t>We consider that year</w:t>
      </w:r>
      <w:r w:rsidR="00024CD5">
        <w:t>-</w:t>
      </w:r>
      <w:r w:rsidR="00152B99">
        <w:t>by</w:t>
      </w:r>
      <w:r w:rsidR="00024CD5">
        <w:t>-</w:t>
      </w:r>
      <w:r w:rsidR="00152B99">
        <w:t>year tracking is administratively more complex and costly than a WARL approach and can increase revenue fluctuations as depreciation depends more on when individual assets expire.</w:t>
      </w:r>
      <w:r w:rsidR="0047007E">
        <w:rPr>
          <w:rStyle w:val="FootnoteReference"/>
        </w:rPr>
        <w:footnoteReference w:id="33"/>
      </w:r>
      <w:r w:rsidR="00152B99">
        <w:t xml:space="preserve"> The change of approach can also cause revenue (and price spikes) which may not be helpful to efficient development in the market for reference services.</w:t>
      </w:r>
      <w:r w:rsidR="00152B99" w:rsidRPr="00152B99">
        <w:rPr>
          <w:rStyle w:val="FootnoteReference"/>
        </w:rPr>
        <w:t xml:space="preserve"> </w:t>
      </w:r>
    </w:p>
    <w:p w:rsidR="001510DB" w:rsidRDefault="009F5DAD" w:rsidP="001510DB">
      <w:r>
        <w:t xml:space="preserve">We accept that </w:t>
      </w:r>
      <w:r w:rsidR="00024CD5">
        <w:t>the</w:t>
      </w:r>
      <w:r>
        <w:t xml:space="preserve"> year</w:t>
      </w:r>
      <w:r w:rsidR="00024CD5">
        <w:t>-</w:t>
      </w:r>
      <w:r>
        <w:t>by</w:t>
      </w:r>
      <w:r w:rsidR="00024CD5">
        <w:t>-</w:t>
      </w:r>
      <w:r>
        <w:t xml:space="preserve">year </w:t>
      </w:r>
      <w:r w:rsidR="00024CD5">
        <w:t xml:space="preserve">tracking </w:t>
      </w:r>
      <w:r>
        <w:t xml:space="preserve">approach </w:t>
      </w:r>
      <w:r w:rsidR="00152B99">
        <w:t>can meet</w:t>
      </w:r>
      <w:r>
        <w:t xml:space="preserve"> the criteri</w:t>
      </w:r>
      <w:r w:rsidR="00024CD5">
        <w:t>on</w:t>
      </w:r>
      <w:r>
        <w:t xml:space="preserve"> of having the depreciation schedule reflect the asset's economic life</w:t>
      </w:r>
      <w:r w:rsidR="00310B2E">
        <w:t>, where it tracks the asset's technical life</w:t>
      </w:r>
      <w:r>
        <w:t xml:space="preserve">. </w:t>
      </w:r>
      <w:r w:rsidR="00285088">
        <w:t>However, we must also assess the approach</w:t>
      </w:r>
      <w:r>
        <w:t xml:space="preserve"> against </w:t>
      </w:r>
      <w:r w:rsidR="00285088">
        <w:t>the other criteria in the NGR, i</w:t>
      </w:r>
      <w:r>
        <w:t xml:space="preserve">n particular, whether the approach leads to efficient development </w:t>
      </w:r>
      <w:r w:rsidR="00285088">
        <w:t>in</w:t>
      </w:r>
      <w:r>
        <w:t xml:space="preserve"> the market</w:t>
      </w:r>
      <w:r w:rsidR="00285088">
        <w:t xml:space="preserve"> for reference services</w:t>
      </w:r>
      <w:r>
        <w:t>.</w:t>
      </w:r>
      <w:r w:rsidR="00310B2E">
        <w:t xml:space="preserve"> Under this criterion we also need to consider the impact of the change in the long run and any significant disruption in the short to medium term from a change in previous practice.</w:t>
      </w:r>
      <w:r w:rsidR="00285088">
        <w:t xml:space="preserve"> </w:t>
      </w:r>
      <w:r>
        <w:t>The proposed change to year</w:t>
      </w:r>
      <w:r w:rsidR="00024CD5">
        <w:t>-</w:t>
      </w:r>
      <w:r>
        <w:t>by year tracking does increase depreciation</w:t>
      </w:r>
      <w:r w:rsidR="00152B99">
        <w:t xml:space="preserve"> (and prices)</w:t>
      </w:r>
      <w:r>
        <w:t xml:space="preserve"> over short to medium term</w:t>
      </w:r>
      <w:r w:rsidR="00152B99">
        <w:t>,</w:t>
      </w:r>
      <w:r w:rsidR="00152B99" w:rsidRPr="00152B99">
        <w:t xml:space="preserve"> </w:t>
      </w:r>
      <w:r w:rsidR="00152B99">
        <w:t>other things being equal</w:t>
      </w:r>
      <w:r>
        <w:t xml:space="preserve">. </w:t>
      </w:r>
      <w:r w:rsidR="00DB650D">
        <w:t xml:space="preserve">The </w:t>
      </w:r>
      <w:r w:rsidR="0067275D">
        <w:t>Consumer Challenge Panel (</w:t>
      </w:r>
      <w:r w:rsidR="00DB650D">
        <w:t>CCP</w:t>
      </w:r>
      <w:r w:rsidR="0067275D">
        <w:t>11)</w:t>
      </w:r>
      <w:r w:rsidR="00DB650D">
        <w:t xml:space="preserve"> also raised this potential impact as a concern in its submission.</w:t>
      </w:r>
      <w:r w:rsidR="00DB650D">
        <w:rPr>
          <w:rStyle w:val="FootnoteReference"/>
        </w:rPr>
        <w:footnoteReference w:id="34"/>
      </w:r>
      <w:r w:rsidR="00DB650D">
        <w:t xml:space="preserve">  </w:t>
      </w:r>
      <w:r>
        <w:t xml:space="preserve">However, our analysis suggests the impact </w:t>
      </w:r>
      <w:r w:rsidR="00152B99">
        <w:t xml:space="preserve">in this case </w:t>
      </w:r>
      <w:r>
        <w:t xml:space="preserve">to be modest and </w:t>
      </w:r>
      <w:r w:rsidR="00285088">
        <w:t>therefore unlikely to have a significant</w:t>
      </w:r>
      <w:r>
        <w:t xml:space="preserve"> impact </w:t>
      </w:r>
      <w:r w:rsidR="00152B99">
        <w:t xml:space="preserve">on the </w:t>
      </w:r>
      <w:r>
        <w:t>efficient growth in the market for reference services.</w:t>
      </w:r>
      <w:r w:rsidR="001510DB" w:rsidRPr="001510DB">
        <w:t xml:space="preserve"> </w:t>
      </w:r>
      <w:r w:rsidR="00865726">
        <w:t xml:space="preserve">We therefore </w:t>
      </w:r>
      <w:r w:rsidR="007C48BB">
        <w:t>accept</w:t>
      </w:r>
      <w:r w:rsidR="00865726">
        <w:t xml:space="preserve"> </w:t>
      </w:r>
      <w:r w:rsidR="00606E5C">
        <w:t>Multinet</w:t>
      </w:r>
      <w:r w:rsidR="00865726">
        <w:t>'s proposal in this regard.</w:t>
      </w:r>
    </w:p>
    <w:p w:rsidR="001510DB" w:rsidRDefault="001510DB" w:rsidP="001D78F4">
      <w:pPr>
        <w:pStyle w:val="Heading3"/>
        <w:keepNext/>
        <w:ind w:left="720"/>
      </w:pPr>
      <w:bookmarkStart w:id="111" w:name="_Toc486836584"/>
      <w:r>
        <w:t>Accelerated depreciation</w:t>
      </w:r>
      <w:bookmarkEnd w:id="111"/>
    </w:p>
    <w:p w:rsidR="00D17F8F" w:rsidRDefault="00606E5C" w:rsidP="001D78F4">
      <w:pPr>
        <w:keepNext/>
      </w:pPr>
      <w:r>
        <w:t>Multinet</w:t>
      </w:r>
      <w:r w:rsidR="003A5F38">
        <w:t xml:space="preserve"> </w:t>
      </w:r>
      <w:r w:rsidR="00D17F8F">
        <w:t xml:space="preserve">proposed accelerated depreciation over five years on assets to be replaced through </w:t>
      </w:r>
      <w:r w:rsidR="00024CD5">
        <w:t>its</w:t>
      </w:r>
      <w:r w:rsidR="00D17F8F">
        <w:t xml:space="preserve"> mains replacement programs over the 2018–22 access arrangement </w:t>
      </w:r>
      <w:proofErr w:type="gramStart"/>
      <w:r w:rsidR="00D17F8F">
        <w:t>period</w:t>
      </w:r>
      <w:proofErr w:type="gramEnd"/>
      <w:r w:rsidR="00D17F8F">
        <w:t xml:space="preserve">. We accept the accelerated depreciation on these assets subject to adjustments made to the approved length </w:t>
      </w:r>
      <w:r w:rsidR="00D17F8F" w:rsidRPr="00364D27">
        <w:t xml:space="preserve">of mains </w:t>
      </w:r>
      <w:r w:rsidR="00D17F8F">
        <w:t xml:space="preserve">to be replaced over the </w:t>
      </w:r>
      <w:r w:rsidR="00D17F8F" w:rsidRPr="00D17F8F">
        <w:t xml:space="preserve">2018–22 </w:t>
      </w:r>
      <w:r w:rsidR="00D17F8F">
        <w:t xml:space="preserve">access arrangement period, as discussed in attachment </w:t>
      </w:r>
      <w:r w:rsidR="006F5ABF">
        <w:t>6</w:t>
      </w:r>
      <w:r w:rsidR="00D17F8F">
        <w:t>. The reduction in the expected kilometres of mains</w:t>
      </w:r>
      <w:r w:rsidR="00521A07">
        <w:t xml:space="preserve"> </w:t>
      </w:r>
      <w:r w:rsidR="00D17F8F">
        <w:t xml:space="preserve">to be replaced </w:t>
      </w:r>
      <w:r w:rsidR="00521A07">
        <w:t xml:space="preserve">by 36.6 per cent </w:t>
      </w:r>
      <w:r w:rsidR="00D17F8F">
        <w:t>resulted in a proportional reduction in the amount of accelerated depreciation allowed</w:t>
      </w:r>
      <w:r w:rsidR="00521A07">
        <w:t xml:space="preserve"> over the next five years</w:t>
      </w:r>
      <w:r w:rsidR="00024CD5">
        <w:t xml:space="preserve"> in this draft decision</w:t>
      </w:r>
      <w:r w:rsidR="00D17F8F">
        <w:t xml:space="preserve">. </w:t>
      </w:r>
    </w:p>
    <w:p w:rsidR="00521A07" w:rsidRDefault="00606E5C" w:rsidP="00D17F8F">
      <w:r>
        <w:t>Multinet</w:t>
      </w:r>
      <w:r w:rsidR="003A5F38">
        <w:t xml:space="preserve"> </w:t>
      </w:r>
      <w:r w:rsidR="00D17F8F">
        <w:t>also proposed accelerated depreciation of fifteen years on asset</w:t>
      </w:r>
      <w:r w:rsidR="00024CD5">
        <w:t>s</w:t>
      </w:r>
      <w:r w:rsidR="00D17F8F">
        <w:t xml:space="preserve"> to be replaced betw</w:t>
      </w:r>
      <w:r w:rsidR="003A5F38">
        <w:t>een 2022</w:t>
      </w:r>
      <w:r w:rsidR="00D62DD7">
        <w:t xml:space="preserve"> and </w:t>
      </w:r>
      <w:r w:rsidR="003A5F38">
        <w:t xml:space="preserve">2033, by </w:t>
      </w:r>
      <w:r w:rsidR="00CC3CD6">
        <w:t xml:space="preserve">which time </w:t>
      </w:r>
      <w:r>
        <w:t>Multinet</w:t>
      </w:r>
      <w:r w:rsidR="00D17F8F">
        <w:t xml:space="preserve"> </w:t>
      </w:r>
      <w:r w:rsidR="00CC3CD6">
        <w:t xml:space="preserve">submitted that it will have replaced </w:t>
      </w:r>
      <w:r w:rsidR="00D17F8F">
        <w:t xml:space="preserve">all old </w:t>
      </w:r>
      <w:r w:rsidR="00024CD5">
        <w:t>low pressure</w:t>
      </w:r>
      <w:r w:rsidR="00D17F8F">
        <w:t xml:space="preserve"> mains and services. </w:t>
      </w:r>
      <w:r w:rsidR="00521A07">
        <w:t>A</w:t>
      </w:r>
      <w:r w:rsidR="00521A07" w:rsidRPr="00521A07">
        <w:t>s discussed in attachment 6</w:t>
      </w:r>
      <w:r w:rsidR="00521A07">
        <w:t>, we consider the mains replacement program will not be completed until 2040</w:t>
      </w:r>
      <w:r w:rsidR="002A7B98">
        <w:t>—t</w:t>
      </w:r>
      <w:r w:rsidR="00521A07">
        <w:t xml:space="preserve">hat is, seven years later than </w:t>
      </w:r>
      <w:r>
        <w:t>Multinet</w:t>
      </w:r>
      <w:r w:rsidR="00521A07">
        <w:t xml:space="preserve"> </w:t>
      </w:r>
      <w:r w:rsidR="00222A1D">
        <w:t>forecasts</w:t>
      </w:r>
      <w:r w:rsidR="00521A07">
        <w:t>. Accordingly, we have extended the remaining asset lives of the residual older mains and services to 22 years</w:t>
      </w:r>
      <w:r w:rsidR="00024CD5" w:rsidRPr="00024CD5">
        <w:t xml:space="preserve"> </w:t>
      </w:r>
      <w:r w:rsidR="00024CD5">
        <w:t>from 15 years</w:t>
      </w:r>
      <w:r w:rsidR="00521A07">
        <w:t xml:space="preserve">. </w:t>
      </w:r>
      <w:r w:rsidR="00D17F8F">
        <w:t xml:space="preserve"> </w:t>
      </w:r>
    </w:p>
    <w:p w:rsidR="00B94FDF" w:rsidRDefault="00222A1D" w:rsidP="00D17F8F">
      <w:r>
        <w:t xml:space="preserve">We have corrected two errors which we identified in </w:t>
      </w:r>
      <w:proofErr w:type="gramStart"/>
      <w:r w:rsidR="00606E5C">
        <w:t>Multinet</w:t>
      </w:r>
      <w:r>
        <w:t xml:space="preserve">'s </w:t>
      </w:r>
      <w:r w:rsidR="00B94FDF">
        <w:t xml:space="preserve"> </w:t>
      </w:r>
      <w:r>
        <w:t>proposed</w:t>
      </w:r>
      <w:proofErr w:type="gramEnd"/>
      <w:r>
        <w:t xml:space="preserve"> </w:t>
      </w:r>
      <w:r w:rsidR="00B94FDF" w:rsidRPr="00B94FDF">
        <w:t>application of accelerated depreciat</w:t>
      </w:r>
      <w:r w:rsidR="00B94FDF">
        <w:t xml:space="preserve">ion. </w:t>
      </w:r>
      <w:r w:rsidR="002A7B98">
        <w:t>The proposal</w:t>
      </w:r>
      <w:r w:rsidR="00B94FDF" w:rsidRPr="00B94FDF">
        <w:t xml:space="preserve"> effectively double count</w:t>
      </w:r>
      <w:r w:rsidR="00B94FDF">
        <w:t xml:space="preserve">ed </w:t>
      </w:r>
      <w:r w:rsidR="00B94FDF" w:rsidRPr="00B94FDF">
        <w:t>one accelerated depreciation adjustment and fail</w:t>
      </w:r>
      <w:r w:rsidR="00024CD5">
        <w:t>ed</w:t>
      </w:r>
      <w:r w:rsidR="00B94FDF" w:rsidRPr="00B94FDF">
        <w:t xml:space="preserve"> to count another at all. The two errors almost offset each other in terms of their impact on the proposed revenues. We </w:t>
      </w:r>
      <w:r w:rsidR="00B94FDF">
        <w:t>have</w:t>
      </w:r>
      <w:r w:rsidR="00B94FDF" w:rsidRPr="00B94FDF">
        <w:t xml:space="preserve"> corrected these errors in the draft decision.</w:t>
      </w:r>
    </w:p>
    <w:p w:rsidR="001510DB" w:rsidRDefault="00D17F8F" w:rsidP="001510DB">
      <w:r>
        <w:t>Multinet proposed to accelerate depreciation of existing meters over five years. In doing so, it did not apply year</w:t>
      </w:r>
      <w:r w:rsidR="00024CD5">
        <w:t>-</w:t>
      </w:r>
      <w:r>
        <w:t>by</w:t>
      </w:r>
      <w:r w:rsidR="00024CD5">
        <w:t>-</w:t>
      </w:r>
      <w:r>
        <w:t xml:space="preserve">year tracking of depreciation for this asset class. It </w:t>
      </w:r>
      <w:r w:rsidR="00024CD5">
        <w:t xml:space="preserve">submitted </w:t>
      </w:r>
      <w:r>
        <w:t>the existing meters only had a remaining asset life of 6.3 years</w:t>
      </w:r>
      <w:r w:rsidR="004537BA" w:rsidRPr="004537BA">
        <w:t xml:space="preserve"> and reducing it to 5 years would simplify the capital base</w:t>
      </w:r>
      <w:r>
        <w:t xml:space="preserve">. However, this remaining asset life was calculated using an average depreciation approach that the AER has previously rejected as </w:t>
      </w:r>
      <w:r w:rsidR="00156CC7">
        <w:t>it results in</w:t>
      </w:r>
      <w:r>
        <w:t xml:space="preserve"> remaining asset lives that are too short.</w:t>
      </w:r>
      <w:r>
        <w:rPr>
          <w:rStyle w:val="FootnoteReference"/>
        </w:rPr>
        <w:footnoteReference w:id="35"/>
      </w:r>
      <w:r>
        <w:t xml:space="preserve"> We consider that year</w:t>
      </w:r>
      <w:r w:rsidR="00156CC7">
        <w:t>-</w:t>
      </w:r>
      <w:r>
        <w:t>by</w:t>
      </w:r>
      <w:r w:rsidR="00156CC7">
        <w:t>-</w:t>
      </w:r>
      <w:r>
        <w:t>year tracking should be applied to this asset class, as it is proposed for all other asset classes</w:t>
      </w:r>
      <w:r w:rsidR="00222A1D">
        <w:t>. However</w:t>
      </w:r>
      <w:r w:rsidR="002A7B98">
        <w:t>,</w:t>
      </w:r>
      <w:r>
        <w:t xml:space="preserve"> we </w:t>
      </w:r>
      <w:r w:rsidR="00303166">
        <w:t>have</w:t>
      </w:r>
      <w:r>
        <w:t xml:space="preserve"> scal</w:t>
      </w:r>
      <w:r w:rsidR="00303166">
        <w:t>ed</w:t>
      </w:r>
      <w:r>
        <w:t xml:space="preserve"> back the remaining asset lives to reflect the new standard asset life for meters of 15 years proposed by Multinet (and which we accept, as discussed below). To take a single year example, we consider a meter acquired in the final year of the </w:t>
      </w:r>
      <w:r w:rsidR="00156CC7">
        <w:t xml:space="preserve">2013–17 </w:t>
      </w:r>
      <w:r>
        <w:t xml:space="preserve">access arrangement period (which has had no depreciation applied against it) should have a remaining asset life of 15 years (equal in this case to the new standard asset life). This compares to the 5 year life </w:t>
      </w:r>
      <w:r w:rsidR="00606E5C">
        <w:t>Multinet</w:t>
      </w:r>
      <w:r>
        <w:t xml:space="preserve"> proposed and the 30 years that would have applied under year</w:t>
      </w:r>
      <w:r w:rsidR="00156CC7">
        <w:t>-</w:t>
      </w:r>
      <w:r>
        <w:t>by</w:t>
      </w:r>
      <w:r w:rsidR="00156CC7">
        <w:t>-</w:t>
      </w:r>
      <w:r>
        <w:t>year tracking if the old standard asset life of 30 years was used. This change reduce</w:t>
      </w:r>
      <w:r w:rsidR="00156CC7">
        <w:t>s</w:t>
      </w:r>
      <w:r>
        <w:t xml:space="preserve"> </w:t>
      </w:r>
      <w:r w:rsidR="00606E5C">
        <w:t>Multinet</w:t>
      </w:r>
      <w:r>
        <w:t>'s regulatory depreciation allowance by $10.7 million ($ 2017).</w:t>
      </w:r>
      <w:r w:rsidR="006E25DF">
        <w:t xml:space="preserve"> </w:t>
      </w:r>
      <w:r w:rsidR="00222A1D">
        <w:t xml:space="preserve">Our </w:t>
      </w:r>
      <w:r w:rsidR="00156CC7">
        <w:t xml:space="preserve">draft </w:t>
      </w:r>
      <w:r w:rsidR="006E25DF">
        <w:t xml:space="preserve">decision </w:t>
      </w:r>
      <w:r w:rsidR="001C33D8">
        <w:t>addresses</w:t>
      </w:r>
      <w:r w:rsidR="006E25DF">
        <w:t xml:space="preserve"> CCP</w:t>
      </w:r>
      <w:r w:rsidR="004E19DD">
        <w:t>11</w:t>
      </w:r>
      <w:r w:rsidR="006E25DF">
        <w:t xml:space="preserve">'s concern that this aspect of the proposal did not </w:t>
      </w:r>
      <w:r w:rsidR="00156CC7">
        <w:t xml:space="preserve">appear </w:t>
      </w:r>
      <w:r w:rsidR="00222A1D">
        <w:t xml:space="preserve">to be </w:t>
      </w:r>
      <w:r w:rsidR="002A7B98">
        <w:t>'</w:t>
      </w:r>
      <w:r w:rsidR="006E25DF">
        <w:t>in the interests of consumers</w:t>
      </w:r>
      <w:r w:rsidR="002A7B98">
        <w:t>'</w:t>
      </w:r>
      <w:r w:rsidR="004537BA">
        <w:t xml:space="preserve"> </w:t>
      </w:r>
      <w:r w:rsidR="005E4E57">
        <w:t xml:space="preserve">with </w:t>
      </w:r>
      <w:r w:rsidR="00606E5C">
        <w:t>Multinet</w:t>
      </w:r>
      <w:r w:rsidR="004537BA" w:rsidRPr="004537BA">
        <w:t xml:space="preserve"> </w:t>
      </w:r>
      <w:r w:rsidR="00222A1D">
        <w:t>instead emphasising</w:t>
      </w:r>
      <w:r w:rsidR="004537BA" w:rsidRPr="004537BA">
        <w:t xml:space="preserve"> simplification</w:t>
      </w:r>
      <w:r w:rsidR="00156CC7">
        <w:t xml:space="preserve"> of the capital base</w:t>
      </w:r>
      <w:r w:rsidR="006E25DF">
        <w:t>.</w:t>
      </w:r>
      <w:r w:rsidR="006E25DF">
        <w:rPr>
          <w:rStyle w:val="FootnoteReference"/>
        </w:rPr>
        <w:footnoteReference w:id="36"/>
      </w:r>
      <w:r w:rsidR="006E25DF">
        <w:t xml:space="preserve"> </w:t>
      </w:r>
    </w:p>
    <w:p w:rsidR="00251D25" w:rsidRDefault="001510DB" w:rsidP="001D78F4">
      <w:pPr>
        <w:pStyle w:val="Heading3"/>
        <w:ind w:left="720"/>
      </w:pPr>
      <w:bookmarkStart w:id="112" w:name="_Toc486836585"/>
      <w:r>
        <w:t>Standard asset lives</w:t>
      </w:r>
      <w:bookmarkEnd w:id="112"/>
    </w:p>
    <w:p w:rsidR="00251D25" w:rsidRDefault="00606E5C" w:rsidP="00BB084B">
      <w:r>
        <w:t>Multinet</w:t>
      </w:r>
      <w:r w:rsidR="00B521C7">
        <w:t xml:space="preserve"> has proposed most of the same standard asset lives </w:t>
      </w:r>
      <w:r w:rsidR="00881344">
        <w:t xml:space="preserve">be </w:t>
      </w:r>
      <w:r w:rsidR="00652AF2">
        <w:t xml:space="preserve">applied to new </w:t>
      </w:r>
      <w:r w:rsidR="00881344">
        <w:t xml:space="preserve">conforming </w:t>
      </w:r>
      <w:r w:rsidR="00652AF2">
        <w:t xml:space="preserve">capex </w:t>
      </w:r>
      <w:r w:rsidR="00881344">
        <w:t xml:space="preserve">made </w:t>
      </w:r>
      <w:r w:rsidR="00B521C7">
        <w:t xml:space="preserve">during the </w:t>
      </w:r>
      <w:r w:rsidR="00B521C7" w:rsidRPr="00B521C7">
        <w:t>2013–17 access arrangement</w:t>
      </w:r>
      <w:r w:rsidR="00881344">
        <w:t>, which we accept</w:t>
      </w:r>
      <w:r w:rsidR="00B521C7">
        <w:t>. The except</w:t>
      </w:r>
      <w:r w:rsidR="00652AF2">
        <w:t>ion</w:t>
      </w:r>
      <w:r w:rsidR="00B521C7">
        <w:t xml:space="preserve">s are </w:t>
      </w:r>
      <w:r w:rsidR="00652AF2">
        <w:t>for the 'B</w:t>
      </w:r>
      <w:r w:rsidR="00B521C7">
        <w:t>uildings</w:t>
      </w:r>
      <w:r w:rsidR="00652AF2">
        <w:t>'</w:t>
      </w:r>
      <w:r w:rsidR="00797CA4" w:rsidRPr="00797CA4">
        <w:t xml:space="preserve"> </w:t>
      </w:r>
      <w:r w:rsidR="00797CA4">
        <w:t xml:space="preserve">and </w:t>
      </w:r>
      <w:r w:rsidR="00652AF2">
        <w:t>'M</w:t>
      </w:r>
      <w:r w:rsidR="00797CA4" w:rsidRPr="00797CA4">
        <w:t>eters</w:t>
      </w:r>
      <w:r w:rsidR="00652AF2">
        <w:t>' asset classes</w:t>
      </w:r>
      <w:r w:rsidR="00B521C7">
        <w:t>, which are discussed</w:t>
      </w:r>
      <w:r w:rsidR="0027595D">
        <w:t xml:space="preserve"> below</w:t>
      </w:r>
      <w:r w:rsidR="00B521C7">
        <w:t>.</w:t>
      </w:r>
      <w:r w:rsidR="0027595D">
        <w:t xml:space="preserve"> Multinet also did not provide a standard asset life for </w:t>
      </w:r>
      <w:r w:rsidR="001C06FD">
        <w:t>e</w:t>
      </w:r>
      <w:r w:rsidR="0027595D">
        <w:t>quity raising costs. This is also discussed below.</w:t>
      </w:r>
    </w:p>
    <w:p w:rsidR="003C6D2C" w:rsidRDefault="006516DB" w:rsidP="006516DB">
      <w:pPr>
        <w:pStyle w:val="Heading4"/>
      </w:pPr>
      <w:r>
        <w:t>Buildings</w:t>
      </w:r>
    </w:p>
    <w:p w:rsidR="005F262D" w:rsidRDefault="00606E5C" w:rsidP="00132D43">
      <w:r>
        <w:t>Multinet</w:t>
      </w:r>
      <w:r w:rsidR="005F262D">
        <w:t xml:space="preserve"> proposed </w:t>
      </w:r>
      <w:r w:rsidR="00652AF2">
        <w:t xml:space="preserve">to </w:t>
      </w:r>
      <w:r w:rsidR="005F262D">
        <w:t>reduc</w:t>
      </w:r>
      <w:r w:rsidR="00652AF2">
        <w:t>e</w:t>
      </w:r>
      <w:r w:rsidR="005F262D">
        <w:t xml:space="preserve"> the standard asset life of </w:t>
      </w:r>
      <w:r w:rsidR="00652AF2">
        <w:t>the</w:t>
      </w:r>
      <w:r w:rsidR="005F262D">
        <w:t xml:space="preserve"> </w:t>
      </w:r>
      <w:r w:rsidR="001F3105">
        <w:t>'B</w:t>
      </w:r>
      <w:r w:rsidR="005F262D">
        <w:t>uilding</w:t>
      </w:r>
      <w:r w:rsidR="001F3105">
        <w:t>s'</w:t>
      </w:r>
      <w:r w:rsidR="005F262D">
        <w:t xml:space="preserve"> asset </w:t>
      </w:r>
      <w:r w:rsidR="001F3105">
        <w:t xml:space="preserve">class </w:t>
      </w:r>
      <w:r w:rsidR="005F262D">
        <w:t>to 35 years</w:t>
      </w:r>
      <w:r w:rsidR="00652AF2" w:rsidRPr="00652AF2">
        <w:t xml:space="preserve"> </w:t>
      </w:r>
      <w:r w:rsidR="00652AF2">
        <w:t>from 50 years</w:t>
      </w:r>
      <w:r w:rsidR="005F262D">
        <w:t xml:space="preserve">. It </w:t>
      </w:r>
      <w:r w:rsidR="001F3105">
        <w:t>submitted that</w:t>
      </w:r>
      <w:r w:rsidR="005F262D">
        <w:t xml:space="preserve"> this is consistent with tax law. </w:t>
      </w:r>
    </w:p>
    <w:p w:rsidR="00346C28" w:rsidRDefault="005F262D" w:rsidP="00132D43">
      <w:r>
        <w:t>We accept that consistency with tax law is appropriate for the tax asset base</w:t>
      </w:r>
      <w:r w:rsidR="00A645F5">
        <w:t xml:space="preserve"> and accept its use for this purpose</w:t>
      </w:r>
      <w:r>
        <w:t>. However, we do not agree that an asset</w:t>
      </w:r>
      <w:r w:rsidR="00A645F5">
        <w:t>'</w:t>
      </w:r>
      <w:r>
        <w:t xml:space="preserve">s economic life necessarily matches </w:t>
      </w:r>
      <w:r w:rsidR="001F3105">
        <w:t xml:space="preserve">the life provided for under </w:t>
      </w:r>
      <w:r>
        <w:t xml:space="preserve">tax law. </w:t>
      </w:r>
      <w:r w:rsidR="00A645F5">
        <w:t xml:space="preserve">It is the economic life of the asset that is to be used for depreciation of the </w:t>
      </w:r>
      <w:r w:rsidR="001F3105">
        <w:t>capital</w:t>
      </w:r>
      <w:r w:rsidR="00A645F5">
        <w:t xml:space="preserve"> base under the NGR.</w:t>
      </w:r>
      <w:r w:rsidR="000C259F">
        <w:t xml:space="preserve"> CCP</w:t>
      </w:r>
      <w:r w:rsidR="004E19DD">
        <w:t>11</w:t>
      </w:r>
      <w:r w:rsidR="000C259F">
        <w:t xml:space="preserve"> also submitted that consistency with tax law is not compelling enough to justify the impact of higher revenue requirement on consumers.</w:t>
      </w:r>
      <w:r w:rsidR="004E19DD">
        <w:rPr>
          <w:rStyle w:val="FootnoteReference"/>
        </w:rPr>
        <w:footnoteReference w:id="37"/>
      </w:r>
    </w:p>
    <w:p w:rsidR="006516DB" w:rsidRDefault="00652AF2" w:rsidP="00132D43">
      <w:r>
        <w:t>'</w:t>
      </w:r>
      <w:r w:rsidR="003C6D2C">
        <w:t>Buildings</w:t>
      </w:r>
      <w:r>
        <w:t>'</w:t>
      </w:r>
      <w:r w:rsidR="003C6D2C">
        <w:t xml:space="preserve"> is an asset class used by most electricity and gas service providers</w:t>
      </w:r>
      <w:r w:rsidR="005F262D">
        <w:t xml:space="preserve"> that we regulate</w:t>
      </w:r>
      <w:r w:rsidR="003C6D2C">
        <w:t>.</w:t>
      </w:r>
      <w:r w:rsidR="003C6D2C">
        <w:rPr>
          <w:rStyle w:val="FootnoteReference"/>
        </w:rPr>
        <w:footnoteReference w:id="38"/>
      </w:r>
      <w:r w:rsidR="003C6D2C">
        <w:t xml:space="preserve"> Figure </w:t>
      </w:r>
      <w:r w:rsidR="00815E34">
        <w:t>5.2</w:t>
      </w:r>
      <w:r w:rsidR="003C6D2C">
        <w:t xml:space="preserve"> shows the range of standard asset lives we have approved in various deci</w:t>
      </w:r>
      <w:r w:rsidR="006516DB">
        <w:t>sions</w:t>
      </w:r>
      <w:r w:rsidR="005F262D">
        <w:t xml:space="preserve"> across electricity and gas distribution and transmission</w:t>
      </w:r>
      <w:r w:rsidR="006516DB">
        <w:t xml:space="preserve">. </w:t>
      </w:r>
      <w:r w:rsidR="00606E5C">
        <w:t>Multinet</w:t>
      </w:r>
      <w:r w:rsidR="006516DB">
        <w:t>'</w:t>
      </w:r>
      <w:r w:rsidR="00881344">
        <w:t>s</w:t>
      </w:r>
      <w:r w:rsidR="006516DB">
        <w:t xml:space="preserve"> proposed </w:t>
      </w:r>
      <w:r w:rsidR="001F3105">
        <w:t xml:space="preserve">standard </w:t>
      </w:r>
      <w:r w:rsidR="006516DB">
        <w:t xml:space="preserve">asset life for buildings is lower </w:t>
      </w:r>
      <w:r w:rsidR="00797CA4">
        <w:t xml:space="preserve">than all businesses </w:t>
      </w:r>
      <w:r w:rsidR="00303166">
        <w:t xml:space="preserve">we regulate </w:t>
      </w:r>
      <w:r w:rsidR="00797CA4">
        <w:t>except one</w:t>
      </w:r>
      <w:r w:rsidR="006516DB">
        <w:t xml:space="preserve">. </w:t>
      </w:r>
    </w:p>
    <w:p w:rsidR="00D86699" w:rsidRDefault="006516DB" w:rsidP="00132D43">
      <w:r>
        <w:t xml:space="preserve">We have reviewed the data </w:t>
      </w:r>
      <w:r w:rsidR="00A645F5">
        <w:t xml:space="preserve">across the businesses we regulate </w:t>
      </w:r>
      <w:r>
        <w:t>and consider that a reasonable range for</w:t>
      </w:r>
      <w:r w:rsidR="001F3105">
        <w:t xml:space="preserve"> the standard asset life of</w:t>
      </w:r>
      <w:r>
        <w:t xml:space="preserve"> buildings is 40 to 60 years.</w:t>
      </w:r>
      <w:r w:rsidR="005F262D">
        <w:rPr>
          <w:rStyle w:val="FootnoteReference"/>
        </w:rPr>
        <w:footnoteReference w:id="39"/>
      </w:r>
      <w:r>
        <w:t xml:space="preserve"> Longer lived building</w:t>
      </w:r>
      <w:r w:rsidR="001F3105">
        <w:t>s</w:t>
      </w:r>
      <w:r>
        <w:t xml:space="preserve"> are likely to be more robust system buildings, while 40 years we consider </w:t>
      </w:r>
      <w:r w:rsidR="001F3105">
        <w:t xml:space="preserve">is </w:t>
      </w:r>
      <w:r w:rsidR="00881344">
        <w:t xml:space="preserve">a </w:t>
      </w:r>
      <w:r w:rsidR="005F262D">
        <w:t>reasonable</w:t>
      </w:r>
      <w:r>
        <w:t xml:space="preserve"> </w:t>
      </w:r>
      <w:r w:rsidR="00251D25">
        <w:t xml:space="preserve">minimum life </w:t>
      </w:r>
      <w:r>
        <w:t>for commercial buildings.</w:t>
      </w:r>
      <w:r w:rsidR="00BD66D8">
        <w:rPr>
          <w:rStyle w:val="FootnoteReference"/>
        </w:rPr>
        <w:footnoteReference w:id="40"/>
      </w:r>
      <w:r w:rsidR="005F262D">
        <w:t xml:space="preserve"> </w:t>
      </w:r>
      <w:r w:rsidR="00BD66D8">
        <w:t xml:space="preserve">We do not accept </w:t>
      </w:r>
      <w:r w:rsidR="00606E5C">
        <w:t>Multinet</w:t>
      </w:r>
      <w:r w:rsidR="00BD66D8">
        <w:t>'</w:t>
      </w:r>
      <w:r w:rsidR="00881344">
        <w:t>s</w:t>
      </w:r>
      <w:r w:rsidR="00BD66D8">
        <w:t xml:space="preserve"> proposal as it is outside this range. </w:t>
      </w:r>
      <w:r w:rsidR="002D0942">
        <w:t xml:space="preserve">We consider Multinet's estimate is not </w:t>
      </w:r>
      <w:r w:rsidR="00762AB1">
        <w:t>consistent with the economic life of the asset</w:t>
      </w:r>
      <w:r w:rsidR="002A7B98">
        <w:t>,</w:t>
      </w:r>
      <w:r w:rsidR="00762AB1">
        <w:t xml:space="preserve"> and was not </w:t>
      </w:r>
      <w:r w:rsidR="002D0942">
        <w:t xml:space="preserve">arrived at on a reasonable basis and does not provide the best possible estimate in the circumstances.  </w:t>
      </w:r>
      <w:r w:rsidR="002B63DD">
        <w:t xml:space="preserve">For our draft decision, we have </w:t>
      </w:r>
      <w:r w:rsidR="001F3105">
        <w:t>taken the view</w:t>
      </w:r>
      <w:r w:rsidR="005F262D">
        <w:t xml:space="preserve"> that the buildings Multinet </w:t>
      </w:r>
      <w:r w:rsidR="00BD66D8">
        <w:t>acquires in the future</w:t>
      </w:r>
      <w:r w:rsidR="005F262D">
        <w:t xml:space="preserve"> </w:t>
      </w:r>
      <w:r w:rsidR="00881344">
        <w:t xml:space="preserve">are </w:t>
      </w:r>
      <w:r w:rsidR="005F262D">
        <w:t>likely to be a mi</w:t>
      </w:r>
      <w:r w:rsidR="00BD66D8">
        <w:t>x of both system and commercial buildings. We therefore have decided to continue with the standard asset life</w:t>
      </w:r>
      <w:r w:rsidR="00652AF2">
        <w:t xml:space="preserve"> of</w:t>
      </w:r>
      <w:r w:rsidR="00BD66D8">
        <w:t xml:space="preserve"> </w:t>
      </w:r>
      <w:r w:rsidR="00652AF2">
        <w:t xml:space="preserve">50 years </w:t>
      </w:r>
      <w:r w:rsidR="00BD66D8">
        <w:t xml:space="preserve">used for buildings during the </w:t>
      </w:r>
      <w:r w:rsidR="001F3105">
        <w:t xml:space="preserve">2013–17 </w:t>
      </w:r>
      <w:r w:rsidR="00BD66D8">
        <w:t>access arrangement.</w:t>
      </w:r>
      <w:r w:rsidR="00680638">
        <w:t xml:space="preserve"> </w:t>
      </w:r>
      <w:r w:rsidR="000C259F">
        <w:t>CCP</w:t>
      </w:r>
      <w:r w:rsidR="004E19DD">
        <w:t>11</w:t>
      </w:r>
      <w:r w:rsidR="000C259F">
        <w:t xml:space="preserve"> also noted that </w:t>
      </w:r>
      <w:r w:rsidR="00606E5C">
        <w:t>Multinet</w:t>
      </w:r>
      <w:r w:rsidR="000C259F">
        <w:t xml:space="preserve"> had been satisfied with the 50 year </w:t>
      </w:r>
      <w:r w:rsidR="00AD61F1">
        <w:t xml:space="preserve">standard asset </w:t>
      </w:r>
      <w:r w:rsidR="000C259F">
        <w:t xml:space="preserve">life of its building for many years, and had not shown that these building </w:t>
      </w:r>
      <w:r w:rsidR="00AD61F1">
        <w:t>fail to</w:t>
      </w:r>
      <w:r w:rsidR="000C259F">
        <w:t xml:space="preserve"> last 50 years.</w:t>
      </w:r>
      <w:r w:rsidR="000C259F">
        <w:rPr>
          <w:rStyle w:val="FootnoteReference"/>
        </w:rPr>
        <w:footnoteReference w:id="41"/>
      </w:r>
    </w:p>
    <w:p w:rsidR="00D86699" w:rsidRDefault="00606E5C" w:rsidP="00132D43">
      <w:r>
        <w:t>Multinet</w:t>
      </w:r>
      <w:r w:rsidR="00917A2A">
        <w:t>'</w:t>
      </w:r>
      <w:r w:rsidR="00881344">
        <w:t>s</w:t>
      </w:r>
      <w:r w:rsidR="00917A2A">
        <w:t xml:space="preserve"> proposal went against developing consistency </w:t>
      </w:r>
      <w:r w:rsidR="00D86699">
        <w:t xml:space="preserve">in </w:t>
      </w:r>
      <w:r w:rsidR="001F3105">
        <w:t xml:space="preserve">standard </w:t>
      </w:r>
      <w:r w:rsidR="00D86699">
        <w:t xml:space="preserve">asset lives across businesses </w:t>
      </w:r>
      <w:r w:rsidR="00917A2A">
        <w:t>over time. This concern has been raised by the CCP in a number of submissions</w:t>
      </w:r>
      <w:r w:rsidR="00D86699">
        <w:t xml:space="preserve"> in recent times</w:t>
      </w:r>
      <w:r w:rsidR="00917A2A">
        <w:t xml:space="preserve">. The standard asset lives </w:t>
      </w:r>
      <w:r w:rsidR="001F3105">
        <w:t xml:space="preserve">for different asset classes </w:t>
      </w:r>
      <w:r w:rsidR="00917A2A">
        <w:t>used in many cases were developed by previous jurisdictional regulators</w:t>
      </w:r>
      <w:r w:rsidR="00404F20">
        <w:t>,</w:t>
      </w:r>
      <w:r w:rsidR="001F3105">
        <w:t xml:space="preserve"> and </w:t>
      </w:r>
      <w:r w:rsidR="00386D23">
        <w:t xml:space="preserve">generally </w:t>
      </w:r>
      <w:r w:rsidR="001F3105">
        <w:t xml:space="preserve">have not changed over </w:t>
      </w:r>
      <w:r w:rsidR="00404F20">
        <w:t>several</w:t>
      </w:r>
      <w:r w:rsidR="001F3105">
        <w:t xml:space="preserve"> access arrangement periods</w:t>
      </w:r>
      <w:r w:rsidR="00D86699">
        <w:t>. Some asset classes can also reflect a mix of assets (or high level of aggregation), such as the mix of different types of buildings that can be allocated to a single high level 'buildings' asset class</w:t>
      </w:r>
      <w:r w:rsidR="00917A2A">
        <w:t>.</w:t>
      </w:r>
      <w:r w:rsidR="00F04AF3">
        <w:t xml:space="preserve"> This can lead to </w:t>
      </w:r>
      <w:r w:rsidR="00365509">
        <w:t xml:space="preserve">reasonable </w:t>
      </w:r>
      <w:r w:rsidR="00F04AF3">
        <w:t>differences in the standard asset life of seemingly similar asset classes across regulated businesses.</w:t>
      </w:r>
      <w:r w:rsidR="00917A2A">
        <w:t xml:space="preserve"> We will continue to develop greater consistency across businesses when </w:t>
      </w:r>
      <w:r w:rsidR="00EC6A78">
        <w:t xml:space="preserve">it is not </w:t>
      </w:r>
      <w:proofErr w:type="gramStart"/>
      <w:r w:rsidR="00E62B77">
        <w:t xml:space="preserve">reasonable </w:t>
      </w:r>
      <w:r w:rsidR="00917A2A">
        <w:t xml:space="preserve"> for</w:t>
      </w:r>
      <w:proofErr w:type="gramEnd"/>
      <w:r w:rsidR="00917A2A">
        <w:t xml:space="preserve"> a different</w:t>
      </w:r>
      <w:r w:rsidR="00386D23">
        <w:t xml:space="preserve"> asset</w:t>
      </w:r>
      <w:r w:rsidR="00917A2A">
        <w:t xml:space="preserve"> life to be used.</w:t>
      </w:r>
      <w:r w:rsidR="00D86699">
        <w:t xml:space="preserve"> </w:t>
      </w:r>
    </w:p>
    <w:p w:rsidR="00084CCC" w:rsidRDefault="00084CCC" w:rsidP="00B7472B">
      <w:pPr>
        <w:pStyle w:val="Tabletitle"/>
        <w:keepNext/>
      </w:pPr>
      <w:r>
        <w:t xml:space="preserve">Figure 5.2 </w:t>
      </w:r>
      <w:r w:rsidR="00C679EB">
        <w:t>Approved s</w:t>
      </w:r>
      <w:r>
        <w:t>tandard asset lives of buildings</w:t>
      </w:r>
    </w:p>
    <w:p w:rsidR="00084CCC" w:rsidRDefault="00084CCC" w:rsidP="00B7472B">
      <w:pPr>
        <w:keepNext/>
      </w:pPr>
      <w:r w:rsidRPr="00084CCC">
        <w:rPr>
          <w:noProof/>
          <w:lang w:eastAsia="en-AU"/>
        </w:rPr>
        <w:drawing>
          <wp:inline distT="0" distB="0" distL="0" distR="0" wp14:anchorId="18EE1484" wp14:editId="0095BDA3">
            <wp:extent cx="5370830" cy="3347085"/>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0830" cy="3347085"/>
                    </a:xfrm>
                    <a:prstGeom prst="rect">
                      <a:avLst/>
                    </a:prstGeom>
                    <a:noFill/>
                  </pic:spPr>
                </pic:pic>
              </a:graphicData>
            </a:graphic>
          </wp:inline>
        </w:drawing>
      </w:r>
    </w:p>
    <w:p w:rsidR="00084CCC" w:rsidRDefault="00084CCC" w:rsidP="00B7472B">
      <w:pPr>
        <w:pStyle w:val="AERtablesource"/>
        <w:keepNext/>
      </w:pPr>
      <w:r>
        <w:t>Source:</w:t>
      </w:r>
      <w:r>
        <w:tab/>
        <w:t>AER analysis.</w:t>
      </w:r>
    </w:p>
    <w:p w:rsidR="00797CA4" w:rsidRDefault="00084CCC" w:rsidP="00084CCC">
      <w:r>
        <w:t xml:space="preserve">Notwithstanding the analysis above, </w:t>
      </w:r>
      <w:r w:rsidR="00606E5C">
        <w:t>Multinet</w:t>
      </w:r>
      <w:r>
        <w:t xml:space="preserve"> proposed a relatively small amount of forecast capex on buildings.</w:t>
      </w:r>
      <w:r>
        <w:rPr>
          <w:rStyle w:val="FootnoteReference"/>
        </w:rPr>
        <w:footnoteReference w:id="42"/>
      </w:r>
      <w:r>
        <w:t xml:space="preserve"> </w:t>
      </w:r>
      <w:r w:rsidR="00B107CB">
        <w:t>We sought further information from Multinet as to</w:t>
      </w:r>
      <w:r>
        <w:t xml:space="preserve"> these amounts</w:t>
      </w:r>
      <w:r w:rsidR="00F80242">
        <w:t xml:space="preserve"> and the relative mix of assets</w:t>
      </w:r>
      <w:r w:rsidR="00B107CB">
        <w:t xml:space="preserve">. </w:t>
      </w:r>
      <w:r w:rsidR="00606E5C">
        <w:t>Multinet</w:t>
      </w:r>
      <w:r>
        <w:t xml:space="preserve"> advised the</w:t>
      </w:r>
      <w:r w:rsidR="00C679EB">
        <w:t xml:space="preserve"> capex</w:t>
      </w:r>
      <w:r w:rsidR="00F80242">
        <w:t xml:space="preserve"> </w:t>
      </w:r>
      <w:r>
        <w:t xml:space="preserve">related to office fittings. It proposed that the forecast capex be moved from the 'Buildings' asset class to the 'Other' asset class, which has a </w:t>
      </w:r>
      <w:r w:rsidR="00F80242">
        <w:t>standard</w:t>
      </w:r>
      <w:r>
        <w:t xml:space="preserve"> asset life of 10 years.</w:t>
      </w:r>
      <w:r w:rsidR="00F80242">
        <w:rPr>
          <w:rStyle w:val="FootnoteReference"/>
        </w:rPr>
        <w:footnoteReference w:id="43"/>
      </w:r>
      <w:r>
        <w:t xml:space="preserve"> We agree that an error was made </w:t>
      </w:r>
      <w:r w:rsidR="00C679EB">
        <w:t xml:space="preserve">in the proposal </w:t>
      </w:r>
      <w:r>
        <w:t xml:space="preserve">in classifying office fittings as 'Buildings'. We also consider that given the nature of the assets a 10 year standard asset life is reasonable in these circumstances. We have amended the models accordingly. The impact of this change on </w:t>
      </w:r>
      <w:r w:rsidR="00606E5C">
        <w:t>Multinet</w:t>
      </w:r>
      <w:r>
        <w:t>' revenues is not material.</w:t>
      </w:r>
    </w:p>
    <w:p w:rsidR="00797CA4" w:rsidRPr="00797CA4" w:rsidRDefault="00797CA4" w:rsidP="00BB084B">
      <w:pPr>
        <w:pStyle w:val="Heading4"/>
      </w:pPr>
      <w:r>
        <w:t>Meters</w:t>
      </w:r>
    </w:p>
    <w:p w:rsidR="00DD62B0" w:rsidRDefault="004E19DD" w:rsidP="00132D43">
      <w:r>
        <w:t>Multinet</w:t>
      </w:r>
      <w:r w:rsidR="00797CA4">
        <w:t xml:space="preserve"> </w:t>
      </w:r>
      <w:r w:rsidR="00797CA4" w:rsidRPr="005922A8">
        <w:t>proposed reducing the stan</w:t>
      </w:r>
      <w:r w:rsidR="00797CA4">
        <w:t>dard asset life</w:t>
      </w:r>
      <w:r w:rsidR="00797CA4" w:rsidRPr="005922A8">
        <w:t xml:space="preserve"> </w:t>
      </w:r>
      <w:r w:rsidR="00992490">
        <w:t>of the</w:t>
      </w:r>
      <w:r w:rsidR="00797CA4" w:rsidRPr="005922A8">
        <w:t xml:space="preserve"> </w:t>
      </w:r>
      <w:r w:rsidR="00992490">
        <w:t>'M</w:t>
      </w:r>
      <w:r w:rsidR="00797CA4" w:rsidRPr="005922A8">
        <w:t>eters</w:t>
      </w:r>
      <w:r w:rsidR="00992490">
        <w:t>' asset class</w:t>
      </w:r>
      <w:r w:rsidR="00797CA4" w:rsidRPr="005922A8">
        <w:t xml:space="preserve"> to 15 years</w:t>
      </w:r>
      <w:r w:rsidR="00992490" w:rsidRPr="00992490">
        <w:t xml:space="preserve"> </w:t>
      </w:r>
      <w:r w:rsidR="00992490">
        <w:t>from 30 years</w:t>
      </w:r>
      <w:r w:rsidR="00797CA4" w:rsidRPr="005922A8">
        <w:t xml:space="preserve">. </w:t>
      </w:r>
      <w:r w:rsidR="00797CA4">
        <w:t>It s</w:t>
      </w:r>
      <w:r w:rsidR="00BB084B">
        <w:t>tated</w:t>
      </w:r>
      <w:r w:rsidR="00797CA4">
        <w:t xml:space="preserve"> that this </w:t>
      </w:r>
      <w:r w:rsidR="00DD62B0">
        <w:t xml:space="preserve">revised </w:t>
      </w:r>
      <w:r w:rsidR="00797CA4">
        <w:t>standard asset life would be consistent with tax law and previous AER decision</w:t>
      </w:r>
      <w:r w:rsidR="00BB084B">
        <w:t>s</w:t>
      </w:r>
      <w:r w:rsidR="00797CA4">
        <w:t>.</w:t>
      </w:r>
      <w:r w:rsidR="00BB084B">
        <w:rPr>
          <w:rStyle w:val="FootnoteReference"/>
        </w:rPr>
        <w:footnoteReference w:id="44"/>
      </w:r>
      <w:r w:rsidR="00797CA4">
        <w:t xml:space="preserve"> As noted above, we consider consistency with tax law </w:t>
      </w:r>
      <w:r w:rsidR="001B0E24">
        <w:t xml:space="preserve">to be </w:t>
      </w:r>
      <w:r w:rsidR="00797CA4">
        <w:t xml:space="preserve">appropriate for the tax asset base. However, we do not accept that this is a sufficient reason to apply the </w:t>
      </w:r>
      <w:r w:rsidR="001B0E24">
        <w:t xml:space="preserve">economic </w:t>
      </w:r>
      <w:r w:rsidR="00797CA4">
        <w:t xml:space="preserve">life to the capital base. </w:t>
      </w:r>
    </w:p>
    <w:p w:rsidR="00B94FDF" w:rsidRDefault="00797CA4" w:rsidP="00132D43">
      <w:r>
        <w:t>Nonetheless</w:t>
      </w:r>
      <w:r w:rsidR="00DD62B0">
        <w:t>,</w:t>
      </w:r>
      <w:r>
        <w:t xml:space="preserve"> the proposed </w:t>
      </w:r>
      <w:r w:rsidR="001B0E24">
        <w:t xml:space="preserve">standard asset </w:t>
      </w:r>
      <w:r>
        <w:t xml:space="preserve">life is consistent with previous AER decisions regarding meters. Given that the meters used by </w:t>
      </w:r>
      <w:r w:rsidR="004E19DD">
        <w:t>Multinet</w:t>
      </w:r>
      <w:r>
        <w:t xml:space="preserve"> are likely to be similar to those used by other businesses, </w:t>
      </w:r>
      <w:r w:rsidRPr="005922A8">
        <w:t xml:space="preserve">we </w:t>
      </w:r>
      <w:r>
        <w:t>accept this</w:t>
      </w:r>
      <w:r w:rsidRPr="005922A8">
        <w:t xml:space="preserve"> proposal</w:t>
      </w:r>
      <w:r>
        <w:t>.</w:t>
      </w:r>
      <w:r w:rsidR="000C259F">
        <w:t xml:space="preserve"> </w:t>
      </w:r>
      <w:r w:rsidR="00B107CB">
        <w:t>CCP</w:t>
      </w:r>
      <w:r w:rsidR="004E19DD">
        <w:t>11</w:t>
      </w:r>
      <w:r w:rsidR="00B107CB">
        <w:t xml:space="preserve"> raised a concern as to t</w:t>
      </w:r>
      <w:r w:rsidR="000C259F">
        <w:t xml:space="preserve">he revenue impact of this </w:t>
      </w:r>
      <w:r w:rsidR="00DD62B0">
        <w:t xml:space="preserve">proposed </w:t>
      </w:r>
      <w:r w:rsidR="000C259F">
        <w:t>change</w:t>
      </w:r>
      <w:r w:rsidR="00B107CB">
        <w:t>. However, our assessment revealed this to be</w:t>
      </w:r>
      <w:r w:rsidR="000C259F">
        <w:t xml:space="preserve"> </w:t>
      </w:r>
      <w:r w:rsidR="00B83080">
        <w:t>insignificant</w:t>
      </w:r>
      <w:r w:rsidR="000C259F">
        <w:t>.</w:t>
      </w:r>
      <w:r w:rsidR="000C259F">
        <w:rPr>
          <w:rStyle w:val="FootnoteReference"/>
        </w:rPr>
        <w:footnoteReference w:id="45"/>
      </w:r>
    </w:p>
    <w:p w:rsidR="0027595D" w:rsidRDefault="0027595D" w:rsidP="007A08B7">
      <w:pPr>
        <w:pStyle w:val="Heading4"/>
      </w:pPr>
      <w:r>
        <w:t>Equity raising costs</w:t>
      </w:r>
    </w:p>
    <w:p w:rsidR="0027595D" w:rsidRDefault="0027595D" w:rsidP="00132D43">
      <w:r>
        <w:t>Multinet did not</w:t>
      </w:r>
      <w:r w:rsidRPr="0027595D">
        <w:t xml:space="preserve"> provide a standard asset life for equity raising costs. We have determined this </w:t>
      </w:r>
      <w:r w:rsidR="007D2507">
        <w:t xml:space="preserve">asset </w:t>
      </w:r>
      <w:r w:rsidRPr="0027595D">
        <w:t>life for the draft decision based on our standard approach of using the weighted average standard asset lives of the opening capital base.</w:t>
      </w:r>
    </w:p>
    <w:p w:rsidR="002E7D52" w:rsidRDefault="002E7D52" w:rsidP="0004670E">
      <w:pPr>
        <w:pStyle w:val="Heading4"/>
      </w:pPr>
      <w:r>
        <w:t>Summary of standard asset lives</w:t>
      </w:r>
    </w:p>
    <w:p w:rsidR="002E7D52" w:rsidRPr="00F03D3D" w:rsidRDefault="00992490" w:rsidP="002E7D52">
      <w:r>
        <w:t xml:space="preserve">We have considered Multinet's proposal and are satisfied the standard asset lives approved in this draft decision reflect the requirements of r. 89(1) of the NGR. </w:t>
      </w:r>
      <w:r w:rsidR="002E7D52">
        <w:t>Table 5.3</w:t>
      </w:r>
      <w:r w:rsidR="002E7D52" w:rsidRPr="00F03D3D">
        <w:t xml:space="preserve"> sets out our draft decision on the standard asset lives for the </w:t>
      </w:r>
      <w:r w:rsidR="00606E5C">
        <w:t>Multinet</w:t>
      </w:r>
      <w:r w:rsidR="00F615A7">
        <w:t xml:space="preserve"> over the 2018–22 access arrangement period</w:t>
      </w:r>
      <w:r w:rsidR="002E7D52" w:rsidRPr="00F03D3D">
        <w:t>.</w:t>
      </w:r>
    </w:p>
    <w:p w:rsidR="002E7D52" w:rsidRPr="00F03D3D" w:rsidRDefault="00384F43" w:rsidP="007A08B7">
      <w:pPr>
        <w:pStyle w:val="Caption"/>
      </w:pPr>
      <w:bookmarkStart w:id="113" w:name="_Ref482366696"/>
      <w:r>
        <w:t xml:space="preserve">Table </w:t>
      </w:r>
      <w:fldSimple w:instr=" STYLEREF 1 \s ">
        <w:r w:rsidR="00210078">
          <w:rPr>
            <w:noProof/>
          </w:rPr>
          <w:t>5</w:t>
        </w:r>
      </w:fldSimple>
      <w:r>
        <w:t>.</w:t>
      </w:r>
      <w:fldSimple w:instr=" SEQ Table \* ARABIC \s 1 ">
        <w:r w:rsidR="00210078">
          <w:rPr>
            <w:noProof/>
          </w:rPr>
          <w:t>3</w:t>
        </w:r>
      </w:fldSimple>
      <w:bookmarkEnd w:id="113"/>
      <w:r w:rsidRPr="005B5FC5">
        <w:tab/>
      </w:r>
      <w:r w:rsidR="002E7D52" w:rsidRPr="00F03D3D">
        <w:t xml:space="preserve">AER's draft decision </w:t>
      </w:r>
      <w:r w:rsidR="002E7D52">
        <w:t xml:space="preserve">on </w:t>
      </w:r>
      <w:r w:rsidR="00606E5C">
        <w:t>Multinet</w:t>
      </w:r>
      <w:r w:rsidR="002E7D52" w:rsidRPr="00F03D3D">
        <w:t>’s standard asset lives (years)</w:t>
      </w:r>
    </w:p>
    <w:tbl>
      <w:tblPr>
        <w:tblStyle w:val="AERtable-numbers"/>
        <w:tblW w:w="8330" w:type="dxa"/>
        <w:tblLayout w:type="fixed"/>
        <w:tblLook w:val="04A0" w:firstRow="1" w:lastRow="0" w:firstColumn="1" w:lastColumn="0" w:noHBand="0" w:noVBand="1"/>
      </w:tblPr>
      <w:tblGrid>
        <w:gridCol w:w="5211"/>
        <w:gridCol w:w="3119"/>
      </w:tblGrid>
      <w:tr w:rsidR="002E7D52" w:rsidRPr="00F03D3D" w:rsidTr="00B0195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11" w:type="dxa"/>
            <w:noWrap/>
            <w:hideMark/>
          </w:tcPr>
          <w:p w:rsidR="002E7D52" w:rsidRPr="002E7D52" w:rsidRDefault="002E7D52" w:rsidP="002E7D52">
            <w:pPr>
              <w:rPr>
                <w:lang w:eastAsia="en-US"/>
              </w:rPr>
            </w:pPr>
          </w:p>
        </w:tc>
        <w:tc>
          <w:tcPr>
            <w:tcW w:w="3119" w:type="dxa"/>
          </w:tcPr>
          <w:p w:rsidR="002E7D52" w:rsidRPr="002E7D52" w:rsidRDefault="002E7D52" w:rsidP="002E7D52">
            <w:pPr>
              <w:cnfStyle w:val="100000000000" w:firstRow="1" w:lastRow="0" w:firstColumn="0" w:lastColumn="0" w:oddVBand="0" w:evenVBand="0" w:oddHBand="0" w:evenHBand="0" w:firstRowFirstColumn="0" w:firstRowLastColumn="0" w:lastRowFirstColumn="0" w:lastRowLastColumn="0"/>
              <w:rPr>
                <w:lang w:eastAsia="en-US"/>
              </w:rPr>
            </w:pPr>
            <w:r w:rsidRPr="002E7D52">
              <w:rPr>
                <w:lang w:eastAsia="en-US"/>
              </w:rPr>
              <w:t xml:space="preserve">Standard asset life </w:t>
            </w:r>
          </w:p>
        </w:tc>
      </w:tr>
      <w:tr w:rsidR="002E7D52" w:rsidRPr="00F03D3D" w:rsidTr="00B01957">
        <w:trPr>
          <w:trHeight w:val="300"/>
        </w:trPr>
        <w:tc>
          <w:tcPr>
            <w:cnfStyle w:val="001000000000" w:firstRow="0" w:lastRow="0" w:firstColumn="1" w:lastColumn="0" w:oddVBand="0" w:evenVBand="0" w:oddHBand="0" w:evenHBand="0" w:firstRowFirstColumn="0" w:firstRowLastColumn="0" w:lastRowFirstColumn="0" w:lastRowLastColumn="0"/>
            <w:tcW w:w="5211" w:type="dxa"/>
            <w:noWrap/>
            <w:vAlign w:val="top"/>
          </w:tcPr>
          <w:p w:rsidR="002E7D52" w:rsidRPr="002E7D52" w:rsidRDefault="002E7D52" w:rsidP="002E7D52">
            <w:r w:rsidRPr="002E7D52">
              <w:t>Transmission and distribution</w:t>
            </w:r>
          </w:p>
        </w:tc>
        <w:tc>
          <w:tcPr>
            <w:tcW w:w="3119" w:type="dxa"/>
            <w:vAlign w:val="top"/>
          </w:tcPr>
          <w:p w:rsidR="002E7D52" w:rsidRPr="002E7D52" w:rsidRDefault="002E7D52" w:rsidP="002E7D52">
            <w:pPr>
              <w:cnfStyle w:val="000000000000" w:firstRow="0" w:lastRow="0" w:firstColumn="0" w:lastColumn="0" w:oddVBand="0" w:evenVBand="0" w:oddHBand="0" w:evenHBand="0" w:firstRowFirstColumn="0" w:firstRowLastColumn="0" w:lastRowFirstColumn="0" w:lastRowLastColumn="0"/>
            </w:pPr>
            <w:r w:rsidRPr="002E7D52">
              <w:t>50</w:t>
            </w:r>
          </w:p>
        </w:tc>
      </w:tr>
      <w:tr w:rsidR="002E7D52" w:rsidRPr="00F03D3D" w:rsidTr="00B0195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1" w:type="dxa"/>
            <w:noWrap/>
            <w:vAlign w:val="top"/>
          </w:tcPr>
          <w:p w:rsidR="002E7D52" w:rsidRPr="002E7D52" w:rsidRDefault="002E7D52" w:rsidP="002E7D52">
            <w:r w:rsidRPr="002E7D52">
              <w:t>Services</w:t>
            </w:r>
          </w:p>
        </w:tc>
        <w:tc>
          <w:tcPr>
            <w:tcW w:w="3119" w:type="dxa"/>
            <w:vAlign w:val="top"/>
          </w:tcPr>
          <w:p w:rsidR="002E7D52" w:rsidRPr="002E7D52" w:rsidRDefault="002E7D52" w:rsidP="002E7D52">
            <w:pPr>
              <w:cnfStyle w:val="000000010000" w:firstRow="0" w:lastRow="0" w:firstColumn="0" w:lastColumn="0" w:oddVBand="0" w:evenVBand="0" w:oddHBand="0" w:evenHBand="1" w:firstRowFirstColumn="0" w:firstRowLastColumn="0" w:lastRowFirstColumn="0" w:lastRowLastColumn="0"/>
            </w:pPr>
            <w:r w:rsidRPr="002E7D52">
              <w:t>50</w:t>
            </w:r>
          </w:p>
        </w:tc>
      </w:tr>
      <w:tr w:rsidR="002E7D52" w:rsidRPr="00F03D3D" w:rsidTr="00B01957">
        <w:trPr>
          <w:trHeight w:val="300"/>
        </w:trPr>
        <w:tc>
          <w:tcPr>
            <w:cnfStyle w:val="001000000000" w:firstRow="0" w:lastRow="0" w:firstColumn="1" w:lastColumn="0" w:oddVBand="0" w:evenVBand="0" w:oddHBand="0" w:evenHBand="0" w:firstRowFirstColumn="0" w:firstRowLastColumn="0" w:lastRowFirstColumn="0" w:lastRowLastColumn="0"/>
            <w:tcW w:w="5211" w:type="dxa"/>
            <w:noWrap/>
            <w:vAlign w:val="top"/>
          </w:tcPr>
          <w:p w:rsidR="002E7D52" w:rsidRPr="002E7D52" w:rsidRDefault="002E7D52" w:rsidP="00992490">
            <w:proofErr w:type="spellStart"/>
            <w:r w:rsidRPr="002E7D52">
              <w:t>Cathodic</w:t>
            </w:r>
            <w:proofErr w:type="spellEnd"/>
            <w:r w:rsidRPr="002E7D52">
              <w:t xml:space="preserve"> </w:t>
            </w:r>
            <w:r w:rsidR="00992490">
              <w:t>p</w:t>
            </w:r>
            <w:r w:rsidRPr="002E7D52">
              <w:t>rotection</w:t>
            </w:r>
          </w:p>
        </w:tc>
        <w:tc>
          <w:tcPr>
            <w:tcW w:w="3119" w:type="dxa"/>
            <w:vAlign w:val="top"/>
          </w:tcPr>
          <w:p w:rsidR="002E7D52" w:rsidRPr="002E7D52" w:rsidRDefault="002E7D52" w:rsidP="00992490">
            <w:pPr>
              <w:cnfStyle w:val="000000000000" w:firstRow="0" w:lastRow="0" w:firstColumn="0" w:lastColumn="0" w:oddVBand="0" w:evenVBand="0" w:oddHBand="0" w:evenHBand="0" w:firstRowFirstColumn="0" w:firstRowLastColumn="0" w:lastRowFirstColumn="0" w:lastRowLastColumn="0"/>
            </w:pPr>
            <w:r w:rsidRPr="002E7D52">
              <w:t>50</w:t>
            </w:r>
          </w:p>
        </w:tc>
      </w:tr>
      <w:tr w:rsidR="002E7D52" w:rsidRPr="00F03D3D" w:rsidTr="00B0195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1" w:type="dxa"/>
            <w:noWrap/>
            <w:vAlign w:val="top"/>
          </w:tcPr>
          <w:p w:rsidR="002E7D52" w:rsidRPr="002E7D52" w:rsidRDefault="002E7D52" w:rsidP="00992490">
            <w:r w:rsidRPr="002E7D52">
              <w:t xml:space="preserve">Supply </w:t>
            </w:r>
            <w:proofErr w:type="spellStart"/>
            <w:r w:rsidR="00992490">
              <w:t>r</w:t>
            </w:r>
            <w:r w:rsidRPr="002E7D52">
              <w:t>egs</w:t>
            </w:r>
            <w:proofErr w:type="spellEnd"/>
            <w:r w:rsidRPr="002E7D52">
              <w:t>/</w:t>
            </w:r>
            <w:r w:rsidR="00992490">
              <w:t>v</w:t>
            </w:r>
            <w:r w:rsidRPr="002E7D52">
              <w:t>alve stations</w:t>
            </w:r>
          </w:p>
        </w:tc>
        <w:tc>
          <w:tcPr>
            <w:tcW w:w="3119" w:type="dxa"/>
            <w:vAlign w:val="top"/>
          </w:tcPr>
          <w:p w:rsidR="002E7D52" w:rsidRPr="002E7D52" w:rsidRDefault="002E7D52" w:rsidP="002E7D52">
            <w:pPr>
              <w:cnfStyle w:val="000000010000" w:firstRow="0" w:lastRow="0" w:firstColumn="0" w:lastColumn="0" w:oddVBand="0" w:evenVBand="0" w:oddHBand="0" w:evenHBand="1" w:firstRowFirstColumn="0" w:firstRowLastColumn="0" w:lastRowFirstColumn="0" w:lastRowLastColumn="0"/>
            </w:pPr>
            <w:r w:rsidRPr="002E7D52">
              <w:t>50</w:t>
            </w:r>
          </w:p>
        </w:tc>
      </w:tr>
      <w:tr w:rsidR="002E7D52" w:rsidRPr="00F03D3D" w:rsidTr="00B01957">
        <w:trPr>
          <w:trHeight w:val="300"/>
        </w:trPr>
        <w:tc>
          <w:tcPr>
            <w:cnfStyle w:val="001000000000" w:firstRow="0" w:lastRow="0" w:firstColumn="1" w:lastColumn="0" w:oddVBand="0" w:evenVBand="0" w:oddHBand="0" w:evenHBand="0" w:firstRowFirstColumn="0" w:firstRowLastColumn="0" w:lastRowFirstColumn="0" w:lastRowLastColumn="0"/>
            <w:tcW w:w="5211" w:type="dxa"/>
            <w:noWrap/>
            <w:vAlign w:val="top"/>
          </w:tcPr>
          <w:p w:rsidR="002E7D52" w:rsidRPr="002E7D52" w:rsidRDefault="002E7D52" w:rsidP="002E7D52">
            <w:r>
              <w:t>Meters</w:t>
            </w:r>
          </w:p>
        </w:tc>
        <w:tc>
          <w:tcPr>
            <w:tcW w:w="3119" w:type="dxa"/>
            <w:vAlign w:val="top"/>
          </w:tcPr>
          <w:p w:rsidR="002E7D52" w:rsidRPr="002E7D52" w:rsidRDefault="002E7D52" w:rsidP="00992490">
            <w:pPr>
              <w:cnfStyle w:val="000000000000" w:firstRow="0" w:lastRow="0" w:firstColumn="0" w:lastColumn="0" w:oddVBand="0" w:evenVBand="0" w:oddHBand="0" w:evenHBand="0" w:firstRowFirstColumn="0" w:firstRowLastColumn="0" w:lastRowFirstColumn="0" w:lastRowLastColumn="0"/>
            </w:pPr>
            <w:r>
              <w:t>15</w:t>
            </w:r>
          </w:p>
        </w:tc>
      </w:tr>
      <w:tr w:rsidR="002E7D52" w:rsidRPr="00F03D3D" w:rsidTr="00B0195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1" w:type="dxa"/>
            <w:noWrap/>
            <w:vAlign w:val="top"/>
          </w:tcPr>
          <w:p w:rsidR="002E7D52" w:rsidRPr="002E7D52" w:rsidRDefault="002E7D52" w:rsidP="002E7D52">
            <w:r>
              <w:t>B</w:t>
            </w:r>
            <w:r w:rsidRPr="002E7D52">
              <w:t>uildings</w:t>
            </w:r>
          </w:p>
        </w:tc>
        <w:tc>
          <w:tcPr>
            <w:tcW w:w="3119" w:type="dxa"/>
            <w:vAlign w:val="top"/>
          </w:tcPr>
          <w:p w:rsidR="002E7D52" w:rsidRPr="002E7D52" w:rsidRDefault="002E7D52" w:rsidP="002E7D52">
            <w:pPr>
              <w:cnfStyle w:val="000000010000" w:firstRow="0" w:lastRow="0" w:firstColumn="0" w:lastColumn="0" w:oddVBand="0" w:evenVBand="0" w:oddHBand="0" w:evenHBand="1" w:firstRowFirstColumn="0" w:firstRowLastColumn="0" w:lastRowFirstColumn="0" w:lastRowLastColumn="0"/>
            </w:pPr>
            <w:r>
              <w:t>5</w:t>
            </w:r>
            <w:r w:rsidRPr="002E7D52">
              <w:t>0</w:t>
            </w:r>
          </w:p>
        </w:tc>
      </w:tr>
      <w:tr w:rsidR="002E7D52" w:rsidRPr="00F03D3D" w:rsidTr="00B01957">
        <w:trPr>
          <w:trHeight w:val="300"/>
        </w:trPr>
        <w:tc>
          <w:tcPr>
            <w:cnfStyle w:val="001000000000" w:firstRow="0" w:lastRow="0" w:firstColumn="1" w:lastColumn="0" w:oddVBand="0" w:evenVBand="0" w:oddHBand="0" w:evenHBand="0" w:firstRowFirstColumn="0" w:firstRowLastColumn="0" w:lastRowFirstColumn="0" w:lastRowLastColumn="0"/>
            <w:tcW w:w="5211" w:type="dxa"/>
            <w:noWrap/>
            <w:vAlign w:val="top"/>
          </w:tcPr>
          <w:p w:rsidR="002E7D52" w:rsidRPr="002E7D52" w:rsidRDefault="002E7D52" w:rsidP="002E7D52">
            <w:r w:rsidRPr="00F03D3D">
              <w:t>IT</w:t>
            </w:r>
          </w:p>
        </w:tc>
        <w:tc>
          <w:tcPr>
            <w:tcW w:w="3119" w:type="dxa"/>
            <w:vAlign w:val="top"/>
          </w:tcPr>
          <w:p w:rsidR="002E7D52" w:rsidRPr="002E7D52" w:rsidRDefault="002E7D52" w:rsidP="00992490">
            <w:pPr>
              <w:cnfStyle w:val="000000000000" w:firstRow="0" w:lastRow="0" w:firstColumn="0" w:lastColumn="0" w:oddVBand="0" w:evenVBand="0" w:oddHBand="0" w:evenHBand="0" w:firstRowFirstColumn="0" w:firstRowLastColumn="0" w:lastRowFirstColumn="0" w:lastRowLastColumn="0"/>
            </w:pPr>
            <w:r w:rsidRPr="00F03D3D">
              <w:t>5</w:t>
            </w:r>
          </w:p>
        </w:tc>
      </w:tr>
      <w:tr w:rsidR="002E7D52" w:rsidRPr="00F03D3D" w:rsidTr="00B0195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1" w:type="dxa"/>
            <w:noWrap/>
            <w:vAlign w:val="top"/>
          </w:tcPr>
          <w:p w:rsidR="002E7D52" w:rsidRPr="002E7D52" w:rsidRDefault="002E7D52" w:rsidP="002E7D52">
            <w:r>
              <w:t>SCADA</w:t>
            </w:r>
          </w:p>
        </w:tc>
        <w:tc>
          <w:tcPr>
            <w:tcW w:w="3119" w:type="dxa"/>
          </w:tcPr>
          <w:p w:rsidR="002E7D52" w:rsidRPr="002E7D52" w:rsidRDefault="002E7D52" w:rsidP="002E7D52">
            <w:pPr>
              <w:cnfStyle w:val="000000010000" w:firstRow="0" w:lastRow="0" w:firstColumn="0" w:lastColumn="0" w:oddVBand="0" w:evenVBand="0" w:oddHBand="0" w:evenHBand="1" w:firstRowFirstColumn="0" w:firstRowLastColumn="0" w:lastRowFirstColumn="0" w:lastRowLastColumn="0"/>
            </w:pPr>
            <w:r>
              <w:t>15</w:t>
            </w:r>
          </w:p>
        </w:tc>
      </w:tr>
      <w:tr w:rsidR="002E7D52" w:rsidRPr="00F03D3D" w:rsidTr="00B01957">
        <w:trPr>
          <w:trHeight w:val="300"/>
        </w:trPr>
        <w:tc>
          <w:tcPr>
            <w:cnfStyle w:val="001000000000" w:firstRow="0" w:lastRow="0" w:firstColumn="1" w:lastColumn="0" w:oddVBand="0" w:evenVBand="0" w:oddHBand="0" w:evenHBand="0" w:firstRowFirstColumn="0" w:firstRowLastColumn="0" w:lastRowFirstColumn="0" w:lastRowLastColumn="0"/>
            <w:tcW w:w="5211" w:type="dxa"/>
            <w:noWrap/>
            <w:vAlign w:val="top"/>
          </w:tcPr>
          <w:p w:rsidR="002E7D52" w:rsidRPr="002E7D52" w:rsidRDefault="002E7D52" w:rsidP="002E7D52">
            <w:r>
              <w:t>Other</w:t>
            </w:r>
          </w:p>
        </w:tc>
        <w:tc>
          <w:tcPr>
            <w:tcW w:w="3119" w:type="dxa"/>
          </w:tcPr>
          <w:p w:rsidR="002E7D52" w:rsidRPr="002E7D52" w:rsidRDefault="002E7D52" w:rsidP="00992490">
            <w:pPr>
              <w:cnfStyle w:val="000000000000" w:firstRow="0" w:lastRow="0" w:firstColumn="0" w:lastColumn="0" w:oddVBand="0" w:evenVBand="0" w:oddHBand="0" w:evenHBand="0" w:firstRowFirstColumn="0" w:firstRowLastColumn="0" w:lastRowFirstColumn="0" w:lastRowLastColumn="0"/>
              <w:rPr>
                <w:lang w:eastAsia="en-US"/>
              </w:rPr>
            </w:pPr>
            <w:r>
              <w:t>1</w:t>
            </w:r>
            <w:r w:rsidRPr="002E7D52">
              <w:t>0</w:t>
            </w:r>
          </w:p>
        </w:tc>
      </w:tr>
      <w:tr w:rsidR="0027595D" w:rsidRPr="00F03D3D" w:rsidTr="00B0195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1" w:type="dxa"/>
            <w:noWrap/>
            <w:vAlign w:val="top"/>
          </w:tcPr>
          <w:p w:rsidR="0027595D" w:rsidRDefault="0027595D" w:rsidP="002E7D52">
            <w:r>
              <w:t>Equity raising costs</w:t>
            </w:r>
          </w:p>
        </w:tc>
        <w:tc>
          <w:tcPr>
            <w:tcW w:w="3119" w:type="dxa"/>
          </w:tcPr>
          <w:p w:rsidR="0027595D" w:rsidRDefault="0027595D" w:rsidP="00992490">
            <w:pPr>
              <w:cnfStyle w:val="000000010000" w:firstRow="0" w:lastRow="0" w:firstColumn="0" w:lastColumn="0" w:oddVBand="0" w:evenVBand="0" w:oddHBand="0" w:evenHBand="1" w:firstRowFirstColumn="0" w:firstRowLastColumn="0" w:lastRowFirstColumn="0" w:lastRowLastColumn="0"/>
            </w:pPr>
            <w:r>
              <w:t>47</w:t>
            </w:r>
          </w:p>
        </w:tc>
      </w:tr>
    </w:tbl>
    <w:p w:rsidR="002E7D52" w:rsidRPr="00F03D3D" w:rsidRDefault="002E7D52" w:rsidP="002E7D52">
      <w:pPr>
        <w:pStyle w:val="AERtablesource"/>
      </w:pPr>
      <w:r w:rsidRPr="00F03D3D">
        <w:t>Source:</w:t>
      </w:r>
      <w:r w:rsidRPr="00F03D3D">
        <w:tab/>
        <w:t xml:space="preserve">AER analysis. </w:t>
      </w:r>
    </w:p>
    <w:p w:rsidR="002E7D52" w:rsidRDefault="002E7D52" w:rsidP="002E7D52">
      <w:pPr>
        <w:pStyle w:val="AERtablesource"/>
      </w:pPr>
    </w:p>
    <w:p w:rsidR="00B94FDF" w:rsidRDefault="00C92D71" w:rsidP="001D78F4">
      <w:pPr>
        <w:pStyle w:val="Heading3"/>
        <w:keepNext/>
        <w:ind w:left="720"/>
      </w:pPr>
      <w:bookmarkStart w:id="114" w:name="_Toc486836586"/>
      <w:r>
        <w:t xml:space="preserve">Application of </w:t>
      </w:r>
      <w:r w:rsidR="00524473">
        <w:t xml:space="preserve">the </w:t>
      </w:r>
      <w:r>
        <w:t>forecast depreciation</w:t>
      </w:r>
      <w:r w:rsidR="00383891">
        <w:t xml:space="preserve"> approach</w:t>
      </w:r>
      <w:bookmarkEnd w:id="114"/>
      <w:r w:rsidR="00051116">
        <w:t xml:space="preserve"> </w:t>
      </w:r>
    </w:p>
    <w:p w:rsidR="001B1311" w:rsidRDefault="00606E5C" w:rsidP="001D78F4">
      <w:pPr>
        <w:keepNext/>
      </w:pPr>
      <w:r>
        <w:t>Multinet</w:t>
      </w:r>
      <w:r w:rsidR="001B1311">
        <w:t xml:space="preserve">'s capital base </w:t>
      </w:r>
      <w:r w:rsidR="00174135">
        <w:t>must be</w:t>
      </w:r>
      <w:r w:rsidR="007E654D">
        <w:t xml:space="preserve"> </w:t>
      </w:r>
      <w:r w:rsidR="001B1311">
        <w:t>rolled forward using forecast depreciation (adjusted for actual inflation)</w:t>
      </w:r>
      <w:r w:rsidR="00E15DA8">
        <w:t xml:space="preserve"> over the 2013–17 </w:t>
      </w:r>
      <w:r w:rsidR="00124EFC">
        <w:t xml:space="preserve">access arrangement </w:t>
      </w:r>
      <w:r w:rsidR="00E15DA8">
        <w:t>period</w:t>
      </w:r>
      <w:r w:rsidR="001B1311">
        <w:t xml:space="preserve">. This </w:t>
      </w:r>
      <w:r w:rsidR="00524473">
        <w:t>requirement was</w:t>
      </w:r>
      <w:r w:rsidR="00E15DA8">
        <w:t xml:space="preserve"> set out in the 2013–17 access arrangement and </w:t>
      </w:r>
      <w:r w:rsidR="001B1311">
        <w:t xml:space="preserve">ensures </w:t>
      </w:r>
      <w:r w:rsidR="00E15DA8">
        <w:t xml:space="preserve">that </w:t>
      </w:r>
      <w:r w:rsidR="001B1311">
        <w:t>the business does not over</w:t>
      </w:r>
      <w:r w:rsidR="00524473">
        <w:t xml:space="preserve"> or </w:t>
      </w:r>
      <w:r w:rsidR="001B1311">
        <w:t>under recover on depreciation due to forecast</w:t>
      </w:r>
      <w:r w:rsidR="00E15DA8">
        <w:t>ing</w:t>
      </w:r>
      <w:r w:rsidR="001B1311">
        <w:t xml:space="preserve"> error</w:t>
      </w:r>
      <w:r w:rsidR="00E15DA8">
        <w:t>s</w:t>
      </w:r>
      <w:r w:rsidR="001B1311">
        <w:t xml:space="preserve"> in the capex allowance. There are various ways forecast depreciation can be applied</w:t>
      </w:r>
      <w:r w:rsidR="00524473">
        <w:t xml:space="preserve"> in practice</w:t>
      </w:r>
      <w:r w:rsidR="001B1311">
        <w:t>.</w:t>
      </w:r>
    </w:p>
    <w:p w:rsidR="00B94FDF" w:rsidRDefault="00606E5C" w:rsidP="00132D43">
      <w:r>
        <w:t>Multinet</w:t>
      </w:r>
      <w:r w:rsidR="00051116">
        <w:t>'s</w:t>
      </w:r>
      <w:r w:rsidR="001B1311">
        <w:t xml:space="preserve"> proposed </w:t>
      </w:r>
      <w:r w:rsidR="00367B6A">
        <w:t>year</w:t>
      </w:r>
      <w:r w:rsidR="00384F43">
        <w:t>-</w:t>
      </w:r>
      <w:r w:rsidR="00367B6A">
        <w:t>by</w:t>
      </w:r>
      <w:r w:rsidR="00384F43">
        <w:t>-</w:t>
      </w:r>
      <w:r w:rsidR="00367B6A">
        <w:t xml:space="preserve">year </w:t>
      </w:r>
      <w:r w:rsidR="001B1311">
        <w:t xml:space="preserve">tracking </w:t>
      </w:r>
      <w:r w:rsidR="00384F43">
        <w:t>depreciation model</w:t>
      </w:r>
      <w:r w:rsidR="00051116">
        <w:t xml:space="preserve"> </w:t>
      </w:r>
      <w:r w:rsidR="00367B6A">
        <w:t>use</w:t>
      </w:r>
      <w:r w:rsidR="00384F43">
        <w:t>d</w:t>
      </w:r>
      <w:r w:rsidR="001B1311">
        <w:t xml:space="preserve"> actual </w:t>
      </w:r>
      <w:r w:rsidR="00051116">
        <w:t xml:space="preserve">capex as the basis for </w:t>
      </w:r>
      <w:r w:rsidR="00174135">
        <w:t>determining</w:t>
      </w:r>
      <w:r w:rsidR="00051116">
        <w:t xml:space="preserve"> depreciation. This ensures that the profile of future depreciation </w:t>
      </w:r>
      <w:r w:rsidR="00384F43">
        <w:t>reflects</w:t>
      </w:r>
      <w:r w:rsidR="00051116">
        <w:t xml:space="preserve"> the profile of</w:t>
      </w:r>
      <w:r w:rsidR="00384F43">
        <w:t xml:space="preserve"> actual</w:t>
      </w:r>
      <w:r w:rsidR="00051116">
        <w:t xml:space="preserve"> capex that was incurred</w:t>
      </w:r>
      <w:r w:rsidR="00383891">
        <w:t xml:space="preserve">. </w:t>
      </w:r>
      <w:r>
        <w:t>Multinet</w:t>
      </w:r>
      <w:r w:rsidR="00383891">
        <w:t xml:space="preserve"> then also ma</w:t>
      </w:r>
      <w:r w:rsidR="007D2507">
        <w:t>de</w:t>
      </w:r>
      <w:r w:rsidR="00383891">
        <w:t xml:space="preserve"> an adjustment to the opening capital base to account for the difference between </w:t>
      </w:r>
      <w:r w:rsidR="00174135">
        <w:t xml:space="preserve">the </w:t>
      </w:r>
      <w:r w:rsidR="00383891">
        <w:t xml:space="preserve">forecast </w:t>
      </w:r>
      <w:r w:rsidR="00174135">
        <w:t xml:space="preserve">depreciation allowance from the last </w:t>
      </w:r>
      <w:r w:rsidR="00384F43">
        <w:t xml:space="preserve">access arrangement review </w:t>
      </w:r>
      <w:r w:rsidR="00383891">
        <w:t>and actual depreciation</w:t>
      </w:r>
      <w:r w:rsidR="007D2507">
        <w:t xml:space="preserve"> over the 2013–</w:t>
      </w:r>
      <w:r w:rsidR="00174135">
        <w:t>17 access arrangement period</w:t>
      </w:r>
      <w:r w:rsidR="00383891">
        <w:t xml:space="preserve">. This adjustment is needed so the value of </w:t>
      </w:r>
      <w:r w:rsidR="00384F43">
        <w:t xml:space="preserve">the </w:t>
      </w:r>
      <w:r w:rsidR="00383891">
        <w:t xml:space="preserve">opening capital base reflects the forecast depreciation allowance </w:t>
      </w:r>
      <w:r w:rsidR="00384F43">
        <w:t>from</w:t>
      </w:r>
      <w:r w:rsidR="00383891">
        <w:t xml:space="preserve"> the last </w:t>
      </w:r>
      <w:r w:rsidR="00384F43">
        <w:t>access arrangement review</w:t>
      </w:r>
      <w:r w:rsidR="00383891">
        <w:t xml:space="preserve">. </w:t>
      </w:r>
      <w:r w:rsidR="00174135">
        <w:t xml:space="preserve">However, </w:t>
      </w:r>
      <w:r>
        <w:t>Multinet</w:t>
      </w:r>
      <w:r w:rsidR="001B1311">
        <w:t xml:space="preserve"> fail</w:t>
      </w:r>
      <w:r w:rsidR="00383891">
        <w:t>ed</w:t>
      </w:r>
      <w:r w:rsidR="001B1311">
        <w:t xml:space="preserve"> to </w:t>
      </w:r>
      <w:r w:rsidR="00383891">
        <w:t>make a similar</w:t>
      </w:r>
      <w:r w:rsidR="001B1311">
        <w:t xml:space="preserve"> adjustment for </w:t>
      </w:r>
      <w:r w:rsidR="00367B6A">
        <w:t xml:space="preserve">depreciation </w:t>
      </w:r>
      <w:r w:rsidR="00124EFC">
        <w:t xml:space="preserve">of these assets </w:t>
      </w:r>
      <w:r w:rsidR="00367B6A">
        <w:t xml:space="preserve">into the future. </w:t>
      </w:r>
      <w:r w:rsidR="00174135">
        <w:t>Therefore,</w:t>
      </w:r>
      <w:r w:rsidR="00367B6A">
        <w:t xml:space="preserve"> while the opening capital base is correct, the forecast depreciation allowance</w:t>
      </w:r>
      <w:r w:rsidR="00124EFC">
        <w:t xml:space="preserve"> on those assets</w:t>
      </w:r>
      <w:r w:rsidR="00174135">
        <w:t xml:space="preserve"> for </w:t>
      </w:r>
      <w:r w:rsidR="00524473">
        <w:t xml:space="preserve">the </w:t>
      </w:r>
      <w:r w:rsidR="00174135">
        <w:t>2018</w:t>
      </w:r>
      <w:r w:rsidR="00384F43">
        <w:t>–</w:t>
      </w:r>
      <w:r w:rsidR="00174135">
        <w:t>22</w:t>
      </w:r>
      <w:r w:rsidR="00524473">
        <w:t xml:space="preserve"> access arrangement period</w:t>
      </w:r>
      <w:r w:rsidR="00367B6A">
        <w:t xml:space="preserve"> will be in error </w:t>
      </w:r>
      <w:r w:rsidR="00AA6FBF">
        <w:t>as it is</w:t>
      </w:r>
      <w:r w:rsidR="00367B6A">
        <w:t xml:space="preserve"> based on actual capex in the past </w:t>
      </w:r>
      <w:r w:rsidR="00AA6FBF">
        <w:t xml:space="preserve">with </w:t>
      </w:r>
      <w:r w:rsidR="00367B6A">
        <w:t>no forecast depreciation adjustment.</w:t>
      </w:r>
      <w:r w:rsidR="00367B6A">
        <w:rPr>
          <w:rStyle w:val="FootnoteReference"/>
        </w:rPr>
        <w:footnoteReference w:id="46"/>
      </w:r>
      <w:r w:rsidR="00367B6A">
        <w:t xml:space="preserve"> The error means </w:t>
      </w:r>
      <w:r>
        <w:t>Multinet</w:t>
      </w:r>
      <w:r w:rsidR="00367B6A">
        <w:t xml:space="preserve"> would over</w:t>
      </w:r>
      <w:r w:rsidR="005E01F0">
        <w:t xml:space="preserve"> or </w:t>
      </w:r>
      <w:r w:rsidR="00367B6A">
        <w:t xml:space="preserve">under recover on depreciation </w:t>
      </w:r>
      <w:r w:rsidR="00980FC7">
        <w:t xml:space="preserve">at the asset class level </w:t>
      </w:r>
      <w:r w:rsidR="00367B6A">
        <w:t xml:space="preserve">going forward. We have corrected this in </w:t>
      </w:r>
      <w:r>
        <w:t>Multinet</w:t>
      </w:r>
      <w:r w:rsidR="00367B6A">
        <w:t>'s depreciation model.</w:t>
      </w:r>
    </w:p>
    <w:p w:rsidR="009C5F4E" w:rsidRDefault="00D5015C" w:rsidP="009C5F4E">
      <w:pPr>
        <w:pStyle w:val="Heading2"/>
      </w:pPr>
      <w:bookmarkStart w:id="115" w:name="_Toc486836587"/>
      <w:r>
        <w:t>Revisions</w:t>
      </w:r>
      <w:bookmarkEnd w:id="115"/>
    </w:p>
    <w:p w:rsidR="009C5F4E" w:rsidRDefault="009C5F4E" w:rsidP="009C5F4E">
      <w:r w:rsidRPr="00884B43">
        <w:t>We require the following revisions to make the access arrangement proposal acceptable:</w:t>
      </w:r>
    </w:p>
    <w:tbl>
      <w:tblPr>
        <w:tblStyle w:val="AERtable-text0"/>
        <w:tblW w:w="0" w:type="auto"/>
        <w:tblLook w:val="04A0" w:firstRow="1" w:lastRow="0" w:firstColumn="1" w:lastColumn="0" w:noHBand="0" w:noVBand="1"/>
      </w:tblPr>
      <w:tblGrid>
        <w:gridCol w:w="1809"/>
        <w:gridCol w:w="6884"/>
      </w:tblGrid>
      <w:tr w:rsidR="0067275D" w:rsidTr="001D78F4">
        <w:trPr>
          <w:cnfStyle w:val="100000000000" w:firstRow="1" w:lastRow="0" w:firstColumn="0" w:lastColumn="0" w:oddVBand="0" w:evenVBand="0" w:oddHBand="0" w:evenHBand="0" w:firstRowFirstColumn="0" w:firstRowLastColumn="0" w:lastRowFirstColumn="0" w:lastRowLastColumn="0"/>
        </w:trPr>
        <w:tc>
          <w:tcPr>
            <w:tcW w:w="1809" w:type="dxa"/>
          </w:tcPr>
          <w:p w:rsidR="0067275D" w:rsidRDefault="0067275D" w:rsidP="009C5F4E"/>
        </w:tc>
        <w:tc>
          <w:tcPr>
            <w:tcW w:w="6884" w:type="dxa"/>
          </w:tcPr>
          <w:p w:rsidR="0067275D" w:rsidRDefault="0067275D" w:rsidP="009C5F4E"/>
        </w:tc>
      </w:tr>
      <w:tr w:rsidR="0067275D" w:rsidTr="001D78F4">
        <w:tc>
          <w:tcPr>
            <w:tcW w:w="1809" w:type="dxa"/>
          </w:tcPr>
          <w:p w:rsidR="0067275D" w:rsidRDefault="0067275D" w:rsidP="009C5F4E">
            <w:r w:rsidRPr="007D2507">
              <w:t>Revision 5.1:</w:t>
            </w:r>
          </w:p>
        </w:tc>
        <w:tc>
          <w:tcPr>
            <w:tcW w:w="6884" w:type="dxa"/>
          </w:tcPr>
          <w:p w:rsidR="0067275D" w:rsidRDefault="0067275D" w:rsidP="009C5F4E">
            <w:r w:rsidRPr="007D2507">
              <w:t>Make all necessary amendments to reflect this draft decision on the regulatory depreciation allowance for the 2018–22 access arrangement period, as set out in Table 5.1.</w:t>
            </w:r>
          </w:p>
        </w:tc>
      </w:tr>
      <w:tr w:rsidR="0067275D" w:rsidTr="001D78F4">
        <w:trPr>
          <w:cnfStyle w:val="000000010000" w:firstRow="0" w:lastRow="0" w:firstColumn="0" w:lastColumn="0" w:oddVBand="0" w:evenVBand="0" w:oddHBand="0" w:evenHBand="1" w:firstRowFirstColumn="0" w:firstRowLastColumn="0" w:lastRowFirstColumn="0" w:lastRowLastColumn="0"/>
        </w:trPr>
        <w:tc>
          <w:tcPr>
            <w:tcW w:w="1809" w:type="dxa"/>
          </w:tcPr>
          <w:p w:rsidR="0067275D" w:rsidRDefault="0067275D" w:rsidP="009C5F4E">
            <w:r w:rsidRPr="007D2507">
              <w:t>Revision 5.2:</w:t>
            </w:r>
          </w:p>
        </w:tc>
        <w:tc>
          <w:tcPr>
            <w:tcW w:w="6884" w:type="dxa"/>
          </w:tcPr>
          <w:p w:rsidR="0067275D" w:rsidRDefault="0067275D" w:rsidP="009C5F4E">
            <w:r w:rsidRPr="007D2507">
              <w:t>Make all necessary amendments to reflect this draft decision on the standard asset lives, as set out in Table 5.3.</w:t>
            </w:r>
          </w:p>
        </w:tc>
      </w:tr>
      <w:tr w:rsidR="0067275D" w:rsidTr="001D78F4">
        <w:tc>
          <w:tcPr>
            <w:tcW w:w="1809" w:type="dxa"/>
          </w:tcPr>
          <w:p w:rsidR="0067275D" w:rsidRDefault="0067275D" w:rsidP="009C5F4E">
            <w:r>
              <w:t>Revision 5.3:</w:t>
            </w:r>
          </w:p>
        </w:tc>
        <w:tc>
          <w:tcPr>
            <w:tcW w:w="6884" w:type="dxa"/>
          </w:tcPr>
          <w:p w:rsidR="0067275D" w:rsidRDefault="0067275D" w:rsidP="001D78F4">
            <w:pPr>
              <w:pStyle w:val="AERrevisionbox"/>
              <w:rPr>
                <w:rFonts w:eastAsiaTheme="minorHAnsi" w:cstheme="minorBidi"/>
                <w:sz w:val="22"/>
                <w:szCs w:val="22"/>
                <w:lang w:eastAsia="en-US"/>
              </w:rPr>
            </w:pPr>
            <w:r>
              <w:t xml:space="preserve">Make all </w:t>
            </w:r>
            <w:r w:rsidRPr="007A08B7">
              <w:t xml:space="preserve">necessary amendments to reflect this draft decision on the </w:t>
            </w:r>
            <w:r>
              <w:t>accelerated depreciation</w:t>
            </w:r>
            <w:r w:rsidRPr="007A08B7">
              <w:t xml:space="preserve">, as set out in </w:t>
            </w:r>
            <w:r>
              <w:t>section 5.4.2</w:t>
            </w:r>
            <w:r w:rsidRPr="007A08B7">
              <w:t>.</w:t>
            </w:r>
          </w:p>
        </w:tc>
      </w:tr>
    </w:tbl>
    <w:p w:rsidR="0067275D" w:rsidRDefault="0067275D" w:rsidP="009C5F4E"/>
    <w:p w:rsidR="007A08B7" w:rsidRPr="003105EA" w:rsidRDefault="007A08B7" w:rsidP="001D78F4"/>
    <w:sectPr w:rsidR="007A08B7" w:rsidRPr="003105EA" w:rsidSect="00CF42AA">
      <w:headerReference w:type="default" r:id="rId18"/>
      <w:footerReference w:type="even" r:id="rId19"/>
      <w:footerReference w:type="default" r:id="rId20"/>
      <w:footerReference w:type="first" r:id="rId2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ABC" w:rsidRPr="00290C63" w:rsidRDefault="00C13ABC" w:rsidP="00290C63">
      <w:r>
        <w:separator/>
      </w:r>
    </w:p>
    <w:p w:rsidR="00C13ABC" w:rsidRDefault="00C13ABC"/>
  </w:endnote>
  <w:endnote w:type="continuationSeparator" w:id="0">
    <w:p w:rsidR="00C13ABC" w:rsidRPr="00290C63" w:rsidRDefault="00C13ABC" w:rsidP="00290C63">
      <w:r>
        <w:continuationSeparator/>
      </w:r>
    </w:p>
    <w:p w:rsidR="00C13ABC" w:rsidRDefault="00C13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BC" w:rsidRPr="00290C63" w:rsidRDefault="00C13AB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13ABC" w:rsidRDefault="00C13ABC"/>
  <w:p w:rsidR="00C13ABC" w:rsidRDefault="00C13ABC"/>
  <w:p w:rsidR="00C13ABC" w:rsidRDefault="00C13ABC"/>
  <w:p w:rsidR="00C13ABC" w:rsidRDefault="00C13ABC"/>
  <w:p w:rsidR="00C13ABC" w:rsidRDefault="00C13ABC"/>
  <w:p w:rsidR="00C13ABC" w:rsidRDefault="00C13ABC"/>
  <w:p w:rsidR="00C13ABC" w:rsidRDefault="00C13A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C13ABC" w:rsidRPr="009B6F84" w:rsidRDefault="00C13ABC">
        <w:pPr>
          <w:pStyle w:val="Footer"/>
          <w:rPr>
            <w:sz w:val="20"/>
          </w:rPr>
        </w:pPr>
        <w:r>
          <w:fldChar w:fldCharType="begin"/>
        </w:r>
        <w:r>
          <w:instrText xml:space="preserve"> PAGE   \* MERGEFORMAT </w:instrText>
        </w:r>
        <w:r>
          <w:fldChar w:fldCharType="separate"/>
        </w:r>
        <w:r w:rsidR="00210078">
          <w:rPr>
            <w:noProof/>
          </w:rPr>
          <w:t>5-0</w:t>
        </w:r>
        <w:r>
          <w:rPr>
            <w:noProof/>
          </w:rPr>
          <w:fldChar w:fldCharType="end"/>
        </w:r>
        <w:r>
          <w:rPr>
            <w:noProof/>
          </w:rPr>
          <w:t xml:space="preserve">          </w:t>
        </w:r>
        <w:r>
          <w:t xml:space="preserve">Attachment 5 </w:t>
        </w:r>
        <w:r w:rsidRPr="000474DF">
          <w:t>−</w:t>
        </w:r>
        <w:r>
          <w:t xml:space="preserve"> Regulatory depreciation</w:t>
        </w:r>
        <w:r w:rsidRPr="009B6F84">
          <w:rPr>
            <w:rFonts w:cs="Gautami"/>
            <w:noProof/>
            <w:szCs w:val="16"/>
          </w:rPr>
          <w:t xml:space="preserve"> | </w:t>
        </w:r>
        <w:r>
          <w:t>Draft decision - Multinet Gas access arrangement</w:t>
        </w:r>
        <w:r w:rsidRPr="00D5015C">
          <w:t xml:space="preserve"> 201</w:t>
        </w:r>
        <w:r>
          <w:t>8</w:t>
        </w:r>
        <w:r w:rsidRPr="00D5015C">
          <w:t>–</w:t>
        </w:r>
        <w:r>
          <w:t>22</w:t>
        </w:r>
      </w:p>
    </w:sdtContent>
  </w:sdt>
  <w:p w:rsidR="00C13ABC" w:rsidRDefault="00C13A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BC" w:rsidRPr="00290C63" w:rsidRDefault="00C13AB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13ABC" w:rsidRDefault="00C13ABC">
    <w:pPr>
      <w:pStyle w:val="Footer"/>
    </w:pPr>
  </w:p>
  <w:p w:rsidR="00C13ABC" w:rsidRDefault="00C13ABC"/>
  <w:p w:rsidR="00C13ABC" w:rsidRDefault="00C13ABC"/>
  <w:p w:rsidR="00C13ABC" w:rsidRDefault="00C13ABC"/>
  <w:p w:rsidR="00C13ABC" w:rsidRDefault="00C13ABC"/>
  <w:p w:rsidR="00C13ABC" w:rsidRDefault="00C13ABC"/>
  <w:p w:rsidR="00C13ABC" w:rsidRDefault="00C13ABC"/>
  <w:p w:rsidR="00C13ABC" w:rsidRDefault="00C13A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BC" w:rsidRPr="00290C63" w:rsidRDefault="00C13AB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13ABC" w:rsidRDefault="00C13ABC"/>
  <w:p w:rsidR="00C13ABC" w:rsidRDefault="00C13ABC"/>
  <w:p w:rsidR="00C13ABC" w:rsidRDefault="00C13ABC"/>
  <w:p w:rsidR="00C13ABC" w:rsidRDefault="00C13ABC"/>
  <w:p w:rsidR="00C13ABC" w:rsidRDefault="00C13ABC"/>
  <w:p w:rsidR="00C13ABC" w:rsidRDefault="00C13ABC"/>
  <w:p w:rsidR="00C13ABC" w:rsidRDefault="00C13AB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C13ABC" w:rsidRPr="009B6F84" w:rsidRDefault="00C13ABC">
        <w:pPr>
          <w:pStyle w:val="Footer"/>
          <w:rPr>
            <w:sz w:val="20"/>
          </w:rPr>
        </w:pPr>
        <w:r>
          <w:fldChar w:fldCharType="begin"/>
        </w:r>
        <w:r>
          <w:instrText xml:space="preserve"> PAGE   \* MERGEFORMAT </w:instrText>
        </w:r>
        <w:r>
          <w:fldChar w:fldCharType="separate"/>
        </w:r>
        <w:r w:rsidR="00210078">
          <w:rPr>
            <w:noProof/>
          </w:rPr>
          <w:t>5-11</w:t>
        </w:r>
        <w:r>
          <w:rPr>
            <w:noProof/>
          </w:rPr>
          <w:fldChar w:fldCharType="end"/>
        </w:r>
        <w:r>
          <w:rPr>
            <w:noProof/>
          </w:rPr>
          <w:t xml:space="preserve">          </w:t>
        </w:r>
        <w:r>
          <w:t xml:space="preserve">Attachment 5 </w:t>
        </w:r>
        <w:r w:rsidRPr="000474DF">
          <w:t>−</w:t>
        </w:r>
        <w:r>
          <w:t xml:space="preserve"> Regulatory depreciation</w:t>
        </w:r>
        <w:r w:rsidRPr="00D5015C">
          <w:t xml:space="preserve"> | </w:t>
        </w:r>
        <w:r>
          <w:t>Draft decision - Multinet Gas access arrangement</w:t>
        </w:r>
        <w:r w:rsidRPr="00D5015C">
          <w:t xml:space="preserve"> 201</w:t>
        </w:r>
        <w:r>
          <w:t>8</w:t>
        </w:r>
        <w:r w:rsidRPr="00D5015C">
          <w:t>–</w:t>
        </w:r>
        <w:r>
          <w:t>22</w:t>
        </w:r>
      </w:p>
    </w:sdtContent>
  </w:sdt>
  <w:p w:rsidR="00C13ABC" w:rsidRDefault="00C13AB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BC" w:rsidRPr="00290C63" w:rsidRDefault="00C13AB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13ABC" w:rsidRDefault="00C13ABC">
    <w:pPr>
      <w:pStyle w:val="Footer"/>
    </w:pPr>
  </w:p>
  <w:p w:rsidR="00C13ABC" w:rsidRDefault="00C13ABC"/>
  <w:p w:rsidR="00C13ABC" w:rsidRDefault="00C13ABC"/>
  <w:p w:rsidR="00C13ABC" w:rsidRDefault="00C13ABC"/>
  <w:p w:rsidR="00C13ABC" w:rsidRDefault="00C13ABC"/>
  <w:p w:rsidR="00C13ABC" w:rsidRDefault="00C13ABC"/>
  <w:p w:rsidR="00C13ABC" w:rsidRDefault="00C13ABC"/>
  <w:p w:rsidR="00C13ABC" w:rsidRDefault="00C13A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ABC" w:rsidRPr="00290C63" w:rsidRDefault="00C13ABC" w:rsidP="00290C63">
      <w:r>
        <w:separator/>
      </w:r>
    </w:p>
    <w:p w:rsidR="00C13ABC" w:rsidRDefault="00C13ABC"/>
  </w:footnote>
  <w:footnote w:type="continuationSeparator" w:id="0">
    <w:p w:rsidR="00C13ABC" w:rsidRPr="00290C63" w:rsidRDefault="00C13ABC" w:rsidP="00290C63">
      <w:r>
        <w:continuationSeparator/>
      </w:r>
    </w:p>
    <w:p w:rsidR="00C13ABC" w:rsidRDefault="00C13ABC"/>
  </w:footnote>
  <w:footnote w:id="1">
    <w:p w:rsidR="00C13ABC" w:rsidRDefault="00C13ABC" w:rsidP="006273B7">
      <w:pPr>
        <w:pStyle w:val="FootnoteText"/>
      </w:pPr>
      <w:r>
        <w:rPr>
          <w:rStyle w:val="FootnoteReference"/>
        </w:rPr>
        <w:footnoteRef/>
      </w:r>
      <w:r>
        <w:t xml:space="preserve"> </w:t>
      </w:r>
      <w:r>
        <w:tab/>
        <w:t>NGR, r. 76(b).</w:t>
      </w:r>
    </w:p>
  </w:footnote>
  <w:footnote w:id="2">
    <w:p w:rsidR="00C13ABC" w:rsidRDefault="00C13ABC" w:rsidP="006273B7">
      <w:pPr>
        <w:pStyle w:val="FootnoteText"/>
      </w:pPr>
      <w:r>
        <w:rPr>
          <w:rStyle w:val="FootnoteReference"/>
        </w:rPr>
        <w:footnoteRef/>
      </w:r>
      <w:r>
        <w:t xml:space="preserve"> </w:t>
      </w:r>
      <w:r>
        <w:tab/>
        <w:t>Regulatory depreciation allowance is the net total</w:t>
      </w:r>
      <w:r w:rsidRPr="003A447F">
        <w:t xml:space="preserve"> of the straight-line depreciation (negative) and the annual inflation indexation (positive) on the projected capital base</w:t>
      </w:r>
      <w:r>
        <w:t>.</w:t>
      </w:r>
    </w:p>
  </w:footnote>
  <w:footnote w:id="3">
    <w:p w:rsidR="00C13ABC" w:rsidRDefault="00C13ABC" w:rsidP="006273B7">
      <w:pPr>
        <w:pStyle w:val="FootnoteText"/>
      </w:pPr>
      <w:r>
        <w:rPr>
          <w:rStyle w:val="FootnoteReference"/>
        </w:rPr>
        <w:footnoteRef/>
      </w:r>
      <w:r>
        <w:t xml:space="preserve"> </w:t>
      </w:r>
      <w:r>
        <w:tab/>
        <w:t>The term ‘standard asset life’ may also be referred to as ‘</w:t>
      </w:r>
      <w:r w:rsidRPr="003B3083">
        <w:t xml:space="preserve">standard </w:t>
      </w:r>
      <w:r>
        <w:t xml:space="preserve">economic </w:t>
      </w:r>
      <w:r w:rsidRPr="003B3083">
        <w:t>life</w:t>
      </w:r>
      <w:r>
        <w:t>’, ‘asset life’, ‘economic asset life’ or ‘economic life’.</w:t>
      </w:r>
    </w:p>
  </w:footnote>
  <w:footnote w:id="4">
    <w:p w:rsidR="00C13ABC" w:rsidRPr="009A55A7" w:rsidRDefault="00C13ABC" w:rsidP="0055748A">
      <w:pPr>
        <w:pStyle w:val="FootnoteText"/>
        <w:rPr>
          <w:rFonts w:eastAsia="Calibri"/>
        </w:rPr>
      </w:pPr>
      <w:r>
        <w:rPr>
          <w:rStyle w:val="FootnoteReference"/>
        </w:rPr>
        <w:footnoteRef/>
      </w:r>
      <w:r>
        <w:t xml:space="preserve"> </w:t>
      </w:r>
      <w:r>
        <w:tab/>
        <w:t>For example,</w:t>
      </w:r>
      <w:r>
        <w:rPr>
          <w:rStyle w:val="AERtextitalic"/>
          <w:rFonts w:eastAsia="Calibri"/>
        </w:rPr>
        <w:t xml:space="preserve"> AER: Access arrangement final decision APA GasNet Australia (Operations) Pty Ltd 2013–17 Part 2: Attachments, </w:t>
      </w:r>
      <w:r w:rsidRPr="003926B2">
        <w:rPr>
          <w:rStyle w:val="AERtextitalic"/>
          <w:rFonts w:eastAsia="Calibri"/>
          <w:i w:val="0"/>
        </w:rPr>
        <w:t>March 2013</w:t>
      </w:r>
      <w:r>
        <w:rPr>
          <w:rStyle w:val="AERtextitalic"/>
          <w:rFonts w:eastAsia="Calibri"/>
          <w:i w:val="0"/>
        </w:rPr>
        <w:t>, p. 149</w:t>
      </w:r>
      <w:r>
        <w:rPr>
          <w:rStyle w:val="AERtextitalic"/>
        </w:rPr>
        <w:t xml:space="preserve">; </w:t>
      </w:r>
      <w:r w:rsidRPr="0019286D">
        <w:rPr>
          <w:rStyle w:val="AERtextitalic"/>
          <w:i w:val="0"/>
        </w:rPr>
        <w:t>AER:</w:t>
      </w:r>
      <w:r w:rsidRPr="0094226D">
        <w:rPr>
          <w:rStyle w:val="AERtextitalic"/>
        </w:rPr>
        <w:t xml:space="preserve"> Final decision Amadeus Gas Pipeline access arrangement attachment 5 — Regulatory depreciation, </w:t>
      </w:r>
      <w:r w:rsidRPr="0094226D">
        <w:rPr>
          <w:rStyle w:val="AERtextitalic"/>
          <w:i w:val="0"/>
        </w:rPr>
        <w:t>May 2016, p. 9.</w:t>
      </w:r>
      <w:r>
        <w:rPr>
          <w:rStyle w:val="AERtextitalic"/>
        </w:rPr>
        <w:t xml:space="preserve"> </w:t>
      </w:r>
      <w:r w:rsidRPr="00351FCD">
        <w:rPr>
          <w:rStyle w:val="AERtextitalic"/>
        </w:rPr>
        <w:t xml:space="preserve">Final Decision Australian Gas Networks Access Arrangement 2016 to 2021 Attachment 5 – Regulatory depreciation, May 2016, p.28. Final decision, Jemena Gas Networks (NSW) Ltd </w:t>
      </w:r>
      <w:bookmarkStart w:id="100" w:name="_GoBack"/>
      <w:bookmarkEnd w:id="100"/>
      <w:r w:rsidRPr="00351FCD">
        <w:rPr>
          <w:rStyle w:val="AERtextitalic"/>
        </w:rPr>
        <w:t>Access Arrangement 2015-20 Attachment 5 − Regulatory depreciation, June 2015, p10.</w:t>
      </w:r>
    </w:p>
  </w:footnote>
  <w:footnote w:id="5">
    <w:p w:rsidR="00C13ABC" w:rsidRDefault="00C13ABC" w:rsidP="00927114">
      <w:pPr>
        <w:pStyle w:val="FootnoteText"/>
      </w:pPr>
      <w:r>
        <w:rPr>
          <w:rStyle w:val="FootnoteReference"/>
        </w:rPr>
        <w:footnoteRef/>
      </w:r>
      <w:r>
        <w:t xml:space="preserve"> </w:t>
      </w:r>
      <w:r>
        <w:tab/>
      </w:r>
      <w:proofErr w:type="gramStart"/>
      <w:r w:rsidRPr="009E7FF8">
        <w:t xml:space="preserve">Multinet Gas, </w:t>
      </w:r>
      <w:r w:rsidRPr="001D78F4">
        <w:rPr>
          <w:rStyle w:val="AERtextitalic"/>
        </w:rPr>
        <w:t>2018–22</w:t>
      </w:r>
      <w:r>
        <w:t xml:space="preserve"> </w:t>
      </w:r>
      <w:r w:rsidRPr="009E7FF8">
        <w:rPr>
          <w:rStyle w:val="AERtextitalic"/>
        </w:rPr>
        <w:t>Access arrangement information,</w:t>
      </w:r>
      <w:r>
        <w:t xml:space="preserve"> December 2016</w:t>
      </w:r>
      <w:r w:rsidRPr="009E7FF8">
        <w:t>, p.</w:t>
      </w:r>
      <w:r>
        <w:t xml:space="preserve"> 120.</w:t>
      </w:r>
      <w:proofErr w:type="gramEnd"/>
    </w:p>
  </w:footnote>
  <w:footnote w:id="6">
    <w:p w:rsidR="00C13ABC" w:rsidRDefault="00C13ABC" w:rsidP="00927114">
      <w:pPr>
        <w:pStyle w:val="FootnoteText"/>
      </w:pPr>
      <w:r>
        <w:rPr>
          <w:rStyle w:val="FootnoteReference"/>
        </w:rPr>
        <w:footnoteRef/>
      </w:r>
      <w:r>
        <w:t xml:space="preserve"> </w:t>
      </w:r>
      <w:r>
        <w:tab/>
      </w:r>
      <w:r w:rsidRPr="009E7FF8">
        <w:t xml:space="preserve">Multinet Gas, </w:t>
      </w:r>
      <w:r w:rsidRPr="00D62DD7">
        <w:rPr>
          <w:rStyle w:val="AERtextitalic"/>
        </w:rPr>
        <w:t>2018–22</w:t>
      </w:r>
      <w:r w:rsidRPr="00D62DD7">
        <w:t xml:space="preserve"> </w:t>
      </w:r>
      <w:r w:rsidRPr="009E7FF8">
        <w:rPr>
          <w:rStyle w:val="AERtextitalic"/>
        </w:rPr>
        <w:t>Access arrangement information,</w:t>
      </w:r>
      <w:r>
        <w:t xml:space="preserve"> December 2016</w:t>
      </w:r>
      <w:r w:rsidRPr="009E7FF8">
        <w:t>, p</w:t>
      </w:r>
      <w:r>
        <w:t>p. 120–123</w:t>
      </w:r>
      <w:r w:rsidRPr="009E7FF8">
        <w:t>.</w:t>
      </w:r>
    </w:p>
  </w:footnote>
  <w:footnote w:id="7">
    <w:p w:rsidR="00C13ABC" w:rsidRDefault="00C13ABC" w:rsidP="005F716F">
      <w:pPr>
        <w:pStyle w:val="FootnoteText"/>
      </w:pPr>
      <w:r>
        <w:rPr>
          <w:rStyle w:val="FootnoteReference"/>
        </w:rPr>
        <w:footnoteRef/>
      </w:r>
      <w:r>
        <w:t xml:space="preserve"> </w:t>
      </w:r>
      <w:r>
        <w:tab/>
      </w:r>
      <w:r w:rsidRPr="009E7FF8">
        <w:t xml:space="preserve">Multinet Gas, </w:t>
      </w:r>
      <w:r w:rsidRPr="00D62DD7">
        <w:rPr>
          <w:rStyle w:val="AERtextitalic"/>
        </w:rPr>
        <w:t>2018–22</w:t>
      </w:r>
      <w:r w:rsidRPr="00D62DD7">
        <w:t xml:space="preserve"> </w:t>
      </w:r>
      <w:r w:rsidRPr="009E7FF8">
        <w:rPr>
          <w:rStyle w:val="AERtextitalic"/>
        </w:rPr>
        <w:t>Access arrangement information,</w:t>
      </w:r>
      <w:r>
        <w:t xml:space="preserve"> December 2016</w:t>
      </w:r>
      <w:r w:rsidRPr="009E7FF8">
        <w:t>, p</w:t>
      </w:r>
      <w:r>
        <w:t>p</w:t>
      </w:r>
      <w:r w:rsidRPr="009E7FF8">
        <w:t>.</w:t>
      </w:r>
      <w:r>
        <w:t xml:space="preserve"> 118–119.</w:t>
      </w:r>
    </w:p>
  </w:footnote>
  <w:footnote w:id="8">
    <w:p w:rsidR="00C13ABC" w:rsidRDefault="00C13ABC">
      <w:pPr>
        <w:pStyle w:val="FootnoteText"/>
      </w:pPr>
      <w:r>
        <w:rPr>
          <w:rStyle w:val="FootnoteReference"/>
        </w:rPr>
        <w:footnoteRef/>
      </w:r>
      <w:r>
        <w:t xml:space="preserve"> </w:t>
      </w:r>
      <w:r>
        <w:tab/>
      </w:r>
      <w:proofErr w:type="gramStart"/>
      <w:r w:rsidRPr="005F716F">
        <w:t xml:space="preserve">Multinet Gas, </w:t>
      </w:r>
      <w:r w:rsidRPr="001D78F4">
        <w:rPr>
          <w:rStyle w:val="AERtextitalic"/>
        </w:rPr>
        <w:t>2018–22 Access arrangement information</w:t>
      </w:r>
      <w:r>
        <w:t>, December 2016, pp. 119 &amp; 125</w:t>
      </w:r>
      <w:r w:rsidRPr="005F716F">
        <w:t>.</w:t>
      </w:r>
      <w:proofErr w:type="gramEnd"/>
    </w:p>
  </w:footnote>
  <w:footnote w:id="9">
    <w:p w:rsidR="00C13ABC" w:rsidRDefault="00C13ABC" w:rsidP="000B3979">
      <w:pPr>
        <w:pStyle w:val="FootnoteText"/>
      </w:pPr>
      <w:r>
        <w:rPr>
          <w:rStyle w:val="FootnoteReference"/>
        </w:rPr>
        <w:footnoteRef/>
      </w:r>
      <w:r>
        <w:t xml:space="preserve"> </w:t>
      </w:r>
      <w:r>
        <w:tab/>
        <w:t xml:space="preserve">NGR, r. 72(1)(c)(ii). </w:t>
      </w:r>
    </w:p>
  </w:footnote>
  <w:footnote w:id="10">
    <w:p w:rsidR="00C13ABC" w:rsidRDefault="00C13ABC" w:rsidP="000B3979">
      <w:pPr>
        <w:pStyle w:val="FootnoteText"/>
      </w:pPr>
      <w:r>
        <w:rPr>
          <w:rStyle w:val="FootnoteReference"/>
        </w:rPr>
        <w:footnoteRef/>
      </w:r>
      <w:r>
        <w:t xml:space="preserve"> </w:t>
      </w:r>
      <w:r>
        <w:tab/>
      </w:r>
      <w:r w:rsidRPr="00CE74A3">
        <w:rPr>
          <w:rFonts w:eastAsia="Calibri"/>
        </w:rPr>
        <w:t>NGR, rr. 88(1)</w:t>
      </w:r>
      <w:r>
        <w:rPr>
          <w:rFonts w:eastAsia="Calibri"/>
        </w:rPr>
        <w:t>,</w:t>
      </w:r>
      <w:r w:rsidRPr="00CE74A3">
        <w:rPr>
          <w:rFonts w:eastAsia="Calibri"/>
        </w:rPr>
        <w:t xml:space="preserve"> 88(2).</w:t>
      </w:r>
    </w:p>
  </w:footnote>
  <w:footnote w:id="11">
    <w:p w:rsidR="00C13ABC" w:rsidRDefault="00C13ABC" w:rsidP="000B3979">
      <w:pPr>
        <w:pStyle w:val="FootnoteText"/>
      </w:pPr>
      <w:r>
        <w:rPr>
          <w:rStyle w:val="FootnoteReference"/>
        </w:rPr>
        <w:footnoteRef/>
      </w:r>
      <w:r>
        <w:t xml:space="preserve"> </w:t>
      </w:r>
      <w:r>
        <w:tab/>
        <w:t>NGR, r. 89.</w:t>
      </w:r>
    </w:p>
  </w:footnote>
  <w:footnote w:id="12">
    <w:p w:rsidR="00C13ABC" w:rsidRDefault="00C13ABC" w:rsidP="000B3979">
      <w:pPr>
        <w:pStyle w:val="FootnoteText"/>
      </w:pPr>
      <w:r>
        <w:rPr>
          <w:rStyle w:val="FootnoteReference"/>
        </w:rPr>
        <w:footnoteRef/>
      </w:r>
      <w:r>
        <w:t xml:space="preserve"> </w:t>
      </w:r>
      <w:r>
        <w:tab/>
        <w:t>NGL, s</w:t>
      </w:r>
      <w:r w:rsidRPr="006127F2">
        <w:rPr>
          <w:rFonts w:eastAsia="Calibri"/>
        </w:rPr>
        <w:t xml:space="preserve"> 28; NGR r. 100(1). The NGO is set out in NGL, s. 23. The revenue and pricing principles are set out in NGL, s.</w:t>
      </w:r>
      <w:r>
        <w:rPr>
          <w:rFonts w:eastAsia="Calibri"/>
        </w:rPr>
        <w:t> </w:t>
      </w:r>
      <w:r w:rsidRPr="006127F2">
        <w:rPr>
          <w:rFonts w:eastAsia="Calibri"/>
        </w:rPr>
        <w:t>24.</w:t>
      </w:r>
    </w:p>
  </w:footnote>
  <w:footnote w:id="13">
    <w:p w:rsidR="00C13ABC" w:rsidRDefault="00C13ABC" w:rsidP="000B3979">
      <w:pPr>
        <w:pStyle w:val="FootnoteText"/>
      </w:pPr>
      <w:r>
        <w:rPr>
          <w:rStyle w:val="FootnoteReference"/>
        </w:rPr>
        <w:footnoteRef/>
      </w:r>
      <w:r>
        <w:t xml:space="preserve"> </w:t>
      </w:r>
      <w:r>
        <w:tab/>
      </w:r>
      <w:r w:rsidRPr="001E0177">
        <w:t xml:space="preserve">NGR, </w:t>
      </w:r>
      <w:r>
        <w:t>rr.</w:t>
      </w:r>
      <w:r w:rsidRPr="001E0177">
        <w:t xml:space="preserve"> 89(3) and 40(2). </w:t>
      </w:r>
      <w:r>
        <w:t xml:space="preserve">The example provided in r. 40(2) states: </w:t>
      </w:r>
      <w:r w:rsidRPr="001E0177">
        <w:t>The AER has limited discretion under r</w:t>
      </w:r>
      <w:r>
        <w:t>.</w:t>
      </w:r>
      <w:r w:rsidRPr="001E0177">
        <w:t xml:space="preserve"> 89. </w:t>
      </w:r>
      <w:r>
        <w:t>R</w:t>
      </w:r>
      <w:r w:rsidRPr="001E0177">
        <w:t>ule</w:t>
      </w:r>
      <w:r>
        <w:t xml:space="preserve"> 89</w:t>
      </w:r>
      <w:r w:rsidRPr="001E0177">
        <w:t xml:space="preserve"> governs the design of a depreciation schedule. In dealing with a full access arrangement submitted for its approval, the AER cannot, in its draft decision, insist on change to an aspect of a depreciation schedule governed by r</w:t>
      </w:r>
      <w:r>
        <w:t>.</w:t>
      </w:r>
      <w:r w:rsidRPr="001E0177">
        <w:t xml:space="preserve"> 89 unless the AER considers </w:t>
      </w:r>
      <w:r>
        <w:t xml:space="preserve">the </w:t>
      </w:r>
      <w:r w:rsidRPr="001E0177">
        <w:t>change</w:t>
      </w:r>
      <w:r>
        <w:t xml:space="preserve"> is</w:t>
      </w:r>
      <w:r w:rsidRPr="001E0177">
        <w:t xml:space="preserve"> necessary to correct non-compliance with a provision of the Law or an inconsistency between the </w:t>
      </w:r>
      <w:r>
        <w:t xml:space="preserve">depreciation </w:t>
      </w:r>
      <w:r w:rsidRPr="001E0177">
        <w:t>schedule and the applicable criteria. Even though the AER might consider change desirable to achieve more complete conformity between the</w:t>
      </w:r>
      <w:r>
        <w:t xml:space="preserve"> depreciation</w:t>
      </w:r>
      <w:r w:rsidRPr="001E0177">
        <w:t xml:space="preserve"> schedule and the principles and objectives of the Law, it would not be entitled to give effect to that view in the decision making process</w:t>
      </w:r>
      <w:r>
        <w:t xml:space="preserve">. </w:t>
      </w:r>
    </w:p>
  </w:footnote>
  <w:footnote w:id="14">
    <w:p w:rsidR="00C13ABC" w:rsidRDefault="00C13ABC" w:rsidP="000B3979">
      <w:pPr>
        <w:pStyle w:val="FootnoteText"/>
      </w:pPr>
      <w:r>
        <w:rPr>
          <w:rStyle w:val="FootnoteReference"/>
        </w:rPr>
        <w:footnoteRef/>
      </w:r>
      <w:r>
        <w:t xml:space="preserve"> </w:t>
      </w:r>
      <w:r>
        <w:tab/>
        <w:t>NGR, r. 89(1)(a).</w:t>
      </w:r>
    </w:p>
  </w:footnote>
  <w:footnote w:id="15">
    <w:p w:rsidR="00C13ABC" w:rsidRDefault="00C13ABC" w:rsidP="000B3979">
      <w:pPr>
        <w:pStyle w:val="FootnoteText"/>
      </w:pPr>
      <w:r>
        <w:rPr>
          <w:rStyle w:val="FootnoteReference"/>
        </w:rPr>
        <w:footnoteRef/>
      </w:r>
      <w:r>
        <w:t xml:space="preserve"> </w:t>
      </w:r>
      <w:r>
        <w:tab/>
        <w:t>NGR, r. 89(1)(b).</w:t>
      </w:r>
    </w:p>
  </w:footnote>
  <w:footnote w:id="16">
    <w:p w:rsidR="00C13ABC" w:rsidRDefault="00C13ABC" w:rsidP="000B3979">
      <w:pPr>
        <w:pStyle w:val="FootnoteText"/>
      </w:pPr>
      <w:r>
        <w:rPr>
          <w:rStyle w:val="FootnoteReference"/>
        </w:rPr>
        <w:footnoteRef/>
      </w:r>
      <w:r>
        <w:t xml:space="preserve"> </w:t>
      </w:r>
      <w:r>
        <w:tab/>
        <w:t>NGR, r. 89(1)(c).</w:t>
      </w:r>
    </w:p>
  </w:footnote>
  <w:footnote w:id="17">
    <w:p w:rsidR="00C13ABC" w:rsidRDefault="00C13ABC" w:rsidP="000B3979">
      <w:pPr>
        <w:pStyle w:val="FootnoteText"/>
      </w:pPr>
      <w:r>
        <w:rPr>
          <w:rStyle w:val="FootnoteReference"/>
        </w:rPr>
        <w:footnoteRef/>
      </w:r>
      <w:r>
        <w:t xml:space="preserve"> </w:t>
      </w:r>
      <w:r>
        <w:tab/>
        <w:t>NGR, r. 89(1)(d).</w:t>
      </w:r>
    </w:p>
  </w:footnote>
  <w:footnote w:id="18">
    <w:p w:rsidR="00C13ABC" w:rsidRDefault="00C13ABC" w:rsidP="000B3979">
      <w:pPr>
        <w:pStyle w:val="FootnoteText"/>
      </w:pPr>
      <w:r>
        <w:rPr>
          <w:rStyle w:val="FootnoteReference"/>
        </w:rPr>
        <w:footnoteRef/>
      </w:r>
      <w:r>
        <w:t xml:space="preserve"> </w:t>
      </w:r>
      <w:r>
        <w:tab/>
        <w:t>NGR, r. 89(1)(e).</w:t>
      </w:r>
    </w:p>
  </w:footnote>
  <w:footnote w:id="19">
    <w:p w:rsidR="00C13ABC" w:rsidRDefault="00C13ABC" w:rsidP="000B3979">
      <w:pPr>
        <w:pStyle w:val="FootnoteText"/>
      </w:pPr>
      <w:r>
        <w:rPr>
          <w:rStyle w:val="FootnoteReference"/>
        </w:rPr>
        <w:footnoteRef/>
      </w:r>
      <w:r>
        <w:t xml:space="preserve"> </w:t>
      </w:r>
      <w:r>
        <w:tab/>
        <w:t xml:space="preserve">NGR, r. 89(2). </w:t>
      </w:r>
    </w:p>
  </w:footnote>
  <w:footnote w:id="20">
    <w:p w:rsidR="00C13ABC" w:rsidRDefault="00C13ABC">
      <w:pPr>
        <w:pStyle w:val="FootnoteText"/>
      </w:pPr>
      <w:r>
        <w:rPr>
          <w:rStyle w:val="FootnoteReference"/>
        </w:rPr>
        <w:footnoteRef/>
      </w:r>
      <w:r>
        <w:t xml:space="preserve"> </w:t>
      </w:r>
      <w:r>
        <w:tab/>
      </w:r>
      <w:proofErr w:type="gramStart"/>
      <w:r>
        <w:t>NGR, r. 74(2).</w:t>
      </w:r>
      <w:proofErr w:type="gramEnd"/>
    </w:p>
  </w:footnote>
  <w:footnote w:id="21">
    <w:p w:rsidR="00C13ABC" w:rsidRDefault="00C13ABC" w:rsidP="000B3979">
      <w:pPr>
        <w:pStyle w:val="FootnoteText"/>
      </w:pPr>
      <w:r>
        <w:rPr>
          <w:rStyle w:val="FootnoteReference"/>
        </w:rPr>
        <w:footnoteRef/>
      </w:r>
      <w:r>
        <w:t xml:space="preserve"> </w:t>
      </w:r>
      <w:r>
        <w:tab/>
        <w:t>NGR, r. 89.</w:t>
      </w:r>
    </w:p>
  </w:footnote>
  <w:footnote w:id="22">
    <w:p w:rsidR="00C13ABC" w:rsidRDefault="00C13ABC" w:rsidP="000B3979">
      <w:pPr>
        <w:pStyle w:val="FootnoteText"/>
      </w:pPr>
      <w:r>
        <w:rPr>
          <w:rStyle w:val="FootnoteReference"/>
        </w:rPr>
        <w:footnoteRef/>
      </w:r>
      <w:r>
        <w:t xml:space="preserve"> </w:t>
      </w:r>
      <w:r>
        <w:tab/>
        <w:t>NGR, r. 89(1)(a).</w:t>
      </w:r>
    </w:p>
  </w:footnote>
  <w:footnote w:id="23">
    <w:p w:rsidR="00C13ABC" w:rsidRDefault="00C13ABC" w:rsidP="000B3979">
      <w:pPr>
        <w:pStyle w:val="FootnoteText"/>
      </w:pPr>
      <w:r>
        <w:rPr>
          <w:rStyle w:val="FootnoteReference"/>
        </w:rPr>
        <w:footnoteRef/>
      </w:r>
      <w:r>
        <w:t xml:space="preserve"> </w:t>
      </w:r>
      <w:r>
        <w:tab/>
      </w:r>
      <w:r w:rsidRPr="00B406D4">
        <w:t xml:space="preserve">We consider this depreciation method to be a generally superior approach. The reasons are outlined in our decision on the roll forward model for electricity transmission network service providers. See AER, </w:t>
      </w:r>
      <w:r w:rsidRPr="008948ED">
        <w:rPr>
          <w:rStyle w:val="AERtextitalic"/>
        </w:rPr>
        <w:t xml:space="preserve">Explanatory statement, </w:t>
      </w:r>
      <w:r>
        <w:rPr>
          <w:rStyle w:val="AERtextitalic"/>
        </w:rPr>
        <w:t>P</w:t>
      </w:r>
      <w:r w:rsidRPr="008948ED">
        <w:rPr>
          <w:rStyle w:val="AERtextitalic"/>
        </w:rPr>
        <w:t>roposed amendment, Electricity transmission network service providers, Roll forward model</w:t>
      </w:r>
      <w:r w:rsidRPr="00B406D4">
        <w:t>, August 2010, pp. 5–6.</w:t>
      </w:r>
    </w:p>
  </w:footnote>
  <w:footnote w:id="24">
    <w:p w:rsidR="00C13ABC" w:rsidRDefault="00C13ABC" w:rsidP="000B3979">
      <w:pPr>
        <w:pStyle w:val="FootnoteText"/>
      </w:pPr>
      <w:r>
        <w:rPr>
          <w:rStyle w:val="FootnoteReference"/>
        </w:rPr>
        <w:footnoteRef/>
      </w:r>
      <w:r>
        <w:t xml:space="preserve"> </w:t>
      </w:r>
      <w:r>
        <w:tab/>
      </w:r>
      <w:r w:rsidRPr="00C06BD9">
        <w:t xml:space="preserve">See AER, </w:t>
      </w:r>
      <w:r w:rsidRPr="006F329C">
        <w:rPr>
          <w:rStyle w:val="AERtextitalic"/>
        </w:rPr>
        <w:t>Final decision - amended transmission roll forward model</w:t>
      </w:r>
      <w:r w:rsidRPr="00C06BD9">
        <w:t>, December 2010, pp. 5–6 for further explanation.</w:t>
      </w:r>
    </w:p>
  </w:footnote>
  <w:footnote w:id="25">
    <w:p w:rsidR="00C13ABC" w:rsidRDefault="00C13ABC" w:rsidP="000B3979">
      <w:pPr>
        <w:pStyle w:val="FootnoteText"/>
      </w:pPr>
      <w:r>
        <w:rPr>
          <w:rStyle w:val="FootnoteReference"/>
        </w:rPr>
        <w:footnoteRef/>
      </w:r>
      <w:r>
        <w:t xml:space="preserve"> </w:t>
      </w:r>
      <w:r>
        <w:tab/>
        <w:t>Under our standard approach,</w:t>
      </w:r>
      <w:r w:rsidRPr="00847540">
        <w:t xml:space="preserve"> the distinction is made between straight-line depreciation and regulatory depreciation. The difference being that regulatory depreciation is the straight-line depreciation minus the indexation adjustment.</w:t>
      </w:r>
    </w:p>
  </w:footnote>
  <w:footnote w:id="26">
    <w:p w:rsidR="00C13ABC" w:rsidRDefault="00C13ABC" w:rsidP="000B3979">
      <w:pPr>
        <w:pStyle w:val="FootnoteText"/>
      </w:pPr>
      <w:r>
        <w:rPr>
          <w:rStyle w:val="FootnoteReference"/>
        </w:rPr>
        <w:footnoteRef/>
      </w:r>
      <w:r>
        <w:t xml:space="preserve"> </w:t>
      </w:r>
      <w:r>
        <w:tab/>
        <w:t>This is generally the case because the reduction in the capital base amount feeds into the higher depreciation building block, whereas the reduced return on capital building block is proportionate to the lower capital base multiplied by the WACC.</w:t>
      </w:r>
    </w:p>
  </w:footnote>
  <w:footnote w:id="27">
    <w:p w:rsidR="00C13ABC" w:rsidRDefault="00C13ABC" w:rsidP="000B3979">
      <w:pPr>
        <w:pStyle w:val="FootnoteText"/>
      </w:pPr>
      <w:r>
        <w:rPr>
          <w:rStyle w:val="FootnoteReference"/>
        </w:rPr>
        <w:footnoteRef/>
      </w:r>
      <w:r>
        <w:t xml:space="preserve"> </w:t>
      </w:r>
      <w:r>
        <w:tab/>
        <w:t>NGR, cl. 87(4)(b).</w:t>
      </w:r>
    </w:p>
  </w:footnote>
  <w:footnote w:id="28">
    <w:p w:rsidR="00C13ABC" w:rsidRDefault="00C13ABC" w:rsidP="000B3979">
      <w:pPr>
        <w:pStyle w:val="FootnoteText"/>
      </w:pPr>
      <w:r>
        <w:rPr>
          <w:rStyle w:val="FootnoteReference"/>
        </w:rPr>
        <w:footnoteRef/>
      </w:r>
      <w:r>
        <w:t xml:space="preserve"> </w:t>
      </w:r>
      <w:r>
        <w:tab/>
      </w:r>
      <w:r w:rsidRPr="00B06CAD">
        <w:t xml:space="preserve">If the asset lives are extremely long, such that the </w:t>
      </w:r>
      <w:r>
        <w:t>capital base</w:t>
      </w:r>
      <w:r w:rsidRPr="00B06CAD">
        <w:t xml:space="preserve"> depreciation rate is lower than the inflation rate, then</w:t>
      </w:r>
      <w:r>
        <w:t xml:space="preserve"> </w:t>
      </w:r>
      <w:r w:rsidRPr="00B06CAD">
        <w:t xml:space="preserve">negative regulatory depreciation can emerge. The indexation adjustment is greater than the </w:t>
      </w:r>
      <w:r>
        <w:t>capital base</w:t>
      </w:r>
      <w:r w:rsidRPr="00B06CAD">
        <w:t xml:space="preserve"> depreciation in</w:t>
      </w:r>
      <w:r>
        <w:t xml:space="preserve"> </w:t>
      </w:r>
      <w:r w:rsidRPr="00B06CAD">
        <w:t>such circumstances</w:t>
      </w:r>
    </w:p>
  </w:footnote>
  <w:footnote w:id="29">
    <w:p w:rsidR="00C13ABC" w:rsidRDefault="00C13ABC" w:rsidP="000B3979">
      <w:pPr>
        <w:pStyle w:val="FootnoteText"/>
      </w:pPr>
      <w:r>
        <w:rPr>
          <w:rStyle w:val="FootnoteReference"/>
        </w:rPr>
        <w:footnoteRef/>
      </w:r>
      <w:r>
        <w:t xml:space="preserve"> </w:t>
      </w:r>
      <w:r>
        <w:tab/>
        <w:t>A change of approach from an indexed capital base to an un-indexed capital base would result in an initial step change increase in revenues to preserve NPV neutrality.</w:t>
      </w:r>
    </w:p>
  </w:footnote>
  <w:footnote w:id="30">
    <w:p w:rsidR="00C13ABC" w:rsidRDefault="00C13ABC" w:rsidP="000B3979">
      <w:pPr>
        <w:pStyle w:val="FootnoteText"/>
      </w:pPr>
      <w:r>
        <w:rPr>
          <w:rStyle w:val="FootnoteReference"/>
        </w:rPr>
        <w:footnoteRef/>
      </w:r>
      <w:r>
        <w:t xml:space="preserve"> </w:t>
      </w:r>
      <w:r>
        <w:tab/>
        <w:t>The example is based on the initial cost of an asset of $100, a standard economic life of 25 years, a real WACC of 7.32%, expected inflation of 2.5% and nominal WACC of 10%. Other building block components such as opex, tax and capex are ignored for simplicity as they would affect both approaches equally.</w:t>
      </w:r>
    </w:p>
  </w:footnote>
  <w:footnote w:id="31">
    <w:p w:rsidR="00C13ABC" w:rsidRDefault="00C13ABC">
      <w:pPr>
        <w:pStyle w:val="FootnoteText"/>
      </w:pPr>
      <w:r>
        <w:rPr>
          <w:rStyle w:val="FootnoteReference"/>
        </w:rPr>
        <w:footnoteRef/>
      </w:r>
      <w:r>
        <w:t xml:space="preserve"> </w:t>
      </w:r>
      <w:r>
        <w:tab/>
        <w:t>However, it did not apply the approach to existing mains and services, and existing meters, which it proposed for accelerated depreciation.</w:t>
      </w:r>
    </w:p>
  </w:footnote>
  <w:footnote w:id="32">
    <w:p w:rsidR="00C13ABC" w:rsidRDefault="00C13ABC">
      <w:pPr>
        <w:pStyle w:val="FootnoteText"/>
      </w:pPr>
      <w:r>
        <w:rPr>
          <w:rStyle w:val="FootnoteReference"/>
        </w:rPr>
        <w:footnoteRef/>
      </w:r>
      <w:r>
        <w:t xml:space="preserve"> </w:t>
      </w:r>
      <w:r>
        <w:tab/>
      </w:r>
      <w:r w:rsidRPr="009E7FF8">
        <w:t xml:space="preserve">Multinet Gas, </w:t>
      </w:r>
      <w:r w:rsidRPr="001D78F4">
        <w:rPr>
          <w:rStyle w:val="AERtextitalic"/>
        </w:rPr>
        <w:t>2018–2022</w:t>
      </w:r>
      <w:r>
        <w:t xml:space="preserve"> </w:t>
      </w:r>
      <w:r w:rsidRPr="009E7FF8">
        <w:rPr>
          <w:rStyle w:val="AERtextitalic"/>
        </w:rPr>
        <w:t>Access arrangement information,</w:t>
      </w:r>
      <w:r>
        <w:t xml:space="preserve"> December 2016</w:t>
      </w:r>
      <w:r w:rsidRPr="009E7FF8">
        <w:t>, p.</w:t>
      </w:r>
      <w:r>
        <w:t xml:space="preserve"> 115.</w:t>
      </w:r>
    </w:p>
  </w:footnote>
  <w:footnote w:id="33">
    <w:p w:rsidR="00C13ABC" w:rsidRDefault="00C13ABC">
      <w:pPr>
        <w:pStyle w:val="FootnoteText"/>
      </w:pPr>
      <w:r>
        <w:rPr>
          <w:rStyle w:val="FootnoteReference"/>
        </w:rPr>
        <w:footnoteRef/>
      </w:r>
      <w:r>
        <w:t xml:space="preserve"> </w:t>
      </w:r>
      <w:r>
        <w:tab/>
        <w:t>There is also greater scope for error in non-standardised models. For example, our RFM makes sure forecast depreciation is correctly accounted for. Multinet's separate year-by-year tracking model for depreciation has made an error in applying this approach as discussed below.</w:t>
      </w:r>
    </w:p>
  </w:footnote>
  <w:footnote w:id="34">
    <w:p w:rsidR="00C13ABC" w:rsidRDefault="00C13ABC" w:rsidP="00DB650D">
      <w:pPr>
        <w:pStyle w:val="FootnoteText"/>
      </w:pPr>
      <w:r>
        <w:rPr>
          <w:rStyle w:val="FootnoteReference"/>
        </w:rPr>
        <w:footnoteRef/>
      </w:r>
      <w:r>
        <w:t xml:space="preserve"> </w:t>
      </w:r>
      <w:r>
        <w:tab/>
      </w:r>
      <w:r w:rsidRPr="00D62DD7">
        <w:t xml:space="preserve">Consumer Challenge Panel (CCP 11) - </w:t>
      </w:r>
      <w:r w:rsidRPr="001D78F4">
        <w:rPr>
          <w:rStyle w:val="AERtextitalic"/>
        </w:rPr>
        <w:t>Response to proposals from AGN, AusNet and Multinet for the 2018-2022 Access Arrangements</w:t>
      </w:r>
      <w:r w:rsidRPr="00D62DD7">
        <w:t xml:space="preserve"> - 3 March 2017</w:t>
      </w:r>
      <w:r>
        <w:t>, p.53.</w:t>
      </w:r>
    </w:p>
  </w:footnote>
  <w:footnote w:id="35">
    <w:p w:rsidR="00C13ABC" w:rsidRDefault="00C13ABC" w:rsidP="00695EE3">
      <w:pPr>
        <w:pStyle w:val="FootnoteText"/>
      </w:pPr>
      <w:r>
        <w:rPr>
          <w:rStyle w:val="FootnoteReference"/>
        </w:rPr>
        <w:footnoteRef/>
      </w:r>
      <w:r>
        <w:t xml:space="preserve"> </w:t>
      </w:r>
      <w:r>
        <w:tab/>
        <w:t>For example, imagine an asset class with two assets. Asset one worth $1 million with one year life left. Asset two worth $1 million but with fifty years of life left. Under the average depreciation approach the remaining asset life for the asset class as a whole would be 1.96 years ($2m divided by the depreciation expected next year of $1.02 million – asset one depreciation of $1 million plus asset two depreciation of $0.02 million ($1m divided by 50 years)). In contrast, a weighted average remaining life in this case would be 25.5 years ((1+50)/2 given the weights of $1 million are identical).</w:t>
      </w:r>
      <w:r w:rsidRPr="00AD5440">
        <w:t xml:space="preserve"> </w:t>
      </w:r>
      <w:r>
        <w:t>For further discussion refer to section 5.4.2</w:t>
      </w:r>
      <w:r w:rsidRPr="00AD5440">
        <w:t xml:space="preserve"> of the </w:t>
      </w:r>
      <w:r>
        <w:t>SA Power Networks</w:t>
      </w:r>
      <w:r w:rsidRPr="00AD5440">
        <w:t xml:space="preserve"> draft decision. AER - </w:t>
      </w:r>
      <w:r w:rsidRPr="001D78F4">
        <w:rPr>
          <w:rStyle w:val="AERtextitalic"/>
        </w:rPr>
        <w:t>Preliminary decision, SA Power Networks determination 2015−16 to 2019−20, Attachment 5 − Regulatory depreciation</w:t>
      </w:r>
      <w:r>
        <w:t xml:space="preserve">, </w:t>
      </w:r>
      <w:r w:rsidRPr="00695EE3">
        <w:t>April 2015</w:t>
      </w:r>
      <w:r>
        <w:t>.</w:t>
      </w:r>
    </w:p>
  </w:footnote>
  <w:footnote w:id="36">
    <w:p w:rsidR="00C13ABC" w:rsidRDefault="00C13ABC">
      <w:pPr>
        <w:pStyle w:val="FootnoteText"/>
      </w:pPr>
    </w:p>
  </w:footnote>
  <w:footnote w:id="37">
    <w:p w:rsidR="00C13ABC" w:rsidRDefault="00C13ABC">
      <w:pPr>
        <w:pStyle w:val="FootnoteText"/>
      </w:pPr>
      <w:r>
        <w:rPr>
          <w:rStyle w:val="FootnoteReference"/>
        </w:rPr>
        <w:footnoteRef/>
      </w:r>
      <w:r>
        <w:t xml:space="preserve"> </w:t>
      </w:r>
      <w:r>
        <w:tab/>
      </w:r>
      <w:r w:rsidRPr="004E19DD">
        <w:t xml:space="preserve">Consumer Challenge Panel (CCP 11) - </w:t>
      </w:r>
      <w:r w:rsidRPr="004E19DD">
        <w:rPr>
          <w:rStyle w:val="AERtextitalic"/>
        </w:rPr>
        <w:t>Response to proposals from AGN, AusNet and Multinet for the 2018-2022 Access Arrangements</w:t>
      </w:r>
      <w:r w:rsidRPr="004E19DD">
        <w:t xml:space="preserve"> - 3 March 2017</w:t>
      </w:r>
    </w:p>
  </w:footnote>
  <w:footnote w:id="38">
    <w:p w:rsidR="00C13ABC" w:rsidRDefault="00C13ABC">
      <w:pPr>
        <w:pStyle w:val="FootnoteText"/>
      </w:pPr>
      <w:r>
        <w:rPr>
          <w:rStyle w:val="FootnoteReference"/>
        </w:rPr>
        <w:footnoteRef/>
      </w:r>
      <w:r>
        <w:t xml:space="preserve"> </w:t>
      </w:r>
      <w:r>
        <w:tab/>
        <w:t>The labels may be somewhat different across businesses. The term 'buildings' is used predominantly, but some also use terms such as system buildings, commercial buildings, and houses.</w:t>
      </w:r>
    </w:p>
  </w:footnote>
  <w:footnote w:id="39">
    <w:p w:rsidR="00C13ABC" w:rsidRDefault="00C13ABC">
      <w:pPr>
        <w:pStyle w:val="FootnoteText"/>
      </w:pPr>
      <w:r>
        <w:rPr>
          <w:rStyle w:val="FootnoteReference"/>
        </w:rPr>
        <w:footnoteRef/>
      </w:r>
      <w:r>
        <w:t xml:space="preserve"> </w:t>
      </w:r>
      <w:r>
        <w:tab/>
        <w:t>The two businesses with standard asset lives for buildings below this range will be reviewed at their next resets.</w:t>
      </w:r>
    </w:p>
  </w:footnote>
  <w:footnote w:id="40">
    <w:p w:rsidR="00C13ABC" w:rsidRDefault="00C13ABC">
      <w:pPr>
        <w:pStyle w:val="FootnoteText"/>
      </w:pPr>
      <w:r>
        <w:rPr>
          <w:rStyle w:val="FootnoteReference"/>
        </w:rPr>
        <w:footnoteRef/>
      </w:r>
      <w:r>
        <w:t xml:space="preserve"> </w:t>
      </w:r>
      <w:r>
        <w:tab/>
        <w:t>For example, Energex has both commercial buildings and system buildings. The former has a standard asset life of 40 years. The latter has a standard asset life of 60 years.</w:t>
      </w:r>
    </w:p>
  </w:footnote>
  <w:footnote w:id="41">
    <w:p w:rsidR="00C13ABC" w:rsidRDefault="00C13ABC" w:rsidP="000C259F">
      <w:pPr>
        <w:pStyle w:val="FootnoteText"/>
      </w:pPr>
      <w:r>
        <w:rPr>
          <w:rStyle w:val="FootnoteReference"/>
        </w:rPr>
        <w:footnoteRef/>
      </w:r>
      <w:r>
        <w:t xml:space="preserve"> </w:t>
      </w:r>
      <w:r>
        <w:tab/>
      </w:r>
      <w:r w:rsidRPr="004E19DD">
        <w:t xml:space="preserve">Consumer Challenge Panel (CCP 11) - </w:t>
      </w:r>
      <w:r w:rsidRPr="001D78F4">
        <w:rPr>
          <w:rStyle w:val="AERtextitalic"/>
        </w:rPr>
        <w:t xml:space="preserve">Response to proposals from AGN, AusNet and Multinet for the 2018-2022 Access Arrangements </w:t>
      </w:r>
      <w:r w:rsidRPr="004E19DD">
        <w:t>- 3 March 2017</w:t>
      </w:r>
      <w:r>
        <w:t>, p. 54.</w:t>
      </w:r>
    </w:p>
  </w:footnote>
  <w:footnote w:id="42">
    <w:p w:rsidR="00C13ABC" w:rsidRDefault="00C13ABC" w:rsidP="00084CCC">
      <w:pPr>
        <w:pStyle w:val="FootnoteText"/>
      </w:pPr>
      <w:r>
        <w:rPr>
          <w:rStyle w:val="FootnoteReference"/>
        </w:rPr>
        <w:footnoteRef/>
      </w:r>
      <w:r>
        <w:t xml:space="preserve"> </w:t>
      </w:r>
      <w:r>
        <w:tab/>
        <w:t>Multinet Gas proposed to spend $0.9 million of capex allocated to this asset class over the next 5 years in total.</w:t>
      </w:r>
    </w:p>
  </w:footnote>
  <w:footnote w:id="43">
    <w:p w:rsidR="00C13ABC" w:rsidRDefault="00C13ABC">
      <w:pPr>
        <w:pStyle w:val="FootnoteText"/>
      </w:pPr>
      <w:r>
        <w:rPr>
          <w:rStyle w:val="FootnoteReference"/>
        </w:rPr>
        <w:footnoteRef/>
      </w:r>
      <w:r>
        <w:t xml:space="preserve"> </w:t>
      </w:r>
      <w:r>
        <w:tab/>
      </w:r>
      <w:r w:rsidRPr="00F80242">
        <w:t>Multinet Gas,</w:t>
      </w:r>
      <w:r>
        <w:t xml:space="preserve"> </w:t>
      </w:r>
      <w:r w:rsidRPr="00F80242">
        <w:rPr>
          <w:rStyle w:val="AERtextitalic"/>
        </w:rPr>
        <w:t>Email RE: AER–Multinet Gas–IR #16–Standard asset life of Buildings</w:t>
      </w:r>
      <w:r>
        <w:t>, 27 March 2017.</w:t>
      </w:r>
    </w:p>
  </w:footnote>
  <w:footnote w:id="44">
    <w:p w:rsidR="00C13ABC" w:rsidRDefault="00C13ABC">
      <w:pPr>
        <w:pStyle w:val="FootnoteText"/>
      </w:pPr>
      <w:r>
        <w:rPr>
          <w:rStyle w:val="FootnoteReference"/>
        </w:rPr>
        <w:footnoteRef/>
      </w:r>
      <w:r>
        <w:t xml:space="preserve"> </w:t>
      </w:r>
      <w:r>
        <w:tab/>
      </w:r>
      <w:r w:rsidRPr="009E7FF8">
        <w:t xml:space="preserve">Multinet Gas, </w:t>
      </w:r>
      <w:r w:rsidRPr="001D78F4">
        <w:rPr>
          <w:rStyle w:val="AERtextitalic"/>
        </w:rPr>
        <w:t>2018–2022</w:t>
      </w:r>
      <w:r>
        <w:t xml:space="preserve"> </w:t>
      </w:r>
      <w:r w:rsidRPr="009E7FF8">
        <w:rPr>
          <w:rStyle w:val="AERtextitalic"/>
        </w:rPr>
        <w:t>Access arrangement information,</w:t>
      </w:r>
      <w:r>
        <w:t xml:space="preserve"> December 2016</w:t>
      </w:r>
      <w:r w:rsidRPr="009E7FF8">
        <w:t>, p.</w:t>
      </w:r>
      <w:r>
        <w:t xml:space="preserve"> 125.</w:t>
      </w:r>
    </w:p>
  </w:footnote>
  <w:footnote w:id="45">
    <w:p w:rsidR="00C13ABC" w:rsidRDefault="00C13ABC" w:rsidP="000C259F">
      <w:pPr>
        <w:pStyle w:val="FootnoteText"/>
      </w:pPr>
      <w:r>
        <w:rPr>
          <w:rStyle w:val="FootnoteReference"/>
        </w:rPr>
        <w:footnoteRef/>
      </w:r>
      <w:r>
        <w:t xml:space="preserve"> </w:t>
      </w:r>
      <w:r>
        <w:tab/>
      </w:r>
      <w:r w:rsidRPr="0067275D">
        <w:t xml:space="preserve">Consumer Challenge Panel (CCP 11) - </w:t>
      </w:r>
      <w:r w:rsidRPr="001D78F4">
        <w:rPr>
          <w:rStyle w:val="AERtextitalic"/>
        </w:rPr>
        <w:t>Response to proposals from AGN, AusNet and Multinet for the 2018-2022 Access Arrangements</w:t>
      </w:r>
      <w:r w:rsidRPr="0067275D">
        <w:t xml:space="preserve"> - 3 March 2017</w:t>
      </w:r>
      <w:r>
        <w:t>, p. 54.</w:t>
      </w:r>
    </w:p>
  </w:footnote>
  <w:footnote w:id="46">
    <w:p w:rsidR="00C13ABC" w:rsidRDefault="00C13ABC">
      <w:pPr>
        <w:pStyle w:val="FootnoteText"/>
      </w:pPr>
      <w:r>
        <w:rPr>
          <w:rStyle w:val="FootnoteReference"/>
        </w:rPr>
        <w:footnoteRef/>
      </w:r>
      <w:r>
        <w:t xml:space="preserve">  </w:t>
      </w:r>
      <w:r>
        <w:tab/>
        <w:t xml:space="preserve">For example, consider if at the last access arrangement review that $5 million forecast capex was approved with associated forecast depreciation of $1 million. If actual capex was $10 million, then the opening value for these assets at the next access arrangement review should be $9 million ($10 million actual capex – $1 million forecast depreciation). Actual depreciation in this case would be $2 million, other things being equal. Multinet's capital base roll forward correctly recognised that the opening value of this asset at the next access arrangement should be $9 million. However, in determining future depreciation on these assets its approach incorrectly calculates that $2 million depreciation has already been recovered. It results in the sum of tracked depreciation for this capex being $8 million instead of the $9 million of the opening capital base. Multinet would therefore under recover by $1 million in the future. Our correction ensures that future depreciation equals the correct opening capital base value.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BC" w:rsidRDefault="00C13A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7C26C10"/>
    <w:lvl w:ilvl="0">
      <w:start w:val="1"/>
      <w:numFmt w:val="decimal"/>
      <w:pStyle w:val="ListNumber"/>
      <w:lvlText w:val="%1."/>
      <w:lvlJc w:val="left"/>
      <w:pPr>
        <w:tabs>
          <w:tab w:val="num" w:pos="786"/>
        </w:tabs>
        <w:ind w:left="786"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7CCAD93C"/>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aL0+lzbtqCRLYFhLpZhBKt3R8ifbNjRtVzxK5Fpc+ns=" w:saltValue="5Ce7tp4qSJYA0hwK9qWI1A==" w:algorithmName="SHA-256"/>
  <w:defaultTabStop w:val="340"/>
  <w:characterSpacingControl w:val="doNotCompress"/>
  <w:hdrShapeDefaults>
    <o:shapedefaults v:ext="edit" spidmax="311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5747"/>
    <w:rsid w:val="0000658F"/>
    <w:rsid w:val="0001507B"/>
    <w:rsid w:val="00016100"/>
    <w:rsid w:val="00020016"/>
    <w:rsid w:val="00021202"/>
    <w:rsid w:val="00021C2B"/>
    <w:rsid w:val="0002498B"/>
    <w:rsid w:val="00024CD5"/>
    <w:rsid w:val="0002517F"/>
    <w:rsid w:val="00026187"/>
    <w:rsid w:val="000266FC"/>
    <w:rsid w:val="000273B3"/>
    <w:rsid w:val="00027E2D"/>
    <w:rsid w:val="0003578C"/>
    <w:rsid w:val="00036E77"/>
    <w:rsid w:val="00044DA3"/>
    <w:rsid w:val="0004670E"/>
    <w:rsid w:val="000474DF"/>
    <w:rsid w:val="00051116"/>
    <w:rsid w:val="00055A67"/>
    <w:rsid w:val="00063247"/>
    <w:rsid w:val="0006624E"/>
    <w:rsid w:val="000669AE"/>
    <w:rsid w:val="00070F9F"/>
    <w:rsid w:val="0007137B"/>
    <w:rsid w:val="00073B74"/>
    <w:rsid w:val="00076416"/>
    <w:rsid w:val="000805A8"/>
    <w:rsid w:val="0008190B"/>
    <w:rsid w:val="000836D9"/>
    <w:rsid w:val="00084CCC"/>
    <w:rsid w:val="00085663"/>
    <w:rsid w:val="0008590A"/>
    <w:rsid w:val="00085EBF"/>
    <w:rsid w:val="00091B15"/>
    <w:rsid w:val="00095186"/>
    <w:rsid w:val="00095F1E"/>
    <w:rsid w:val="000A0E71"/>
    <w:rsid w:val="000A1C0C"/>
    <w:rsid w:val="000A3020"/>
    <w:rsid w:val="000A4840"/>
    <w:rsid w:val="000A5BB3"/>
    <w:rsid w:val="000A62C1"/>
    <w:rsid w:val="000A6A79"/>
    <w:rsid w:val="000A6C7B"/>
    <w:rsid w:val="000A79B7"/>
    <w:rsid w:val="000B0A7B"/>
    <w:rsid w:val="000B1173"/>
    <w:rsid w:val="000B3979"/>
    <w:rsid w:val="000B5827"/>
    <w:rsid w:val="000B7037"/>
    <w:rsid w:val="000C02D1"/>
    <w:rsid w:val="000C0C63"/>
    <w:rsid w:val="000C259F"/>
    <w:rsid w:val="000C2B40"/>
    <w:rsid w:val="000C5255"/>
    <w:rsid w:val="000D07A7"/>
    <w:rsid w:val="000D122C"/>
    <w:rsid w:val="000D75B0"/>
    <w:rsid w:val="000E1819"/>
    <w:rsid w:val="000E4821"/>
    <w:rsid w:val="000E4AA9"/>
    <w:rsid w:val="000E6C72"/>
    <w:rsid w:val="000E7F39"/>
    <w:rsid w:val="00100EA2"/>
    <w:rsid w:val="00101AA1"/>
    <w:rsid w:val="00102338"/>
    <w:rsid w:val="00104566"/>
    <w:rsid w:val="00104FF6"/>
    <w:rsid w:val="001114AA"/>
    <w:rsid w:val="00112684"/>
    <w:rsid w:val="00115743"/>
    <w:rsid w:val="00116EB2"/>
    <w:rsid w:val="0012132C"/>
    <w:rsid w:val="00124609"/>
    <w:rsid w:val="00124EFC"/>
    <w:rsid w:val="00126A4C"/>
    <w:rsid w:val="001270E3"/>
    <w:rsid w:val="0012712F"/>
    <w:rsid w:val="00132D43"/>
    <w:rsid w:val="00133366"/>
    <w:rsid w:val="001336BE"/>
    <w:rsid w:val="00133F47"/>
    <w:rsid w:val="00134029"/>
    <w:rsid w:val="00142C2D"/>
    <w:rsid w:val="00144C96"/>
    <w:rsid w:val="0014573B"/>
    <w:rsid w:val="001463A3"/>
    <w:rsid w:val="0015073A"/>
    <w:rsid w:val="001510DB"/>
    <w:rsid w:val="00152B99"/>
    <w:rsid w:val="00153C1B"/>
    <w:rsid w:val="00156CC7"/>
    <w:rsid w:val="001573E4"/>
    <w:rsid w:val="00160756"/>
    <w:rsid w:val="00161DC8"/>
    <w:rsid w:val="00166760"/>
    <w:rsid w:val="0017232E"/>
    <w:rsid w:val="00174102"/>
    <w:rsid w:val="00174135"/>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0E24"/>
    <w:rsid w:val="001B1311"/>
    <w:rsid w:val="001B45A0"/>
    <w:rsid w:val="001B64F1"/>
    <w:rsid w:val="001B680E"/>
    <w:rsid w:val="001C06FD"/>
    <w:rsid w:val="001C33D8"/>
    <w:rsid w:val="001D055E"/>
    <w:rsid w:val="001D78F4"/>
    <w:rsid w:val="001E1B3F"/>
    <w:rsid w:val="001E7161"/>
    <w:rsid w:val="001F05A4"/>
    <w:rsid w:val="001F1518"/>
    <w:rsid w:val="001F3105"/>
    <w:rsid w:val="001F3D4A"/>
    <w:rsid w:val="001F492E"/>
    <w:rsid w:val="001F64EF"/>
    <w:rsid w:val="001F6DA3"/>
    <w:rsid w:val="002010BC"/>
    <w:rsid w:val="002016E7"/>
    <w:rsid w:val="00202E03"/>
    <w:rsid w:val="002033B9"/>
    <w:rsid w:val="002043D0"/>
    <w:rsid w:val="0020492C"/>
    <w:rsid w:val="00204EC9"/>
    <w:rsid w:val="00206505"/>
    <w:rsid w:val="0020743F"/>
    <w:rsid w:val="00210078"/>
    <w:rsid w:val="00216C93"/>
    <w:rsid w:val="00222A1D"/>
    <w:rsid w:val="00223051"/>
    <w:rsid w:val="00224DB9"/>
    <w:rsid w:val="0022569A"/>
    <w:rsid w:val="0023005C"/>
    <w:rsid w:val="00231012"/>
    <w:rsid w:val="00233775"/>
    <w:rsid w:val="0023414B"/>
    <w:rsid w:val="002417A9"/>
    <w:rsid w:val="00243635"/>
    <w:rsid w:val="00247079"/>
    <w:rsid w:val="00251745"/>
    <w:rsid w:val="00251D25"/>
    <w:rsid w:val="002552BA"/>
    <w:rsid w:val="00260016"/>
    <w:rsid w:val="00263AC0"/>
    <w:rsid w:val="00264264"/>
    <w:rsid w:val="0026689B"/>
    <w:rsid w:val="0026772D"/>
    <w:rsid w:val="002730B2"/>
    <w:rsid w:val="00274C7E"/>
    <w:rsid w:val="0027595D"/>
    <w:rsid w:val="002777CF"/>
    <w:rsid w:val="002810F2"/>
    <w:rsid w:val="00282CC6"/>
    <w:rsid w:val="00285088"/>
    <w:rsid w:val="00286874"/>
    <w:rsid w:val="00290C63"/>
    <w:rsid w:val="00291A99"/>
    <w:rsid w:val="00293B6D"/>
    <w:rsid w:val="00294B08"/>
    <w:rsid w:val="0029518C"/>
    <w:rsid w:val="002963DD"/>
    <w:rsid w:val="00296B65"/>
    <w:rsid w:val="002A7B98"/>
    <w:rsid w:val="002A7DEF"/>
    <w:rsid w:val="002B0696"/>
    <w:rsid w:val="002B63DD"/>
    <w:rsid w:val="002C0222"/>
    <w:rsid w:val="002C1499"/>
    <w:rsid w:val="002C233C"/>
    <w:rsid w:val="002C517B"/>
    <w:rsid w:val="002D0942"/>
    <w:rsid w:val="002D3509"/>
    <w:rsid w:val="002D5457"/>
    <w:rsid w:val="002D72E8"/>
    <w:rsid w:val="002D79AD"/>
    <w:rsid w:val="002E268F"/>
    <w:rsid w:val="002E78DD"/>
    <w:rsid w:val="002E7B22"/>
    <w:rsid w:val="002E7D52"/>
    <w:rsid w:val="002F12EC"/>
    <w:rsid w:val="002F5AE3"/>
    <w:rsid w:val="002F7986"/>
    <w:rsid w:val="00301B40"/>
    <w:rsid w:val="00301C82"/>
    <w:rsid w:val="003029EE"/>
    <w:rsid w:val="00303166"/>
    <w:rsid w:val="00304D38"/>
    <w:rsid w:val="00305CC8"/>
    <w:rsid w:val="00307F6D"/>
    <w:rsid w:val="003105EA"/>
    <w:rsid w:val="00310B2E"/>
    <w:rsid w:val="00314D83"/>
    <w:rsid w:val="0031571F"/>
    <w:rsid w:val="003177A2"/>
    <w:rsid w:val="00317E02"/>
    <w:rsid w:val="003271B5"/>
    <w:rsid w:val="00327A1E"/>
    <w:rsid w:val="00327E28"/>
    <w:rsid w:val="00331264"/>
    <w:rsid w:val="00334C8D"/>
    <w:rsid w:val="0033577F"/>
    <w:rsid w:val="003378BD"/>
    <w:rsid w:val="003424EA"/>
    <w:rsid w:val="00342C2F"/>
    <w:rsid w:val="003436EB"/>
    <w:rsid w:val="00343A18"/>
    <w:rsid w:val="00345744"/>
    <w:rsid w:val="00346C28"/>
    <w:rsid w:val="003518B3"/>
    <w:rsid w:val="00351FCD"/>
    <w:rsid w:val="00353E79"/>
    <w:rsid w:val="00361C41"/>
    <w:rsid w:val="00364EA0"/>
    <w:rsid w:val="00365509"/>
    <w:rsid w:val="00366981"/>
    <w:rsid w:val="00367B6A"/>
    <w:rsid w:val="00370678"/>
    <w:rsid w:val="0037214E"/>
    <w:rsid w:val="00372C85"/>
    <w:rsid w:val="00373845"/>
    <w:rsid w:val="003744E3"/>
    <w:rsid w:val="00375F71"/>
    <w:rsid w:val="003760A4"/>
    <w:rsid w:val="00376219"/>
    <w:rsid w:val="0037663E"/>
    <w:rsid w:val="0037699E"/>
    <w:rsid w:val="00377A29"/>
    <w:rsid w:val="00377C69"/>
    <w:rsid w:val="00380759"/>
    <w:rsid w:val="00383891"/>
    <w:rsid w:val="0038415D"/>
    <w:rsid w:val="0038461C"/>
    <w:rsid w:val="003846F1"/>
    <w:rsid w:val="00384F43"/>
    <w:rsid w:val="00386D23"/>
    <w:rsid w:val="00390E6A"/>
    <w:rsid w:val="00393ABE"/>
    <w:rsid w:val="00395CCD"/>
    <w:rsid w:val="00395DB6"/>
    <w:rsid w:val="00397398"/>
    <w:rsid w:val="003A371A"/>
    <w:rsid w:val="003A59CD"/>
    <w:rsid w:val="003A5F38"/>
    <w:rsid w:val="003A6B00"/>
    <w:rsid w:val="003B30B2"/>
    <w:rsid w:val="003B484F"/>
    <w:rsid w:val="003B504B"/>
    <w:rsid w:val="003B5179"/>
    <w:rsid w:val="003B685C"/>
    <w:rsid w:val="003B7FBA"/>
    <w:rsid w:val="003C6537"/>
    <w:rsid w:val="003C6A13"/>
    <w:rsid w:val="003C6D2C"/>
    <w:rsid w:val="003C764A"/>
    <w:rsid w:val="003C78BA"/>
    <w:rsid w:val="003D2A27"/>
    <w:rsid w:val="003D41F1"/>
    <w:rsid w:val="003D42AB"/>
    <w:rsid w:val="003D5B94"/>
    <w:rsid w:val="003E0D3A"/>
    <w:rsid w:val="003E3AAB"/>
    <w:rsid w:val="003E7FE9"/>
    <w:rsid w:val="003F07D4"/>
    <w:rsid w:val="003F174D"/>
    <w:rsid w:val="003F2329"/>
    <w:rsid w:val="00400FD2"/>
    <w:rsid w:val="00403711"/>
    <w:rsid w:val="00404C52"/>
    <w:rsid w:val="00404F20"/>
    <w:rsid w:val="004156D5"/>
    <w:rsid w:val="00415BA9"/>
    <w:rsid w:val="00415F31"/>
    <w:rsid w:val="0041691D"/>
    <w:rsid w:val="0042000C"/>
    <w:rsid w:val="004202BE"/>
    <w:rsid w:val="0042090E"/>
    <w:rsid w:val="00421F27"/>
    <w:rsid w:val="004238D8"/>
    <w:rsid w:val="00423A77"/>
    <w:rsid w:val="004324F4"/>
    <w:rsid w:val="00434544"/>
    <w:rsid w:val="00445D43"/>
    <w:rsid w:val="00446CD2"/>
    <w:rsid w:val="004475B7"/>
    <w:rsid w:val="004537BA"/>
    <w:rsid w:val="004568BA"/>
    <w:rsid w:val="0045777E"/>
    <w:rsid w:val="00465258"/>
    <w:rsid w:val="0047007E"/>
    <w:rsid w:val="00471BC6"/>
    <w:rsid w:val="00476221"/>
    <w:rsid w:val="004766F5"/>
    <w:rsid w:val="00480B4B"/>
    <w:rsid w:val="004838D8"/>
    <w:rsid w:val="00485DC4"/>
    <w:rsid w:val="00494365"/>
    <w:rsid w:val="00494D04"/>
    <w:rsid w:val="0049675D"/>
    <w:rsid w:val="004A40BA"/>
    <w:rsid w:val="004A43D1"/>
    <w:rsid w:val="004A492B"/>
    <w:rsid w:val="004B4412"/>
    <w:rsid w:val="004C348C"/>
    <w:rsid w:val="004C4557"/>
    <w:rsid w:val="004C462E"/>
    <w:rsid w:val="004C6CA3"/>
    <w:rsid w:val="004C7F5E"/>
    <w:rsid w:val="004D343C"/>
    <w:rsid w:val="004D372A"/>
    <w:rsid w:val="004D55BA"/>
    <w:rsid w:val="004D720C"/>
    <w:rsid w:val="004E0FA7"/>
    <w:rsid w:val="004E19DD"/>
    <w:rsid w:val="004E22EC"/>
    <w:rsid w:val="004F0BFA"/>
    <w:rsid w:val="004F13DA"/>
    <w:rsid w:val="004F4D69"/>
    <w:rsid w:val="004F6883"/>
    <w:rsid w:val="004F6A0E"/>
    <w:rsid w:val="004F6BB3"/>
    <w:rsid w:val="005009CD"/>
    <w:rsid w:val="00504E5F"/>
    <w:rsid w:val="0051337E"/>
    <w:rsid w:val="00513FA7"/>
    <w:rsid w:val="0051768F"/>
    <w:rsid w:val="00521A07"/>
    <w:rsid w:val="00522DC2"/>
    <w:rsid w:val="00524473"/>
    <w:rsid w:val="00524CD9"/>
    <w:rsid w:val="00530128"/>
    <w:rsid w:val="00532467"/>
    <w:rsid w:val="005332A9"/>
    <w:rsid w:val="0053603C"/>
    <w:rsid w:val="00536214"/>
    <w:rsid w:val="00537871"/>
    <w:rsid w:val="00542FE9"/>
    <w:rsid w:val="00544598"/>
    <w:rsid w:val="00544C8D"/>
    <w:rsid w:val="00544DFD"/>
    <w:rsid w:val="00556B1E"/>
    <w:rsid w:val="0055748A"/>
    <w:rsid w:val="00564A4D"/>
    <w:rsid w:val="0056598C"/>
    <w:rsid w:val="00566E0B"/>
    <w:rsid w:val="00567BA5"/>
    <w:rsid w:val="00571B35"/>
    <w:rsid w:val="00571B43"/>
    <w:rsid w:val="00571D57"/>
    <w:rsid w:val="00573A3B"/>
    <w:rsid w:val="00577716"/>
    <w:rsid w:val="00577A09"/>
    <w:rsid w:val="005829C2"/>
    <w:rsid w:val="00584892"/>
    <w:rsid w:val="00584D8F"/>
    <w:rsid w:val="00587A18"/>
    <w:rsid w:val="00587ADE"/>
    <w:rsid w:val="005922A8"/>
    <w:rsid w:val="00595854"/>
    <w:rsid w:val="005A0BEC"/>
    <w:rsid w:val="005A404D"/>
    <w:rsid w:val="005B1E3C"/>
    <w:rsid w:val="005B6518"/>
    <w:rsid w:val="005B704A"/>
    <w:rsid w:val="005B72D7"/>
    <w:rsid w:val="005C045F"/>
    <w:rsid w:val="005C16FE"/>
    <w:rsid w:val="005C1FAB"/>
    <w:rsid w:val="005C21A4"/>
    <w:rsid w:val="005C26CC"/>
    <w:rsid w:val="005C4463"/>
    <w:rsid w:val="005D3D88"/>
    <w:rsid w:val="005D48C4"/>
    <w:rsid w:val="005D6208"/>
    <w:rsid w:val="005D6366"/>
    <w:rsid w:val="005D7BA2"/>
    <w:rsid w:val="005E01F0"/>
    <w:rsid w:val="005E36C2"/>
    <w:rsid w:val="005E4AF4"/>
    <w:rsid w:val="005E4E57"/>
    <w:rsid w:val="005F2453"/>
    <w:rsid w:val="005F262D"/>
    <w:rsid w:val="005F387E"/>
    <w:rsid w:val="005F716F"/>
    <w:rsid w:val="00601E0B"/>
    <w:rsid w:val="0060258B"/>
    <w:rsid w:val="00606E5C"/>
    <w:rsid w:val="00610EF9"/>
    <w:rsid w:val="00612F4F"/>
    <w:rsid w:val="00614EA0"/>
    <w:rsid w:val="00615C6B"/>
    <w:rsid w:val="00617D4C"/>
    <w:rsid w:val="006203F1"/>
    <w:rsid w:val="00621DCE"/>
    <w:rsid w:val="00621FC5"/>
    <w:rsid w:val="00624F2C"/>
    <w:rsid w:val="006260C2"/>
    <w:rsid w:val="006273B7"/>
    <w:rsid w:val="00632D6D"/>
    <w:rsid w:val="00636569"/>
    <w:rsid w:val="00636EF9"/>
    <w:rsid w:val="00642C3E"/>
    <w:rsid w:val="00644A01"/>
    <w:rsid w:val="006516DB"/>
    <w:rsid w:val="00651E2D"/>
    <w:rsid w:val="00652324"/>
    <w:rsid w:val="00652AF2"/>
    <w:rsid w:val="006577FB"/>
    <w:rsid w:val="0066104A"/>
    <w:rsid w:val="00663066"/>
    <w:rsid w:val="00663DAD"/>
    <w:rsid w:val="00664206"/>
    <w:rsid w:val="006649E7"/>
    <w:rsid w:val="00664FF1"/>
    <w:rsid w:val="00666634"/>
    <w:rsid w:val="00671692"/>
    <w:rsid w:val="0067275D"/>
    <w:rsid w:val="00675E20"/>
    <w:rsid w:val="00676679"/>
    <w:rsid w:val="00680638"/>
    <w:rsid w:val="00683C89"/>
    <w:rsid w:val="00691B53"/>
    <w:rsid w:val="00695EE3"/>
    <w:rsid w:val="00697D0B"/>
    <w:rsid w:val="006A12BA"/>
    <w:rsid w:val="006A4739"/>
    <w:rsid w:val="006A66A1"/>
    <w:rsid w:val="006A6B11"/>
    <w:rsid w:val="006B032D"/>
    <w:rsid w:val="006B2395"/>
    <w:rsid w:val="006B40AC"/>
    <w:rsid w:val="006B4CF9"/>
    <w:rsid w:val="006B797C"/>
    <w:rsid w:val="006B7AC8"/>
    <w:rsid w:val="006C1736"/>
    <w:rsid w:val="006C329B"/>
    <w:rsid w:val="006C6303"/>
    <w:rsid w:val="006D550F"/>
    <w:rsid w:val="006D6146"/>
    <w:rsid w:val="006D7F7E"/>
    <w:rsid w:val="006E0CFF"/>
    <w:rsid w:val="006E25DF"/>
    <w:rsid w:val="006F0D92"/>
    <w:rsid w:val="006F267D"/>
    <w:rsid w:val="006F5ABF"/>
    <w:rsid w:val="0070011E"/>
    <w:rsid w:val="00700592"/>
    <w:rsid w:val="00701CAB"/>
    <w:rsid w:val="007023BB"/>
    <w:rsid w:val="00704DD7"/>
    <w:rsid w:val="00707563"/>
    <w:rsid w:val="00715F61"/>
    <w:rsid w:val="00720961"/>
    <w:rsid w:val="00722132"/>
    <w:rsid w:val="007228F7"/>
    <w:rsid w:val="0072348C"/>
    <w:rsid w:val="00724A37"/>
    <w:rsid w:val="007303C3"/>
    <w:rsid w:val="00731188"/>
    <w:rsid w:val="007328AF"/>
    <w:rsid w:val="007356CC"/>
    <w:rsid w:val="007368E6"/>
    <w:rsid w:val="0073743C"/>
    <w:rsid w:val="007375DF"/>
    <w:rsid w:val="00740728"/>
    <w:rsid w:val="007429BE"/>
    <w:rsid w:val="00743223"/>
    <w:rsid w:val="00743349"/>
    <w:rsid w:val="0074403A"/>
    <w:rsid w:val="00746E01"/>
    <w:rsid w:val="00751DCD"/>
    <w:rsid w:val="00755084"/>
    <w:rsid w:val="00757364"/>
    <w:rsid w:val="00757BDF"/>
    <w:rsid w:val="007609D0"/>
    <w:rsid w:val="00761454"/>
    <w:rsid w:val="0076193D"/>
    <w:rsid w:val="007620FD"/>
    <w:rsid w:val="00762AB1"/>
    <w:rsid w:val="00763E5D"/>
    <w:rsid w:val="00766152"/>
    <w:rsid w:val="00767740"/>
    <w:rsid w:val="00767B5E"/>
    <w:rsid w:val="00775460"/>
    <w:rsid w:val="00777EE6"/>
    <w:rsid w:val="00782EEA"/>
    <w:rsid w:val="007909B4"/>
    <w:rsid w:val="00790E86"/>
    <w:rsid w:val="007949D7"/>
    <w:rsid w:val="00797CA4"/>
    <w:rsid w:val="007A0143"/>
    <w:rsid w:val="007A08B7"/>
    <w:rsid w:val="007A34C2"/>
    <w:rsid w:val="007A38B2"/>
    <w:rsid w:val="007A396C"/>
    <w:rsid w:val="007A4B02"/>
    <w:rsid w:val="007B0BE3"/>
    <w:rsid w:val="007B1816"/>
    <w:rsid w:val="007B186E"/>
    <w:rsid w:val="007B25DC"/>
    <w:rsid w:val="007B2C72"/>
    <w:rsid w:val="007B3789"/>
    <w:rsid w:val="007B651F"/>
    <w:rsid w:val="007B7BB5"/>
    <w:rsid w:val="007C1C53"/>
    <w:rsid w:val="007C284C"/>
    <w:rsid w:val="007C48BB"/>
    <w:rsid w:val="007C4B82"/>
    <w:rsid w:val="007C74BB"/>
    <w:rsid w:val="007C7F64"/>
    <w:rsid w:val="007D0A95"/>
    <w:rsid w:val="007D0EB5"/>
    <w:rsid w:val="007D2507"/>
    <w:rsid w:val="007D456E"/>
    <w:rsid w:val="007D5837"/>
    <w:rsid w:val="007E4904"/>
    <w:rsid w:val="007E4CB5"/>
    <w:rsid w:val="007E4DAE"/>
    <w:rsid w:val="007E654D"/>
    <w:rsid w:val="007F066B"/>
    <w:rsid w:val="007F4EAB"/>
    <w:rsid w:val="007F5B16"/>
    <w:rsid w:val="007F665B"/>
    <w:rsid w:val="007F7C9D"/>
    <w:rsid w:val="008033C4"/>
    <w:rsid w:val="00806731"/>
    <w:rsid w:val="00806C88"/>
    <w:rsid w:val="0081034E"/>
    <w:rsid w:val="00810806"/>
    <w:rsid w:val="00815882"/>
    <w:rsid w:val="00815E34"/>
    <w:rsid w:val="008201A2"/>
    <w:rsid w:val="00820454"/>
    <w:rsid w:val="00822AC7"/>
    <w:rsid w:val="00822E86"/>
    <w:rsid w:val="008344F6"/>
    <w:rsid w:val="0083510F"/>
    <w:rsid w:val="00837BF3"/>
    <w:rsid w:val="008415DE"/>
    <w:rsid w:val="008420DE"/>
    <w:rsid w:val="00845865"/>
    <w:rsid w:val="0084799B"/>
    <w:rsid w:val="00850C90"/>
    <w:rsid w:val="00851209"/>
    <w:rsid w:val="0085171F"/>
    <w:rsid w:val="00865726"/>
    <w:rsid w:val="008658A1"/>
    <w:rsid w:val="0086716A"/>
    <w:rsid w:val="00870613"/>
    <w:rsid w:val="0087380F"/>
    <w:rsid w:val="0087648F"/>
    <w:rsid w:val="00876612"/>
    <w:rsid w:val="00881344"/>
    <w:rsid w:val="00882BB1"/>
    <w:rsid w:val="008837AC"/>
    <w:rsid w:val="008909DC"/>
    <w:rsid w:val="00894255"/>
    <w:rsid w:val="008945AD"/>
    <w:rsid w:val="008A0645"/>
    <w:rsid w:val="008A1C02"/>
    <w:rsid w:val="008A3285"/>
    <w:rsid w:val="008A370D"/>
    <w:rsid w:val="008A587D"/>
    <w:rsid w:val="008B16B0"/>
    <w:rsid w:val="008B1BD5"/>
    <w:rsid w:val="008B35CD"/>
    <w:rsid w:val="008B4093"/>
    <w:rsid w:val="008B5FCC"/>
    <w:rsid w:val="008B7F36"/>
    <w:rsid w:val="008C357F"/>
    <w:rsid w:val="008C5486"/>
    <w:rsid w:val="008D1661"/>
    <w:rsid w:val="008D27E0"/>
    <w:rsid w:val="008D5F90"/>
    <w:rsid w:val="008D6800"/>
    <w:rsid w:val="008D72F1"/>
    <w:rsid w:val="008E4089"/>
    <w:rsid w:val="008E5AFF"/>
    <w:rsid w:val="008E7031"/>
    <w:rsid w:val="008E77DE"/>
    <w:rsid w:val="008F040C"/>
    <w:rsid w:val="008F07A3"/>
    <w:rsid w:val="008F3322"/>
    <w:rsid w:val="008F3519"/>
    <w:rsid w:val="008F3A0D"/>
    <w:rsid w:val="009001B6"/>
    <w:rsid w:val="00900E1B"/>
    <w:rsid w:val="0090131F"/>
    <w:rsid w:val="009057C3"/>
    <w:rsid w:val="00907683"/>
    <w:rsid w:val="009132B7"/>
    <w:rsid w:val="00916A2C"/>
    <w:rsid w:val="00917A2A"/>
    <w:rsid w:val="009217B9"/>
    <w:rsid w:val="009233EE"/>
    <w:rsid w:val="00927114"/>
    <w:rsid w:val="00930B1A"/>
    <w:rsid w:val="00932612"/>
    <w:rsid w:val="009327DC"/>
    <w:rsid w:val="009338D9"/>
    <w:rsid w:val="009339BD"/>
    <w:rsid w:val="009356CF"/>
    <w:rsid w:val="00945E53"/>
    <w:rsid w:val="009460AA"/>
    <w:rsid w:val="00951978"/>
    <w:rsid w:val="00952C8B"/>
    <w:rsid w:val="00961A4A"/>
    <w:rsid w:val="009661DE"/>
    <w:rsid w:val="00972C7C"/>
    <w:rsid w:val="0097659C"/>
    <w:rsid w:val="009776F4"/>
    <w:rsid w:val="00980892"/>
    <w:rsid w:val="00980FC7"/>
    <w:rsid w:val="00982DA2"/>
    <w:rsid w:val="009830B5"/>
    <w:rsid w:val="00983C25"/>
    <w:rsid w:val="0098466D"/>
    <w:rsid w:val="009856B7"/>
    <w:rsid w:val="009859D6"/>
    <w:rsid w:val="00985C86"/>
    <w:rsid w:val="00992490"/>
    <w:rsid w:val="009A5FC3"/>
    <w:rsid w:val="009B108D"/>
    <w:rsid w:val="009B6F84"/>
    <w:rsid w:val="009B74B0"/>
    <w:rsid w:val="009C0152"/>
    <w:rsid w:val="009C1A74"/>
    <w:rsid w:val="009C3D42"/>
    <w:rsid w:val="009C491E"/>
    <w:rsid w:val="009C5F4E"/>
    <w:rsid w:val="009C7FCF"/>
    <w:rsid w:val="009D0DF1"/>
    <w:rsid w:val="009D22D6"/>
    <w:rsid w:val="009D2C84"/>
    <w:rsid w:val="009D3906"/>
    <w:rsid w:val="009D6B46"/>
    <w:rsid w:val="009E17F0"/>
    <w:rsid w:val="009E2AE8"/>
    <w:rsid w:val="009E35B6"/>
    <w:rsid w:val="009E5ABC"/>
    <w:rsid w:val="009E7FF8"/>
    <w:rsid w:val="009F367D"/>
    <w:rsid w:val="009F3BBA"/>
    <w:rsid w:val="009F43B4"/>
    <w:rsid w:val="009F4940"/>
    <w:rsid w:val="009F5BA1"/>
    <w:rsid w:val="009F5DAD"/>
    <w:rsid w:val="009F72A4"/>
    <w:rsid w:val="00A00922"/>
    <w:rsid w:val="00A02A88"/>
    <w:rsid w:val="00A04012"/>
    <w:rsid w:val="00A046FA"/>
    <w:rsid w:val="00A0562E"/>
    <w:rsid w:val="00A0726D"/>
    <w:rsid w:val="00A073AE"/>
    <w:rsid w:val="00A10E56"/>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3409"/>
    <w:rsid w:val="00A53796"/>
    <w:rsid w:val="00A53848"/>
    <w:rsid w:val="00A56945"/>
    <w:rsid w:val="00A56A6E"/>
    <w:rsid w:val="00A57D04"/>
    <w:rsid w:val="00A60A26"/>
    <w:rsid w:val="00A61598"/>
    <w:rsid w:val="00A61777"/>
    <w:rsid w:val="00A63646"/>
    <w:rsid w:val="00A63914"/>
    <w:rsid w:val="00A645F5"/>
    <w:rsid w:val="00A84A99"/>
    <w:rsid w:val="00A84F46"/>
    <w:rsid w:val="00A85E87"/>
    <w:rsid w:val="00A86AEA"/>
    <w:rsid w:val="00A871F4"/>
    <w:rsid w:val="00A9431A"/>
    <w:rsid w:val="00A95988"/>
    <w:rsid w:val="00A959DF"/>
    <w:rsid w:val="00A97A1B"/>
    <w:rsid w:val="00AA2927"/>
    <w:rsid w:val="00AA6FBF"/>
    <w:rsid w:val="00AB2CB8"/>
    <w:rsid w:val="00AB4513"/>
    <w:rsid w:val="00AB4617"/>
    <w:rsid w:val="00AB4B66"/>
    <w:rsid w:val="00AC1B2C"/>
    <w:rsid w:val="00AC3264"/>
    <w:rsid w:val="00AC46AD"/>
    <w:rsid w:val="00AC4D2D"/>
    <w:rsid w:val="00AC58EC"/>
    <w:rsid w:val="00AC7282"/>
    <w:rsid w:val="00AC7961"/>
    <w:rsid w:val="00AD314E"/>
    <w:rsid w:val="00AD5440"/>
    <w:rsid w:val="00AD5FCD"/>
    <w:rsid w:val="00AD61F1"/>
    <w:rsid w:val="00AD6B48"/>
    <w:rsid w:val="00AD7A3A"/>
    <w:rsid w:val="00AE1BF1"/>
    <w:rsid w:val="00AE23AB"/>
    <w:rsid w:val="00AE58FB"/>
    <w:rsid w:val="00AE5AF0"/>
    <w:rsid w:val="00AE663D"/>
    <w:rsid w:val="00AE73B3"/>
    <w:rsid w:val="00AF07E7"/>
    <w:rsid w:val="00AF0DD2"/>
    <w:rsid w:val="00AF0F9C"/>
    <w:rsid w:val="00AF31E1"/>
    <w:rsid w:val="00AF3BBA"/>
    <w:rsid w:val="00AF4231"/>
    <w:rsid w:val="00B00B0E"/>
    <w:rsid w:val="00B00B26"/>
    <w:rsid w:val="00B01957"/>
    <w:rsid w:val="00B02385"/>
    <w:rsid w:val="00B02F9D"/>
    <w:rsid w:val="00B05766"/>
    <w:rsid w:val="00B107CB"/>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1C7"/>
    <w:rsid w:val="00B52AF0"/>
    <w:rsid w:val="00B53D5F"/>
    <w:rsid w:val="00B54051"/>
    <w:rsid w:val="00B561BD"/>
    <w:rsid w:val="00B56E03"/>
    <w:rsid w:val="00B62765"/>
    <w:rsid w:val="00B64042"/>
    <w:rsid w:val="00B65DF5"/>
    <w:rsid w:val="00B7472B"/>
    <w:rsid w:val="00B7679F"/>
    <w:rsid w:val="00B77159"/>
    <w:rsid w:val="00B8080B"/>
    <w:rsid w:val="00B82223"/>
    <w:rsid w:val="00B83080"/>
    <w:rsid w:val="00B87BA5"/>
    <w:rsid w:val="00B87C39"/>
    <w:rsid w:val="00B93891"/>
    <w:rsid w:val="00B94FDF"/>
    <w:rsid w:val="00B9562D"/>
    <w:rsid w:val="00BA21DA"/>
    <w:rsid w:val="00BA2B60"/>
    <w:rsid w:val="00BA3C93"/>
    <w:rsid w:val="00BA4665"/>
    <w:rsid w:val="00BA5431"/>
    <w:rsid w:val="00BA7FD7"/>
    <w:rsid w:val="00BB084B"/>
    <w:rsid w:val="00BB1681"/>
    <w:rsid w:val="00BB2FB2"/>
    <w:rsid w:val="00BB3304"/>
    <w:rsid w:val="00BB6551"/>
    <w:rsid w:val="00BC4A10"/>
    <w:rsid w:val="00BD30F4"/>
    <w:rsid w:val="00BD3446"/>
    <w:rsid w:val="00BD59CF"/>
    <w:rsid w:val="00BD66D8"/>
    <w:rsid w:val="00BE1312"/>
    <w:rsid w:val="00BE1F1B"/>
    <w:rsid w:val="00BE3F89"/>
    <w:rsid w:val="00BE47B5"/>
    <w:rsid w:val="00BE5FCE"/>
    <w:rsid w:val="00BE695C"/>
    <w:rsid w:val="00BF5060"/>
    <w:rsid w:val="00C0079E"/>
    <w:rsid w:val="00C0544E"/>
    <w:rsid w:val="00C0572A"/>
    <w:rsid w:val="00C13ABC"/>
    <w:rsid w:val="00C13EBD"/>
    <w:rsid w:val="00C1631B"/>
    <w:rsid w:val="00C163AB"/>
    <w:rsid w:val="00C170F0"/>
    <w:rsid w:val="00C25962"/>
    <w:rsid w:val="00C25FA6"/>
    <w:rsid w:val="00C3099D"/>
    <w:rsid w:val="00C33011"/>
    <w:rsid w:val="00C362C1"/>
    <w:rsid w:val="00C3778C"/>
    <w:rsid w:val="00C41950"/>
    <w:rsid w:val="00C42C3B"/>
    <w:rsid w:val="00C51672"/>
    <w:rsid w:val="00C538A9"/>
    <w:rsid w:val="00C53B5A"/>
    <w:rsid w:val="00C53E41"/>
    <w:rsid w:val="00C54909"/>
    <w:rsid w:val="00C54AF3"/>
    <w:rsid w:val="00C54F5A"/>
    <w:rsid w:val="00C55E89"/>
    <w:rsid w:val="00C560E8"/>
    <w:rsid w:val="00C569B4"/>
    <w:rsid w:val="00C57DDE"/>
    <w:rsid w:val="00C61468"/>
    <w:rsid w:val="00C61A97"/>
    <w:rsid w:val="00C61E44"/>
    <w:rsid w:val="00C64FF3"/>
    <w:rsid w:val="00C662AD"/>
    <w:rsid w:val="00C679EB"/>
    <w:rsid w:val="00C67A92"/>
    <w:rsid w:val="00C71280"/>
    <w:rsid w:val="00C717BF"/>
    <w:rsid w:val="00C76178"/>
    <w:rsid w:val="00C84560"/>
    <w:rsid w:val="00C86679"/>
    <w:rsid w:val="00C8792F"/>
    <w:rsid w:val="00C90472"/>
    <w:rsid w:val="00C91D6E"/>
    <w:rsid w:val="00C92D71"/>
    <w:rsid w:val="00CA489E"/>
    <w:rsid w:val="00CA55A6"/>
    <w:rsid w:val="00CB0279"/>
    <w:rsid w:val="00CB666B"/>
    <w:rsid w:val="00CB734B"/>
    <w:rsid w:val="00CC3CD6"/>
    <w:rsid w:val="00CC41B6"/>
    <w:rsid w:val="00CC7ADA"/>
    <w:rsid w:val="00CC7F1D"/>
    <w:rsid w:val="00CD0A88"/>
    <w:rsid w:val="00CD125D"/>
    <w:rsid w:val="00CD283C"/>
    <w:rsid w:val="00CD3641"/>
    <w:rsid w:val="00CD66EA"/>
    <w:rsid w:val="00CD7432"/>
    <w:rsid w:val="00CE0CB0"/>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17F8F"/>
    <w:rsid w:val="00D25A39"/>
    <w:rsid w:val="00D27CFA"/>
    <w:rsid w:val="00D310FA"/>
    <w:rsid w:val="00D325C6"/>
    <w:rsid w:val="00D37213"/>
    <w:rsid w:val="00D40FF2"/>
    <w:rsid w:val="00D4360D"/>
    <w:rsid w:val="00D5015C"/>
    <w:rsid w:val="00D5607F"/>
    <w:rsid w:val="00D61388"/>
    <w:rsid w:val="00D61A54"/>
    <w:rsid w:val="00D62108"/>
    <w:rsid w:val="00D62DD7"/>
    <w:rsid w:val="00D64AA4"/>
    <w:rsid w:val="00D64DEA"/>
    <w:rsid w:val="00D64F84"/>
    <w:rsid w:val="00D663CD"/>
    <w:rsid w:val="00D6726A"/>
    <w:rsid w:val="00D7001B"/>
    <w:rsid w:val="00D7160D"/>
    <w:rsid w:val="00D7168E"/>
    <w:rsid w:val="00D71E57"/>
    <w:rsid w:val="00D72D27"/>
    <w:rsid w:val="00D7689F"/>
    <w:rsid w:val="00D7786B"/>
    <w:rsid w:val="00D80893"/>
    <w:rsid w:val="00D82519"/>
    <w:rsid w:val="00D84854"/>
    <w:rsid w:val="00D86699"/>
    <w:rsid w:val="00D875C2"/>
    <w:rsid w:val="00D924AE"/>
    <w:rsid w:val="00D92CF1"/>
    <w:rsid w:val="00D92D38"/>
    <w:rsid w:val="00D950F5"/>
    <w:rsid w:val="00D97379"/>
    <w:rsid w:val="00DA2995"/>
    <w:rsid w:val="00DA4752"/>
    <w:rsid w:val="00DA4C09"/>
    <w:rsid w:val="00DA61F3"/>
    <w:rsid w:val="00DA7CB3"/>
    <w:rsid w:val="00DB0D00"/>
    <w:rsid w:val="00DB0F93"/>
    <w:rsid w:val="00DB1A67"/>
    <w:rsid w:val="00DB3721"/>
    <w:rsid w:val="00DB5074"/>
    <w:rsid w:val="00DB650D"/>
    <w:rsid w:val="00DC0281"/>
    <w:rsid w:val="00DC1930"/>
    <w:rsid w:val="00DC1C76"/>
    <w:rsid w:val="00DC4DBF"/>
    <w:rsid w:val="00DC4E19"/>
    <w:rsid w:val="00DC65FE"/>
    <w:rsid w:val="00DC7981"/>
    <w:rsid w:val="00DD4C07"/>
    <w:rsid w:val="00DD577D"/>
    <w:rsid w:val="00DD5ADC"/>
    <w:rsid w:val="00DD62B0"/>
    <w:rsid w:val="00DD6659"/>
    <w:rsid w:val="00DE1093"/>
    <w:rsid w:val="00DE4EFA"/>
    <w:rsid w:val="00DE5520"/>
    <w:rsid w:val="00DE563D"/>
    <w:rsid w:val="00DE7AB5"/>
    <w:rsid w:val="00DF0152"/>
    <w:rsid w:val="00DF1958"/>
    <w:rsid w:val="00E04818"/>
    <w:rsid w:val="00E06442"/>
    <w:rsid w:val="00E06952"/>
    <w:rsid w:val="00E11AE2"/>
    <w:rsid w:val="00E11E61"/>
    <w:rsid w:val="00E157B2"/>
    <w:rsid w:val="00E15DA8"/>
    <w:rsid w:val="00E16055"/>
    <w:rsid w:val="00E2332D"/>
    <w:rsid w:val="00E23993"/>
    <w:rsid w:val="00E2574F"/>
    <w:rsid w:val="00E25951"/>
    <w:rsid w:val="00E25B8C"/>
    <w:rsid w:val="00E31CF6"/>
    <w:rsid w:val="00E34A4A"/>
    <w:rsid w:val="00E35AFC"/>
    <w:rsid w:val="00E41D39"/>
    <w:rsid w:val="00E50A02"/>
    <w:rsid w:val="00E54106"/>
    <w:rsid w:val="00E54697"/>
    <w:rsid w:val="00E57A08"/>
    <w:rsid w:val="00E62B77"/>
    <w:rsid w:val="00E63631"/>
    <w:rsid w:val="00E64C2A"/>
    <w:rsid w:val="00E65C85"/>
    <w:rsid w:val="00E66199"/>
    <w:rsid w:val="00E70526"/>
    <w:rsid w:val="00E754B4"/>
    <w:rsid w:val="00E755EC"/>
    <w:rsid w:val="00E7624D"/>
    <w:rsid w:val="00E81724"/>
    <w:rsid w:val="00E819A4"/>
    <w:rsid w:val="00E833FA"/>
    <w:rsid w:val="00E84B74"/>
    <w:rsid w:val="00E87066"/>
    <w:rsid w:val="00E917A7"/>
    <w:rsid w:val="00E93DC9"/>
    <w:rsid w:val="00E966BF"/>
    <w:rsid w:val="00EA0C04"/>
    <w:rsid w:val="00EA3D42"/>
    <w:rsid w:val="00EA6B1B"/>
    <w:rsid w:val="00EB1CBD"/>
    <w:rsid w:val="00EB3A34"/>
    <w:rsid w:val="00EB3C3F"/>
    <w:rsid w:val="00EC04F1"/>
    <w:rsid w:val="00EC237F"/>
    <w:rsid w:val="00EC515A"/>
    <w:rsid w:val="00EC573A"/>
    <w:rsid w:val="00EC6A78"/>
    <w:rsid w:val="00ED35C8"/>
    <w:rsid w:val="00ED3968"/>
    <w:rsid w:val="00ED7323"/>
    <w:rsid w:val="00EE28F3"/>
    <w:rsid w:val="00EE50D1"/>
    <w:rsid w:val="00EE7614"/>
    <w:rsid w:val="00EF5110"/>
    <w:rsid w:val="00EF5890"/>
    <w:rsid w:val="00EF76BA"/>
    <w:rsid w:val="00F0231A"/>
    <w:rsid w:val="00F03463"/>
    <w:rsid w:val="00F036B7"/>
    <w:rsid w:val="00F04AF3"/>
    <w:rsid w:val="00F0700F"/>
    <w:rsid w:val="00F07F1F"/>
    <w:rsid w:val="00F10411"/>
    <w:rsid w:val="00F10A9A"/>
    <w:rsid w:val="00F11B2D"/>
    <w:rsid w:val="00F121C2"/>
    <w:rsid w:val="00F1485B"/>
    <w:rsid w:val="00F15882"/>
    <w:rsid w:val="00F170C7"/>
    <w:rsid w:val="00F171E0"/>
    <w:rsid w:val="00F20BD3"/>
    <w:rsid w:val="00F22A8C"/>
    <w:rsid w:val="00F322E9"/>
    <w:rsid w:val="00F3231B"/>
    <w:rsid w:val="00F33808"/>
    <w:rsid w:val="00F373A5"/>
    <w:rsid w:val="00F37864"/>
    <w:rsid w:val="00F404F9"/>
    <w:rsid w:val="00F44B0A"/>
    <w:rsid w:val="00F47559"/>
    <w:rsid w:val="00F50B30"/>
    <w:rsid w:val="00F51F5F"/>
    <w:rsid w:val="00F52D75"/>
    <w:rsid w:val="00F55582"/>
    <w:rsid w:val="00F564E4"/>
    <w:rsid w:val="00F57647"/>
    <w:rsid w:val="00F615A7"/>
    <w:rsid w:val="00F62144"/>
    <w:rsid w:val="00F62A14"/>
    <w:rsid w:val="00F644AB"/>
    <w:rsid w:val="00F64C7B"/>
    <w:rsid w:val="00F676DD"/>
    <w:rsid w:val="00F67AB6"/>
    <w:rsid w:val="00F70028"/>
    <w:rsid w:val="00F70434"/>
    <w:rsid w:val="00F75A26"/>
    <w:rsid w:val="00F76706"/>
    <w:rsid w:val="00F77D6D"/>
    <w:rsid w:val="00F80206"/>
    <w:rsid w:val="00F80242"/>
    <w:rsid w:val="00F83034"/>
    <w:rsid w:val="00F83FAD"/>
    <w:rsid w:val="00F844C6"/>
    <w:rsid w:val="00F92FA6"/>
    <w:rsid w:val="00F9353B"/>
    <w:rsid w:val="00F937F1"/>
    <w:rsid w:val="00F93B71"/>
    <w:rsid w:val="00F952A0"/>
    <w:rsid w:val="00FA31B1"/>
    <w:rsid w:val="00FA3320"/>
    <w:rsid w:val="00FA3C7F"/>
    <w:rsid w:val="00FA6246"/>
    <w:rsid w:val="00FB24ED"/>
    <w:rsid w:val="00FB3304"/>
    <w:rsid w:val="00FB5005"/>
    <w:rsid w:val="00FB60FE"/>
    <w:rsid w:val="00FB74E2"/>
    <w:rsid w:val="00FB778B"/>
    <w:rsid w:val="00FD3480"/>
    <w:rsid w:val="00FD5614"/>
    <w:rsid w:val="00FD58E5"/>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1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uiPriority w:val="99"/>
    <w:qFormat/>
    <w:rsid w:val="00CA489E"/>
    <w:pPr>
      <w:numPr>
        <w:numId w:val="7"/>
      </w:numPr>
      <w:tabs>
        <w:tab w:val="clear" w:pos="786"/>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uiPriority w:val="99"/>
    <w:qFormat/>
    <w:rsid w:val="00CA489E"/>
    <w:pPr>
      <w:numPr>
        <w:numId w:val="7"/>
      </w:numPr>
      <w:tabs>
        <w:tab w:val="clear" w:pos="786"/>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78811753">
      <w:bodyDiv w:val="1"/>
      <w:marLeft w:val="0"/>
      <w:marRight w:val="0"/>
      <w:marTop w:val="0"/>
      <w:marBottom w:val="0"/>
      <w:divBdr>
        <w:top w:val="none" w:sz="0" w:space="0" w:color="auto"/>
        <w:left w:val="none" w:sz="0" w:space="0" w:color="auto"/>
        <w:bottom w:val="none" w:sz="0" w:space="0" w:color="auto"/>
        <w:right w:val="none" w:sz="0" w:space="0" w:color="auto"/>
      </w:divBdr>
    </w:div>
    <w:div w:id="1824471500">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042D84-5E34-446B-9012-6A4BA912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1796AF6E</Template>
  <TotalTime>0</TotalTime>
  <Pages>20</Pages>
  <Words>4686</Words>
  <Characters>26716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2017-07-02T23:37:00Z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