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0B3A177D" wp14:editId="4EA3C756">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7C231F88" wp14:editId="6A7D96D2">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8C6DC6" w:rsidRDefault="008C6DC6" w:rsidP="00D5015C">
          <w:pPr>
            <w:pStyle w:val="ReportSubtitle"/>
          </w:pPr>
          <w:r w:rsidRPr="008C6DC6">
            <w:t>DRAFT DECISION</w:t>
          </w:r>
        </w:p>
        <w:p w:rsidR="00674CCA" w:rsidRDefault="00674CCA" w:rsidP="00D5015C">
          <w:pPr>
            <w:pStyle w:val="ReportSubtitle"/>
          </w:pPr>
          <w:r>
            <w:t>Multinet G</w:t>
          </w:r>
          <w:r w:rsidR="00D5015C">
            <w:t xml:space="preserve">as </w:t>
          </w:r>
        </w:p>
        <w:p w:rsidR="00D5015C" w:rsidRDefault="00674CCA" w:rsidP="00D5015C">
          <w:pPr>
            <w:pStyle w:val="ReportSubtitle"/>
          </w:pPr>
          <w:r>
            <w:t>A</w:t>
          </w:r>
          <w:r w:rsidR="00D5015C">
            <w:t>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CA541D">
            <w:t>7</w:t>
          </w:r>
          <w:r w:rsidR="000474DF">
            <w:t xml:space="preserve"> </w:t>
          </w:r>
          <w:r w:rsidR="00185BA5">
            <w:t>–</w:t>
          </w:r>
          <w:r w:rsidR="000474DF">
            <w:t xml:space="preserve"> </w:t>
          </w:r>
          <w:r w:rsidR="00CA541D">
            <w:t>Operating expenditure</w:t>
          </w:r>
        </w:p>
        <w:p w:rsidR="00D5015C" w:rsidRDefault="00D5015C" w:rsidP="00327A1E">
          <w:pPr>
            <w:pStyle w:val="ReportDate"/>
          </w:pPr>
        </w:p>
        <w:p w:rsidR="00D5015C" w:rsidRDefault="00D5015C" w:rsidP="00327A1E">
          <w:pPr>
            <w:pStyle w:val="ReportDate"/>
          </w:pPr>
        </w:p>
        <w:p w:rsidR="000A6C7B" w:rsidRPr="00327A1E" w:rsidRDefault="00E02ED8" w:rsidP="00327A1E">
          <w:pPr>
            <w:pStyle w:val="ReportDate"/>
          </w:pPr>
          <w:r>
            <w:t>Ju</w:t>
          </w:r>
          <w:r w:rsidR="00FB4488">
            <w:t>ly</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CA541D">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780B6E">
        <w:t>1300 585 165</w:t>
      </w:r>
      <w:r>
        <w:b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838077"/>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674CCA">
        <w:t>Multinet Gas</w:t>
      </w:r>
      <w:r>
        <w:t xml:space="preserve">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761454" w:rsidRPr="009D3906" w:rsidRDefault="00761454" w:rsidP="00761454"/>
    <w:p w:rsidR="00CE2A23" w:rsidRPr="00CE2A23" w:rsidRDefault="00CE2A23" w:rsidP="00CE2A23">
      <w:bookmarkStart w:id="4" w:name="_Toc404354899"/>
      <w:bookmarkStart w:id="5" w:name="_Toc404353070"/>
      <w:bookmarkStart w:id="6" w:name="_Toc404684201"/>
      <w:bookmarkStart w:id="7" w:name="_Toc404700923"/>
      <w:r>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38078"/>
      <w:r>
        <w:t>Contents</w:t>
      </w:r>
      <w:bookmarkEnd w:id="8"/>
      <w:bookmarkEnd w:id="9"/>
    </w:p>
    <w:p w:rsidR="00CE2A23" w:rsidRDefault="00CE2A23" w:rsidP="00CE2A23"/>
    <w:sdt>
      <w:sdtPr>
        <w:id w:val="1269200322"/>
        <w:docPartObj>
          <w:docPartGallery w:val="Table of Contents"/>
          <w:docPartUnique/>
        </w:docPartObj>
      </w:sdtPr>
      <w:sdtEndPr/>
      <w:sdtContent>
        <w:p w:rsidR="00257B7A" w:rsidRDefault="006E762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838077" w:history="1">
            <w:r w:rsidR="00257B7A" w:rsidRPr="0066403F">
              <w:rPr>
                <w:rStyle w:val="Hyperlink"/>
              </w:rPr>
              <w:t>Note</w:t>
            </w:r>
            <w:r w:rsidR="00257B7A">
              <w:rPr>
                <w:webHidden/>
              </w:rPr>
              <w:tab/>
            </w:r>
            <w:r w:rsidR="00257B7A">
              <w:rPr>
                <w:webHidden/>
              </w:rPr>
              <w:fldChar w:fldCharType="begin"/>
            </w:r>
            <w:r w:rsidR="00257B7A">
              <w:rPr>
                <w:webHidden/>
              </w:rPr>
              <w:instrText xml:space="preserve"> PAGEREF _Toc486838077 \h </w:instrText>
            </w:r>
            <w:r w:rsidR="00257B7A">
              <w:rPr>
                <w:webHidden/>
              </w:rPr>
            </w:r>
            <w:r w:rsidR="00257B7A">
              <w:rPr>
                <w:webHidden/>
              </w:rPr>
              <w:fldChar w:fldCharType="separate"/>
            </w:r>
            <w:r w:rsidR="009270AF">
              <w:rPr>
                <w:webHidden/>
              </w:rPr>
              <w:t>7-2</w:t>
            </w:r>
            <w:r w:rsidR="00257B7A">
              <w:rPr>
                <w:webHidden/>
              </w:rPr>
              <w:fldChar w:fldCharType="end"/>
            </w:r>
          </w:hyperlink>
        </w:p>
        <w:p w:rsidR="00257B7A" w:rsidRDefault="00257B7A">
          <w:pPr>
            <w:pStyle w:val="TOC1"/>
            <w:rPr>
              <w:rFonts w:asciiTheme="minorHAnsi" w:eastAsiaTheme="minorEastAsia" w:hAnsiTheme="minorHAnsi"/>
              <w:b w:val="0"/>
              <w:color w:val="auto"/>
              <w:sz w:val="22"/>
              <w:lang w:val="en-AU" w:eastAsia="en-AU"/>
            </w:rPr>
          </w:pPr>
          <w:hyperlink w:anchor="_Toc486838078" w:history="1">
            <w:r w:rsidRPr="0066403F">
              <w:rPr>
                <w:rStyle w:val="Hyperlink"/>
              </w:rPr>
              <w:t>Contents</w:t>
            </w:r>
            <w:r>
              <w:rPr>
                <w:webHidden/>
              </w:rPr>
              <w:tab/>
            </w:r>
            <w:r>
              <w:rPr>
                <w:webHidden/>
              </w:rPr>
              <w:fldChar w:fldCharType="begin"/>
            </w:r>
            <w:r>
              <w:rPr>
                <w:webHidden/>
              </w:rPr>
              <w:instrText xml:space="preserve"> PAGEREF _Toc486838078 \h </w:instrText>
            </w:r>
            <w:r>
              <w:rPr>
                <w:webHidden/>
              </w:rPr>
            </w:r>
            <w:r>
              <w:rPr>
                <w:webHidden/>
              </w:rPr>
              <w:fldChar w:fldCharType="separate"/>
            </w:r>
            <w:r w:rsidR="009270AF">
              <w:rPr>
                <w:webHidden/>
              </w:rPr>
              <w:t>7-3</w:t>
            </w:r>
            <w:r>
              <w:rPr>
                <w:webHidden/>
              </w:rPr>
              <w:fldChar w:fldCharType="end"/>
            </w:r>
          </w:hyperlink>
        </w:p>
        <w:p w:rsidR="00257B7A" w:rsidRDefault="00257B7A">
          <w:pPr>
            <w:pStyle w:val="TOC1"/>
            <w:rPr>
              <w:rFonts w:asciiTheme="minorHAnsi" w:eastAsiaTheme="minorEastAsia" w:hAnsiTheme="minorHAnsi"/>
              <w:b w:val="0"/>
              <w:color w:val="auto"/>
              <w:sz w:val="22"/>
              <w:lang w:val="en-AU" w:eastAsia="en-AU"/>
            </w:rPr>
          </w:pPr>
          <w:hyperlink w:anchor="_Toc486838079" w:history="1">
            <w:r w:rsidRPr="0066403F">
              <w:rPr>
                <w:rStyle w:val="Hyperlink"/>
              </w:rPr>
              <w:t>Shortened forms</w:t>
            </w:r>
            <w:r>
              <w:rPr>
                <w:webHidden/>
              </w:rPr>
              <w:tab/>
            </w:r>
            <w:r>
              <w:rPr>
                <w:webHidden/>
              </w:rPr>
              <w:fldChar w:fldCharType="begin"/>
            </w:r>
            <w:r>
              <w:rPr>
                <w:webHidden/>
              </w:rPr>
              <w:instrText xml:space="preserve"> PAGEREF _Toc486838079 \h </w:instrText>
            </w:r>
            <w:r>
              <w:rPr>
                <w:webHidden/>
              </w:rPr>
            </w:r>
            <w:r>
              <w:rPr>
                <w:webHidden/>
              </w:rPr>
              <w:fldChar w:fldCharType="separate"/>
            </w:r>
            <w:r w:rsidR="009270AF">
              <w:rPr>
                <w:webHidden/>
              </w:rPr>
              <w:t>7-4</w:t>
            </w:r>
            <w:r>
              <w:rPr>
                <w:webHidden/>
              </w:rPr>
              <w:fldChar w:fldCharType="end"/>
            </w:r>
          </w:hyperlink>
        </w:p>
        <w:p w:rsidR="00257B7A" w:rsidRDefault="00257B7A">
          <w:pPr>
            <w:pStyle w:val="TOC1"/>
            <w:rPr>
              <w:rFonts w:asciiTheme="minorHAnsi" w:eastAsiaTheme="minorEastAsia" w:hAnsiTheme="minorHAnsi"/>
              <w:b w:val="0"/>
              <w:color w:val="auto"/>
              <w:sz w:val="22"/>
              <w:lang w:val="en-AU" w:eastAsia="en-AU"/>
            </w:rPr>
          </w:pPr>
          <w:hyperlink w:anchor="_Toc486838080" w:history="1">
            <w:r w:rsidRPr="0066403F">
              <w:rPr>
                <w:rStyle w:val="Hyperlink"/>
              </w:rPr>
              <w:t>7</w:t>
            </w:r>
            <w:r>
              <w:rPr>
                <w:rFonts w:asciiTheme="minorHAnsi" w:eastAsiaTheme="minorEastAsia" w:hAnsiTheme="minorHAnsi"/>
                <w:b w:val="0"/>
                <w:color w:val="auto"/>
                <w:sz w:val="22"/>
                <w:lang w:val="en-AU" w:eastAsia="en-AU"/>
              </w:rPr>
              <w:tab/>
            </w:r>
            <w:r w:rsidRPr="0066403F">
              <w:rPr>
                <w:rStyle w:val="Hyperlink"/>
              </w:rPr>
              <w:t>Operating expenditure</w:t>
            </w:r>
            <w:r>
              <w:rPr>
                <w:webHidden/>
              </w:rPr>
              <w:tab/>
            </w:r>
            <w:r>
              <w:rPr>
                <w:webHidden/>
              </w:rPr>
              <w:fldChar w:fldCharType="begin"/>
            </w:r>
            <w:r>
              <w:rPr>
                <w:webHidden/>
              </w:rPr>
              <w:instrText xml:space="preserve"> PAGEREF _Toc486838080 \h </w:instrText>
            </w:r>
            <w:r>
              <w:rPr>
                <w:webHidden/>
              </w:rPr>
            </w:r>
            <w:r>
              <w:rPr>
                <w:webHidden/>
              </w:rPr>
              <w:fldChar w:fldCharType="separate"/>
            </w:r>
            <w:r w:rsidR="009270AF">
              <w:rPr>
                <w:webHidden/>
              </w:rPr>
              <w:t>7-5</w:t>
            </w:r>
            <w:r>
              <w:rPr>
                <w:webHidden/>
              </w:rPr>
              <w:fldChar w:fldCharType="end"/>
            </w:r>
          </w:hyperlink>
        </w:p>
        <w:p w:rsidR="00257B7A" w:rsidRDefault="00257B7A">
          <w:pPr>
            <w:pStyle w:val="TOC2"/>
            <w:rPr>
              <w:rFonts w:asciiTheme="minorHAnsi" w:eastAsiaTheme="minorEastAsia" w:hAnsiTheme="minorHAnsi"/>
              <w:b w:val="0"/>
              <w:color w:val="auto"/>
              <w:sz w:val="22"/>
              <w:lang w:eastAsia="en-AU"/>
            </w:rPr>
          </w:pPr>
          <w:hyperlink w:anchor="_Toc486838081" w:history="1">
            <w:r w:rsidRPr="0066403F">
              <w:rPr>
                <w:rStyle w:val="Hyperlink"/>
              </w:rPr>
              <w:t>7.1</w:t>
            </w:r>
            <w:r>
              <w:rPr>
                <w:rFonts w:asciiTheme="minorHAnsi" w:eastAsiaTheme="minorEastAsia" w:hAnsiTheme="minorHAnsi"/>
                <w:b w:val="0"/>
                <w:color w:val="auto"/>
                <w:sz w:val="22"/>
                <w:lang w:eastAsia="en-AU"/>
              </w:rPr>
              <w:tab/>
            </w:r>
            <w:r w:rsidRPr="0066403F">
              <w:rPr>
                <w:rStyle w:val="Hyperlink"/>
              </w:rPr>
              <w:t>Draft decision</w:t>
            </w:r>
            <w:r>
              <w:rPr>
                <w:webHidden/>
              </w:rPr>
              <w:tab/>
            </w:r>
            <w:r>
              <w:rPr>
                <w:webHidden/>
              </w:rPr>
              <w:fldChar w:fldCharType="begin"/>
            </w:r>
            <w:r>
              <w:rPr>
                <w:webHidden/>
              </w:rPr>
              <w:instrText xml:space="preserve"> PAGEREF _Toc486838081 \h </w:instrText>
            </w:r>
            <w:r>
              <w:rPr>
                <w:webHidden/>
              </w:rPr>
            </w:r>
            <w:r>
              <w:rPr>
                <w:webHidden/>
              </w:rPr>
              <w:fldChar w:fldCharType="separate"/>
            </w:r>
            <w:r w:rsidR="009270AF">
              <w:rPr>
                <w:webHidden/>
              </w:rPr>
              <w:t>7-5</w:t>
            </w:r>
            <w:r>
              <w:rPr>
                <w:webHidden/>
              </w:rPr>
              <w:fldChar w:fldCharType="end"/>
            </w:r>
          </w:hyperlink>
        </w:p>
        <w:p w:rsidR="00257B7A" w:rsidRDefault="00257B7A">
          <w:pPr>
            <w:pStyle w:val="TOC2"/>
            <w:rPr>
              <w:rFonts w:asciiTheme="minorHAnsi" w:eastAsiaTheme="minorEastAsia" w:hAnsiTheme="minorHAnsi"/>
              <w:b w:val="0"/>
              <w:color w:val="auto"/>
              <w:sz w:val="22"/>
              <w:lang w:eastAsia="en-AU"/>
            </w:rPr>
          </w:pPr>
          <w:hyperlink w:anchor="_Toc486838082" w:history="1">
            <w:r w:rsidRPr="0066403F">
              <w:rPr>
                <w:rStyle w:val="Hyperlink"/>
              </w:rPr>
              <w:t>7.2</w:t>
            </w:r>
            <w:r>
              <w:rPr>
                <w:rFonts w:asciiTheme="minorHAnsi" w:eastAsiaTheme="minorEastAsia" w:hAnsiTheme="minorHAnsi"/>
                <w:b w:val="0"/>
                <w:color w:val="auto"/>
                <w:sz w:val="22"/>
                <w:lang w:eastAsia="en-AU"/>
              </w:rPr>
              <w:tab/>
            </w:r>
            <w:r w:rsidRPr="0066403F">
              <w:rPr>
                <w:rStyle w:val="Hyperlink"/>
              </w:rPr>
              <w:t>Multinet's proposal</w:t>
            </w:r>
            <w:r>
              <w:rPr>
                <w:webHidden/>
              </w:rPr>
              <w:tab/>
            </w:r>
            <w:r>
              <w:rPr>
                <w:webHidden/>
              </w:rPr>
              <w:fldChar w:fldCharType="begin"/>
            </w:r>
            <w:r>
              <w:rPr>
                <w:webHidden/>
              </w:rPr>
              <w:instrText xml:space="preserve"> PAGEREF _Toc486838082 \h </w:instrText>
            </w:r>
            <w:r>
              <w:rPr>
                <w:webHidden/>
              </w:rPr>
            </w:r>
            <w:r>
              <w:rPr>
                <w:webHidden/>
              </w:rPr>
              <w:fldChar w:fldCharType="separate"/>
            </w:r>
            <w:r w:rsidR="009270AF">
              <w:rPr>
                <w:webHidden/>
              </w:rPr>
              <w:t>7-6</w:t>
            </w:r>
            <w:r>
              <w:rPr>
                <w:webHidden/>
              </w:rPr>
              <w:fldChar w:fldCharType="end"/>
            </w:r>
          </w:hyperlink>
        </w:p>
        <w:p w:rsidR="00257B7A" w:rsidRDefault="00257B7A">
          <w:pPr>
            <w:pStyle w:val="TOC3"/>
            <w:rPr>
              <w:rFonts w:asciiTheme="minorHAnsi" w:eastAsiaTheme="minorEastAsia" w:hAnsiTheme="minorHAnsi"/>
              <w:lang w:eastAsia="en-AU"/>
            </w:rPr>
          </w:pPr>
          <w:hyperlink w:anchor="_Toc486838083" w:history="1">
            <w:r w:rsidRPr="0066403F">
              <w:rPr>
                <w:rStyle w:val="Hyperlink"/>
              </w:rPr>
              <w:t>7.2.1</w:t>
            </w:r>
            <w:r>
              <w:rPr>
                <w:rFonts w:asciiTheme="minorHAnsi" w:eastAsiaTheme="minorEastAsia" w:hAnsiTheme="minorHAnsi"/>
                <w:lang w:eastAsia="en-AU"/>
              </w:rPr>
              <w:tab/>
            </w:r>
            <w:r w:rsidRPr="0066403F">
              <w:rPr>
                <w:rStyle w:val="Hyperlink"/>
              </w:rPr>
              <w:t>Submissions on Multinet's proposal</w:t>
            </w:r>
            <w:r>
              <w:rPr>
                <w:webHidden/>
              </w:rPr>
              <w:tab/>
            </w:r>
            <w:r>
              <w:rPr>
                <w:webHidden/>
              </w:rPr>
              <w:fldChar w:fldCharType="begin"/>
            </w:r>
            <w:r>
              <w:rPr>
                <w:webHidden/>
              </w:rPr>
              <w:instrText xml:space="preserve"> PAGEREF _Toc486838083 \h </w:instrText>
            </w:r>
            <w:r>
              <w:rPr>
                <w:webHidden/>
              </w:rPr>
            </w:r>
            <w:r>
              <w:rPr>
                <w:webHidden/>
              </w:rPr>
              <w:fldChar w:fldCharType="separate"/>
            </w:r>
            <w:r w:rsidR="009270AF">
              <w:rPr>
                <w:webHidden/>
              </w:rPr>
              <w:t>7-8</w:t>
            </w:r>
            <w:r>
              <w:rPr>
                <w:webHidden/>
              </w:rPr>
              <w:fldChar w:fldCharType="end"/>
            </w:r>
          </w:hyperlink>
        </w:p>
        <w:p w:rsidR="00257B7A" w:rsidRDefault="00257B7A">
          <w:pPr>
            <w:pStyle w:val="TOC2"/>
            <w:rPr>
              <w:rFonts w:asciiTheme="minorHAnsi" w:eastAsiaTheme="minorEastAsia" w:hAnsiTheme="minorHAnsi"/>
              <w:b w:val="0"/>
              <w:color w:val="auto"/>
              <w:sz w:val="22"/>
              <w:lang w:eastAsia="en-AU"/>
            </w:rPr>
          </w:pPr>
          <w:hyperlink w:anchor="_Toc486838084" w:history="1">
            <w:r w:rsidRPr="0066403F">
              <w:rPr>
                <w:rStyle w:val="Hyperlink"/>
              </w:rPr>
              <w:t>7.3</w:t>
            </w:r>
            <w:r>
              <w:rPr>
                <w:rFonts w:asciiTheme="minorHAnsi" w:eastAsiaTheme="minorEastAsia" w:hAnsiTheme="minorHAnsi"/>
                <w:b w:val="0"/>
                <w:color w:val="auto"/>
                <w:sz w:val="22"/>
                <w:lang w:eastAsia="en-AU"/>
              </w:rPr>
              <w:tab/>
            </w:r>
            <w:r w:rsidRPr="0066403F">
              <w:rPr>
                <w:rStyle w:val="Hyperlink"/>
              </w:rPr>
              <w:t>Our assessment approach</w:t>
            </w:r>
            <w:r>
              <w:rPr>
                <w:webHidden/>
              </w:rPr>
              <w:tab/>
            </w:r>
            <w:r>
              <w:rPr>
                <w:webHidden/>
              </w:rPr>
              <w:fldChar w:fldCharType="begin"/>
            </w:r>
            <w:r>
              <w:rPr>
                <w:webHidden/>
              </w:rPr>
              <w:instrText xml:space="preserve"> PAGEREF _Toc486838084 \h </w:instrText>
            </w:r>
            <w:r>
              <w:rPr>
                <w:webHidden/>
              </w:rPr>
            </w:r>
            <w:r>
              <w:rPr>
                <w:webHidden/>
              </w:rPr>
              <w:fldChar w:fldCharType="separate"/>
            </w:r>
            <w:r w:rsidR="009270AF">
              <w:rPr>
                <w:webHidden/>
              </w:rPr>
              <w:t>7-8</w:t>
            </w:r>
            <w:r>
              <w:rPr>
                <w:webHidden/>
              </w:rPr>
              <w:fldChar w:fldCharType="end"/>
            </w:r>
          </w:hyperlink>
        </w:p>
        <w:p w:rsidR="00257B7A" w:rsidRDefault="00257B7A">
          <w:pPr>
            <w:pStyle w:val="TOC3"/>
            <w:rPr>
              <w:rFonts w:asciiTheme="minorHAnsi" w:eastAsiaTheme="minorEastAsia" w:hAnsiTheme="minorHAnsi"/>
              <w:lang w:eastAsia="en-AU"/>
            </w:rPr>
          </w:pPr>
          <w:hyperlink w:anchor="_Toc486838085" w:history="1">
            <w:r w:rsidRPr="0066403F">
              <w:rPr>
                <w:rStyle w:val="Hyperlink"/>
              </w:rPr>
              <w:t>7.3.1</w:t>
            </w:r>
            <w:r>
              <w:rPr>
                <w:rFonts w:asciiTheme="minorHAnsi" w:eastAsiaTheme="minorEastAsia" w:hAnsiTheme="minorHAnsi"/>
                <w:lang w:eastAsia="en-AU"/>
              </w:rPr>
              <w:tab/>
            </w:r>
            <w:r w:rsidRPr="0066403F">
              <w:rPr>
                <w:rStyle w:val="Hyperlink"/>
              </w:rPr>
              <w:t>Incentive regulation and the 'top-down' approach</w:t>
            </w:r>
            <w:r>
              <w:rPr>
                <w:webHidden/>
              </w:rPr>
              <w:tab/>
            </w:r>
            <w:r>
              <w:rPr>
                <w:webHidden/>
              </w:rPr>
              <w:fldChar w:fldCharType="begin"/>
            </w:r>
            <w:r>
              <w:rPr>
                <w:webHidden/>
              </w:rPr>
              <w:instrText xml:space="preserve"> PAGEREF _Toc486838085 \h </w:instrText>
            </w:r>
            <w:r>
              <w:rPr>
                <w:webHidden/>
              </w:rPr>
            </w:r>
            <w:r>
              <w:rPr>
                <w:webHidden/>
              </w:rPr>
              <w:fldChar w:fldCharType="separate"/>
            </w:r>
            <w:r w:rsidR="009270AF">
              <w:rPr>
                <w:webHidden/>
              </w:rPr>
              <w:t>7-9</w:t>
            </w:r>
            <w:r>
              <w:rPr>
                <w:webHidden/>
              </w:rPr>
              <w:fldChar w:fldCharType="end"/>
            </w:r>
          </w:hyperlink>
        </w:p>
        <w:p w:rsidR="00257B7A" w:rsidRDefault="00257B7A">
          <w:pPr>
            <w:pStyle w:val="TOC3"/>
            <w:rPr>
              <w:rFonts w:asciiTheme="minorHAnsi" w:eastAsiaTheme="minorEastAsia" w:hAnsiTheme="minorHAnsi"/>
              <w:lang w:eastAsia="en-AU"/>
            </w:rPr>
          </w:pPr>
          <w:hyperlink w:anchor="_Toc486838086" w:history="1">
            <w:r w:rsidRPr="0066403F">
              <w:rPr>
                <w:rStyle w:val="Hyperlink"/>
              </w:rPr>
              <w:t>7.3.2</w:t>
            </w:r>
            <w:r>
              <w:rPr>
                <w:rFonts w:asciiTheme="minorHAnsi" w:eastAsiaTheme="minorEastAsia" w:hAnsiTheme="minorHAnsi"/>
                <w:lang w:eastAsia="en-AU"/>
              </w:rPr>
              <w:tab/>
            </w:r>
            <w:r w:rsidRPr="0066403F">
              <w:rPr>
                <w:rStyle w:val="Hyperlink"/>
              </w:rPr>
              <w:t>Building an alternative estimate of total forecast opex</w:t>
            </w:r>
            <w:r>
              <w:rPr>
                <w:webHidden/>
              </w:rPr>
              <w:tab/>
            </w:r>
            <w:r>
              <w:rPr>
                <w:webHidden/>
              </w:rPr>
              <w:fldChar w:fldCharType="begin"/>
            </w:r>
            <w:r>
              <w:rPr>
                <w:webHidden/>
              </w:rPr>
              <w:instrText xml:space="preserve"> PAGEREF _Toc486838086 \h </w:instrText>
            </w:r>
            <w:r>
              <w:rPr>
                <w:webHidden/>
              </w:rPr>
            </w:r>
            <w:r>
              <w:rPr>
                <w:webHidden/>
              </w:rPr>
              <w:fldChar w:fldCharType="separate"/>
            </w:r>
            <w:r w:rsidR="009270AF">
              <w:rPr>
                <w:webHidden/>
              </w:rPr>
              <w:t>7-10</w:t>
            </w:r>
            <w:r>
              <w:rPr>
                <w:webHidden/>
              </w:rPr>
              <w:fldChar w:fldCharType="end"/>
            </w:r>
          </w:hyperlink>
        </w:p>
        <w:p w:rsidR="00257B7A" w:rsidRDefault="00257B7A">
          <w:pPr>
            <w:pStyle w:val="TOC2"/>
            <w:rPr>
              <w:rFonts w:asciiTheme="minorHAnsi" w:eastAsiaTheme="minorEastAsia" w:hAnsiTheme="minorHAnsi"/>
              <w:b w:val="0"/>
              <w:color w:val="auto"/>
              <w:sz w:val="22"/>
              <w:lang w:eastAsia="en-AU"/>
            </w:rPr>
          </w:pPr>
          <w:hyperlink w:anchor="_Toc486838087" w:history="1">
            <w:r w:rsidRPr="0066403F">
              <w:rPr>
                <w:rStyle w:val="Hyperlink"/>
              </w:rPr>
              <w:t>7.4</w:t>
            </w:r>
            <w:r>
              <w:rPr>
                <w:rFonts w:asciiTheme="minorHAnsi" w:eastAsiaTheme="minorEastAsia" w:hAnsiTheme="minorHAnsi"/>
                <w:b w:val="0"/>
                <w:color w:val="auto"/>
                <w:sz w:val="22"/>
                <w:lang w:eastAsia="en-AU"/>
              </w:rPr>
              <w:tab/>
            </w:r>
            <w:r w:rsidRPr="0066403F">
              <w:rPr>
                <w:rStyle w:val="Hyperlink"/>
              </w:rPr>
              <w:t>Reasons for draft decision</w:t>
            </w:r>
            <w:r>
              <w:rPr>
                <w:webHidden/>
              </w:rPr>
              <w:tab/>
            </w:r>
            <w:r>
              <w:rPr>
                <w:webHidden/>
              </w:rPr>
              <w:fldChar w:fldCharType="begin"/>
            </w:r>
            <w:r>
              <w:rPr>
                <w:webHidden/>
              </w:rPr>
              <w:instrText xml:space="preserve"> PAGEREF _Toc486838087 \h </w:instrText>
            </w:r>
            <w:r>
              <w:rPr>
                <w:webHidden/>
              </w:rPr>
            </w:r>
            <w:r>
              <w:rPr>
                <w:webHidden/>
              </w:rPr>
              <w:fldChar w:fldCharType="separate"/>
            </w:r>
            <w:r w:rsidR="009270AF">
              <w:rPr>
                <w:webHidden/>
              </w:rPr>
              <w:t>7-16</w:t>
            </w:r>
            <w:r>
              <w:rPr>
                <w:webHidden/>
              </w:rPr>
              <w:fldChar w:fldCharType="end"/>
            </w:r>
          </w:hyperlink>
        </w:p>
        <w:p w:rsidR="00257B7A" w:rsidRDefault="00257B7A">
          <w:pPr>
            <w:pStyle w:val="TOC3"/>
            <w:rPr>
              <w:rFonts w:asciiTheme="minorHAnsi" w:eastAsiaTheme="minorEastAsia" w:hAnsiTheme="minorHAnsi"/>
              <w:lang w:eastAsia="en-AU"/>
            </w:rPr>
          </w:pPr>
          <w:hyperlink w:anchor="_Toc486838088" w:history="1">
            <w:r w:rsidRPr="0066403F">
              <w:rPr>
                <w:rStyle w:val="Hyperlink"/>
              </w:rPr>
              <w:t>7.4.1</w:t>
            </w:r>
            <w:r>
              <w:rPr>
                <w:rFonts w:asciiTheme="minorHAnsi" w:eastAsiaTheme="minorEastAsia" w:hAnsiTheme="minorHAnsi"/>
                <w:lang w:eastAsia="en-AU"/>
              </w:rPr>
              <w:tab/>
            </w:r>
            <w:r w:rsidRPr="0066403F">
              <w:rPr>
                <w:rStyle w:val="Hyperlink"/>
              </w:rPr>
              <w:t>Base opex</w:t>
            </w:r>
            <w:r>
              <w:rPr>
                <w:webHidden/>
              </w:rPr>
              <w:tab/>
            </w:r>
            <w:r>
              <w:rPr>
                <w:webHidden/>
              </w:rPr>
              <w:fldChar w:fldCharType="begin"/>
            </w:r>
            <w:r>
              <w:rPr>
                <w:webHidden/>
              </w:rPr>
              <w:instrText xml:space="preserve"> PAGEREF _Toc486838088 \h </w:instrText>
            </w:r>
            <w:r>
              <w:rPr>
                <w:webHidden/>
              </w:rPr>
            </w:r>
            <w:r>
              <w:rPr>
                <w:webHidden/>
              </w:rPr>
              <w:fldChar w:fldCharType="separate"/>
            </w:r>
            <w:r w:rsidR="009270AF">
              <w:rPr>
                <w:webHidden/>
              </w:rPr>
              <w:t>7-18</w:t>
            </w:r>
            <w:r>
              <w:rPr>
                <w:webHidden/>
              </w:rPr>
              <w:fldChar w:fldCharType="end"/>
            </w:r>
          </w:hyperlink>
        </w:p>
        <w:p w:rsidR="00257B7A" w:rsidRDefault="00257B7A">
          <w:pPr>
            <w:pStyle w:val="TOC3"/>
            <w:rPr>
              <w:rFonts w:asciiTheme="minorHAnsi" w:eastAsiaTheme="minorEastAsia" w:hAnsiTheme="minorHAnsi"/>
              <w:lang w:eastAsia="en-AU"/>
            </w:rPr>
          </w:pPr>
          <w:hyperlink w:anchor="_Toc486838089" w:history="1">
            <w:r w:rsidRPr="0066403F">
              <w:rPr>
                <w:rStyle w:val="Hyperlink"/>
              </w:rPr>
              <w:t>7.4.2</w:t>
            </w:r>
            <w:r>
              <w:rPr>
                <w:rFonts w:asciiTheme="minorHAnsi" w:eastAsiaTheme="minorEastAsia" w:hAnsiTheme="minorHAnsi"/>
                <w:lang w:eastAsia="en-AU"/>
              </w:rPr>
              <w:tab/>
            </w:r>
            <w:r w:rsidRPr="0066403F">
              <w:rPr>
                <w:rStyle w:val="Hyperlink"/>
              </w:rPr>
              <w:t>Rate of change</w:t>
            </w:r>
            <w:r>
              <w:rPr>
                <w:webHidden/>
              </w:rPr>
              <w:tab/>
            </w:r>
            <w:r>
              <w:rPr>
                <w:webHidden/>
              </w:rPr>
              <w:fldChar w:fldCharType="begin"/>
            </w:r>
            <w:r>
              <w:rPr>
                <w:webHidden/>
              </w:rPr>
              <w:instrText xml:space="preserve"> PAGEREF _Toc486838089 \h </w:instrText>
            </w:r>
            <w:r>
              <w:rPr>
                <w:webHidden/>
              </w:rPr>
            </w:r>
            <w:r>
              <w:rPr>
                <w:webHidden/>
              </w:rPr>
              <w:fldChar w:fldCharType="separate"/>
            </w:r>
            <w:r w:rsidR="009270AF">
              <w:rPr>
                <w:webHidden/>
              </w:rPr>
              <w:t>7-20</w:t>
            </w:r>
            <w:r>
              <w:rPr>
                <w:webHidden/>
              </w:rPr>
              <w:fldChar w:fldCharType="end"/>
            </w:r>
          </w:hyperlink>
        </w:p>
        <w:p w:rsidR="00257B7A" w:rsidRDefault="00257B7A">
          <w:pPr>
            <w:pStyle w:val="TOC3"/>
            <w:rPr>
              <w:rFonts w:asciiTheme="minorHAnsi" w:eastAsiaTheme="minorEastAsia" w:hAnsiTheme="minorHAnsi"/>
              <w:lang w:eastAsia="en-AU"/>
            </w:rPr>
          </w:pPr>
          <w:hyperlink w:anchor="_Toc486838090" w:history="1">
            <w:r w:rsidRPr="0066403F">
              <w:rPr>
                <w:rStyle w:val="Hyperlink"/>
              </w:rPr>
              <w:t>7.4.3</w:t>
            </w:r>
            <w:r>
              <w:rPr>
                <w:rFonts w:asciiTheme="minorHAnsi" w:eastAsiaTheme="minorEastAsia" w:hAnsiTheme="minorHAnsi"/>
                <w:lang w:eastAsia="en-AU"/>
              </w:rPr>
              <w:tab/>
            </w:r>
            <w:r w:rsidRPr="0066403F">
              <w:rPr>
                <w:rStyle w:val="Hyperlink"/>
              </w:rPr>
              <w:t>Step changes</w:t>
            </w:r>
            <w:r>
              <w:rPr>
                <w:webHidden/>
              </w:rPr>
              <w:tab/>
            </w:r>
            <w:r>
              <w:rPr>
                <w:webHidden/>
              </w:rPr>
              <w:fldChar w:fldCharType="begin"/>
            </w:r>
            <w:r>
              <w:rPr>
                <w:webHidden/>
              </w:rPr>
              <w:instrText xml:space="preserve"> PAGEREF _Toc486838090 \h </w:instrText>
            </w:r>
            <w:r>
              <w:rPr>
                <w:webHidden/>
              </w:rPr>
            </w:r>
            <w:r>
              <w:rPr>
                <w:webHidden/>
              </w:rPr>
              <w:fldChar w:fldCharType="separate"/>
            </w:r>
            <w:r w:rsidR="009270AF">
              <w:rPr>
                <w:webHidden/>
              </w:rPr>
              <w:t>7-25</w:t>
            </w:r>
            <w:r>
              <w:rPr>
                <w:webHidden/>
              </w:rPr>
              <w:fldChar w:fldCharType="end"/>
            </w:r>
          </w:hyperlink>
        </w:p>
        <w:p w:rsidR="00257B7A" w:rsidRDefault="00257B7A">
          <w:pPr>
            <w:pStyle w:val="TOC3"/>
            <w:rPr>
              <w:rFonts w:asciiTheme="minorHAnsi" w:eastAsiaTheme="minorEastAsia" w:hAnsiTheme="minorHAnsi"/>
              <w:lang w:eastAsia="en-AU"/>
            </w:rPr>
          </w:pPr>
          <w:hyperlink w:anchor="_Toc486838091" w:history="1">
            <w:r w:rsidRPr="0066403F">
              <w:rPr>
                <w:rStyle w:val="Hyperlink"/>
              </w:rPr>
              <w:t>7.4.4</w:t>
            </w:r>
            <w:r>
              <w:rPr>
                <w:rFonts w:asciiTheme="minorHAnsi" w:eastAsiaTheme="minorEastAsia" w:hAnsiTheme="minorHAnsi"/>
                <w:lang w:eastAsia="en-AU"/>
              </w:rPr>
              <w:tab/>
            </w:r>
            <w:r w:rsidRPr="0066403F">
              <w:rPr>
                <w:rStyle w:val="Hyperlink"/>
              </w:rPr>
              <w:t>Category specific forecasts</w:t>
            </w:r>
            <w:r>
              <w:rPr>
                <w:webHidden/>
              </w:rPr>
              <w:tab/>
            </w:r>
            <w:r>
              <w:rPr>
                <w:webHidden/>
              </w:rPr>
              <w:fldChar w:fldCharType="begin"/>
            </w:r>
            <w:r>
              <w:rPr>
                <w:webHidden/>
              </w:rPr>
              <w:instrText xml:space="preserve"> PAGEREF _Toc486838091 \h </w:instrText>
            </w:r>
            <w:r>
              <w:rPr>
                <w:webHidden/>
              </w:rPr>
            </w:r>
            <w:r>
              <w:rPr>
                <w:webHidden/>
              </w:rPr>
              <w:fldChar w:fldCharType="separate"/>
            </w:r>
            <w:r w:rsidR="009270AF">
              <w:rPr>
                <w:webHidden/>
              </w:rPr>
              <w:t>7-31</w:t>
            </w:r>
            <w:r>
              <w:rPr>
                <w:webHidden/>
              </w:rPr>
              <w:fldChar w:fldCharType="end"/>
            </w:r>
          </w:hyperlink>
        </w:p>
        <w:p w:rsidR="00257B7A" w:rsidRDefault="00257B7A">
          <w:pPr>
            <w:pStyle w:val="TOC3"/>
            <w:rPr>
              <w:rFonts w:asciiTheme="minorHAnsi" w:eastAsiaTheme="minorEastAsia" w:hAnsiTheme="minorHAnsi"/>
              <w:lang w:eastAsia="en-AU"/>
            </w:rPr>
          </w:pPr>
          <w:hyperlink w:anchor="_Toc486838092" w:history="1">
            <w:r w:rsidRPr="0066403F">
              <w:rPr>
                <w:rStyle w:val="Hyperlink"/>
              </w:rPr>
              <w:t>7.4.5</w:t>
            </w:r>
            <w:r>
              <w:rPr>
                <w:rFonts w:asciiTheme="minorHAnsi" w:eastAsiaTheme="minorEastAsia" w:hAnsiTheme="minorHAnsi"/>
                <w:lang w:eastAsia="en-AU"/>
              </w:rPr>
              <w:tab/>
            </w:r>
            <w:r w:rsidRPr="0066403F">
              <w:rPr>
                <w:rStyle w:val="Hyperlink"/>
              </w:rPr>
              <w:t>Interrelationships</w:t>
            </w:r>
            <w:r>
              <w:rPr>
                <w:webHidden/>
              </w:rPr>
              <w:tab/>
            </w:r>
            <w:r>
              <w:rPr>
                <w:webHidden/>
              </w:rPr>
              <w:fldChar w:fldCharType="begin"/>
            </w:r>
            <w:r>
              <w:rPr>
                <w:webHidden/>
              </w:rPr>
              <w:instrText xml:space="preserve"> PAGEREF _Toc486838092 \h </w:instrText>
            </w:r>
            <w:r>
              <w:rPr>
                <w:webHidden/>
              </w:rPr>
            </w:r>
            <w:r>
              <w:rPr>
                <w:webHidden/>
              </w:rPr>
              <w:fldChar w:fldCharType="separate"/>
            </w:r>
            <w:r w:rsidR="009270AF">
              <w:rPr>
                <w:webHidden/>
              </w:rPr>
              <w:t>7-31</w:t>
            </w:r>
            <w:r>
              <w:rPr>
                <w:webHidden/>
              </w:rPr>
              <w:fldChar w:fldCharType="end"/>
            </w:r>
          </w:hyperlink>
        </w:p>
        <w:p w:rsidR="00257B7A" w:rsidRDefault="00257B7A">
          <w:pPr>
            <w:pStyle w:val="TOC2"/>
            <w:rPr>
              <w:rFonts w:asciiTheme="minorHAnsi" w:eastAsiaTheme="minorEastAsia" w:hAnsiTheme="minorHAnsi"/>
              <w:b w:val="0"/>
              <w:color w:val="auto"/>
              <w:sz w:val="22"/>
              <w:lang w:eastAsia="en-AU"/>
            </w:rPr>
          </w:pPr>
          <w:hyperlink w:anchor="_Toc486838093" w:history="1">
            <w:r w:rsidRPr="0066403F">
              <w:rPr>
                <w:rStyle w:val="Hyperlink"/>
              </w:rPr>
              <w:t>7.5</w:t>
            </w:r>
            <w:r>
              <w:rPr>
                <w:rFonts w:asciiTheme="minorHAnsi" w:eastAsiaTheme="minorEastAsia" w:hAnsiTheme="minorHAnsi"/>
                <w:b w:val="0"/>
                <w:color w:val="auto"/>
                <w:sz w:val="22"/>
                <w:lang w:eastAsia="en-AU"/>
              </w:rPr>
              <w:tab/>
            </w:r>
            <w:r w:rsidRPr="0066403F">
              <w:rPr>
                <w:rStyle w:val="Hyperlink"/>
              </w:rPr>
              <w:t>Revisions</w:t>
            </w:r>
            <w:r>
              <w:rPr>
                <w:webHidden/>
              </w:rPr>
              <w:tab/>
            </w:r>
            <w:r>
              <w:rPr>
                <w:webHidden/>
              </w:rPr>
              <w:fldChar w:fldCharType="begin"/>
            </w:r>
            <w:r>
              <w:rPr>
                <w:webHidden/>
              </w:rPr>
              <w:instrText xml:space="preserve"> PAGEREF _Toc486838093 \h </w:instrText>
            </w:r>
            <w:r>
              <w:rPr>
                <w:webHidden/>
              </w:rPr>
            </w:r>
            <w:r>
              <w:rPr>
                <w:webHidden/>
              </w:rPr>
              <w:fldChar w:fldCharType="separate"/>
            </w:r>
            <w:r w:rsidR="009270AF">
              <w:rPr>
                <w:webHidden/>
              </w:rPr>
              <w:t>7-32</w:t>
            </w:r>
            <w:r>
              <w:rPr>
                <w:webHidden/>
              </w:rPr>
              <w:fldChar w:fldCharType="end"/>
            </w:r>
          </w:hyperlink>
        </w:p>
        <w:p w:rsidR="00CE2A23" w:rsidRDefault="006E762C" w:rsidP="006E762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0" w:name="_Toc404700925"/>
      <w:bookmarkStart w:id="11" w:name="_Toc486838079"/>
      <w:r>
        <w:t>Shortened forms</w:t>
      </w:r>
      <w:bookmarkEnd w:id="10"/>
      <w:bookmarkEnd w:id="11"/>
    </w:p>
    <w:tbl>
      <w:tblPr>
        <w:tblStyle w:val="AERtable-numbers"/>
        <w:tblW w:w="0" w:type="auto"/>
        <w:tblLook w:val="04A0" w:firstRow="1" w:lastRow="0" w:firstColumn="1" w:lastColumn="0" w:noHBand="0" w:noVBand="1"/>
      </w:tblPr>
      <w:tblGrid>
        <w:gridCol w:w="3652"/>
        <w:gridCol w:w="5041"/>
      </w:tblGrid>
      <w:tr w:rsidR="00780B6E" w:rsidTr="003223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bookmarkStart w:id="12" w:name="_Toc416278154"/>
            <w:bookmarkStart w:id="13" w:name="_Toc416346517"/>
            <w:bookmarkStart w:id="14" w:name="_Toc416278157"/>
            <w:bookmarkStart w:id="15" w:name="_Toc416346520"/>
            <w:bookmarkStart w:id="16" w:name="_Toc416278160"/>
            <w:bookmarkStart w:id="17" w:name="_Toc416346523"/>
            <w:bookmarkStart w:id="18" w:name="_Toc416278163"/>
            <w:bookmarkStart w:id="19" w:name="_Toc416346526"/>
            <w:bookmarkStart w:id="20" w:name="_Toc416278166"/>
            <w:bookmarkStart w:id="21" w:name="_Toc416346529"/>
            <w:bookmarkStart w:id="22" w:name="_Toc416278169"/>
            <w:bookmarkStart w:id="23" w:name="_Toc416346532"/>
            <w:bookmarkStart w:id="24" w:name="_Toc416278172"/>
            <w:bookmarkStart w:id="25" w:name="_Toc416346535"/>
            <w:bookmarkStart w:id="26" w:name="_Toc416278175"/>
            <w:bookmarkStart w:id="27" w:name="_Toc416346538"/>
            <w:bookmarkStart w:id="28" w:name="_Toc416278178"/>
            <w:bookmarkStart w:id="29" w:name="_Toc416346541"/>
            <w:bookmarkStart w:id="30" w:name="_Toc416278181"/>
            <w:bookmarkStart w:id="31" w:name="_Toc416346544"/>
            <w:bookmarkStart w:id="32" w:name="_Toc416278184"/>
            <w:bookmarkStart w:id="33" w:name="_Toc416346547"/>
            <w:bookmarkStart w:id="34" w:name="_Toc416278187"/>
            <w:bookmarkStart w:id="35" w:name="_Toc416346550"/>
            <w:bookmarkStart w:id="36" w:name="_Toc416278190"/>
            <w:bookmarkStart w:id="37" w:name="_Toc416346553"/>
            <w:bookmarkStart w:id="38" w:name="_Toc416278193"/>
            <w:bookmarkStart w:id="39" w:name="_Toc416346556"/>
            <w:bookmarkStart w:id="40" w:name="_Toc416278196"/>
            <w:bookmarkStart w:id="41" w:name="_Toc416346559"/>
            <w:bookmarkStart w:id="42" w:name="_Toc416278199"/>
            <w:bookmarkStart w:id="43" w:name="_Toc416346562"/>
            <w:bookmarkStart w:id="44" w:name="_Toc416278202"/>
            <w:bookmarkStart w:id="45" w:name="_Toc416346565"/>
            <w:bookmarkStart w:id="46" w:name="_Toc416278205"/>
            <w:bookmarkStart w:id="47" w:name="_Toc416346568"/>
            <w:bookmarkStart w:id="48" w:name="_Toc416278208"/>
            <w:bookmarkStart w:id="49" w:name="_Toc416346571"/>
            <w:bookmarkStart w:id="50" w:name="_Toc416278211"/>
            <w:bookmarkStart w:id="51" w:name="_Toc416346574"/>
            <w:bookmarkStart w:id="52" w:name="_Toc416278214"/>
            <w:bookmarkStart w:id="53" w:name="_Toc416346577"/>
            <w:bookmarkStart w:id="54" w:name="_Toc416278217"/>
            <w:bookmarkStart w:id="55" w:name="_Toc416346580"/>
            <w:bookmarkStart w:id="56" w:name="_Toc416278220"/>
            <w:bookmarkStart w:id="57" w:name="_Toc416346583"/>
            <w:bookmarkStart w:id="58" w:name="_Toc416278223"/>
            <w:bookmarkStart w:id="59" w:name="_Toc416346586"/>
            <w:bookmarkStart w:id="60" w:name="_Toc416278226"/>
            <w:bookmarkStart w:id="61" w:name="_Toc416346589"/>
            <w:bookmarkStart w:id="62" w:name="_Toc416278229"/>
            <w:bookmarkStart w:id="63" w:name="_Toc416346592"/>
            <w:bookmarkStart w:id="64" w:name="_Toc416278232"/>
            <w:bookmarkStart w:id="65" w:name="_Toc416346595"/>
            <w:bookmarkStart w:id="66" w:name="_Toc416278235"/>
            <w:bookmarkStart w:id="67" w:name="_Toc416346598"/>
            <w:bookmarkStart w:id="68" w:name="_Toc416278238"/>
            <w:bookmarkStart w:id="69" w:name="_Toc416346601"/>
            <w:bookmarkEnd w:id="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Shortened form</w:t>
            </w:r>
          </w:p>
        </w:tc>
        <w:tc>
          <w:tcPr>
            <w:tcW w:w="5041" w:type="dxa"/>
          </w:tcPr>
          <w:p w:rsidR="00780B6E" w:rsidRDefault="00780B6E" w:rsidP="00780B6E">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780B6E" w:rsidTr="0032237B">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AER</w:t>
            </w:r>
          </w:p>
        </w:tc>
        <w:tc>
          <w:tcPr>
            <w:tcW w:w="5041" w:type="dxa"/>
          </w:tcPr>
          <w:p w:rsidR="00780B6E" w:rsidRDefault="00780B6E" w:rsidP="00780B6E">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780B6E"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ATO</w:t>
            </w:r>
          </w:p>
        </w:tc>
        <w:tc>
          <w:tcPr>
            <w:tcW w:w="5041" w:type="dxa"/>
          </w:tcPr>
          <w:p w:rsidR="00780B6E" w:rsidRPr="00780B6E" w:rsidRDefault="00780B6E" w:rsidP="00780B6E">
            <w:pPr>
              <w:cnfStyle w:val="000000010000" w:firstRow="0" w:lastRow="0" w:firstColumn="0" w:lastColumn="0" w:oddVBand="0" w:evenVBand="0" w:oddHBand="0" w:evenHBand="1" w:firstRowFirstColumn="0" w:firstRowLastColumn="0" w:lastRowFirstColumn="0" w:lastRowLastColumn="0"/>
            </w:pPr>
            <w:r>
              <w:t>Australian Tax Office</w:t>
            </w:r>
          </w:p>
        </w:tc>
      </w:tr>
      <w:tr w:rsidR="00780B6E" w:rsidTr="0032237B">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capex</w:t>
            </w:r>
          </w:p>
        </w:tc>
        <w:tc>
          <w:tcPr>
            <w:tcW w:w="5041" w:type="dxa"/>
          </w:tcPr>
          <w:p w:rsidR="00780B6E" w:rsidRDefault="00780B6E" w:rsidP="00780B6E">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780B6E"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CAPM</w:t>
            </w:r>
          </w:p>
        </w:tc>
        <w:tc>
          <w:tcPr>
            <w:tcW w:w="5041" w:type="dxa"/>
          </w:tcPr>
          <w:p w:rsidR="00780B6E" w:rsidRDefault="00780B6E" w:rsidP="00780B6E">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780B6E" w:rsidTr="0032237B">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CESS</w:t>
            </w:r>
          </w:p>
        </w:tc>
        <w:tc>
          <w:tcPr>
            <w:tcW w:w="5041" w:type="dxa"/>
          </w:tcPr>
          <w:p w:rsidR="00780B6E" w:rsidRDefault="00780B6E" w:rsidP="00780B6E">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780B6E"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CPI</w:t>
            </w:r>
          </w:p>
        </w:tc>
        <w:tc>
          <w:tcPr>
            <w:tcW w:w="5041" w:type="dxa"/>
          </w:tcPr>
          <w:p w:rsidR="00780B6E" w:rsidRDefault="00780B6E" w:rsidP="00780B6E">
            <w:pPr>
              <w:numPr>
                <w:ilvl w:val="0"/>
                <w:numId w:val="24"/>
              </w:numPr>
              <w:cnfStyle w:val="000000010000" w:firstRow="0" w:lastRow="0" w:firstColumn="0" w:lastColumn="0" w:oddVBand="0" w:evenVBand="0" w:oddHBand="0" w:evenHBand="1" w:firstRowFirstColumn="0" w:firstRowLastColumn="0" w:lastRowFirstColumn="0" w:lastRowLastColumn="0"/>
            </w:pPr>
            <w:r>
              <w:t>consumer price index</w:t>
            </w:r>
          </w:p>
        </w:tc>
      </w:tr>
      <w:tr w:rsidR="00780B6E" w:rsidTr="0032237B">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DRP</w:t>
            </w:r>
          </w:p>
        </w:tc>
        <w:tc>
          <w:tcPr>
            <w:tcW w:w="5041" w:type="dxa"/>
          </w:tcPr>
          <w:p w:rsidR="00780B6E" w:rsidRDefault="00780B6E" w:rsidP="00780B6E">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780B6E"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ECM</w:t>
            </w:r>
          </w:p>
        </w:tc>
        <w:tc>
          <w:tcPr>
            <w:tcW w:w="5041" w:type="dxa"/>
          </w:tcPr>
          <w:p w:rsidR="00780B6E" w:rsidRPr="00780B6E" w:rsidRDefault="00780B6E" w:rsidP="00780B6E">
            <w:pPr>
              <w:cnfStyle w:val="000000010000" w:firstRow="0" w:lastRow="0" w:firstColumn="0" w:lastColumn="0" w:oddVBand="0" w:evenVBand="0" w:oddHBand="0" w:evenHBand="1" w:firstRowFirstColumn="0" w:firstRowLastColumn="0" w:lastRowFirstColumn="0" w:lastRowLastColumn="0"/>
            </w:pPr>
            <w:r>
              <w:t>(Opex) Efficiency Carryover Mechanism</w:t>
            </w:r>
          </w:p>
        </w:tc>
      </w:tr>
      <w:tr w:rsidR="00780B6E" w:rsidTr="0032237B">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ERP</w:t>
            </w:r>
          </w:p>
        </w:tc>
        <w:tc>
          <w:tcPr>
            <w:tcW w:w="5041" w:type="dxa"/>
          </w:tcPr>
          <w:p w:rsidR="00780B6E" w:rsidRDefault="00780B6E" w:rsidP="00780B6E">
            <w:pPr>
              <w:numPr>
                <w:ilvl w:val="0"/>
                <w:numId w:val="24"/>
              </w:numPr>
              <w:cnfStyle w:val="000000000000" w:firstRow="0" w:lastRow="0" w:firstColumn="0" w:lastColumn="0" w:oddVBand="0" w:evenVBand="0" w:oddHBand="0" w:evenHBand="0" w:firstRowFirstColumn="0" w:firstRowLastColumn="0" w:lastRowFirstColumn="0" w:lastRowLastColumn="0"/>
            </w:pPr>
            <w:r>
              <w:t>equity risk premium</w:t>
            </w:r>
          </w:p>
        </w:tc>
      </w:tr>
      <w:tr w:rsidR="00780B6E"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Expenditure Guideline</w:t>
            </w:r>
          </w:p>
        </w:tc>
        <w:tc>
          <w:tcPr>
            <w:tcW w:w="5041" w:type="dxa"/>
          </w:tcPr>
          <w:p w:rsidR="00780B6E" w:rsidRPr="00780B6E" w:rsidRDefault="00780B6E" w:rsidP="00780B6E">
            <w:pPr>
              <w:cnfStyle w:val="000000010000" w:firstRow="0" w:lastRow="0" w:firstColumn="0" w:lastColumn="0" w:oddVBand="0" w:evenVBand="0" w:oddHBand="0" w:evenHBand="1" w:firstRowFirstColumn="0" w:firstRowLastColumn="0" w:lastRowFirstColumn="0" w:lastRowLastColumn="0"/>
            </w:pPr>
            <w:r>
              <w:t xml:space="preserve">Expenditure Forecast </w:t>
            </w:r>
            <w:r w:rsidRPr="00780B6E">
              <w:t>Assessment Guideline</w:t>
            </w:r>
          </w:p>
        </w:tc>
      </w:tr>
      <w:tr w:rsidR="00780B6E" w:rsidTr="0032237B">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gamma</w:t>
            </w:r>
          </w:p>
        </w:tc>
        <w:tc>
          <w:tcPr>
            <w:tcW w:w="5041" w:type="dxa"/>
          </w:tcPr>
          <w:p w:rsidR="00780B6E" w:rsidRPr="00780B6E" w:rsidRDefault="00780B6E" w:rsidP="00780B6E">
            <w:pPr>
              <w:cnfStyle w:val="000000000000" w:firstRow="0" w:lastRow="0" w:firstColumn="0" w:lastColumn="0" w:oddVBand="0" w:evenVBand="0" w:oddHBand="0" w:evenHBand="0" w:firstRowFirstColumn="0" w:firstRowLastColumn="0" w:lastRowFirstColumn="0" w:lastRowLastColumn="0"/>
            </w:pPr>
            <w:r>
              <w:t>Value of Imputation Credits</w:t>
            </w:r>
          </w:p>
        </w:tc>
      </w:tr>
      <w:tr w:rsidR="00780B6E"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MRP</w:t>
            </w:r>
          </w:p>
        </w:tc>
        <w:tc>
          <w:tcPr>
            <w:tcW w:w="5041" w:type="dxa"/>
          </w:tcPr>
          <w:p w:rsidR="00780B6E" w:rsidRDefault="00780B6E" w:rsidP="00780B6E">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780B6E" w:rsidTr="0032237B">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NGL</w:t>
            </w:r>
          </w:p>
        </w:tc>
        <w:tc>
          <w:tcPr>
            <w:tcW w:w="5041" w:type="dxa"/>
          </w:tcPr>
          <w:p w:rsidR="00780B6E" w:rsidRDefault="00780B6E" w:rsidP="00780B6E">
            <w:pPr>
              <w:numPr>
                <w:ilvl w:val="0"/>
                <w:numId w:val="24"/>
              </w:numPr>
              <w:cnfStyle w:val="000000000000" w:firstRow="0" w:lastRow="0" w:firstColumn="0" w:lastColumn="0" w:oddVBand="0" w:evenVBand="0" w:oddHBand="0" w:evenHBand="0" w:firstRowFirstColumn="0" w:firstRowLastColumn="0" w:lastRowFirstColumn="0" w:lastRowLastColumn="0"/>
            </w:pPr>
            <w:r>
              <w:t>National Gas Law</w:t>
            </w:r>
          </w:p>
        </w:tc>
      </w:tr>
      <w:tr w:rsidR="00780B6E"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NGO</w:t>
            </w:r>
          </w:p>
        </w:tc>
        <w:tc>
          <w:tcPr>
            <w:tcW w:w="5041" w:type="dxa"/>
          </w:tcPr>
          <w:p w:rsidR="00780B6E" w:rsidRDefault="00780B6E" w:rsidP="00780B6E">
            <w:pPr>
              <w:numPr>
                <w:ilvl w:val="0"/>
                <w:numId w:val="24"/>
              </w:numPr>
              <w:cnfStyle w:val="000000010000" w:firstRow="0" w:lastRow="0" w:firstColumn="0" w:lastColumn="0" w:oddVBand="0" w:evenVBand="0" w:oddHBand="0" w:evenHBand="1" w:firstRowFirstColumn="0" w:firstRowLastColumn="0" w:lastRowFirstColumn="0" w:lastRowLastColumn="0"/>
            </w:pPr>
            <w:r>
              <w:t>national gas objective</w:t>
            </w:r>
          </w:p>
        </w:tc>
      </w:tr>
      <w:tr w:rsidR="00780B6E" w:rsidTr="0032237B">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NGR</w:t>
            </w:r>
          </w:p>
        </w:tc>
        <w:tc>
          <w:tcPr>
            <w:tcW w:w="5041" w:type="dxa"/>
          </w:tcPr>
          <w:p w:rsidR="00780B6E" w:rsidRDefault="00780B6E" w:rsidP="00780B6E">
            <w:pPr>
              <w:numPr>
                <w:ilvl w:val="0"/>
                <w:numId w:val="24"/>
              </w:numPr>
              <w:cnfStyle w:val="000000000000" w:firstRow="0" w:lastRow="0" w:firstColumn="0" w:lastColumn="0" w:oddVBand="0" w:evenVBand="0" w:oddHBand="0" w:evenHBand="0" w:firstRowFirstColumn="0" w:firstRowLastColumn="0" w:lastRowFirstColumn="0" w:lastRowLastColumn="0"/>
            </w:pPr>
            <w:r>
              <w:t>National Gas Rules</w:t>
            </w:r>
          </w:p>
        </w:tc>
      </w:tr>
      <w:tr w:rsidR="00780B6E"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NPV</w:t>
            </w:r>
          </w:p>
        </w:tc>
        <w:tc>
          <w:tcPr>
            <w:tcW w:w="5041" w:type="dxa"/>
          </w:tcPr>
          <w:p w:rsidR="00780B6E" w:rsidRPr="00780B6E" w:rsidRDefault="00780B6E" w:rsidP="00780B6E">
            <w:pPr>
              <w:cnfStyle w:val="000000010000" w:firstRow="0" w:lastRow="0" w:firstColumn="0" w:lastColumn="0" w:oddVBand="0" w:evenVBand="0" w:oddHBand="0" w:evenHBand="1" w:firstRowFirstColumn="0" w:firstRowLastColumn="0" w:lastRowFirstColumn="0" w:lastRowLastColumn="0"/>
            </w:pPr>
            <w:r>
              <w:t>net present value</w:t>
            </w:r>
          </w:p>
        </w:tc>
      </w:tr>
      <w:tr w:rsidR="00780B6E" w:rsidTr="0032237B">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opex</w:t>
            </w:r>
          </w:p>
        </w:tc>
        <w:tc>
          <w:tcPr>
            <w:tcW w:w="5041" w:type="dxa"/>
          </w:tcPr>
          <w:p w:rsidR="00780B6E" w:rsidRDefault="00780B6E" w:rsidP="00780B6E">
            <w:pPr>
              <w:numPr>
                <w:ilvl w:val="0"/>
                <w:numId w:val="24"/>
              </w:numPr>
              <w:cnfStyle w:val="000000000000" w:firstRow="0" w:lastRow="0" w:firstColumn="0" w:lastColumn="0" w:oddVBand="0" w:evenVBand="0" w:oddHBand="0" w:evenHBand="0" w:firstRowFirstColumn="0" w:firstRowLastColumn="0" w:lastRowFirstColumn="0" w:lastRowLastColumn="0"/>
            </w:pPr>
            <w:r>
              <w:t>operating expenditure</w:t>
            </w:r>
          </w:p>
        </w:tc>
      </w:tr>
      <w:tr w:rsidR="00780B6E"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PTRM</w:t>
            </w:r>
          </w:p>
        </w:tc>
        <w:tc>
          <w:tcPr>
            <w:tcW w:w="5041" w:type="dxa"/>
          </w:tcPr>
          <w:p w:rsidR="00780B6E" w:rsidRDefault="00780B6E" w:rsidP="00780B6E">
            <w:pPr>
              <w:numPr>
                <w:ilvl w:val="0"/>
                <w:numId w:val="24"/>
              </w:numPr>
              <w:cnfStyle w:val="000000010000" w:firstRow="0" w:lastRow="0" w:firstColumn="0" w:lastColumn="0" w:oddVBand="0" w:evenVBand="0" w:oddHBand="0" w:evenHBand="1" w:firstRowFirstColumn="0" w:firstRowLastColumn="0" w:lastRowFirstColumn="0" w:lastRowLastColumn="0"/>
            </w:pPr>
            <w:r>
              <w:t>post-tax revenue model</w:t>
            </w:r>
          </w:p>
        </w:tc>
      </w:tr>
      <w:tr w:rsidR="00780B6E" w:rsidTr="0032237B">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RBA</w:t>
            </w:r>
          </w:p>
        </w:tc>
        <w:tc>
          <w:tcPr>
            <w:tcW w:w="5041" w:type="dxa"/>
          </w:tcPr>
          <w:p w:rsidR="00780B6E" w:rsidRDefault="00780B6E" w:rsidP="00780B6E">
            <w:pPr>
              <w:numPr>
                <w:ilvl w:val="0"/>
                <w:numId w:val="24"/>
              </w:numPr>
              <w:cnfStyle w:val="000000000000" w:firstRow="0" w:lastRow="0" w:firstColumn="0" w:lastColumn="0" w:oddVBand="0" w:evenVBand="0" w:oddHBand="0" w:evenHBand="0" w:firstRowFirstColumn="0" w:firstRowLastColumn="0" w:lastRowFirstColumn="0" w:lastRowLastColumn="0"/>
            </w:pPr>
            <w:r>
              <w:t>Reserve Bank of Australia</w:t>
            </w:r>
          </w:p>
        </w:tc>
      </w:tr>
      <w:tr w:rsidR="00780B6E"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RFM</w:t>
            </w:r>
          </w:p>
        </w:tc>
        <w:tc>
          <w:tcPr>
            <w:tcW w:w="5041" w:type="dxa"/>
          </w:tcPr>
          <w:p w:rsidR="00780B6E" w:rsidRDefault="00780B6E" w:rsidP="00780B6E">
            <w:pPr>
              <w:numPr>
                <w:ilvl w:val="0"/>
                <w:numId w:val="24"/>
              </w:numPr>
              <w:cnfStyle w:val="000000010000" w:firstRow="0" w:lastRow="0" w:firstColumn="0" w:lastColumn="0" w:oddVBand="0" w:evenVBand="0" w:oddHBand="0" w:evenHBand="1" w:firstRowFirstColumn="0" w:firstRowLastColumn="0" w:lastRowFirstColumn="0" w:lastRowLastColumn="0"/>
            </w:pPr>
            <w:r>
              <w:t>roll forward model</w:t>
            </w:r>
          </w:p>
        </w:tc>
      </w:tr>
      <w:tr w:rsidR="00780B6E" w:rsidTr="0032237B">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RIN</w:t>
            </w:r>
          </w:p>
        </w:tc>
        <w:tc>
          <w:tcPr>
            <w:tcW w:w="5041" w:type="dxa"/>
          </w:tcPr>
          <w:p w:rsidR="00780B6E" w:rsidRDefault="00780B6E" w:rsidP="00780B6E">
            <w:pPr>
              <w:numPr>
                <w:ilvl w:val="0"/>
                <w:numId w:val="24"/>
              </w:numPr>
              <w:cnfStyle w:val="000000000000" w:firstRow="0" w:lastRow="0" w:firstColumn="0" w:lastColumn="0" w:oddVBand="0" w:evenVBand="0" w:oddHBand="0" w:evenHBand="0" w:firstRowFirstColumn="0" w:firstRowLastColumn="0" w:lastRowFirstColumn="0" w:lastRowLastColumn="0"/>
            </w:pPr>
            <w:r>
              <w:t>regulatory information notice</w:t>
            </w:r>
          </w:p>
        </w:tc>
      </w:tr>
      <w:tr w:rsidR="00780B6E"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RPP</w:t>
            </w:r>
          </w:p>
        </w:tc>
        <w:tc>
          <w:tcPr>
            <w:tcW w:w="5041" w:type="dxa"/>
          </w:tcPr>
          <w:p w:rsidR="00780B6E" w:rsidRDefault="00780B6E" w:rsidP="00780B6E">
            <w:pPr>
              <w:numPr>
                <w:ilvl w:val="0"/>
                <w:numId w:val="24"/>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780B6E" w:rsidTr="0032237B">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SLCAPM</w:t>
            </w:r>
          </w:p>
        </w:tc>
        <w:tc>
          <w:tcPr>
            <w:tcW w:w="5041" w:type="dxa"/>
          </w:tcPr>
          <w:p w:rsidR="00780B6E" w:rsidRDefault="00780B6E" w:rsidP="00780B6E">
            <w:pPr>
              <w:numPr>
                <w:ilvl w:val="0"/>
                <w:numId w:val="24"/>
              </w:numPr>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780B6E"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STTM</w:t>
            </w:r>
          </w:p>
        </w:tc>
        <w:tc>
          <w:tcPr>
            <w:tcW w:w="5041" w:type="dxa"/>
          </w:tcPr>
          <w:p w:rsidR="00780B6E" w:rsidRPr="00780B6E" w:rsidRDefault="00780B6E" w:rsidP="00780B6E">
            <w:pPr>
              <w:cnfStyle w:val="000000010000" w:firstRow="0" w:lastRow="0" w:firstColumn="0" w:lastColumn="0" w:oddVBand="0" w:evenVBand="0" w:oddHBand="0" w:evenHBand="1" w:firstRowFirstColumn="0" w:firstRowLastColumn="0" w:lastRowFirstColumn="0" w:lastRowLastColumn="0"/>
            </w:pPr>
            <w:r>
              <w:t>Short Term Trading Market</w:t>
            </w:r>
          </w:p>
        </w:tc>
      </w:tr>
      <w:tr w:rsidR="00780B6E" w:rsidTr="0032237B">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TAB</w:t>
            </w:r>
          </w:p>
        </w:tc>
        <w:tc>
          <w:tcPr>
            <w:tcW w:w="5041" w:type="dxa"/>
          </w:tcPr>
          <w:p w:rsidR="00780B6E" w:rsidRPr="00780B6E" w:rsidRDefault="00780B6E" w:rsidP="00780B6E">
            <w:pPr>
              <w:cnfStyle w:val="000000000000" w:firstRow="0" w:lastRow="0" w:firstColumn="0" w:lastColumn="0" w:oddVBand="0" w:evenVBand="0" w:oddHBand="0" w:evenHBand="0" w:firstRowFirstColumn="0" w:firstRowLastColumn="0" w:lastRowFirstColumn="0" w:lastRowLastColumn="0"/>
            </w:pPr>
            <w:r>
              <w:t>Tax asset base</w:t>
            </w:r>
          </w:p>
        </w:tc>
      </w:tr>
      <w:tr w:rsidR="00780B6E"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UAFG</w:t>
            </w:r>
          </w:p>
        </w:tc>
        <w:tc>
          <w:tcPr>
            <w:tcW w:w="5041" w:type="dxa"/>
          </w:tcPr>
          <w:p w:rsidR="00780B6E" w:rsidRPr="00780B6E" w:rsidRDefault="00780B6E" w:rsidP="00780B6E">
            <w:pPr>
              <w:cnfStyle w:val="000000010000" w:firstRow="0" w:lastRow="0" w:firstColumn="0" w:lastColumn="0" w:oddVBand="0" w:evenVBand="0" w:oddHBand="0" w:evenHBand="1" w:firstRowFirstColumn="0" w:firstRowLastColumn="0" w:lastRowFirstColumn="0" w:lastRowLastColumn="0"/>
            </w:pPr>
            <w:r>
              <w:t>Unaccounted for gas</w:t>
            </w:r>
          </w:p>
        </w:tc>
      </w:tr>
      <w:tr w:rsidR="00780B6E" w:rsidTr="0032237B">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WACC</w:t>
            </w:r>
          </w:p>
        </w:tc>
        <w:tc>
          <w:tcPr>
            <w:tcW w:w="5041" w:type="dxa"/>
          </w:tcPr>
          <w:p w:rsidR="00780B6E" w:rsidRDefault="00780B6E" w:rsidP="00780B6E">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780B6E"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80B6E" w:rsidRDefault="00780B6E" w:rsidP="00780B6E">
            <w:pPr>
              <w:numPr>
                <w:ilvl w:val="0"/>
                <w:numId w:val="24"/>
              </w:numPr>
            </w:pPr>
            <w:r>
              <w:t>WPI</w:t>
            </w:r>
          </w:p>
        </w:tc>
        <w:tc>
          <w:tcPr>
            <w:tcW w:w="5041" w:type="dxa"/>
          </w:tcPr>
          <w:p w:rsidR="00780B6E" w:rsidRPr="00780B6E" w:rsidRDefault="00780B6E" w:rsidP="00780B6E">
            <w:pPr>
              <w:cnfStyle w:val="000000010000" w:firstRow="0" w:lastRow="0" w:firstColumn="0" w:lastColumn="0" w:oddVBand="0" w:evenVBand="0" w:oddHBand="0" w:evenHBand="1" w:firstRowFirstColumn="0" w:firstRowLastColumn="0" w:lastRowFirstColumn="0" w:lastRowLastColumn="0"/>
            </w:pPr>
            <w:r>
              <w:t>Wage Price Index</w:t>
            </w:r>
          </w:p>
        </w:tc>
      </w:tr>
    </w:tbl>
    <w:p w:rsidR="00DE563D" w:rsidRDefault="00CA541D" w:rsidP="00CA541D">
      <w:pPr>
        <w:pStyle w:val="Heading1"/>
      </w:pPr>
      <w:bookmarkStart w:id="70" w:name="_Toc486838080"/>
      <w:r>
        <w:t>Operating expenditure</w:t>
      </w:r>
      <w:bookmarkEnd w:id="70"/>
    </w:p>
    <w:p w:rsidR="00B812AC" w:rsidRDefault="00B812AC" w:rsidP="00B812AC">
      <w:r>
        <w:t>O</w:t>
      </w:r>
      <w:r w:rsidRPr="00ED08EA">
        <w:t>perating expenditure (opex) is the operating, maintenance and other non</w:t>
      </w:r>
      <w:r>
        <w:t>-</w:t>
      </w:r>
      <w:r w:rsidRPr="00ED08EA">
        <w:t xml:space="preserve">capital </w:t>
      </w:r>
      <w:r>
        <w:t>expenses,</w:t>
      </w:r>
      <w:r w:rsidRPr="00ED08EA">
        <w:t xml:space="preserve"> incurred in the </w:t>
      </w:r>
      <w:r w:rsidRPr="00ED08EA">
        <w:rPr>
          <w:rStyle w:val="AERbody"/>
        </w:rPr>
        <w:t>provision</w:t>
      </w:r>
      <w:r w:rsidRPr="00ED08EA">
        <w:t xml:space="preserve"> of </w:t>
      </w:r>
      <w:r w:rsidR="00E865A4">
        <w:t>pipeline</w:t>
      </w:r>
      <w:r w:rsidR="00E865A4" w:rsidRPr="00ED08EA">
        <w:t xml:space="preserve"> </w:t>
      </w:r>
      <w:r w:rsidRPr="00ED08EA">
        <w:t xml:space="preserve">services. </w:t>
      </w:r>
      <w:r>
        <w:t>Forecast opex is one of the building blocks we use to determine a service provider's total revenue requirement.</w:t>
      </w:r>
    </w:p>
    <w:p w:rsidR="00B812AC" w:rsidRPr="00132D43" w:rsidRDefault="00AA1B0F" w:rsidP="00B812AC">
      <w:r w:rsidRPr="000F0615">
        <w:t xml:space="preserve">This attachment outlines our assessment of </w:t>
      </w:r>
      <w:r>
        <w:t>Multinet's</w:t>
      </w:r>
      <w:r w:rsidRPr="00ED08EA">
        <w:t xml:space="preserve"> </w:t>
      </w:r>
      <w:r w:rsidR="009C43A8">
        <w:t xml:space="preserve">forecast </w:t>
      </w:r>
      <w:r>
        <w:t>opex for the 2018–22</w:t>
      </w:r>
      <w:r w:rsidRPr="000F0615">
        <w:t xml:space="preserve"> </w:t>
      </w:r>
      <w:r>
        <w:t>access arrangement</w:t>
      </w:r>
      <w:r w:rsidRPr="000F0615">
        <w:t xml:space="preserve"> period</w:t>
      </w:r>
      <w:r w:rsidR="00B812AC" w:rsidRPr="00A64A3C">
        <w:t>.</w:t>
      </w:r>
    </w:p>
    <w:p w:rsidR="00B812AC" w:rsidRDefault="00B812AC" w:rsidP="00B812AC">
      <w:pPr>
        <w:pStyle w:val="Heading2"/>
      </w:pPr>
      <w:bookmarkStart w:id="71" w:name="_Toc462216814"/>
      <w:bookmarkStart w:id="72" w:name="_Toc486838081"/>
      <w:r>
        <w:t>Draft decision</w:t>
      </w:r>
      <w:bookmarkEnd w:id="71"/>
      <w:bookmarkEnd w:id="72"/>
    </w:p>
    <w:p w:rsidR="00B812AC" w:rsidRPr="00ED08EA" w:rsidRDefault="00B812AC" w:rsidP="00B812AC">
      <w:r w:rsidRPr="00ED08EA">
        <w:t>Our draft decision is</w:t>
      </w:r>
      <w:r w:rsidR="00E02ED8">
        <w:t xml:space="preserve"> </w:t>
      </w:r>
      <w:r w:rsidRPr="00ED08EA">
        <w:t xml:space="preserve">to </w:t>
      </w:r>
      <w:r w:rsidR="00EA34F8">
        <w:t xml:space="preserve">not </w:t>
      </w:r>
      <w:r w:rsidRPr="00ED08EA">
        <w:t xml:space="preserve">accept </w:t>
      </w:r>
      <w:r>
        <w:t>Multinet's</w:t>
      </w:r>
      <w:r w:rsidRPr="00ED08EA">
        <w:t xml:space="preserve"> </w:t>
      </w:r>
      <w:r w:rsidR="009C43A8" w:rsidRPr="00ED08EA">
        <w:t xml:space="preserve">forecast </w:t>
      </w:r>
      <w:r w:rsidRPr="00ED08EA">
        <w:t>opex of $</w:t>
      </w:r>
      <w:r w:rsidR="0008069F">
        <w:t>396.4</w:t>
      </w:r>
      <w:r w:rsidRPr="00ED08EA">
        <w:t xml:space="preserve"> million ($</w:t>
      </w:r>
      <w:r>
        <w:t>2017)</w:t>
      </w:r>
      <w:r>
        <w:rPr>
          <w:rStyle w:val="FootnoteReference"/>
        </w:rPr>
        <w:footnoteReference w:id="1"/>
      </w:r>
      <w:r w:rsidR="00E02ED8" w:rsidRPr="00ED08EA">
        <w:t xml:space="preserve"> </w:t>
      </w:r>
      <w:r w:rsidR="00F263F5">
        <w:t>because we are not satisfied it meets the opex criteria</w:t>
      </w:r>
      <w:r w:rsidR="00F263F5" w:rsidRPr="00ED08EA">
        <w:t>.</w:t>
      </w:r>
      <w:r w:rsidR="00F263F5">
        <w:rPr>
          <w:rStyle w:val="FootnoteReference"/>
        </w:rPr>
        <w:footnoteReference w:id="2"/>
      </w:r>
      <w:r w:rsidR="00F263F5" w:rsidRPr="00ED08EA">
        <w:t xml:space="preserve"> </w:t>
      </w:r>
      <w:r w:rsidR="00F263F5">
        <w:t>Instead, w</w:t>
      </w:r>
      <w:r w:rsidR="00E865A4">
        <w:t xml:space="preserve">e </w:t>
      </w:r>
      <w:r w:rsidR="00A90868">
        <w:t>consider</w:t>
      </w:r>
      <w:r w:rsidR="00E02ED8">
        <w:t xml:space="preserve"> our alternative </w:t>
      </w:r>
      <w:r w:rsidR="00A90868">
        <w:t>estimate</w:t>
      </w:r>
      <w:r w:rsidR="00E02ED8">
        <w:t xml:space="preserve"> of $</w:t>
      </w:r>
      <w:r w:rsidR="005C2152">
        <w:t>385.</w:t>
      </w:r>
      <w:r w:rsidR="003C0B6A">
        <w:t>1</w:t>
      </w:r>
      <w:r w:rsidR="00E02ED8">
        <w:t xml:space="preserve"> million ($2017)</w:t>
      </w:r>
      <w:r w:rsidR="00A90868">
        <w:t xml:space="preserve"> meets the criteria</w:t>
      </w:r>
      <w:r w:rsidR="00E02ED8">
        <w:t>.</w:t>
      </w:r>
      <w:r w:rsidR="00E02ED8">
        <w:rPr>
          <w:rStyle w:val="FootnoteReference"/>
        </w:rPr>
        <w:footnoteReference w:id="3"/>
      </w:r>
      <w:r w:rsidR="004B78C2">
        <w:t xml:space="preserve"> </w:t>
      </w:r>
      <w:r w:rsidR="00E02ED8">
        <w:t xml:space="preserve">This is </w:t>
      </w:r>
      <w:r w:rsidR="005C2152">
        <w:t>2.8</w:t>
      </w:r>
      <w:r w:rsidR="00E02ED8">
        <w:t xml:space="preserve"> per cent lower than Multinet's proposal.</w:t>
      </w:r>
      <w:r w:rsidR="00257B35">
        <w:t xml:space="preserve"> The main reason our </w:t>
      </w:r>
      <w:r w:rsidR="00E865A4">
        <w:t xml:space="preserve">estimate </w:t>
      </w:r>
      <w:r w:rsidR="00257B35">
        <w:t>is lower is because we did not include a step change for marketing.</w:t>
      </w:r>
    </w:p>
    <w:p w:rsidR="00B812AC" w:rsidRDefault="00B812AC" w:rsidP="00B812AC">
      <w:r>
        <w:t>Multinet's</w:t>
      </w:r>
      <w:r w:rsidRPr="00ED08EA">
        <w:t xml:space="preserve"> </w:t>
      </w:r>
      <w:r w:rsidR="009C43A8">
        <w:t xml:space="preserve">forecast </w:t>
      </w:r>
      <w:r w:rsidRPr="00ED08EA">
        <w:t>opex and our draft decision</w:t>
      </w:r>
      <w:r w:rsidR="00F263F5">
        <w:t xml:space="preserve"> are set out</w:t>
      </w:r>
      <w:r w:rsidRPr="00ED08EA">
        <w:t xml:space="preserve"> in </w:t>
      </w:r>
      <w:r>
        <w:fldChar w:fldCharType="begin"/>
      </w:r>
      <w:r>
        <w:instrText xml:space="preserve"> REF _Ref473124021 \h </w:instrText>
      </w:r>
      <w:r>
        <w:fldChar w:fldCharType="separate"/>
      </w:r>
      <w:r w:rsidR="009270AF">
        <w:t xml:space="preserve">Table </w:t>
      </w:r>
      <w:r w:rsidR="009270AF">
        <w:rPr>
          <w:noProof/>
        </w:rPr>
        <w:t>7</w:t>
      </w:r>
      <w:r w:rsidR="009270AF">
        <w:t>.</w:t>
      </w:r>
      <w:r w:rsidR="009270AF">
        <w:rPr>
          <w:noProof/>
        </w:rPr>
        <w:t>1</w:t>
      </w:r>
      <w:r>
        <w:fldChar w:fldCharType="end"/>
      </w:r>
      <w:r w:rsidRPr="00ED08EA">
        <w:t>.</w:t>
      </w:r>
    </w:p>
    <w:p w:rsidR="00B812AC" w:rsidRDefault="00B812AC" w:rsidP="00B812AC">
      <w:pPr>
        <w:pStyle w:val="Caption"/>
      </w:pPr>
      <w:bookmarkStart w:id="73" w:name="_Ref473124021"/>
      <w:r>
        <w:t xml:space="preserve">Table </w:t>
      </w:r>
      <w:r w:rsidR="009270AF">
        <w:fldChar w:fldCharType="begin"/>
      </w:r>
      <w:r w:rsidR="009270AF">
        <w:instrText xml:space="preserve"> STYLEREF 1 \s </w:instrText>
      </w:r>
      <w:r w:rsidR="009270AF">
        <w:fldChar w:fldCharType="separate"/>
      </w:r>
      <w:r w:rsidR="009270AF">
        <w:rPr>
          <w:noProof/>
        </w:rPr>
        <w:t>7</w:t>
      </w:r>
      <w:r w:rsidR="009270AF">
        <w:rPr>
          <w:noProof/>
        </w:rPr>
        <w:fldChar w:fldCharType="end"/>
      </w:r>
      <w:r w:rsidR="00E37E9F">
        <w:t>.</w:t>
      </w:r>
      <w:fldSimple w:instr=" SEQ Table \* ARABIC \s 1 ">
        <w:r w:rsidR="009270AF">
          <w:rPr>
            <w:noProof/>
          </w:rPr>
          <w:t>1</w:t>
        </w:r>
      </w:fldSimple>
      <w:bookmarkEnd w:id="73"/>
      <w:r>
        <w:tab/>
      </w:r>
      <w:r w:rsidR="00F263F5">
        <w:t>Multinet's proposed opex</w:t>
      </w:r>
      <w:r w:rsidR="00EA34F8">
        <w:t xml:space="preserve"> and o</w:t>
      </w:r>
      <w:r>
        <w:t xml:space="preserve">ur draft decision </w:t>
      </w:r>
      <w:r w:rsidR="00F263F5">
        <w:br/>
      </w:r>
      <w:r w:rsidR="00E02ED8">
        <w:t>($</w:t>
      </w:r>
      <w:r w:rsidR="002A7B2B">
        <w:t xml:space="preserve"> </w:t>
      </w:r>
      <w:r w:rsidR="00E02ED8">
        <w:t>million, 20</w:t>
      </w:r>
      <w:r w:rsidRPr="00ED08EA">
        <w:t>17)</w:t>
      </w:r>
    </w:p>
    <w:tbl>
      <w:tblPr>
        <w:tblStyle w:val="AERtable-numbers"/>
        <w:tblW w:w="0" w:type="auto"/>
        <w:tblLook w:val="04A0" w:firstRow="1" w:lastRow="0" w:firstColumn="1" w:lastColumn="0" w:noHBand="0" w:noVBand="1"/>
      </w:tblPr>
      <w:tblGrid>
        <w:gridCol w:w="2093"/>
        <w:gridCol w:w="1100"/>
        <w:gridCol w:w="1100"/>
        <w:gridCol w:w="1100"/>
        <w:gridCol w:w="1100"/>
        <w:gridCol w:w="1100"/>
        <w:gridCol w:w="1100"/>
      </w:tblGrid>
      <w:tr w:rsidR="00B812AC" w:rsidTr="00E02E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812AC" w:rsidRDefault="00B812AC" w:rsidP="00B812AC"/>
        </w:tc>
        <w:tc>
          <w:tcPr>
            <w:tcW w:w="1100" w:type="dxa"/>
          </w:tcPr>
          <w:p w:rsidR="00B812AC" w:rsidRPr="00B812AC" w:rsidRDefault="00B812AC" w:rsidP="00B812AC">
            <w:pPr>
              <w:cnfStyle w:val="100000000000" w:firstRow="1" w:lastRow="0" w:firstColumn="0" w:lastColumn="0" w:oddVBand="0" w:evenVBand="0" w:oddHBand="0" w:evenHBand="0" w:firstRowFirstColumn="0" w:firstRowLastColumn="0" w:lastRowFirstColumn="0" w:lastRowLastColumn="0"/>
            </w:pPr>
            <w:r>
              <w:t>2018</w:t>
            </w:r>
          </w:p>
        </w:tc>
        <w:tc>
          <w:tcPr>
            <w:tcW w:w="1100" w:type="dxa"/>
          </w:tcPr>
          <w:p w:rsidR="00B812AC" w:rsidRPr="00B812AC" w:rsidRDefault="00B812AC" w:rsidP="00B812AC">
            <w:pPr>
              <w:cnfStyle w:val="100000000000" w:firstRow="1" w:lastRow="0" w:firstColumn="0" w:lastColumn="0" w:oddVBand="0" w:evenVBand="0" w:oddHBand="0" w:evenHBand="0" w:firstRowFirstColumn="0" w:firstRowLastColumn="0" w:lastRowFirstColumn="0" w:lastRowLastColumn="0"/>
            </w:pPr>
            <w:r>
              <w:t>2019</w:t>
            </w:r>
          </w:p>
        </w:tc>
        <w:tc>
          <w:tcPr>
            <w:tcW w:w="1100" w:type="dxa"/>
          </w:tcPr>
          <w:p w:rsidR="00B812AC" w:rsidRPr="00B812AC" w:rsidRDefault="00B812AC" w:rsidP="00B812AC">
            <w:pPr>
              <w:cnfStyle w:val="100000000000" w:firstRow="1" w:lastRow="0" w:firstColumn="0" w:lastColumn="0" w:oddVBand="0" w:evenVBand="0" w:oddHBand="0" w:evenHBand="0" w:firstRowFirstColumn="0" w:firstRowLastColumn="0" w:lastRowFirstColumn="0" w:lastRowLastColumn="0"/>
            </w:pPr>
            <w:r>
              <w:t>2020</w:t>
            </w:r>
          </w:p>
        </w:tc>
        <w:tc>
          <w:tcPr>
            <w:tcW w:w="1100" w:type="dxa"/>
          </w:tcPr>
          <w:p w:rsidR="00B812AC" w:rsidRPr="00B812AC" w:rsidRDefault="00B812AC" w:rsidP="00B812AC">
            <w:pPr>
              <w:cnfStyle w:val="100000000000" w:firstRow="1" w:lastRow="0" w:firstColumn="0" w:lastColumn="0" w:oddVBand="0" w:evenVBand="0" w:oddHBand="0" w:evenHBand="0" w:firstRowFirstColumn="0" w:firstRowLastColumn="0" w:lastRowFirstColumn="0" w:lastRowLastColumn="0"/>
            </w:pPr>
            <w:r>
              <w:t>2021</w:t>
            </w:r>
          </w:p>
        </w:tc>
        <w:tc>
          <w:tcPr>
            <w:tcW w:w="1100" w:type="dxa"/>
          </w:tcPr>
          <w:p w:rsidR="00B812AC" w:rsidRPr="00B812AC" w:rsidRDefault="00B812AC" w:rsidP="00B812AC">
            <w:pPr>
              <w:cnfStyle w:val="100000000000" w:firstRow="1" w:lastRow="0" w:firstColumn="0" w:lastColumn="0" w:oddVBand="0" w:evenVBand="0" w:oddHBand="0" w:evenHBand="0" w:firstRowFirstColumn="0" w:firstRowLastColumn="0" w:lastRowFirstColumn="0" w:lastRowLastColumn="0"/>
            </w:pPr>
            <w:r>
              <w:t>2022</w:t>
            </w:r>
          </w:p>
        </w:tc>
        <w:tc>
          <w:tcPr>
            <w:tcW w:w="1100" w:type="dxa"/>
          </w:tcPr>
          <w:p w:rsidR="00B812AC" w:rsidRPr="00B812AC" w:rsidRDefault="00B812AC" w:rsidP="00B812AC">
            <w:pPr>
              <w:cnfStyle w:val="100000000000" w:firstRow="1" w:lastRow="0" w:firstColumn="0" w:lastColumn="0" w:oddVBand="0" w:evenVBand="0" w:oddHBand="0" w:evenHBand="0" w:firstRowFirstColumn="0" w:firstRowLastColumn="0" w:lastRowFirstColumn="0" w:lastRowLastColumn="0"/>
            </w:pPr>
            <w:r>
              <w:t>Total</w:t>
            </w:r>
          </w:p>
        </w:tc>
      </w:tr>
      <w:tr w:rsidR="005C2152" w:rsidTr="00E02ED8">
        <w:tc>
          <w:tcPr>
            <w:cnfStyle w:val="001000000000" w:firstRow="0" w:lastRow="0" w:firstColumn="1" w:lastColumn="0" w:oddVBand="0" w:evenVBand="0" w:oddHBand="0" w:evenHBand="0" w:firstRowFirstColumn="0" w:firstRowLastColumn="0" w:lastRowFirstColumn="0" w:lastRowLastColumn="0"/>
            <w:tcW w:w="2093" w:type="dxa"/>
          </w:tcPr>
          <w:p w:rsidR="005C2152" w:rsidRPr="005C2152" w:rsidRDefault="005C2152" w:rsidP="005C2152">
            <w:r w:rsidRPr="005C2152">
              <w:t>Multinet initial proposal</w:t>
            </w:r>
          </w:p>
        </w:tc>
        <w:tc>
          <w:tcPr>
            <w:tcW w:w="1100" w:type="dxa"/>
          </w:tcPr>
          <w:p w:rsidR="005C2152" w:rsidRPr="005C2152" w:rsidRDefault="005C2152" w:rsidP="005C2152">
            <w:pPr>
              <w:cnfStyle w:val="000000000000" w:firstRow="0" w:lastRow="0" w:firstColumn="0" w:lastColumn="0" w:oddVBand="0" w:evenVBand="0" w:oddHBand="0" w:evenHBand="0" w:firstRowFirstColumn="0" w:firstRowLastColumn="0" w:lastRowFirstColumn="0" w:lastRowLastColumn="0"/>
            </w:pPr>
            <w:r w:rsidRPr="005C2152">
              <w:t>77.2</w:t>
            </w:r>
          </w:p>
        </w:tc>
        <w:tc>
          <w:tcPr>
            <w:tcW w:w="1100" w:type="dxa"/>
          </w:tcPr>
          <w:p w:rsidR="005C2152" w:rsidRPr="005C2152" w:rsidRDefault="005C2152" w:rsidP="005C2152">
            <w:pPr>
              <w:cnfStyle w:val="000000000000" w:firstRow="0" w:lastRow="0" w:firstColumn="0" w:lastColumn="0" w:oddVBand="0" w:evenVBand="0" w:oddHBand="0" w:evenHBand="0" w:firstRowFirstColumn="0" w:firstRowLastColumn="0" w:lastRowFirstColumn="0" w:lastRowLastColumn="0"/>
            </w:pPr>
            <w:r w:rsidRPr="005C2152">
              <w:t>78.0</w:t>
            </w:r>
          </w:p>
        </w:tc>
        <w:tc>
          <w:tcPr>
            <w:tcW w:w="1100" w:type="dxa"/>
          </w:tcPr>
          <w:p w:rsidR="005C2152" w:rsidRPr="005C2152" w:rsidRDefault="005C2152" w:rsidP="005C2152">
            <w:pPr>
              <w:cnfStyle w:val="000000000000" w:firstRow="0" w:lastRow="0" w:firstColumn="0" w:lastColumn="0" w:oddVBand="0" w:evenVBand="0" w:oddHBand="0" w:evenHBand="0" w:firstRowFirstColumn="0" w:firstRowLastColumn="0" w:lastRowFirstColumn="0" w:lastRowLastColumn="0"/>
            </w:pPr>
            <w:r w:rsidRPr="005C2152">
              <w:t>79.1</w:t>
            </w:r>
          </w:p>
        </w:tc>
        <w:tc>
          <w:tcPr>
            <w:tcW w:w="1100" w:type="dxa"/>
          </w:tcPr>
          <w:p w:rsidR="005C2152" w:rsidRPr="005C2152" w:rsidRDefault="005C2152" w:rsidP="005C2152">
            <w:pPr>
              <w:cnfStyle w:val="000000000000" w:firstRow="0" w:lastRow="0" w:firstColumn="0" w:lastColumn="0" w:oddVBand="0" w:evenVBand="0" w:oddHBand="0" w:evenHBand="0" w:firstRowFirstColumn="0" w:firstRowLastColumn="0" w:lastRowFirstColumn="0" w:lastRowLastColumn="0"/>
            </w:pPr>
            <w:r w:rsidRPr="005C2152">
              <w:t>80.4</w:t>
            </w:r>
          </w:p>
        </w:tc>
        <w:tc>
          <w:tcPr>
            <w:tcW w:w="1100" w:type="dxa"/>
          </w:tcPr>
          <w:p w:rsidR="005C2152" w:rsidRPr="005C2152" w:rsidRDefault="005C2152" w:rsidP="005C2152">
            <w:pPr>
              <w:cnfStyle w:val="000000000000" w:firstRow="0" w:lastRow="0" w:firstColumn="0" w:lastColumn="0" w:oddVBand="0" w:evenVBand="0" w:oddHBand="0" w:evenHBand="0" w:firstRowFirstColumn="0" w:firstRowLastColumn="0" w:lastRowFirstColumn="0" w:lastRowLastColumn="0"/>
            </w:pPr>
            <w:r w:rsidRPr="005C2152">
              <w:t>81.8</w:t>
            </w:r>
          </w:p>
        </w:tc>
        <w:tc>
          <w:tcPr>
            <w:tcW w:w="1100" w:type="dxa"/>
          </w:tcPr>
          <w:p w:rsidR="005C2152" w:rsidRPr="005C2152" w:rsidRDefault="005C2152" w:rsidP="005C2152">
            <w:pPr>
              <w:cnfStyle w:val="000000000000" w:firstRow="0" w:lastRow="0" w:firstColumn="0" w:lastColumn="0" w:oddVBand="0" w:evenVBand="0" w:oddHBand="0" w:evenHBand="0" w:firstRowFirstColumn="0" w:firstRowLastColumn="0" w:lastRowFirstColumn="0" w:lastRowLastColumn="0"/>
            </w:pPr>
            <w:r w:rsidRPr="005C2152">
              <w:t>396.4</w:t>
            </w:r>
          </w:p>
        </w:tc>
      </w:tr>
      <w:tr w:rsidR="003C0B6A" w:rsidTr="003C0B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3C0B6A" w:rsidRPr="003C0B6A" w:rsidRDefault="003C0B6A" w:rsidP="003C0B6A">
            <w:r w:rsidRPr="003C0B6A">
              <w:t>AER draft decision</w:t>
            </w:r>
          </w:p>
        </w:tc>
        <w:tc>
          <w:tcPr>
            <w:tcW w:w="1100" w:type="dxa"/>
            <w:vAlign w:val="top"/>
          </w:tcPr>
          <w:p w:rsidR="003C0B6A" w:rsidRPr="003C0B6A" w:rsidRDefault="003C0B6A" w:rsidP="003C0B6A">
            <w:pPr>
              <w:cnfStyle w:val="000000010000" w:firstRow="0" w:lastRow="0" w:firstColumn="0" w:lastColumn="0" w:oddVBand="0" w:evenVBand="0" w:oddHBand="0" w:evenHBand="1" w:firstRowFirstColumn="0" w:firstRowLastColumn="0" w:lastRowFirstColumn="0" w:lastRowLastColumn="0"/>
            </w:pPr>
            <w:r w:rsidRPr="003C0B6A">
              <w:t>75.0</w:t>
            </w:r>
          </w:p>
        </w:tc>
        <w:tc>
          <w:tcPr>
            <w:tcW w:w="1100" w:type="dxa"/>
            <w:vAlign w:val="top"/>
          </w:tcPr>
          <w:p w:rsidR="003C0B6A" w:rsidRPr="003C0B6A" w:rsidRDefault="003C0B6A" w:rsidP="003C0B6A">
            <w:pPr>
              <w:cnfStyle w:val="000000010000" w:firstRow="0" w:lastRow="0" w:firstColumn="0" w:lastColumn="0" w:oddVBand="0" w:evenVBand="0" w:oddHBand="0" w:evenHBand="1" w:firstRowFirstColumn="0" w:firstRowLastColumn="0" w:lastRowFirstColumn="0" w:lastRowLastColumn="0"/>
            </w:pPr>
            <w:r w:rsidRPr="003C0B6A">
              <w:t>75.9</w:t>
            </w:r>
          </w:p>
        </w:tc>
        <w:tc>
          <w:tcPr>
            <w:tcW w:w="1100" w:type="dxa"/>
            <w:vAlign w:val="top"/>
          </w:tcPr>
          <w:p w:rsidR="003C0B6A" w:rsidRPr="003C0B6A" w:rsidRDefault="003C0B6A" w:rsidP="003C0B6A">
            <w:pPr>
              <w:cnfStyle w:val="000000010000" w:firstRow="0" w:lastRow="0" w:firstColumn="0" w:lastColumn="0" w:oddVBand="0" w:evenVBand="0" w:oddHBand="0" w:evenHBand="1" w:firstRowFirstColumn="0" w:firstRowLastColumn="0" w:lastRowFirstColumn="0" w:lastRowLastColumn="0"/>
            </w:pPr>
            <w:r w:rsidRPr="003C0B6A">
              <w:t>76.9</w:t>
            </w:r>
          </w:p>
        </w:tc>
        <w:tc>
          <w:tcPr>
            <w:tcW w:w="1100" w:type="dxa"/>
            <w:vAlign w:val="top"/>
          </w:tcPr>
          <w:p w:rsidR="003C0B6A" w:rsidRPr="003C0B6A" w:rsidRDefault="003C0B6A" w:rsidP="003C0B6A">
            <w:pPr>
              <w:cnfStyle w:val="000000010000" w:firstRow="0" w:lastRow="0" w:firstColumn="0" w:lastColumn="0" w:oddVBand="0" w:evenVBand="0" w:oddHBand="0" w:evenHBand="1" w:firstRowFirstColumn="0" w:firstRowLastColumn="0" w:lastRowFirstColumn="0" w:lastRowLastColumn="0"/>
            </w:pPr>
            <w:r w:rsidRPr="003C0B6A">
              <w:t>78.0</w:t>
            </w:r>
          </w:p>
        </w:tc>
        <w:tc>
          <w:tcPr>
            <w:tcW w:w="1100" w:type="dxa"/>
            <w:vAlign w:val="top"/>
          </w:tcPr>
          <w:p w:rsidR="003C0B6A" w:rsidRPr="003C0B6A" w:rsidRDefault="003C0B6A" w:rsidP="003C0B6A">
            <w:pPr>
              <w:cnfStyle w:val="000000010000" w:firstRow="0" w:lastRow="0" w:firstColumn="0" w:lastColumn="0" w:oddVBand="0" w:evenVBand="0" w:oddHBand="0" w:evenHBand="1" w:firstRowFirstColumn="0" w:firstRowLastColumn="0" w:lastRowFirstColumn="0" w:lastRowLastColumn="0"/>
            </w:pPr>
            <w:r w:rsidRPr="003C0B6A">
              <w:t>79.2</w:t>
            </w:r>
          </w:p>
        </w:tc>
        <w:tc>
          <w:tcPr>
            <w:tcW w:w="1100" w:type="dxa"/>
            <w:vAlign w:val="top"/>
          </w:tcPr>
          <w:p w:rsidR="003C0B6A" w:rsidRPr="003C0B6A" w:rsidRDefault="003C0B6A" w:rsidP="003C0B6A">
            <w:pPr>
              <w:cnfStyle w:val="000000010000" w:firstRow="0" w:lastRow="0" w:firstColumn="0" w:lastColumn="0" w:oddVBand="0" w:evenVBand="0" w:oddHBand="0" w:evenHBand="1" w:firstRowFirstColumn="0" w:firstRowLastColumn="0" w:lastRowFirstColumn="0" w:lastRowLastColumn="0"/>
            </w:pPr>
            <w:r w:rsidRPr="003C0B6A">
              <w:t>385.1</w:t>
            </w:r>
          </w:p>
        </w:tc>
      </w:tr>
      <w:tr w:rsidR="003C0B6A" w:rsidTr="003C0B6A">
        <w:tc>
          <w:tcPr>
            <w:cnfStyle w:val="001000000000" w:firstRow="0" w:lastRow="0" w:firstColumn="1" w:lastColumn="0" w:oddVBand="0" w:evenVBand="0" w:oddHBand="0" w:evenHBand="0" w:firstRowFirstColumn="0" w:firstRowLastColumn="0" w:lastRowFirstColumn="0" w:lastRowLastColumn="0"/>
            <w:tcW w:w="2093" w:type="dxa"/>
          </w:tcPr>
          <w:p w:rsidR="003C0B6A" w:rsidRPr="003C0B6A" w:rsidRDefault="003C0B6A" w:rsidP="003C0B6A">
            <w:pPr>
              <w:rPr>
                <w:rStyle w:val="Strong"/>
              </w:rPr>
            </w:pPr>
            <w:r w:rsidRPr="003C0B6A">
              <w:rPr>
                <w:rStyle w:val="Strong"/>
              </w:rPr>
              <w:t>Difference</w:t>
            </w:r>
          </w:p>
        </w:tc>
        <w:tc>
          <w:tcPr>
            <w:tcW w:w="1100" w:type="dxa"/>
            <w:vAlign w:val="top"/>
          </w:tcPr>
          <w:p w:rsidR="003C0B6A" w:rsidRPr="003C0B6A" w:rsidRDefault="003C0B6A" w:rsidP="003C0B6A">
            <w:pPr>
              <w:cnfStyle w:val="000000000000" w:firstRow="0" w:lastRow="0" w:firstColumn="0" w:lastColumn="0" w:oddVBand="0" w:evenVBand="0" w:oddHBand="0" w:evenHBand="0" w:firstRowFirstColumn="0" w:firstRowLastColumn="0" w:lastRowFirstColumn="0" w:lastRowLastColumn="0"/>
              <w:rPr>
                <w:rStyle w:val="Strong"/>
              </w:rPr>
            </w:pPr>
            <w:r w:rsidRPr="003C0B6A">
              <w:rPr>
                <w:rStyle w:val="Strong"/>
              </w:rPr>
              <w:t>–2.2</w:t>
            </w:r>
          </w:p>
        </w:tc>
        <w:tc>
          <w:tcPr>
            <w:tcW w:w="1100" w:type="dxa"/>
            <w:vAlign w:val="top"/>
          </w:tcPr>
          <w:p w:rsidR="003C0B6A" w:rsidRPr="003C0B6A" w:rsidRDefault="003C0B6A" w:rsidP="003C0B6A">
            <w:pPr>
              <w:cnfStyle w:val="000000000000" w:firstRow="0" w:lastRow="0" w:firstColumn="0" w:lastColumn="0" w:oddVBand="0" w:evenVBand="0" w:oddHBand="0" w:evenHBand="0" w:firstRowFirstColumn="0" w:firstRowLastColumn="0" w:lastRowFirstColumn="0" w:lastRowLastColumn="0"/>
              <w:rPr>
                <w:rStyle w:val="Strong"/>
              </w:rPr>
            </w:pPr>
            <w:r w:rsidRPr="003C0B6A">
              <w:rPr>
                <w:rStyle w:val="Strong"/>
              </w:rPr>
              <w:t>–2.1</w:t>
            </w:r>
          </w:p>
        </w:tc>
        <w:tc>
          <w:tcPr>
            <w:tcW w:w="1100" w:type="dxa"/>
            <w:vAlign w:val="top"/>
          </w:tcPr>
          <w:p w:rsidR="003C0B6A" w:rsidRPr="003C0B6A" w:rsidRDefault="003C0B6A" w:rsidP="003C0B6A">
            <w:pPr>
              <w:cnfStyle w:val="000000000000" w:firstRow="0" w:lastRow="0" w:firstColumn="0" w:lastColumn="0" w:oddVBand="0" w:evenVBand="0" w:oddHBand="0" w:evenHBand="0" w:firstRowFirstColumn="0" w:firstRowLastColumn="0" w:lastRowFirstColumn="0" w:lastRowLastColumn="0"/>
              <w:rPr>
                <w:rStyle w:val="Strong"/>
              </w:rPr>
            </w:pPr>
            <w:r w:rsidRPr="003C0B6A">
              <w:rPr>
                <w:rStyle w:val="Strong"/>
              </w:rPr>
              <w:t>–2.1</w:t>
            </w:r>
          </w:p>
        </w:tc>
        <w:tc>
          <w:tcPr>
            <w:tcW w:w="1100" w:type="dxa"/>
            <w:vAlign w:val="top"/>
          </w:tcPr>
          <w:p w:rsidR="003C0B6A" w:rsidRPr="003C0B6A" w:rsidRDefault="003C0B6A" w:rsidP="003C0B6A">
            <w:pPr>
              <w:cnfStyle w:val="000000000000" w:firstRow="0" w:lastRow="0" w:firstColumn="0" w:lastColumn="0" w:oddVBand="0" w:evenVBand="0" w:oddHBand="0" w:evenHBand="0" w:firstRowFirstColumn="0" w:firstRowLastColumn="0" w:lastRowFirstColumn="0" w:lastRowLastColumn="0"/>
              <w:rPr>
                <w:rStyle w:val="Strong"/>
              </w:rPr>
            </w:pPr>
            <w:r w:rsidRPr="003C0B6A">
              <w:rPr>
                <w:rStyle w:val="Strong"/>
              </w:rPr>
              <w:t>–2.3</w:t>
            </w:r>
          </w:p>
        </w:tc>
        <w:tc>
          <w:tcPr>
            <w:tcW w:w="1100" w:type="dxa"/>
            <w:vAlign w:val="top"/>
          </w:tcPr>
          <w:p w:rsidR="003C0B6A" w:rsidRPr="003C0B6A" w:rsidRDefault="003C0B6A" w:rsidP="003C0B6A">
            <w:pPr>
              <w:cnfStyle w:val="000000000000" w:firstRow="0" w:lastRow="0" w:firstColumn="0" w:lastColumn="0" w:oddVBand="0" w:evenVBand="0" w:oddHBand="0" w:evenHBand="0" w:firstRowFirstColumn="0" w:firstRowLastColumn="0" w:lastRowFirstColumn="0" w:lastRowLastColumn="0"/>
              <w:rPr>
                <w:rStyle w:val="Strong"/>
              </w:rPr>
            </w:pPr>
            <w:r w:rsidRPr="003C0B6A">
              <w:rPr>
                <w:rStyle w:val="Strong"/>
              </w:rPr>
              <w:t>–2.6</w:t>
            </w:r>
          </w:p>
        </w:tc>
        <w:tc>
          <w:tcPr>
            <w:tcW w:w="1100" w:type="dxa"/>
            <w:vAlign w:val="top"/>
          </w:tcPr>
          <w:p w:rsidR="003C0B6A" w:rsidRPr="003C0B6A" w:rsidRDefault="003C0B6A" w:rsidP="003C0B6A">
            <w:pPr>
              <w:cnfStyle w:val="000000000000" w:firstRow="0" w:lastRow="0" w:firstColumn="0" w:lastColumn="0" w:oddVBand="0" w:evenVBand="0" w:oddHBand="0" w:evenHBand="0" w:firstRowFirstColumn="0" w:firstRowLastColumn="0" w:lastRowFirstColumn="0" w:lastRowLastColumn="0"/>
              <w:rPr>
                <w:rStyle w:val="Strong"/>
              </w:rPr>
            </w:pPr>
            <w:r w:rsidRPr="003C0B6A">
              <w:rPr>
                <w:rStyle w:val="Strong"/>
              </w:rPr>
              <w:t>–11.3</w:t>
            </w:r>
          </w:p>
        </w:tc>
      </w:tr>
    </w:tbl>
    <w:p w:rsidR="00B812AC" w:rsidRDefault="00B812AC" w:rsidP="00B812AC">
      <w:pPr>
        <w:pStyle w:val="AERtablesource"/>
      </w:pPr>
      <w:r w:rsidRPr="00ED08EA">
        <w:t xml:space="preserve">Source: </w:t>
      </w:r>
      <w:r w:rsidR="003C0B6A">
        <w:tab/>
      </w:r>
      <w:r>
        <w:t xml:space="preserve">Multinet's proposed PTRM, </w:t>
      </w:r>
      <w:r w:rsidR="00E02ED8">
        <w:t>16 December 2016</w:t>
      </w:r>
      <w:r w:rsidRPr="00ED08EA">
        <w:t>; AER analysis</w:t>
      </w:r>
      <w:r>
        <w:t>.</w:t>
      </w:r>
    </w:p>
    <w:p w:rsidR="00B812AC" w:rsidRDefault="00B812AC" w:rsidP="00B812AC">
      <w:pPr>
        <w:pStyle w:val="AERtablesource"/>
      </w:pPr>
      <w:r>
        <w:t xml:space="preserve">Note: </w:t>
      </w:r>
      <w:r w:rsidR="003C0B6A">
        <w:tab/>
      </w:r>
      <w:r>
        <w:t>Includes debt raising costs</w:t>
      </w:r>
      <w:r w:rsidRPr="00ED08EA">
        <w:t>.</w:t>
      </w:r>
      <w:r w:rsidR="00546F39">
        <w:t xml:space="preserve"> </w:t>
      </w:r>
      <w:r w:rsidR="00546F39" w:rsidRPr="00546F39">
        <w:t>Numbers may not add up due to rounding</w:t>
      </w:r>
      <w:r w:rsidR="00546F39">
        <w:t>.</w:t>
      </w:r>
    </w:p>
    <w:p w:rsidR="00B812AC" w:rsidRPr="00285945" w:rsidRDefault="00B812AC" w:rsidP="00B812AC">
      <w:r>
        <w:fldChar w:fldCharType="begin"/>
      </w:r>
      <w:r>
        <w:instrText xml:space="preserve"> REF _Ref473711065 \h </w:instrText>
      </w:r>
      <w:r>
        <w:fldChar w:fldCharType="separate"/>
      </w:r>
      <w:r w:rsidR="009270AF">
        <w:t xml:space="preserve">Figure </w:t>
      </w:r>
      <w:r w:rsidR="009270AF">
        <w:rPr>
          <w:noProof/>
        </w:rPr>
        <w:t>7</w:t>
      </w:r>
      <w:r w:rsidR="009270AF">
        <w:t>.</w:t>
      </w:r>
      <w:r w:rsidR="009270AF">
        <w:rPr>
          <w:noProof/>
        </w:rPr>
        <w:t>1</w:t>
      </w:r>
      <w:r>
        <w:fldChar w:fldCharType="end"/>
      </w:r>
      <w:r w:rsidR="00E02ED8">
        <w:t xml:space="preserve"> </w:t>
      </w:r>
      <w:r w:rsidR="00E865A4">
        <w:t xml:space="preserve">compares the opex forecast </w:t>
      </w:r>
      <w:r w:rsidR="009C43A8">
        <w:t>we approve</w:t>
      </w:r>
      <w:r w:rsidR="00E865A4">
        <w:t xml:space="preserve"> in this draft decision to Multinet's proposal, the forecast we approved for 2013</w:t>
      </w:r>
      <w:r w:rsidR="004B78C2">
        <w:t>–</w:t>
      </w:r>
      <w:r w:rsidR="00E865A4">
        <w:t>17 and Multinet's actual opex in that period</w:t>
      </w:r>
      <w:r>
        <w:t>.</w:t>
      </w:r>
    </w:p>
    <w:p w:rsidR="00B812AC" w:rsidRPr="00717324" w:rsidRDefault="00B812AC" w:rsidP="00B812AC">
      <w:pPr>
        <w:pStyle w:val="Caption"/>
      </w:pPr>
      <w:bookmarkStart w:id="74" w:name="_Ref473711065"/>
      <w:bookmarkStart w:id="75" w:name="_GoBack"/>
      <w:bookmarkEnd w:id="75"/>
      <w:r>
        <w:t xml:space="preserve">Figure </w:t>
      </w:r>
      <w:r w:rsidRPr="00A64A3C">
        <w:fldChar w:fldCharType="begin"/>
      </w:r>
      <w:r>
        <w:instrText xml:space="preserve"> STYLEREF 1 \s </w:instrText>
      </w:r>
      <w:r w:rsidRPr="00A64A3C">
        <w:fldChar w:fldCharType="separate"/>
      </w:r>
      <w:r w:rsidR="009270AF">
        <w:rPr>
          <w:noProof/>
        </w:rPr>
        <w:t>7</w:t>
      </w:r>
      <w:r w:rsidRPr="00A64A3C">
        <w:fldChar w:fldCharType="end"/>
      </w:r>
      <w:r>
        <w:t>.</w:t>
      </w:r>
      <w:r w:rsidRPr="00A64A3C">
        <w:fldChar w:fldCharType="begin"/>
      </w:r>
      <w:r>
        <w:instrText xml:space="preserve"> SEQ Figure \* ARABIC \s 1 </w:instrText>
      </w:r>
      <w:r w:rsidRPr="00A64A3C">
        <w:fldChar w:fldCharType="separate"/>
      </w:r>
      <w:r w:rsidR="009270AF">
        <w:rPr>
          <w:noProof/>
        </w:rPr>
        <w:t>1</w:t>
      </w:r>
      <w:r w:rsidRPr="00A64A3C">
        <w:fldChar w:fldCharType="end"/>
      </w:r>
      <w:bookmarkEnd w:id="74"/>
      <w:r>
        <w:tab/>
        <w:t>Our draft decision compared to Multi</w:t>
      </w:r>
      <w:r w:rsidR="0044402E">
        <w:t>net's past and proposed opex ($</w:t>
      </w:r>
      <w:r w:rsidR="002A7B2B">
        <w:t xml:space="preserve"> </w:t>
      </w:r>
      <w:r>
        <w:t>million, 2017)</w:t>
      </w:r>
    </w:p>
    <w:p w:rsidR="00B812AC" w:rsidRDefault="003F5A19" w:rsidP="00B812AC">
      <w:pPr>
        <w:pStyle w:val="AERtablesource"/>
      </w:pPr>
      <w:r w:rsidRPr="003F5A19">
        <w:rPr>
          <w:noProof/>
          <w:lang w:eastAsia="en-AU"/>
        </w:rPr>
        <w:drawing>
          <wp:inline distT="0" distB="0" distL="0" distR="0" wp14:anchorId="13894F4D" wp14:editId="15B4091A">
            <wp:extent cx="5382895" cy="3939861"/>
            <wp:effectExtent l="0" t="0" r="825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939861"/>
                    </a:xfrm>
                    <a:prstGeom prst="rect">
                      <a:avLst/>
                    </a:prstGeom>
                    <a:noFill/>
                    <a:ln>
                      <a:noFill/>
                    </a:ln>
                  </pic:spPr>
                </pic:pic>
              </a:graphicData>
            </a:graphic>
          </wp:inline>
        </w:drawing>
      </w:r>
    </w:p>
    <w:p w:rsidR="00B812AC" w:rsidRDefault="00B812AC" w:rsidP="00B812AC">
      <w:pPr>
        <w:pStyle w:val="AERtablesource"/>
      </w:pPr>
      <w:r>
        <w:t xml:space="preserve">Source: </w:t>
      </w:r>
      <w:r w:rsidR="003C0B6A">
        <w:tab/>
      </w:r>
      <w:r>
        <w:t xml:space="preserve">Multinet, Proposed reset RIN, </w:t>
      </w:r>
      <w:r w:rsidR="00E02ED8">
        <w:t xml:space="preserve">16 December 2016; </w:t>
      </w:r>
      <w:r>
        <w:t xml:space="preserve">AER analysis. </w:t>
      </w:r>
    </w:p>
    <w:p w:rsidR="00B812AC" w:rsidRPr="00C57E0B" w:rsidRDefault="00B812AC" w:rsidP="00B812AC">
      <w:pPr>
        <w:pStyle w:val="AERtablesource"/>
      </w:pPr>
      <w:r w:rsidRPr="00C57E0B">
        <w:t xml:space="preserve">Note: </w:t>
      </w:r>
      <w:r w:rsidR="003C0B6A">
        <w:tab/>
      </w:r>
      <w:r w:rsidRPr="00C57E0B">
        <w:t>Includes debt raising costs.</w:t>
      </w:r>
      <w:r w:rsidR="002B2467">
        <w:t xml:space="preserve"> Excludes movement in provisions and unaccounted for gas.</w:t>
      </w:r>
    </w:p>
    <w:p w:rsidR="00B812AC" w:rsidRDefault="00B812AC" w:rsidP="00B812AC">
      <w:pPr>
        <w:pStyle w:val="Heading2"/>
      </w:pPr>
      <w:bookmarkStart w:id="76" w:name="_Toc475028898"/>
      <w:bookmarkStart w:id="77" w:name="_Toc486838082"/>
      <w:r>
        <w:t xml:space="preserve">Multinet's </w:t>
      </w:r>
      <w:bookmarkStart w:id="78" w:name="_Toc419366914"/>
      <w:r>
        <w:t>proposal</w:t>
      </w:r>
      <w:bookmarkEnd w:id="76"/>
      <w:bookmarkEnd w:id="78"/>
      <w:bookmarkEnd w:id="77"/>
    </w:p>
    <w:p w:rsidR="00B812AC" w:rsidRDefault="00FE5AAB" w:rsidP="00FE5AAB">
      <w:r w:rsidRPr="00FE5AAB">
        <w:t>Multinet proposed total opex of $396.4 million (</w:t>
      </w:r>
      <w:r w:rsidR="00E041D3">
        <w:t xml:space="preserve">$2017) </w:t>
      </w:r>
      <w:r w:rsidR="00F263F5">
        <w:t>for</w:t>
      </w:r>
      <w:r w:rsidR="00E041D3">
        <w:t xml:space="preserve"> the 2018–</w:t>
      </w:r>
      <w:r w:rsidR="00A4390C">
        <w:t xml:space="preserve">22 </w:t>
      </w:r>
      <w:r w:rsidR="00EA34F8">
        <w:t xml:space="preserve">access arrangement </w:t>
      </w:r>
      <w:r w:rsidR="00084B6D">
        <w:t>period.</w:t>
      </w:r>
      <w:r w:rsidR="00084B6D">
        <w:rPr>
          <w:rStyle w:val="FootnoteReference"/>
        </w:rPr>
        <w:footnoteReference w:id="4"/>
      </w:r>
      <w:r w:rsidRPr="00FE5AAB">
        <w:t xml:space="preserve"> </w:t>
      </w:r>
      <w:r w:rsidR="00E02ED8" w:rsidRPr="00FA6629">
        <w:t xml:space="preserve">This is </w:t>
      </w:r>
      <w:r w:rsidR="003F5A19">
        <w:t>13.1</w:t>
      </w:r>
      <w:r w:rsidR="00E02ED8" w:rsidRPr="00FA6629">
        <w:t xml:space="preserve"> per cent more than </w:t>
      </w:r>
      <w:r w:rsidR="00A90868">
        <w:t>its</w:t>
      </w:r>
      <w:r w:rsidR="00E02ED8" w:rsidRPr="00FA6629">
        <w:t xml:space="preserve"> actual opex for the 2013–17 </w:t>
      </w:r>
      <w:r w:rsidR="00E02ED8">
        <w:t>access arrangement</w:t>
      </w:r>
      <w:r w:rsidR="00E02ED8" w:rsidRPr="00FA6629">
        <w:t xml:space="preserve"> period</w:t>
      </w:r>
      <w:r w:rsidR="00B812AC" w:rsidRPr="00ED08EA">
        <w:t>.</w:t>
      </w:r>
      <w:r w:rsidR="00EA34F8">
        <w:rPr>
          <w:rStyle w:val="FootnoteReference"/>
        </w:rPr>
        <w:footnoteReference w:id="5"/>
      </w:r>
      <w:r w:rsidR="00A90868">
        <w:t xml:space="preserve"> The biggest driver of this</w:t>
      </w:r>
      <w:r w:rsidR="00A90868" w:rsidRPr="00FA6629">
        <w:t xml:space="preserve"> increase is </w:t>
      </w:r>
      <w:r w:rsidR="00F263F5">
        <w:t>its</w:t>
      </w:r>
      <w:r w:rsidR="00A90868" w:rsidRPr="00FA6629">
        <w:t xml:space="preserve"> proposed gas marketing step change.</w:t>
      </w:r>
    </w:p>
    <w:p w:rsidR="00B812AC" w:rsidRPr="00ED08EA" w:rsidRDefault="00B812AC" w:rsidP="00B812AC">
      <w:r>
        <w:t xml:space="preserve">In </w:t>
      </w:r>
      <w:r>
        <w:fldChar w:fldCharType="begin"/>
      </w:r>
      <w:r>
        <w:instrText xml:space="preserve"> REF _Ref473711492 \h </w:instrText>
      </w:r>
      <w:r>
        <w:fldChar w:fldCharType="separate"/>
      </w:r>
      <w:r w:rsidR="009270AF">
        <w:t xml:space="preserve">Figure </w:t>
      </w:r>
      <w:r w:rsidR="009270AF">
        <w:rPr>
          <w:noProof/>
        </w:rPr>
        <w:t>7</w:t>
      </w:r>
      <w:r w:rsidR="009270AF">
        <w:t>.</w:t>
      </w:r>
      <w:r w:rsidR="009270AF">
        <w:rPr>
          <w:noProof/>
        </w:rPr>
        <w:t>2</w:t>
      </w:r>
      <w:r>
        <w:fldChar w:fldCharType="end"/>
      </w:r>
      <w:r>
        <w:t xml:space="preserve"> </w:t>
      </w:r>
      <w:r w:rsidR="00DD5268">
        <w:t xml:space="preserve">we separate </w:t>
      </w:r>
      <w:r w:rsidR="00F263F5">
        <w:t>Multinet's</w:t>
      </w:r>
      <w:r w:rsidR="00DD5268">
        <w:t xml:space="preserve"> proposed opex into the different elements that make up its forecast</w:t>
      </w:r>
      <w:r>
        <w:t>.</w:t>
      </w:r>
      <w:r w:rsidRPr="00ED08EA">
        <w:t xml:space="preserve"> </w:t>
      </w:r>
    </w:p>
    <w:p w:rsidR="00B812AC" w:rsidRPr="00ED08EA" w:rsidRDefault="00B812AC" w:rsidP="00B812AC">
      <w:pPr>
        <w:pStyle w:val="Caption"/>
      </w:pPr>
      <w:bookmarkStart w:id="79" w:name="_Ref473711492"/>
      <w:r>
        <w:t xml:space="preserve">Figure </w:t>
      </w:r>
      <w:r w:rsidRPr="00A64A3C">
        <w:fldChar w:fldCharType="begin"/>
      </w:r>
      <w:r>
        <w:instrText xml:space="preserve"> STYLEREF 1 \s </w:instrText>
      </w:r>
      <w:r w:rsidRPr="00A64A3C">
        <w:fldChar w:fldCharType="separate"/>
      </w:r>
      <w:r w:rsidR="009270AF">
        <w:rPr>
          <w:noProof/>
        </w:rPr>
        <w:t>7</w:t>
      </w:r>
      <w:r w:rsidRPr="00A64A3C">
        <w:fldChar w:fldCharType="end"/>
      </w:r>
      <w:r>
        <w:t>.</w:t>
      </w:r>
      <w:r w:rsidRPr="00A64A3C">
        <w:fldChar w:fldCharType="begin"/>
      </w:r>
      <w:r>
        <w:instrText xml:space="preserve"> SEQ Figure \* ARABIC \s 1 </w:instrText>
      </w:r>
      <w:r w:rsidRPr="00A64A3C">
        <w:fldChar w:fldCharType="separate"/>
      </w:r>
      <w:r w:rsidR="009270AF">
        <w:rPr>
          <w:noProof/>
        </w:rPr>
        <w:t>2</w:t>
      </w:r>
      <w:r w:rsidRPr="00A64A3C">
        <w:fldChar w:fldCharType="end"/>
      </w:r>
      <w:bookmarkEnd w:id="79"/>
      <w:r>
        <w:tab/>
        <w:t>Multinet's</w:t>
      </w:r>
      <w:r w:rsidRPr="00ED08EA">
        <w:t xml:space="preserve"> opex </w:t>
      </w:r>
      <w:r>
        <w:t>forecast ($</w:t>
      </w:r>
      <w:r w:rsidR="002A7B2B">
        <w:t xml:space="preserve"> </w:t>
      </w:r>
      <w:r>
        <w:t>million, 20</w:t>
      </w:r>
      <w:r w:rsidRPr="00ED08EA">
        <w:t>17)</w:t>
      </w:r>
    </w:p>
    <w:p w:rsidR="00B812AC" w:rsidRPr="00615D52" w:rsidRDefault="009A1603" w:rsidP="00B812AC">
      <w:pPr>
        <w:pStyle w:val="Source"/>
      </w:pPr>
      <w:r w:rsidRPr="009A1603">
        <w:rPr>
          <w:noProof/>
          <w:lang w:eastAsia="en-AU"/>
        </w:rPr>
        <w:drawing>
          <wp:inline distT="0" distB="0" distL="0" distR="0" wp14:anchorId="7C1A3F27" wp14:editId="15F5BEF8">
            <wp:extent cx="5382895" cy="3938426"/>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938426"/>
                    </a:xfrm>
                    <a:prstGeom prst="rect">
                      <a:avLst/>
                    </a:prstGeom>
                    <a:noFill/>
                    <a:ln>
                      <a:noFill/>
                    </a:ln>
                  </pic:spPr>
                </pic:pic>
              </a:graphicData>
            </a:graphic>
          </wp:inline>
        </w:drawing>
      </w:r>
      <w:r w:rsidR="00B812AC" w:rsidRPr="00615D52">
        <w:t>Source:</w:t>
      </w:r>
      <w:r w:rsidR="00B812AC" w:rsidRPr="00615D52">
        <w:tab/>
      </w:r>
      <w:r w:rsidR="00B812AC">
        <w:t>Multinet</w:t>
      </w:r>
      <w:r w:rsidR="00B812AC" w:rsidRPr="00615D52">
        <w:t xml:space="preserve">, </w:t>
      </w:r>
      <w:r w:rsidR="00B812AC" w:rsidRPr="00615D52">
        <w:rPr>
          <w:rStyle w:val="AERtextitalic"/>
        </w:rPr>
        <w:t>Proposed opex model</w:t>
      </w:r>
      <w:r w:rsidR="00B812AC">
        <w:rPr>
          <w:rStyle w:val="AERtextitalic"/>
        </w:rPr>
        <w:t xml:space="preserve"> </w:t>
      </w:r>
      <w:r w:rsidR="00B812AC" w:rsidRPr="00615D52">
        <w:rPr>
          <w:rStyle w:val="AERtextitalic"/>
        </w:rPr>
        <w:t>and proposed PTRM</w:t>
      </w:r>
      <w:r w:rsidR="00B812AC">
        <w:t xml:space="preserve"> </w:t>
      </w:r>
      <w:r w:rsidR="00E02ED8">
        <w:t>, 16 December 2016.</w:t>
      </w:r>
      <w:r w:rsidR="007B00AC">
        <w:t xml:space="preserve"> </w:t>
      </w:r>
    </w:p>
    <w:p w:rsidR="00B812AC" w:rsidRPr="00ED08EA" w:rsidRDefault="00B812AC" w:rsidP="00B812AC">
      <w:r>
        <w:t>We describe each of these elements below</w:t>
      </w:r>
      <w:r w:rsidRPr="00ED08EA">
        <w:t>:</w:t>
      </w:r>
    </w:p>
    <w:p w:rsidR="00F263F5" w:rsidRDefault="00F263F5" w:rsidP="00E02ED8">
      <w:pPr>
        <w:pStyle w:val="AERbulletlistfirststyle"/>
      </w:pPr>
      <w:r>
        <w:t>Multinet used a base-step-trend</w:t>
      </w:r>
      <w:r w:rsidRPr="00FE5AAB">
        <w:t xml:space="preserve"> </w:t>
      </w:r>
      <w:r>
        <w:t xml:space="preserve">forecasting </w:t>
      </w:r>
      <w:r w:rsidRPr="00FE5AAB">
        <w:t xml:space="preserve">approach.  </w:t>
      </w:r>
    </w:p>
    <w:p w:rsidR="00084B6D" w:rsidRDefault="00B812AC" w:rsidP="00E02ED8">
      <w:pPr>
        <w:pStyle w:val="AERbulletlistfirststyle"/>
      </w:pPr>
      <w:r>
        <w:t>Multinet</w:t>
      </w:r>
      <w:r w:rsidRPr="00ED08EA">
        <w:t xml:space="preserve"> used the</w:t>
      </w:r>
      <w:r>
        <w:t xml:space="preserve"> actual opex it incurred in 20</w:t>
      </w:r>
      <w:r w:rsidRPr="00A64A3C">
        <w:t>16 as the base fo</w:t>
      </w:r>
      <w:r>
        <w:t xml:space="preserve">r forecasting its opex </w:t>
      </w:r>
      <w:r w:rsidR="00E02ED8">
        <w:t>for the</w:t>
      </w:r>
      <w:r>
        <w:t xml:space="preserve"> 2018</w:t>
      </w:r>
      <w:r w:rsidRPr="00A64A3C">
        <w:t>–22</w:t>
      </w:r>
      <w:r w:rsidR="00E02ED8">
        <w:t xml:space="preserve"> access arrangement period</w:t>
      </w:r>
      <w:r w:rsidRPr="00A64A3C">
        <w:t xml:space="preserve">. </w:t>
      </w:r>
      <w:r w:rsidR="00E02ED8" w:rsidRPr="007335B6">
        <w:t>After excluding expenditure for debt raising costs (which it proposed be forecast</w:t>
      </w:r>
      <w:r w:rsidR="00E02ED8">
        <w:t xml:space="preserve"> as category specific forecasts)</w:t>
      </w:r>
      <w:r w:rsidR="00E02ED8" w:rsidRPr="007335B6">
        <w:t xml:space="preserve"> and removing movements in provisions</w:t>
      </w:r>
      <w:r w:rsidR="00E02ED8" w:rsidRPr="00A64A3C">
        <w:t xml:space="preserve">, </w:t>
      </w:r>
      <w:r w:rsidR="00084B6D">
        <w:t>Multinet</w:t>
      </w:r>
      <w:r w:rsidR="00E02ED8">
        <w:t xml:space="preserve"> proposed a</w:t>
      </w:r>
      <w:r w:rsidR="00E02ED8" w:rsidRPr="00A64A3C">
        <w:t xml:space="preserve"> base opex of $</w:t>
      </w:r>
      <w:r w:rsidR="00084B6D">
        <w:t>350.</w:t>
      </w:r>
      <w:r w:rsidR="00253301">
        <w:t>4</w:t>
      </w:r>
      <w:r w:rsidR="00E02ED8">
        <w:t xml:space="preserve"> million ($20</w:t>
      </w:r>
      <w:r w:rsidR="00E02ED8" w:rsidRPr="00A64A3C">
        <w:t>17).</w:t>
      </w:r>
    </w:p>
    <w:p w:rsidR="007C3229" w:rsidRDefault="007C3229" w:rsidP="007C3229">
      <w:pPr>
        <w:pStyle w:val="AERbulletlistfirststyle"/>
      </w:pPr>
      <w:r>
        <w:t>Multinet</w:t>
      </w:r>
      <w:r w:rsidRPr="007C3229">
        <w:t xml:space="preserve"> adopt</w:t>
      </w:r>
      <w:r>
        <w:t>ed</w:t>
      </w:r>
      <w:r w:rsidRPr="007C3229">
        <w:t xml:space="preserve"> our standard approach to calculate the final year increment (the starting point for its forecast). This increased its opex forecast by $</w:t>
      </w:r>
      <w:r>
        <w:t>4.5</w:t>
      </w:r>
      <w:r w:rsidRPr="007C3229">
        <w:t xml:space="preserve"> million ($2017).</w:t>
      </w:r>
    </w:p>
    <w:p w:rsidR="00253301" w:rsidRPr="00A64A3C" w:rsidRDefault="00B812AC" w:rsidP="007C3229">
      <w:pPr>
        <w:pStyle w:val="AERbulletlistfirststyle"/>
      </w:pPr>
      <w:r>
        <w:t>Multinet</w:t>
      </w:r>
      <w:r w:rsidR="00F263F5">
        <w:t>'s</w:t>
      </w:r>
      <w:r w:rsidRPr="00A64A3C">
        <w:t xml:space="preserve"> </w:t>
      </w:r>
      <w:r w:rsidR="00F263F5" w:rsidRPr="000D53B6">
        <w:t>forecast rate of change increased its total opex forecast by $</w:t>
      </w:r>
      <w:r w:rsidR="00F263F5">
        <w:t>14.9</w:t>
      </w:r>
      <w:r w:rsidR="00F263F5" w:rsidRPr="000D53B6">
        <w:t xml:space="preserve"> million ($2017). This was attributable to </w:t>
      </w:r>
      <w:r w:rsidR="00F263F5">
        <w:t xml:space="preserve">output growth of $7.2 million ($2017) and </w:t>
      </w:r>
      <w:r w:rsidR="00F263F5" w:rsidRPr="000D53B6">
        <w:t xml:space="preserve">real </w:t>
      </w:r>
      <w:r w:rsidR="00F263F5">
        <w:t xml:space="preserve">input </w:t>
      </w:r>
      <w:r w:rsidR="00F263F5" w:rsidRPr="000D53B6">
        <w:t>price growth</w:t>
      </w:r>
      <w:r w:rsidR="00F263F5">
        <w:t xml:space="preserve"> of $7.7 million ($2017). It did not forecast any</w:t>
      </w:r>
      <w:r w:rsidR="00F263F5" w:rsidRPr="00A64A3C">
        <w:t xml:space="preserve"> productivity</w:t>
      </w:r>
      <w:r w:rsidR="00F263F5">
        <w:t xml:space="preserve"> growth</w:t>
      </w:r>
      <w:r w:rsidR="00F263F5" w:rsidRPr="00A64A3C">
        <w:t>.</w:t>
      </w:r>
      <w:r w:rsidR="00F263F5">
        <w:t xml:space="preserve"> </w:t>
      </w:r>
    </w:p>
    <w:p w:rsidR="00253301" w:rsidRPr="00A64A3C" w:rsidRDefault="00253301" w:rsidP="00253301">
      <w:pPr>
        <w:pStyle w:val="AERbulletlistfirststyle"/>
      </w:pPr>
      <w:r>
        <w:t>Multinet</w:t>
      </w:r>
      <w:r w:rsidRPr="00ED08EA">
        <w:t xml:space="preserve"> proposed </w:t>
      </w:r>
      <w:r w:rsidR="00F263F5">
        <w:t>a</w:t>
      </w:r>
      <w:r>
        <w:t xml:space="preserve"> step change for a marketing campaign it proposes to undertake in collaboration with the other two Victorian gas distribution businesses</w:t>
      </w:r>
      <w:r w:rsidRPr="00ED08EA">
        <w:t>.</w:t>
      </w:r>
      <w:r>
        <w:t xml:space="preserve"> The step change is $23.3 million ($2017).</w:t>
      </w:r>
      <w:r w:rsidRPr="00A64A3C">
        <w:t xml:space="preserve"> </w:t>
      </w:r>
      <w:r>
        <w:t>It</w:t>
      </w:r>
      <w:r w:rsidRPr="00A64A3C">
        <w:t xml:space="preserve"> accounts for </w:t>
      </w:r>
      <w:r w:rsidR="007C3229">
        <w:t>5.9</w:t>
      </w:r>
      <w:r w:rsidRPr="00A64A3C">
        <w:t xml:space="preserve"> per</w:t>
      </w:r>
      <w:r w:rsidR="00E31D24">
        <w:t xml:space="preserve"> </w:t>
      </w:r>
      <w:r w:rsidRPr="00A64A3C">
        <w:t xml:space="preserve">cent of </w:t>
      </w:r>
      <w:r>
        <w:t>Multinet'</w:t>
      </w:r>
      <w:r w:rsidRPr="00A64A3C">
        <w:t xml:space="preserve">s proposed opex. </w:t>
      </w:r>
    </w:p>
    <w:p w:rsidR="00B812AC" w:rsidRDefault="00B812AC" w:rsidP="00B812AC">
      <w:pPr>
        <w:pStyle w:val="AERbulletlistfirststyle"/>
      </w:pPr>
      <w:r>
        <w:t xml:space="preserve">Multinet forecast </w:t>
      </w:r>
      <w:r w:rsidRPr="00A64A3C">
        <w:t>debt raising costs of $</w:t>
      </w:r>
      <w:r w:rsidR="00E31D24">
        <w:t>3.4</w:t>
      </w:r>
      <w:r w:rsidRPr="00A64A3C">
        <w:t xml:space="preserve"> </w:t>
      </w:r>
      <w:r>
        <w:t>million ($20</w:t>
      </w:r>
      <w:r w:rsidRPr="00A64A3C">
        <w:t xml:space="preserve">17). </w:t>
      </w:r>
      <w:r w:rsidR="00E31D24">
        <w:t>It did not forecast any other category specific forecasts.</w:t>
      </w:r>
    </w:p>
    <w:p w:rsidR="00E31D24" w:rsidRDefault="00E31D24" w:rsidP="00E31D24">
      <w:pPr>
        <w:pStyle w:val="Heading3"/>
      </w:pPr>
      <w:bookmarkStart w:id="80" w:name="_Toc486838083"/>
      <w:r>
        <w:t>Submissions on Multinet's proposal</w:t>
      </w:r>
      <w:bookmarkEnd w:id="80"/>
    </w:p>
    <w:p w:rsidR="00C21D1C" w:rsidRDefault="00C21D1C" w:rsidP="00C21D1C">
      <w:r w:rsidRPr="0090794D">
        <w:t xml:space="preserve">We received </w:t>
      </w:r>
      <w:r>
        <w:t>four</w:t>
      </w:r>
      <w:r w:rsidRPr="0090794D">
        <w:t xml:space="preserve"> submissions </w:t>
      </w:r>
      <w:r w:rsidR="000B48C7">
        <w:t>relating to</w:t>
      </w:r>
      <w:r w:rsidRPr="0090794D">
        <w:t xml:space="preserve"> </w:t>
      </w:r>
      <w:r>
        <w:t>Multinet's</w:t>
      </w:r>
      <w:r w:rsidRPr="0090794D">
        <w:t xml:space="preserve"> opex proposal, from the </w:t>
      </w:r>
      <w:r w:rsidR="00125D57">
        <w:t xml:space="preserve">AER's </w:t>
      </w:r>
      <w:r w:rsidRPr="0090794D">
        <w:t>Consumer Challenge Panel (CCP11),</w:t>
      </w:r>
      <w:r>
        <w:t xml:space="preserve"> United Communities,</w:t>
      </w:r>
      <w:r w:rsidRPr="0090794D">
        <w:t xml:space="preserve"> Origin Energy and AGL.</w:t>
      </w:r>
      <w:r w:rsidR="000B48C7">
        <w:rPr>
          <w:rStyle w:val="FootnoteReference"/>
        </w:rPr>
        <w:footnoteReference w:id="6"/>
      </w:r>
      <w:r w:rsidRPr="0090794D">
        <w:t xml:space="preserve"> They hold varying views of the proposed marketing step change</w:t>
      </w:r>
      <w:r w:rsidRPr="002066F7">
        <w:t xml:space="preserve">. We have regard to these views in our assessment of </w:t>
      </w:r>
      <w:r>
        <w:t>Multinet</w:t>
      </w:r>
      <w:r w:rsidRPr="002066F7">
        <w:t>'</w:t>
      </w:r>
      <w:r>
        <w:t>s</w:t>
      </w:r>
      <w:r w:rsidRPr="002066F7">
        <w:t xml:space="preserve"> proposed step change</w:t>
      </w:r>
      <w:r w:rsidR="0044402E">
        <w:t>.</w:t>
      </w:r>
    </w:p>
    <w:p w:rsidR="00C21D1C" w:rsidRPr="002066F7" w:rsidRDefault="00C21D1C" w:rsidP="00C21D1C">
      <w:r>
        <w:t>Origin Energy also submitted that Multinet's customer numbers and gas throughput forecasts were reasonable.</w:t>
      </w:r>
      <w:r>
        <w:rPr>
          <w:rStyle w:val="FootnoteReference"/>
        </w:rPr>
        <w:footnoteReference w:id="7"/>
      </w:r>
    </w:p>
    <w:p w:rsidR="00E31D24" w:rsidRDefault="003A6E10" w:rsidP="00E31D24">
      <w:pPr>
        <w:pStyle w:val="Heading2"/>
      </w:pPr>
      <w:bookmarkStart w:id="81" w:name="_Toc486838084"/>
      <w:r>
        <w:t>Our</w:t>
      </w:r>
      <w:r w:rsidR="00E31D24" w:rsidRPr="0074565D">
        <w:t xml:space="preserve"> assessment approach</w:t>
      </w:r>
      <w:bookmarkEnd w:id="81"/>
    </w:p>
    <w:p w:rsidR="00C740EE" w:rsidRPr="00613EBB" w:rsidRDefault="00C740EE" w:rsidP="00C740EE">
      <w:r w:rsidRPr="00613EBB">
        <w:t xml:space="preserve">Our role is to decide whether or not to accept a </w:t>
      </w:r>
      <w:r>
        <w:t>business</w:t>
      </w:r>
      <w:r w:rsidRPr="00613EBB">
        <w:t xml:space="preserve">’ forecast opex. We approve the </w:t>
      </w:r>
      <w:r>
        <w:t>business’</w:t>
      </w:r>
      <w:r w:rsidRPr="00613EBB">
        <w:t xml:space="preserve"> forecast opex if we are satisfied that it is consistent with </w:t>
      </w:r>
      <w:r>
        <w:t>the opex criteria:</w:t>
      </w:r>
    </w:p>
    <w:p w:rsidR="00C740EE" w:rsidRPr="00613EBB" w:rsidRDefault="00C740EE" w:rsidP="00C740EE">
      <w:pPr>
        <w:pStyle w:val="AERquote"/>
      </w:pPr>
      <w:r w:rsidRPr="00613EBB">
        <w:t>Operating expenditure must be as such as would be incurred by a prudent service provider acting efficiently, in accordance with accepted good industry practice, to achieve the lowest sustainable cost of delivering pipeline services.</w:t>
      </w:r>
      <w:r>
        <w:rPr>
          <w:rStyle w:val="FootnoteReference"/>
        </w:rPr>
        <w:footnoteReference w:id="8"/>
      </w:r>
      <w:r w:rsidRPr="00613EBB">
        <w:t xml:space="preserve"> </w:t>
      </w:r>
    </w:p>
    <w:p w:rsidR="00C740EE" w:rsidRPr="0023198E" w:rsidRDefault="00C740EE" w:rsidP="00C740EE">
      <w:r>
        <w:t>In reviewing</w:t>
      </w:r>
      <w:r w:rsidRPr="00613EBB">
        <w:t xml:space="preserve"> whether forecast opex is consistent with the opex criteri</w:t>
      </w:r>
      <w:r>
        <w:t>a</w:t>
      </w:r>
      <w:r w:rsidRPr="00613EBB">
        <w:t xml:space="preserve"> we </w:t>
      </w:r>
      <w:r>
        <w:t>also apply</w:t>
      </w:r>
      <w:r w:rsidRPr="00613EBB">
        <w:t xml:space="preserve"> the forecasting and estimate requirements under the NGR</w:t>
      </w:r>
      <w:r>
        <w:t>:</w:t>
      </w:r>
      <w:r w:rsidRPr="00613EBB">
        <w:t xml:space="preserve"> </w:t>
      </w:r>
    </w:p>
    <w:p w:rsidR="00C740EE" w:rsidRPr="0023198E" w:rsidRDefault="00C740EE" w:rsidP="00C740EE">
      <w:pPr>
        <w:pStyle w:val="AERquote"/>
      </w:pPr>
      <w:r w:rsidRPr="0023198E">
        <w:t>A forecast or estimate must be arrived at on a reasonable basis and must represent the best forecast or estimate possible in the circumstances.</w:t>
      </w:r>
      <w:r>
        <w:rPr>
          <w:rStyle w:val="FootnoteReference"/>
        </w:rPr>
        <w:footnoteReference w:id="9"/>
      </w:r>
    </w:p>
    <w:p w:rsidR="00C740EE" w:rsidRDefault="00C740EE" w:rsidP="00C740EE">
      <w:r>
        <w:t>Our approach is to assess the business’ forecast opex over the access arrangement period at a total level, rather than to assess individual opex projects. To do so, we develop an alternative estimate of total opex using a ‘top-down’ forecasting method, known as the ‘base–step–trend’ approach.</w:t>
      </w:r>
      <w:r>
        <w:rPr>
          <w:rStyle w:val="FootnoteReference"/>
        </w:rPr>
        <w:footnoteReference w:id="10"/>
      </w:r>
      <w:r>
        <w:t xml:space="preserve"> The advantage of this forecasting approach is that it largely relies on the business’ aggregate historic (‘revealed’) cost that is shown to be sufficient for the business to operate under its existing regulatory obligations. This contrasts with building a total opex forecast from the ‘bottom up’ using individual opex category or project forecasts. The disadvantage of </w:t>
      </w:r>
      <w:r w:rsidR="00211A5F">
        <w:t xml:space="preserve">the </w:t>
      </w:r>
      <w:r w:rsidR="00B6639C">
        <w:t>bottom-up</w:t>
      </w:r>
      <w:r w:rsidR="00125D57">
        <w:t xml:space="preserve"> </w:t>
      </w:r>
      <w:r>
        <w:t xml:space="preserve">approach is that it is more </w:t>
      </w:r>
      <w:r w:rsidR="00F263F5">
        <w:t>susceptible to forecasting risk</w:t>
      </w:r>
      <w:r>
        <w:t xml:space="preserve"> </w:t>
      </w:r>
      <w:r w:rsidR="00F263F5">
        <w:t>given</w:t>
      </w:r>
      <w:r>
        <w:t xml:space="preserve"> the business has an incentive to inflate its forecasts. </w:t>
      </w:r>
    </w:p>
    <w:p w:rsidR="00C740EE" w:rsidRDefault="00C740EE" w:rsidP="00C740EE">
      <w:r w:rsidRPr="00613EBB">
        <w:t xml:space="preserve">We compare our </w:t>
      </w:r>
      <w:r w:rsidR="00D04539">
        <w:t xml:space="preserve">alternative </w:t>
      </w:r>
      <w:r w:rsidRPr="00613EBB">
        <w:t xml:space="preserve">estimate with the </w:t>
      </w:r>
      <w:r>
        <w:t>business’</w:t>
      </w:r>
      <w:r w:rsidRPr="00613EBB">
        <w:t xml:space="preserve"> total opex forecast to form a view on the reasonableness of the </w:t>
      </w:r>
      <w:r>
        <w:t>business’</w:t>
      </w:r>
      <w:r w:rsidRPr="00613EBB">
        <w:t xml:space="preserve"> proposal. If we are satisfied the </w:t>
      </w:r>
      <w:r>
        <w:t>business’</w:t>
      </w:r>
      <w:r w:rsidRPr="00613EBB">
        <w:t xml:space="preserve"> </w:t>
      </w:r>
      <w:r w:rsidR="00211A5F">
        <w:t xml:space="preserve">total </w:t>
      </w:r>
      <w:r w:rsidRPr="00613EBB">
        <w:t xml:space="preserve">forecast </w:t>
      </w:r>
      <w:r>
        <w:t>meets the NGR requirements</w:t>
      </w:r>
      <w:r w:rsidRPr="00613EBB">
        <w:t xml:space="preserve">, we accept the forecast. If we are not satisfied, we substitute the </w:t>
      </w:r>
      <w:r>
        <w:t>business’</w:t>
      </w:r>
      <w:r w:rsidRPr="00613EBB">
        <w:t xml:space="preserve"> forecast with our alternative estimate.</w:t>
      </w:r>
    </w:p>
    <w:p w:rsidR="00C740EE" w:rsidRDefault="00C740EE" w:rsidP="00C740EE">
      <w:r>
        <w:t xml:space="preserve">In making this decision, we take into account the reasons for the difference </w:t>
      </w:r>
      <w:r w:rsidRPr="0031711D">
        <w:t xml:space="preserve">between our alternative estimate and the </w:t>
      </w:r>
      <w:r>
        <w:t>business’ forecast,</w:t>
      </w:r>
      <w:r w:rsidRPr="0031711D">
        <w:t xml:space="preserve"> </w:t>
      </w:r>
      <w:r>
        <w:t xml:space="preserve">and the </w:t>
      </w:r>
      <w:r w:rsidRPr="0031711D">
        <w:t>material</w:t>
      </w:r>
      <w:r>
        <w:t>ity of that difference. We also take into consideration the interrelationships between the opex forecast and other constituent components of our decision such that our decision is likely to contribute to the achievement of the NGO.</w:t>
      </w:r>
      <w:r>
        <w:rPr>
          <w:rStyle w:val="FootnoteReference"/>
        </w:rPr>
        <w:footnoteReference w:id="11"/>
      </w:r>
      <w:r w:rsidRPr="00CF7503">
        <w:t xml:space="preserve"> </w:t>
      </w:r>
    </w:p>
    <w:p w:rsidR="00C740EE" w:rsidRPr="00CF2ADE" w:rsidRDefault="00C740EE" w:rsidP="00C740EE">
      <w:pPr>
        <w:pStyle w:val="Heading3"/>
      </w:pPr>
      <w:bookmarkStart w:id="82" w:name="_Toc478631101"/>
      <w:bookmarkStart w:id="83" w:name="_Toc483840023"/>
      <w:bookmarkStart w:id="84" w:name="_Ref469402343"/>
      <w:bookmarkStart w:id="85" w:name="_Toc486838085"/>
      <w:r>
        <w:t>Incentive regulation and the 'top-down' approach</w:t>
      </w:r>
      <w:bookmarkEnd w:id="82"/>
      <w:bookmarkEnd w:id="83"/>
      <w:bookmarkEnd w:id="85"/>
    </w:p>
    <w:p w:rsidR="00C740EE" w:rsidRDefault="00C740EE" w:rsidP="00C740EE">
      <w:r w:rsidRPr="008928F5">
        <w:t>A key feature of the regulatory framework is that it is based on incentivi</w:t>
      </w:r>
      <w:r>
        <w:t>s</w:t>
      </w:r>
      <w:r w:rsidRPr="008928F5">
        <w:t xml:space="preserve">ing networks to be as efficient as possible. </w:t>
      </w:r>
      <w:r>
        <w:t>W</w:t>
      </w:r>
      <w:r w:rsidRPr="001F39FC">
        <w:t xml:space="preserve">e apply incentive-based </w:t>
      </w:r>
      <w:r>
        <w:t xml:space="preserve">revenue </w:t>
      </w:r>
      <w:r w:rsidRPr="001F39FC">
        <w:t xml:space="preserve">regulation across </w:t>
      </w:r>
      <w:r>
        <w:t>the</w:t>
      </w:r>
      <w:r w:rsidRPr="001F39FC">
        <w:t xml:space="preserve"> energy networks we regulate</w:t>
      </w:r>
      <w:r>
        <w:t>, including gas networks. More specifically for opex, we rely on the efficiency incentives created by both revenue or price-cap regulation and the efficiency carryover mechanism</w:t>
      </w:r>
      <w:r w:rsidRPr="001F39FC">
        <w:t>.</w:t>
      </w:r>
      <w:r>
        <w:t xml:space="preserve"> </w:t>
      </w:r>
    </w:p>
    <w:p w:rsidR="00C740EE" w:rsidRDefault="00C740EE" w:rsidP="00C740EE">
      <w:r>
        <w:t>Incentive regulation is designed to prevent network businesses from exploiting their natural monopoly position by setting prices in excess of efficient costs.</w:t>
      </w:r>
      <w:r>
        <w:rPr>
          <w:rStyle w:val="FootnoteReference"/>
        </w:rPr>
        <w:footnoteReference w:id="12"/>
      </w:r>
      <w:r>
        <w:t xml:space="preserve"> </w:t>
      </w:r>
      <w:r w:rsidRPr="004D0EA8">
        <w:t>It also provides an incentive for network businesses to minimise costs.</w:t>
      </w:r>
      <w:r>
        <w:t xml:space="preserve"> Incentive regulation is intended to align the commercial goals of the network businesses to the </w:t>
      </w:r>
      <w:r w:rsidRPr="004D0EA8">
        <w:t>objectives of the regulatory regime</w:t>
      </w:r>
      <w:r>
        <w:t>—especially the long term interests of consumers (the NGO).</w:t>
      </w:r>
    </w:p>
    <w:p w:rsidR="00C740EE" w:rsidRDefault="00C740EE" w:rsidP="00C740EE">
      <w:r>
        <w:t>The Productivity Commission explains:</w:t>
      </w:r>
    </w:p>
    <w:p w:rsidR="00C740EE" w:rsidRDefault="00C740EE" w:rsidP="00C740EE">
      <w:pPr>
        <w:pStyle w:val="AERquote"/>
      </w:pPr>
      <w:r w:rsidRPr="008F3919">
        <w:t>Under incentive regulation, the regulator forecasts efficient aggregate costs over the upcoming regulatory period (of usually five years), which it uses to set a revenue allowance for that period. The business makes higher profits if it reduces costs below those forecast by the regulator. In doing so, the business reveals the efficient costs of delivering the service, which would then influence the regulator’s determination in the next period. Accordingly, incentive regulation encourages efficiency while reducing the risks that networks use their monopoly positions to set unreasonably high prices.</w:t>
      </w:r>
      <w:r>
        <w:rPr>
          <w:rStyle w:val="FootnoteReference"/>
        </w:rPr>
        <w:footnoteReference w:id="13"/>
      </w:r>
    </w:p>
    <w:p w:rsidR="00C740EE" w:rsidRDefault="00C740EE" w:rsidP="00C740EE">
      <w:r>
        <w:t>This incentive-based regulatory framework partially overcomes the information asymmetries between the regulated businesses and us, the regulator.</w:t>
      </w:r>
      <w:r>
        <w:rPr>
          <w:rStyle w:val="FootnoteReference"/>
        </w:rPr>
        <w:footnoteReference w:id="14"/>
      </w:r>
      <w:r>
        <w:t xml:space="preserve"> Compared to the regulated businesses, we are at an information disadvantage to identify specific inefficiencies they have or their true efficient costs. However, </w:t>
      </w:r>
      <w:r w:rsidR="00F263F5">
        <w:t xml:space="preserve">as the regulator, </w:t>
      </w:r>
      <w:r>
        <w:t>we need to make judgements about their 'efficient' costs.</w:t>
      </w:r>
      <w:r>
        <w:rPr>
          <w:rStyle w:val="FootnoteReference"/>
        </w:rPr>
        <w:footnoteReference w:id="15"/>
      </w:r>
    </w:p>
    <w:p w:rsidR="00C740EE" w:rsidRDefault="00C740EE" w:rsidP="00C740EE">
      <w:r>
        <w:t xml:space="preserve">Incentive regulation encourages regulated businesses to reduce costs below forecast levels and ‘reveal’ their efficient costs in doing so. The information revealed by the businesses allows us to develop better expenditure forecasts over time. </w:t>
      </w:r>
      <w:r w:rsidRPr="00D56EC4">
        <w:t xml:space="preserve">Revealed opex reflects the efficiency gains made by a business over time. As </w:t>
      </w:r>
      <w:r>
        <w:t>a network</w:t>
      </w:r>
      <w:r w:rsidRPr="00D56EC4">
        <w:t xml:space="preserve"> business becomes more efficient, this translates to lower forecast</w:t>
      </w:r>
      <w:r>
        <w:t>s of</w:t>
      </w:r>
      <w:r w:rsidRPr="00D56EC4">
        <w:t xml:space="preserve"> opex in future regulatory periods, which means consumers also receive the benefits of the efficiency gains made by the business.</w:t>
      </w:r>
      <w:r>
        <w:t xml:space="preserve"> Incentive regulation therefore aligns the business’ commercial interests with consumer interests. </w:t>
      </w:r>
    </w:p>
    <w:p w:rsidR="00C740EE" w:rsidRDefault="00C740EE" w:rsidP="00C740EE">
      <w:r>
        <w:t xml:space="preserve">Incentive regulation is </w:t>
      </w:r>
      <w:r w:rsidRPr="00F6149B">
        <w:t>designed to leave the day-to-day decisions to the network business</w:t>
      </w:r>
      <w:r>
        <w:t>es.</w:t>
      </w:r>
      <w:r>
        <w:rPr>
          <w:rStyle w:val="FootnoteReference"/>
        </w:rPr>
        <w:footnoteReference w:id="16"/>
      </w:r>
      <w:r>
        <w:t xml:space="preserve"> It</w:t>
      </w:r>
      <w:r w:rsidRPr="00C31089">
        <w:t xml:space="preserve"> allow</w:t>
      </w:r>
      <w:r>
        <w:t>s</w:t>
      </w:r>
      <w:r w:rsidRPr="00C31089">
        <w:t xml:space="preserve"> the </w:t>
      </w:r>
      <w:r>
        <w:t xml:space="preserve">network </w:t>
      </w:r>
      <w:r w:rsidRPr="00C31089">
        <w:t>business</w:t>
      </w:r>
      <w:r>
        <w:t xml:space="preserve">es </w:t>
      </w:r>
      <w:r w:rsidRPr="00C31089">
        <w:t xml:space="preserve">the flexibility to manage </w:t>
      </w:r>
      <w:r>
        <w:t>their</w:t>
      </w:r>
      <w:r w:rsidRPr="00C31089">
        <w:t xml:space="preserve"> assets and labour as </w:t>
      </w:r>
      <w:r>
        <w:t>they see</w:t>
      </w:r>
      <w:r w:rsidRPr="00C31089">
        <w:t xml:space="preserve"> fit to </w:t>
      </w:r>
      <w:r>
        <w:t xml:space="preserve">comply with the opex criteria and </w:t>
      </w:r>
      <w:r w:rsidRPr="00C31089">
        <w:t xml:space="preserve">achieve the </w:t>
      </w:r>
      <w:r>
        <w:t>NGO</w:t>
      </w:r>
      <w:r w:rsidRPr="00C31089">
        <w:t>.</w:t>
      </w:r>
      <w:r>
        <w:t xml:space="preserve"> </w:t>
      </w:r>
    </w:p>
    <w:p w:rsidR="00C740EE" w:rsidRPr="00BC1597" w:rsidRDefault="00C740EE" w:rsidP="00C740EE">
      <w:r>
        <w:t xml:space="preserve">Our decision does not set the business' actual operating budget over the access arrangement period. </w:t>
      </w:r>
      <w:r w:rsidR="009C43A8">
        <w:t>W</w:t>
      </w:r>
      <w:r w:rsidRPr="00444C60">
        <w:t xml:space="preserve">e </w:t>
      </w:r>
      <w:r>
        <w:t xml:space="preserve">assess </w:t>
      </w:r>
      <w:r w:rsidRPr="00444C60">
        <w:t xml:space="preserve">whether opex </w:t>
      </w:r>
      <w:r w:rsidRPr="00507EB3">
        <w:rPr>
          <w:rStyle w:val="Emphasis"/>
        </w:rPr>
        <w:t>in aggregate</w:t>
      </w:r>
      <w:r>
        <w:t xml:space="preserve"> </w:t>
      </w:r>
      <w:r w:rsidRPr="00444C60">
        <w:t>is sufficient to satisfy the opex criteria, not</w:t>
      </w:r>
      <w:r>
        <w:t xml:space="preserve"> </w:t>
      </w:r>
      <w:r w:rsidR="009C43A8">
        <w:t xml:space="preserve">the </w:t>
      </w:r>
      <w:r>
        <w:t>increases or decreases of individual opex activities</w:t>
      </w:r>
      <w:r w:rsidRPr="00444C60">
        <w:t xml:space="preserve">. </w:t>
      </w:r>
      <w:r w:rsidRPr="00C47EEC">
        <w:t xml:space="preserve">We do </w:t>
      </w:r>
      <w:r w:rsidRPr="00BC1597">
        <w:t xml:space="preserve">not determine what opex activities a network business should undertake or how much it should spend on particular categories of opex. </w:t>
      </w:r>
      <w:r>
        <w:t>I</w:t>
      </w:r>
      <w:r w:rsidRPr="00BC1597">
        <w:t xml:space="preserve">t is for the business to decide which suite of projects and programs it </w:t>
      </w:r>
      <w:r>
        <w:t xml:space="preserve">should undertake to deliver services to its customers while meeting </w:t>
      </w:r>
      <w:r w:rsidRPr="00BC1597">
        <w:t xml:space="preserve">its obligations. </w:t>
      </w:r>
      <w:r w:rsidRPr="008E44C9">
        <w:t>If an opex project does not produce a net benefit to the business, and there is no obligation, the business is unlikely to have an incentive to undertake that opex project.</w:t>
      </w:r>
    </w:p>
    <w:p w:rsidR="00C740EE" w:rsidRPr="00CF2ADE" w:rsidRDefault="00C740EE" w:rsidP="00C740EE">
      <w:pPr>
        <w:pStyle w:val="Heading3"/>
      </w:pPr>
      <w:bookmarkStart w:id="86" w:name="_Toc483840024"/>
      <w:bookmarkStart w:id="87" w:name="_Toc486838086"/>
      <w:bookmarkEnd w:id="84"/>
      <w:r w:rsidRPr="00C47EEC">
        <w:t>Building an alternative estimate of total forecas</w:t>
      </w:r>
      <w:r w:rsidRPr="00CF2ADE">
        <w:t>t opex</w:t>
      </w:r>
      <w:bookmarkEnd w:id="86"/>
      <w:bookmarkEnd w:id="87"/>
      <w:r w:rsidRPr="00CF2ADE">
        <w:t xml:space="preserve"> </w:t>
      </w:r>
    </w:p>
    <w:p w:rsidR="00C740EE" w:rsidRPr="00BC1597" w:rsidRDefault="00C740EE" w:rsidP="00C740EE">
      <w:r w:rsidRPr="00BC1597">
        <w:t>As a comparison tool to assess a business’ opex forecast</w:t>
      </w:r>
      <w:r w:rsidRPr="009C191F">
        <w:t xml:space="preserve">, we develop </w:t>
      </w:r>
      <w:r w:rsidRPr="00582F55">
        <w:t xml:space="preserve">an alternative estimate of the business' total opex requirements in the </w:t>
      </w:r>
      <w:r w:rsidRPr="00C47EEC">
        <w:t xml:space="preserve">forecast </w:t>
      </w:r>
      <w:r w:rsidRPr="00BC1597">
        <w:t>period, using the base</w:t>
      </w:r>
      <w:r>
        <w:t>–</w:t>
      </w:r>
      <w:r w:rsidRPr="00BC1597">
        <w:t>step</w:t>
      </w:r>
      <w:r>
        <w:t>–</w:t>
      </w:r>
      <w:r w:rsidRPr="00BC1597">
        <w:t xml:space="preserve">trend forecasting approach. </w:t>
      </w:r>
    </w:p>
    <w:p w:rsidR="00C740EE" w:rsidRPr="00582F55" w:rsidRDefault="00C740EE" w:rsidP="00C740EE">
      <w:r>
        <w:t>If</w:t>
      </w:r>
      <w:r w:rsidRPr="00BC1597">
        <w:t xml:space="preserve"> the business adopts a different forecasting approach</w:t>
      </w:r>
      <w:r w:rsidRPr="003D7509">
        <w:t xml:space="preserve"> </w:t>
      </w:r>
      <w:r w:rsidRPr="00BC1597">
        <w:t>to derive its opex forecast, we assess the basis</w:t>
      </w:r>
      <w:r>
        <w:t xml:space="preserve"> for those differences,</w:t>
      </w:r>
      <w:r w:rsidRPr="00BC1597">
        <w:t xml:space="preserve"> and whether the opex forecast is the best forecast or estimate possible in the circumstances</w:t>
      </w:r>
      <w:r>
        <w:t>.</w:t>
      </w:r>
      <w:r w:rsidRPr="009C191F">
        <w:t xml:space="preserve"> </w:t>
      </w:r>
    </w:p>
    <w:p w:rsidR="00C740EE" w:rsidRDefault="00C740EE" w:rsidP="00C740EE">
      <w:r w:rsidRPr="00C47EEC">
        <w:t>There are three bro</w:t>
      </w:r>
      <w:r>
        <w:t>ad stages to the base–</w:t>
      </w:r>
      <w:r w:rsidRPr="00BC1597">
        <w:t>step</w:t>
      </w:r>
      <w:r>
        <w:t>–</w:t>
      </w:r>
      <w:r w:rsidRPr="00BC1597">
        <w:t>trend approach, as summarised in</w:t>
      </w:r>
      <w:r>
        <w:t xml:space="preserve"> </w:t>
      </w:r>
      <w:r>
        <w:fldChar w:fldCharType="begin"/>
      </w:r>
      <w:r>
        <w:instrText xml:space="preserve"> REF _Ref483482608 \h </w:instrText>
      </w:r>
      <w:r>
        <w:fldChar w:fldCharType="separate"/>
      </w:r>
      <w:r w:rsidR="009270AF">
        <w:t xml:space="preserve">Figure </w:t>
      </w:r>
      <w:r w:rsidR="009270AF">
        <w:rPr>
          <w:noProof/>
        </w:rPr>
        <w:t>7</w:t>
      </w:r>
      <w:r w:rsidR="009270AF">
        <w:t>.</w:t>
      </w:r>
      <w:r w:rsidR="009270AF">
        <w:rPr>
          <w:noProof/>
        </w:rPr>
        <w:t>3</w:t>
      </w:r>
      <w:r>
        <w:fldChar w:fldCharType="end"/>
      </w:r>
      <w:r>
        <w:t>.</w:t>
      </w:r>
    </w:p>
    <w:p w:rsidR="00C740EE" w:rsidRDefault="00C740EE" w:rsidP="00C740EE">
      <w:pPr>
        <w:pStyle w:val="Caption"/>
      </w:pPr>
      <w:bookmarkStart w:id="88" w:name="_Ref483482608"/>
      <w:r>
        <w:t xml:space="preserve">Figure </w:t>
      </w:r>
      <w:r w:rsidRPr="00C740EE">
        <w:fldChar w:fldCharType="begin"/>
      </w:r>
      <w:r>
        <w:instrText xml:space="preserve"> STYLEREF 1 \s </w:instrText>
      </w:r>
      <w:r w:rsidRPr="00C740EE">
        <w:fldChar w:fldCharType="separate"/>
      </w:r>
      <w:r w:rsidR="009270AF">
        <w:rPr>
          <w:noProof/>
        </w:rPr>
        <w:t>7</w:t>
      </w:r>
      <w:r w:rsidRPr="00C740EE">
        <w:fldChar w:fldCharType="end"/>
      </w:r>
      <w:r>
        <w:t>.</w:t>
      </w:r>
      <w:fldSimple w:instr=" SEQ Figure \* ARABIC \s 1 ">
        <w:r w:rsidR="009270AF">
          <w:rPr>
            <w:noProof/>
          </w:rPr>
          <w:t>3</w:t>
        </w:r>
      </w:fldSimple>
      <w:bookmarkEnd w:id="88"/>
      <w:r w:rsidRPr="008E44C9">
        <w:tab/>
        <w:t xml:space="preserve">Our opex assessment approach </w:t>
      </w:r>
    </w:p>
    <w:p w:rsidR="006104F9" w:rsidRDefault="00612246" w:rsidP="006104F9">
      <w:r w:rsidRPr="00612246">
        <w:rPr>
          <w:noProof/>
          <w:lang w:eastAsia="en-AU"/>
        </w:rPr>
        <w:drawing>
          <wp:inline distT="0" distB="0" distL="0" distR="0" wp14:anchorId="0FABF70E" wp14:editId="53318816">
            <wp:extent cx="5382895" cy="6032830"/>
            <wp:effectExtent l="0" t="0" r="825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6032830"/>
                    </a:xfrm>
                    <a:prstGeom prst="rect">
                      <a:avLst/>
                    </a:prstGeom>
                    <a:noFill/>
                    <a:ln>
                      <a:noFill/>
                    </a:ln>
                  </pic:spPr>
                </pic:pic>
              </a:graphicData>
            </a:graphic>
          </wp:inline>
        </w:drawing>
      </w:r>
    </w:p>
    <w:p w:rsidR="00B6639C" w:rsidRPr="006104F9" w:rsidRDefault="00B6639C" w:rsidP="006104F9"/>
    <w:p w:rsidR="00C740EE" w:rsidRPr="009C191F" w:rsidRDefault="00C740EE" w:rsidP="006104F9">
      <w:pPr>
        <w:pStyle w:val="Heading4"/>
      </w:pPr>
      <w:bookmarkStart w:id="89" w:name="_Toc478631103"/>
      <w:r w:rsidRPr="009C191F">
        <w:t>Base opex</w:t>
      </w:r>
      <w:bookmarkEnd w:id="89"/>
    </w:p>
    <w:p w:rsidR="00C740EE" w:rsidRPr="00BC1597" w:rsidRDefault="00C740EE" w:rsidP="00C740EE">
      <w:r w:rsidRPr="00BC1597">
        <w:t xml:space="preserve">We use the </w:t>
      </w:r>
      <w:r>
        <w:t>business</w:t>
      </w:r>
      <w:r w:rsidRPr="00BC1597">
        <w:t xml:space="preserve">’ actual opex in a single year as the starting point for our </w:t>
      </w:r>
      <w:r w:rsidR="00D04539">
        <w:t>alternative estimate</w:t>
      </w:r>
      <w:r w:rsidRPr="00BC1597">
        <w:t>. This is the base opex.</w:t>
      </w:r>
    </w:p>
    <w:p w:rsidR="00C740EE" w:rsidRPr="00BC1597" w:rsidRDefault="00C740EE" w:rsidP="00C740EE">
      <w:r w:rsidRPr="00BC1597">
        <w:t xml:space="preserve">We rely on the incentives under revenue regulation and </w:t>
      </w:r>
      <w:r w:rsidR="00F263F5">
        <w:t xml:space="preserve">any </w:t>
      </w:r>
      <w:r w:rsidRPr="00BC1597">
        <w:t xml:space="preserve">applicable efficiency incentive scheme to determine whether a </w:t>
      </w:r>
      <w:r>
        <w:t>business’</w:t>
      </w:r>
      <w:r w:rsidRPr="00BC1597">
        <w:t xml:space="preserve"> ‘revealed’ opex is efficient.</w:t>
      </w:r>
      <w:r w:rsidR="009C43A8">
        <w:rPr>
          <w:rStyle w:val="FootnoteReference"/>
        </w:rPr>
        <w:footnoteReference w:id="17"/>
      </w:r>
      <w:r w:rsidRPr="00BC1597">
        <w:t xml:space="preserve"> We also assess the evidence the business submits to demonstrate the efficiency of its base opex. To the extent that it is available, we may use benchmarking to test the efficiency of the base opex. </w:t>
      </w:r>
      <w:r>
        <w:t>Benchmarking</w:t>
      </w:r>
      <w:r w:rsidRPr="00992B0B">
        <w:t xml:space="preserve"> is a way of determining how well a network business is performing against its peers and over time, and provides valuable information on what is ‘best practice’</w:t>
      </w:r>
      <w:r>
        <w:t>.</w:t>
      </w:r>
    </w:p>
    <w:p w:rsidR="00C740EE" w:rsidRPr="00BC1597" w:rsidRDefault="00C740EE" w:rsidP="00C740EE">
      <w:r w:rsidRPr="00BC1597">
        <w:t xml:space="preserve">If </w:t>
      </w:r>
      <w:r>
        <w:t>there are indications the business’ revealed opex is</w:t>
      </w:r>
      <w:r w:rsidRPr="00BC1597">
        <w:t xml:space="preserve"> inefficient, we may</w:t>
      </w:r>
      <w:r>
        <w:t xml:space="preserve"> </w:t>
      </w:r>
      <w:r w:rsidRPr="00BC1597">
        <w:t>apply an efficiency adjustment to derive a base opex that complies with the opex criteria.</w:t>
      </w:r>
      <w:r>
        <w:t xml:space="preserve"> </w:t>
      </w:r>
    </w:p>
    <w:p w:rsidR="00C740EE" w:rsidRDefault="00C740EE" w:rsidP="00C740EE">
      <w:r w:rsidRPr="00360677">
        <w:t xml:space="preserve">We consider revealed opex in </w:t>
      </w:r>
      <w:r>
        <w:t xml:space="preserve">the base year </w:t>
      </w:r>
      <w:r w:rsidRPr="00360677">
        <w:t xml:space="preserve">is generally a good indicator of opex requirements </w:t>
      </w:r>
      <w:r>
        <w:t xml:space="preserve">over </w:t>
      </w:r>
      <w:r w:rsidRPr="00360677">
        <w:t>the next period</w:t>
      </w:r>
      <w:r>
        <w:t xml:space="preserve"> because the level of </w:t>
      </w:r>
      <w:r w:rsidRPr="008E44C9">
        <w:rPr>
          <w:rStyle w:val="Emphasis"/>
        </w:rPr>
        <w:t>total opex</w:t>
      </w:r>
      <w:r w:rsidRPr="00360677">
        <w:t xml:space="preserve"> is </w:t>
      </w:r>
      <w:r>
        <w:t xml:space="preserve">relatively stable over time. This reflects the broadly predictable and recurrent nature of opex. </w:t>
      </w:r>
    </w:p>
    <w:p w:rsidR="00C740EE" w:rsidRDefault="00C740EE" w:rsidP="00C740EE">
      <w:r>
        <w:t>A business may experience fluctuations in particular categories of opex, and the composition of total opex can change, from year-to-year. While many operation and maintenance activities are recurrent and non-volatile, some opex projects follow periodic cycles that may or may not occur in any given year, and some opex projects are non-recurrent.</w:t>
      </w:r>
    </w:p>
    <w:p w:rsidR="00C740EE" w:rsidRDefault="00C740EE" w:rsidP="00C740EE">
      <w:r>
        <w:t xml:space="preserve">Even if disaggregated opex categories have high volatility, total opex varies to a lesser extent because new or increasing components of opex are generally offset by decreasing costs or discontinued opex projects. </w:t>
      </w:r>
      <w:r w:rsidR="00EF4B45">
        <w:t>T</w:t>
      </w:r>
      <w:r w:rsidR="00EF4B45" w:rsidRPr="00E700D4">
        <w:t>o the extent they do not offset each other</w:t>
      </w:r>
      <w:r w:rsidR="00EF4B45">
        <w:t xml:space="preserve">, </w:t>
      </w:r>
      <w:r>
        <w:t>we</w:t>
      </w:r>
      <w:r w:rsidRPr="00E700D4">
        <w:t xml:space="preserve"> expect the </w:t>
      </w:r>
      <w:r>
        <w:t>regulated business</w:t>
      </w:r>
      <w:r w:rsidRPr="00E700D4">
        <w:t xml:space="preserve"> to manage the inevitable 'ups and downs' in the components of opex from year-to-year</w:t>
      </w:r>
      <w:r w:rsidR="00EF4B45">
        <w:t xml:space="preserve">, </w:t>
      </w:r>
      <w:r w:rsidRPr="00E700D4">
        <w:t xml:space="preserve">by continually re-prioritising its work program, as would be expected in a </w:t>
      </w:r>
      <w:r>
        <w:t>competitive market.</w:t>
      </w:r>
    </w:p>
    <w:p w:rsidR="00C740EE" w:rsidRPr="00D1210B" w:rsidRDefault="00C740EE" w:rsidP="00C740EE">
      <w:pPr>
        <w:rPr>
          <w:rStyle w:val="AERbody"/>
        </w:rPr>
      </w:pPr>
      <w:r w:rsidRPr="00D1210B">
        <w:rPr>
          <w:rStyle w:val="AERbody"/>
        </w:rPr>
        <w:t xml:space="preserve">We also note that any volatility of total opex from year-to-year does not typically impact our choice of the appropriate base year. A consequence of the operation of the </w:t>
      </w:r>
      <w:r>
        <w:t>efficiency carryover mechanism</w:t>
      </w:r>
      <w:r>
        <w:rPr>
          <w:rStyle w:val="AERbody"/>
        </w:rPr>
        <w:t xml:space="preserve"> </w:t>
      </w:r>
      <w:r w:rsidRPr="00D1210B">
        <w:rPr>
          <w:rStyle w:val="AERbody"/>
        </w:rPr>
        <w:t xml:space="preserve">is that the forecast opex allowance (including </w:t>
      </w:r>
      <w:r>
        <w:t>efficiency carryover mechanism</w:t>
      </w:r>
      <w:r w:rsidRPr="00D1210B">
        <w:rPr>
          <w:rStyle w:val="AERbody"/>
        </w:rPr>
        <w:t xml:space="preserve"> rewards and penalties) is largely uninfluenced by the choice of base year</w:t>
      </w:r>
      <w:r>
        <w:rPr>
          <w:rStyle w:val="AERbody"/>
        </w:rPr>
        <w:t>. For example, a</w:t>
      </w:r>
      <w:r w:rsidRPr="00F95388">
        <w:rPr>
          <w:rStyle w:val="AERbody"/>
        </w:rPr>
        <w:t>lthough using a base year with unusually high opex would typically result in an increased opex forecast, this would be offset by a lower efficiency carryover mechanism reward (or a greater penalty).</w:t>
      </w:r>
      <w:r w:rsidRPr="00D1210B">
        <w:rPr>
          <w:rStyle w:val="AERbody"/>
        </w:rPr>
        <w:t xml:space="preserve"> </w:t>
      </w:r>
    </w:p>
    <w:p w:rsidR="00C740EE" w:rsidRDefault="00C740EE" w:rsidP="00C740EE">
      <w:r w:rsidRPr="008E44C9">
        <w:t xml:space="preserve">If the business has demonstrated its ability to satisfy its obligations and service demand using its revealed costs, </w:t>
      </w:r>
      <w:r>
        <w:t>any</w:t>
      </w:r>
      <w:r w:rsidRPr="008E44C9">
        <w:t xml:space="preserve"> further adjustments to base opex</w:t>
      </w:r>
      <w:r>
        <w:t xml:space="preserve"> risk introducing bias into the </w:t>
      </w:r>
      <w:r w:rsidRPr="008E44C9">
        <w:t>forecast</w:t>
      </w:r>
      <w:r>
        <w:t>—including through bottom-up type assessments. We therefore carefully scrutinise any such proposed adjustments</w:t>
      </w:r>
      <w:r w:rsidRPr="008E44C9">
        <w:t xml:space="preserve">. </w:t>
      </w:r>
    </w:p>
    <w:p w:rsidR="00EF4B45" w:rsidRDefault="00EF4B45" w:rsidP="00C740EE"/>
    <w:p w:rsidR="00EF4B45" w:rsidRPr="008E44C9" w:rsidRDefault="00EF4B45" w:rsidP="00C740EE"/>
    <w:p w:rsidR="00C740EE" w:rsidRDefault="00C740EE" w:rsidP="00C740EE">
      <w:pPr>
        <w:pStyle w:val="Heading4"/>
      </w:pPr>
      <w:bookmarkStart w:id="90" w:name="_Toc478631104"/>
      <w:r>
        <w:t>Rate of change</w:t>
      </w:r>
      <w:bookmarkEnd w:id="90"/>
    </w:p>
    <w:p w:rsidR="00C740EE" w:rsidRDefault="00C740EE" w:rsidP="00C740EE">
      <w:r>
        <w:t>W</w:t>
      </w:r>
      <w:r w:rsidRPr="00C31089">
        <w:t xml:space="preserve">e trend base opex forward by applying our forecast 'rate of change'. </w:t>
      </w:r>
      <w:r>
        <w:t>We estimate the rate of change by forecasting the expected growth in input prices, outputs and productivity. W</w:t>
      </w:r>
      <w:r w:rsidRPr="00827D31">
        <w:t>e consider the rate of change should capture almost all drivers of opex growth</w:t>
      </w:r>
      <w:r w:rsidRPr="00C31089">
        <w:t>.</w:t>
      </w:r>
    </w:p>
    <w:p w:rsidR="00C740EE" w:rsidRPr="005D4C2A" w:rsidRDefault="00C740EE" w:rsidP="00C740EE">
      <w:r w:rsidRPr="005D4C2A">
        <w:t xml:space="preserve">We forecast </w:t>
      </w:r>
      <w:r>
        <w:t>input</w:t>
      </w:r>
      <w:r w:rsidRPr="005D4C2A">
        <w:t xml:space="preserve"> price growth using a composition of labour and </w:t>
      </w:r>
      <w:r>
        <w:t>non-labour</w:t>
      </w:r>
      <w:r w:rsidR="00EF4B45">
        <w:t xml:space="preserve"> price change</w:t>
      </w:r>
      <w:r w:rsidRPr="005D4C2A">
        <w:t xml:space="preserve"> forecasts</w:t>
      </w:r>
      <w:r>
        <w:t>.</w:t>
      </w:r>
      <w:r w:rsidRPr="005D4C2A">
        <w:t xml:space="preserve"> </w:t>
      </w:r>
      <w:r>
        <w:t xml:space="preserve">To determine the input price weights for labour and non-labour prices we have regard to the input price weights of a prudent and </w:t>
      </w:r>
      <w:r w:rsidRPr="004331FD">
        <w:t xml:space="preserve">efficient benchmark business. </w:t>
      </w:r>
      <w:r>
        <w:t>Consistent with incentive regulation, t</w:t>
      </w:r>
      <w:r w:rsidRPr="004331FD">
        <w:t>his</w:t>
      </w:r>
      <w:r>
        <w:t xml:space="preserve"> provides the business an incentive to </w:t>
      </w:r>
      <w:r w:rsidRPr="0055781A">
        <w:t>adopt the most efficient mix of inputs</w:t>
      </w:r>
      <w:r>
        <w:t xml:space="preserve"> throughout the access arrangement period but</w:t>
      </w:r>
      <w:r w:rsidRPr="001E5F0B">
        <w:t xml:space="preserve"> does not </w:t>
      </w:r>
      <w:r w:rsidRPr="00C47EEC">
        <w:t xml:space="preserve">prevent the business </w:t>
      </w:r>
      <w:r w:rsidRPr="00F15A19">
        <w:t>from</w:t>
      </w:r>
      <w:r w:rsidRPr="00BC1597">
        <w:t xml:space="preserve"> adopting its own mix of</w:t>
      </w:r>
      <w:r>
        <w:t xml:space="preserve"> inputs. </w:t>
      </w:r>
    </w:p>
    <w:p w:rsidR="00C740EE" w:rsidRDefault="00C740EE" w:rsidP="00C740EE">
      <w:r w:rsidRPr="005D4C2A">
        <w:t>We forecast output growth to account for annual increase in output. The output measures used should be the same measures used to forecast productivity growth.</w:t>
      </w:r>
      <w:r w:rsidRPr="0055781A">
        <w:t xml:space="preserve"> </w:t>
      </w:r>
      <w:r>
        <w:t xml:space="preserve">Productivity measures the change in output for a given amount of input. If the output measures differ from the productivity measures, they would be internally inconsistent and we cannot compare them like for like. </w:t>
      </w:r>
    </w:p>
    <w:p w:rsidR="00C740EE" w:rsidRDefault="00C740EE" w:rsidP="00C740EE">
      <w:r>
        <w:t xml:space="preserve">Our forecast of </w:t>
      </w:r>
      <w:r w:rsidRPr="00573B20">
        <w:t xml:space="preserve">productivity growth </w:t>
      </w:r>
      <w:r>
        <w:t xml:space="preserve">represents our </w:t>
      </w:r>
      <w:r w:rsidRPr="00573B20">
        <w:t xml:space="preserve">best estimate of </w:t>
      </w:r>
      <w:r>
        <w:t xml:space="preserve">the </w:t>
      </w:r>
      <w:r w:rsidRPr="00573B20">
        <w:t>shift</w:t>
      </w:r>
      <w:r>
        <w:t xml:space="preserve"> in the industry 'efficiency frontier'. We generally base our</w:t>
      </w:r>
      <w:r w:rsidRPr="00573B20">
        <w:t xml:space="preserve"> estimate </w:t>
      </w:r>
      <w:r>
        <w:t xml:space="preserve">of productivity growth </w:t>
      </w:r>
      <w:r w:rsidRPr="00573B20">
        <w:t>on recent productivity trends</w:t>
      </w:r>
      <w:r>
        <w:t xml:space="preserve">. Where we consider historic productivity growth does not represent 'business-as-usual' conditions we do not use it to forecast future productivity growth. </w:t>
      </w:r>
    </w:p>
    <w:p w:rsidR="00C740EE" w:rsidRDefault="00C740EE" w:rsidP="00C740EE">
      <w:pPr>
        <w:pStyle w:val="Heading4"/>
      </w:pPr>
      <w:bookmarkStart w:id="91" w:name="_Toc474853194"/>
      <w:bookmarkStart w:id="92" w:name="_Toc478631105"/>
      <w:bookmarkEnd w:id="91"/>
      <w:r>
        <w:t>Step changes and category-specific forecasts</w:t>
      </w:r>
      <w:bookmarkEnd w:id="92"/>
    </w:p>
    <w:p w:rsidR="00C740EE" w:rsidRDefault="00C740EE" w:rsidP="00C740EE">
      <w:r>
        <w:t>Lastly, we</w:t>
      </w:r>
      <w:r w:rsidRPr="00C31089">
        <w:t xml:space="preserve"> add or subtract any components of opex that are not </w:t>
      </w:r>
      <w:r>
        <w:t xml:space="preserve">adequately compensated for in </w:t>
      </w:r>
      <w:r w:rsidRPr="00C31089">
        <w:t>base opex or the rate of change</w:t>
      </w:r>
      <w:r>
        <w:t>, but which should be included so that the forecast total opex meets the opex criteria. These adjustments are in the form of</w:t>
      </w:r>
      <w:r w:rsidRPr="00C31089">
        <w:t xml:space="preserve"> 'step changes' or</w:t>
      </w:r>
      <w:r>
        <w:t xml:space="preserve"> '</w:t>
      </w:r>
      <w:r w:rsidRPr="00C31089">
        <w:t>category</w:t>
      </w:r>
      <w:r>
        <w:t>-</w:t>
      </w:r>
      <w:r w:rsidRPr="00C31089">
        <w:t>specific forecasts</w:t>
      </w:r>
      <w:r>
        <w:t>'</w:t>
      </w:r>
      <w:r w:rsidRPr="00C31089">
        <w:t>.</w:t>
      </w:r>
    </w:p>
    <w:p w:rsidR="00C740EE" w:rsidRDefault="00C740EE" w:rsidP="00C740EE">
      <w:pPr>
        <w:pStyle w:val="HeadingBoldItalic"/>
      </w:pPr>
      <w:bookmarkStart w:id="93" w:name="_Toc478631106"/>
      <w:r>
        <w:t>Step changes</w:t>
      </w:r>
      <w:bookmarkEnd w:id="93"/>
      <w:r>
        <w:t xml:space="preserve"> </w:t>
      </w:r>
    </w:p>
    <w:p w:rsidR="00C740EE" w:rsidRDefault="00C740EE" w:rsidP="00C740EE">
      <w:r>
        <w:t xml:space="preserve">Step change costs </w:t>
      </w:r>
      <w:r w:rsidR="00EF4B45">
        <w:t xml:space="preserve">included </w:t>
      </w:r>
      <w:r>
        <w:t>in the total opex forecast are subject to the efficiency carryover mechanism.</w:t>
      </w:r>
    </w:p>
    <w:p w:rsidR="00C740EE" w:rsidRDefault="00C740EE" w:rsidP="00C740EE">
      <w:r>
        <w:t xml:space="preserve">Step changes should not double count costs included in other elements of </w:t>
      </w:r>
      <w:r w:rsidRPr="00F033BD">
        <w:t xml:space="preserve">the opex forecast. For example, the costs of increased volume or scale may have been accounted for in the output growth component in the rate of change and </w:t>
      </w:r>
      <w:r w:rsidR="003F3037">
        <w:t>as such, should not be</w:t>
      </w:r>
      <w:r w:rsidRPr="00F033BD">
        <w:t xml:space="preserve"> a</w:t>
      </w:r>
      <w:r w:rsidR="003F3037">
        <w:t>ccommodated through a</w:t>
      </w:r>
      <w:r w:rsidRPr="00F033BD">
        <w:t xml:space="preserve"> step change. Similarly, incremental changes in regulatory obligations may have been compensated through a lower productivity estimate that accounts for high costs associated with changed obligations.</w:t>
      </w:r>
      <w:r>
        <w:t xml:space="preserve"> </w:t>
      </w:r>
    </w:p>
    <w:p w:rsidR="00C740EE" w:rsidRPr="00444C60" w:rsidRDefault="00C740EE" w:rsidP="00C740EE">
      <w:pPr>
        <w:rPr>
          <w:rStyle w:val="AERbody"/>
        </w:rPr>
      </w:pPr>
      <w:r w:rsidRPr="00444C60" w:rsidDel="00F05F58">
        <w:t xml:space="preserve">To increase its </w:t>
      </w:r>
      <w:r w:rsidR="00EF4B45">
        <w:t>opex forecast</w:t>
      </w:r>
      <w:r w:rsidRPr="00444C60" w:rsidDel="00F05F58">
        <w:t xml:space="preserve">, a regulated business has an </w:t>
      </w:r>
      <w:r w:rsidRPr="00444C60" w:rsidDel="00F05F58">
        <w:rPr>
          <w:rStyle w:val="AERbody"/>
        </w:rPr>
        <w:t>incentive to identify new costs not reflected in base opex or increasing costs within base opex, but has no corresponding incentive to identify those costs that are decreasing or non-recurrent. Information asymmetries make it difficult for us to identify those future diminishing costs. Therefore, simply demonstrating that a new cost will be incurred—that is, a cost that was not incurred in the base year—is not sufficient justification for</w:t>
      </w:r>
      <w:r w:rsidRPr="00444C60">
        <w:rPr>
          <w:rStyle w:val="AERbody"/>
        </w:rPr>
        <w:t xml:space="preserve"> introducing</w:t>
      </w:r>
      <w:r w:rsidRPr="00444C60" w:rsidDel="00F05F58">
        <w:rPr>
          <w:rStyle w:val="AERbody"/>
        </w:rPr>
        <w:t xml:space="preserve"> a step change. There is a risk that including such costs would upwardly bias the total opex forecast. </w:t>
      </w:r>
    </w:p>
    <w:p w:rsidR="00C740EE" w:rsidRDefault="00C740EE" w:rsidP="00C740EE">
      <w:r w:rsidRPr="00596DAE">
        <w:t xml:space="preserve">The test we apply is whether the step change is needed for the opex forecast to comply with the opex criteria. </w:t>
      </w:r>
      <w:r>
        <w:t>O</w:t>
      </w:r>
      <w:r w:rsidRPr="006E6488">
        <w:t>ur starting position is t</w:t>
      </w:r>
      <w:r>
        <w:t>hat only exceptional circumstances would warrant</w:t>
      </w:r>
      <w:r w:rsidRPr="006E6488">
        <w:t xml:space="preserve"> </w:t>
      </w:r>
      <w:r>
        <w:t>the inclusion of a</w:t>
      </w:r>
      <w:r w:rsidRPr="006E6488">
        <w:t xml:space="preserve"> step change</w:t>
      </w:r>
      <w:r>
        <w:t xml:space="preserve"> in the opex forecast</w:t>
      </w:r>
      <w:r w:rsidRPr="00625790">
        <w:t xml:space="preserve"> </w:t>
      </w:r>
      <w:r>
        <w:t>because they may change a business' fundamental opex requirements. Two typical examples are:</w:t>
      </w:r>
    </w:p>
    <w:p w:rsidR="00C740EE" w:rsidRPr="00CF2ADE" w:rsidRDefault="00C740EE" w:rsidP="00C740EE">
      <w:pPr>
        <w:pStyle w:val="AERbulletlistfirststyle"/>
        <w:rPr>
          <w:rStyle w:val="AERbody"/>
        </w:rPr>
      </w:pPr>
      <w:r>
        <w:rPr>
          <w:rStyle w:val="AERbody"/>
        </w:rPr>
        <w:t xml:space="preserve">a </w:t>
      </w:r>
      <w:r w:rsidRPr="00CF2ADE">
        <w:rPr>
          <w:rStyle w:val="AERbody"/>
        </w:rPr>
        <w:t>material change in the business' regulatory obligations</w:t>
      </w:r>
    </w:p>
    <w:p w:rsidR="00C740EE" w:rsidRPr="00CF2ADE" w:rsidRDefault="00C740EE" w:rsidP="00C740EE">
      <w:pPr>
        <w:pStyle w:val="AERbulletlistfirststyle"/>
        <w:rPr>
          <w:rStyle w:val="AERbody"/>
        </w:rPr>
      </w:pPr>
      <w:r w:rsidRPr="008F0BE8">
        <w:rPr>
          <w:rStyle w:val="AERbody"/>
        </w:rPr>
        <w:t>an efficient and prudent capex/opex substitution opportunity</w:t>
      </w:r>
      <w:r w:rsidRPr="00CF2ADE">
        <w:rPr>
          <w:rStyle w:val="AERbody"/>
        </w:rPr>
        <w:t>.</w:t>
      </w:r>
    </w:p>
    <w:p w:rsidR="00C740EE" w:rsidRDefault="00C740EE" w:rsidP="00C740EE">
      <w:r>
        <w:t xml:space="preserve">We may accept a step change if a material 'step up' or 'step down' in expenditure is required by a network business to prudently and efficiently comply with a new, binding regulatory obligation that is not reflected in the productivity growth forecast. This does not include instances where a business has identified a different approach to comply with its existing regulatory obligations that may be more onerous, or where there is increasing compliance risks or costs the business must incur to comply with its regulatory obligations. Usually when a new regulatory obligation is imposed on a business, it will incur additional expenditure to comply. The business may be expected to continue incurring such costs associated with the new regulatory obligation into future regulatory periods; hence an increase in its opex forecast </w:t>
      </w:r>
      <w:r w:rsidR="003F3037">
        <w:t>may</w:t>
      </w:r>
      <w:r>
        <w:t xml:space="preserve"> be warranted.</w:t>
      </w:r>
    </w:p>
    <w:p w:rsidR="00C740EE" w:rsidRDefault="00C740EE" w:rsidP="00C740EE">
      <w:r w:rsidRPr="005B32DD">
        <w:t xml:space="preserve">We expect the business to provide evidence demonstrating the material impact the change of regulatory obligation has on its opex requirements, and robust cost–benefit analysis to demonstrate the proposed step change </w:t>
      </w:r>
      <w:r>
        <w:t>expenditure</w:t>
      </w:r>
      <w:r w:rsidRPr="005B32DD">
        <w:t xml:space="preserve"> is prudent and efficient to meet the change in regulatory obligations. In particular, we will consider cost estimates incorporated in the relevant Re</w:t>
      </w:r>
      <w:r>
        <w:t>gulatory Impact Statement (RIS). A RIS is</w:t>
      </w:r>
      <w:r w:rsidRPr="005B32DD">
        <w:t xml:space="preserve"> </w:t>
      </w:r>
      <w:r>
        <w:t xml:space="preserve">generally </w:t>
      </w:r>
      <w:r w:rsidRPr="005B32DD">
        <w:t xml:space="preserve">required by governments </w:t>
      </w:r>
      <w:r>
        <w:t>to justify any</w:t>
      </w:r>
      <w:r w:rsidRPr="005B32DD">
        <w:t xml:space="preserve"> </w:t>
      </w:r>
      <w:r>
        <w:t xml:space="preserve">new regulation, or </w:t>
      </w:r>
      <w:r w:rsidRPr="00610F6B">
        <w:t>amendments to existing regulations</w:t>
      </w:r>
      <w:r>
        <w:t>,</w:t>
      </w:r>
      <w:r w:rsidRPr="005B32DD">
        <w:t xml:space="preserve"> that </w:t>
      </w:r>
      <w:r w:rsidR="00EF4B45">
        <w:t>are</w:t>
      </w:r>
      <w:r w:rsidRPr="005B32DD">
        <w:t xml:space="preserve"> likely to impose a </w:t>
      </w:r>
      <w:r>
        <w:t xml:space="preserve">measurable impact </w:t>
      </w:r>
      <w:r w:rsidRPr="00772E69">
        <w:t>on businesses, community organisations</w:t>
      </w:r>
      <w:r>
        <w:t xml:space="preserve"> and/or</w:t>
      </w:r>
      <w:r w:rsidRPr="00772E69">
        <w:t xml:space="preserve"> individuals.</w:t>
      </w:r>
    </w:p>
    <w:p w:rsidR="00C740EE" w:rsidRDefault="00C740EE" w:rsidP="00C740EE">
      <w:r>
        <w:t xml:space="preserve">By contrast, proposed opex projects designed to improve the operation of the business, </w:t>
      </w:r>
      <w:r w:rsidRPr="00F80F67">
        <w:t>which we consider as discretionary in the absence of any legal requirement</w:t>
      </w:r>
      <w:r>
        <w:t>, should be</w:t>
      </w:r>
      <w:r w:rsidRPr="00F80F67">
        <w:t xml:space="preserve"> funded by base</w:t>
      </w:r>
      <w:r>
        <w:t xml:space="preserve"> opex and trend components, together with any savings or increased revenue that they generate—rather than through a step change. Otherwise, the business would benefit from a higher opex forecast </w:t>
      </w:r>
      <w:r w:rsidRPr="004C6B45">
        <w:rPr>
          <w:rStyle w:val="AERtextitalic"/>
        </w:rPr>
        <w:t>and</w:t>
      </w:r>
      <w:r>
        <w:t xml:space="preserve"> the efficiency gains.</w:t>
      </w:r>
    </w:p>
    <w:p w:rsidR="00C740EE" w:rsidRDefault="00C740EE" w:rsidP="00C740EE">
      <w:r>
        <w:t xml:space="preserve">We may also accept a step change in circumstances where it is prudent and efficient for a network business to increase opex in order to reduce capital costs. </w:t>
      </w:r>
      <w:r w:rsidRPr="004F7E8F">
        <w:t xml:space="preserve">We would typically expect </w:t>
      </w:r>
      <w:r>
        <w:t xml:space="preserve">such capex/opex trade-off step changes </w:t>
      </w:r>
      <w:r w:rsidRPr="004F7E8F">
        <w:t xml:space="preserve">to be associated with </w:t>
      </w:r>
      <w:r>
        <w:t>replacement expenditure</w:t>
      </w:r>
      <w:r w:rsidRPr="004F7E8F">
        <w:t>.</w:t>
      </w:r>
      <w:r>
        <w:t xml:space="preserve"> The business should provide robust cost–benefit analysis to clearly demonstrate how increased opex would be more than offset by capex savings.</w:t>
      </w:r>
    </w:p>
    <w:p w:rsidR="00C740EE" w:rsidRDefault="00C740EE" w:rsidP="00C740EE">
      <w:r w:rsidRPr="0031711D">
        <w:t xml:space="preserve">In the absence of </w:t>
      </w:r>
      <w:r>
        <w:t xml:space="preserve">a change to </w:t>
      </w:r>
      <w:r w:rsidRPr="0031711D">
        <w:t xml:space="preserve">regulatory obligations or </w:t>
      </w:r>
      <w:r>
        <w:t xml:space="preserve">a </w:t>
      </w:r>
      <w:r w:rsidRPr="0031711D">
        <w:t>legitimate capex/opex trade-off</w:t>
      </w:r>
      <w:r>
        <w:t xml:space="preserve"> opportunity</w:t>
      </w:r>
      <w:r w:rsidRPr="0031711D">
        <w:t xml:space="preserve">, we would accept a step change under limited circumstances. We would consider whether the costs </w:t>
      </w:r>
      <w:r>
        <w:t xml:space="preserve">associated with the step change </w:t>
      </w:r>
      <w:r w:rsidRPr="0031711D">
        <w:t>are unavoidable and material—such that base opex, trended forward by the forecast rate of change, would be insufficient for the business to recover its efficient and prudent costs.</w:t>
      </w:r>
      <w:r>
        <w:t xml:space="preserve"> We would also consider whether the costs of a proposed step change will continue to be incurred by the business in future regulatory periods. </w:t>
      </w:r>
    </w:p>
    <w:p w:rsidR="00C740EE" w:rsidRDefault="00C740EE" w:rsidP="00C740EE">
      <w:pPr>
        <w:pStyle w:val="HeadingBoldItalic"/>
      </w:pPr>
      <w:bookmarkStart w:id="94" w:name="_Toc478631107"/>
      <w:r>
        <w:t>Category specific forecasts</w:t>
      </w:r>
      <w:bookmarkEnd w:id="94"/>
    </w:p>
    <w:p w:rsidR="00C740EE" w:rsidRDefault="00C740EE" w:rsidP="00C740EE">
      <w:r>
        <w:t>A category specific forecast is a forecast of an opex item or activity that is assessed and forecast independently from base opex, and is not subject to the efficiency carryover mechanism.</w:t>
      </w:r>
    </w:p>
    <w:p w:rsidR="00C740EE" w:rsidRDefault="00C740EE" w:rsidP="00C740EE">
      <w:r>
        <w:t>A category specific forecast may be justified if 'the future path of the expenditure category is of such a magnitude that the observed historical stability of total opex is likely to change as a result of expected changes to the relevant opex category.'</w:t>
      </w:r>
      <w:r>
        <w:rPr>
          <w:rStyle w:val="FootnoteReference"/>
        </w:rPr>
        <w:footnoteReference w:id="18"/>
      </w:r>
      <w:r w:rsidRPr="004C6B45">
        <w:t xml:space="preserve"> </w:t>
      </w:r>
      <w:r>
        <w:t xml:space="preserve">In other words, a category specific forecast may be justified if, </w:t>
      </w:r>
      <w:r w:rsidRPr="00B526E5">
        <w:t xml:space="preserve">as a result of including a specific opex category in the base opex, </w:t>
      </w:r>
      <w:r>
        <w:t>the total opex becomes so volatile that it no longer follows a predictable path over time.</w:t>
      </w:r>
    </w:p>
    <w:p w:rsidR="00C740EE" w:rsidRDefault="00C740EE" w:rsidP="00C740EE">
      <w:r>
        <w:t>We may also use category specific forecasts to avoid inconsistency or double counting within our regulatory decision. For example, we typically include category specific forecasts for</w:t>
      </w:r>
      <w:r w:rsidRPr="0028150F">
        <w:t xml:space="preserve"> debt raising costs. </w:t>
      </w:r>
      <w:r>
        <w:t xml:space="preserve">This provides </w:t>
      </w:r>
      <w:r w:rsidRPr="0007575A">
        <w:t>consistency with the forecast of cost of debt in the rate of return building block</w:t>
      </w:r>
      <w:r>
        <w:t xml:space="preserve"> of allowable revenue</w:t>
      </w:r>
      <w:r w:rsidRPr="0028150F">
        <w:t xml:space="preserve">. </w:t>
      </w:r>
    </w:p>
    <w:p w:rsidR="00C740EE" w:rsidRDefault="00C740EE" w:rsidP="00C740EE">
      <w:r w:rsidRPr="00E73313">
        <w:t xml:space="preserve">Absent </w:t>
      </w:r>
      <w:r>
        <w:t xml:space="preserve">such </w:t>
      </w:r>
      <w:r w:rsidRPr="00E73313">
        <w:t xml:space="preserve">exceptions, we expect that base opex, trended forward by the rate of change, will allow the business to recover its prudent and efficient costs. </w:t>
      </w:r>
      <w:r>
        <w:t>Again</w:t>
      </w:r>
      <w:r w:rsidRPr="00E73313">
        <w:t xml:space="preserve">, the business has demonstrated its ability to operate prudently and efficiently at that level of opex while meeting </w:t>
      </w:r>
      <w:r>
        <w:t xml:space="preserve">its </w:t>
      </w:r>
      <w:r w:rsidRPr="00E73313">
        <w:t xml:space="preserve">existing </w:t>
      </w:r>
      <w:r>
        <w:t>regulatory obligations</w:t>
      </w:r>
      <w:r w:rsidRPr="00E73313">
        <w:t xml:space="preserve">, including its safety and reliability standards. </w:t>
      </w:r>
      <w:r>
        <w:t xml:space="preserve">We consider it is reasonable to expect the same outcome looking forward. </w:t>
      </w:r>
      <w:r w:rsidRPr="00E73313">
        <w:t xml:space="preserve">Some costs may go up, and some costs may go down—so despite potential volatility in the cost of certain individual opex activities, total opex is generally relatively stable over time. And </w:t>
      </w:r>
      <w:r>
        <w:t xml:space="preserve">for similar reasons as noted above in relation to step changes, </w:t>
      </w:r>
      <w:r w:rsidRPr="00E73313">
        <w:t>we consider providing a category specific forecast for opex items identified by the business may upwardly bias the total opex forecast.</w:t>
      </w:r>
    </w:p>
    <w:p w:rsidR="00C740EE" w:rsidRDefault="00C740EE" w:rsidP="00C740EE">
      <w:r>
        <w:rPr>
          <w:rStyle w:val="AERbody"/>
        </w:rPr>
        <w:t>By applying our revealed cost approach consistently and carefully scrutinising any f</w:t>
      </w:r>
      <w:r w:rsidR="003F3037">
        <w:rPr>
          <w:rStyle w:val="AERbody"/>
        </w:rPr>
        <w:t>urther adjustments, we avoid this</w:t>
      </w:r>
      <w:r>
        <w:rPr>
          <w:rStyle w:val="AERbody"/>
        </w:rPr>
        <w:t xml:space="preserve"> potential bias. </w:t>
      </w:r>
    </w:p>
    <w:p w:rsidR="00C740EE" w:rsidRDefault="00C740EE" w:rsidP="00C740EE">
      <w:r>
        <w:rPr>
          <w:rStyle w:val="AERbody"/>
        </w:rPr>
        <w:t>M</w:t>
      </w:r>
      <w:r w:rsidRPr="007F763F">
        <w:t xml:space="preserve">inimising the number of costs </w:t>
      </w:r>
      <w:r>
        <w:t>forecast on a category specific basis</w:t>
      </w:r>
      <w:r>
        <w:rPr>
          <w:rStyle w:val="AERbody"/>
        </w:rPr>
        <w:t xml:space="preserve"> also </w:t>
      </w:r>
      <w:r>
        <w:t xml:space="preserve">helps to simplify </w:t>
      </w:r>
      <w:r w:rsidRPr="001E5F0B">
        <w:t>our expenditure assessments</w:t>
      </w:r>
      <w:r>
        <w:t xml:space="preserve"> and allows for greater consistency across our regulatory determinations. This </w:t>
      </w:r>
      <w:r w:rsidRPr="00F775FC">
        <w:t>promot</w:t>
      </w:r>
      <w:r>
        <w:t>es</w:t>
      </w:r>
      <w:r w:rsidRPr="00F775FC">
        <w:t xml:space="preserve"> regulatory certainty</w:t>
      </w:r>
      <w:r>
        <w:t>, and allows consumers and other stakeholders to more readily engage in our regulatory processes. A core objective of o</w:t>
      </w:r>
      <w:r w:rsidRPr="003C0A5A">
        <w:t>ur Stakeholder Engagement Framework</w:t>
      </w:r>
      <w:r>
        <w:t xml:space="preserve"> is to make o</w:t>
      </w:r>
      <w:r w:rsidRPr="003C0A5A">
        <w:t xml:space="preserve">ur assessment </w:t>
      </w:r>
      <w:r>
        <w:t xml:space="preserve">approach </w:t>
      </w:r>
      <w:r w:rsidRPr="003C0A5A">
        <w:t>and decisions accessible to</w:t>
      </w:r>
      <w:r>
        <w:t xml:space="preserve"> </w:t>
      </w:r>
      <w:r w:rsidRPr="003C0A5A">
        <w:t>a wide ranging audience.</w:t>
      </w:r>
      <w:r>
        <w:rPr>
          <w:rStyle w:val="FootnoteReference"/>
        </w:rPr>
        <w:footnoteReference w:id="19"/>
      </w:r>
    </w:p>
    <w:p w:rsidR="00B812AC" w:rsidRDefault="00B812AC" w:rsidP="00B812AC">
      <w:pPr>
        <w:pStyle w:val="Heading2"/>
      </w:pPr>
      <w:bookmarkStart w:id="95" w:name="_Toc408404324"/>
      <w:bookmarkStart w:id="96" w:name="_Toc419366917"/>
      <w:bookmarkStart w:id="97" w:name="_Toc475028900"/>
      <w:bookmarkStart w:id="98" w:name="_Toc486838087"/>
      <w:r w:rsidRPr="0074565D">
        <w:t xml:space="preserve">Reasons for </w:t>
      </w:r>
      <w:r>
        <w:t>draft</w:t>
      </w:r>
      <w:r w:rsidRPr="0074565D">
        <w:t xml:space="preserve"> decision</w:t>
      </w:r>
      <w:bookmarkEnd w:id="95"/>
      <w:bookmarkEnd w:id="96"/>
      <w:bookmarkEnd w:id="97"/>
      <w:bookmarkEnd w:id="98"/>
      <w:r w:rsidRPr="0074565D">
        <w:t xml:space="preserve"> </w:t>
      </w:r>
    </w:p>
    <w:p w:rsidR="005D020F" w:rsidRDefault="005D020F" w:rsidP="005D020F">
      <w:bookmarkStart w:id="99" w:name="_Ref474739736"/>
      <w:r>
        <w:t xml:space="preserve">Our draft decision is to not accept Multinet's </w:t>
      </w:r>
      <w:r w:rsidR="00125D57">
        <w:t xml:space="preserve">total </w:t>
      </w:r>
      <w:r w:rsidR="0044402E">
        <w:t xml:space="preserve">forecast </w:t>
      </w:r>
      <w:r>
        <w:t xml:space="preserve">opex of </w:t>
      </w:r>
      <w:r w:rsidRPr="00ED08EA">
        <w:t>$</w:t>
      </w:r>
      <w:r>
        <w:t xml:space="preserve">396.4 million ($2017) for the 2018–22 access arrangement period. </w:t>
      </w:r>
      <w:r w:rsidRPr="00C85E68">
        <w:t xml:space="preserve">We are not satisfied </w:t>
      </w:r>
      <w:r>
        <w:t xml:space="preserve">Multinet's </w:t>
      </w:r>
      <w:r w:rsidRPr="00C85E68">
        <w:t>forecast opex complies with the opex criteria</w:t>
      </w:r>
      <w:r>
        <w:rPr>
          <w:rStyle w:val="FootnoteReference"/>
        </w:rPr>
        <w:footnoteReference w:id="20"/>
      </w:r>
      <w:r>
        <w:t xml:space="preserve"> </w:t>
      </w:r>
      <w:r w:rsidR="00F4589D">
        <w:t xml:space="preserve">and </w:t>
      </w:r>
      <w:r w:rsidRPr="00ED08EA">
        <w:t xml:space="preserve">the </w:t>
      </w:r>
      <w:r w:rsidR="00973C53">
        <w:t>requirements</w:t>
      </w:r>
      <w:r w:rsidR="00973C53" w:rsidRPr="00ED08EA">
        <w:t xml:space="preserve"> </w:t>
      </w:r>
      <w:r w:rsidRPr="00ED08EA">
        <w:t>for forecasts and estimates</w:t>
      </w:r>
      <w:r>
        <w:t>.</w:t>
      </w:r>
      <w:r>
        <w:rPr>
          <w:rStyle w:val="FootnoteReference"/>
        </w:rPr>
        <w:footnoteReference w:id="21"/>
      </w:r>
    </w:p>
    <w:p w:rsidR="00E31D24" w:rsidRDefault="005D020F" w:rsidP="00E31D24">
      <w:r w:rsidRPr="00ED08EA">
        <w:t>Our alternative estimate of total opex is $</w:t>
      </w:r>
      <w:r>
        <w:t>385.</w:t>
      </w:r>
      <w:r w:rsidR="003C0B6A">
        <w:t>1</w:t>
      </w:r>
      <w:r w:rsidRPr="00ED08EA">
        <w:t xml:space="preserve"> </w:t>
      </w:r>
      <w:r>
        <w:t>million ($20</w:t>
      </w:r>
      <w:r w:rsidRPr="00ED08EA">
        <w:t>17)</w:t>
      </w:r>
      <w:r>
        <w:t>, which we consider complies with the opex criteria.</w:t>
      </w:r>
      <w:r>
        <w:rPr>
          <w:rStyle w:val="FootnoteReference"/>
        </w:rPr>
        <w:footnoteReference w:id="22"/>
      </w:r>
      <w:r>
        <w:t xml:space="preserve"> This is</w:t>
      </w:r>
      <w:r w:rsidRPr="00EE0F8A">
        <w:t xml:space="preserve"> </w:t>
      </w:r>
      <w:r>
        <w:t>$11.</w:t>
      </w:r>
      <w:r w:rsidR="003C0B6A">
        <w:t>3</w:t>
      </w:r>
      <w:r>
        <w:t xml:space="preserve"> million ($2017) or 2.8 per cent lower than </w:t>
      </w:r>
      <w:r w:rsidR="003F5A19">
        <w:t xml:space="preserve">Multinet's </w:t>
      </w:r>
      <w:r>
        <w:t>proposed opex.</w:t>
      </w:r>
      <w:r w:rsidR="007F3162">
        <w:t xml:space="preserve"> </w:t>
      </w:r>
      <w:r w:rsidR="0044402E">
        <w:t>We</w:t>
      </w:r>
      <w:r w:rsidR="001F1476">
        <w:t xml:space="preserve"> forecast </w:t>
      </w:r>
      <w:r w:rsidR="0044402E">
        <w:t xml:space="preserve">our alternative estimate </w:t>
      </w:r>
      <w:r w:rsidR="001F1476">
        <w:t xml:space="preserve">using actual </w:t>
      </w:r>
      <w:r w:rsidR="000B100D">
        <w:t>opex</w:t>
      </w:r>
      <w:r w:rsidR="001F1476">
        <w:t xml:space="preserve"> </w:t>
      </w:r>
      <w:r w:rsidR="003872E4">
        <w:t xml:space="preserve">for 2016. </w:t>
      </w:r>
      <w:r w:rsidR="0044402E">
        <w:t>Whereas, w</w:t>
      </w:r>
      <w:r w:rsidR="001F1476">
        <w:t xml:space="preserve">hen Multinet submitted its opex proposal, actual </w:t>
      </w:r>
      <w:r w:rsidR="000B100D">
        <w:t>opex</w:t>
      </w:r>
      <w:r w:rsidR="001F1476">
        <w:t xml:space="preserve"> for 2016 was not available.</w:t>
      </w:r>
      <w:r w:rsidR="004B78C2">
        <w:rPr>
          <w:rStyle w:val="FootnoteReference"/>
        </w:rPr>
        <w:footnoteReference w:id="23"/>
      </w:r>
      <w:r w:rsidR="001F1476">
        <w:t xml:space="preserve"> </w:t>
      </w:r>
    </w:p>
    <w:p w:rsidR="00B812AC" w:rsidRDefault="003F3037" w:rsidP="00B812AC">
      <w:r>
        <w:t>The</w:t>
      </w:r>
      <w:r w:rsidR="00E31D24" w:rsidRPr="00271376">
        <w:t xml:space="preserve"> </w:t>
      </w:r>
      <w:r>
        <w:t xml:space="preserve">following </w:t>
      </w:r>
      <w:r w:rsidR="00E31D24" w:rsidRPr="00271376">
        <w:t>section</w:t>
      </w:r>
      <w:r>
        <w:t>s</w:t>
      </w:r>
      <w:r w:rsidR="00E31D24" w:rsidRPr="00271376">
        <w:t xml:space="preserve"> </w:t>
      </w:r>
      <w:r>
        <w:t>outline</w:t>
      </w:r>
      <w:r w:rsidR="00E31D24" w:rsidRPr="00271376">
        <w:t xml:space="preserve"> the key inputs and assumptions we made in developing our alternative estimate of efficient costs </w:t>
      </w:r>
      <w:r w:rsidR="00E31D24">
        <w:t>for</w:t>
      </w:r>
      <w:r w:rsidR="00E31D24" w:rsidRPr="00271376">
        <w:t xml:space="preserve"> 201</w:t>
      </w:r>
      <w:r w:rsidR="00E31D24">
        <w:t>8</w:t>
      </w:r>
      <w:r w:rsidR="00E31D24" w:rsidRPr="00271376">
        <w:t>–</w:t>
      </w:r>
      <w:r w:rsidR="00E31D24">
        <w:t>22</w:t>
      </w:r>
      <w:r w:rsidR="00E31D24" w:rsidRPr="00271376">
        <w:t>.</w:t>
      </w:r>
      <w:r w:rsidR="005D020F">
        <w:t xml:space="preserve"> </w:t>
      </w:r>
      <w:r w:rsidR="00B812AC">
        <w:fldChar w:fldCharType="begin"/>
      </w:r>
      <w:r w:rsidR="00B812AC">
        <w:instrText xml:space="preserve"> REF _Ref474999154 \h </w:instrText>
      </w:r>
      <w:r w:rsidR="00B812AC">
        <w:fldChar w:fldCharType="separate"/>
      </w:r>
      <w:r w:rsidR="009270AF">
        <w:t xml:space="preserve">Figure </w:t>
      </w:r>
      <w:r w:rsidR="009270AF">
        <w:rPr>
          <w:noProof/>
        </w:rPr>
        <w:t>7</w:t>
      </w:r>
      <w:r w:rsidR="009270AF">
        <w:t>.</w:t>
      </w:r>
      <w:r w:rsidR="009270AF">
        <w:rPr>
          <w:noProof/>
        </w:rPr>
        <w:t>4</w:t>
      </w:r>
      <w:r w:rsidR="00B812AC">
        <w:fldChar w:fldCharType="end"/>
      </w:r>
      <w:r w:rsidR="00B812AC">
        <w:t xml:space="preserve"> </w:t>
      </w:r>
      <w:r w:rsidR="00B812AC" w:rsidRPr="008D6CBA">
        <w:t xml:space="preserve">illustrates how we constructed our forecast. The starting point on the left is what </w:t>
      </w:r>
      <w:r w:rsidR="00B812AC">
        <w:t>Multinet's</w:t>
      </w:r>
      <w:r w:rsidR="00B812AC" w:rsidRPr="008D6CBA">
        <w:t xml:space="preserve"> opex </w:t>
      </w:r>
      <w:r w:rsidR="00B812AC">
        <w:t xml:space="preserve">would be </w:t>
      </w:r>
      <w:r w:rsidR="00B812AC" w:rsidRPr="008D6CBA">
        <w:t xml:space="preserve">if it was </w:t>
      </w:r>
      <w:r w:rsidR="00B812AC">
        <w:t>based on Multinet's opex in 2016</w:t>
      </w:r>
      <w:r w:rsidR="00B812AC" w:rsidRPr="008D6CBA">
        <w:t>.</w:t>
      </w:r>
      <w:r w:rsidR="00B812AC">
        <w:rPr>
          <w:rStyle w:val="FootnoteReference"/>
        </w:rPr>
        <w:footnoteReference w:id="24"/>
      </w:r>
      <w:r w:rsidR="007F3162">
        <w:t xml:space="preserve"> </w:t>
      </w:r>
    </w:p>
    <w:p w:rsidR="00B812AC" w:rsidRPr="008D6CBA" w:rsidRDefault="00B812AC" w:rsidP="00B812AC">
      <w:pPr>
        <w:pStyle w:val="Caption"/>
      </w:pPr>
      <w:bookmarkStart w:id="100" w:name="_Ref474999154"/>
      <w:r>
        <w:t xml:space="preserve">Figure </w:t>
      </w:r>
      <w:r w:rsidRPr="00605853">
        <w:fldChar w:fldCharType="begin"/>
      </w:r>
      <w:r>
        <w:instrText xml:space="preserve"> STYLEREF 1 \s </w:instrText>
      </w:r>
      <w:r w:rsidRPr="00605853">
        <w:fldChar w:fldCharType="separate"/>
      </w:r>
      <w:r w:rsidR="009270AF">
        <w:rPr>
          <w:noProof/>
        </w:rPr>
        <w:t>7</w:t>
      </w:r>
      <w:r w:rsidRPr="00605853">
        <w:fldChar w:fldCharType="end"/>
      </w:r>
      <w:r>
        <w:t>.</w:t>
      </w:r>
      <w:r w:rsidRPr="00605853">
        <w:fldChar w:fldCharType="begin"/>
      </w:r>
      <w:r>
        <w:instrText xml:space="preserve"> SEQ Figure \* ARABIC \s 1 </w:instrText>
      </w:r>
      <w:r w:rsidRPr="00605853">
        <w:fldChar w:fldCharType="separate"/>
      </w:r>
      <w:r w:rsidR="009270AF">
        <w:rPr>
          <w:noProof/>
        </w:rPr>
        <w:t>4</w:t>
      </w:r>
      <w:r w:rsidRPr="00605853">
        <w:fldChar w:fldCharType="end"/>
      </w:r>
      <w:bookmarkEnd w:id="99"/>
      <w:bookmarkEnd w:id="100"/>
      <w:r>
        <w:tab/>
      </w:r>
      <w:r w:rsidR="003A6E10">
        <w:t>Our</w:t>
      </w:r>
      <w:r>
        <w:t xml:space="preserve"> alternative </w:t>
      </w:r>
      <w:r w:rsidR="003A6E10">
        <w:t xml:space="preserve">estimate of total </w:t>
      </w:r>
      <w:r>
        <w:t xml:space="preserve">opex </w:t>
      </w:r>
      <w:r w:rsidR="00AD35C9">
        <w:t>($</w:t>
      </w:r>
      <w:r w:rsidR="002A7B2B">
        <w:t xml:space="preserve"> </w:t>
      </w:r>
      <w:r>
        <w:t>million, 2017)</w:t>
      </w:r>
    </w:p>
    <w:p w:rsidR="00B812AC" w:rsidRPr="00ED08EA" w:rsidRDefault="009A1603" w:rsidP="00B812AC">
      <w:pPr>
        <w:pStyle w:val="Source"/>
      </w:pPr>
      <w:r w:rsidRPr="009A1603">
        <w:rPr>
          <w:noProof/>
          <w:lang w:eastAsia="en-AU"/>
        </w:rPr>
        <w:drawing>
          <wp:inline distT="0" distB="0" distL="0" distR="0" wp14:anchorId="2E3E9015" wp14:editId="312A322C">
            <wp:extent cx="5382895" cy="3938426"/>
            <wp:effectExtent l="0" t="0" r="825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938426"/>
                    </a:xfrm>
                    <a:prstGeom prst="rect">
                      <a:avLst/>
                    </a:prstGeom>
                    <a:noFill/>
                    <a:ln>
                      <a:noFill/>
                    </a:ln>
                  </pic:spPr>
                </pic:pic>
              </a:graphicData>
            </a:graphic>
          </wp:inline>
        </w:drawing>
      </w:r>
      <w:r w:rsidR="00B812AC">
        <w:t>Source: AER draft decision opex model.</w:t>
      </w:r>
    </w:p>
    <w:p w:rsidR="009270AF" w:rsidRDefault="00B812AC">
      <w:pPr>
        <w:spacing w:line="240" w:lineRule="auto"/>
        <w:rPr>
          <w:b/>
          <w:bCs/>
          <w:color w:val="076A92" w:themeColor="text1"/>
          <w:sz w:val="24"/>
          <w:szCs w:val="18"/>
        </w:rPr>
      </w:pPr>
      <w:r>
        <w:fldChar w:fldCharType="begin"/>
      </w:r>
      <w:r>
        <w:instrText xml:space="preserve"> REF _Ref473126890 \h </w:instrText>
      </w:r>
      <w:r>
        <w:fldChar w:fldCharType="separate"/>
      </w:r>
      <w:r w:rsidR="009270AF">
        <w:br w:type="page"/>
      </w:r>
    </w:p>
    <w:p w:rsidR="00B812AC" w:rsidRDefault="009270AF" w:rsidP="00B812AC">
      <w:r>
        <w:t xml:space="preserve">Table </w:t>
      </w:r>
      <w:r>
        <w:rPr>
          <w:noProof/>
        </w:rPr>
        <w:t>7</w:t>
      </w:r>
      <w:r>
        <w:t>.</w:t>
      </w:r>
      <w:r>
        <w:rPr>
          <w:noProof/>
        </w:rPr>
        <w:t>2</w:t>
      </w:r>
      <w:r w:rsidR="00B812AC">
        <w:fldChar w:fldCharType="end"/>
      </w:r>
      <w:r w:rsidR="00B812AC">
        <w:t xml:space="preserve"> </w:t>
      </w:r>
      <w:r w:rsidR="00B812AC" w:rsidRPr="00ED08EA">
        <w:t>presents the components our alternative estimate</w:t>
      </w:r>
      <w:r w:rsidR="00B812AC">
        <w:t xml:space="preserve"> compared to </w:t>
      </w:r>
      <w:r w:rsidR="00E31D24">
        <w:t>Multinet'</w:t>
      </w:r>
      <w:r w:rsidR="00B812AC" w:rsidRPr="00ED08EA">
        <w:t>s proposal.</w:t>
      </w:r>
      <w:r w:rsidR="00B812AC">
        <w:t xml:space="preserve"> </w:t>
      </w:r>
      <w:r w:rsidR="00E31D24">
        <w:t>It shows the key difference</w:t>
      </w:r>
      <w:r w:rsidR="006C6391">
        <w:t>s</w:t>
      </w:r>
      <w:r w:rsidR="00E31D24">
        <w:t xml:space="preserve"> between our </w:t>
      </w:r>
      <w:r w:rsidR="0044402E">
        <w:t>forecasts</w:t>
      </w:r>
      <w:r w:rsidR="00E31D24">
        <w:t xml:space="preserve"> are</w:t>
      </w:r>
      <w:r w:rsidR="00B812AC">
        <w:t>:</w:t>
      </w:r>
    </w:p>
    <w:p w:rsidR="00B812AC" w:rsidRDefault="0006306D" w:rsidP="00B812AC">
      <w:pPr>
        <w:pStyle w:val="AERbulletlistfirststyle"/>
      </w:pPr>
      <w:r>
        <w:t>w</w:t>
      </w:r>
      <w:r w:rsidR="006E4EE2">
        <w:t>e did not include a step change for marketing (</w:t>
      </w:r>
      <w:r w:rsidR="003C0B6A">
        <w:t>–</w:t>
      </w:r>
      <w:r w:rsidR="006E4EE2">
        <w:t>$23.3 million</w:t>
      </w:r>
      <w:r w:rsidR="003C0B6A">
        <w:t xml:space="preserve">, </w:t>
      </w:r>
      <w:r w:rsidR="00C559FC">
        <w:t>$</w:t>
      </w:r>
      <w:r w:rsidR="003C0B6A">
        <w:t>2017</w:t>
      </w:r>
      <w:r w:rsidR="006E4EE2">
        <w:t>)</w:t>
      </w:r>
    </w:p>
    <w:p w:rsidR="00A67AE5" w:rsidRDefault="0006306D" w:rsidP="00B812AC">
      <w:pPr>
        <w:pStyle w:val="AERbulletlistfirststyle"/>
      </w:pPr>
      <w:r>
        <w:t>w</w:t>
      </w:r>
      <w:r w:rsidR="006E4EE2">
        <w:t xml:space="preserve">e </w:t>
      </w:r>
      <w:r w:rsidR="00257B35">
        <w:t>used a higher base year</w:t>
      </w:r>
      <w:r w:rsidR="00A67AE5">
        <w:t xml:space="preserve"> </w:t>
      </w:r>
      <w:r w:rsidR="009021E4">
        <w:t xml:space="preserve">amount </w:t>
      </w:r>
      <w:r w:rsidR="00A67AE5" w:rsidRPr="00AB76D8">
        <w:t>($8.0 million</w:t>
      </w:r>
      <w:r w:rsidR="00A67AE5">
        <w:t>, $2017</w:t>
      </w:r>
      <w:r w:rsidR="00A67AE5" w:rsidRPr="00AB76D8">
        <w:t>)</w:t>
      </w:r>
      <w:r w:rsidR="00A67AE5">
        <w:t>:</w:t>
      </w:r>
    </w:p>
    <w:p w:rsidR="00A67AE5" w:rsidRDefault="00A67AE5" w:rsidP="00A67AE5">
      <w:pPr>
        <w:pStyle w:val="AERbulletlistsecondstyle"/>
      </w:pPr>
      <w:r>
        <w:t xml:space="preserve">we </w:t>
      </w:r>
      <w:r w:rsidR="006E4EE2">
        <w:t xml:space="preserve">updated </w:t>
      </w:r>
      <w:r w:rsidR="00257B35">
        <w:t xml:space="preserve">estimated opex in </w:t>
      </w:r>
      <w:r w:rsidR="00AB76D8">
        <w:t xml:space="preserve">2016 </w:t>
      </w:r>
      <w:r w:rsidR="006E4EE2">
        <w:t xml:space="preserve">with actual </w:t>
      </w:r>
      <w:r w:rsidR="00257B35">
        <w:t>opex</w:t>
      </w:r>
      <w:r w:rsidR="006E4EE2">
        <w:t xml:space="preserve"> </w:t>
      </w:r>
    </w:p>
    <w:p w:rsidR="006E4EE2" w:rsidRDefault="00257B35" w:rsidP="00A67AE5">
      <w:pPr>
        <w:pStyle w:val="AERbulletlistsecondstyle"/>
      </w:pPr>
      <w:r>
        <w:t xml:space="preserve">we </w:t>
      </w:r>
      <w:r w:rsidR="00AB76D8">
        <w:t xml:space="preserve">did not exclude licence fees </w:t>
      </w:r>
    </w:p>
    <w:p w:rsidR="00B812AC" w:rsidRDefault="003C0B6A" w:rsidP="00B812AC">
      <w:pPr>
        <w:pStyle w:val="AERbulletlistfirststyle"/>
      </w:pPr>
      <w:r>
        <w:t>w</w:t>
      </w:r>
      <w:r w:rsidR="00AB76D8">
        <w:t xml:space="preserve">e </w:t>
      </w:r>
      <w:r w:rsidR="00973C53">
        <w:t>corrected the</w:t>
      </w:r>
      <w:r w:rsidR="00AB76D8">
        <w:t xml:space="preserve"> movements in provisions </w:t>
      </w:r>
      <w:r w:rsidR="00973C53">
        <w:t xml:space="preserve">that are removed </w:t>
      </w:r>
      <w:r>
        <w:t>from</w:t>
      </w:r>
      <w:r w:rsidR="00AB76D8">
        <w:t xml:space="preserve"> the base year</w:t>
      </w:r>
      <w:r w:rsidR="00A67AE5">
        <w:t xml:space="preserve"> ($4.6 million</w:t>
      </w:r>
      <w:r w:rsidR="009A1603">
        <w:t>, $2017</w:t>
      </w:r>
      <w:r w:rsidR="00A67AE5">
        <w:t>)</w:t>
      </w:r>
      <w:r w:rsidR="00B812AC" w:rsidRPr="00605853">
        <w:t xml:space="preserve">. </w:t>
      </w:r>
    </w:p>
    <w:p w:rsidR="00780B6E" w:rsidRDefault="00780B6E">
      <w:pPr>
        <w:spacing w:line="240" w:lineRule="auto"/>
        <w:rPr>
          <w:b/>
          <w:bCs/>
          <w:color w:val="076A92" w:themeColor="text1"/>
          <w:sz w:val="24"/>
          <w:szCs w:val="18"/>
        </w:rPr>
      </w:pPr>
      <w:bookmarkStart w:id="101" w:name="_Ref473126890"/>
      <w:r>
        <w:br w:type="page"/>
      </w:r>
    </w:p>
    <w:p w:rsidR="00B812AC" w:rsidRPr="00ED08EA" w:rsidRDefault="00B812AC" w:rsidP="00B812AC">
      <w:pPr>
        <w:pStyle w:val="Caption"/>
      </w:pPr>
      <w:r>
        <w:t xml:space="preserve">Table </w:t>
      </w:r>
      <w:r w:rsidR="009270AF">
        <w:fldChar w:fldCharType="begin"/>
      </w:r>
      <w:r w:rsidR="009270AF">
        <w:instrText xml:space="preserve"> STYLEREF 1 \s </w:instrText>
      </w:r>
      <w:r w:rsidR="009270AF">
        <w:fldChar w:fldCharType="separate"/>
      </w:r>
      <w:r w:rsidR="009270AF">
        <w:rPr>
          <w:noProof/>
        </w:rPr>
        <w:t>7</w:t>
      </w:r>
      <w:r w:rsidR="009270AF">
        <w:rPr>
          <w:noProof/>
        </w:rPr>
        <w:fldChar w:fldCharType="end"/>
      </w:r>
      <w:r w:rsidR="00E37E9F">
        <w:t>.</w:t>
      </w:r>
      <w:fldSimple w:instr=" SEQ Table \* ARABIC \s 1 ">
        <w:r w:rsidR="009270AF">
          <w:rPr>
            <w:noProof/>
          </w:rPr>
          <w:t>2</w:t>
        </w:r>
      </w:fldSimple>
      <w:bookmarkEnd w:id="101"/>
      <w:r>
        <w:tab/>
        <w:t xml:space="preserve">Our alternative estimate compared to Multinet's proposal </w:t>
      </w:r>
      <w:r w:rsidR="00EF5EA2">
        <w:br/>
      </w:r>
      <w:r w:rsidR="00AD35C9">
        <w:t>($</w:t>
      </w:r>
      <w:r w:rsidR="002A7B2B">
        <w:t xml:space="preserve"> </w:t>
      </w:r>
      <w:r>
        <w:t>million, 2017)</w:t>
      </w:r>
    </w:p>
    <w:tbl>
      <w:tblPr>
        <w:tblStyle w:val="AERtable-numbers"/>
        <w:tblW w:w="0" w:type="auto"/>
        <w:tblLook w:val="04A0" w:firstRow="1" w:lastRow="0" w:firstColumn="1" w:lastColumn="0" w:noHBand="0" w:noVBand="1"/>
      </w:tblPr>
      <w:tblGrid>
        <w:gridCol w:w="2965"/>
        <w:gridCol w:w="1939"/>
        <w:gridCol w:w="1975"/>
        <w:gridCol w:w="1814"/>
      </w:tblGrid>
      <w:tr w:rsidR="00B812AC" w:rsidRPr="00B1577E" w:rsidTr="002478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B812AC" w:rsidRPr="00B1577E" w:rsidRDefault="00B812AC" w:rsidP="00B812AC"/>
        </w:tc>
        <w:tc>
          <w:tcPr>
            <w:tcW w:w="1939" w:type="dxa"/>
          </w:tcPr>
          <w:p w:rsidR="00B812AC" w:rsidRPr="003F3037" w:rsidRDefault="00B812AC" w:rsidP="003F3037">
            <w:pPr>
              <w:cnfStyle w:val="100000000000" w:firstRow="1" w:lastRow="0" w:firstColumn="0" w:lastColumn="0" w:oddVBand="0" w:evenVBand="0" w:oddHBand="0" w:evenHBand="0" w:firstRowFirstColumn="0" w:firstRowLastColumn="0" w:lastRowFirstColumn="0" w:lastRowLastColumn="0"/>
            </w:pPr>
            <w:r w:rsidRPr="003F3037">
              <w:t>Multinet</w:t>
            </w:r>
          </w:p>
        </w:tc>
        <w:tc>
          <w:tcPr>
            <w:tcW w:w="1975" w:type="dxa"/>
          </w:tcPr>
          <w:p w:rsidR="00B812AC" w:rsidRPr="003F3037" w:rsidRDefault="00B812AC" w:rsidP="003F3037">
            <w:pPr>
              <w:cnfStyle w:val="100000000000" w:firstRow="1" w:lastRow="0" w:firstColumn="0" w:lastColumn="0" w:oddVBand="0" w:evenVBand="0" w:oddHBand="0" w:evenHBand="0" w:firstRowFirstColumn="0" w:firstRowLastColumn="0" w:lastRowFirstColumn="0" w:lastRowLastColumn="0"/>
            </w:pPr>
            <w:r w:rsidRPr="003F3037">
              <w:t>Our alternative estimate</w:t>
            </w:r>
          </w:p>
        </w:tc>
        <w:tc>
          <w:tcPr>
            <w:tcW w:w="1814" w:type="dxa"/>
          </w:tcPr>
          <w:p w:rsidR="00B812AC" w:rsidRPr="003F3037" w:rsidRDefault="00B812AC" w:rsidP="003F3037">
            <w:pPr>
              <w:cnfStyle w:val="100000000000" w:firstRow="1" w:lastRow="0" w:firstColumn="0" w:lastColumn="0" w:oddVBand="0" w:evenVBand="0" w:oddHBand="0" w:evenHBand="0" w:firstRowFirstColumn="0" w:firstRowLastColumn="0" w:lastRowFirstColumn="0" w:lastRowLastColumn="0"/>
            </w:pPr>
            <w:r w:rsidRPr="003F3037">
              <w:t>Difference</w:t>
            </w:r>
          </w:p>
        </w:tc>
      </w:tr>
      <w:tr w:rsidR="008E6174" w:rsidRPr="00B1577E" w:rsidTr="002478ED">
        <w:tc>
          <w:tcPr>
            <w:cnfStyle w:val="001000000000" w:firstRow="0" w:lastRow="0" w:firstColumn="1" w:lastColumn="0" w:oddVBand="0" w:evenVBand="0" w:oddHBand="0" w:evenHBand="0" w:firstRowFirstColumn="0" w:firstRowLastColumn="0" w:lastRowFirstColumn="0" w:lastRowLastColumn="0"/>
            <w:tcW w:w="2965" w:type="dxa"/>
          </w:tcPr>
          <w:p w:rsidR="008E6174" w:rsidRPr="008E6174" w:rsidRDefault="008E6174">
            <w:r w:rsidRPr="008E6174">
              <w:t>Based on reported opex in 2016</w:t>
            </w:r>
          </w:p>
        </w:tc>
        <w:tc>
          <w:tcPr>
            <w:tcW w:w="1939" w:type="dxa"/>
          </w:tcPr>
          <w:p w:rsidR="008E6174" w:rsidRPr="003F3037" w:rsidRDefault="008E6174" w:rsidP="003F3037">
            <w:pPr>
              <w:cnfStyle w:val="000000000000" w:firstRow="0" w:lastRow="0" w:firstColumn="0" w:lastColumn="0" w:oddVBand="0" w:evenVBand="0" w:oddHBand="0" w:evenHBand="0" w:firstRowFirstColumn="0" w:firstRowLastColumn="0" w:lastRowFirstColumn="0" w:lastRowLastColumn="0"/>
            </w:pPr>
            <w:r w:rsidRPr="003F3037">
              <w:t>357.4</w:t>
            </w:r>
          </w:p>
        </w:tc>
        <w:tc>
          <w:tcPr>
            <w:tcW w:w="1975" w:type="dxa"/>
          </w:tcPr>
          <w:p w:rsidR="008E6174" w:rsidRPr="003F3037" w:rsidRDefault="008E6174" w:rsidP="003F3037">
            <w:pPr>
              <w:cnfStyle w:val="000000000000" w:firstRow="0" w:lastRow="0" w:firstColumn="0" w:lastColumn="0" w:oddVBand="0" w:evenVBand="0" w:oddHBand="0" w:evenHBand="0" w:firstRowFirstColumn="0" w:firstRowLastColumn="0" w:lastRowFirstColumn="0" w:lastRowLastColumn="0"/>
            </w:pPr>
            <w:r w:rsidRPr="003F3037">
              <w:t>365.5</w:t>
            </w:r>
          </w:p>
        </w:tc>
        <w:tc>
          <w:tcPr>
            <w:tcW w:w="1814" w:type="dxa"/>
          </w:tcPr>
          <w:p w:rsidR="008E6174" w:rsidRPr="003F3037" w:rsidRDefault="008E6174" w:rsidP="003F3037">
            <w:pPr>
              <w:cnfStyle w:val="000000000000" w:firstRow="0" w:lastRow="0" w:firstColumn="0" w:lastColumn="0" w:oddVBand="0" w:evenVBand="0" w:oddHBand="0" w:evenHBand="0" w:firstRowFirstColumn="0" w:firstRowLastColumn="0" w:lastRowFirstColumn="0" w:lastRowLastColumn="0"/>
            </w:pPr>
            <w:r w:rsidRPr="003F3037">
              <w:t>8.0</w:t>
            </w:r>
          </w:p>
        </w:tc>
      </w:tr>
      <w:tr w:rsidR="008E6174" w:rsidRPr="00B1577E" w:rsidTr="00247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8E6174" w:rsidRPr="008E6174" w:rsidRDefault="008E6174">
            <w:r w:rsidRPr="008E6174">
              <w:t>Movement in provisions</w:t>
            </w:r>
          </w:p>
        </w:tc>
        <w:tc>
          <w:tcPr>
            <w:tcW w:w="1939" w:type="dxa"/>
          </w:tcPr>
          <w:p w:rsidR="008E6174" w:rsidRPr="003F3037" w:rsidRDefault="00146BF9" w:rsidP="003F3037">
            <w:pPr>
              <w:cnfStyle w:val="000000010000" w:firstRow="0" w:lastRow="0" w:firstColumn="0" w:lastColumn="0" w:oddVBand="0" w:evenVBand="0" w:oddHBand="0" w:evenHBand="1" w:firstRowFirstColumn="0" w:firstRowLastColumn="0" w:lastRowFirstColumn="0" w:lastRowLastColumn="0"/>
            </w:pPr>
            <w:r w:rsidRPr="003F3037">
              <w:t>–</w:t>
            </w:r>
            <w:r w:rsidR="008E6174" w:rsidRPr="003F3037">
              <w:t>7.1</w:t>
            </w:r>
          </w:p>
        </w:tc>
        <w:tc>
          <w:tcPr>
            <w:tcW w:w="1975" w:type="dxa"/>
          </w:tcPr>
          <w:p w:rsidR="008E6174" w:rsidRPr="003F3037" w:rsidRDefault="00146BF9" w:rsidP="003F3037">
            <w:pPr>
              <w:cnfStyle w:val="000000010000" w:firstRow="0" w:lastRow="0" w:firstColumn="0" w:lastColumn="0" w:oddVBand="0" w:evenVBand="0" w:oddHBand="0" w:evenHBand="1" w:firstRowFirstColumn="0" w:firstRowLastColumn="0" w:lastRowFirstColumn="0" w:lastRowLastColumn="0"/>
            </w:pPr>
            <w:r w:rsidRPr="003F3037">
              <w:t>–</w:t>
            </w:r>
            <w:r w:rsidR="008E6174" w:rsidRPr="003F3037">
              <w:t>2.4</w:t>
            </w:r>
          </w:p>
        </w:tc>
        <w:tc>
          <w:tcPr>
            <w:tcW w:w="1814" w:type="dxa"/>
          </w:tcPr>
          <w:p w:rsidR="008E6174" w:rsidRPr="003F3037" w:rsidRDefault="008E6174" w:rsidP="003F3037">
            <w:pPr>
              <w:cnfStyle w:val="000000010000" w:firstRow="0" w:lastRow="0" w:firstColumn="0" w:lastColumn="0" w:oddVBand="0" w:evenVBand="0" w:oddHBand="0" w:evenHBand="1" w:firstRowFirstColumn="0" w:firstRowLastColumn="0" w:lastRowFirstColumn="0" w:lastRowLastColumn="0"/>
            </w:pPr>
            <w:r w:rsidRPr="003F3037">
              <w:t>4.6</w:t>
            </w:r>
          </w:p>
        </w:tc>
      </w:tr>
      <w:tr w:rsidR="008E6174" w:rsidRPr="00B1577E" w:rsidTr="002478ED">
        <w:tc>
          <w:tcPr>
            <w:cnfStyle w:val="001000000000" w:firstRow="0" w:lastRow="0" w:firstColumn="1" w:lastColumn="0" w:oddVBand="0" w:evenVBand="0" w:oddHBand="0" w:evenHBand="0" w:firstRowFirstColumn="0" w:firstRowLastColumn="0" w:lastRowFirstColumn="0" w:lastRowLastColumn="0"/>
            <w:tcW w:w="2965" w:type="dxa"/>
          </w:tcPr>
          <w:p w:rsidR="008E6174" w:rsidRPr="008E6174" w:rsidRDefault="008E6174">
            <w:r w:rsidRPr="008E6174">
              <w:t>2016 to 2017 increment</w:t>
            </w:r>
          </w:p>
        </w:tc>
        <w:tc>
          <w:tcPr>
            <w:tcW w:w="1939" w:type="dxa"/>
          </w:tcPr>
          <w:p w:rsidR="008E6174" w:rsidRPr="003F3037" w:rsidRDefault="008E6174" w:rsidP="003F3037">
            <w:pPr>
              <w:cnfStyle w:val="000000000000" w:firstRow="0" w:lastRow="0" w:firstColumn="0" w:lastColumn="0" w:oddVBand="0" w:evenVBand="0" w:oddHBand="0" w:evenHBand="0" w:firstRowFirstColumn="0" w:firstRowLastColumn="0" w:lastRowFirstColumn="0" w:lastRowLastColumn="0"/>
            </w:pPr>
            <w:r w:rsidRPr="003F3037">
              <w:t>4.5</w:t>
            </w:r>
          </w:p>
        </w:tc>
        <w:tc>
          <w:tcPr>
            <w:tcW w:w="1975" w:type="dxa"/>
          </w:tcPr>
          <w:p w:rsidR="008E6174" w:rsidRPr="003F3037" w:rsidRDefault="008E6174" w:rsidP="003F3037">
            <w:pPr>
              <w:cnfStyle w:val="000000000000" w:firstRow="0" w:lastRow="0" w:firstColumn="0" w:lastColumn="0" w:oddVBand="0" w:evenVBand="0" w:oddHBand="0" w:evenHBand="0" w:firstRowFirstColumn="0" w:firstRowLastColumn="0" w:lastRowFirstColumn="0" w:lastRowLastColumn="0"/>
            </w:pPr>
            <w:r w:rsidRPr="003F3037">
              <w:t>4.5</w:t>
            </w:r>
          </w:p>
        </w:tc>
        <w:tc>
          <w:tcPr>
            <w:tcW w:w="1814" w:type="dxa"/>
          </w:tcPr>
          <w:p w:rsidR="008E6174" w:rsidRPr="003F3037" w:rsidRDefault="008E6174" w:rsidP="003F3037">
            <w:pPr>
              <w:cnfStyle w:val="000000000000" w:firstRow="0" w:lastRow="0" w:firstColumn="0" w:lastColumn="0" w:oddVBand="0" w:evenVBand="0" w:oddHBand="0" w:evenHBand="0" w:firstRowFirstColumn="0" w:firstRowLastColumn="0" w:lastRowFirstColumn="0" w:lastRowLastColumn="0"/>
            </w:pPr>
            <w:r w:rsidRPr="003F3037">
              <w:t>0.0</w:t>
            </w:r>
          </w:p>
        </w:tc>
      </w:tr>
      <w:tr w:rsidR="008E6174" w:rsidRPr="00B1577E" w:rsidTr="00247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8E6174" w:rsidRPr="008E6174" w:rsidRDefault="008E6174">
            <w:r w:rsidRPr="008E6174">
              <w:t>Price growth</w:t>
            </w:r>
          </w:p>
        </w:tc>
        <w:tc>
          <w:tcPr>
            <w:tcW w:w="1939" w:type="dxa"/>
          </w:tcPr>
          <w:p w:rsidR="008E6174" w:rsidRPr="003F3037" w:rsidRDefault="008E6174" w:rsidP="003F3037">
            <w:pPr>
              <w:cnfStyle w:val="000000010000" w:firstRow="0" w:lastRow="0" w:firstColumn="0" w:lastColumn="0" w:oddVBand="0" w:evenVBand="0" w:oddHBand="0" w:evenHBand="1" w:firstRowFirstColumn="0" w:firstRowLastColumn="0" w:lastRowFirstColumn="0" w:lastRowLastColumn="0"/>
            </w:pPr>
            <w:r w:rsidRPr="003F3037">
              <w:t>7.7</w:t>
            </w:r>
          </w:p>
        </w:tc>
        <w:tc>
          <w:tcPr>
            <w:tcW w:w="1975" w:type="dxa"/>
          </w:tcPr>
          <w:p w:rsidR="008E6174" w:rsidRPr="003F3037" w:rsidRDefault="005D020F" w:rsidP="003F3037">
            <w:pPr>
              <w:cnfStyle w:val="000000010000" w:firstRow="0" w:lastRow="0" w:firstColumn="0" w:lastColumn="0" w:oddVBand="0" w:evenVBand="0" w:oddHBand="0" w:evenHBand="1" w:firstRowFirstColumn="0" w:firstRowLastColumn="0" w:lastRowFirstColumn="0" w:lastRowLastColumn="0"/>
            </w:pPr>
            <w:r w:rsidRPr="003F3037">
              <w:t>7.</w:t>
            </w:r>
            <w:r w:rsidR="009A1603" w:rsidRPr="003F3037">
              <w:t>2</w:t>
            </w:r>
          </w:p>
        </w:tc>
        <w:tc>
          <w:tcPr>
            <w:tcW w:w="1814" w:type="dxa"/>
          </w:tcPr>
          <w:p w:rsidR="008E6174" w:rsidRPr="003F3037" w:rsidRDefault="003C0B6A" w:rsidP="003F3037">
            <w:pPr>
              <w:cnfStyle w:val="000000010000" w:firstRow="0" w:lastRow="0" w:firstColumn="0" w:lastColumn="0" w:oddVBand="0" w:evenVBand="0" w:oddHBand="0" w:evenHBand="1" w:firstRowFirstColumn="0" w:firstRowLastColumn="0" w:lastRowFirstColumn="0" w:lastRowLastColumn="0"/>
            </w:pPr>
            <w:r w:rsidRPr="003F3037">
              <w:t>–</w:t>
            </w:r>
            <w:r w:rsidR="005D020F" w:rsidRPr="003F3037">
              <w:t>0.</w:t>
            </w:r>
            <w:r w:rsidR="009A1603" w:rsidRPr="003F3037">
              <w:t>5</w:t>
            </w:r>
          </w:p>
        </w:tc>
      </w:tr>
      <w:tr w:rsidR="008E6174" w:rsidRPr="00B1577E" w:rsidTr="002478ED">
        <w:tc>
          <w:tcPr>
            <w:cnfStyle w:val="001000000000" w:firstRow="0" w:lastRow="0" w:firstColumn="1" w:lastColumn="0" w:oddVBand="0" w:evenVBand="0" w:oddHBand="0" w:evenHBand="0" w:firstRowFirstColumn="0" w:firstRowLastColumn="0" w:lastRowFirstColumn="0" w:lastRowLastColumn="0"/>
            <w:tcW w:w="2965" w:type="dxa"/>
          </w:tcPr>
          <w:p w:rsidR="008E6174" w:rsidRPr="008E6174" w:rsidRDefault="008E6174">
            <w:r w:rsidRPr="008E6174">
              <w:t>Output growth</w:t>
            </w:r>
            <w:r w:rsidR="005D020F">
              <w:t xml:space="preserve"> and productivity</w:t>
            </w:r>
          </w:p>
        </w:tc>
        <w:tc>
          <w:tcPr>
            <w:tcW w:w="1939" w:type="dxa"/>
          </w:tcPr>
          <w:p w:rsidR="008E6174" w:rsidRPr="003F3037" w:rsidRDefault="008E6174" w:rsidP="003F3037">
            <w:pPr>
              <w:cnfStyle w:val="000000000000" w:firstRow="0" w:lastRow="0" w:firstColumn="0" w:lastColumn="0" w:oddVBand="0" w:evenVBand="0" w:oddHBand="0" w:evenHBand="0" w:firstRowFirstColumn="0" w:firstRowLastColumn="0" w:lastRowFirstColumn="0" w:lastRowLastColumn="0"/>
            </w:pPr>
            <w:r w:rsidRPr="003F3037">
              <w:t>7.2</w:t>
            </w:r>
          </w:p>
        </w:tc>
        <w:tc>
          <w:tcPr>
            <w:tcW w:w="1975" w:type="dxa"/>
          </w:tcPr>
          <w:p w:rsidR="008E6174" w:rsidRPr="003F3037" w:rsidRDefault="008E6174" w:rsidP="003F3037">
            <w:pPr>
              <w:cnfStyle w:val="000000000000" w:firstRow="0" w:lastRow="0" w:firstColumn="0" w:lastColumn="0" w:oddVBand="0" w:evenVBand="0" w:oddHBand="0" w:evenHBand="0" w:firstRowFirstColumn="0" w:firstRowLastColumn="0" w:lastRowFirstColumn="0" w:lastRowLastColumn="0"/>
            </w:pPr>
            <w:r w:rsidRPr="003F3037">
              <w:t>7.</w:t>
            </w:r>
            <w:r w:rsidR="009A1603" w:rsidRPr="003F3037">
              <w:t>3</w:t>
            </w:r>
          </w:p>
        </w:tc>
        <w:tc>
          <w:tcPr>
            <w:tcW w:w="1814" w:type="dxa"/>
          </w:tcPr>
          <w:p w:rsidR="008E6174" w:rsidRPr="003F3037" w:rsidRDefault="008E6174" w:rsidP="003F3037">
            <w:pPr>
              <w:cnfStyle w:val="000000000000" w:firstRow="0" w:lastRow="0" w:firstColumn="0" w:lastColumn="0" w:oddVBand="0" w:evenVBand="0" w:oddHBand="0" w:evenHBand="0" w:firstRowFirstColumn="0" w:firstRowLastColumn="0" w:lastRowFirstColumn="0" w:lastRowLastColumn="0"/>
            </w:pPr>
            <w:r w:rsidRPr="003F3037">
              <w:t>0.</w:t>
            </w:r>
            <w:r w:rsidR="009A1603" w:rsidRPr="003F3037">
              <w:t>1</w:t>
            </w:r>
          </w:p>
        </w:tc>
      </w:tr>
      <w:tr w:rsidR="008E6174" w:rsidRPr="00242204" w:rsidTr="00247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8E6174" w:rsidRPr="008E6174" w:rsidRDefault="008E6174">
            <w:r w:rsidRPr="008E6174">
              <w:t>Step changes</w:t>
            </w:r>
          </w:p>
        </w:tc>
        <w:tc>
          <w:tcPr>
            <w:tcW w:w="1939" w:type="dxa"/>
          </w:tcPr>
          <w:p w:rsidR="008E6174" w:rsidRPr="003F3037" w:rsidRDefault="008E6174" w:rsidP="003F3037">
            <w:pPr>
              <w:cnfStyle w:val="000000010000" w:firstRow="0" w:lastRow="0" w:firstColumn="0" w:lastColumn="0" w:oddVBand="0" w:evenVBand="0" w:oddHBand="0" w:evenHBand="1" w:firstRowFirstColumn="0" w:firstRowLastColumn="0" w:lastRowFirstColumn="0" w:lastRowLastColumn="0"/>
            </w:pPr>
            <w:r w:rsidRPr="003F3037">
              <w:t>23.3</w:t>
            </w:r>
          </w:p>
        </w:tc>
        <w:tc>
          <w:tcPr>
            <w:tcW w:w="1975" w:type="dxa"/>
          </w:tcPr>
          <w:p w:rsidR="008E6174" w:rsidRPr="003F3037" w:rsidRDefault="009A1603" w:rsidP="003F3037">
            <w:pPr>
              <w:cnfStyle w:val="000000010000" w:firstRow="0" w:lastRow="0" w:firstColumn="0" w:lastColumn="0" w:oddVBand="0" w:evenVBand="0" w:oddHBand="0" w:evenHBand="1" w:firstRowFirstColumn="0" w:firstRowLastColumn="0" w:lastRowFirstColumn="0" w:lastRowLastColumn="0"/>
            </w:pPr>
            <w:r w:rsidRPr="003F3037">
              <w:t>–</w:t>
            </w:r>
          </w:p>
        </w:tc>
        <w:tc>
          <w:tcPr>
            <w:tcW w:w="1814" w:type="dxa"/>
          </w:tcPr>
          <w:p w:rsidR="008E6174" w:rsidRPr="003F3037" w:rsidRDefault="003C0B6A" w:rsidP="003F3037">
            <w:pPr>
              <w:cnfStyle w:val="000000010000" w:firstRow="0" w:lastRow="0" w:firstColumn="0" w:lastColumn="0" w:oddVBand="0" w:evenVBand="0" w:oddHBand="0" w:evenHBand="1" w:firstRowFirstColumn="0" w:firstRowLastColumn="0" w:lastRowFirstColumn="0" w:lastRowLastColumn="0"/>
            </w:pPr>
            <w:r w:rsidRPr="003F3037">
              <w:t>–</w:t>
            </w:r>
            <w:r w:rsidR="008E6174" w:rsidRPr="003F3037">
              <w:t>23.3</w:t>
            </w:r>
          </w:p>
        </w:tc>
      </w:tr>
      <w:tr w:rsidR="008E6174" w:rsidRPr="00242204" w:rsidTr="002478ED">
        <w:tc>
          <w:tcPr>
            <w:cnfStyle w:val="001000000000" w:firstRow="0" w:lastRow="0" w:firstColumn="1" w:lastColumn="0" w:oddVBand="0" w:evenVBand="0" w:oddHBand="0" w:evenHBand="0" w:firstRowFirstColumn="0" w:firstRowLastColumn="0" w:lastRowFirstColumn="0" w:lastRowLastColumn="0"/>
            <w:tcW w:w="2965" w:type="dxa"/>
          </w:tcPr>
          <w:p w:rsidR="008E6174" w:rsidRPr="008E6174" w:rsidRDefault="008E6174" w:rsidP="008E6174">
            <w:r w:rsidRPr="008E6174">
              <w:t>Debt raising costs</w:t>
            </w:r>
          </w:p>
        </w:tc>
        <w:tc>
          <w:tcPr>
            <w:tcW w:w="1939" w:type="dxa"/>
          </w:tcPr>
          <w:p w:rsidR="008E6174" w:rsidRPr="003F3037" w:rsidRDefault="008E6174" w:rsidP="003F3037">
            <w:pPr>
              <w:cnfStyle w:val="000000000000" w:firstRow="0" w:lastRow="0" w:firstColumn="0" w:lastColumn="0" w:oddVBand="0" w:evenVBand="0" w:oddHBand="0" w:evenHBand="0" w:firstRowFirstColumn="0" w:firstRowLastColumn="0" w:lastRowFirstColumn="0" w:lastRowLastColumn="0"/>
            </w:pPr>
            <w:r w:rsidRPr="003F3037">
              <w:t>3.4</w:t>
            </w:r>
          </w:p>
        </w:tc>
        <w:tc>
          <w:tcPr>
            <w:tcW w:w="1975" w:type="dxa"/>
          </w:tcPr>
          <w:p w:rsidR="008E6174" w:rsidRPr="003F3037" w:rsidRDefault="008E6174" w:rsidP="003F3037">
            <w:pPr>
              <w:cnfStyle w:val="000000000000" w:firstRow="0" w:lastRow="0" w:firstColumn="0" w:lastColumn="0" w:oddVBand="0" w:evenVBand="0" w:oddHBand="0" w:evenHBand="0" w:firstRowFirstColumn="0" w:firstRowLastColumn="0" w:lastRowFirstColumn="0" w:lastRowLastColumn="0"/>
            </w:pPr>
            <w:r w:rsidRPr="003F3037">
              <w:t>3.</w:t>
            </w:r>
            <w:r w:rsidR="003C0B6A" w:rsidRPr="003F3037">
              <w:t>1</w:t>
            </w:r>
          </w:p>
        </w:tc>
        <w:tc>
          <w:tcPr>
            <w:tcW w:w="1814" w:type="dxa"/>
          </w:tcPr>
          <w:p w:rsidR="008E6174" w:rsidRPr="003F3037" w:rsidRDefault="003C0B6A" w:rsidP="003F3037">
            <w:pPr>
              <w:cnfStyle w:val="000000000000" w:firstRow="0" w:lastRow="0" w:firstColumn="0" w:lastColumn="0" w:oddVBand="0" w:evenVBand="0" w:oddHBand="0" w:evenHBand="0" w:firstRowFirstColumn="0" w:firstRowLastColumn="0" w:lastRowFirstColumn="0" w:lastRowLastColumn="0"/>
            </w:pPr>
            <w:r w:rsidRPr="003F3037">
              <w:t>–</w:t>
            </w:r>
            <w:r w:rsidR="008E6174" w:rsidRPr="003F3037">
              <w:t>0.</w:t>
            </w:r>
            <w:r w:rsidRPr="003F3037">
              <w:t>3</w:t>
            </w:r>
          </w:p>
        </w:tc>
      </w:tr>
      <w:tr w:rsidR="008E6174" w:rsidRPr="002A5633" w:rsidTr="00247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8E6174" w:rsidRPr="003F3037" w:rsidRDefault="008E6174">
            <w:pPr>
              <w:spacing w:before="0" w:after="0"/>
              <w:rPr>
                <w:rStyle w:val="Strong"/>
              </w:rPr>
            </w:pPr>
            <w:r w:rsidRPr="003F3037">
              <w:rPr>
                <w:rStyle w:val="Strong"/>
              </w:rPr>
              <w:t>Total opex</w:t>
            </w:r>
          </w:p>
        </w:tc>
        <w:tc>
          <w:tcPr>
            <w:tcW w:w="1939" w:type="dxa"/>
          </w:tcPr>
          <w:p w:rsidR="008E6174" w:rsidRPr="003F3037" w:rsidRDefault="008E6174" w:rsidP="003F3037">
            <w:pPr>
              <w:cnfStyle w:val="000000010000" w:firstRow="0" w:lastRow="0" w:firstColumn="0" w:lastColumn="0" w:oddVBand="0" w:evenVBand="0" w:oddHBand="0" w:evenHBand="1" w:firstRowFirstColumn="0" w:firstRowLastColumn="0" w:lastRowFirstColumn="0" w:lastRowLastColumn="0"/>
              <w:rPr>
                <w:rStyle w:val="Strong"/>
              </w:rPr>
            </w:pPr>
            <w:r w:rsidRPr="003F3037">
              <w:rPr>
                <w:rStyle w:val="Strong"/>
              </w:rPr>
              <w:t>396.4</w:t>
            </w:r>
          </w:p>
        </w:tc>
        <w:tc>
          <w:tcPr>
            <w:tcW w:w="1975" w:type="dxa"/>
          </w:tcPr>
          <w:p w:rsidR="008E6174" w:rsidRPr="003F3037" w:rsidRDefault="008E6174" w:rsidP="003F3037">
            <w:pPr>
              <w:cnfStyle w:val="000000010000" w:firstRow="0" w:lastRow="0" w:firstColumn="0" w:lastColumn="0" w:oddVBand="0" w:evenVBand="0" w:oddHBand="0" w:evenHBand="1" w:firstRowFirstColumn="0" w:firstRowLastColumn="0" w:lastRowFirstColumn="0" w:lastRowLastColumn="0"/>
              <w:rPr>
                <w:rStyle w:val="Strong"/>
              </w:rPr>
            </w:pPr>
            <w:r w:rsidRPr="003F3037">
              <w:rPr>
                <w:rStyle w:val="Strong"/>
              </w:rPr>
              <w:t>38</w:t>
            </w:r>
            <w:r w:rsidR="005D020F" w:rsidRPr="003F3037">
              <w:rPr>
                <w:rStyle w:val="Strong"/>
              </w:rPr>
              <w:t>5.</w:t>
            </w:r>
            <w:r w:rsidR="003C0B6A" w:rsidRPr="003F3037">
              <w:rPr>
                <w:rStyle w:val="Strong"/>
              </w:rPr>
              <w:t>1</w:t>
            </w:r>
          </w:p>
        </w:tc>
        <w:tc>
          <w:tcPr>
            <w:tcW w:w="1814" w:type="dxa"/>
          </w:tcPr>
          <w:p w:rsidR="008E6174" w:rsidRPr="003F3037" w:rsidRDefault="003C0B6A" w:rsidP="003F3037">
            <w:pPr>
              <w:cnfStyle w:val="000000010000" w:firstRow="0" w:lastRow="0" w:firstColumn="0" w:lastColumn="0" w:oddVBand="0" w:evenVBand="0" w:oddHBand="0" w:evenHBand="1" w:firstRowFirstColumn="0" w:firstRowLastColumn="0" w:lastRowFirstColumn="0" w:lastRowLastColumn="0"/>
              <w:rPr>
                <w:rStyle w:val="Strong"/>
              </w:rPr>
            </w:pPr>
            <w:r w:rsidRPr="003F3037">
              <w:rPr>
                <w:rStyle w:val="Strong"/>
              </w:rPr>
              <w:t>–</w:t>
            </w:r>
            <w:r w:rsidR="005D020F" w:rsidRPr="003F3037">
              <w:rPr>
                <w:rStyle w:val="Strong"/>
              </w:rPr>
              <w:t>11.</w:t>
            </w:r>
            <w:r w:rsidRPr="003F3037">
              <w:rPr>
                <w:rStyle w:val="Strong"/>
              </w:rPr>
              <w:t>3</w:t>
            </w:r>
          </w:p>
        </w:tc>
      </w:tr>
    </w:tbl>
    <w:p w:rsidR="00B812AC" w:rsidRDefault="00B812AC" w:rsidP="00B812AC">
      <w:pPr>
        <w:pStyle w:val="Source"/>
      </w:pPr>
      <w:r>
        <w:t xml:space="preserve">Source: </w:t>
      </w:r>
      <w:r>
        <w:tab/>
        <w:t>Multinet's proposed opex model</w:t>
      </w:r>
      <w:r w:rsidR="003C0B6A">
        <w:t>;</w:t>
      </w:r>
      <w:r>
        <w:t xml:space="preserve"> AER draft decision opex model. </w:t>
      </w:r>
      <w:r w:rsidR="003C0B6A">
        <w:br/>
      </w:r>
      <w:r>
        <w:t>Note:</w:t>
      </w:r>
      <w:r>
        <w:tab/>
        <w:t>Base opex has been adjusted for movements in provisions. Numbers may not add due to rounding.</w:t>
      </w:r>
    </w:p>
    <w:p w:rsidR="00B812AC" w:rsidRDefault="00B812AC" w:rsidP="00B812AC">
      <w:r w:rsidRPr="00ED08EA">
        <w:t xml:space="preserve">We </w:t>
      </w:r>
      <w:r>
        <w:t>discuss the components of our alternative estimate below</w:t>
      </w:r>
      <w:r w:rsidRPr="00ED08EA">
        <w:t>.</w:t>
      </w:r>
      <w:r>
        <w:t xml:space="preserve"> </w:t>
      </w:r>
      <w:r w:rsidR="00624258">
        <w:t>F</w:t>
      </w:r>
      <w:r>
        <w:t>ull details of our alternative estimate are set out in our opex model, which is available on our website.</w:t>
      </w:r>
    </w:p>
    <w:p w:rsidR="00B812AC" w:rsidRPr="00605853" w:rsidRDefault="00B812AC" w:rsidP="00B812AC">
      <w:pPr>
        <w:pStyle w:val="Heading3"/>
      </w:pPr>
      <w:bookmarkStart w:id="102" w:name="_Toc475028901"/>
      <w:bookmarkStart w:id="103" w:name="_Toc486838088"/>
      <w:r w:rsidRPr="00ED08EA">
        <w:t>Base opex</w:t>
      </w:r>
      <w:bookmarkEnd w:id="102"/>
      <w:bookmarkEnd w:id="103"/>
    </w:p>
    <w:p w:rsidR="00BF1DB1" w:rsidRDefault="00735106" w:rsidP="00717689">
      <w:bookmarkStart w:id="104" w:name="_Toc475028902"/>
      <w:r w:rsidRPr="00B539FF">
        <w:t xml:space="preserve">We relied on </w:t>
      </w:r>
      <w:r>
        <w:t>Multinet's</w:t>
      </w:r>
      <w:r w:rsidRPr="00B539FF">
        <w:t xml:space="preserve"> </w:t>
      </w:r>
      <w:r w:rsidR="00491CB2">
        <w:t>actual</w:t>
      </w:r>
      <w:r w:rsidR="00491CB2" w:rsidRPr="00B539FF">
        <w:t xml:space="preserve"> </w:t>
      </w:r>
      <w:r w:rsidRPr="00B539FF">
        <w:t>opex in 201</w:t>
      </w:r>
      <w:r>
        <w:t>6</w:t>
      </w:r>
      <w:r w:rsidRPr="00B539FF">
        <w:t xml:space="preserve"> to forecast its opex for the 20</w:t>
      </w:r>
      <w:r>
        <w:t>18–22 access arrangement period</w:t>
      </w:r>
      <w:r w:rsidRPr="00B539FF">
        <w:t xml:space="preserve">. </w:t>
      </w:r>
      <w:r w:rsidR="00CD3FD8" w:rsidRPr="009C393E">
        <w:t xml:space="preserve">Our </w:t>
      </w:r>
      <w:r w:rsidR="00D04539">
        <w:t>alternative estimate</w:t>
      </w:r>
      <w:r w:rsidR="00CD3FD8">
        <w:t xml:space="preserve"> adopts base year expenditure of $</w:t>
      </w:r>
      <w:r w:rsidR="002E6253">
        <w:t>72.6</w:t>
      </w:r>
      <w:r w:rsidR="00815FC6">
        <w:t> </w:t>
      </w:r>
      <w:r w:rsidR="00CD3FD8">
        <w:t>million ($2017), which produces a base opex amount of $</w:t>
      </w:r>
      <w:r w:rsidR="00162020">
        <w:t>365.5</w:t>
      </w:r>
      <w:r w:rsidR="00CD3FD8">
        <w:t xml:space="preserve"> million ($2017). </w:t>
      </w:r>
    </w:p>
    <w:p w:rsidR="00B539FF" w:rsidRDefault="00B539FF" w:rsidP="00B539FF">
      <w:r w:rsidRPr="00B539FF">
        <w:t xml:space="preserve">We are satisfied </w:t>
      </w:r>
      <w:r w:rsidR="00BF1DB1">
        <w:t>Multinet's</w:t>
      </w:r>
      <w:r w:rsidRPr="00B539FF">
        <w:t xml:space="preserve"> proposed 201</w:t>
      </w:r>
      <w:r w:rsidR="00BF1DB1">
        <w:t>6</w:t>
      </w:r>
      <w:r w:rsidRPr="00B539FF">
        <w:t xml:space="preserve"> base year reflects </w:t>
      </w:r>
      <w:r w:rsidR="00BF1DB1">
        <w:t>its</w:t>
      </w:r>
      <w:r w:rsidRPr="00B539FF">
        <w:t xml:space="preserve"> year-to-year opex requirements and there is no evidence to suggest </w:t>
      </w:r>
      <w:r w:rsidR="00BF1DB1">
        <w:t>Multinet's</w:t>
      </w:r>
      <w:r w:rsidRPr="00B539FF">
        <w:t xml:space="preserve"> revealed expenditure is materially inefficient. </w:t>
      </w:r>
    </w:p>
    <w:p w:rsidR="00BF1DB1" w:rsidRPr="009D6BDC" w:rsidRDefault="00BF1DB1" w:rsidP="00BF1DB1">
      <w:pPr>
        <w:pStyle w:val="HeadingBoldItalic"/>
      </w:pPr>
      <w:r w:rsidRPr="009D6BDC">
        <w:t xml:space="preserve">Which year should be used as the base year? </w:t>
      </w:r>
    </w:p>
    <w:p w:rsidR="006E40BF" w:rsidRDefault="00A90F85" w:rsidP="00BF1DB1">
      <w:r w:rsidRPr="00A90F85">
        <w:t xml:space="preserve">We consider Multinet's proposed base year of 2016 provides a reasonable basis for forecasting total opex. The actual opex incurred in 2016 is similar to the opex reported in previous years and there is no evidence to suggest Multinet's expenditure drivers will change materially in the forecast period compared to those in 2016. </w:t>
      </w:r>
    </w:p>
    <w:p w:rsidR="006E40BF" w:rsidRDefault="00A90F85" w:rsidP="00BF1DB1">
      <w:r w:rsidRPr="00A90F85">
        <w:t xml:space="preserve">Also, by operation of the efficiency carryover mechanism (ECM), the choice of base year has little effect on the </w:t>
      </w:r>
      <w:r w:rsidR="0044402E">
        <w:t>total</w:t>
      </w:r>
      <w:r w:rsidRPr="00A90F85">
        <w:t xml:space="preserve"> revenue allowance. The ECM calculation will use the same base year as the opex forecast such that any changes in </w:t>
      </w:r>
      <w:r w:rsidR="0044402E">
        <w:t xml:space="preserve">the </w:t>
      </w:r>
      <w:r w:rsidRPr="00A90F85">
        <w:t xml:space="preserve">opex forecast relating to the choice of base year will be offset by a corresponding change in the ECM incentive payment. </w:t>
      </w:r>
    </w:p>
    <w:p w:rsidR="00A90F85" w:rsidRDefault="00A90F85" w:rsidP="00BF1DB1">
      <w:r w:rsidRPr="00A90F85">
        <w:t>As such, we adopted Multinet's 2016 reported opex as the base year expenditure in our alternative estimate.</w:t>
      </w:r>
    </w:p>
    <w:p w:rsidR="00780B6E" w:rsidRDefault="00780B6E" w:rsidP="00BF1DB1">
      <w:pPr>
        <w:pStyle w:val="HeadingBoldItalic"/>
      </w:pPr>
    </w:p>
    <w:p w:rsidR="00BF1DB1" w:rsidRPr="009D6BDC" w:rsidRDefault="00BF1DB1" w:rsidP="00BF1DB1">
      <w:pPr>
        <w:pStyle w:val="HeadingBoldItalic"/>
      </w:pPr>
      <w:r w:rsidRPr="009D6BDC">
        <w:t xml:space="preserve">Is base </w:t>
      </w:r>
      <w:r w:rsidR="00A90F85">
        <w:t xml:space="preserve">year </w:t>
      </w:r>
      <w:r w:rsidRPr="009D6BDC">
        <w:t xml:space="preserve">opex efficient? </w:t>
      </w:r>
    </w:p>
    <w:p w:rsidR="00BF1DB1" w:rsidRPr="009D6BDC" w:rsidRDefault="00D23E63" w:rsidP="00BF1DB1">
      <w:r>
        <w:t>Multinet</w:t>
      </w:r>
      <w:r w:rsidR="00BF1DB1" w:rsidRPr="009D6BDC">
        <w:t xml:space="preserve"> is subject to the incentives of an ex ante regulatory framework, including the application of an efficiency carryover mechanism for opex. Typically, where a service provider is subject to these incentives, we are satisfied there is a continuous incentive for a service provider to make efficiency gains and it does not have an incentive to increase its opex in the proposed base year.</w:t>
      </w:r>
      <w:r w:rsidR="00D870EC">
        <w:rPr>
          <w:rStyle w:val="FootnoteReference"/>
        </w:rPr>
        <w:footnoteReference w:id="25"/>
      </w:r>
    </w:p>
    <w:p w:rsidR="00AA6FB4" w:rsidRDefault="00BF1DB1" w:rsidP="00BF1DB1">
      <w:pPr>
        <w:pStyle w:val="ListParagraph"/>
        <w:numPr>
          <w:ilvl w:val="0"/>
          <w:numId w:val="24"/>
        </w:numPr>
      </w:pPr>
      <w:r w:rsidRPr="009D6BDC">
        <w:t xml:space="preserve">We have considered benchmarking undertaken by Economic Insights, </w:t>
      </w:r>
      <w:r>
        <w:t>which</w:t>
      </w:r>
      <w:r w:rsidRPr="009D6BDC">
        <w:t xml:space="preserve"> was engaged by </w:t>
      </w:r>
      <w:r>
        <w:t>the three Victorian gas distribution businesses</w:t>
      </w:r>
      <w:r w:rsidRPr="009D6BDC">
        <w:t xml:space="preserve"> to assess the efficiency of </w:t>
      </w:r>
      <w:r>
        <w:t>their</w:t>
      </w:r>
      <w:r w:rsidRPr="009D6BDC">
        <w:t xml:space="preserve"> base year </w:t>
      </w:r>
      <w:r>
        <w:t>expenditure</w:t>
      </w:r>
      <w:r w:rsidRPr="009D6BDC">
        <w:t>.</w:t>
      </w:r>
      <w:r w:rsidRPr="009D6BDC">
        <w:rPr>
          <w:rStyle w:val="FootnoteReference"/>
        </w:rPr>
        <w:footnoteReference w:id="26"/>
      </w:r>
      <w:r w:rsidRPr="009D6BDC">
        <w:t xml:space="preserve"> </w:t>
      </w:r>
      <w:r w:rsidR="00491CB2" w:rsidRPr="009D6BDC">
        <w:t xml:space="preserve">Economic Insights </w:t>
      </w:r>
      <w:r w:rsidR="00491CB2">
        <w:t>considered</w:t>
      </w:r>
      <w:r w:rsidR="00491CB2" w:rsidRPr="009D6BDC">
        <w:t xml:space="preserve"> that </w:t>
      </w:r>
      <w:r w:rsidR="00491CB2">
        <w:t>Multinet</w:t>
      </w:r>
      <w:r w:rsidR="00491CB2" w:rsidRPr="009D6BDC">
        <w:t xml:space="preserve"> is at or below the average opex per customer for gas distribution businesses with relatively high customer density.</w:t>
      </w:r>
    </w:p>
    <w:p w:rsidR="00AA6FB4" w:rsidRDefault="00AA6FB4" w:rsidP="00A90F85">
      <w:pPr>
        <w:pStyle w:val="ListParagraph"/>
        <w:numPr>
          <w:ilvl w:val="0"/>
          <w:numId w:val="24"/>
        </w:numPr>
      </w:pPr>
      <w:r>
        <w:t>Benchmarking</w:t>
      </w:r>
      <w:r w:rsidRPr="00992B0B">
        <w:t xml:space="preserve"> is a way of determining how well a network business is performing against its peers and over time, and provides valuable information on what is ‘best practice’</w:t>
      </w:r>
      <w:r>
        <w:t>.</w:t>
      </w:r>
      <w:r w:rsidRPr="00E10CA3">
        <w:t xml:space="preserve"> </w:t>
      </w:r>
      <w:r>
        <w:t>We note that u</w:t>
      </w:r>
      <w:r w:rsidRPr="009D6BDC">
        <w:t xml:space="preserve">nlike with the electricity network service providers, we do not have </w:t>
      </w:r>
      <w:r w:rsidR="00C73A2A">
        <w:t xml:space="preserve">readily available </w:t>
      </w:r>
      <w:r w:rsidRPr="009D6BDC">
        <w:t xml:space="preserve">standardised data for the gas service providers to conduct our own economic benchmarking or category analysis to assess the efficiency of the revealed base year costs. </w:t>
      </w:r>
    </w:p>
    <w:p w:rsidR="00BF1DB1" w:rsidRDefault="00BF1DB1" w:rsidP="00AA6FB4">
      <w:pPr>
        <w:pStyle w:val="ListParagraph"/>
        <w:numPr>
          <w:ilvl w:val="0"/>
          <w:numId w:val="24"/>
        </w:numPr>
      </w:pPr>
      <w:r>
        <w:t>Although</w:t>
      </w:r>
      <w:r w:rsidRPr="009D6BDC">
        <w:t xml:space="preserve"> Economic Insights suggests that </w:t>
      </w:r>
      <w:r w:rsidR="00D23E63">
        <w:t>Multinet's</w:t>
      </w:r>
      <w:r w:rsidRPr="009D6BDC">
        <w:t xml:space="preserve"> use of opex inputs is likely to be among the more efficient in the sample, it states the comparison does not control for other opex cost drivers that may be relevant and care needs to be taken when drawing inferences.</w:t>
      </w:r>
      <w:r w:rsidRPr="009D6BDC">
        <w:rPr>
          <w:rStyle w:val="FootnoteReference"/>
        </w:rPr>
        <w:footnoteReference w:id="27"/>
      </w:r>
      <w:r>
        <w:t xml:space="preserve"> </w:t>
      </w:r>
    </w:p>
    <w:p w:rsidR="00BF1DB1" w:rsidRDefault="00BF1DB1" w:rsidP="00BF1DB1">
      <w:pPr>
        <w:pStyle w:val="ListParagraph"/>
        <w:numPr>
          <w:ilvl w:val="0"/>
          <w:numId w:val="24"/>
        </w:numPr>
      </w:pPr>
      <w:r>
        <w:t xml:space="preserve">We consider </w:t>
      </w:r>
      <w:r w:rsidRPr="004254EC">
        <w:t xml:space="preserve">conclusions from </w:t>
      </w:r>
      <w:r>
        <w:t xml:space="preserve">the benchmarking undertaken by Economic Insights </w:t>
      </w:r>
      <w:r w:rsidRPr="004254EC">
        <w:t>should be treated with caution.</w:t>
      </w:r>
      <w:r>
        <w:t xml:space="preserve"> The benchmarking exercise</w:t>
      </w:r>
      <w:r w:rsidRPr="004254EC">
        <w:t xml:space="preserve"> is limited by the small sample size of </w:t>
      </w:r>
      <w:r>
        <w:t>gas distribution</w:t>
      </w:r>
      <w:r w:rsidRPr="004254EC">
        <w:t xml:space="preserve"> businesses </w:t>
      </w:r>
      <w:r>
        <w:t>and it is difficult to test some of the underlying data sources</w:t>
      </w:r>
      <w:r w:rsidRPr="004254EC">
        <w:t xml:space="preserve">—among other things. </w:t>
      </w:r>
      <w:r w:rsidR="00A90F85">
        <w:t>In light of this, we have given limited weight to Economic Insight's benchmarking and conclusions.  However, as set out above, and in the absence of any evidence to the contrary, we are satisfied that the 2016 base year opex is efficient.</w:t>
      </w:r>
    </w:p>
    <w:p w:rsidR="00D23E63" w:rsidRDefault="00D23E63" w:rsidP="00D23E63">
      <w:pPr>
        <w:pStyle w:val="HeadingBoldItalic"/>
      </w:pPr>
      <w:r>
        <w:t>Base year expenditure adjustments</w:t>
      </w:r>
      <w:r w:rsidRPr="009D6BDC">
        <w:t xml:space="preserve"> </w:t>
      </w:r>
    </w:p>
    <w:p w:rsidR="006E40BF" w:rsidRDefault="00717689" w:rsidP="00717689">
      <w:pPr>
        <w:rPr>
          <w:rStyle w:val="AERbody"/>
        </w:rPr>
      </w:pPr>
      <w:r>
        <w:t>Multinet</w:t>
      </w:r>
      <w:r w:rsidRPr="009D6BDC">
        <w:rPr>
          <w:rStyle w:val="AERbody"/>
        </w:rPr>
        <w:t xml:space="preserve"> recovered the costs of its annual licence fees payable to </w:t>
      </w:r>
      <w:r w:rsidR="00263CF1">
        <w:rPr>
          <w:rStyle w:val="AERbody"/>
        </w:rPr>
        <w:t xml:space="preserve">the </w:t>
      </w:r>
      <w:r w:rsidRPr="009D6BDC">
        <w:rPr>
          <w:rStyle w:val="AERbody"/>
        </w:rPr>
        <w:t>Essential Services Commission</w:t>
      </w:r>
      <w:r w:rsidR="00521258">
        <w:rPr>
          <w:rStyle w:val="AERbody"/>
        </w:rPr>
        <w:t xml:space="preserve"> of Victoria</w:t>
      </w:r>
      <w:r w:rsidRPr="009D6BDC">
        <w:rPr>
          <w:rStyle w:val="AERbody"/>
        </w:rPr>
        <w:t xml:space="preserve"> through a licence fee factor in </w:t>
      </w:r>
      <w:r>
        <w:rPr>
          <w:rStyle w:val="AERbody"/>
        </w:rPr>
        <w:t xml:space="preserve">the </w:t>
      </w:r>
      <w:r w:rsidR="003F3573">
        <w:rPr>
          <w:rStyle w:val="AERbody"/>
        </w:rPr>
        <w:t>reference tariff variation mechanism</w:t>
      </w:r>
      <w:r w:rsidR="0044162F">
        <w:rPr>
          <w:rStyle w:val="AERbody"/>
        </w:rPr>
        <w:t xml:space="preserve"> in the </w:t>
      </w:r>
      <w:r w:rsidR="0044162F">
        <w:t>2013–17 access arrangement period</w:t>
      </w:r>
      <w:r w:rsidRPr="009D6BDC">
        <w:rPr>
          <w:rStyle w:val="AERbody"/>
        </w:rPr>
        <w:t>.</w:t>
      </w:r>
      <w:r w:rsidR="003F3573">
        <w:rPr>
          <w:rStyle w:val="FootnoteReference"/>
        </w:rPr>
        <w:footnoteReference w:id="28"/>
      </w:r>
      <w:r>
        <w:rPr>
          <w:rStyle w:val="AERbody"/>
        </w:rPr>
        <w:t xml:space="preserve"> </w:t>
      </w:r>
      <w:r w:rsidRPr="009D6BDC">
        <w:rPr>
          <w:rStyle w:val="AERbody"/>
        </w:rPr>
        <w:t>Given licence costs are relatively stable from year-to-</w:t>
      </w:r>
      <w:r w:rsidR="00EF5EA2" w:rsidRPr="009D6BDC">
        <w:rPr>
          <w:rStyle w:val="AERbody"/>
        </w:rPr>
        <w:t>year</w:t>
      </w:r>
      <w:r w:rsidR="00C73A2A">
        <w:rPr>
          <w:rStyle w:val="AERbody"/>
        </w:rPr>
        <w:t xml:space="preserve">, </w:t>
      </w:r>
      <w:r w:rsidRPr="009D6BDC">
        <w:rPr>
          <w:rStyle w:val="AERbody"/>
        </w:rPr>
        <w:t xml:space="preserve">we consider </w:t>
      </w:r>
      <w:r w:rsidR="00346446">
        <w:rPr>
          <w:rStyle w:val="AERbody"/>
        </w:rPr>
        <w:t xml:space="preserve">it </w:t>
      </w:r>
      <w:r w:rsidRPr="009D6BDC">
        <w:rPr>
          <w:rStyle w:val="AERbody"/>
        </w:rPr>
        <w:t xml:space="preserve">appropriate for </w:t>
      </w:r>
      <w:r>
        <w:rPr>
          <w:rStyle w:val="AERbody"/>
        </w:rPr>
        <w:t>Multinet</w:t>
      </w:r>
      <w:r w:rsidRPr="009D6BDC">
        <w:rPr>
          <w:rStyle w:val="AERbody"/>
        </w:rPr>
        <w:t xml:space="preserve"> to recover these costs as a base opex component going forward, rather than through the licence f</w:t>
      </w:r>
      <w:r>
        <w:rPr>
          <w:rStyle w:val="AERbody"/>
        </w:rPr>
        <w:t xml:space="preserve">ee factor. </w:t>
      </w:r>
    </w:p>
    <w:p w:rsidR="00717689" w:rsidRDefault="00717689" w:rsidP="00717689">
      <w:pPr>
        <w:rPr>
          <w:rStyle w:val="AERbody"/>
        </w:rPr>
      </w:pPr>
      <w:r>
        <w:rPr>
          <w:rStyle w:val="AERbody"/>
        </w:rPr>
        <w:t xml:space="preserve">Accordingly, we have removed the licence fees adjustment </w:t>
      </w:r>
      <w:r w:rsidR="0095203E">
        <w:rPr>
          <w:rStyle w:val="AERbody"/>
        </w:rPr>
        <w:t>Multinet</w:t>
      </w:r>
      <w:r>
        <w:rPr>
          <w:rStyle w:val="AERbody"/>
        </w:rPr>
        <w:t xml:space="preserve"> made to its 2016 reported opex and </w:t>
      </w:r>
      <w:r w:rsidRPr="009D6BDC">
        <w:rPr>
          <w:rStyle w:val="AERbody"/>
        </w:rPr>
        <w:t>exclude</w:t>
      </w:r>
      <w:r>
        <w:rPr>
          <w:rStyle w:val="AERbody"/>
        </w:rPr>
        <w:t>d</w:t>
      </w:r>
      <w:r w:rsidRPr="009D6BDC">
        <w:rPr>
          <w:rStyle w:val="AERbody"/>
        </w:rPr>
        <w:t xml:space="preserve"> the licence fee factor from </w:t>
      </w:r>
      <w:r>
        <w:rPr>
          <w:rStyle w:val="AERbody"/>
        </w:rPr>
        <w:t>its</w:t>
      </w:r>
      <w:r w:rsidRPr="009D6BDC">
        <w:rPr>
          <w:rStyle w:val="AERbody"/>
        </w:rPr>
        <w:t xml:space="preserve"> tariff variation formula. </w:t>
      </w:r>
    </w:p>
    <w:p w:rsidR="00B812AC" w:rsidRPr="00605853" w:rsidRDefault="00B812AC" w:rsidP="00B812AC">
      <w:pPr>
        <w:pStyle w:val="Heading3"/>
      </w:pPr>
      <w:bookmarkStart w:id="105" w:name="_Toc486838089"/>
      <w:r>
        <w:t>Rate of change</w:t>
      </w:r>
      <w:bookmarkEnd w:id="104"/>
      <w:bookmarkEnd w:id="105"/>
    </w:p>
    <w:p w:rsidR="002478ED" w:rsidRPr="004F5EA3" w:rsidRDefault="002478ED" w:rsidP="002478ED">
      <w:r w:rsidRPr="004F5EA3">
        <w:t xml:space="preserve">Once we </w:t>
      </w:r>
      <w:r w:rsidR="00B8246D">
        <w:t>estimate</w:t>
      </w:r>
      <w:r>
        <w:t xml:space="preserve"> opex</w:t>
      </w:r>
      <w:r w:rsidRPr="004F5EA3">
        <w:t xml:space="preserve"> in the final year of the </w:t>
      </w:r>
      <w:r w:rsidR="00B8246D">
        <w:t>current</w:t>
      </w:r>
      <w:r w:rsidRPr="004F5EA3">
        <w:t xml:space="preserve"> period</w:t>
      </w:r>
      <w:r w:rsidR="00E37FCA">
        <w:t>,</w:t>
      </w:r>
      <w:r w:rsidRPr="004F5EA3">
        <w:t xml:space="preserve"> we apply a forecast annual rate of change to forecast opex for the 201</w:t>
      </w:r>
      <w:r>
        <w:t>8</w:t>
      </w:r>
      <w:r w:rsidRPr="004F5EA3">
        <w:t xml:space="preserve">–22 </w:t>
      </w:r>
      <w:r w:rsidR="00E37FCA">
        <w:t xml:space="preserve">access arrangement </w:t>
      </w:r>
      <w:r w:rsidRPr="004F5EA3">
        <w:t xml:space="preserve">period. </w:t>
      </w:r>
    </w:p>
    <w:p w:rsidR="002478ED" w:rsidRDefault="0044402E" w:rsidP="002478ED">
      <w:r>
        <w:t>We applied an</w:t>
      </w:r>
      <w:r w:rsidR="00B8246D" w:rsidRPr="00B8246D">
        <w:t xml:space="preserve"> </w:t>
      </w:r>
      <w:r w:rsidR="00907E37">
        <w:t xml:space="preserve">overall </w:t>
      </w:r>
      <w:r w:rsidR="00B8246D" w:rsidRPr="00B8246D">
        <w:t xml:space="preserve">annual </w:t>
      </w:r>
      <w:r w:rsidR="00E37FCA">
        <w:t xml:space="preserve">average </w:t>
      </w:r>
      <w:r w:rsidR="00B8246D" w:rsidRPr="00B8246D">
        <w:t xml:space="preserve">rate of change </w:t>
      </w:r>
      <w:r>
        <w:t>of 1.3 per cent</w:t>
      </w:r>
      <w:r w:rsidRPr="00B8246D">
        <w:t xml:space="preserve"> </w:t>
      </w:r>
      <w:r w:rsidR="00B8246D" w:rsidRPr="00B8246D">
        <w:t>to derive our alternative estimate of opex</w:t>
      </w:r>
      <w:r>
        <w:t>.</w:t>
      </w:r>
      <w:r w:rsidR="00E37FCA">
        <w:t xml:space="preserve"> </w:t>
      </w:r>
      <w:r>
        <w:t>This</w:t>
      </w:r>
      <w:r w:rsidR="00B8246D" w:rsidRPr="00B8246D">
        <w:t xml:space="preserve"> is lower than </w:t>
      </w:r>
      <w:r w:rsidR="00B8246D">
        <w:t>Multinet</w:t>
      </w:r>
      <w:r w:rsidR="00B8246D" w:rsidRPr="00B8246D">
        <w:t>'</w:t>
      </w:r>
      <w:r w:rsidR="00B8246D">
        <w:t>s</w:t>
      </w:r>
      <w:r w:rsidR="00B8246D" w:rsidRPr="00B8246D">
        <w:t xml:space="preserve"> </w:t>
      </w:r>
      <w:r>
        <w:t xml:space="preserve">forecast of </w:t>
      </w:r>
      <w:r w:rsidR="005F560F">
        <w:t>1.</w:t>
      </w:r>
      <w:r w:rsidR="00B8246D">
        <w:t>5</w:t>
      </w:r>
      <w:r w:rsidR="00B8246D" w:rsidRPr="00B8246D">
        <w:t xml:space="preserve"> per cent. We compare </w:t>
      </w:r>
      <w:r w:rsidR="00B8246D">
        <w:t xml:space="preserve">Multinet's </w:t>
      </w:r>
      <w:r w:rsidR="00E37FCA">
        <w:t>forecast</w:t>
      </w:r>
      <w:r w:rsidR="00B8246D" w:rsidRPr="00B8246D">
        <w:t xml:space="preserve"> </w:t>
      </w:r>
      <w:r w:rsidR="00EF5EA2">
        <w:t>with our forecast</w:t>
      </w:r>
      <w:r w:rsidR="00B8246D" w:rsidRPr="00B8246D">
        <w:t xml:space="preserve"> in</w:t>
      </w:r>
      <w:r w:rsidR="00B8246D">
        <w:t xml:space="preserve"> </w:t>
      </w:r>
      <w:r w:rsidR="002478ED">
        <w:fldChar w:fldCharType="begin"/>
      </w:r>
      <w:r w:rsidR="002478ED">
        <w:instrText xml:space="preserve"> REF _Ref481487811 \h </w:instrText>
      </w:r>
      <w:r w:rsidR="002478ED">
        <w:fldChar w:fldCharType="separate"/>
      </w:r>
      <w:r w:rsidR="009270AF">
        <w:t xml:space="preserve">Table </w:t>
      </w:r>
      <w:r w:rsidR="009270AF">
        <w:rPr>
          <w:noProof/>
        </w:rPr>
        <w:t>7</w:t>
      </w:r>
      <w:r w:rsidR="009270AF">
        <w:t>.</w:t>
      </w:r>
      <w:r w:rsidR="009270AF">
        <w:rPr>
          <w:noProof/>
        </w:rPr>
        <w:t>3</w:t>
      </w:r>
      <w:r w:rsidR="002478ED">
        <w:fldChar w:fldCharType="end"/>
      </w:r>
      <w:r w:rsidR="00B8246D">
        <w:t>.</w:t>
      </w:r>
      <w:r w:rsidR="002478ED" w:rsidRPr="004F5EA3">
        <w:t xml:space="preserve"> </w:t>
      </w:r>
    </w:p>
    <w:p w:rsidR="002478ED" w:rsidRPr="00F00771" w:rsidRDefault="002478ED" w:rsidP="002478ED">
      <w:pPr>
        <w:pStyle w:val="Caption"/>
      </w:pPr>
      <w:bookmarkStart w:id="106" w:name="_Ref481487811"/>
      <w:bookmarkStart w:id="107" w:name="_Ref482780867"/>
      <w:r>
        <w:t xml:space="preserve">Table </w:t>
      </w:r>
      <w:r w:rsidR="009270AF">
        <w:fldChar w:fldCharType="begin"/>
      </w:r>
      <w:r w:rsidR="009270AF">
        <w:instrText xml:space="preserve"> STYLEREF 1 \s </w:instrText>
      </w:r>
      <w:r w:rsidR="009270AF">
        <w:fldChar w:fldCharType="separate"/>
      </w:r>
      <w:r w:rsidR="009270AF">
        <w:rPr>
          <w:noProof/>
        </w:rPr>
        <w:t>7</w:t>
      </w:r>
      <w:r w:rsidR="009270AF">
        <w:rPr>
          <w:noProof/>
        </w:rPr>
        <w:fldChar w:fldCharType="end"/>
      </w:r>
      <w:r w:rsidR="00E37E9F">
        <w:t>.</w:t>
      </w:r>
      <w:fldSimple w:instr=" SEQ Table \* ARABIC \s 1 ">
        <w:r w:rsidR="009270AF">
          <w:rPr>
            <w:noProof/>
          </w:rPr>
          <w:t>3</w:t>
        </w:r>
      </w:fldSimple>
      <w:bookmarkEnd w:id="106"/>
      <w:r w:rsidRPr="00F00771">
        <w:tab/>
      </w:r>
      <w:r>
        <w:t>Forecast annual r</w:t>
      </w:r>
      <w:r w:rsidRPr="00F00771">
        <w:t xml:space="preserve">ate of change in opex </w:t>
      </w:r>
      <w:r>
        <w:t>(per cent)</w:t>
      </w:r>
      <w:bookmarkEnd w:id="107"/>
    </w:p>
    <w:tbl>
      <w:tblPr>
        <w:tblStyle w:val="AERtable-numbers"/>
        <w:tblW w:w="5000" w:type="pct"/>
        <w:tblLook w:val="04A0" w:firstRow="1" w:lastRow="0" w:firstColumn="1" w:lastColumn="0" w:noHBand="0" w:noVBand="1"/>
      </w:tblPr>
      <w:tblGrid>
        <w:gridCol w:w="2659"/>
        <w:gridCol w:w="1206"/>
        <w:gridCol w:w="1207"/>
        <w:gridCol w:w="1207"/>
        <w:gridCol w:w="1207"/>
        <w:gridCol w:w="1207"/>
      </w:tblGrid>
      <w:tr w:rsidR="002478ED" w:rsidTr="00815F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pct"/>
          </w:tcPr>
          <w:p w:rsidR="002478ED" w:rsidRPr="00FA37AA" w:rsidRDefault="002478ED" w:rsidP="002478ED">
            <w:pPr>
              <w:pStyle w:val="Tabletext"/>
            </w:pPr>
          </w:p>
        </w:tc>
        <w:tc>
          <w:tcPr>
            <w:tcW w:w="694" w:type="pct"/>
          </w:tcPr>
          <w:p w:rsidR="002478ED" w:rsidRPr="002478ED" w:rsidRDefault="002478ED" w:rsidP="002478ED">
            <w:pPr>
              <w:pStyle w:val="Tabletext"/>
              <w:cnfStyle w:val="100000000000" w:firstRow="1" w:lastRow="0" w:firstColumn="0" w:lastColumn="0" w:oddVBand="0" w:evenVBand="0" w:oddHBand="0" w:evenHBand="0" w:firstRowFirstColumn="0" w:firstRowLastColumn="0" w:lastRowFirstColumn="0" w:lastRowLastColumn="0"/>
            </w:pPr>
            <w:r w:rsidRPr="00FA37AA">
              <w:t>201</w:t>
            </w:r>
            <w:r w:rsidRPr="002478ED">
              <w:t>8</w:t>
            </w:r>
          </w:p>
        </w:tc>
        <w:tc>
          <w:tcPr>
            <w:tcW w:w="694" w:type="pct"/>
          </w:tcPr>
          <w:p w:rsidR="002478ED" w:rsidRPr="002478ED" w:rsidRDefault="002478ED" w:rsidP="002478ED">
            <w:pPr>
              <w:pStyle w:val="Tabletext"/>
              <w:cnfStyle w:val="100000000000" w:firstRow="1" w:lastRow="0" w:firstColumn="0" w:lastColumn="0" w:oddVBand="0" w:evenVBand="0" w:oddHBand="0" w:evenHBand="0" w:firstRowFirstColumn="0" w:firstRowLastColumn="0" w:lastRowFirstColumn="0" w:lastRowLastColumn="0"/>
            </w:pPr>
            <w:r w:rsidRPr="00FA37AA">
              <w:t>201</w:t>
            </w:r>
            <w:r w:rsidRPr="002478ED">
              <w:t>9</w:t>
            </w:r>
          </w:p>
        </w:tc>
        <w:tc>
          <w:tcPr>
            <w:tcW w:w="694" w:type="pct"/>
          </w:tcPr>
          <w:p w:rsidR="002478ED" w:rsidRPr="002478ED" w:rsidRDefault="002478ED" w:rsidP="002478ED">
            <w:pPr>
              <w:pStyle w:val="Tabletext"/>
              <w:cnfStyle w:val="100000000000" w:firstRow="1" w:lastRow="0" w:firstColumn="0" w:lastColumn="0" w:oddVBand="0" w:evenVBand="0" w:oddHBand="0" w:evenHBand="0" w:firstRowFirstColumn="0" w:firstRowLastColumn="0" w:lastRowFirstColumn="0" w:lastRowLastColumn="0"/>
            </w:pPr>
            <w:r w:rsidRPr="00FA37AA">
              <w:t>20</w:t>
            </w:r>
            <w:r w:rsidRPr="002478ED">
              <w:t>20</w:t>
            </w:r>
          </w:p>
        </w:tc>
        <w:tc>
          <w:tcPr>
            <w:tcW w:w="694" w:type="pct"/>
          </w:tcPr>
          <w:p w:rsidR="002478ED" w:rsidRPr="002478ED" w:rsidRDefault="002478ED" w:rsidP="002478ED">
            <w:pPr>
              <w:pStyle w:val="Tabletext"/>
              <w:cnfStyle w:val="100000000000" w:firstRow="1" w:lastRow="0" w:firstColumn="0" w:lastColumn="0" w:oddVBand="0" w:evenVBand="0" w:oddHBand="0" w:evenHBand="0" w:firstRowFirstColumn="0" w:firstRowLastColumn="0" w:lastRowFirstColumn="0" w:lastRowLastColumn="0"/>
            </w:pPr>
            <w:r w:rsidRPr="00FA37AA">
              <w:t>20</w:t>
            </w:r>
            <w:r w:rsidRPr="002478ED">
              <w:t>21</w:t>
            </w:r>
          </w:p>
        </w:tc>
        <w:tc>
          <w:tcPr>
            <w:tcW w:w="694" w:type="pct"/>
          </w:tcPr>
          <w:p w:rsidR="002478ED" w:rsidRPr="002478ED" w:rsidRDefault="002478ED" w:rsidP="002478ED">
            <w:pPr>
              <w:pStyle w:val="Tabletext"/>
              <w:cnfStyle w:val="100000000000" w:firstRow="1" w:lastRow="0" w:firstColumn="0" w:lastColumn="0" w:oddVBand="0" w:evenVBand="0" w:oddHBand="0" w:evenHBand="0" w:firstRowFirstColumn="0" w:firstRowLastColumn="0" w:lastRowFirstColumn="0" w:lastRowLastColumn="0"/>
            </w:pPr>
            <w:r w:rsidRPr="00FA37AA">
              <w:t>202</w:t>
            </w:r>
            <w:r w:rsidRPr="002478ED">
              <w:t>2</w:t>
            </w:r>
          </w:p>
        </w:tc>
      </w:tr>
      <w:tr w:rsidR="002478ED" w:rsidTr="00815FC6">
        <w:tc>
          <w:tcPr>
            <w:cnfStyle w:val="001000000000" w:firstRow="0" w:lastRow="0" w:firstColumn="1" w:lastColumn="0" w:oddVBand="0" w:evenVBand="0" w:oddHBand="0" w:evenHBand="0" w:firstRowFirstColumn="0" w:firstRowLastColumn="0" w:lastRowFirstColumn="0" w:lastRowLastColumn="0"/>
            <w:tcW w:w="5000" w:type="pct"/>
            <w:gridSpan w:val="6"/>
          </w:tcPr>
          <w:p w:rsidR="002478ED" w:rsidRPr="00815FC6" w:rsidRDefault="008E7BCE" w:rsidP="00815FC6">
            <w:pPr>
              <w:rPr>
                <w:rStyle w:val="Strong"/>
              </w:rPr>
            </w:pPr>
            <w:r w:rsidRPr="00815FC6">
              <w:rPr>
                <w:rStyle w:val="Strong"/>
              </w:rPr>
              <w:t>Multinet</w:t>
            </w:r>
            <w:r w:rsidR="002478ED" w:rsidRPr="00815FC6">
              <w:rPr>
                <w:rStyle w:val="Strong"/>
              </w:rPr>
              <w:t xml:space="preserve"> proposed</w:t>
            </w:r>
          </w:p>
        </w:tc>
      </w:tr>
      <w:tr w:rsidR="002478ED" w:rsidTr="00815F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pct"/>
          </w:tcPr>
          <w:p w:rsidR="002478ED" w:rsidRPr="002478ED" w:rsidRDefault="002478ED" w:rsidP="00815FC6">
            <w:r w:rsidRPr="00B21FA5">
              <w:t>Input prices</w:t>
            </w:r>
          </w:p>
        </w:tc>
        <w:tc>
          <w:tcPr>
            <w:tcW w:w="694" w:type="pct"/>
            <w:vAlign w:val="bottom"/>
          </w:tcPr>
          <w:p w:rsidR="002478ED" w:rsidRPr="002478ED" w:rsidRDefault="008E7BCE" w:rsidP="002478ED">
            <w:pPr>
              <w:cnfStyle w:val="000000010000" w:firstRow="0" w:lastRow="0" w:firstColumn="0" w:lastColumn="0" w:oddVBand="0" w:evenVBand="0" w:oddHBand="0" w:evenHBand="1" w:firstRowFirstColumn="0" w:firstRowLastColumn="0" w:lastRowFirstColumn="0" w:lastRowLastColumn="0"/>
            </w:pPr>
            <w:r>
              <w:t>0.59</w:t>
            </w:r>
          </w:p>
        </w:tc>
        <w:tc>
          <w:tcPr>
            <w:tcW w:w="694" w:type="pct"/>
            <w:vAlign w:val="bottom"/>
          </w:tcPr>
          <w:p w:rsidR="002478ED" w:rsidRPr="002478ED" w:rsidRDefault="008E7BCE" w:rsidP="002478ED">
            <w:pPr>
              <w:cnfStyle w:val="000000010000" w:firstRow="0" w:lastRow="0" w:firstColumn="0" w:lastColumn="0" w:oddVBand="0" w:evenVBand="0" w:oddHBand="0" w:evenHBand="1" w:firstRowFirstColumn="0" w:firstRowLastColumn="0" w:lastRowFirstColumn="0" w:lastRowLastColumn="0"/>
            </w:pPr>
            <w:r>
              <w:t>0.53</w:t>
            </w:r>
          </w:p>
        </w:tc>
        <w:tc>
          <w:tcPr>
            <w:tcW w:w="694" w:type="pct"/>
            <w:vAlign w:val="bottom"/>
          </w:tcPr>
          <w:p w:rsidR="002478ED" w:rsidRPr="002478ED" w:rsidRDefault="008E7BCE" w:rsidP="002478ED">
            <w:pPr>
              <w:cnfStyle w:val="000000010000" w:firstRow="0" w:lastRow="0" w:firstColumn="0" w:lastColumn="0" w:oddVBand="0" w:evenVBand="0" w:oddHBand="0" w:evenHBand="1" w:firstRowFirstColumn="0" w:firstRowLastColumn="0" w:lastRowFirstColumn="0" w:lastRowLastColumn="0"/>
            </w:pPr>
            <w:r>
              <w:t>0.74</w:t>
            </w:r>
          </w:p>
        </w:tc>
        <w:tc>
          <w:tcPr>
            <w:tcW w:w="694" w:type="pct"/>
            <w:vAlign w:val="bottom"/>
          </w:tcPr>
          <w:p w:rsidR="002478ED" w:rsidRPr="002478ED" w:rsidRDefault="008E7BCE" w:rsidP="002478ED">
            <w:pPr>
              <w:cnfStyle w:val="000000010000" w:firstRow="0" w:lastRow="0" w:firstColumn="0" w:lastColumn="0" w:oddVBand="0" w:evenVBand="0" w:oddHBand="0" w:evenHBand="1" w:firstRowFirstColumn="0" w:firstRowLastColumn="0" w:lastRowFirstColumn="0" w:lastRowLastColumn="0"/>
            </w:pPr>
            <w:r>
              <w:t>1.09</w:t>
            </w:r>
          </w:p>
        </w:tc>
        <w:tc>
          <w:tcPr>
            <w:tcW w:w="694" w:type="pct"/>
            <w:vAlign w:val="bottom"/>
          </w:tcPr>
          <w:p w:rsidR="002478ED" w:rsidRPr="002478ED" w:rsidRDefault="008E7BCE" w:rsidP="002478ED">
            <w:pPr>
              <w:cnfStyle w:val="000000010000" w:firstRow="0" w:lastRow="0" w:firstColumn="0" w:lastColumn="0" w:oddVBand="0" w:evenVBand="0" w:oddHBand="0" w:evenHBand="1" w:firstRowFirstColumn="0" w:firstRowLastColumn="0" w:lastRowFirstColumn="0" w:lastRowLastColumn="0"/>
            </w:pPr>
            <w:r>
              <w:t>1.24</w:t>
            </w:r>
          </w:p>
        </w:tc>
      </w:tr>
      <w:tr w:rsidR="002478ED" w:rsidTr="00815FC6">
        <w:tc>
          <w:tcPr>
            <w:cnfStyle w:val="001000000000" w:firstRow="0" w:lastRow="0" w:firstColumn="1" w:lastColumn="0" w:oddVBand="0" w:evenVBand="0" w:oddHBand="0" w:evenHBand="0" w:firstRowFirstColumn="0" w:firstRowLastColumn="0" w:lastRowFirstColumn="0" w:lastRowLastColumn="0"/>
            <w:tcW w:w="1530" w:type="pct"/>
          </w:tcPr>
          <w:p w:rsidR="002478ED" w:rsidRPr="002478ED" w:rsidRDefault="002478ED" w:rsidP="00815FC6">
            <w:r w:rsidRPr="00B21FA5">
              <w:t>Output growth</w:t>
            </w:r>
            <w:r w:rsidR="00855C1E">
              <w:t xml:space="preserve"> and productivity</w:t>
            </w:r>
          </w:p>
        </w:tc>
        <w:tc>
          <w:tcPr>
            <w:tcW w:w="694" w:type="pct"/>
            <w:vAlign w:val="bottom"/>
          </w:tcPr>
          <w:p w:rsidR="002478ED" w:rsidRPr="002478ED" w:rsidRDefault="00044E28" w:rsidP="002478ED">
            <w:pPr>
              <w:cnfStyle w:val="000000000000" w:firstRow="0" w:lastRow="0" w:firstColumn="0" w:lastColumn="0" w:oddVBand="0" w:evenVBand="0" w:oddHBand="0" w:evenHBand="0" w:firstRowFirstColumn="0" w:firstRowLastColumn="0" w:lastRowFirstColumn="0" w:lastRowLastColumn="0"/>
            </w:pPr>
            <w:r>
              <w:t>0.65</w:t>
            </w:r>
          </w:p>
        </w:tc>
        <w:tc>
          <w:tcPr>
            <w:tcW w:w="694" w:type="pct"/>
            <w:vAlign w:val="bottom"/>
          </w:tcPr>
          <w:p w:rsidR="002478ED" w:rsidRPr="002478ED" w:rsidRDefault="00044E28" w:rsidP="002478ED">
            <w:pPr>
              <w:cnfStyle w:val="000000000000" w:firstRow="0" w:lastRow="0" w:firstColumn="0" w:lastColumn="0" w:oddVBand="0" w:evenVBand="0" w:oddHBand="0" w:evenHBand="0" w:firstRowFirstColumn="0" w:firstRowLastColumn="0" w:lastRowFirstColumn="0" w:lastRowLastColumn="0"/>
            </w:pPr>
            <w:r>
              <w:t>0.66</w:t>
            </w:r>
          </w:p>
        </w:tc>
        <w:tc>
          <w:tcPr>
            <w:tcW w:w="694" w:type="pct"/>
            <w:vAlign w:val="bottom"/>
          </w:tcPr>
          <w:p w:rsidR="002478ED" w:rsidRPr="002478ED" w:rsidRDefault="00044E28" w:rsidP="002478ED">
            <w:pPr>
              <w:cnfStyle w:val="000000000000" w:firstRow="0" w:lastRow="0" w:firstColumn="0" w:lastColumn="0" w:oddVBand="0" w:evenVBand="0" w:oddHBand="0" w:evenHBand="0" w:firstRowFirstColumn="0" w:firstRowLastColumn="0" w:lastRowFirstColumn="0" w:lastRowLastColumn="0"/>
            </w:pPr>
            <w:r>
              <w:t>0.66</w:t>
            </w:r>
          </w:p>
        </w:tc>
        <w:tc>
          <w:tcPr>
            <w:tcW w:w="694" w:type="pct"/>
            <w:vAlign w:val="bottom"/>
          </w:tcPr>
          <w:p w:rsidR="002478ED" w:rsidRPr="002478ED" w:rsidRDefault="00044E28" w:rsidP="002478ED">
            <w:pPr>
              <w:cnfStyle w:val="000000000000" w:firstRow="0" w:lastRow="0" w:firstColumn="0" w:lastColumn="0" w:oddVBand="0" w:evenVBand="0" w:oddHBand="0" w:evenHBand="0" w:firstRowFirstColumn="0" w:firstRowLastColumn="0" w:lastRowFirstColumn="0" w:lastRowLastColumn="0"/>
            </w:pPr>
            <w:r>
              <w:t>0.64</w:t>
            </w:r>
          </w:p>
        </w:tc>
        <w:tc>
          <w:tcPr>
            <w:tcW w:w="694" w:type="pct"/>
            <w:vAlign w:val="bottom"/>
          </w:tcPr>
          <w:p w:rsidR="002478ED" w:rsidRPr="002478ED" w:rsidRDefault="00044E28" w:rsidP="002478ED">
            <w:pPr>
              <w:cnfStyle w:val="000000000000" w:firstRow="0" w:lastRow="0" w:firstColumn="0" w:lastColumn="0" w:oddVBand="0" w:evenVBand="0" w:oddHBand="0" w:evenHBand="0" w:firstRowFirstColumn="0" w:firstRowLastColumn="0" w:lastRowFirstColumn="0" w:lastRowLastColumn="0"/>
            </w:pPr>
            <w:r>
              <w:t>0.64</w:t>
            </w:r>
          </w:p>
        </w:tc>
      </w:tr>
      <w:tr w:rsidR="002478ED" w:rsidRPr="00146807" w:rsidTr="00815F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pct"/>
          </w:tcPr>
          <w:p w:rsidR="002478ED" w:rsidRPr="0042223D" w:rsidRDefault="002478ED" w:rsidP="00815FC6">
            <w:pPr>
              <w:rPr>
                <w:rStyle w:val="Strong"/>
              </w:rPr>
            </w:pPr>
            <w:r w:rsidRPr="0042223D">
              <w:rPr>
                <w:rStyle w:val="Strong"/>
              </w:rPr>
              <w:t>Total</w:t>
            </w:r>
          </w:p>
        </w:tc>
        <w:tc>
          <w:tcPr>
            <w:tcW w:w="694" w:type="pct"/>
            <w:vAlign w:val="bottom"/>
          </w:tcPr>
          <w:p w:rsidR="002478ED" w:rsidRPr="00146807" w:rsidRDefault="002478ED" w:rsidP="00044E28">
            <w:pPr>
              <w:cnfStyle w:val="000000010000" w:firstRow="0" w:lastRow="0" w:firstColumn="0" w:lastColumn="0" w:oddVBand="0" w:evenVBand="0" w:oddHBand="0" w:evenHBand="1" w:firstRowFirstColumn="0" w:firstRowLastColumn="0" w:lastRowFirstColumn="0" w:lastRowLastColumn="0"/>
              <w:rPr>
                <w:rStyle w:val="Strong"/>
              </w:rPr>
            </w:pPr>
            <w:r w:rsidRPr="00146807">
              <w:rPr>
                <w:rStyle w:val="Strong"/>
              </w:rPr>
              <w:t>1.</w:t>
            </w:r>
            <w:r w:rsidR="00044E28" w:rsidRPr="00146807">
              <w:rPr>
                <w:rStyle w:val="Strong"/>
              </w:rPr>
              <w:t>24</w:t>
            </w:r>
          </w:p>
        </w:tc>
        <w:tc>
          <w:tcPr>
            <w:tcW w:w="694" w:type="pct"/>
            <w:vAlign w:val="bottom"/>
          </w:tcPr>
          <w:p w:rsidR="002478ED" w:rsidRPr="004B10A0" w:rsidRDefault="00044E28" w:rsidP="002478ED">
            <w:pPr>
              <w:cnfStyle w:val="000000010000" w:firstRow="0" w:lastRow="0" w:firstColumn="0" w:lastColumn="0" w:oddVBand="0" w:evenVBand="0" w:oddHBand="0" w:evenHBand="1" w:firstRowFirstColumn="0" w:firstRowLastColumn="0" w:lastRowFirstColumn="0" w:lastRowLastColumn="0"/>
              <w:rPr>
                <w:rStyle w:val="Strong"/>
              </w:rPr>
            </w:pPr>
            <w:r w:rsidRPr="004B10A0">
              <w:rPr>
                <w:rStyle w:val="Strong"/>
              </w:rPr>
              <w:t>1.19</w:t>
            </w:r>
          </w:p>
        </w:tc>
        <w:tc>
          <w:tcPr>
            <w:tcW w:w="694" w:type="pct"/>
            <w:vAlign w:val="bottom"/>
          </w:tcPr>
          <w:p w:rsidR="002478ED" w:rsidRPr="0055423B" w:rsidRDefault="00044E28" w:rsidP="002478ED">
            <w:pPr>
              <w:cnfStyle w:val="000000010000" w:firstRow="0" w:lastRow="0" w:firstColumn="0" w:lastColumn="0" w:oddVBand="0" w:evenVBand="0" w:oddHBand="0" w:evenHBand="1" w:firstRowFirstColumn="0" w:firstRowLastColumn="0" w:lastRowFirstColumn="0" w:lastRowLastColumn="0"/>
              <w:rPr>
                <w:rStyle w:val="Strong"/>
              </w:rPr>
            </w:pPr>
            <w:r w:rsidRPr="0055423B">
              <w:rPr>
                <w:rStyle w:val="Strong"/>
              </w:rPr>
              <w:t>1.40</w:t>
            </w:r>
          </w:p>
        </w:tc>
        <w:tc>
          <w:tcPr>
            <w:tcW w:w="694" w:type="pct"/>
            <w:vAlign w:val="bottom"/>
          </w:tcPr>
          <w:p w:rsidR="002478ED" w:rsidRPr="00514BB2" w:rsidRDefault="00044E28" w:rsidP="002478ED">
            <w:pPr>
              <w:cnfStyle w:val="000000010000" w:firstRow="0" w:lastRow="0" w:firstColumn="0" w:lastColumn="0" w:oddVBand="0" w:evenVBand="0" w:oddHBand="0" w:evenHBand="1" w:firstRowFirstColumn="0" w:firstRowLastColumn="0" w:lastRowFirstColumn="0" w:lastRowLastColumn="0"/>
              <w:rPr>
                <w:rStyle w:val="Strong"/>
              </w:rPr>
            </w:pPr>
            <w:r w:rsidRPr="00514BB2">
              <w:rPr>
                <w:rStyle w:val="Strong"/>
              </w:rPr>
              <w:t>1.73</w:t>
            </w:r>
          </w:p>
        </w:tc>
        <w:tc>
          <w:tcPr>
            <w:tcW w:w="694" w:type="pct"/>
            <w:vAlign w:val="bottom"/>
          </w:tcPr>
          <w:p w:rsidR="002478ED" w:rsidRPr="005C569B" w:rsidRDefault="00044E28" w:rsidP="005C569B">
            <w:pPr>
              <w:cnfStyle w:val="000000010000" w:firstRow="0" w:lastRow="0" w:firstColumn="0" w:lastColumn="0" w:oddVBand="0" w:evenVBand="0" w:oddHBand="0" w:evenHBand="1" w:firstRowFirstColumn="0" w:firstRowLastColumn="0" w:lastRowFirstColumn="0" w:lastRowLastColumn="0"/>
              <w:rPr>
                <w:rStyle w:val="Strong"/>
              </w:rPr>
            </w:pPr>
            <w:r w:rsidRPr="005C569B">
              <w:rPr>
                <w:rStyle w:val="Strong"/>
              </w:rPr>
              <w:t>1.89</w:t>
            </w:r>
          </w:p>
        </w:tc>
      </w:tr>
      <w:tr w:rsidR="002478ED" w:rsidTr="00815FC6">
        <w:tc>
          <w:tcPr>
            <w:cnfStyle w:val="001000000000" w:firstRow="0" w:lastRow="0" w:firstColumn="1" w:lastColumn="0" w:oddVBand="0" w:evenVBand="0" w:oddHBand="0" w:evenHBand="0" w:firstRowFirstColumn="0" w:firstRowLastColumn="0" w:lastRowFirstColumn="0" w:lastRowLastColumn="0"/>
            <w:tcW w:w="5000" w:type="pct"/>
            <w:gridSpan w:val="6"/>
          </w:tcPr>
          <w:p w:rsidR="002478ED" w:rsidRPr="00815FC6" w:rsidRDefault="002478ED" w:rsidP="00815FC6">
            <w:pPr>
              <w:rPr>
                <w:rStyle w:val="Strong"/>
              </w:rPr>
            </w:pPr>
            <w:r w:rsidRPr="00815FC6">
              <w:rPr>
                <w:rStyle w:val="Strong"/>
              </w:rPr>
              <w:t>AER draft decision</w:t>
            </w:r>
          </w:p>
        </w:tc>
      </w:tr>
      <w:tr w:rsidR="002478ED" w:rsidTr="00815F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pct"/>
          </w:tcPr>
          <w:p w:rsidR="002478ED" w:rsidRPr="002478ED" w:rsidRDefault="002478ED" w:rsidP="00815FC6">
            <w:r w:rsidRPr="00C46AA2">
              <w:t>Input prices</w:t>
            </w:r>
          </w:p>
        </w:tc>
        <w:tc>
          <w:tcPr>
            <w:tcW w:w="694" w:type="pct"/>
            <w:vAlign w:val="bottom"/>
          </w:tcPr>
          <w:p w:rsidR="002478ED" w:rsidRPr="002478ED" w:rsidRDefault="002478ED" w:rsidP="00044E28">
            <w:pPr>
              <w:cnfStyle w:val="000000010000" w:firstRow="0" w:lastRow="0" w:firstColumn="0" w:lastColumn="0" w:oddVBand="0" w:evenVBand="0" w:oddHBand="0" w:evenHBand="1" w:firstRowFirstColumn="0" w:firstRowLastColumn="0" w:lastRowFirstColumn="0" w:lastRowLastColumn="0"/>
            </w:pPr>
            <w:r w:rsidRPr="00C46AA2">
              <w:t>0.</w:t>
            </w:r>
            <w:r w:rsidRPr="002478ED">
              <w:t>5</w:t>
            </w:r>
            <w:r w:rsidR="00044E28">
              <w:t>2</w:t>
            </w:r>
          </w:p>
        </w:tc>
        <w:tc>
          <w:tcPr>
            <w:tcW w:w="694" w:type="pct"/>
            <w:vAlign w:val="bottom"/>
          </w:tcPr>
          <w:p w:rsidR="002478ED" w:rsidRPr="002478ED" w:rsidRDefault="002478ED" w:rsidP="00044E28">
            <w:pPr>
              <w:cnfStyle w:val="000000010000" w:firstRow="0" w:lastRow="0" w:firstColumn="0" w:lastColumn="0" w:oddVBand="0" w:evenVBand="0" w:oddHBand="0" w:evenHBand="1" w:firstRowFirstColumn="0" w:firstRowLastColumn="0" w:lastRowFirstColumn="0" w:lastRowLastColumn="0"/>
            </w:pPr>
            <w:r w:rsidRPr="00C46AA2">
              <w:t>0.</w:t>
            </w:r>
            <w:r w:rsidR="00044E28">
              <w:t>58</w:t>
            </w:r>
          </w:p>
        </w:tc>
        <w:tc>
          <w:tcPr>
            <w:tcW w:w="694" w:type="pct"/>
            <w:vAlign w:val="bottom"/>
          </w:tcPr>
          <w:p w:rsidR="002478ED" w:rsidRPr="002478ED" w:rsidRDefault="002478ED" w:rsidP="00044E28">
            <w:pPr>
              <w:cnfStyle w:val="000000010000" w:firstRow="0" w:lastRow="0" w:firstColumn="0" w:lastColumn="0" w:oddVBand="0" w:evenVBand="0" w:oddHBand="0" w:evenHBand="1" w:firstRowFirstColumn="0" w:firstRowLastColumn="0" w:lastRowFirstColumn="0" w:lastRowLastColumn="0"/>
            </w:pPr>
            <w:r w:rsidRPr="00C46AA2">
              <w:t>0.</w:t>
            </w:r>
            <w:r w:rsidRPr="002478ED">
              <w:t>6</w:t>
            </w:r>
            <w:r w:rsidR="00044E28">
              <w:t>6</w:t>
            </w:r>
          </w:p>
        </w:tc>
        <w:tc>
          <w:tcPr>
            <w:tcW w:w="694" w:type="pct"/>
            <w:vAlign w:val="bottom"/>
          </w:tcPr>
          <w:p w:rsidR="002478ED" w:rsidRPr="002478ED" w:rsidRDefault="002478ED" w:rsidP="002478ED">
            <w:pPr>
              <w:cnfStyle w:val="000000010000" w:firstRow="0" w:lastRow="0" w:firstColumn="0" w:lastColumn="0" w:oddVBand="0" w:evenVBand="0" w:oddHBand="0" w:evenHBand="1" w:firstRowFirstColumn="0" w:firstRowLastColumn="0" w:lastRowFirstColumn="0" w:lastRowLastColumn="0"/>
            </w:pPr>
            <w:r w:rsidRPr="00C46AA2">
              <w:t>0.</w:t>
            </w:r>
            <w:r w:rsidRPr="002478ED">
              <w:t>81</w:t>
            </w:r>
          </w:p>
        </w:tc>
        <w:tc>
          <w:tcPr>
            <w:tcW w:w="694" w:type="pct"/>
            <w:vAlign w:val="bottom"/>
          </w:tcPr>
          <w:p w:rsidR="002478ED" w:rsidRPr="002478ED" w:rsidRDefault="002478ED" w:rsidP="008E1032">
            <w:pPr>
              <w:cnfStyle w:val="000000010000" w:firstRow="0" w:lastRow="0" w:firstColumn="0" w:lastColumn="0" w:oddVBand="0" w:evenVBand="0" w:oddHBand="0" w:evenHBand="1" w:firstRowFirstColumn="0" w:firstRowLastColumn="0" w:lastRowFirstColumn="0" w:lastRowLastColumn="0"/>
            </w:pPr>
            <w:r w:rsidRPr="00C46AA2">
              <w:t>0.</w:t>
            </w:r>
            <w:r w:rsidR="008E1032">
              <w:t>89</w:t>
            </w:r>
          </w:p>
        </w:tc>
      </w:tr>
      <w:tr w:rsidR="002478ED" w:rsidTr="00815FC6">
        <w:tc>
          <w:tcPr>
            <w:cnfStyle w:val="001000000000" w:firstRow="0" w:lastRow="0" w:firstColumn="1" w:lastColumn="0" w:oddVBand="0" w:evenVBand="0" w:oddHBand="0" w:evenHBand="0" w:firstRowFirstColumn="0" w:firstRowLastColumn="0" w:lastRowFirstColumn="0" w:lastRowLastColumn="0"/>
            <w:tcW w:w="1530" w:type="pct"/>
          </w:tcPr>
          <w:p w:rsidR="002478ED" w:rsidRPr="002478ED" w:rsidRDefault="002478ED" w:rsidP="00815FC6">
            <w:r w:rsidRPr="00C46AA2">
              <w:t>Output growth</w:t>
            </w:r>
            <w:r w:rsidR="00855C1E">
              <w:t xml:space="preserve"> and productivity</w:t>
            </w:r>
          </w:p>
        </w:tc>
        <w:tc>
          <w:tcPr>
            <w:tcW w:w="694" w:type="pct"/>
            <w:vAlign w:val="bottom"/>
          </w:tcPr>
          <w:p w:rsidR="002478ED" w:rsidRPr="002478ED" w:rsidRDefault="00855C1E" w:rsidP="002478ED">
            <w:pPr>
              <w:cnfStyle w:val="000000000000" w:firstRow="0" w:lastRow="0" w:firstColumn="0" w:lastColumn="0" w:oddVBand="0" w:evenVBand="0" w:oddHBand="0" w:evenHBand="0" w:firstRowFirstColumn="0" w:firstRowLastColumn="0" w:lastRowFirstColumn="0" w:lastRowLastColumn="0"/>
            </w:pPr>
            <w:r>
              <w:t>0.65</w:t>
            </w:r>
          </w:p>
        </w:tc>
        <w:tc>
          <w:tcPr>
            <w:tcW w:w="694" w:type="pct"/>
            <w:vAlign w:val="bottom"/>
          </w:tcPr>
          <w:p w:rsidR="002478ED" w:rsidRPr="002478ED" w:rsidRDefault="00855C1E" w:rsidP="002478ED">
            <w:pPr>
              <w:cnfStyle w:val="000000000000" w:firstRow="0" w:lastRow="0" w:firstColumn="0" w:lastColumn="0" w:oddVBand="0" w:evenVBand="0" w:oddHBand="0" w:evenHBand="0" w:firstRowFirstColumn="0" w:firstRowLastColumn="0" w:lastRowFirstColumn="0" w:lastRowLastColumn="0"/>
            </w:pPr>
            <w:r>
              <w:t>0.66</w:t>
            </w:r>
          </w:p>
        </w:tc>
        <w:tc>
          <w:tcPr>
            <w:tcW w:w="694" w:type="pct"/>
            <w:vAlign w:val="bottom"/>
          </w:tcPr>
          <w:p w:rsidR="002478ED" w:rsidRPr="002478ED" w:rsidRDefault="00855C1E" w:rsidP="002478ED">
            <w:pPr>
              <w:cnfStyle w:val="000000000000" w:firstRow="0" w:lastRow="0" w:firstColumn="0" w:lastColumn="0" w:oddVBand="0" w:evenVBand="0" w:oddHBand="0" w:evenHBand="0" w:firstRowFirstColumn="0" w:firstRowLastColumn="0" w:lastRowFirstColumn="0" w:lastRowLastColumn="0"/>
            </w:pPr>
            <w:r>
              <w:t>0.66</w:t>
            </w:r>
          </w:p>
        </w:tc>
        <w:tc>
          <w:tcPr>
            <w:tcW w:w="694" w:type="pct"/>
            <w:vAlign w:val="bottom"/>
          </w:tcPr>
          <w:p w:rsidR="002478ED" w:rsidRPr="002478ED" w:rsidRDefault="00855C1E" w:rsidP="002478ED">
            <w:pPr>
              <w:cnfStyle w:val="000000000000" w:firstRow="0" w:lastRow="0" w:firstColumn="0" w:lastColumn="0" w:oddVBand="0" w:evenVBand="0" w:oddHBand="0" w:evenHBand="0" w:firstRowFirstColumn="0" w:firstRowLastColumn="0" w:lastRowFirstColumn="0" w:lastRowLastColumn="0"/>
            </w:pPr>
            <w:r>
              <w:t>0.64</w:t>
            </w:r>
          </w:p>
        </w:tc>
        <w:tc>
          <w:tcPr>
            <w:tcW w:w="694" w:type="pct"/>
            <w:vAlign w:val="bottom"/>
          </w:tcPr>
          <w:p w:rsidR="002478ED" w:rsidRPr="002478ED" w:rsidRDefault="00855C1E" w:rsidP="002478ED">
            <w:pPr>
              <w:cnfStyle w:val="000000000000" w:firstRow="0" w:lastRow="0" w:firstColumn="0" w:lastColumn="0" w:oddVBand="0" w:evenVBand="0" w:oddHBand="0" w:evenHBand="0" w:firstRowFirstColumn="0" w:firstRowLastColumn="0" w:lastRowFirstColumn="0" w:lastRowLastColumn="0"/>
            </w:pPr>
            <w:r>
              <w:t>0.64</w:t>
            </w:r>
          </w:p>
        </w:tc>
      </w:tr>
      <w:tr w:rsidR="002478ED" w:rsidRPr="00701D3F" w:rsidTr="00815F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pct"/>
          </w:tcPr>
          <w:p w:rsidR="002478ED" w:rsidRPr="0042223D" w:rsidRDefault="002478ED" w:rsidP="00815FC6">
            <w:pPr>
              <w:rPr>
                <w:rStyle w:val="Strong"/>
              </w:rPr>
            </w:pPr>
            <w:r w:rsidRPr="0042223D">
              <w:rPr>
                <w:rStyle w:val="Strong"/>
              </w:rPr>
              <w:t>Total</w:t>
            </w:r>
          </w:p>
        </w:tc>
        <w:tc>
          <w:tcPr>
            <w:tcW w:w="694" w:type="pct"/>
            <w:vAlign w:val="bottom"/>
          </w:tcPr>
          <w:p w:rsidR="002478ED" w:rsidRPr="00146807" w:rsidRDefault="00855C1E" w:rsidP="002478E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1.18</w:t>
            </w:r>
          </w:p>
        </w:tc>
        <w:tc>
          <w:tcPr>
            <w:tcW w:w="694" w:type="pct"/>
            <w:vAlign w:val="bottom"/>
          </w:tcPr>
          <w:p w:rsidR="002478ED" w:rsidRPr="004B10A0" w:rsidRDefault="00855C1E" w:rsidP="002478E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1.24</w:t>
            </w:r>
          </w:p>
        </w:tc>
        <w:tc>
          <w:tcPr>
            <w:tcW w:w="694" w:type="pct"/>
            <w:vAlign w:val="bottom"/>
          </w:tcPr>
          <w:p w:rsidR="002478ED" w:rsidRPr="0055423B" w:rsidRDefault="00855C1E" w:rsidP="002478E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1.32</w:t>
            </w:r>
          </w:p>
        </w:tc>
        <w:tc>
          <w:tcPr>
            <w:tcW w:w="694" w:type="pct"/>
            <w:vAlign w:val="bottom"/>
          </w:tcPr>
          <w:p w:rsidR="002478ED" w:rsidRPr="0055423B" w:rsidRDefault="00855C1E" w:rsidP="002478E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1.45</w:t>
            </w:r>
          </w:p>
        </w:tc>
        <w:tc>
          <w:tcPr>
            <w:tcW w:w="694" w:type="pct"/>
            <w:vAlign w:val="bottom"/>
          </w:tcPr>
          <w:p w:rsidR="002478ED" w:rsidRPr="00514BB2" w:rsidRDefault="00855C1E" w:rsidP="002478E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1.54</w:t>
            </w:r>
          </w:p>
        </w:tc>
      </w:tr>
    </w:tbl>
    <w:p w:rsidR="002478ED" w:rsidRDefault="002478ED" w:rsidP="002478ED">
      <w:pPr>
        <w:pStyle w:val="Source"/>
      </w:pPr>
      <w:r>
        <w:t xml:space="preserve">Source: </w:t>
      </w:r>
      <w:r>
        <w:tab/>
      </w:r>
      <w:r w:rsidRPr="00B21FA5">
        <w:t xml:space="preserve">AER analysis; </w:t>
      </w:r>
      <w:r w:rsidR="008E7BCE">
        <w:t>Multinet</w:t>
      </w:r>
      <w:r w:rsidRPr="00B21FA5">
        <w:t xml:space="preserve">, </w:t>
      </w:r>
      <w:r w:rsidRPr="00B21FA5">
        <w:rPr>
          <w:rStyle w:val="AERtextitalic"/>
        </w:rPr>
        <w:t>Access arrangement proposal</w:t>
      </w:r>
      <w:r w:rsidRPr="00B21FA5">
        <w:t>, opex model, 16 December 2016.</w:t>
      </w:r>
      <w:r w:rsidRPr="00A56A3A">
        <w:t xml:space="preserve"> </w:t>
      </w:r>
      <w:r w:rsidR="00815FC6">
        <w:br/>
      </w:r>
      <w:r>
        <w:t>Note:</w:t>
      </w:r>
      <w:r>
        <w:tab/>
      </w:r>
      <w:r w:rsidRPr="00924DBB">
        <w:t>The rate of change = (1+ price growth) × (1+ output growth) × (1+ productivity growth) – 1</w:t>
      </w:r>
      <w:r>
        <w:t>.</w:t>
      </w:r>
    </w:p>
    <w:p w:rsidR="002478ED" w:rsidRDefault="002478ED" w:rsidP="002478ED">
      <w:r>
        <w:t>T</w:t>
      </w:r>
      <w:r w:rsidRPr="008504E2">
        <w:t xml:space="preserve">he difference between our forecast </w:t>
      </w:r>
      <w:r w:rsidR="00E37FCA">
        <w:t xml:space="preserve">overall </w:t>
      </w:r>
      <w:r w:rsidRPr="008504E2">
        <w:t xml:space="preserve">rate of change and </w:t>
      </w:r>
      <w:r w:rsidR="008E7BCE">
        <w:t>Multinet's</w:t>
      </w:r>
      <w:r>
        <w:t xml:space="preserve"> is</w:t>
      </w:r>
      <w:r w:rsidR="00855C1E">
        <w:t xml:space="preserve"> driven by different labour price growth forecasts.</w:t>
      </w:r>
    </w:p>
    <w:p w:rsidR="00B812AC" w:rsidRDefault="00B812AC" w:rsidP="00D2488B">
      <w:pPr>
        <w:pStyle w:val="Heading4"/>
      </w:pPr>
      <w:r>
        <w:t>Forecast price growth</w:t>
      </w:r>
    </w:p>
    <w:p w:rsidR="008A1A9F" w:rsidRDefault="00E8101A" w:rsidP="008A1A9F">
      <w:r>
        <w:t>We include</w:t>
      </w:r>
      <w:r w:rsidR="00000C21">
        <w:t>d</w:t>
      </w:r>
      <w:r w:rsidR="008A1A9F" w:rsidRPr="00096841">
        <w:t xml:space="preserve"> real av</w:t>
      </w:r>
      <w:r w:rsidR="008A1A9F">
        <w:t>erage annual price growth of 0.</w:t>
      </w:r>
      <w:r w:rsidR="00F31621">
        <w:t>7</w:t>
      </w:r>
      <w:r w:rsidR="008A1A9F" w:rsidRPr="00096841">
        <w:t xml:space="preserve"> per cent </w:t>
      </w:r>
      <w:r w:rsidR="008A1A9F">
        <w:t xml:space="preserve">(or </w:t>
      </w:r>
      <w:r w:rsidR="008A1A9F" w:rsidRPr="00AB2C9F">
        <w:t>$</w:t>
      </w:r>
      <w:r w:rsidR="008A1A9F">
        <w:t>7.</w:t>
      </w:r>
      <w:r w:rsidR="009A1603">
        <w:t>2</w:t>
      </w:r>
      <w:r w:rsidR="008A1A9F" w:rsidRPr="00AB2C9F">
        <w:t xml:space="preserve"> million</w:t>
      </w:r>
      <w:r w:rsidR="008A1A9F">
        <w:t xml:space="preserve"> over five years</w:t>
      </w:r>
      <w:r w:rsidR="008A1A9F" w:rsidRPr="00AB2C9F">
        <w:t>)</w:t>
      </w:r>
      <w:r>
        <w:t xml:space="preserve"> in o</w:t>
      </w:r>
      <w:r w:rsidRPr="00096841">
        <w:t xml:space="preserve">ur alternative </w:t>
      </w:r>
      <w:r>
        <w:t>estimate</w:t>
      </w:r>
      <w:r w:rsidR="008A1A9F">
        <w:t>.</w:t>
      </w:r>
    </w:p>
    <w:p w:rsidR="008A1A9F" w:rsidRDefault="008255D8" w:rsidP="008A1A9F">
      <w:r w:rsidRPr="000E31D6">
        <w:t xml:space="preserve">We are not satisfied </w:t>
      </w:r>
      <w:r w:rsidR="004B10A0">
        <w:t xml:space="preserve">Multinet's proposed </w:t>
      </w:r>
      <w:r w:rsidR="008A1A9F">
        <w:t xml:space="preserve">average </w:t>
      </w:r>
      <w:r w:rsidR="004B10A0" w:rsidRPr="000E31D6">
        <w:t xml:space="preserve">annual price growth of </w:t>
      </w:r>
      <w:r w:rsidR="004B10A0">
        <w:t>0.8</w:t>
      </w:r>
      <w:r w:rsidR="004B10A0" w:rsidRPr="000E31D6">
        <w:t xml:space="preserve"> per cen</w:t>
      </w:r>
      <w:r w:rsidR="004B10A0">
        <w:t xml:space="preserve">t </w:t>
      </w:r>
      <w:r>
        <w:t xml:space="preserve">is </w:t>
      </w:r>
      <w:r w:rsidRPr="00AF422E">
        <w:t>the best estimate in the circumstances</w:t>
      </w:r>
      <w:r w:rsidRPr="000E31D6">
        <w:t>.</w:t>
      </w:r>
      <w:r w:rsidR="00C559FC">
        <w:rPr>
          <w:rStyle w:val="FootnoteReference"/>
        </w:rPr>
        <w:footnoteReference w:id="29"/>
      </w:r>
      <w:r w:rsidR="00146BF9">
        <w:t xml:space="preserve"> </w:t>
      </w:r>
      <w:r w:rsidR="008A1A9F">
        <w:t>Multinet's</w:t>
      </w:r>
      <w:r w:rsidR="00146BF9">
        <w:t xml:space="preserve"> price growth</w:t>
      </w:r>
      <w:r w:rsidR="008A1A9F">
        <w:t xml:space="preserve"> forecast</w:t>
      </w:r>
      <w:r w:rsidR="00146BF9">
        <w:t xml:space="preserve"> increased its total opex forecast by $7.7 million ($2017).</w:t>
      </w:r>
      <w:r w:rsidR="008A1A9F">
        <w:t xml:space="preserve"> </w:t>
      </w:r>
    </w:p>
    <w:p w:rsidR="008255D8" w:rsidRDefault="0044402E" w:rsidP="008A1A9F">
      <w:r>
        <w:t>T</w:t>
      </w:r>
      <w:r w:rsidRPr="00096841">
        <w:t>o forecast labour price growth</w:t>
      </w:r>
      <w:r w:rsidRPr="00605853">
        <w:t xml:space="preserve"> </w:t>
      </w:r>
      <w:r w:rsidR="008A1A9F" w:rsidRPr="00605853">
        <w:t xml:space="preserve">we </w:t>
      </w:r>
      <w:r w:rsidR="008A1A9F" w:rsidRPr="00134DF4">
        <w:t>use</w:t>
      </w:r>
      <w:r w:rsidR="00000C21">
        <w:t>d</w:t>
      </w:r>
      <w:r w:rsidR="008A1A9F" w:rsidRPr="00134DF4">
        <w:t xml:space="preserve"> </w:t>
      </w:r>
      <w:r>
        <w:t>an</w:t>
      </w:r>
      <w:r w:rsidR="008A1A9F" w:rsidRPr="00134DF4">
        <w:t xml:space="preserve"> average of the </w:t>
      </w:r>
      <w:r w:rsidR="008A1A9F">
        <w:t>most up-to-date</w:t>
      </w:r>
      <w:r w:rsidR="008A1A9F" w:rsidRPr="00134DF4">
        <w:t xml:space="preserve"> Victorian utilities WPI forecast</w:t>
      </w:r>
      <w:r w:rsidR="008A1A9F">
        <w:t>s</w:t>
      </w:r>
      <w:r w:rsidR="008A1A9F" w:rsidRPr="00134DF4">
        <w:t xml:space="preserve"> </w:t>
      </w:r>
      <w:r w:rsidR="008A1A9F">
        <w:t>from</w:t>
      </w:r>
      <w:r w:rsidR="008A1A9F" w:rsidRPr="00134DF4">
        <w:t xml:space="preserve"> Deloitte Access Economics (DAE) and BIS Shrapnel.</w:t>
      </w:r>
      <w:r w:rsidR="008A1A9F">
        <w:t xml:space="preserve"> In contrast, Multinet used an average of BIS Shrapnel's WPI forecasts for the Victorian utilities industry and </w:t>
      </w:r>
      <w:r w:rsidR="00E8101A">
        <w:t xml:space="preserve">BIS Shrapnel's </w:t>
      </w:r>
      <w:r w:rsidR="008A1A9F">
        <w:t>WPI forecasts for the construction industry.</w:t>
      </w:r>
      <w:r w:rsidR="008A1A9F">
        <w:rPr>
          <w:rStyle w:val="FootnoteReference"/>
        </w:rPr>
        <w:footnoteReference w:id="30"/>
      </w:r>
      <w:r w:rsidR="008A1A9F" w:rsidRPr="00FE1953">
        <w:t xml:space="preserve"> </w:t>
      </w:r>
    </w:p>
    <w:p w:rsidR="008255D8" w:rsidRDefault="008255D8" w:rsidP="008255D8">
      <w:r>
        <w:t xml:space="preserve">To forecast </w:t>
      </w:r>
      <w:r w:rsidRPr="00605853">
        <w:t>non-labour price growth, we</w:t>
      </w:r>
      <w:r w:rsidR="008A1A9F">
        <w:t xml:space="preserve"> and Multinet both</w:t>
      </w:r>
      <w:r w:rsidRPr="00605853">
        <w:t xml:space="preserve"> appl</w:t>
      </w:r>
      <w:r w:rsidR="00000C21">
        <w:t>ied</w:t>
      </w:r>
      <w:r w:rsidRPr="00605853">
        <w:t xml:space="preserve"> the forecast change in CPI</w:t>
      </w:r>
      <w:r>
        <w:t>.</w:t>
      </w:r>
    </w:p>
    <w:p w:rsidR="008255D8" w:rsidRDefault="008A1A9F" w:rsidP="00CE5E50">
      <w:r>
        <w:t xml:space="preserve">In determining the labour and non-labour weights for </w:t>
      </w:r>
      <w:r w:rsidRPr="00857AF9">
        <w:t>opex price growth</w:t>
      </w:r>
      <w:r w:rsidR="00000C21">
        <w:t>, we and Multinet both applied</w:t>
      </w:r>
      <w:r w:rsidRPr="00DF3508">
        <w:t xml:space="preserve"> benchmark input price weights of 62 per cent and 38 per cent for labour and non-labour respectively</w:t>
      </w:r>
      <w:r w:rsidR="008255D8" w:rsidRPr="00857AF9">
        <w:t>.</w:t>
      </w:r>
      <w:r w:rsidR="008255D8">
        <w:rPr>
          <w:rStyle w:val="FootnoteReference"/>
        </w:rPr>
        <w:footnoteReference w:id="31"/>
      </w:r>
      <w:r w:rsidR="008255D8">
        <w:t xml:space="preserve"> </w:t>
      </w:r>
    </w:p>
    <w:p w:rsidR="0078448A" w:rsidRDefault="00146BF9" w:rsidP="00146BF9">
      <w:r>
        <w:t>Multinet adopted</w:t>
      </w:r>
      <w:r w:rsidRPr="00F04311">
        <w:t xml:space="preserve"> BIS Shrapnel</w:t>
      </w:r>
      <w:r>
        <w:t xml:space="preserve">'s </w:t>
      </w:r>
      <w:r w:rsidRPr="00F04311">
        <w:t xml:space="preserve">labour </w:t>
      </w:r>
      <w:r>
        <w:t>price growth forecasts</w:t>
      </w:r>
      <w:r w:rsidRPr="00F04311">
        <w:t xml:space="preserve"> </w:t>
      </w:r>
      <w:r>
        <w:t>for</w:t>
      </w:r>
      <w:r w:rsidR="008A1A9F">
        <w:t xml:space="preserve"> its proposed </w:t>
      </w:r>
      <w:r w:rsidR="008A1A9F" w:rsidRPr="00F04311">
        <w:t xml:space="preserve">labour </w:t>
      </w:r>
      <w:r w:rsidR="008A1A9F">
        <w:t>price growth</w:t>
      </w:r>
      <w:r w:rsidR="008A1A9F" w:rsidRPr="00F04311">
        <w:t xml:space="preserve"> forecast</w:t>
      </w:r>
      <w:r w:rsidR="00E8101A">
        <w:t>s, as it considered</w:t>
      </w:r>
      <w:r w:rsidR="008A1A9F">
        <w:t xml:space="preserve"> it best represents</w:t>
      </w:r>
      <w:r w:rsidRPr="00F04311">
        <w:t xml:space="preserve"> </w:t>
      </w:r>
      <w:r>
        <w:t>its</w:t>
      </w:r>
      <w:r w:rsidRPr="00F04311">
        <w:t xml:space="preserve"> mix of employees and contractors</w:t>
      </w:r>
      <w:r>
        <w:t>.</w:t>
      </w:r>
      <w:r>
        <w:rPr>
          <w:rStyle w:val="FootnoteReference"/>
        </w:rPr>
        <w:footnoteReference w:id="32"/>
      </w:r>
      <w:r>
        <w:t xml:space="preserve"> </w:t>
      </w:r>
      <w:r w:rsidR="00F953B5">
        <w:t xml:space="preserve">Multinet </w:t>
      </w:r>
      <w:r>
        <w:t>us</w:t>
      </w:r>
      <w:r w:rsidR="00F953B5">
        <w:t>ed</w:t>
      </w:r>
      <w:r>
        <w:t xml:space="preserve"> the Victorian </w:t>
      </w:r>
      <w:r w:rsidR="00E8101A">
        <w:t xml:space="preserve">utilities </w:t>
      </w:r>
      <w:r>
        <w:t xml:space="preserve">WPI to proxy labour price growth rates for internal labour and </w:t>
      </w:r>
      <w:r w:rsidR="00E8101A">
        <w:t xml:space="preserve">Victorian construction WPI to proxy </w:t>
      </w:r>
      <w:r>
        <w:t>external labour</w:t>
      </w:r>
      <w:r w:rsidR="00E8101A">
        <w:t xml:space="preserve"> (contractors</w:t>
      </w:r>
      <w:r>
        <w:t xml:space="preserve">). </w:t>
      </w:r>
      <w:r w:rsidR="00F953B5">
        <w:t>Multinet claim</w:t>
      </w:r>
      <w:r w:rsidR="001C63FC">
        <w:t>ed</w:t>
      </w:r>
      <w:r w:rsidR="00AE589A" w:rsidRPr="00A7448D">
        <w:t xml:space="preserve"> the </w:t>
      </w:r>
      <w:r w:rsidR="00AE589A">
        <w:t xml:space="preserve">Victorian </w:t>
      </w:r>
      <w:r w:rsidR="00AE589A" w:rsidRPr="00A7448D">
        <w:t xml:space="preserve">construction WPI </w:t>
      </w:r>
      <w:r w:rsidR="008A1A9F">
        <w:t>better</w:t>
      </w:r>
      <w:r w:rsidR="00AE589A" w:rsidRPr="00A7448D">
        <w:t xml:space="preserve"> reflects </w:t>
      </w:r>
      <w:r w:rsidR="00AE589A">
        <w:t xml:space="preserve">the </w:t>
      </w:r>
      <w:r w:rsidR="00AE589A" w:rsidRPr="00A7448D">
        <w:t>growth in external labour prices</w:t>
      </w:r>
      <w:r w:rsidR="008A1A9F">
        <w:t>, as</w:t>
      </w:r>
      <w:r w:rsidR="00AE589A">
        <w:t xml:space="preserve"> </w:t>
      </w:r>
      <w:r w:rsidR="00AE589A" w:rsidRPr="009910B6">
        <w:t>firms in the</w:t>
      </w:r>
      <w:r w:rsidR="00AE589A">
        <w:t xml:space="preserve"> </w:t>
      </w:r>
      <w:r w:rsidR="00AE589A" w:rsidRPr="009910B6">
        <w:t>construction industry</w:t>
      </w:r>
      <w:r w:rsidR="00AE589A">
        <w:t xml:space="preserve"> </w:t>
      </w:r>
      <w:r w:rsidR="00AE589A" w:rsidRPr="009910B6">
        <w:t>predominantly suppl</w:t>
      </w:r>
      <w:r w:rsidR="00AE589A">
        <w:t>y</w:t>
      </w:r>
      <w:r w:rsidR="00AE589A" w:rsidRPr="009910B6">
        <w:t xml:space="preserve"> </w:t>
      </w:r>
      <w:r w:rsidR="00AE589A">
        <w:t>gas distributors'</w:t>
      </w:r>
      <w:r w:rsidR="00AE589A" w:rsidRPr="009910B6">
        <w:t xml:space="preserve"> outsourced labour</w:t>
      </w:r>
      <w:r w:rsidR="00AE589A">
        <w:t>.</w:t>
      </w:r>
      <w:r w:rsidR="00AE589A">
        <w:rPr>
          <w:rStyle w:val="FootnoteReference"/>
        </w:rPr>
        <w:footnoteReference w:id="33"/>
      </w:r>
      <w:r w:rsidR="00AE589A">
        <w:t xml:space="preserve"> </w:t>
      </w:r>
    </w:p>
    <w:p w:rsidR="008A1A9F" w:rsidRDefault="0078448A" w:rsidP="00146BF9">
      <w:r>
        <w:t xml:space="preserve">We consider using </w:t>
      </w:r>
      <w:r w:rsidR="00AE589A">
        <w:t>the construction industry</w:t>
      </w:r>
      <w:r>
        <w:t xml:space="preserve"> WPI</w:t>
      </w:r>
      <w:r w:rsidR="00AE589A">
        <w:t xml:space="preserve"> to forecast 'external labour' is specific to </w:t>
      </w:r>
      <w:r w:rsidR="00AE589A" w:rsidRPr="00BD3B5D">
        <w:t xml:space="preserve">external labour costs </w:t>
      </w:r>
      <w:r w:rsidRPr="00780ED8">
        <w:t xml:space="preserve">engaged in the construction of </w:t>
      </w:r>
      <w:r>
        <w:t>gas</w:t>
      </w:r>
      <w:r w:rsidRPr="00780ED8">
        <w:t xml:space="preserve"> </w:t>
      </w:r>
      <w:r>
        <w:t>distribution</w:t>
      </w:r>
      <w:r w:rsidRPr="00780ED8">
        <w:t xml:space="preserve"> networks</w:t>
      </w:r>
      <w:r w:rsidR="00AB6DF9">
        <w:t>,</w:t>
      </w:r>
      <w:r w:rsidRPr="00BD3B5D">
        <w:t xml:space="preserve"> </w:t>
      </w:r>
      <w:r w:rsidR="00AB6DF9">
        <w:t xml:space="preserve">which is </w:t>
      </w:r>
      <w:r w:rsidR="00AE589A" w:rsidRPr="0078448A">
        <w:rPr>
          <w:rStyle w:val="AERtextitalic"/>
        </w:rPr>
        <w:t>capital</w:t>
      </w:r>
      <w:r w:rsidR="00AE589A" w:rsidRPr="00BD3B5D">
        <w:t xml:space="preserve"> expenditure.</w:t>
      </w:r>
      <w:r w:rsidR="00AE589A">
        <w:rPr>
          <w:rStyle w:val="FootnoteReference"/>
        </w:rPr>
        <w:footnoteReference w:id="34"/>
      </w:r>
      <w:r>
        <w:t xml:space="preserve"> </w:t>
      </w:r>
      <w:r w:rsidR="008A1A9F">
        <w:t>However</w:t>
      </w:r>
      <w:r w:rsidR="00146BF9">
        <w:t xml:space="preserve">, for the purposes of forecasting </w:t>
      </w:r>
      <w:r w:rsidRPr="00AB6DF9">
        <w:rPr>
          <w:rStyle w:val="AERtextitalic"/>
        </w:rPr>
        <w:t>opex</w:t>
      </w:r>
      <w:r>
        <w:t xml:space="preserve"> </w:t>
      </w:r>
      <w:r w:rsidR="00146BF9">
        <w:t>price growth, the price of labour used to construct the network is not relevant.</w:t>
      </w:r>
      <w:r w:rsidR="00146BF9">
        <w:rPr>
          <w:rStyle w:val="FootnoteReference"/>
        </w:rPr>
        <w:footnoteReference w:id="35"/>
      </w:r>
      <w:r w:rsidR="00146BF9">
        <w:t xml:space="preserve"> </w:t>
      </w:r>
    </w:p>
    <w:p w:rsidR="00146BF9" w:rsidRDefault="00E8101A" w:rsidP="00146BF9">
      <w:r>
        <w:t>O</w:t>
      </w:r>
      <w:r w:rsidR="00146BF9">
        <w:t>ur objective is to identify</w:t>
      </w:r>
      <w:r w:rsidR="00146BF9" w:rsidRPr="00780ED8">
        <w:t xml:space="preserve"> the price measure that best reflects the </w:t>
      </w:r>
      <w:r w:rsidR="00146BF9">
        <w:t>price of labour used by contractors to assist a prudent</w:t>
      </w:r>
      <w:r w:rsidR="00146BF9" w:rsidRPr="00780ED8">
        <w:t xml:space="preserve"> </w:t>
      </w:r>
      <w:r w:rsidR="00146BF9">
        <w:t xml:space="preserve">network </w:t>
      </w:r>
      <w:r w:rsidR="00146BF9" w:rsidRPr="00780ED8">
        <w:t xml:space="preserve">service provider </w:t>
      </w:r>
      <w:r w:rsidR="00146BF9">
        <w:t>to efficiently operate and maintain its network over the 2018–22 access arrangement.</w:t>
      </w:r>
      <w:r w:rsidR="00146BF9" w:rsidRPr="00780ED8">
        <w:t xml:space="preserve"> </w:t>
      </w:r>
      <w:r w:rsidR="00146BF9" w:rsidRPr="00E44332">
        <w:t xml:space="preserve">Consequently we </w:t>
      </w:r>
      <w:r w:rsidR="00146BF9">
        <w:t>use</w:t>
      </w:r>
      <w:r w:rsidR="00146BF9" w:rsidRPr="00E44332">
        <w:t xml:space="preserve"> the </w:t>
      </w:r>
      <w:r w:rsidR="00146BF9">
        <w:t xml:space="preserve">Victorian </w:t>
      </w:r>
      <w:r w:rsidR="00146BF9" w:rsidRPr="00E44332">
        <w:t xml:space="preserve">utilities industry WPI </w:t>
      </w:r>
      <w:r w:rsidR="00146BF9">
        <w:t>to</w:t>
      </w:r>
      <w:r w:rsidR="00146BF9" w:rsidRPr="00E44332">
        <w:t xml:space="preserve"> forecast the growth in the price of labour used by contractors. We consider that this measure best reflects the price of labour used by contractors undertaking operating and maintenance activities</w:t>
      </w:r>
      <w:r w:rsidR="00146BF9">
        <w:t>, consistent with the NGR requirements.</w:t>
      </w:r>
      <w:r w:rsidR="00AE589A">
        <w:rPr>
          <w:rStyle w:val="FootnoteReference"/>
        </w:rPr>
        <w:footnoteReference w:id="36"/>
      </w:r>
    </w:p>
    <w:p w:rsidR="00E37E9F" w:rsidRPr="00E37E9F" w:rsidRDefault="00E37E9F">
      <w:r w:rsidRPr="00E37E9F">
        <w:t xml:space="preserve">We consider the average of the utilities WPI growth forecasts from DAE and BIS Shrapnel </w:t>
      </w:r>
      <w:r w:rsidR="00E8101A">
        <w:t>is</w:t>
      </w:r>
      <w:r w:rsidRPr="00E37E9F">
        <w:t xml:space="preserve"> the best method </w:t>
      </w:r>
      <w:r w:rsidR="00E8101A">
        <w:t>to</w:t>
      </w:r>
      <w:r w:rsidR="00E8101A" w:rsidRPr="00E37E9F">
        <w:t xml:space="preserve"> </w:t>
      </w:r>
      <w:r w:rsidRPr="00E37E9F">
        <w:t xml:space="preserve">forecast labour price growth. </w:t>
      </w:r>
      <w:r w:rsidR="008A1A9F">
        <w:t>P</w:t>
      </w:r>
      <w:r w:rsidR="008A1A9F" w:rsidRPr="008A1A9F">
        <w:t>ast analysis show</w:t>
      </w:r>
      <w:r w:rsidR="00E8101A">
        <w:t>ed</w:t>
      </w:r>
      <w:r w:rsidR="008A1A9F" w:rsidRPr="008A1A9F">
        <w:t xml:space="preserve"> the average of DAE and BIS Shrapnel WPI growth forecast had the lowest mean absolute error</w:t>
      </w:r>
      <w:r w:rsidRPr="00E37E9F">
        <w:t>.</w:t>
      </w:r>
      <w:r>
        <w:rPr>
          <w:rStyle w:val="FootnoteReference"/>
        </w:rPr>
        <w:footnoteReference w:id="37"/>
      </w:r>
      <w:r w:rsidR="008A1A9F">
        <w:t xml:space="preserve"> </w:t>
      </w:r>
      <w:r w:rsidR="008A1A9F" w:rsidRPr="00A22170">
        <w:t>This result is consistent with a significant body of literature concluding forecast accuracy can be substantially improved by combining multiple individual forecasts</w:t>
      </w:r>
      <w:r w:rsidR="008A1A9F" w:rsidRPr="008A1A9F">
        <w:t>.</w:t>
      </w:r>
      <w:r w:rsidR="008A1A9F" w:rsidRPr="008A1A9F">
        <w:rPr>
          <w:rStyle w:val="FootnoteReference"/>
        </w:rPr>
        <w:footnoteReference w:id="38"/>
      </w:r>
    </w:p>
    <w:p w:rsidR="00E37E9F" w:rsidRPr="00E37E9F" w:rsidRDefault="00E37E9F" w:rsidP="00E37E9F">
      <w:r w:rsidRPr="00E37E9F">
        <w:t xml:space="preserve">We </w:t>
      </w:r>
      <w:r w:rsidR="008A1A9F">
        <w:t>show</w:t>
      </w:r>
      <w:r w:rsidR="008A1A9F" w:rsidRPr="00E37E9F">
        <w:t xml:space="preserve"> </w:t>
      </w:r>
      <w:r w:rsidRPr="00E37E9F">
        <w:t>the labour price growth forecasts from BIS Shrapnel</w:t>
      </w:r>
      <w:r w:rsidR="008A1A9F">
        <w:t>,</w:t>
      </w:r>
      <w:r w:rsidRPr="00E37E9F">
        <w:t xml:space="preserve"> DAE and the average </w:t>
      </w:r>
      <w:r w:rsidR="008A1A9F">
        <w:t>WPI</w:t>
      </w:r>
      <w:r w:rsidR="008A1A9F" w:rsidRPr="00E37E9F">
        <w:t xml:space="preserve"> </w:t>
      </w:r>
      <w:r w:rsidRPr="00E37E9F">
        <w:t xml:space="preserve">growth rate </w:t>
      </w:r>
      <w:r w:rsidR="00E80CD5">
        <w:t xml:space="preserve">in </w:t>
      </w:r>
      <w:r w:rsidR="00E80CD5">
        <w:fldChar w:fldCharType="begin"/>
      </w:r>
      <w:r w:rsidR="00E80CD5">
        <w:instrText xml:space="preserve"> REF _Ref484167642 \h </w:instrText>
      </w:r>
      <w:r w:rsidR="00E80CD5">
        <w:fldChar w:fldCharType="separate"/>
      </w:r>
      <w:r w:rsidR="009270AF">
        <w:t xml:space="preserve">Table </w:t>
      </w:r>
      <w:r w:rsidR="009270AF">
        <w:rPr>
          <w:noProof/>
        </w:rPr>
        <w:t>7</w:t>
      </w:r>
      <w:r w:rsidR="009270AF">
        <w:t>.</w:t>
      </w:r>
      <w:r w:rsidR="009270AF">
        <w:rPr>
          <w:noProof/>
        </w:rPr>
        <w:t>4</w:t>
      </w:r>
      <w:r w:rsidR="00E80CD5">
        <w:fldChar w:fldCharType="end"/>
      </w:r>
      <w:r w:rsidR="00E80CD5">
        <w:t>.</w:t>
      </w:r>
    </w:p>
    <w:p w:rsidR="00E37E9F" w:rsidRPr="00E37E9F" w:rsidRDefault="00E37E9F" w:rsidP="00E37E9F">
      <w:pPr>
        <w:pStyle w:val="Caption"/>
      </w:pPr>
      <w:bookmarkStart w:id="108" w:name="_Ref484167642"/>
      <w:r>
        <w:t xml:space="preserve">Table </w:t>
      </w:r>
      <w:r w:rsidR="009270AF">
        <w:fldChar w:fldCharType="begin"/>
      </w:r>
      <w:r w:rsidR="009270AF">
        <w:instrText xml:space="preserve"> STYLEREF 1 \s </w:instrText>
      </w:r>
      <w:r w:rsidR="009270AF">
        <w:fldChar w:fldCharType="separate"/>
      </w:r>
      <w:r w:rsidR="009270AF">
        <w:rPr>
          <w:noProof/>
        </w:rPr>
        <w:t>7</w:t>
      </w:r>
      <w:r w:rsidR="009270AF">
        <w:rPr>
          <w:noProof/>
        </w:rPr>
        <w:fldChar w:fldCharType="end"/>
      </w:r>
      <w:r>
        <w:t>.</w:t>
      </w:r>
      <w:fldSimple w:instr=" SEQ Table \* ARABIC \s 1 ">
        <w:r w:rsidR="009270AF">
          <w:rPr>
            <w:noProof/>
          </w:rPr>
          <w:t>4</w:t>
        </w:r>
      </w:fldSimple>
      <w:bookmarkEnd w:id="108"/>
      <w:r>
        <w:tab/>
      </w:r>
      <w:r w:rsidRPr="00E37E9F">
        <w:t xml:space="preserve">Forecast annual WPI growth, Victoria, </w:t>
      </w:r>
      <w:r w:rsidR="007E17A6">
        <w:t xml:space="preserve">Utilities </w:t>
      </w:r>
      <w:r w:rsidRPr="00E37E9F">
        <w:t xml:space="preserve">(per cent) </w:t>
      </w:r>
    </w:p>
    <w:tbl>
      <w:tblPr>
        <w:tblStyle w:val="AERtable-numbers"/>
        <w:tblW w:w="5000" w:type="pct"/>
        <w:tblLook w:val="04A0" w:firstRow="1" w:lastRow="0" w:firstColumn="1" w:lastColumn="0" w:noHBand="0" w:noVBand="1"/>
      </w:tblPr>
      <w:tblGrid>
        <w:gridCol w:w="2472"/>
        <w:gridCol w:w="1040"/>
        <w:gridCol w:w="1038"/>
        <w:gridCol w:w="1038"/>
        <w:gridCol w:w="1038"/>
        <w:gridCol w:w="1034"/>
        <w:gridCol w:w="1033"/>
      </w:tblGrid>
      <w:tr w:rsidR="00E37E9F" w:rsidRPr="00125E70" w:rsidTr="00211A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tcPr>
          <w:p w:rsidR="00E37E9F" w:rsidRPr="00C10833" w:rsidRDefault="00E37E9F" w:rsidP="00E37E9F"/>
        </w:tc>
        <w:tc>
          <w:tcPr>
            <w:tcW w:w="598" w:type="pct"/>
          </w:tcPr>
          <w:p w:rsidR="00E37E9F" w:rsidRPr="00E37E9F" w:rsidRDefault="00E37E9F" w:rsidP="00E37E9F">
            <w:pPr>
              <w:cnfStyle w:val="100000000000" w:firstRow="1" w:lastRow="0" w:firstColumn="0" w:lastColumn="0" w:oddVBand="0" w:evenVBand="0" w:oddHBand="0" w:evenHBand="0" w:firstRowFirstColumn="0" w:firstRowLastColumn="0" w:lastRowFirstColumn="0" w:lastRowLastColumn="0"/>
            </w:pPr>
            <w:r w:rsidRPr="00C10833">
              <w:t>201</w:t>
            </w:r>
            <w:r w:rsidR="00286B2C">
              <w:t>8</w:t>
            </w:r>
          </w:p>
        </w:tc>
        <w:tc>
          <w:tcPr>
            <w:tcW w:w="597" w:type="pct"/>
          </w:tcPr>
          <w:p w:rsidR="00E37E9F" w:rsidRPr="00E37E9F" w:rsidRDefault="00E37E9F" w:rsidP="00E37E9F">
            <w:pPr>
              <w:cnfStyle w:val="100000000000" w:firstRow="1" w:lastRow="0" w:firstColumn="0" w:lastColumn="0" w:oddVBand="0" w:evenVBand="0" w:oddHBand="0" w:evenHBand="0" w:firstRowFirstColumn="0" w:firstRowLastColumn="0" w:lastRowFirstColumn="0" w:lastRowLastColumn="0"/>
            </w:pPr>
            <w:r w:rsidRPr="00C10833">
              <w:t>201</w:t>
            </w:r>
            <w:r w:rsidR="00286B2C">
              <w:t>9</w:t>
            </w:r>
          </w:p>
        </w:tc>
        <w:tc>
          <w:tcPr>
            <w:tcW w:w="597" w:type="pct"/>
          </w:tcPr>
          <w:p w:rsidR="00E37E9F" w:rsidRPr="00E37E9F" w:rsidRDefault="00E37E9F" w:rsidP="00E37E9F">
            <w:pPr>
              <w:cnfStyle w:val="100000000000" w:firstRow="1" w:lastRow="0" w:firstColumn="0" w:lastColumn="0" w:oddVBand="0" w:evenVBand="0" w:oddHBand="0" w:evenHBand="0" w:firstRowFirstColumn="0" w:firstRowLastColumn="0" w:lastRowFirstColumn="0" w:lastRowLastColumn="0"/>
            </w:pPr>
            <w:r w:rsidRPr="00C10833">
              <w:t>20</w:t>
            </w:r>
            <w:r w:rsidR="00286B2C">
              <w:t>20</w:t>
            </w:r>
          </w:p>
        </w:tc>
        <w:tc>
          <w:tcPr>
            <w:tcW w:w="597" w:type="pct"/>
          </w:tcPr>
          <w:p w:rsidR="00E37E9F" w:rsidRPr="00E37E9F" w:rsidRDefault="00E37E9F" w:rsidP="00E37E9F">
            <w:pPr>
              <w:cnfStyle w:val="100000000000" w:firstRow="1" w:lastRow="0" w:firstColumn="0" w:lastColumn="0" w:oddVBand="0" w:evenVBand="0" w:oddHBand="0" w:evenHBand="0" w:firstRowFirstColumn="0" w:firstRowLastColumn="0" w:lastRowFirstColumn="0" w:lastRowLastColumn="0"/>
            </w:pPr>
            <w:r w:rsidRPr="00C10833">
              <w:t>20</w:t>
            </w:r>
            <w:r w:rsidR="00286B2C">
              <w:t>21</w:t>
            </w:r>
          </w:p>
        </w:tc>
        <w:tc>
          <w:tcPr>
            <w:tcW w:w="595" w:type="pct"/>
          </w:tcPr>
          <w:p w:rsidR="00E37E9F" w:rsidRPr="00E37E9F" w:rsidRDefault="00E37E9F" w:rsidP="00E37E9F">
            <w:pPr>
              <w:cnfStyle w:val="100000000000" w:firstRow="1" w:lastRow="0" w:firstColumn="0" w:lastColumn="0" w:oddVBand="0" w:evenVBand="0" w:oddHBand="0" w:evenHBand="0" w:firstRowFirstColumn="0" w:firstRowLastColumn="0" w:lastRowFirstColumn="0" w:lastRowLastColumn="0"/>
            </w:pPr>
            <w:r w:rsidRPr="00C10833">
              <w:t>202</w:t>
            </w:r>
            <w:r w:rsidR="00286B2C">
              <w:t>2</w:t>
            </w:r>
          </w:p>
        </w:tc>
        <w:tc>
          <w:tcPr>
            <w:tcW w:w="594" w:type="pct"/>
            <w:vAlign w:val="top"/>
          </w:tcPr>
          <w:p w:rsidR="00E37E9F" w:rsidRPr="00E37E9F" w:rsidRDefault="00E37E9F" w:rsidP="00E37E9F">
            <w:pPr>
              <w:cnfStyle w:val="100000000000" w:firstRow="1" w:lastRow="0" w:firstColumn="0" w:lastColumn="0" w:oddVBand="0" w:evenVBand="0" w:oddHBand="0" w:evenHBand="0" w:firstRowFirstColumn="0" w:firstRowLastColumn="0" w:lastRowFirstColumn="0" w:lastRowLastColumn="0"/>
            </w:pPr>
            <w:r w:rsidRPr="00C10833">
              <w:t>Average</w:t>
            </w:r>
          </w:p>
        </w:tc>
      </w:tr>
      <w:tr w:rsidR="00E37E9F" w:rsidRPr="00125E70" w:rsidTr="00211A5F">
        <w:tc>
          <w:tcPr>
            <w:cnfStyle w:val="001000000000" w:firstRow="0" w:lastRow="0" w:firstColumn="1" w:lastColumn="0" w:oddVBand="0" w:evenVBand="0" w:oddHBand="0" w:evenHBand="0" w:firstRowFirstColumn="0" w:firstRowLastColumn="0" w:lastRowFirstColumn="0" w:lastRowLastColumn="0"/>
            <w:tcW w:w="1422" w:type="pct"/>
          </w:tcPr>
          <w:p w:rsidR="00E37E9F" w:rsidRPr="00E37E9F" w:rsidRDefault="00E37E9F" w:rsidP="00E37E9F">
            <w:r w:rsidRPr="00B0002C">
              <w:t>DAE</w:t>
            </w:r>
            <w:r w:rsidR="005B2C46">
              <w:t xml:space="preserve"> WPI Utilities</w:t>
            </w:r>
          </w:p>
        </w:tc>
        <w:tc>
          <w:tcPr>
            <w:tcW w:w="598" w:type="pct"/>
            <w:vAlign w:val="top"/>
          </w:tcPr>
          <w:p w:rsidR="00E37E9F" w:rsidRPr="00E37E9F" w:rsidRDefault="00286B2C" w:rsidP="00E37E9F">
            <w:pPr>
              <w:cnfStyle w:val="000000000000" w:firstRow="0" w:lastRow="0" w:firstColumn="0" w:lastColumn="0" w:oddVBand="0" w:evenVBand="0" w:oddHBand="0" w:evenHBand="0" w:firstRowFirstColumn="0" w:firstRowLastColumn="0" w:lastRowFirstColumn="0" w:lastRowLastColumn="0"/>
            </w:pPr>
            <w:r>
              <w:t>0.6</w:t>
            </w:r>
          </w:p>
        </w:tc>
        <w:tc>
          <w:tcPr>
            <w:tcW w:w="597" w:type="pct"/>
            <w:vAlign w:val="top"/>
          </w:tcPr>
          <w:p w:rsidR="00E37E9F" w:rsidRPr="00E37E9F" w:rsidRDefault="00286B2C" w:rsidP="00E37E9F">
            <w:pPr>
              <w:cnfStyle w:val="000000000000" w:firstRow="0" w:lastRow="0" w:firstColumn="0" w:lastColumn="0" w:oddVBand="0" w:evenVBand="0" w:oddHBand="0" w:evenHBand="0" w:firstRowFirstColumn="0" w:firstRowLastColumn="0" w:lastRowFirstColumn="0" w:lastRowLastColumn="0"/>
            </w:pPr>
            <w:r>
              <w:t>1.0</w:t>
            </w:r>
          </w:p>
        </w:tc>
        <w:tc>
          <w:tcPr>
            <w:tcW w:w="597" w:type="pct"/>
            <w:vAlign w:val="top"/>
          </w:tcPr>
          <w:p w:rsidR="00E37E9F" w:rsidRPr="00E37E9F" w:rsidRDefault="00E37E9F" w:rsidP="00286B2C">
            <w:pPr>
              <w:cnfStyle w:val="000000000000" w:firstRow="0" w:lastRow="0" w:firstColumn="0" w:lastColumn="0" w:oddVBand="0" w:evenVBand="0" w:oddHBand="0" w:evenHBand="0" w:firstRowFirstColumn="0" w:firstRowLastColumn="0" w:lastRowFirstColumn="0" w:lastRowLastColumn="0"/>
            </w:pPr>
            <w:r w:rsidRPr="00B0002C">
              <w:t>0.</w:t>
            </w:r>
            <w:r w:rsidR="00286B2C">
              <w:t>9</w:t>
            </w:r>
          </w:p>
        </w:tc>
        <w:tc>
          <w:tcPr>
            <w:tcW w:w="597" w:type="pct"/>
            <w:vAlign w:val="top"/>
          </w:tcPr>
          <w:p w:rsidR="00E37E9F" w:rsidRPr="00E37E9F" w:rsidRDefault="00E37E9F" w:rsidP="00E37E9F">
            <w:pPr>
              <w:cnfStyle w:val="000000000000" w:firstRow="0" w:lastRow="0" w:firstColumn="0" w:lastColumn="0" w:oddVBand="0" w:evenVBand="0" w:oddHBand="0" w:evenHBand="0" w:firstRowFirstColumn="0" w:firstRowLastColumn="0" w:lastRowFirstColumn="0" w:lastRowLastColumn="0"/>
            </w:pPr>
            <w:r w:rsidRPr="00B0002C">
              <w:t>0.9</w:t>
            </w:r>
          </w:p>
        </w:tc>
        <w:tc>
          <w:tcPr>
            <w:tcW w:w="595" w:type="pct"/>
            <w:vAlign w:val="top"/>
          </w:tcPr>
          <w:p w:rsidR="00E37E9F" w:rsidRPr="00E37E9F" w:rsidRDefault="00E37E9F" w:rsidP="00E37E9F">
            <w:pPr>
              <w:cnfStyle w:val="000000000000" w:firstRow="0" w:lastRow="0" w:firstColumn="0" w:lastColumn="0" w:oddVBand="0" w:evenVBand="0" w:oddHBand="0" w:evenHBand="0" w:firstRowFirstColumn="0" w:firstRowLastColumn="0" w:lastRowFirstColumn="0" w:lastRowLastColumn="0"/>
            </w:pPr>
            <w:r w:rsidRPr="00B0002C">
              <w:t>0.9</w:t>
            </w:r>
          </w:p>
        </w:tc>
        <w:tc>
          <w:tcPr>
            <w:tcW w:w="594" w:type="pct"/>
            <w:vAlign w:val="top"/>
          </w:tcPr>
          <w:p w:rsidR="00E37E9F" w:rsidRPr="00E37E9F" w:rsidRDefault="00E37E9F" w:rsidP="00286B2C">
            <w:pPr>
              <w:cnfStyle w:val="000000000000" w:firstRow="0" w:lastRow="0" w:firstColumn="0" w:lastColumn="0" w:oddVBand="0" w:evenVBand="0" w:oddHBand="0" w:evenHBand="0" w:firstRowFirstColumn="0" w:firstRowLastColumn="0" w:lastRowFirstColumn="0" w:lastRowLastColumn="0"/>
            </w:pPr>
            <w:r>
              <w:t>0.</w:t>
            </w:r>
            <w:r w:rsidR="00286B2C">
              <w:t>9</w:t>
            </w:r>
          </w:p>
        </w:tc>
      </w:tr>
      <w:tr w:rsidR="00E37E9F" w:rsidRPr="00125E70" w:rsidTr="00211A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tcPr>
          <w:p w:rsidR="00E37E9F" w:rsidRPr="00E37E9F" w:rsidRDefault="00E37E9F" w:rsidP="00E37E9F">
            <w:r w:rsidRPr="00C10833">
              <w:t>BIS Shrapnel</w:t>
            </w:r>
            <w:r w:rsidR="005B2C46">
              <w:t xml:space="preserve"> WPI Utilities</w:t>
            </w:r>
          </w:p>
        </w:tc>
        <w:tc>
          <w:tcPr>
            <w:tcW w:w="598" w:type="pct"/>
          </w:tcPr>
          <w:p w:rsidR="00E37E9F" w:rsidRPr="00E37E9F" w:rsidRDefault="00286B2C" w:rsidP="00E37E9F">
            <w:pPr>
              <w:cnfStyle w:val="000000010000" w:firstRow="0" w:lastRow="0" w:firstColumn="0" w:lastColumn="0" w:oddVBand="0" w:evenVBand="0" w:oddHBand="0" w:evenHBand="1" w:firstRowFirstColumn="0" w:firstRowLastColumn="0" w:lastRowFirstColumn="0" w:lastRowLastColumn="0"/>
            </w:pPr>
            <w:r>
              <w:t>1.1</w:t>
            </w:r>
          </w:p>
        </w:tc>
        <w:tc>
          <w:tcPr>
            <w:tcW w:w="597" w:type="pct"/>
          </w:tcPr>
          <w:p w:rsidR="00E37E9F" w:rsidRPr="00E37E9F" w:rsidRDefault="00286B2C" w:rsidP="00E37E9F">
            <w:pPr>
              <w:cnfStyle w:val="000000010000" w:firstRow="0" w:lastRow="0" w:firstColumn="0" w:lastColumn="0" w:oddVBand="0" w:evenVBand="0" w:oddHBand="0" w:evenHBand="1" w:firstRowFirstColumn="0" w:firstRowLastColumn="0" w:lastRowFirstColumn="0" w:lastRowLastColumn="0"/>
            </w:pPr>
            <w:r>
              <w:t>0.9</w:t>
            </w:r>
          </w:p>
        </w:tc>
        <w:tc>
          <w:tcPr>
            <w:tcW w:w="597" w:type="pct"/>
          </w:tcPr>
          <w:p w:rsidR="00E37E9F" w:rsidRPr="00E37E9F" w:rsidRDefault="00E37E9F" w:rsidP="00286B2C">
            <w:pPr>
              <w:cnfStyle w:val="000000010000" w:firstRow="0" w:lastRow="0" w:firstColumn="0" w:lastColumn="0" w:oddVBand="0" w:evenVBand="0" w:oddHBand="0" w:evenHBand="1" w:firstRowFirstColumn="0" w:firstRowLastColumn="0" w:lastRowFirstColumn="0" w:lastRowLastColumn="0"/>
            </w:pPr>
            <w:r w:rsidRPr="00C10833">
              <w:t>1.</w:t>
            </w:r>
            <w:r w:rsidR="00286B2C">
              <w:t>2</w:t>
            </w:r>
          </w:p>
        </w:tc>
        <w:tc>
          <w:tcPr>
            <w:tcW w:w="597" w:type="pct"/>
          </w:tcPr>
          <w:p w:rsidR="00E37E9F" w:rsidRPr="00E37E9F" w:rsidRDefault="00286B2C" w:rsidP="00286B2C">
            <w:pPr>
              <w:cnfStyle w:val="000000010000" w:firstRow="0" w:lastRow="0" w:firstColumn="0" w:lastColumn="0" w:oddVBand="0" w:evenVBand="0" w:oddHBand="0" w:evenHBand="1" w:firstRowFirstColumn="0" w:firstRowLastColumn="0" w:lastRowFirstColumn="0" w:lastRowLastColumn="0"/>
            </w:pPr>
            <w:r>
              <w:t>1.7</w:t>
            </w:r>
          </w:p>
        </w:tc>
        <w:tc>
          <w:tcPr>
            <w:tcW w:w="595" w:type="pct"/>
          </w:tcPr>
          <w:p w:rsidR="00E37E9F" w:rsidRPr="00E37E9F" w:rsidRDefault="00286B2C" w:rsidP="00E37E9F">
            <w:pPr>
              <w:cnfStyle w:val="000000010000" w:firstRow="0" w:lastRow="0" w:firstColumn="0" w:lastColumn="0" w:oddVBand="0" w:evenVBand="0" w:oddHBand="0" w:evenHBand="1" w:firstRowFirstColumn="0" w:firstRowLastColumn="0" w:lastRowFirstColumn="0" w:lastRowLastColumn="0"/>
            </w:pPr>
            <w:r>
              <w:t>2.0</w:t>
            </w:r>
          </w:p>
        </w:tc>
        <w:tc>
          <w:tcPr>
            <w:tcW w:w="594" w:type="pct"/>
            <w:vAlign w:val="top"/>
          </w:tcPr>
          <w:p w:rsidR="00E37E9F" w:rsidRPr="00E37E9F" w:rsidRDefault="00E37E9F" w:rsidP="00286B2C">
            <w:pPr>
              <w:cnfStyle w:val="000000010000" w:firstRow="0" w:lastRow="0" w:firstColumn="0" w:lastColumn="0" w:oddVBand="0" w:evenVBand="0" w:oddHBand="0" w:evenHBand="1" w:firstRowFirstColumn="0" w:firstRowLastColumn="0" w:lastRowFirstColumn="0" w:lastRowLastColumn="0"/>
            </w:pPr>
            <w:r w:rsidRPr="00C10833">
              <w:t>1.</w:t>
            </w:r>
            <w:r w:rsidR="00286B2C">
              <w:t>4</w:t>
            </w:r>
          </w:p>
        </w:tc>
      </w:tr>
      <w:tr w:rsidR="002B4567" w:rsidRPr="00125E70" w:rsidTr="00211A5F">
        <w:tc>
          <w:tcPr>
            <w:cnfStyle w:val="001000000000" w:firstRow="0" w:lastRow="0" w:firstColumn="1" w:lastColumn="0" w:oddVBand="0" w:evenVBand="0" w:oddHBand="0" w:evenHBand="0" w:firstRowFirstColumn="0" w:firstRowLastColumn="0" w:lastRowFirstColumn="0" w:lastRowLastColumn="0"/>
            <w:tcW w:w="1422" w:type="pct"/>
          </w:tcPr>
          <w:p w:rsidR="002B4567" w:rsidRPr="00C10833" w:rsidRDefault="002B4567" w:rsidP="00E37E9F">
            <w:r>
              <w:t>Ave</w:t>
            </w:r>
            <w:r w:rsidR="00E80CD5">
              <w:t>rage of</w:t>
            </w:r>
            <w:r>
              <w:t xml:space="preserve"> DAE and BIS</w:t>
            </w:r>
          </w:p>
        </w:tc>
        <w:tc>
          <w:tcPr>
            <w:tcW w:w="598" w:type="pct"/>
          </w:tcPr>
          <w:p w:rsidR="002B4567" w:rsidRDefault="002B4567" w:rsidP="00E37E9F">
            <w:pPr>
              <w:cnfStyle w:val="000000000000" w:firstRow="0" w:lastRow="0" w:firstColumn="0" w:lastColumn="0" w:oddVBand="0" w:evenVBand="0" w:oddHBand="0" w:evenHBand="0" w:firstRowFirstColumn="0" w:firstRowLastColumn="0" w:lastRowFirstColumn="0" w:lastRowLastColumn="0"/>
            </w:pPr>
            <w:r>
              <w:t>0.8</w:t>
            </w:r>
          </w:p>
        </w:tc>
        <w:tc>
          <w:tcPr>
            <w:tcW w:w="597" w:type="pct"/>
          </w:tcPr>
          <w:p w:rsidR="002B4567" w:rsidRDefault="002B4567" w:rsidP="00E37E9F">
            <w:pPr>
              <w:cnfStyle w:val="000000000000" w:firstRow="0" w:lastRow="0" w:firstColumn="0" w:lastColumn="0" w:oddVBand="0" w:evenVBand="0" w:oddHBand="0" w:evenHBand="0" w:firstRowFirstColumn="0" w:firstRowLastColumn="0" w:lastRowFirstColumn="0" w:lastRowLastColumn="0"/>
            </w:pPr>
            <w:r>
              <w:t>0.9</w:t>
            </w:r>
          </w:p>
        </w:tc>
        <w:tc>
          <w:tcPr>
            <w:tcW w:w="597" w:type="pct"/>
          </w:tcPr>
          <w:p w:rsidR="002B4567" w:rsidRDefault="002B4567" w:rsidP="00286B2C">
            <w:pPr>
              <w:cnfStyle w:val="000000000000" w:firstRow="0" w:lastRow="0" w:firstColumn="0" w:lastColumn="0" w:oddVBand="0" w:evenVBand="0" w:oddHBand="0" w:evenHBand="0" w:firstRowFirstColumn="0" w:firstRowLastColumn="0" w:lastRowFirstColumn="0" w:lastRowLastColumn="0"/>
            </w:pPr>
            <w:r>
              <w:t>1.1</w:t>
            </w:r>
          </w:p>
        </w:tc>
        <w:tc>
          <w:tcPr>
            <w:tcW w:w="597" w:type="pct"/>
          </w:tcPr>
          <w:p w:rsidR="002B4567" w:rsidRDefault="002B4567" w:rsidP="00286B2C">
            <w:pPr>
              <w:cnfStyle w:val="000000000000" w:firstRow="0" w:lastRow="0" w:firstColumn="0" w:lastColumn="0" w:oddVBand="0" w:evenVBand="0" w:oddHBand="0" w:evenHBand="0" w:firstRowFirstColumn="0" w:firstRowLastColumn="0" w:lastRowFirstColumn="0" w:lastRowLastColumn="0"/>
            </w:pPr>
            <w:r>
              <w:t>1.3</w:t>
            </w:r>
          </w:p>
        </w:tc>
        <w:tc>
          <w:tcPr>
            <w:tcW w:w="595" w:type="pct"/>
          </w:tcPr>
          <w:p w:rsidR="002B4567" w:rsidRDefault="002B4567" w:rsidP="00E37E9F">
            <w:pPr>
              <w:cnfStyle w:val="000000000000" w:firstRow="0" w:lastRow="0" w:firstColumn="0" w:lastColumn="0" w:oddVBand="0" w:evenVBand="0" w:oddHBand="0" w:evenHBand="0" w:firstRowFirstColumn="0" w:firstRowLastColumn="0" w:lastRowFirstColumn="0" w:lastRowLastColumn="0"/>
            </w:pPr>
            <w:r>
              <w:t>1.4</w:t>
            </w:r>
          </w:p>
        </w:tc>
        <w:tc>
          <w:tcPr>
            <w:tcW w:w="594" w:type="pct"/>
            <w:vAlign w:val="top"/>
          </w:tcPr>
          <w:p w:rsidR="002B4567" w:rsidRDefault="002B4567" w:rsidP="00286B2C">
            <w:pPr>
              <w:cnfStyle w:val="000000000000" w:firstRow="0" w:lastRow="0" w:firstColumn="0" w:lastColumn="0" w:oddVBand="0" w:evenVBand="0" w:oddHBand="0" w:evenHBand="0" w:firstRowFirstColumn="0" w:firstRowLastColumn="0" w:lastRowFirstColumn="0" w:lastRowLastColumn="0"/>
            </w:pPr>
            <w:r>
              <w:t>1.1</w:t>
            </w:r>
          </w:p>
        </w:tc>
      </w:tr>
    </w:tbl>
    <w:p w:rsidR="00E37E9F" w:rsidRPr="00E37E9F" w:rsidRDefault="00E37E9F" w:rsidP="00E37E9F">
      <w:pPr>
        <w:pStyle w:val="Source"/>
      </w:pPr>
      <w:r w:rsidRPr="00E37E9F">
        <w:t>Source: DAE; BIS Shrapnel; ABS.</w:t>
      </w:r>
    </w:p>
    <w:p w:rsidR="00B812AC" w:rsidRDefault="00B812AC" w:rsidP="00D2488B">
      <w:pPr>
        <w:pStyle w:val="Heading4"/>
      </w:pPr>
      <w:r>
        <w:t>Forecast output growth</w:t>
      </w:r>
      <w:r w:rsidR="005C569B">
        <w:t xml:space="preserve"> </w:t>
      </w:r>
    </w:p>
    <w:p w:rsidR="003A0DE5" w:rsidRDefault="005C569B" w:rsidP="005C569B">
      <w:r w:rsidRPr="00855C1E">
        <w:t xml:space="preserve">We are satisfied Multinet's </w:t>
      </w:r>
      <w:r w:rsidR="00855C1E" w:rsidRPr="00855C1E">
        <w:t xml:space="preserve">forecast </w:t>
      </w:r>
      <w:r w:rsidR="005F560F">
        <w:t xml:space="preserve">average </w:t>
      </w:r>
      <w:r w:rsidR="00855C1E">
        <w:t xml:space="preserve">annual </w:t>
      </w:r>
      <w:r w:rsidR="005F560F">
        <w:t xml:space="preserve">output </w:t>
      </w:r>
      <w:r w:rsidR="003A0DE5">
        <w:t>growth, net of productivity</w:t>
      </w:r>
      <w:r w:rsidR="005F560F">
        <w:t xml:space="preserve"> growth</w:t>
      </w:r>
      <w:r w:rsidR="003A0DE5">
        <w:t>,</w:t>
      </w:r>
      <w:r w:rsidR="00855C1E" w:rsidRPr="00855C1E">
        <w:t xml:space="preserve"> </w:t>
      </w:r>
      <w:r w:rsidRPr="00855C1E">
        <w:t xml:space="preserve">of </w:t>
      </w:r>
      <w:r w:rsidR="00855C1E">
        <w:t>0.</w:t>
      </w:r>
      <w:r w:rsidR="009A1603">
        <w:t>6</w:t>
      </w:r>
      <w:r w:rsidR="00855C1E" w:rsidRPr="00855C1E">
        <w:t xml:space="preserve"> per cent is </w:t>
      </w:r>
      <w:r w:rsidR="00355CFB">
        <w:t>arrived at on a reasonable basis and represents the best estimate possible in the circumstances</w:t>
      </w:r>
      <w:r w:rsidR="00855C1E" w:rsidRPr="00855C1E">
        <w:t>.</w:t>
      </w:r>
      <w:r w:rsidR="00855C1E">
        <w:t xml:space="preserve"> </w:t>
      </w:r>
      <w:r w:rsidR="003A0DE5">
        <w:t xml:space="preserve">Applying this </w:t>
      </w:r>
      <w:r w:rsidR="00E37FCA">
        <w:t>rate of output and productivity</w:t>
      </w:r>
      <w:r w:rsidR="005F560F">
        <w:t xml:space="preserve"> growth</w:t>
      </w:r>
      <w:r w:rsidR="00E37FCA">
        <w:t xml:space="preserve"> </w:t>
      </w:r>
      <w:r w:rsidR="007B6526">
        <w:t>increased its total opex forecast by $</w:t>
      </w:r>
      <w:r w:rsidR="003A0DE5">
        <w:t>7.2</w:t>
      </w:r>
      <w:r w:rsidR="007B6526">
        <w:t xml:space="preserve"> million ($2017). </w:t>
      </w:r>
    </w:p>
    <w:p w:rsidR="00000C21" w:rsidRDefault="00000C21" w:rsidP="005C569B">
      <w:r>
        <w:t xml:space="preserve">Multinet </w:t>
      </w:r>
      <w:r w:rsidRPr="00855C1E">
        <w:t xml:space="preserve">based </w:t>
      </w:r>
      <w:r>
        <w:t xml:space="preserve">its forecast output growth </w:t>
      </w:r>
      <w:r w:rsidRPr="00855C1E">
        <w:t xml:space="preserve">on </w:t>
      </w:r>
      <w:r>
        <w:t>a weighted average of forecast growth in customer numbers and pipeline length. It applied weights of 45 per cent and 55</w:t>
      </w:r>
      <w:r w:rsidR="009A1603">
        <w:t> </w:t>
      </w:r>
      <w:r>
        <w:t>per</w:t>
      </w:r>
      <w:r w:rsidR="009A1603">
        <w:t> </w:t>
      </w:r>
      <w:r>
        <w:t>cent respectively.</w:t>
      </w:r>
      <w:r w:rsidRPr="007B6526">
        <w:rPr>
          <w:rStyle w:val="FootnoteReference"/>
        </w:rPr>
        <w:footnoteReference w:id="39"/>
      </w:r>
      <w:r>
        <w:t xml:space="preserve"> This </w:t>
      </w:r>
      <w:r w:rsidRPr="008B396C">
        <w:t xml:space="preserve">approach is </w:t>
      </w:r>
      <w:r>
        <w:t>similar to</w:t>
      </w:r>
      <w:r w:rsidRPr="008B396C">
        <w:t xml:space="preserve"> our standard approach</w:t>
      </w:r>
      <w:r>
        <w:t>.</w:t>
      </w:r>
    </w:p>
    <w:p w:rsidR="00780B6E" w:rsidRDefault="003A0DE5" w:rsidP="003A0DE5">
      <w:r w:rsidRPr="006F0672">
        <w:fldChar w:fldCharType="begin"/>
      </w:r>
      <w:r w:rsidRPr="006F0672">
        <w:instrText xml:space="preserve"> REF _Ref482862006 \h </w:instrText>
      </w:r>
      <w:r w:rsidRPr="006F0672">
        <w:fldChar w:fldCharType="separate"/>
      </w:r>
      <w:r w:rsidR="009270AF" w:rsidRPr="006F0672">
        <w:t xml:space="preserve">Table </w:t>
      </w:r>
      <w:r w:rsidR="009270AF">
        <w:rPr>
          <w:noProof/>
        </w:rPr>
        <w:t>7</w:t>
      </w:r>
      <w:r w:rsidR="009270AF">
        <w:t>.</w:t>
      </w:r>
      <w:r w:rsidR="009270AF">
        <w:rPr>
          <w:noProof/>
        </w:rPr>
        <w:t>5</w:t>
      </w:r>
      <w:r w:rsidRPr="006F0672">
        <w:fldChar w:fldCharType="end"/>
      </w:r>
      <w:r w:rsidRPr="006F0672">
        <w:t xml:space="preserve"> shows </w:t>
      </w:r>
      <w:r>
        <w:t>Multinet's</w:t>
      </w:r>
      <w:r w:rsidRPr="006F0672">
        <w:t xml:space="preserve"> proposed </w:t>
      </w:r>
      <w:r>
        <w:t>output growth</w:t>
      </w:r>
      <w:r w:rsidRPr="006F0672">
        <w:t xml:space="preserve"> compared to </w:t>
      </w:r>
      <w:r w:rsidR="009021E4">
        <w:t>that</w:t>
      </w:r>
      <w:r w:rsidRPr="006F0672">
        <w:t xml:space="preserve"> of the other </w:t>
      </w:r>
      <w:r w:rsidR="006F48A1">
        <w:t xml:space="preserve">two </w:t>
      </w:r>
      <w:r w:rsidRPr="006F0672">
        <w:t xml:space="preserve">Victorian gas </w:t>
      </w:r>
      <w:r w:rsidR="00AD2DDB">
        <w:t>distributors</w:t>
      </w:r>
      <w:r w:rsidRPr="006F0672">
        <w:t xml:space="preserve">. </w:t>
      </w:r>
      <w:r>
        <w:t xml:space="preserve">It shows its forecast annual growth rate is higher than that of AGN but lower than </w:t>
      </w:r>
      <w:r w:rsidR="00EC6B5E">
        <w:t>AusNet</w:t>
      </w:r>
      <w:r w:rsidR="00983F6D">
        <w:t>'s</w:t>
      </w:r>
      <w:r>
        <w:t>.</w:t>
      </w:r>
    </w:p>
    <w:p w:rsidR="00780B6E" w:rsidRDefault="00780B6E">
      <w:pPr>
        <w:spacing w:line="240" w:lineRule="auto"/>
      </w:pPr>
      <w:r>
        <w:br w:type="page"/>
      </w:r>
    </w:p>
    <w:p w:rsidR="003A0DE5" w:rsidRPr="006F0672" w:rsidRDefault="003A0DE5" w:rsidP="003A0DE5">
      <w:pPr>
        <w:pStyle w:val="Caption"/>
      </w:pPr>
      <w:bookmarkStart w:id="109" w:name="_Ref482862006"/>
      <w:r w:rsidRPr="006F0672">
        <w:t xml:space="preserve">Table </w:t>
      </w:r>
      <w:r w:rsidR="009270AF">
        <w:fldChar w:fldCharType="begin"/>
      </w:r>
      <w:r w:rsidR="009270AF">
        <w:instrText xml:space="preserve"> STYLEREF 1 \s </w:instrText>
      </w:r>
      <w:r w:rsidR="009270AF">
        <w:fldChar w:fldCharType="separate"/>
      </w:r>
      <w:r w:rsidR="009270AF">
        <w:rPr>
          <w:noProof/>
        </w:rPr>
        <w:t>7</w:t>
      </w:r>
      <w:r w:rsidR="009270AF">
        <w:rPr>
          <w:noProof/>
        </w:rPr>
        <w:fldChar w:fldCharType="end"/>
      </w:r>
      <w:r w:rsidR="00E37E9F">
        <w:t>.</w:t>
      </w:r>
      <w:fldSimple w:instr=" SEQ Table \* ARABIC \s 1 ">
        <w:r w:rsidR="009270AF">
          <w:rPr>
            <w:noProof/>
          </w:rPr>
          <w:t>5</w:t>
        </w:r>
      </w:fldSimple>
      <w:bookmarkEnd w:id="109"/>
      <w:r w:rsidRPr="006F0672">
        <w:tab/>
      </w:r>
      <w:r w:rsidR="003F5A19">
        <w:t>Multinet's</w:t>
      </w:r>
      <w:r w:rsidR="003F5A19" w:rsidRPr="006F0672">
        <w:t xml:space="preserve"> </w:t>
      </w:r>
      <w:r w:rsidRPr="006F0672">
        <w:t>proposed output growth in context</w:t>
      </w:r>
    </w:p>
    <w:tbl>
      <w:tblPr>
        <w:tblStyle w:val="AERtable-numbers"/>
        <w:tblW w:w="0" w:type="auto"/>
        <w:tblLook w:val="04A0" w:firstRow="1" w:lastRow="0" w:firstColumn="1" w:lastColumn="0" w:noHBand="0" w:noVBand="1"/>
      </w:tblPr>
      <w:tblGrid>
        <w:gridCol w:w="959"/>
        <w:gridCol w:w="2835"/>
        <w:gridCol w:w="1559"/>
        <w:gridCol w:w="1559"/>
        <w:gridCol w:w="1781"/>
      </w:tblGrid>
      <w:tr w:rsidR="003A0DE5" w:rsidTr="00EA2B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A0DE5" w:rsidRPr="006F0672" w:rsidRDefault="003A0DE5" w:rsidP="003A0DE5"/>
        </w:tc>
        <w:tc>
          <w:tcPr>
            <w:tcW w:w="2835" w:type="dxa"/>
            <w:vAlign w:val="top"/>
          </w:tcPr>
          <w:p w:rsidR="003A0DE5" w:rsidRPr="003A0DE5" w:rsidRDefault="003A0DE5" w:rsidP="003A0DE5">
            <w:pPr>
              <w:cnfStyle w:val="100000000000" w:firstRow="1" w:lastRow="0" w:firstColumn="0" w:lastColumn="0" w:oddVBand="0" w:evenVBand="0" w:oddHBand="0" w:evenHBand="0" w:firstRowFirstColumn="0" w:firstRowLastColumn="0" w:lastRowFirstColumn="0" w:lastRowLastColumn="0"/>
            </w:pPr>
            <w:r w:rsidRPr="006F0672">
              <w:t>Forecast approach</w:t>
            </w:r>
          </w:p>
        </w:tc>
        <w:tc>
          <w:tcPr>
            <w:tcW w:w="1559" w:type="dxa"/>
            <w:vAlign w:val="top"/>
          </w:tcPr>
          <w:p w:rsidR="003A0DE5" w:rsidRPr="003A0DE5" w:rsidRDefault="003A0DE5" w:rsidP="003A0DE5">
            <w:pPr>
              <w:cnfStyle w:val="100000000000" w:firstRow="1" w:lastRow="0" w:firstColumn="0" w:lastColumn="0" w:oddVBand="0" w:evenVBand="0" w:oddHBand="0" w:evenHBand="0" w:firstRowFirstColumn="0" w:firstRowLastColumn="0" w:lastRowFirstColumn="0" w:lastRowLastColumn="0"/>
            </w:pPr>
            <w:r w:rsidRPr="006F0672">
              <w:t xml:space="preserve">Impact on 5 year </w:t>
            </w:r>
            <w:r w:rsidRPr="003A0DE5">
              <w:t>opex forecast  $m</w:t>
            </w:r>
          </w:p>
        </w:tc>
        <w:tc>
          <w:tcPr>
            <w:tcW w:w="1559" w:type="dxa"/>
            <w:vAlign w:val="top"/>
          </w:tcPr>
          <w:p w:rsidR="003A0DE5" w:rsidRPr="003A0DE5" w:rsidRDefault="003A0DE5" w:rsidP="003A0DE5">
            <w:pPr>
              <w:cnfStyle w:val="100000000000" w:firstRow="1" w:lastRow="0" w:firstColumn="0" w:lastColumn="0" w:oddVBand="0" w:evenVBand="0" w:oddHBand="0" w:evenHBand="0" w:firstRowFirstColumn="0" w:firstRowLastColumn="0" w:lastRowFirstColumn="0" w:lastRowLastColumn="0"/>
            </w:pPr>
            <w:r w:rsidRPr="006F0672">
              <w:t>Increase on base opex forecast</w:t>
            </w:r>
            <w:r w:rsidRPr="003A0DE5">
              <w:t>,    per cent</w:t>
            </w:r>
          </w:p>
        </w:tc>
        <w:tc>
          <w:tcPr>
            <w:tcW w:w="1781" w:type="dxa"/>
            <w:vAlign w:val="top"/>
          </w:tcPr>
          <w:p w:rsidR="003A0DE5" w:rsidRPr="003A0DE5" w:rsidRDefault="003A0DE5" w:rsidP="003A0DE5">
            <w:pPr>
              <w:cnfStyle w:val="100000000000" w:firstRow="1" w:lastRow="0" w:firstColumn="0" w:lastColumn="0" w:oddVBand="0" w:evenVBand="0" w:oddHBand="0" w:evenHBand="0" w:firstRowFirstColumn="0" w:firstRowLastColumn="0" w:lastRowFirstColumn="0" w:lastRowLastColumn="0"/>
            </w:pPr>
            <w:r w:rsidRPr="006F0672">
              <w:t>Proposed average annual growth rate</w:t>
            </w:r>
            <w:r w:rsidRPr="003A0DE5">
              <w:t>,        per cent</w:t>
            </w:r>
          </w:p>
        </w:tc>
      </w:tr>
      <w:tr w:rsidR="003A0DE5" w:rsidRPr="006B2C33" w:rsidTr="00EA2BA0">
        <w:tc>
          <w:tcPr>
            <w:cnfStyle w:val="001000000000" w:firstRow="0" w:lastRow="0" w:firstColumn="1" w:lastColumn="0" w:oddVBand="0" w:evenVBand="0" w:oddHBand="0" w:evenHBand="0" w:firstRowFirstColumn="0" w:firstRowLastColumn="0" w:lastRowFirstColumn="0" w:lastRowLastColumn="0"/>
            <w:tcW w:w="959" w:type="dxa"/>
          </w:tcPr>
          <w:p w:rsidR="003A0DE5" w:rsidRPr="003A0DE5" w:rsidRDefault="003A0DE5" w:rsidP="00983F6D">
            <w:r w:rsidRPr="006F0672">
              <w:t xml:space="preserve">AusNet </w:t>
            </w:r>
          </w:p>
        </w:tc>
        <w:tc>
          <w:tcPr>
            <w:tcW w:w="2835" w:type="dxa"/>
            <w:vAlign w:val="top"/>
          </w:tcPr>
          <w:p w:rsidR="003A0DE5" w:rsidRPr="003A0DE5" w:rsidRDefault="003A0DE5" w:rsidP="003A0DE5">
            <w:pPr>
              <w:cnfStyle w:val="000000000000" w:firstRow="0" w:lastRow="0" w:firstColumn="0" w:lastColumn="0" w:oddVBand="0" w:evenVBand="0" w:oddHBand="0" w:evenHBand="0" w:firstRowFirstColumn="0" w:firstRowLastColumn="0" w:lastRowFirstColumn="0" w:lastRowLastColumn="0"/>
            </w:pPr>
            <w:r w:rsidRPr="006F0672">
              <w:t>Customer numbers 45</w:t>
            </w:r>
            <w:r w:rsidRPr="003A0DE5">
              <w:t xml:space="preserve"> per cent, </w:t>
            </w:r>
            <w:r w:rsidRPr="003A0DE5">
              <w:br/>
              <w:t>gas throughput 55 per cent</w:t>
            </w:r>
          </w:p>
        </w:tc>
        <w:tc>
          <w:tcPr>
            <w:tcW w:w="1559" w:type="dxa"/>
            <w:vAlign w:val="top"/>
          </w:tcPr>
          <w:p w:rsidR="003A0DE5" w:rsidRPr="003A0DE5" w:rsidRDefault="003A0DE5" w:rsidP="003A0DE5">
            <w:pPr>
              <w:cnfStyle w:val="000000000000" w:firstRow="0" w:lastRow="0" w:firstColumn="0" w:lastColumn="0" w:oddVBand="0" w:evenVBand="0" w:oddHBand="0" w:evenHBand="0" w:firstRowFirstColumn="0" w:firstRowLastColumn="0" w:lastRowFirstColumn="0" w:lastRowLastColumn="0"/>
            </w:pPr>
            <w:r w:rsidRPr="006F0672">
              <w:t xml:space="preserve">10.4 </w:t>
            </w:r>
          </w:p>
        </w:tc>
        <w:tc>
          <w:tcPr>
            <w:tcW w:w="1559" w:type="dxa"/>
            <w:vAlign w:val="top"/>
          </w:tcPr>
          <w:p w:rsidR="003A0DE5" w:rsidRPr="003A0DE5" w:rsidRDefault="003A0DE5" w:rsidP="003A0DE5">
            <w:pPr>
              <w:cnfStyle w:val="000000000000" w:firstRow="0" w:lastRow="0" w:firstColumn="0" w:lastColumn="0" w:oddVBand="0" w:evenVBand="0" w:oddHBand="0" w:evenHBand="0" w:firstRowFirstColumn="0" w:firstRowLastColumn="0" w:lastRowFirstColumn="0" w:lastRowLastColumn="0"/>
            </w:pPr>
            <w:r w:rsidRPr="006F0672">
              <w:t xml:space="preserve">4.0 </w:t>
            </w:r>
          </w:p>
        </w:tc>
        <w:tc>
          <w:tcPr>
            <w:tcW w:w="1781" w:type="dxa"/>
            <w:vAlign w:val="top"/>
          </w:tcPr>
          <w:p w:rsidR="003A0DE5" w:rsidRPr="003A0DE5" w:rsidRDefault="003A0DE5" w:rsidP="009A1603">
            <w:pPr>
              <w:cnfStyle w:val="000000000000" w:firstRow="0" w:lastRow="0" w:firstColumn="0" w:lastColumn="0" w:oddVBand="0" w:evenVBand="0" w:oddHBand="0" w:evenHBand="0" w:firstRowFirstColumn="0" w:firstRowLastColumn="0" w:lastRowFirstColumn="0" w:lastRowLastColumn="0"/>
            </w:pPr>
            <w:r w:rsidRPr="006F0672">
              <w:t>1.2</w:t>
            </w:r>
            <w:r w:rsidR="009A1603">
              <w:t>8</w:t>
            </w:r>
            <w:r w:rsidRPr="006F0672">
              <w:t xml:space="preserve"> </w:t>
            </w:r>
          </w:p>
        </w:tc>
      </w:tr>
      <w:tr w:rsidR="00000C21" w:rsidRPr="005C569B" w:rsidTr="00F263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000C21" w:rsidRPr="00000C21" w:rsidRDefault="00000C21" w:rsidP="00000C21">
            <w:pPr>
              <w:rPr>
                <w:rStyle w:val="Strong"/>
              </w:rPr>
            </w:pPr>
            <w:r w:rsidRPr="005C569B">
              <w:rPr>
                <w:rStyle w:val="Strong"/>
              </w:rPr>
              <w:t>Multinet</w:t>
            </w:r>
          </w:p>
        </w:tc>
        <w:tc>
          <w:tcPr>
            <w:tcW w:w="2835" w:type="dxa"/>
            <w:vAlign w:val="top"/>
          </w:tcPr>
          <w:p w:rsidR="00000C21" w:rsidRPr="00000C21" w:rsidRDefault="00000C21" w:rsidP="00000C21">
            <w:pPr>
              <w:cnfStyle w:val="000000010000" w:firstRow="0" w:lastRow="0" w:firstColumn="0" w:lastColumn="0" w:oddVBand="0" w:evenVBand="0" w:oddHBand="0" w:evenHBand="1" w:firstRowFirstColumn="0" w:firstRowLastColumn="0" w:lastRowFirstColumn="0" w:lastRowLastColumn="0"/>
              <w:rPr>
                <w:rStyle w:val="Strong"/>
              </w:rPr>
            </w:pPr>
            <w:r w:rsidRPr="005C569B">
              <w:rPr>
                <w:rStyle w:val="Strong"/>
              </w:rPr>
              <w:t>Customer numbers 45</w:t>
            </w:r>
            <w:r w:rsidRPr="00000C21">
              <w:rPr>
                <w:rStyle w:val="Strong"/>
              </w:rPr>
              <w:t xml:space="preserve"> per cent, </w:t>
            </w:r>
            <w:r w:rsidRPr="00000C21">
              <w:rPr>
                <w:rStyle w:val="Strong"/>
              </w:rPr>
              <w:br/>
              <w:t>pipeline length 55 per cent</w:t>
            </w:r>
          </w:p>
        </w:tc>
        <w:tc>
          <w:tcPr>
            <w:tcW w:w="1559" w:type="dxa"/>
            <w:vAlign w:val="top"/>
          </w:tcPr>
          <w:p w:rsidR="00000C21" w:rsidRPr="00000C21" w:rsidRDefault="00000C21" w:rsidP="00000C21">
            <w:pPr>
              <w:cnfStyle w:val="000000010000" w:firstRow="0" w:lastRow="0" w:firstColumn="0" w:lastColumn="0" w:oddVBand="0" w:evenVBand="0" w:oddHBand="0" w:evenHBand="1" w:firstRowFirstColumn="0" w:firstRowLastColumn="0" w:lastRowFirstColumn="0" w:lastRowLastColumn="0"/>
              <w:rPr>
                <w:rStyle w:val="Strong"/>
              </w:rPr>
            </w:pPr>
            <w:r w:rsidRPr="005C569B">
              <w:rPr>
                <w:rStyle w:val="Strong"/>
              </w:rPr>
              <w:t>7.2</w:t>
            </w:r>
          </w:p>
        </w:tc>
        <w:tc>
          <w:tcPr>
            <w:tcW w:w="1559" w:type="dxa"/>
            <w:vAlign w:val="top"/>
          </w:tcPr>
          <w:p w:rsidR="00000C21" w:rsidRPr="00000C21" w:rsidRDefault="00000C21" w:rsidP="00000C21">
            <w:pPr>
              <w:cnfStyle w:val="000000010000" w:firstRow="0" w:lastRow="0" w:firstColumn="0" w:lastColumn="0" w:oddVBand="0" w:evenVBand="0" w:oddHBand="0" w:evenHBand="1" w:firstRowFirstColumn="0" w:firstRowLastColumn="0" w:lastRowFirstColumn="0" w:lastRowLastColumn="0"/>
              <w:rPr>
                <w:rStyle w:val="Strong"/>
              </w:rPr>
            </w:pPr>
            <w:r w:rsidRPr="005C569B">
              <w:rPr>
                <w:rStyle w:val="Strong"/>
              </w:rPr>
              <w:t>2.0</w:t>
            </w:r>
          </w:p>
        </w:tc>
        <w:tc>
          <w:tcPr>
            <w:tcW w:w="1781" w:type="dxa"/>
            <w:vAlign w:val="top"/>
          </w:tcPr>
          <w:p w:rsidR="00000C21" w:rsidRPr="00000C21" w:rsidRDefault="00000C21" w:rsidP="00000C21">
            <w:pPr>
              <w:cnfStyle w:val="000000010000" w:firstRow="0" w:lastRow="0" w:firstColumn="0" w:lastColumn="0" w:oddVBand="0" w:evenVBand="0" w:oddHBand="0" w:evenHBand="1" w:firstRowFirstColumn="0" w:firstRowLastColumn="0" w:lastRowFirstColumn="0" w:lastRowLastColumn="0"/>
              <w:rPr>
                <w:rStyle w:val="Strong"/>
              </w:rPr>
            </w:pPr>
            <w:r w:rsidRPr="005C569B">
              <w:rPr>
                <w:rStyle w:val="Strong"/>
              </w:rPr>
              <w:t>0.65</w:t>
            </w:r>
          </w:p>
        </w:tc>
      </w:tr>
      <w:tr w:rsidR="003A0DE5" w:rsidRPr="006B2C33" w:rsidTr="00EA2BA0">
        <w:tc>
          <w:tcPr>
            <w:cnfStyle w:val="001000000000" w:firstRow="0" w:lastRow="0" w:firstColumn="1" w:lastColumn="0" w:oddVBand="0" w:evenVBand="0" w:oddHBand="0" w:evenHBand="0" w:firstRowFirstColumn="0" w:firstRowLastColumn="0" w:lastRowFirstColumn="0" w:lastRowLastColumn="0"/>
            <w:tcW w:w="959" w:type="dxa"/>
          </w:tcPr>
          <w:p w:rsidR="003A0DE5" w:rsidRPr="003A0DE5" w:rsidRDefault="003A0DE5" w:rsidP="003A0DE5">
            <w:r w:rsidRPr="006F0672">
              <w:t>AGN</w:t>
            </w:r>
          </w:p>
        </w:tc>
        <w:tc>
          <w:tcPr>
            <w:tcW w:w="2835" w:type="dxa"/>
            <w:vAlign w:val="top"/>
          </w:tcPr>
          <w:p w:rsidR="003A0DE5" w:rsidRPr="003A0DE5" w:rsidRDefault="003A0DE5" w:rsidP="003A0DE5">
            <w:pPr>
              <w:cnfStyle w:val="000000000000" w:firstRow="0" w:lastRow="0" w:firstColumn="0" w:lastColumn="0" w:oddVBand="0" w:evenVBand="0" w:oddHBand="0" w:evenHBand="0" w:firstRowFirstColumn="0" w:firstRowLastColumn="0" w:lastRowFirstColumn="0" w:lastRowLastColumn="0"/>
            </w:pPr>
            <w:r w:rsidRPr="006F0672">
              <w:t>Customer numbers times cost per new customer</w:t>
            </w:r>
          </w:p>
        </w:tc>
        <w:tc>
          <w:tcPr>
            <w:tcW w:w="1559" w:type="dxa"/>
            <w:vAlign w:val="top"/>
          </w:tcPr>
          <w:p w:rsidR="003A0DE5" w:rsidRPr="003A0DE5" w:rsidRDefault="003A0DE5" w:rsidP="003A0DE5">
            <w:pPr>
              <w:cnfStyle w:val="000000000000" w:firstRow="0" w:lastRow="0" w:firstColumn="0" w:lastColumn="0" w:oddVBand="0" w:evenVBand="0" w:oddHBand="0" w:evenHBand="0" w:firstRowFirstColumn="0" w:firstRowLastColumn="0" w:lastRowFirstColumn="0" w:lastRowLastColumn="0"/>
            </w:pPr>
            <w:r w:rsidRPr="006F0672">
              <w:t>4.0</w:t>
            </w:r>
          </w:p>
        </w:tc>
        <w:tc>
          <w:tcPr>
            <w:tcW w:w="1559" w:type="dxa"/>
            <w:vAlign w:val="top"/>
          </w:tcPr>
          <w:p w:rsidR="003A0DE5" w:rsidRPr="003A0DE5" w:rsidRDefault="003A0DE5" w:rsidP="003A0DE5">
            <w:pPr>
              <w:cnfStyle w:val="000000000000" w:firstRow="0" w:lastRow="0" w:firstColumn="0" w:lastColumn="0" w:oddVBand="0" w:evenVBand="0" w:oddHBand="0" w:evenHBand="0" w:firstRowFirstColumn="0" w:firstRowLastColumn="0" w:lastRowFirstColumn="0" w:lastRowLastColumn="0"/>
            </w:pPr>
            <w:r w:rsidRPr="006F0672">
              <w:t>1.2</w:t>
            </w:r>
          </w:p>
        </w:tc>
        <w:tc>
          <w:tcPr>
            <w:tcW w:w="1781" w:type="dxa"/>
            <w:vAlign w:val="top"/>
          </w:tcPr>
          <w:p w:rsidR="003A0DE5" w:rsidRPr="003A0DE5" w:rsidRDefault="003A0DE5" w:rsidP="00F263F5">
            <w:pPr>
              <w:cnfStyle w:val="000000000000" w:firstRow="0" w:lastRow="0" w:firstColumn="0" w:lastColumn="0" w:oddVBand="0" w:evenVBand="0" w:oddHBand="0" w:evenHBand="0" w:firstRowFirstColumn="0" w:firstRowLastColumn="0" w:lastRowFirstColumn="0" w:lastRowLastColumn="0"/>
            </w:pPr>
            <w:r w:rsidRPr="006F0672">
              <w:t>0.</w:t>
            </w:r>
            <w:r w:rsidR="00F263F5">
              <w:t>43</w:t>
            </w:r>
          </w:p>
        </w:tc>
      </w:tr>
    </w:tbl>
    <w:p w:rsidR="003A0DE5" w:rsidRDefault="003A0DE5" w:rsidP="00DC1F94">
      <w:pPr>
        <w:pStyle w:val="Source"/>
      </w:pPr>
      <w:r w:rsidRPr="006F0672">
        <w:t>Source: Victorian gas access arrangement proposals.</w:t>
      </w:r>
    </w:p>
    <w:p w:rsidR="008A1A9F" w:rsidRDefault="008A1A9F" w:rsidP="008A1A9F">
      <w:r w:rsidRPr="008B396C">
        <w:t xml:space="preserve">We </w:t>
      </w:r>
      <w:r>
        <w:t>typically</w:t>
      </w:r>
      <w:r w:rsidRPr="008B396C">
        <w:t xml:space="preserve"> forecast output growth based on the forecast growth in a defined output measure</w:t>
      </w:r>
      <w:r>
        <w:t>,</w:t>
      </w:r>
      <w:r w:rsidRPr="008B396C">
        <w:t xml:space="preserve"> </w:t>
      </w:r>
      <w:r>
        <w:t>using</w:t>
      </w:r>
      <w:r w:rsidRPr="008B396C">
        <w:t xml:space="preserve"> econometric modelling. </w:t>
      </w:r>
      <w:r>
        <w:t xml:space="preserve">However, </w:t>
      </w:r>
      <w:r>
        <w:rPr>
          <w:rStyle w:val="AERbody"/>
        </w:rPr>
        <w:t xml:space="preserve">we </w:t>
      </w:r>
      <w:r w:rsidRPr="008B396C">
        <w:t>do not have the necessary dataset for gas to undertake the modelling needed to determine a standard industry output specification</w:t>
      </w:r>
      <w:r>
        <w:t xml:space="preserve">. Therefore, </w:t>
      </w:r>
      <w:r>
        <w:rPr>
          <w:rStyle w:val="AERbody"/>
        </w:rPr>
        <w:t xml:space="preserve">we developed a test to determine whether the network businesses' forecast method provides a reasonable forecast </w:t>
      </w:r>
      <w:r w:rsidR="00674AC1">
        <w:rPr>
          <w:rStyle w:val="AERbody"/>
        </w:rPr>
        <w:t xml:space="preserve">of </w:t>
      </w:r>
      <w:r>
        <w:rPr>
          <w:rStyle w:val="AERbody"/>
        </w:rPr>
        <w:t xml:space="preserve">output growth. </w:t>
      </w:r>
      <w:r w:rsidR="0044402E">
        <w:rPr>
          <w:rStyle w:val="AERbody"/>
        </w:rPr>
        <w:t>Our test established</w:t>
      </w:r>
      <w:r>
        <w:rPr>
          <w:rStyle w:val="AERbody"/>
        </w:rPr>
        <w:t xml:space="preserve"> an acceptable range </w:t>
      </w:r>
      <w:r>
        <w:t>of forecast output growth based on cost functions estimated by Economic Insights</w:t>
      </w:r>
      <w:r>
        <w:rPr>
          <w:rStyle w:val="FootnoteReference"/>
        </w:rPr>
        <w:footnoteReference w:id="40"/>
      </w:r>
      <w:r>
        <w:t xml:space="preserve"> and ACIL Allen</w:t>
      </w:r>
      <w:r w:rsidR="00780B6E">
        <w:t>.</w:t>
      </w:r>
      <w:r>
        <w:rPr>
          <w:rStyle w:val="FootnoteReference"/>
        </w:rPr>
        <w:footnoteReference w:id="41"/>
      </w:r>
      <w:r>
        <w:t xml:space="preserve"> We consider this approach</w:t>
      </w:r>
      <w:r w:rsidRPr="00057BD0">
        <w:t xml:space="preserve"> </w:t>
      </w:r>
      <w:r>
        <w:t>uses the best information available to provide a reasonable basis on which to establish an acceptable range.</w:t>
      </w:r>
    </w:p>
    <w:p w:rsidR="003828B9" w:rsidRDefault="003828B9" w:rsidP="003828B9">
      <w:r>
        <w:fldChar w:fldCharType="begin"/>
      </w:r>
      <w:r>
        <w:instrText xml:space="preserve"> REF _Ref483322571 \h </w:instrText>
      </w:r>
      <w:r>
        <w:fldChar w:fldCharType="separate"/>
      </w:r>
      <w:r w:rsidR="009270AF" w:rsidRPr="000B5931">
        <w:t xml:space="preserve">Table </w:t>
      </w:r>
      <w:r w:rsidR="009270AF">
        <w:rPr>
          <w:noProof/>
        </w:rPr>
        <w:t>7</w:t>
      </w:r>
      <w:r w:rsidR="009270AF">
        <w:t>.</w:t>
      </w:r>
      <w:r w:rsidR="009270AF">
        <w:rPr>
          <w:noProof/>
        </w:rPr>
        <w:t>6</w:t>
      </w:r>
      <w:r>
        <w:fldChar w:fldCharType="end"/>
      </w:r>
      <w:r w:rsidRPr="000B5931">
        <w:t xml:space="preserve"> </w:t>
      </w:r>
      <w:r>
        <w:t>shows Multinet's proposed output growth falls in the middle of</w:t>
      </w:r>
      <w:r w:rsidRPr="000B5931">
        <w:t xml:space="preserve"> the range.</w:t>
      </w:r>
      <w:r>
        <w:t xml:space="preserve"> On this basis, w</w:t>
      </w:r>
      <w:r w:rsidRPr="00234E62">
        <w:t xml:space="preserve">e are satisfied </w:t>
      </w:r>
      <w:r>
        <w:t>its proposed</w:t>
      </w:r>
      <w:r w:rsidRPr="00234E62">
        <w:t xml:space="preserve"> </w:t>
      </w:r>
      <w:r w:rsidRPr="00855C1E">
        <w:t xml:space="preserve">forecast </w:t>
      </w:r>
      <w:r>
        <w:t>average annual output growth, net of productivity growth,</w:t>
      </w:r>
      <w:r w:rsidRPr="00855C1E">
        <w:t xml:space="preserve"> of </w:t>
      </w:r>
      <w:r>
        <w:t>0.</w:t>
      </w:r>
      <w:r w:rsidR="009A1603">
        <w:t>6</w:t>
      </w:r>
      <w:r w:rsidRPr="00855C1E">
        <w:t xml:space="preserve"> per cent </w:t>
      </w:r>
      <w:r>
        <w:t>meets the NGR requirements.</w:t>
      </w:r>
      <w:r w:rsidRPr="00234E62" w:rsidDel="005F560F">
        <w:t xml:space="preserve"> </w:t>
      </w:r>
    </w:p>
    <w:p w:rsidR="003828B9" w:rsidRPr="000B5931" w:rsidRDefault="003828B9" w:rsidP="003828B9">
      <w:pPr>
        <w:pStyle w:val="Caption"/>
      </w:pPr>
      <w:bookmarkStart w:id="110" w:name="_Ref483322571"/>
      <w:r w:rsidRPr="000B5931">
        <w:t xml:space="preserve">Table </w:t>
      </w:r>
      <w:r w:rsidRPr="003828B9">
        <w:fldChar w:fldCharType="begin"/>
      </w:r>
      <w:r>
        <w:instrText xml:space="preserve"> STYLEREF 1 \s </w:instrText>
      </w:r>
      <w:r w:rsidRPr="003828B9">
        <w:fldChar w:fldCharType="separate"/>
      </w:r>
      <w:r w:rsidR="009270AF">
        <w:rPr>
          <w:noProof/>
        </w:rPr>
        <w:t>7</w:t>
      </w:r>
      <w:r w:rsidRPr="003828B9">
        <w:fldChar w:fldCharType="end"/>
      </w:r>
      <w:r>
        <w:t>.</w:t>
      </w:r>
      <w:fldSimple w:instr=" SEQ Table \* ARABIC \s 1 ">
        <w:r w:rsidR="009270AF">
          <w:rPr>
            <w:noProof/>
          </w:rPr>
          <w:t>6</w:t>
        </w:r>
      </w:fldSimple>
      <w:bookmarkEnd w:id="110"/>
      <w:r w:rsidRPr="000B5931">
        <w:tab/>
        <w:t xml:space="preserve">Comparison of </w:t>
      </w:r>
      <w:r w:rsidR="0044402E">
        <w:t>Multinet's</w:t>
      </w:r>
      <w:r w:rsidRPr="000B5931">
        <w:t xml:space="preserve"> forecast output growth with the reasonable range</w:t>
      </w:r>
      <w:r>
        <w:t xml:space="preserve"> of output growth net of productivity</w:t>
      </w:r>
    </w:p>
    <w:tbl>
      <w:tblPr>
        <w:tblStyle w:val="AERtable-numbers"/>
        <w:tblW w:w="0" w:type="auto"/>
        <w:tblLook w:val="04A0" w:firstRow="1" w:lastRow="0" w:firstColumn="1" w:lastColumn="0" w:noHBand="0" w:noVBand="1"/>
      </w:tblPr>
      <w:tblGrid>
        <w:gridCol w:w="1809"/>
        <w:gridCol w:w="1843"/>
        <w:gridCol w:w="2410"/>
        <w:gridCol w:w="2631"/>
      </w:tblGrid>
      <w:tr w:rsidR="003828B9" w:rsidTr="00F26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828B9" w:rsidRPr="000B5931" w:rsidRDefault="003828B9" w:rsidP="003828B9"/>
        </w:tc>
        <w:tc>
          <w:tcPr>
            <w:tcW w:w="1843" w:type="dxa"/>
          </w:tcPr>
          <w:p w:rsidR="003828B9" w:rsidRPr="003828B9" w:rsidRDefault="003828B9" w:rsidP="003828B9">
            <w:pPr>
              <w:cnfStyle w:val="100000000000" w:firstRow="1" w:lastRow="0" w:firstColumn="0" w:lastColumn="0" w:oddVBand="0" w:evenVBand="0" w:oddHBand="0" w:evenHBand="0" w:firstRowFirstColumn="0" w:firstRowLastColumn="0" w:lastRowFirstColumn="0" w:lastRowLastColumn="0"/>
            </w:pPr>
            <w:r w:rsidRPr="000B5931">
              <w:t>Proposed average annual growth rate</w:t>
            </w:r>
            <w:r w:rsidRPr="003828B9">
              <w:t>,       per cent</w:t>
            </w:r>
          </w:p>
        </w:tc>
        <w:tc>
          <w:tcPr>
            <w:tcW w:w="2410" w:type="dxa"/>
          </w:tcPr>
          <w:p w:rsidR="003828B9" w:rsidRPr="003828B9" w:rsidRDefault="003828B9" w:rsidP="003828B9">
            <w:pPr>
              <w:cnfStyle w:val="100000000000" w:firstRow="1" w:lastRow="0" w:firstColumn="0" w:lastColumn="0" w:oddVBand="0" w:evenVBand="0" w:oddHBand="0" w:evenHBand="0" w:firstRowFirstColumn="0" w:firstRowLastColumn="0" w:lastRowFirstColumn="0" w:lastRowLastColumn="0"/>
            </w:pPr>
            <w:r w:rsidRPr="000B5931">
              <w:t>Reasonable range, average annual growth rate</w:t>
            </w:r>
            <w:r w:rsidRPr="003828B9">
              <w:t>,               per cent</w:t>
            </w:r>
          </w:p>
        </w:tc>
        <w:tc>
          <w:tcPr>
            <w:tcW w:w="2631" w:type="dxa"/>
          </w:tcPr>
          <w:p w:rsidR="003828B9" w:rsidRPr="003828B9" w:rsidRDefault="003828B9" w:rsidP="003828B9">
            <w:pPr>
              <w:cnfStyle w:val="100000000000" w:firstRow="1" w:lastRow="0" w:firstColumn="0" w:lastColumn="0" w:oddVBand="0" w:evenVBand="0" w:oddHBand="0" w:evenHBand="0" w:firstRowFirstColumn="0" w:firstRowLastColumn="0" w:lastRowFirstColumn="0" w:lastRowLastColumn="0"/>
            </w:pPr>
            <w:r w:rsidRPr="000B5931">
              <w:t xml:space="preserve">Assessment                            </w:t>
            </w:r>
          </w:p>
        </w:tc>
      </w:tr>
      <w:tr w:rsidR="003828B9" w:rsidRPr="004E4781" w:rsidTr="00F263F5">
        <w:tc>
          <w:tcPr>
            <w:cnfStyle w:val="001000000000" w:firstRow="0" w:lastRow="0" w:firstColumn="1" w:lastColumn="0" w:oddVBand="0" w:evenVBand="0" w:oddHBand="0" w:evenHBand="0" w:firstRowFirstColumn="0" w:firstRowLastColumn="0" w:lastRowFirstColumn="0" w:lastRowLastColumn="0"/>
            <w:tcW w:w="1809" w:type="dxa"/>
          </w:tcPr>
          <w:p w:rsidR="003828B9" w:rsidRPr="004E4781" w:rsidRDefault="003828B9" w:rsidP="003828B9">
            <w:pPr>
              <w:rPr>
                <w:rStyle w:val="Strong"/>
              </w:rPr>
            </w:pPr>
            <w:r w:rsidRPr="004E4781">
              <w:rPr>
                <w:rStyle w:val="Strong"/>
              </w:rPr>
              <w:t>Multinet</w:t>
            </w:r>
          </w:p>
        </w:tc>
        <w:tc>
          <w:tcPr>
            <w:tcW w:w="1843" w:type="dxa"/>
          </w:tcPr>
          <w:p w:rsidR="003828B9" w:rsidRPr="004E4781" w:rsidRDefault="003828B9" w:rsidP="003828B9">
            <w:pPr>
              <w:cnfStyle w:val="000000000000" w:firstRow="0" w:lastRow="0" w:firstColumn="0" w:lastColumn="0" w:oddVBand="0" w:evenVBand="0" w:oddHBand="0" w:evenHBand="0" w:firstRowFirstColumn="0" w:firstRowLastColumn="0" w:lastRowFirstColumn="0" w:lastRowLastColumn="0"/>
              <w:rPr>
                <w:rStyle w:val="Strong"/>
              </w:rPr>
            </w:pPr>
            <w:r w:rsidRPr="004E4781">
              <w:rPr>
                <w:rStyle w:val="Strong"/>
              </w:rPr>
              <w:t>0.65</w:t>
            </w:r>
          </w:p>
        </w:tc>
        <w:tc>
          <w:tcPr>
            <w:tcW w:w="2410" w:type="dxa"/>
          </w:tcPr>
          <w:p w:rsidR="003828B9" w:rsidRPr="004E4781" w:rsidRDefault="003828B9" w:rsidP="003828B9">
            <w:pPr>
              <w:cnfStyle w:val="000000000000" w:firstRow="0" w:lastRow="0" w:firstColumn="0" w:lastColumn="0" w:oddVBand="0" w:evenVBand="0" w:oddHBand="0" w:evenHBand="0" w:firstRowFirstColumn="0" w:firstRowLastColumn="0" w:lastRowFirstColumn="0" w:lastRowLastColumn="0"/>
              <w:rPr>
                <w:rStyle w:val="Strong"/>
              </w:rPr>
            </w:pPr>
            <w:r w:rsidRPr="004E4781">
              <w:rPr>
                <w:rStyle w:val="Strong"/>
              </w:rPr>
              <w:t>–0.45 to 1.06</w:t>
            </w:r>
          </w:p>
        </w:tc>
        <w:tc>
          <w:tcPr>
            <w:tcW w:w="2631" w:type="dxa"/>
          </w:tcPr>
          <w:p w:rsidR="003828B9" w:rsidRPr="004E4781" w:rsidRDefault="003828B9" w:rsidP="003828B9">
            <w:pPr>
              <w:cnfStyle w:val="000000000000" w:firstRow="0" w:lastRow="0" w:firstColumn="0" w:lastColumn="0" w:oddVBand="0" w:evenVBand="0" w:oddHBand="0" w:evenHBand="0" w:firstRowFirstColumn="0" w:firstRowLastColumn="0" w:lastRowFirstColumn="0" w:lastRowLastColumn="0"/>
              <w:rPr>
                <w:rStyle w:val="Strong"/>
              </w:rPr>
            </w:pPr>
            <w:r w:rsidRPr="004E4781">
              <w:rPr>
                <w:rStyle w:val="Strong"/>
              </w:rPr>
              <w:t>Reasonable</w:t>
            </w:r>
          </w:p>
        </w:tc>
      </w:tr>
    </w:tbl>
    <w:p w:rsidR="003828B9" w:rsidRDefault="003828B9" w:rsidP="003828B9">
      <w:pPr>
        <w:pStyle w:val="Source"/>
      </w:pPr>
      <w:r>
        <w:t>Source: AER analysis.</w:t>
      </w:r>
    </w:p>
    <w:p w:rsidR="00B12CD8" w:rsidRDefault="003828B9" w:rsidP="00B12CD8">
      <w:r>
        <w:t>While we are satisfied that Multinet's forecast meets the NGR requirements, w</w:t>
      </w:r>
      <w:r w:rsidR="00355CFB">
        <w:t>e</w:t>
      </w:r>
      <w:r w:rsidR="00B8246D">
        <w:t xml:space="preserve"> </w:t>
      </w:r>
      <w:r w:rsidR="00355CFB">
        <w:t xml:space="preserve">identified </w:t>
      </w:r>
      <w:r w:rsidR="00B8246D">
        <w:t xml:space="preserve">concerns </w:t>
      </w:r>
      <w:r w:rsidR="00422BC0">
        <w:t xml:space="preserve">with </w:t>
      </w:r>
      <w:r w:rsidR="00E37FCA">
        <w:t>the method Multinet used to forecast output and productivity growth.</w:t>
      </w:r>
      <w:r w:rsidR="00B8246D">
        <w:t xml:space="preserve"> </w:t>
      </w:r>
    </w:p>
    <w:p w:rsidR="00780B6E" w:rsidRDefault="00780B6E" w:rsidP="00B12CD8"/>
    <w:p w:rsidR="00EA2BA0" w:rsidRDefault="00EA2BA0" w:rsidP="00EA2BA0">
      <w:pPr>
        <w:pStyle w:val="HeadingBoldItalic"/>
      </w:pPr>
      <w:r>
        <w:t>Output specifications</w:t>
      </w:r>
    </w:p>
    <w:p w:rsidR="00B12CD8" w:rsidRPr="00B12CD8" w:rsidRDefault="00B12CD8" w:rsidP="00B12CD8">
      <w:r w:rsidRPr="00B12CD8">
        <w:t xml:space="preserve">Multinet engaged </w:t>
      </w:r>
      <w:r>
        <w:t>Economic Insights</w:t>
      </w:r>
      <w:r w:rsidRPr="00B12CD8">
        <w:t xml:space="preserve"> to </w:t>
      </w:r>
      <w:r w:rsidR="003B0AA7">
        <w:t>estimate</w:t>
      </w:r>
      <w:r w:rsidRPr="00B12CD8">
        <w:t xml:space="preserve"> the opex cost function for gas distributors</w:t>
      </w:r>
      <w:r w:rsidR="003B0AA7">
        <w:t xml:space="preserve"> using econometrics. </w:t>
      </w:r>
      <w:r>
        <w:t>Economic Insights</w:t>
      </w:r>
      <w:r w:rsidRPr="00B12CD8">
        <w:t xml:space="preserve"> concluded:</w:t>
      </w:r>
    </w:p>
    <w:p w:rsidR="003B0AA7" w:rsidRPr="00B12CD8" w:rsidRDefault="00B12CD8" w:rsidP="003B0AA7">
      <w:pPr>
        <w:pStyle w:val="AERbulletlistfirststyle"/>
      </w:pPr>
      <w:r w:rsidRPr="00B12CD8">
        <w:t>network length and customer numbers are statistically s</w:t>
      </w:r>
      <w:r w:rsidR="004E4781">
        <w:t>ignificant determinants of opex</w:t>
      </w:r>
      <w:r w:rsidR="003B0AA7" w:rsidRPr="003B0AA7">
        <w:t xml:space="preserve"> </w:t>
      </w:r>
    </w:p>
    <w:p w:rsidR="00B12CD8" w:rsidRDefault="003B0AA7" w:rsidP="00B12CD8">
      <w:pPr>
        <w:pStyle w:val="AERbulletlistfirststyle"/>
      </w:pPr>
      <w:r w:rsidRPr="00B12CD8">
        <w:t>gas throughput is not a statistically significant determinant of opex</w:t>
      </w:r>
      <w:r>
        <w:t>.</w:t>
      </w:r>
    </w:p>
    <w:p w:rsidR="00295AAD" w:rsidRDefault="00C0068A" w:rsidP="00B12CD8">
      <w:r>
        <w:t>Our</w:t>
      </w:r>
      <w:r w:rsidR="005F560F">
        <w:t xml:space="preserve"> </w:t>
      </w:r>
      <w:r w:rsidR="00295AAD">
        <w:t>concerns with Economic Insights</w:t>
      </w:r>
      <w:r w:rsidR="005F5BBC">
        <w:t>'</w:t>
      </w:r>
      <w:r w:rsidR="00295AAD">
        <w:t xml:space="preserve"> modelling </w:t>
      </w:r>
      <w:r w:rsidR="00422BC0">
        <w:t>are</w:t>
      </w:r>
      <w:r>
        <w:t xml:space="preserve"> </w:t>
      </w:r>
      <w:r w:rsidR="00573649">
        <w:t xml:space="preserve">based around the small sample size and the lack of variation in the dataset. </w:t>
      </w:r>
      <w:r w:rsidR="00A51118">
        <w:t>Nevertheless</w:t>
      </w:r>
      <w:r w:rsidR="00573649">
        <w:t xml:space="preserve">, </w:t>
      </w:r>
      <w:r w:rsidR="00295AAD">
        <w:t xml:space="preserve">we consider </w:t>
      </w:r>
      <w:r w:rsidR="00573649">
        <w:t>Economic Insights</w:t>
      </w:r>
      <w:r w:rsidR="005F5BBC">
        <w:t>'</w:t>
      </w:r>
      <w:r w:rsidR="00295AAD">
        <w:t xml:space="preserve"> results </w:t>
      </w:r>
      <w:r w:rsidR="00A51118">
        <w:t xml:space="preserve">are </w:t>
      </w:r>
      <w:r w:rsidR="00295AAD">
        <w:t>reasonable</w:t>
      </w:r>
      <w:r w:rsidR="00A51118">
        <w:t xml:space="preserve"> </w:t>
      </w:r>
      <w:r w:rsidR="00355CFB">
        <w:t xml:space="preserve">taking into account </w:t>
      </w:r>
      <w:r>
        <w:t>that Economic Insight's opex cost function relies on appropriate econometric modelling and data specific to distribution gas. This conclusion also recognises that we do</w:t>
      </w:r>
      <w:r w:rsidR="00355CFB" w:rsidRPr="008B396C">
        <w:t xml:space="preserve"> not have the </w:t>
      </w:r>
      <w:r w:rsidR="00355CFB">
        <w:t>necessary dataset for gas</w:t>
      </w:r>
      <w:r w:rsidR="00355CFB" w:rsidRPr="008B396C">
        <w:t xml:space="preserve"> to undertake the modelling needed to determine a standard industry output specification</w:t>
      </w:r>
      <w:r w:rsidR="00295AAD">
        <w:t xml:space="preserve">. </w:t>
      </w:r>
    </w:p>
    <w:p w:rsidR="00EA2BA0" w:rsidRDefault="00EA2BA0" w:rsidP="00EA2BA0">
      <w:pPr>
        <w:pStyle w:val="HeadingBoldItalic"/>
      </w:pPr>
      <w:r>
        <w:t>Output weights</w:t>
      </w:r>
    </w:p>
    <w:p w:rsidR="00EA2BA0" w:rsidRDefault="00410F57" w:rsidP="00B12CD8">
      <w:r>
        <w:t>While Multinet used Economic Insights' results to inform its choice of output specifications, it did not apply Economic Insights' weights to those outputs.</w:t>
      </w:r>
      <w:r>
        <w:rPr>
          <w:rStyle w:val="FootnoteReference"/>
        </w:rPr>
        <w:footnoteReference w:id="42"/>
      </w:r>
      <w:r>
        <w:t xml:space="preserve"> </w:t>
      </w:r>
      <w:r w:rsidR="00C16780">
        <w:t>Rather</w:t>
      </w:r>
      <w:r w:rsidR="00027549">
        <w:t>,</w:t>
      </w:r>
      <w:r w:rsidR="00C16780">
        <w:t xml:space="preserve"> Multinet </w:t>
      </w:r>
      <w:r w:rsidR="00EA2BA0">
        <w:t>used</w:t>
      </w:r>
      <w:r w:rsidR="00EA2BA0" w:rsidRPr="004E4781">
        <w:t xml:space="preserve"> weightings </w:t>
      </w:r>
      <w:r w:rsidR="00EA2BA0">
        <w:t>based on our</w:t>
      </w:r>
      <w:r w:rsidR="00EA2BA0" w:rsidRPr="004E4781">
        <w:t xml:space="preserve"> </w:t>
      </w:r>
      <w:r w:rsidR="00EA2BA0">
        <w:t>d</w:t>
      </w:r>
      <w:r w:rsidR="00EA2BA0" w:rsidRPr="004E4781">
        <w:t xml:space="preserve">ecision for the Victorian </w:t>
      </w:r>
      <w:r w:rsidR="00EA2BA0" w:rsidRPr="00DE394A">
        <w:rPr>
          <w:rStyle w:val="AERtextitalic"/>
        </w:rPr>
        <w:t>electricity</w:t>
      </w:r>
      <w:r w:rsidR="00EA2BA0">
        <w:t xml:space="preserve"> </w:t>
      </w:r>
      <w:r w:rsidR="005F5BBC">
        <w:t>distributors</w:t>
      </w:r>
      <w:r>
        <w:t>.</w:t>
      </w:r>
      <w:r w:rsidR="00EA2BA0">
        <w:rPr>
          <w:rStyle w:val="FootnoteReference"/>
        </w:rPr>
        <w:footnoteReference w:id="43"/>
      </w:r>
      <w:r w:rsidR="00EA2BA0">
        <w:t xml:space="preserve"> </w:t>
      </w:r>
    </w:p>
    <w:p w:rsidR="00295AAD" w:rsidRDefault="00C16780" w:rsidP="00B12CD8">
      <w:r>
        <w:t xml:space="preserve">We </w:t>
      </w:r>
      <w:r w:rsidR="00000C21">
        <w:t>are</w:t>
      </w:r>
      <w:r w:rsidR="00C0068A">
        <w:t xml:space="preserve"> </w:t>
      </w:r>
      <w:r>
        <w:t xml:space="preserve">concerned </w:t>
      </w:r>
      <w:r w:rsidR="00000C21">
        <w:t>with</w:t>
      </w:r>
      <w:r w:rsidR="00CE03C8">
        <w:t xml:space="preserve"> </w:t>
      </w:r>
      <w:r w:rsidR="003551F2">
        <w:t xml:space="preserve">Multinet's selective use of Economic Insights' analysis. </w:t>
      </w:r>
      <w:r w:rsidR="00000C21">
        <w:t>Multinet</w:t>
      </w:r>
      <w:r w:rsidR="003551F2">
        <w:t xml:space="preserve"> did not explain why it chose to use weights from an </w:t>
      </w:r>
      <w:r w:rsidR="003551F2" w:rsidRPr="00EA5F1C">
        <w:rPr>
          <w:rStyle w:val="AERtextitalic"/>
        </w:rPr>
        <w:t>electricity</w:t>
      </w:r>
      <w:r w:rsidR="003551F2">
        <w:t xml:space="preserve"> distribution cost function in preference to the </w:t>
      </w:r>
      <w:r w:rsidR="005F5BBC" w:rsidRPr="005F5BBC">
        <w:rPr>
          <w:rStyle w:val="AERtextitalic"/>
        </w:rPr>
        <w:t>gas</w:t>
      </w:r>
      <w:r w:rsidR="005F5BBC">
        <w:t xml:space="preserve"> specific </w:t>
      </w:r>
      <w:r w:rsidR="003551F2">
        <w:t xml:space="preserve">weights estimated by Economic Insights. </w:t>
      </w:r>
      <w:r w:rsidR="00000C21">
        <w:t xml:space="preserve">For example, </w:t>
      </w:r>
      <w:r w:rsidR="00CE03C8">
        <w:t>Economic Insights found the impact of network length on opex is over twice that of customer numbers</w:t>
      </w:r>
      <w:r w:rsidR="00F0029A">
        <w:t>.</w:t>
      </w:r>
      <w:r w:rsidR="00CE03C8">
        <w:t xml:space="preserve"> </w:t>
      </w:r>
      <w:r w:rsidR="00F0029A">
        <w:t>H</w:t>
      </w:r>
      <w:r w:rsidR="00000C21">
        <w:t xml:space="preserve">owever, </w:t>
      </w:r>
      <w:r w:rsidR="00107F0B">
        <w:t>Multinet put relatively less weight on customer numbers.  Economic Insights</w:t>
      </w:r>
      <w:r w:rsidR="00CE03C8">
        <w:t xml:space="preserve"> </w:t>
      </w:r>
      <w:r w:rsidR="003551F2">
        <w:t xml:space="preserve">also </w:t>
      </w:r>
      <w:r w:rsidR="00CE03C8">
        <w:t xml:space="preserve">found a </w:t>
      </w:r>
      <w:r w:rsidR="00A51118">
        <w:t xml:space="preserve">1 </w:t>
      </w:r>
      <w:r w:rsidR="00CE03C8">
        <w:t>per cent increase in output</w:t>
      </w:r>
      <w:r w:rsidR="00107F0B">
        <w:t>s</w:t>
      </w:r>
      <w:r w:rsidR="00CE03C8">
        <w:t xml:space="preserve"> </w:t>
      </w:r>
      <w:r w:rsidR="00107F0B">
        <w:t>led</w:t>
      </w:r>
      <w:r w:rsidR="00CE03C8">
        <w:t xml:space="preserve"> to </w:t>
      </w:r>
      <w:r w:rsidR="00107F0B">
        <w:t xml:space="preserve">only </w:t>
      </w:r>
      <w:r w:rsidR="00CE03C8">
        <w:t>a</w:t>
      </w:r>
      <w:r w:rsidR="00107F0B">
        <w:t xml:space="preserve"> 0.6</w:t>
      </w:r>
      <w:r w:rsidR="00A51118">
        <w:t> </w:t>
      </w:r>
      <w:r w:rsidR="00107F0B">
        <w:t xml:space="preserve">per cent increase in opex, </w:t>
      </w:r>
      <w:r w:rsidR="005F560F">
        <w:t xml:space="preserve">showing significant economies of scale exist in gas distribution. However, </w:t>
      </w:r>
      <w:r w:rsidR="00107F0B">
        <w:t xml:space="preserve">Multinet assumed a </w:t>
      </w:r>
      <w:r w:rsidR="00A51118">
        <w:t xml:space="preserve">1 </w:t>
      </w:r>
      <w:r w:rsidR="00107F0B">
        <w:t xml:space="preserve">per cent increase in outputs led to a </w:t>
      </w:r>
      <w:r w:rsidR="00A51118">
        <w:t xml:space="preserve">1 </w:t>
      </w:r>
      <w:r w:rsidR="00107F0B">
        <w:t>per cent increase in opex, ignoring economies of scale</w:t>
      </w:r>
      <w:r w:rsidR="00F0029A">
        <w:t>, t</w:t>
      </w:r>
      <w:r w:rsidR="00000C21">
        <w:t>his resulted</w:t>
      </w:r>
      <w:r w:rsidR="005F560F">
        <w:t xml:space="preserve"> in a higher</w:t>
      </w:r>
      <w:r w:rsidR="00107F0B">
        <w:t xml:space="preserve"> total opex forecast.</w:t>
      </w:r>
      <w:r w:rsidR="00EA5F1C">
        <w:t xml:space="preserve"> </w:t>
      </w:r>
    </w:p>
    <w:p w:rsidR="005C569B" w:rsidRDefault="005C569B" w:rsidP="001D0AAE">
      <w:pPr>
        <w:pStyle w:val="Heading4"/>
      </w:pPr>
      <w:r>
        <w:t>Forecast productivity growth</w:t>
      </w:r>
    </w:p>
    <w:p w:rsidR="005C569B" w:rsidRDefault="005C569B" w:rsidP="005C569B">
      <w:r>
        <w:t xml:space="preserve">We have implicitly accounted for productivity growth by including an output growth forecast </w:t>
      </w:r>
      <w:r w:rsidR="00F51A8A">
        <w:t xml:space="preserve">that </w:t>
      </w:r>
      <w:r>
        <w:t xml:space="preserve">is net of productivity growth in our alternative </w:t>
      </w:r>
      <w:r w:rsidR="008F4FB5">
        <w:t>estimate</w:t>
      </w:r>
      <w:r>
        <w:t>.</w:t>
      </w:r>
    </w:p>
    <w:p w:rsidR="005C569B" w:rsidRPr="000B5931" w:rsidRDefault="005C569B" w:rsidP="005C569B">
      <w:r w:rsidRPr="000B5931">
        <w:t xml:space="preserve">We consider network growth should deliver productivity gains such as economies of scale, particularly for operating costs. </w:t>
      </w:r>
    </w:p>
    <w:p w:rsidR="005C569B" w:rsidRPr="000B5931" w:rsidRDefault="0044402E" w:rsidP="005C569B">
      <w:r w:rsidRPr="00767921">
        <w:t xml:space="preserve">Achieving productivity gains would be consistent with </w:t>
      </w:r>
      <w:r>
        <w:t>Multinet's</w:t>
      </w:r>
      <w:r w:rsidRPr="00767921">
        <w:t xml:space="preserve"> past </w:t>
      </w:r>
      <w:r>
        <w:t>performance</w:t>
      </w:r>
      <w:r w:rsidRPr="00767921">
        <w:t xml:space="preserve"> as well </w:t>
      </w:r>
      <w:r>
        <w:t xml:space="preserve">as </w:t>
      </w:r>
      <w:r w:rsidRPr="00767921">
        <w:t xml:space="preserve">that of other gas distribution businesses. According to the productivity performance </w:t>
      </w:r>
      <w:r w:rsidRPr="006B2D56">
        <w:rPr>
          <w:rStyle w:val="AERbody"/>
        </w:rPr>
        <w:t>study Economic Insights</w:t>
      </w:r>
      <w:r w:rsidRPr="00767921">
        <w:t xml:space="preserve"> prepared for the three Victorian distribution businesses, positive opex partial factor productivity index </w:t>
      </w:r>
      <w:r>
        <w:t xml:space="preserve">performance improved for all three </w:t>
      </w:r>
      <w:r w:rsidRPr="00767921">
        <w:t xml:space="preserve">from 1999 to 2015, </w:t>
      </w:r>
      <w:r>
        <w:t>showing positive productivity growth</w:t>
      </w:r>
      <w:r w:rsidR="000E7CD0">
        <w:t>.</w:t>
      </w:r>
      <w:r w:rsidR="00CA135A">
        <w:rPr>
          <w:rStyle w:val="FootnoteReference"/>
        </w:rPr>
        <w:footnoteReference w:id="44"/>
      </w:r>
      <w:r w:rsidR="005C569B" w:rsidRPr="000B5931">
        <w:t xml:space="preserve">  </w:t>
      </w:r>
    </w:p>
    <w:p w:rsidR="005C569B" w:rsidRPr="000B5931" w:rsidRDefault="005C569B" w:rsidP="005C569B">
      <w:r w:rsidRPr="000B5931">
        <w:t>We have also consider</w:t>
      </w:r>
      <w:r w:rsidR="000E7CD0">
        <w:t>ed</w:t>
      </w:r>
      <w:r w:rsidRPr="000B5931">
        <w:t xml:space="preserve"> the report Economic Insights prepared for</w:t>
      </w:r>
      <w:r w:rsidR="00A14C09">
        <w:t xml:space="preserve"> Multinet in estimating Multinet</w:t>
      </w:r>
      <w:r w:rsidRPr="000B5931">
        <w:t>’s opex cost function.</w:t>
      </w:r>
      <w:r w:rsidR="00CA135A">
        <w:rPr>
          <w:rStyle w:val="FootnoteReference"/>
        </w:rPr>
        <w:footnoteReference w:id="45"/>
      </w:r>
      <w:r w:rsidRPr="000B5931">
        <w:t xml:space="preserve"> Economic Insights found significant economies of scale as well as positive technological change. Both economies of scale and technological change are components of productivity change and they indicate the gas distribution businesses should achieve positive productivity growth</w:t>
      </w:r>
      <w:r w:rsidR="000E7CD0">
        <w:t>, to the extent that output grow</w:t>
      </w:r>
      <w:r w:rsidR="00D07662">
        <w:t>s</w:t>
      </w:r>
      <w:r w:rsidRPr="000B5931">
        <w:t>.</w:t>
      </w:r>
    </w:p>
    <w:p w:rsidR="00B812AC" w:rsidRPr="00605853" w:rsidRDefault="00B812AC" w:rsidP="00B812AC">
      <w:pPr>
        <w:pStyle w:val="Heading3"/>
      </w:pPr>
      <w:bookmarkStart w:id="111" w:name="_Toc475028903"/>
      <w:bookmarkStart w:id="112" w:name="_Toc486838090"/>
      <w:r>
        <w:t>Step changes</w:t>
      </w:r>
      <w:bookmarkEnd w:id="111"/>
      <w:bookmarkEnd w:id="112"/>
      <w:r>
        <w:t xml:space="preserve"> </w:t>
      </w:r>
    </w:p>
    <w:p w:rsidR="00717689" w:rsidRDefault="00717689" w:rsidP="00717689">
      <w:r>
        <w:t xml:space="preserve">We </w:t>
      </w:r>
      <w:r w:rsidR="00BE5A8A">
        <w:t>did not include</w:t>
      </w:r>
      <w:r>
        <w:t xml:space="preserve"> any step changes proposed by Multinet </w:t>
      </w:r>
      <w:r w:rsidR="00BE5A8A">
        <w:t xml:space="preserve">when arriving at </w:t>
      </w:r>
      <w:r>
        <w:t xml:space="preserve">our alternative estimate. Multinet has only proposed one step change for joint marketing with the other two Victorian gas distribution businesses. We are not satisfied that </w:t>
      </w:r>
      <w:r w:rsidR="00D07662">
        <w:t>Multinet's</w:t>
      </w:r>
      <w:r>
        <w:t xml:space="preserve"> proposed step change for marketing is required to arrive at a forecast of total opex that </w:t>
      </w:r>
      <w:r w:rsidR="00BE5A8A">
        <w:t>meets</w:t>
      </w:r>
      <w:r>
        <w:t xml:space="preserve"> the opex criteria. </w:t>
      </w:r>
    </w:p>
    <w:p w:rsidR="00717689" w:rsidRDefault="00717689" w:rsidP="00D2488B">
      <w:pPr>
        <w:pStyle w:val="Heading4"/>
      </w:pPr>
      <w:r>
        <w:t>Marketing step change</w:t>
      </w:r>
    </w:p>
    <w:p w:rsidR="00717689" w:rsidRDefault="00717689" w:rsidP="00717689">
      <w:r>
        <w:t xml:space="preserve">We have not included a step change of $23.3 million ($2017) </w:t>
      </w:r>
      <w:r w:rsidR="008F4FB5">
        <w:t xml:space="preserve">for Multinet's proposed marketing expenditure </w:t>
      </w:r>
      <w:r>
        <w:t xml:space="preserve">in our alternative </w:t>
      </w:r>
      <w:r w:rsidR="008F4FB5">
        <w:t>estimate</w:t>
      </w:r>
      <w:r>
        <w:t xml:space="preserve">. </w:t>
      </w:r>
    </w:p>
    <w:p w:rsidR="00C817E9" w:rsidRDefault="00C817E9" w:rsidP="00C817E9">
      <w:r w:rsidRPr="003C2F56">
        <w:t xml:space="preserve">We consider base opex, trended forward by the forecast rate of change, is sufficient for </w:t>
      </w:r>
      <w:r w:rsidR="003D1D7C">
        <w:t>Multinet</w:t>
      </w:r>
      <w:r w:rsidRPr="003C2F56">
        <w:t xml:space="preserve"> to continue to meet its existing regulatory obligations.</w:t>
      </w:r>
      <w:r>
        <w:t xml:space="preserve"> </w:t>
      </w:r>
      <w:r w:rsidR="00596448">
        <w:t>M</w:t>
      </w:r>
      <w:r>
        <w:t xml:space="preserve">arketing is a 'business-as-usual' expense for </w:t>
      </w:r>
      <w:r w:rsidR="003D1D7C">
        <w:t>Multinet</w:t>
      </w:r>
      <w:r>
        <w:t xml:space="preserve"> to </w:t>
      </w:r>
      <w:r w:rsidR="00596448">
        <w:t>consider</w:t>
      </w:r>
      <w:r>
        <w:t xml:space="preserve"> within its existing base opex forecast. </w:t>
      </w:r>
      <w:r w:rsidR="00C740EE">
        <w:t>T</w:t>
      </w:r>
      <w:r>
        <w:t xml:space="preserve">he proposed step change does not relate to a change in regulatory obligation or a capex/opex </w:t>
      </w:r>
      <w:r w:rsidR="001B4529">
        <w:t>trade-off</w:t>
      </w:r>
      <w:r>
        <w:t xml:space="preserve">. We are not satisfied </w:t>
      </w:r>
      <w:r w:rsidR="008F4FB5">
        <w:t xml:space="preserve">we need to include </w:t>
      </w:r>
      <w:r>
        <w:t>a step change</w:t>
      </w:r>
      <w:r w:rsidR="008F4FB5">
        <w:t xml:space="preserve"> in</w:t>
      </w:r>
      <w:r>
        <w:t xml:space="preserve"> our </w:t>
      </w:r>
      <w:r w:rsidR="008F4FB5">
        <w:t>alternative estimate</w:t>
      </w:r>
      <w:r>
        <w:t xml:space="preserve"> to comply with the opex criteria. </w:t>
      </w:r>
    </w:p>
    <w:p w:rsidR="00C817E9" w:rsidRDefault="00C817E9" w:rsidP="00C817E9">
      <w:pPr>
        <w:pStyle w:val="HeadingOrange"/>
      </w:pPr>
      <w:r>
        <w:t>Multinet proposed marketing step change</w:t>
      </w:r>
    </w:p>
    <w:p w:rsidR="00C817E9" w:rsidRDefault="00C817E9" w:rsidP="00C817E9">
      <w:r>
        <w:t>Together with the two other Victorian gas distribution service providers, Multinet proposed a joint marketing campaign totalling $13.3 million per annum ($2016) to counteract the projected decline in gas demand</w:t>
      </w:r>
      <w:r w:rsidRPr="001574E3">
        <w:t xml:space="preserve"> </w:t>
      </w:r>
      <w:r>
        <w:t>over the next access arrangement period.</w:t>
      </w:r>
      <w:r>
        <w:rPr>
          <w:rStyle w:val="FootnoteReference"/>
        </w:rPr>
        <w:footnoteReference w:id="46"/>
      </w:r>
    </w:p>
    <w:p w:rsidR="00A06182" w:rsidRDefault="008610B7" w:rsidP="00A06182">
      <w:r>
        <w:t>Multinet</w:t>
      </w:r>
      <w:r w:rsidR="00C817E9">
        <w:t xml:space="preserve"> submitted </w:t>
      </w:r>
      <w:r w:rsidR="00D5287B">
        <w:t>that there is a risk of its future average network prices increasing as it recovers its largely fixed costs over a smaller consumption base due to the forecast decline in average residential gas consumption.</w:t>
      </w:r>
      <w:r w:rsidR="00C817E9">
        <w:rPr>
          <w:rStyle w:val="FootnoteReference"/>
        </w:rPr>
        <w:footnoteReference w:id="47"/>
      </w:r>
      <w:r w:rsidR="00C817E9">
        <w:t xml:space="preserve"> </w:t>
      </w:r>
      <w:r w:rsidR="00DC0919">
        <w:t>Multinet stated that it currently has no provision for marketing in its base year opex.</w:t>
      </w:r>
      <w:r w:rsidR="00DC0919" w:rsidRPr="00DC0919">
        <w:rPr>
          <w:rStyle w:val="FootnoteReference"/>
        </w:rPr>
        <w:t xml:space="preserve"> </w:t>
      </w:r>
      <w:r w:rsidR="00DC0919">
        <w:rPr>
          <w:rStyle w:val="FootnoteReference"/>
        </w:rPr>
        <w:footnoteReference w:id="48"/>
      </w:r>
      <w:r w:rsidR="00DC0919">
        <w:t xml:space="preserve"> </w:t>
      </w:r>
      <w:r w:rsidR="003D1D7C">
        <w:t>Multinet</w:t>
      </w:r>
      <w:r w:rsidR="00DC0919">
        <w:t xml:space="preserve"> justified its proposed step change on the basis that it will lower Multinet's reference tariffs than they otherwise would have been; the benefits of the marketing proposal exceed the costs; and it satisfies the NGR requirements.</w:t>
      </w:r>
      <w:r w:rsidR="00D5287B">
        <w:rPr>
          <w:rStyle w:val="FootnoteReference"/>
        </w:rPr>
        <w:footnoteReference w:id="49"/>
      </w:r>
      <w:r w:rsidR="00C817E9">
        <w:t xml:space="preserve"> </w:t>
      </w:r>
      <w:r w:rsidR="00A06182" w:rsidRPr="00A06182">
        <w:t xml:space="preserve"> </w:t>
      </w:r>
    </w:p>
    <w:p w:rsidR="00C817E9" w:rsidRPr="005F5DCC" w:rsidRDefault="00C817E9" w:rsidP="00C817E9">
      <w:r w:rsidRPr="0025558A">
        <w:t xml:space="preserve">To support </w:t>
      </w:r>
      <w:r>
        <w:t>its</w:t>
      </w:r>
      <w:r w:rsidRPr="0025558A">
        <w:t xml:space="preserve"> marketing proposal, </w:t>
      </w:r>
      <w:r w:rsidR="00D5287B">
        <w:t>Multinet</w:t>
      </w:r>
      <w:r w:rsidRPr="0025558A">
        <w:t xml:space="preserve"> provided a consultancy report by Axiom Economics.</w:t>
      </w:r>
      <w:r w:rsidRPr="005F5DCC">
        <w:t xml:space="preserve"> Axiom Economics</w:t>
      </w:r>
      <w:r>
        <w:t xml:space="preserve"> states</w:t>
      </w:r>
      <w:r w:rsidRPr="005F5DCC">
        <w:t>:</w:t>
      </w:r>
    </w:p>
    <w:p w:rsidR="00C817E9" w:rsidRPr="005F5DCC" w:rsidRDefault="00C817E9" w:rsidP="00C817E9">
      <w:pPr>
        <w:pStyle w:val="AERbulletlistfirststyle"/>
      </w:pPr>
      <w:r w:rsidRPr="00AB07B9">
        <w:t xml:space="preserve">the marketing investment is </w:t>
      </w:r>
      <w:r>
        <w:t>'</w:t>
      </w:r>
      <w:r w:rsidRPr="00AB07B9">
        <w:t>NPV</w:t>
      </w:r>
      <w:r>
        <w:t>' (net present value)</w:t>
      </w:r>
      <w:r w:rsidRPr="00AB07B9">
        <w:t xml:space="preserve"> positive because the additional revenue from additional gas sale</w:t>
      </w:r>
      <w:r w:rsidRPr="005F5DCC">
        <w:t>s over multiple future access arrangement periods is projected to exceed the total cost of the marketing campaign to be incurred in 2018</w:t>
      </w:r>
      <w:r>
        <w:t>–</w:t>
      </w:r>
      <w:r w:rsidRPr="005F5DCC">
        <w:t xml:space="preserve">22 </w:t>
      </w:r>
    </w:p>
    <w:p w:rsidR="00C817E9" w:rsidRDefault="00C817E9" w:rsidP="00C817E9">
      <w:pPr>
        <w:pStyle w:val="AERbulletlistfirststyle"/>
      </w:pPr>
      <w:r w:rsidRPr="002E7DA5">
        <w:t>prices will rise in the first regulatory period, but will fall in future regulatory periods</w:t>
      </w:r>
      <w:r w:rsidRPr="005F5DCC">
        <w:t xml:space="preserve">, with the price reduction in future periods being more than sufficient to </w:t>
      </w:r>
      <w:r>
        <w:t>offset the increase in the 2018–</w:t>
      </w:r>
      <w:r w:rsidRPr="005F5DCC">
        <w:t>22 period.</w:t>
      </w:r>
      <w:r>
        <w:rPr>
          <w:rStyle w:val="FootnoteReference"/>
        </w:rPr>
        <w:footnoteReference w:id="50"/>
      </w:r>
      <w:r w:rsidRPr="005F5DCC">
        <w:t xml:space="preserve"> </w:t>
      </w:r>
    </w:p>
    <w:p w:rsidR="00C817E9" w:rsidRPr="006123EA" w:rsidRDefault="00C817E9" w:rsidP="00C817E9">
      <w:pPr>
        <w:pStyle w:val="HeadingOrange"/>
      </w:pPr>
      <w:r w:rsidRPr="006123EA">
        <w:t xml:space="preserve">We have reconsidered our position on marketing </w:t>
      </w:r>
      <w:r>
        <w:t>from previous decisions</w:t>
      </w:r>
    </w:p>
    <w:p w:rsidR="00C817E9" w:rsidRDefault="00C817E9" w:rsidP="00C817E9">
      <w:r>
        <w:t xml:space="preserve">We have </w:t>
      </w:r>
      <w:r w:rsidRPr="006123EA">
        <w:t>carefully re</w:t>
      </w:r>
      <w:r>
        <w:t>-examined</w:t>
      </w:r>
      <w:r w:rsidRPr="006123EA">
        <w:t xml:space="preserve"> </w:t>
      </w:r>
      <w:r>
        <w:t>and as a result, refined</w:t>
      </w:r>
      <w:r w:rsidRPr="006123EA">
        <w:t xml:space="preserve"> our </w:t>
      </w:r>
      <w:r>
        <w:t>approach to applying the opex criteria to</w:t>
      </w:r>
      <w:r w:rsidRPr="006123EA">
        <w:t xml:space="preserve"> marketing </w:t>
      </w:r>
      <w:r>
        <w:t>step changes within the NGL and NGR framework.</w:t>
      </w:r>
    </w:p>
    <w:p w:rsidR="00C817E9" w:rsidRDefault="00C817E9" w:rsidP="00C817E9">
      <w:r>
        <w:t>Our review of our approach to assessing marketing step changes is informed by our obligation to exercise our economic regulatory functions and powers in a manner that will or is likely to contribute to the achievement of the NGO.</w:t>
      </w:r>
      <w:r>
        <w:rPr>
          <w:rStyle w:val="FootnoteReference"/>
        </w:rPr>
        <w:footnoteReference w:id="51"/>
      </w:r>
      <w:r>
        <w:t xml:space="preserve"> The NGO is to promote efficient investment in, and efficient operation and use of natural gas services for the long term interests of consumers. It is also informed by the revenue and pricing principles, which we must take into account. </w:t>
      </w:r>
    </w:p>
    <w:p w:rsidR="00C817E9" w:rsidRDefault="00C817E9" w:rsidP="00C817E9">
      <w:r>
        <w:t xml:space="preserve">Our opex assessment framework, as set out in section 7.3, reflects these requirements. </w:t>
      </w:r>
      <w:r w:rsidRPr="00877019">
        <w:t xml:space="preserve">In particular, </w:t>
      </w:r>
      <w:r>
        <w:t xml:space="preserve">the revealed cost approach is consistent with the principle </w:t>
      </w:r>
      <w:r w:rsidRPr="00877019">
        <w:t xml:space="preserve">that a business should be provided with effective incentives to promote economic efficiency. </w:t>
      </w:r>
      <w:r>
        <w:t xml:space="preserve">And it </w:t>
      </w:r>
      <w:r w:rsidRPr="00877019">
        <w:t>recognises that a business should be provided with a reasonable opportunity to recover at least its efficient costs incurred in providing reference services</w:t>
      </w:r>
      <w:r>
        <w:t>,</w:t>
      </w:r>
      <w:r w:rsidRPr="00877019">
        <w:t xml:space="preserve"> and complying with regulatory obligations and requirements.</w:t>
      </w:r>
    </w:p>
    <w:p w:rsidR="00C817E9" w:rsidRDefault="00C817E9" w:rsidP="00C817E9">
      <w:r>
        <w:t xml:space="preserve">Our approach identifies a sufficient level of opex a business requires, in aggregate, to meet the opex criteria. It provides for adjustments to the base year level of expenditure only where these are not adequately compensated for in base opex or the rate of change, and are required in order for forecast total opex to meet the opex criteria. It also recognises that the business will continually re-prioritise its work program to meet its obligations and maximise profitability. The business is therefore not limited in how it responds to its changing priorities and operating environment throughout an access arrangement period. </w:t>
      </w:r>
    </w:p>
    <w:p w:rsidR="00C817E9" w:rsidRDefault="00C817E9" w:rsidP="00C817E9">
      <w:r>
        <w:t>As we explain in section 7.3, a</w:t>
      </w:r>
      <w:r w:rsidRPr="00C96131">
        <w:t xml:space="preserve">llowing step changes for increased costs </w:t>
      </w:r>
      <w:r>
        <w:t>identified by a business—especially those that do not relate to a new regulatory obligation or requirement—</w:t>
      </w:r>
      <w:r w:rsidRPr="00C96131">
        <w:t xml:space="preserve">potentially introduces an upward bias into our </w:t>
      </w:r>
      <w:r w:rsidR="008F4FB5">
        <w:t>alternative estimate</w:t>
      </w:r>
      <w:r w:rsidRPr="00C96131">
        <w:t>.</w:t>
      </w:r>
      <w:r w:rsidRPr="00424DE6">
        <w:t xml:space="preserve"> </w:t>
      </w:r>
      <w:r>
        <w:t>Absent a new regulatory obligation or requirement, we consider only exceptional circumstances are likely to warrant</w:t>
      </w:r>
      <w:r w:rsidRPr="006E6488">
        <w:t xml:space="preserve"> </w:t>
      </w:r>
      <w:r>
        <w:t>a</w:t>
      </w:r>
      <w:r w:rsidRPr="006E6488">
        <w:t xml:space="preserve"> step change</w:t>
      </w:r>
      <w:r>
        <w:t xml:space="preserve"> in the opex forecast</w:t>
      </w:r>
      <w:r w:rsidRPr="00F9753F">
        <w:t xml:space="preserve"> </w:t>
      </w:r>
      <w:r>
        <w:t>beca</w:t>
      </w:r>
      <w:r w:rsidR="00CC0200">
        <w:t>use they may change a business'</w:t>
      </w:r>
      <w:r>
        <w:t xml:space="preserve"> fundamental opex requirements going forward. Two typical examples are a</w:t>
      </w:r>
      <w:r w:rsidR="00CC0200">
        <w:t xml:space="preserve"> material change in a business'</w:t>
      </w:r>
      <w:r>
        <w:t xml:space="preserve"> regulatory obligations or an efficient capex/opex substitution opportunity.</w:t>
      </w:r>
      <w:r w:rsidR="00DC0919">
        <w:t xml:space="preserve"> </w:t>
      </w:r>
      <w:r>
        <w:t>We carefully scrutinise proposed step changes that fall outside of these categories, such as this proposed marketing step change, to avoid the risk of upward bias.</w:t>
      </w:r>
    </w:p>
    <w:p w:rsidR="00C817E9" w:rsidRDefault="00C817E9" w:rsidP="00C817E9">
      <w:r>
        <w:t>G</w:t>
      </w:r>
      <w:r w:rsidRPr="00CE07E6">
        <w:t>iven the above regulatory context and on assessing the information before us</w:t>
      </w:r>
      <w:r>
        <w:t>, we have reconsidered our position from past decisions. In 2015</w:t>
      </w:r>
      <w:r w:rsidRPr="006123EA">
        <w:t xml:space="preserve">, we accepted a </w:t>
      </w:r>
      <w:r>
        <w:t xml:space="preserve">marketing step change </w:t>
      </w:r>
      <w:r w:rsidRPr="006123EA">
        <w:t>propos</w:t>
      </w:r>
      <w:r>
        <w:t>ed</w:t>
      </w:r>
      <w:r w:rsidRPr="006123EA">
        <w:t xml:space="preserve"> by </w:t>
      </w:r>
      <w:r>
        <w:t>Jemena Gas Networks (</w:t>
      </w:r>
      <w:r w:rsidRPr="006123EA">
        <w:t>JGN</w:t>
      </w:r>
      <w:r>
        <w:t>)</w:t>
      </w:r>
      <w:r>
        <w:rPr>
          <w:rStyle w:val="FootnoteReference"/>
        </w:rPr>
        <w:footnoteReference w:id="52"/>
      </w:r>
      <w:r w:rsidRPr="006123EA">
        <w:t xml:space="preserve"> </w:t>
      </w:r>
      <w:r>
        <w:t>on the basis that</w:t>
      </w:r>
      <w:r w:rsidRPr="006123EA">
        <w:t xml:space="preserve"> the marketing camp</w:t>
      </w:r>
      <w:r>
        <w:t>aign could not be self-financed</w:t>
      </w:r>
      <w:r w:rsidRPr="006123EA">
        <w:t>.</w:t>
      </w:r>
      <w:r>
        <w:rPr>
          <w:rStyle w:val="FootnoteReference"/>
        </w:rPr>
        <w:footnoteReference w:id="53"/>
      </w:r>
      <w:r>
        <w:t xml:space="preserve"> We now consider that a business needs to demonstrate more than this because under the current regulatory framework, the business may benefit from using revealed costs to forecast future opex without disclosing what costs may go down. We also recognise that a business can choose to prioritise marketing spending within its base opex, to the extent that it is efficient and prudent to do so. This is commercially viable under price cap regulation.</w:t>
      </w:r>
      <w:r>
        <w:rPr>
          <w:rStyle w:val="FootnoteReference"/>
        </w:rPr>
        <w:footnoteReference w:id="54"/>
      </w:r>
      <w:r>
        <w:t xml:space="preserve"> </w:t>
      </w:r>
    </w:p>
    <w:p w:rsidR="00C817E9" w:rsidRDefault="00C817E9" w:rsidP="00C817E9">
      <w:r>
        <w:t xml:space="preserve">Importantly, </w:t>
      </w:r>
      <w:r w:rsidR="00C740EE">
        <w:t xml:space="preserve">including </w:t>
      </w:r>
      <w:r>
        <w:t xml:space="preserve">a step change </w:t>
      </w:r>
      <w:r w:rsidR="00C740EE">
        <w:t xml:space="preserve">in the opex forecast </w:t>
      </w:r>
      <w:r>
        <w:t xml:space="preserve">does not </w:t>
      </w:r>
      <w:r w:rsidR="00A06182">
        <w:t>provide Multinet with an effective incentive to invest efficiently in the proposed marketing</w:t>
      </w:r>
      <w:r>
        <w:t>.</w:t>
      </w:r>
      <w:r w:rsidR="00A06182">
        <w:rPr>
          <w:rStyle w:val="FootnoteReference"/>
        </w:rPr>
        <w:footnoteReference w:id="55"/>
      </w:r>
      <w:r>
        <w:t xml:space="preserve"> </w:t>
      </w:r>
      <w:r w:rsidR="00A06182">
        <w:t xml:space="preserve">Multinet </w:t>
      </w:r>
      <w:r w:rsidR="00190080">
        <w:t>does not</w:t>
      </w:r>
      <w:r w:rsidR="00A06182">
        <w:t xml:space="preserve"> have an incentive to undertake the proposed marketing </w:t>
      </w:r>
      <w:r w:rsidR="00190080">
        <w:t>because</w:t>
      </w:r>
      <w:r w:rsidR="00A06182">
        <w:t xml:space="preserve"> the benefits of the marketing </w:t>
      </w:r>
      <w:r w:rsidR="00190080">
        <w:t>will be</w:t>
      </w:r>
      <w:r w:rsidR="00A06182">
        <w:t xml:space="preserve"> transfer</w:t>
      </w:r>
      <w:r w:rsidR="00190080">
        <w:t>red</w:t>
      </w:r>
      <w:r w:rsidR="00A06182">
        <w:t xml:space="preserve"> to consumers in subsequent access arrangement period</w:t>
      </w:r>
      <w:r w:rsidR="00C740EE">
        <w:t>s</w:t>
      </w:r>
      <w:r w:rsidR="00A06182">
        <w:t xml:space="preserve"> through higher demand forecast</w:t>
      </w:r>
      <w:r w:rsidR="00190080">
        <w:t>s</w:t>
      </w:r>
      <w:r w:rsidR="00A06182">
        <w:t>.</w:t>
      </w:r>
      <w:r w:rsidR="00190080">
        <w:t xml:space="preserve"> This issue was raised by AusNet.</w:t>
      </w:r>
      <w:r w:rsidR="00DC0919">
        <w:rPr>
          <w:rStyle w:val="FootnoteReference"/>
        </w:rPr>
        <w:footnoteReference w:id="56"/>
      </w:r>
      <w:r w:rsidR="00190080">
        <w:t xml:space="preserve"> </w:t>
      </w:r>
      <w:r w:rsidR="00A74B34">
        <w:t>However</w:t>
      </w:r>
      <w:r w:rsidR="00DC0919">
        <w:t>, we recognise that a</w:t>
      </w:r>
      <w:r w:rsidR="00A06182">
        <w:t xml:space="preserve"> step change does not </w:t>
      </w:r>
      <w:r w:rsidR="00A74B34">
        <w:t>address</w:t>
      </w:r>
      <w:r w:rsidR="00A06182">
        <w:t xml:space="preserve"> </w:t>
      </w:r>
      <w:r w:rsidR="00190080">
        <w:t>this incentive problem</w:t>
      </w:r>
      <w:r w:rsidR="00A06182">
        <w:t xml:space="preserve">. </w:t>
      </w:r>
      <w:r w:rsidR="00C740EE">
        <w:t xml:space="preserve">We consider </w:t>
      </w:r>
      <w:r w:rsidR="00A06182">
        <w:t>Multinet</w:t>
      </w:r>
      <w:r w:rsidRPr="00CA793C">
        <w:t xml:space="preserve"> is financially better off not investing in the marketing campaign, with or without a step change</w:t>
      </w:r>
      <w:r w:rsidR="00C740EE">
        <w:t xml:space="preserve"> in the opex forecast</w:t>
      </w:r>
      <w:r w:rsidRPr="00CA793C">
        <w:t>.</w:t>
      </w:r>
      <w:r w:rsidR="00C740EE" w:rsidRPr="00C740EE">
        <w:t xml:space="preserve"> </w:t>
      </w:r>
      <w:r w:rsidR="00C740EE" w:rsidRPr="00B377B9">
        <w:t xml:space="preserve">A step change does not remove the constraint </w:t>
      </w:r>
      <w:r w:rsidR="00C740EE">
        <w:t>Multinet</w:t>
      </w:r>
      <w:r w:rsidR="00C740EE" w:rsidRPr="00B377B9">
        <w:t xml:space="preserve"> </w:t>
      </w:r>
      <w:r w:rsidR="00C740EE">
        <w:t>faces</w:t>
      </w:r>
      <w:r w:rsidR="00C740EE" w:rsidRPr="00B377B9">
        <w:t xml:space="preserve"> under the regulatory framework</w:t>
      </w:r>
      <w:r w:rsidR="00C740EE">
        <w:t>—that is, Multinet cannot necessarily retain the benefits of the marketing investment over multiple regulatory periods.</w:t>
      </w:r>
      <w:r>
        <w:t xml:space="preserve"> </w:t>
      </w:r>
    </w:p>
    <w:p w:rsidR="00C817E9" w:rsidRDefault="00C817E9" w:rsidP="00C817E9">
      <w:r w:rsidRPr="00370E31">
        <w:t xml:space="preserve">We are not satisfied </w:t>
      </w:r>
      <w:r>
        <w:t>the marketing step change</w:t>
      </w:r>
      <w:r w:rsidRPr="00370E31">
        <w:t xml:space="preserve"> </w:t>
      </w:r>
      <w:r>
        <w:t xml:space="preserve">is </w:t>
      </w:r>
      <w:r w:rsidRPr="00370E31">
        <w:t>required to forecast</w:t>
      </w:r>
      <w:r>
        <w:t xml:space="preserve"> </w:t>
      </w:r>
      <w:r w:rsidRPr="00370E31">
        <w:t xml:space="preserve">opex that </w:t>
      </w:r>
      <w:r>
        <w:t xml:space="preserve">meets the opex criteria, based on our assessment of </w:t>
      </w:r>
      <w:r w:rsidR="00190080">
        <w:t>Multinet's</w:t>
      </w:r>
      <w:r>
        <w:t xml:space="preserve"> proposal against our opex assessment framework, and our analysis of the forecast benefits of the marketing campaign to consumers—as discussed below.</w:t>
      </w:r>
    </w:p>
    <w:p w:rsidR="00C817E9" w:rsidRDefault="00C817E9" w:rsidP="00C817E9">
      <w:pPr>
        <w:pStyle w:val="HeadingOrange"/>
      </w:pPr>
      <w:r>
        <w:t>Would consumers benefit from the marketing campaign?</w:t>
      </w:r>
    </w:p>
    <w:p w:rsidR="00C817E9" w:rsidRDefault="00C817E9" w:rsidP="00C817E9">
      <w:r>
        <w:t xml:space="preserve">Based on the information presented to us, we are not satisfied the marketing campaign is likely to benefit consumers. We have considered consumer </w:t>
      </w:r>
      <w:r w:rsidR="00C21D1C">
        <w:t xml:space="preserve">and retailer </w:t>
      </w:r>
      <w:r>
        <w:t xml:space="preserve">views and the robustness of the NPV analysis </w:t>
      </w:r>
      <w:r w:rsidR="00A74B34">
        <w:t>Multinet</w:t>
      </w:r>
      <w:r>
        <w:t xml:space="preserve"> submitted in support of its proposal. We have also taken into account the broader context of the proposed marketing campaign—the </w:t>
      </w:r>
      <w:r w:rsidRPr="003D682B">
        <w:t xml:space="preserve">commencement of LNG exports from Queensland has </w:t>
      </w:r>
      <w:r>
        <w:t>put pressure on domestic gas prices and created supply risks.</w:t>
      </w:r>
    </w:p>
    <w:p w:rsidR="00C21D1C" w:rsidRDefault="00C21D1C" w:rsidP="00C21D1C">
      <w:r>
        <w:t xml:space="preserve">We received submissions from retailers </w:t>
      </w:r>
      <w:r w:rsidRPr="00116A9E">
        <w:t xml:space="preserve">Origin Energy </w:t>
      </w:r>
      <w:r>
        <w:t xml:space="preserve">and AGL. </w:t>
      </w:r>
      <w:r w:rsidRPr="00116A9E">
        <w:t>AGL support</w:t>
      </w:r>
      <w:r>
        <w:t>ed</w:t>
      </w:r>
      <w:r w:rsidRPr="00116A9E">
        <w:t xml:space="preserve"> the marketing </w:t>
      </w:r>
      <w:r>
        <w:t>step change</w:t>
      </w:r>
      <w:r w:rsidRPr="00116A9E">
        <w:t>, noting it should drive more efficient use of the network over time.</w:t>
      </w:r>
      <w:r w:rsidRPr="00116A9E">
        <w:rPr>
          <w:rStyle w:val="FootnoteReference"/>
        </w:rPr>
        <w:t xml:space="preserve"> </w:t>
      </w:r>
      <w:r>
        <w:rPr>
          <w:rStyle w:val="FootnoteReference"/>
        </w:rPr>
        <w:footnoteReference w:id="57"/>
      </w:r>
      <w:r w:rsidRPr="00116A9E">
        <w:t xml:space="preserve"> </w:t>
      </w:r>
      <w:r>
        <w:t>Origin</w:t>
      </w:r>
      <w:r w:rsidRPr="00BD06EF">
        <w:t xml:space="preserve"> provided conditional support for a marketing step change, but suggested it be reviewed during the access arrangement to examine its effectiveness.</w:t>
      </w:r>
      <w:r w:rsidRPr="00BD06EF">
        <w:rPr>
          <w:rStyle w:val="FootnoteReference"/>
        </w:rPr>
        <w:footnoteReference w:id="58"/>
      </w:r>
      <w:r>
        <w:t xml:space="preserve"> </w:t>
      </w:r>
      <w:r w:rsidRPr="00334A3C" w:rsidDel="004A5796">
        <w:t xml:space="preserve">United Communities submitted that marketing is a legitimate opex, provided it is cost-effective with a </w:t>
      </w:r>
      <w:r w:rsidRPr="005F1AE0" w:rsidDel="004A5796">
        <w:rPr>
          <w:rStyle w:val="Emphasis"/>
        </w:rPr>
        <w:t>high</w:t>
      </w:r>
      <w:r w:rsidRPr="00334A3C" w:rsidDel="004A5796">
        <w:t xml:space="preserve"> likelihood of reducing unit costs across the customer base.</w:t>
      </w:r>
      <w:r>
        <w:rPr>
          <w:rStyle w:val="FootnoteReference"/>
        </w:rPr>
        <w:footnoteReference w:id="59"/>
      </w:r>
      <w:r>
        <w:t xml:space="preserve"> </w:t>
      </w:r>
      <w:r w:rsidRPr="009C1354">
        <w:t xml:space="preserve">However, </w:t>
      </w:r>
      <w:r>
        <w:t>it was</w:t>
      </w:r>
      <w:r w:rsidRPr="009C1354">
        <w:t xml:space="preserve"> unconvinced marketing costs are a legitimate step change, noting that marketing is not a new or unexpected expenditure, but a standard cost for most businesses</w:t>
      </w:r>
      <w:r>
        <w:t>.</w:t>
      </w:r>
      <w:r>
        <w:rPr>
          <w:rStyle w:val="FootnoteReference"/>
        </w:rPr>
        <w:footnoteReference w:id="60"/>
      </w:r>
    </w:p>
    <w:p w:rsidR="00C817E9" w:rsidRDefault="00C21D1C" w:rsidP="00C817E9">
      <w:r>
        <w:t>CCP</w:t>
      </w:r>
      <w:r w:rsidR="00780B6E">
        <w:t>11</w:t>
      </w:r>
      <w:r>
        <w:t xml:space="preserve"> also recommended that we carefully assess the proposed step change. </w:t>
      </w:r>
      <w:r w:rsidR="00C817E9">
        <w:t>CCP</w:t>
      </w:r>
      <w:r w:rsidR="00780B6E">
        <w:t>11</w:t>
      </w:r>
      <w:r w:rsidR="00C817E9" w:rsidRPr="00334A3C">
        <w:t xml:space="preserve"> recommended we give consideration to the level of demonstrated stakeholder support, and assess whether it is prudent to encourage new customers to connect to the gas network, and existing customers to renew gas appliances, at a time when wholesale gas prices and hence retail gas prices are predicted to rise substantially.</w:t>
      </w:r>
      <w:r w:rsidR="00C817E9" w:rsidRPr="00CE18D4">
        <w:t xml:space="preserve"> </w:t>
      </w:r>
      <w:r w:rsidR="00780B6E">
        <w:t>C</w:t>
      </w:r>
      <w:r w:rsidR="00C817E9">
        <w:t>CP</w:t>
      </w:r>
      <w:r w:rsidR="00780B6E">
        <w:t>11</w:t>
      </w:r>
      <w:r w:rsidR="00C817E9" w:rsidRPr="00334A3C">
        <w:t xml:space="preserve"> </w:t>
      </w:r>
      <w:r w:rsidR="00C817E9">
        <w:t>submitted that marketing of gas and provision of appliance rebates may not be in the long term interests of individual consumers</w:t>
      </w:r>
      <w:r w:rsidR="00C817E9" w:rsidRPr="00CB1F92">
        <w:t xml:space="preserve"> </w:t>
      </w:r>
      <w:r w:rsidR="00C817E9">
        <w:t>under the circumstances where</w:t>
      </w:r>
      <w:r w:rsidR="00C817E9" w:rsidRPr="00CB1F92">
        <w:t xml:space="preserve"> it is not cost effective to connect a new home to mains gas with efficient electric appliances being an option</w:t>
      </w:r>
      <w:r w:rsidR="00C817E9">
        <w:t>.</w:t>
      </w:r>
      <w:r w:rsidR="00C817E9">
        <w:rPr>
          <w:rStyle w:val="FootnoteReference"/>
        </w:rPr>
        <w:footnoteReference w:id="61"/>
      </w:r>
    </w:p>
    <w:p w:rsidR="00C817E9" w:rsidRDefault="00C817E9" w:rsidP="00C817E9">
      <w:r>
        <w:t>Further, as t</w:t>
      </w:r>
      <w:r w:rsidRPr="008B3B32">
        <w:t>he gas businesses have positioned their customers to be the main beneficiary of their marketing</w:t>
      </w:r>
      <w:r>
        <w:t>,</w:t>
      </w:r>
      <w:r w:rsidRPr="008B3B32">
        <w:t xml:space="preserve"> </w:t>
      </w:r>
      <w:r>
        <w:t>we</w:t>
      </w:r>
      <w:r w:rsidRPr="008B3B32">
        <w:t xml:space="preserve"> consider consumers' views are </w:t>
      </w:r>
      <w:r>
        <w:t>fundamental to our assessment—particularly when the costs to consumers in this access arrangement period are significant.</w:t>
      </w:r>
      <w:r w:rsidRPr="00987F02">
        <w:t xml:space="preserve"> </w:t>
      </w:r>
      <w:r w:rsidR="00A74B34">
        <w:t>Although Multinet stated its stakeholders supported its marketing strategy, Multinet</w:t>
      </w:r>
      <w:r>
        <w:t xml:space="preserve"> did not provide evidence that its customers are willing to accept higher gas prices in the </w:t>
      </w:r>
      <w:r w:rsidR="00A74B34">
        <w:t xml:space="preserve">next </w:t>
      </w:r>
      <w:r>
        <w:t>access arrangement period to fund the proposed marketing program.</w:t>
      </w:r>
      <w:r w:rsidR="00A74B34">
        <w:rPr>
          <w:rStyle w:val="FootnoteReference"/>
        </w:rPr>
        <w:footnoteReference w:id="62"/>
      </w:r>
    </w:p>
    <w:p w:rsidR="00C817E9" w:rsidRDefault="00C817E9" w:rsidP="00C817E9">
      <w:r>
        <w:t>CCP</w:t>
      </w:r>
      <w:r w:rsidR="00780B6E">
        <w:t>11</w:t>
      </w:r>
      <w:r>
        <w:t xml:space="preserve"> is of the view that none of the Victorian gas businesses have demonstrated they have the support of their customers for the proposed marketing expenditure.</w:t>
      </w:r>
      <w:r>
        <w:rPr>
          <w:rStyle w:val="FootnoteReference"/>
        </w:rPr>
        <w:footnoteReference w:id="63"/>
      </w:r>
      <w:r w:rsidRPr="00334A3C">
        <w:t xml:space="preserve"> </w:t>
      </w:r>
    </w:p>
    <w:p w:rsidR="00C817E9" w:rsidRDefault="00C817E9" w:rsidP="00C817E9">
      <w:r>
        <w:t>CCP</w:t>
      </w:r>
      <w:r w:rsidR="00780B6E">
        <w:t>11</w:t>
      </w:r>
      <w:r>
        <w:t xml:space="preserve"> aptly highlighted the following views expr</w:t>
      </w:r>
      <w:r w:rsidR="00983F6D">
        <w:t>essed by participants in AusNet's</w:t>
      </w:r>
      <w:r>
        <w:t xml:space="preserve"> Energy Research Study conducted by Colmar Brunton: </w:t>
      </w:r>
    </w:p>
    <w:p w:rsidR="00C817E9" w:rsidRDefault="00C817E9" w:rsidP="00C817E9">
      <w:pPr>
        <w:pStyle w:val="AERquote"/>
      </w:pPr>
      <w:r w:rsidRPr="007F2FDA">
        <w:t>The options of paying more now and less in future, or of today’s customers paying more so</w:t>
      </w:r>
      <w:r>
        <w:t xml:space="preserve"> </w:t>
      </w:r>
      <w:r w:rsidRPr="007F2FDA">
        <w:t>that those in future can pay less are difficult for customers to form a view on. Those who</w:t>
      </w:r>
      <w:r>
        <w:t xml:space="preserve"> </w:t>
      </w:r>
      <w:r w:rsidRPr="007F2FDA">
        <w:t>were able to give an opinion were generally resistant to this approach due to both</w:t>
      </w:r>
      <w:r>
        <w:t xml:space="preserve"> </w:t>
      </w:r>
      <w:r w:rsidRPr="007F2FDA">
        <w:t>uncertainty about the future and a broader preference fo</w:t>
      </w:r>
      <w:r>
        <w:t>r even distribution of costs.</w:t>
      </w:r>
      <w:r>
        <w:rPr>
          <w:rStyle w:val="FootnoteReference"/>
        </w:rPr>
        <w:footnoteReference w:id="64"/>
      </w:r>
    </w:p>
    <w:p w:rsidR="00C817E9" w:rsidRDefault="00C817E9" w:rsidP="00C817E9">
      <w:r>
        <w:t>Taking into account the CCP</w:t>
      </w:r>
      <w:r w:rsidR="00780B6E">
        <w:t>11</w:t>
      </w:r>
      <w:r>
        <w:t xml:space="preserve">'s concerns, we have assessed the NPV analysis </w:t>
      </w:r>
      <w:r w:rsidR="00327C1B">
        <w:t xml:space="preserve">Multinet </w:t>
      </w:r>
      <w:r>
        <w:t>submitted. We consider two critical assumptions underlying Axiom Economics' NPV analysis are unreasonable and have the effect of substantially overstating the potential benefits of the marketing program. As such, w</w:t>
      </w:r>
      <w:r w:rsidRPr="006D166F">
        <w:t>e are not satisfied the NPV analysis is arrived at on a reasonable basis or represents the best forecast or estimate possible in the circumstances.</w:t>
      </w:r>
      <w:r>
        <w:rPr>
          <w:rStyle w:val="FootnoteReference"/>
        </w:rPr>
        <w:footnoteReference w:id="65"/>
      </w:r>
      <w:r>
        <w:t xml:space="preserve"> </w:t>
      </w:r>
    </w:p>
    <w:p w:rsidR="00C817E9" w:rsidRDefault="00C817E9" w:rsidP="00C817E9">
      <w:r>
        <w:t xml:space="preserve">First, </w:t>
      </w:r>
      <w:r w:rsidRPr="004E401E">
        <w:t>Axiom Economics</w:t>
      </w:r>
      <w:r>
        <w:t>' analysis implicitly assumes that</w:t>
      </w:r>
      <w:r w:rsidRPr="004E401E">
        <w:t xml:space="preserve"> all rebates </w:t>
      </w:r>
      <w:r>
        <w:t>will</w:t>
      </w:r>
      <w:r w:rsidRPr="004E401E">
        <w:t xml:space="preserve"> necessarily </w:t>
      </w:r>
      <w:r>
        <w:t>be taken up by</w:t>
      </w:r>
      <w:r w:rsidRPr="004E401E">
        <w:t xml:space="preserve"> consumers who would not </w:t>
      </w:r>
      <w:r>
        <w:t xml:space="preserve">have otherwise </w:t>
      </w:r>
      <w:r w:rsidRPr="004E401E">
        <w:t>purchase</w:t>
      </w:r>
      <w:r>
        <w:t>d</w:t>
      </w:r>
      <w:r w:rsidRPr="004E401E">
        <w:t xml:space="preserve"> gas appliances.</w:t>
      </w:r>
      <w:r>
        <w:t xml:space="preserve"> </w:t>
      </w:r>
      <w:r w:rsidRPr="00710AD4">
        <w:t xml:space="preserve">We consider this an unrealistic assumption. A certain number of gas appliances would be installed each year even without any rebates. It is therefore likely that some rebates will go to </w:t>
      </w:r>
      <w:r>
        <w:t>consumers</w:t>
      </w:r>
      <w:r w:rsidRPr="00710AD4">
        <w:t xml:space="preserve"> </w:t>
      </w:r>
      <w:r>
        <w:t>who</w:t>
      </w:r>
      <w:r w:rsidRPr="00710AD4">
        <w:t xml:space="preserve"> would have bought a new gas appliance anyway.</w:t>
      </w:r>
      <w:r w:rsidRPr="00781FBE" w:rsidDel="00EF3667">
        <w:t xml:space="preserve"> </w:t>
      </w:r>
      <w:r>
        <w:t>T</w:t>
      </w:r>
      <w:r w:rsidRPr="00781FBE" w:rsidDel="00EF3667">
        <w:t>he cost-effectiveness of the program depends strongly on the extent to which the program stimulates new demand</w:t>
      </w:r>
      <w:r>
        <w:t>,</w:t>
      </w:r>
      <w:r w:rsidRPr="00781FBE" w:rsidDel="00EF3667">
        <w:t xml:space="preserve"> rather than just subsidising demand that would occur anyway.</w:t>
      </w:r>
      <w:r>
        <w:rPr>
          <w:rStyle w:val="FootnoteReference"/>
        </w:rPr>
        <w:footnoteReference w:id="66"/>
      </w:r>
      <w:r>
        <w:t xml:space="preserve"> </w:t>
      </w:r>
    </w:p>
    <w:p w:rsidR="00C817E9" w:rsidRDefault="003D1D7C" w:rsidP="00C817E9">
      <w:r>
        <w:t>In response to an information request, Multinet stated that Axiom did not make any explicit assumptions in its analysis about whether the rebates would be paid to customers who would not otherwise have chosen to purchase a gas appliance.</w:t>
      </w:r>
      <w:r>
        <w:rPr>
          <w:rStyle w:val="FootnoteReference"/>
        </w:rPr>
        <w:footnoteReference w:id="67"/>
      </w:r>
      <w:r w:rsidR="00C740EE">
        <w:t xml:space="preserve"> </w:t>
      </w:r>
      <w:r w:rsidR="00327C1B">
        <w:t>Multinet</w:t>
      </w:r>
      <w:r w:rsidR="00C817E9">
        <w:t xml:space="preserve"> recognised 'in practice it is likely to be difficult to distinguish between those customers that would have purchased the appliance irrespective of the rebate, and those that would not have purchased the appliance'.</w:t>
      </w:r>
      <w:r w:rsidR="00C817E9">
        <w:rPr>
          <w:rStyle w:val="FootnoteReference"/>
        </w:rPr>
        <w:footnoteReference w:id="68"/>
      </w:r>
      <w:r w:rsidR="00C817E9">
        <w:t xml:space="preserve"> We acknowledge the difficulty of forecasting the number of rebates recipients who would choose to purchase gas appliances anyway. However, we consider that ignoring this possibility in the cost–benefit analysis would likely lead to a substantial overestimation of the incremental demand and revenue generated by the marketing campaign.  </w:t>
      </w:r>
    </w:p>
    <w:p w:rsidR="00C817E9" w:rsidRDefault="00AD35C9" w:rsidP="00C817E9">
      <w:r>
        <w:t>Second, Axiom Economics'</w:t>
      </w:r>
      <w:r w:rsidR="00C817E9">
        <w:t xml:space="preserve"> analysis assumes that all rebates will be taken up by consumers who do not have any existing gas appliances connected.</w:t>
      </w:r>
      <w:r w:rsidR="00C817E9">
        <w:rPr>
          <w:rStyle w:val="FootnoteReference"/>
        </w:rPr>
        <w:footnoteReference w:id="69"/>
      </w:r>
      <w:r w:rsidR="00C817E9">
        <w:t xml:space="preserve"> </w:t>
      </w:r>
      <w:r w:rsidR="00A23DB5">
        <w:t>The</w:t>
      </w:r>
      <w:r w:rsidR="00A75C80">
        <w:t xml:space="preserve"> modelling indicates each rebate generates fixed connection charge revenue, which appears to imply that each rebate will stimulate one additional customer connection</w:t>
      </w:r>
      <w:r w:rsidR="00C817E9">
        <w:t xml:space="preserve">. </w:t>
      </w:r>
    </w:p>
    <w:p w:rsidR="00C817E9" w:rsidRDefault="00C817E9" w:rsidP="00C817E9">
      <w:r>
        <w:t xml:space="preserve">This is internally inconsistent with Axiom Economics' report which states </w:t>
      </w:r>
      <w:r w:rsidRPr="00E30566">
        <w:t>only 5</w:t>
      </w:r>
      <w:r>
        <w:t> per cent</w:t>
      </w:r>
      <w:r w:rsidRPr="00E30566">
        <w:t xml:space="preserve"> of the proposed appliance rebates would result in new connections</w:t>
      </w:r>
      <w:r w:rsidRPr="00E30566">
        <w:rPr>
          <w:rStyle w:val="FootnoteReference"/>
        </w:rPr>
        <w:footnoteReference w:id="70"/>
      </w:r>
      <w:r>
        <w:t xml:space="preserve"> and: </w:t>
      </w:r>
    </w:p>
    <w:p w:rsidR="00C817E9" w:rsidRDefault="00C817E9" w:rsidP="00C817E9">
      <w:pPr>
        <w:pStyle w:val="AERquote"/>
      </w:pPr>
      <w:r>
        <w:t xml:space="preserve">[u]nder the proposed rebated program, the Victorian DBS would offer the following rebates to residential customers in metropolitan and regional areas that are looking to </w:t>
      </w:r>
      <w:r w:rsidRPr="00702F57">
        <w:rPr>
          <w:rStyle w:val="AERtextitalic"/>
        </w:rPr>
        <w:t>replace existing gas appliances or purchase additional appliances</w:t>
      </w:r>
      <w:r>
        <w:t xml:space="preserve"> …</w:t>
      </w:r>
      <w:r w:rsidRPr="00E30566">
        <w:rPr>
          <w:rStyle w:val="FootnoteReference"/>
        </w:rPr>
        <w:footnoteReference w:id="71"/>
      </w:r>
      <w:r>
        <w:t xml:space="preserve"> [Emphasis added]</w:t>
      </w:r>
    </w:p>
    <w:p w:rsidR="00C817E9" w:rsidRDefault="00C817E9" w:rsidP="00C817E9">
      <w:r w:rsidRPr="000F34E7">
        <w:t xml:space="preserve">Under the Axiom Economics' modelling, each rebate is assumed to </w:t>
      </w:r>
      <w:r>
        <w:t>generate incremental revenue through additional variable charges and fixed connection charges</w:t>
      </w:r>
      <w:r w:rsidRPr="000F34E7">
        <w:t>.</w:t>
      </w:r>
      <w:r>
        <w:t xml:space="preserve"> </w:t>
      </w:r>
      <w:r w:rsidDel="009230DE">
        <w:t xml:space="preserve">The fixed </w:t>
      </w:r>
      <w:r>
        <w:t xml:space="preserve">connection </w:t>
      </w:r>
      <w:r w:rsidDel="009230DE">
        <w:t xml:space="preserve">charges associated with new connections are a significant component of the forecast incremental revenue. </w:t>
      </w:r>
      <w:r>
        <w:t>O</w:t>
      </w:r>
      <w:r w:rsidRPr="005F453B">
        <w:t>ver-estimating the number of</w:t>
      </w:r>
      <w:r>
        <w:t xml:space="preserve"> new</w:t>
      </w:r>
      <w:r w:rsidRPr="005F453B">
        <w:t xml:space="preserve"> connections </w:t>
      </w:r>
      <w:r>
        <w:t>will therefore result in</w:t>
      </w:r>
      <w:r w:rsidRPr="005F453B">
        <w:t xml:space="preserve"> a substantial over-estimation of the additional revenue</w:t>
      </w:r>
      <w:r>
        <w:t xml:space="preserve"> arising from</w:t>
      </w:r>
      <w:r w:rsidRPr="005F453B">
        <w:t xml:space="preserve"> the </w:t>
      </w:r>
      <w:r>
        <w:t xml:space="preserve">marketing </w:t>
      </w:r>
      <w:r w:rsidRPr="005F453B">
        <w:t>program.</w:t>
      </w:r>
    </w:p>
    <w:p w:rsidR="00C817E9" w:rsidRDefault="00C817E9" w:rsidP="00C817E9">
      <w:r>
        <w:t xml:space="preserve">Axiom Economics did not justify why it is reasonable to assume each rebate will necessarily result in a new connection. We expect the typical gas customer in Victoria has more than one gas appliance and we consider it is unrealistic to assume all customers who take up the rebates have no existing gas appliances installed, or will purchase only one gas appliance and not take up more than one rebate. Therefore, we consider the projected revenue flowing from fixed connection charges in the NPV analysis is overstated. </w:t>
      </w:r>
    </w:p>
    <w:p w:rsidR="00C817E9" w:rsidRDefault="00C817E9" w:rsidP="00C817E9">
      <w:r w:rsidRPr="000F34E7">
        <w:t xml:space="preserve">In </w:t>
      </w:r>
      <w:r>
        <w:t>summary</w:t>
      </w:r>
      <w:r w:rsidRPr="000F34E7">
        <w:t xml:space="preserve">, </w:t>
      </w:r>
      <w:r>
        <w:t xml:space="preserve">we consider </w:t>
      </w:r>
      <w:r w:rsidRPr="000F34E7">
        <w:t xml:space="preserve">Axiom Economics has </w:t>
      </w:r>
      <w:r>
        <w:t>overstated</w:t>
      </w:r>
      <w:r w:rsidRPr="000F34E7">
        <w:t xml:space="preserve"> the </w:t>
      </w:r>
      <w:r>
        <w:t xml:space="preserve">benefits of the marketing program. </w:t>
      </w:r>
      <w:r w:rsidRPr="000F34E7">
        <w:t>Due to large variations in network prices across regions</w:t>
      </w:r>
      <w:r>
        <w:t>,</w:t>
      </w:r>
      <w:r w:rsidRPr="000F34E7">
        <w:t xml:space="preserve"> the NPV of the marketing program varies widely from one region to another. </w:t>
      </w:r>
      <w:r>
        <w:t xml:space="preserve">We are concerned there is a high risk that the net benefit of the proposed marketing and the reduction in prices for consumers will not eventuate as forecast. The benefits to consumers are, at best, finely balanced. Moreover, apart from the NPV analysis, </w:t>
      </w:r>
      <w:r w:rsidR="003D1D7C">
        <w:t>Multinet</w:t>
      </w:r>
      <w:r>
        <w:t xml:space="preserve"> did not provide any evidence to demonstrate the effectiveness of similar marketing programs undertaken in other jurisdictions.</w:t>
      </w:r>
      <w:r>
        <w:rPr>
          <w:rStyle w:val="FootnoteReference"/>
        </w:rPr>
        <w:footnoteReference w:id="72"/>
      </w:r>
      <w:r w:rsidRPr="006700AA">
        <w:t xml:space="preserve"> </w:t>
      </w:r>
      <w:r>
        <w:t>For these reasons, w</w:t>
      </w:r>
      <w:r w:rsidRPr="000F34E7">
        <w:t xml:space="preserve">e consider the proposed marketing expenditure is not a cost that </w:t>
      </w:r>
      <w:r>
        <w:t xml:space="preserve">would be incurred by </w:t>
      </w:r>
      <w:r w:rsidRPr="000F34E7">
        <w:t>a prudent service provider acting efficiently.</w:t>
      </w:r>
      <w:r w:rsidRPr="000F34E7">
        <w:rPr>
          <w:rStyle w:val="FootnoteReference"/>
        </w:rPr>
        <w:footnoteReference w:id="73"/>
      </w:r>
      <w:r>
        <w:t xml:space="preserve"> </w:t>
      </w:r>
    </w:p>
    <w:p w:rsidR="00B812AC" w:rsidRPr="00605853" w:rsidRDefault="00B812AC" w:rsidP="00B812AC">
      <w:pPr>
        <w:pStyle w:val="Heading3"/>
      </w:pPr>
      <w:bookmarkStart w:id="113" w:name="_Toc475028904"/>
      <w:bookmarkStart w:id="114" w:name="_Toc486838091"/>
      <w:r>
        <w:t>Category specific forecasts</w:t>
      </w:r>
      <w:bookmarkEnd w:id="113"/>
      <w:bookmarkEnd w:id="114"/>
    </w:p>
    <w:p w:rsidR="00B812AC" w:rsidRDefault="00B812AC" w:rsidP="00B812AC">
      <w:pPr>
        <w:rPr>
          <w:rStyle w:val="AERbody"/>
        </w:rPr>
      </w:pPr>
      <w:r w:rsidRPr="00962B71">
        <w:t xml:space="preserve">We included </w:t>
      </w:r>
      <w:r>
        <w:t>a category specific forecast for debt raising costs</w:t>
      </w:r>
      <w:r w:rsidRPr="00962B71">
        <w:t xml:space="preserve"> </w:t>
      </w:r>
      <w:r>
        <w:t>of $</w:t>
      </w:r>
      <w:r w:rsidR="00D07662">
        <w:t>3.1</w:t>
      </w:r>
      <w:r>
        <w:t xml:space="preserve"> million ($2017)</w:t>
      </w:r>
      <w:r w:rsidRPr="00962B71">
        <w:t xml:space="preserve">. </w:t>
      </w:r>
      <w:r w:rsidRPr="00BC4DFC">
        <w:rPr>
          <w:rStyle w:val="AERbody"/>
        </w:rPr>
        <w:t xml:space="preserve">Debt raising costs are transaction costs incurred each time debt is raised or refinanced. We forecast them </w:t>
      </w:r>
      <w:r w:rsidRPr="002F6520">
        <w:t>based on a benchmarking approach rather than a service provider’s actual costs</w:t>
      </w:r>
      <w:r>
        <w:t xml:space="preserve"> for consistency with the </w:t>
      </w:r>
      <w:r w:rsidRPr="002F6520">
        <w:t>forecast of the cost of debt in the rate of return building block</w:t>
      </w:r>
      <w:r w:rsidRPr="00BC4DFC">
        <w:rPr>
          <w:rStyle w:val="AERbody"/>
        </w:rPr>
        <w:t xml:space="preserve">. </w:t>
      </w:r>
      <w:r>
        <w:rPr>
          <w:rStyle w:val="AERbody"/>
        </w:rPr>
        <w:t>Further details</w:t>
      </w:r>
      <w:r w:rsidRPr="00BC4DFC">
        <w:rPr>
          <w:rStyle w:val="AERbody"/>
        </w:rPr>
        <w:t xml:space="preserve"> are set out in the debt and equity raising </w:t>
      </w:r>
      <w:r w:rsidRPr="008A63FD">
        <w:t>costs appendix in the rate of return attachment</w:t>
      </w:r>
      <w:r w:rsidRPr="00BC4DFC">
        <w:rPr>
          <w:rStyle w:val="AERbody"/>
        </w:rPr>
        <w:t>.</w:t>
      </w:r>
    </w:p>
    <w:p w:rsidR="006E40BF" w:rsidRPr="00605853" w:rsidRDefault="006E40BF" w:rsidP="006E40BF">
      <w:pPr>
        <w:pStyle w:val="Heading3"/>
      </w:pPr>
      <w:bookmarkStart w:id="115" w:name="_Toc486838092"/>
      <w:r>
        <w:t>Interrelationships</w:t>
      </w:r>
      <w:bookmarkEnd w:id="115"/>
    </w:p>
    <w:p w:rsidR="006E40BF" w:rsidRPr="00232F50" w:rsidRDefault="006E40BF" w:rsidP="006E40BF">
      <w:r w:rsidRPr="00232F50">
        <w:t xml:space="preserve">In assessing </w:t>
      </w:r>
      <w:r>
        <w:t>Multinet's</w:t>
      </w:r>
      <w:r w:rsidRPr="00232F50">
        <w:t xml:space="preserve"> total forecast opex we took into account other components of its regulatory proposal, including:</w:t>
      </w:r>
    </w:p>
    <w:p w:rsidR="006E40BF" w:rsidRPr="00232F50" w:rsidRDefault="006E40BF" w:rsidP="006E40BF">
      <w:pPr>
        <w:pStyle w:val="AERbulletlistfirststyle"/>
      </w:pPr>
      <w:r w:rsidRPr="00232F50">
        <w:t xml:space="preserve">the operation of the </w:t>
      </w:r>
      <w:r>
        <w:t>efficiency carryover mechanism</w:t>
      </w:r>
      <w:r w:rsidRPr="00232F50">
        <w:t xml:space="preserve"> in the 201</w:t>
      </w:r>
      <w:r>
        <w:t>3</w:t>
      </w:r>
      <w:r w:rsidRPr="00232F50">
        <w:t xml:space="preserve">–17 </w:t>
      </w:r>
      <w:r>
        <w:t xml:space="preserve">access arrangement period, which provided Multinet </w:t>
      </w:r>
      <w:r w:rsidRPr="00232F50">
        <w:t>an incen</w:t>
      </w:r>
      <w:r>
        <w:t xml:space="preserve">tive to reduce opex </w:t>
      </w:r>
    </w:p>
    <w:p w:rsidR="006E40BF" w:rsidRPr="00232F50" w:rsidRDefault="006E40BF" w:rsidP="006E40BF">
      <w:pPr>
        <w:pStyle w:val="AERbulletlistfirststyle"/>
      </w:pPr>
      <w:r w:rsidRPr="00232F50">
        <w:t>the impact of cost drivers that affect both forecast opex and forecast capex—for example, forecast maximum demand affects forecast augmentation capex and forecast output growth used in estimating the rate of change in opex</w:t>
      </w:r>
    </w:p>
    <w:p w:rsidR="006E40BF" w:rsidRPr="00232F50" w:rsidRDefault="006E40BF" w:rsidP="006E40BF">
      <w:pPr>
        <w:pStyle w:val="AERbulletlistfirststyle"/>
      </w:pPr>
      <w:r w:rsidRPr="00232F50">
        <w:t>the approach to assessing the rate of return, to ensure there is consistency between our determination of debt raising costs and the rate of return building block</w:t>
      </w:r>
    </w:p>
    <w:p w:rsidR="006E40BF" w:rsidRDefault="006E40BF" w:rsidP="00B812AC">
      <w:pPr>
        <w:pStyle w:val="AERbulletlistfirststyle"/>
        <w:rPr>
          <w:rStyle w:val="AERbody"/>
        </w:rPr>
      </w:pPr>
      <w:r w:rsidRPr="00232F50">
        <w:t xml:space="preserve">the outcomes of </w:t>
      </w:r>
      <w:r>
        <w:t>Multinet</w:t>
      </w:r>
      <w:r w:rsidRPr="00232F50">
        <w:t>'</w:t>
      </w:r>
      <w:r>
        <w:t>s</w:t>
      </w:r>
      <w:r w:rsidRPr="00232F50">
        <w:t xml:space="preserve"> consumer engagement in developing its regulatory proposal.</w:t>
      </w:r>
    </w:p>
    <w:p w:rsidR="00D5015C" w:rsidRDefault="00D5015C" w:rsidP="00D5015C">
      <w:pPr>
        <w:pStyle w:val="Heading2"/>
      </w:pPr>
      <w:bookmarkStart w:id="116" w:name="_Toc486838093"/>
      <w:r>
        <w:t>Revisions</w:t>
      </w:r>
      <w:bookmarkEnd w:id="116"/>
    </w:p>
    <w:p w:rsidR="006B7800" w:rsidRPr="00654730" w:rsidRDefault="002A7B2B" w:rsidP="006B7800">
      <w:r>
        <w:t>We require</w:t>
      </w:r>
      <w:r w:rsidR="006B7800" w:rsidRPr="00654730">
        <w:t xml:space="preserve"> </w:t>
      </w:r>
      <w:r w:rsidR="006B7800">
        <w:t>Multinet</w:t>
      </w:r>
      <w:r w:rsidR="006B7800" w:rsidRPr="00654730">
        <w:t xml:space="preserve"> </w:t>
      </w:r>
      <w:r w:rsidR="006B7800">
        <w:t xml:space="preserve">to </w:t>
      </w:r>
      <w:r w:rsidR="006B7800" w:rsidRPr="00654730">
        <w:t xml:space="preserve">make the following revisions to its </w:t>
      </w:r>
      <w:r w:rsidR="006B7800">
        <w:t>a</w:t>
      </w:r>
      <w:r w:rsidR="006B7800" w:rsidRPr="00654730">
        <w:t>ccess arrangement proposal consistent with the NGR and NGL:</w:t>
      </w:r>
    </w:p>
    <w:p w:rsidR="00D5015C" w:rsidRDefault="006B7800" w:rsidP="006B7800">
      <w:r w:rsidRPr="00DD5048">
        <w:rPr>
          <w:rStyle w:val="Strong"/>
        </w:rPr>
        <w:t>Revision 7.1:</w:t>
      </w:r>
      <w:r w:rsidRPr="00654730">
        <w:t xml:space="preserve"> Make all necessary amendments to reflect </w:t>
      </w:r>
      <w:r w:rsidR="002A7B2B">
        <w:t>our</w:t>
      </w:r>
      <w:r w:rsidRPr="00654730">
        <w:t xml:space="preserve"> draft decision on the proposed opex for the 2018–</w:t>
      </w:r>
      <w:r w:rsidR="00AD4FEF">
        <w:t>2</w:t>
      </w:r>
      <w:r w:rsidR="00AD4FEF" w:rsidRPr="00654730">
        <w:t xml:space="preserve">2 </w:t>
      </w:r>
      <w:r w:rsidRPr="00654730">
        <w:t xml:space="preserve">access arrangement </w:t>
      </w:r>
      <w:proofErr w:type="gramStart"/>
      <w:r w:rsidRPr="00654730">
        <w:t>period</w:t>
      </w:r>
      <w:proofErr w:type="gramEnd"/>
      <w:r w:rsidRPr="00654730">
        <w:t>, as set out in</w:t>
      </w:r>
      <w:r>
        <w:t xml:space="preserve"> </w:t>
      </w:r>
      <w:r w:rsidR="00AD35C9">
        <w:br/>
      </w:r>
      <w:r>
        <w:fldChar w:fldCharType="begin"/>
      </w:r>
      <w:r>
        <w:instrText xml:space="preserve"> REF _Ref473124021 \h </w:instrText>
      </w:r>
      <w:r>
        <w:fldChar w:fldCharType="separate"/>
      </w:r>
      <w:r w:rsidR="009270AF">
        <w:t xml:space="preserve">Table </w:t>
      </w:r>
      <w:r w:rsidR="009270AF">
        <w:rPr>
          <w:noProof/>
        </w:rPr>
        <w:t>7</w:t>
      </w:r>
      <w:r w:rsidR="009270AF">
        <w:t>.</w:t>
      </w:r>
      <w:r w:rsidR="009270AF">
        <w:rPr>
          <w:noProof/>
        </w:rPr>
        <w:t>1</w:t>
      </w:r>
      <w:r>
        <w:fldChar w:fldCharType="end"/>
      </w:r>
      <w:r>
        <w:t>.</w:t>
      </w:r>
    </w:p>
    <w:sectPr w:rsidR="00D5015C" w:rsidSect="00CF42AA">
      <w:headerReference w:type="default" r:id="rId20"/>
      <w:footerReference w:type="even" r:id="rId21"/>
      <w:footerReference w:type="default" r:id="rId22"/>
      <w:footerReference w:type="first" r:id="rId23"/>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B45" w:rsidRPr="00290C63" w:rsidRDefault="00EF4B45" w:rsidP="00290C63">
      <w:r>
        <w:separator/>
      </w:r>
    </w:p>
    <w:p w:rsidR="00EF4B45" w:rsidRDefault="00EF4B45"/>
  </w:endnote>
  <w:endnote w:type="continuationSeparator" w:id="0">
    <w:p w:rsidR="00EF4B45" w:rsidRPr="00290C63" w:rsidRDefault="00EF4B45" w:rsidP="00290C63">
      <w:r>
        <w:continuationSeparator/>
      </w:r>
    </w:p>
    <w:p w:rsidR="00EF4B45" w:rsidRDefault="00EF4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B45" w:rsidRPr="00290C63" w:rsidRDefault="00EF4B4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F4B45" w:rsidRDefault="00EF4B45"/>
  <w:p w:rsidR="00EF4B45" w:rsidRDefault="00EF4B45"/>
  <w:p w:rsidR="00EF4B45" w:rsidRDefault="00EF4B45"/>
  <w:p w:rsidR="00EF4B45" w:rsidRDefault="00EF4B45"/>
  <w:p w:rsidR="00EF4B45" w:rsidRDefault="00EF4B45"/>
  <w:p w:rsidR="00EF4B45" w:rsidRDefault="00EF4B45"/>
  <w:p w:rsidR="00EF4B45" w:rsidRDefault="00EF4B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EF4B45" w:rsidRPr="009B6F84" w:rsidRDefault="00EF4B45">
        <w:pPr>
          <w:pStyle w:val="Footer"/>
          <w:rPr>
            <w:sz w:val="20"/>
          </w:rPr>
        </w:pPr>
        <w:r>
          <w:fldChar w:fldCharType="begin"/>
        </w:r>
        <w:r>
          <w:instrText xml:space="preserve"> PAGE   \* MERGEFORMAT </w:instrText>
        </w:r>
        <w:r>
          <w:fldChar w:fldCharType="separate"/>
        </w:r>
        <w:r w:rsidR="009270AF">
          <w:rPr>
            <w:noProof/>
          </w:rPr>
          <w:t>7-0</w:t>
        </w:r>
        <w:r>
          <w:rPr>
            <w:noProof/>
          </w:rPr>
          <w:fldChar w:fldCharType="end"/>
        </w:r>
        <w:r>
          <w:rPr>
            <w:noProof/>
          </w:rPr>
          <w:t xml:space="preserve">          </w:t>
        </w:r>
        <w:r>
          <w:t xml:space="preserve">Attachment 7 </w:t>
        </w:r>
        <w:r w:rsidRPr="000474DF">
          <w:t>−</w:t>
        </w:r>
        <w:r>
          <w:t xml:space="preserve"> Operating expenditure</w:t>
        </w:r>
        <w:r w:rsidRPr="009B6F84">
          <w:rPr>
            <w:rFonts w:cs="Gautami"/>
            <w:noProof/>
            <w:szCs w:val="16"/>
          </w:rPr>
          <w:t xml:space="preserve"> | </w:t>
        </w:r>
        <w:r>
          <w:t>Draft decision - Multinet Gas access arrangement</w:t>
        </w:r>
        <w:r w:rsidRPr="00D5015C">
          <w:t xml:space="preserve"> 201</w:t>
        </w:r>
        <w:r>
          <w:t>8</w:t>
        </w:r>
        <w:r w:rsidRPr="00D5015C">
          <w:t>–</w:t>
        </w:r>
        <w:r>
          <w:t>22</w:t>
        </w:r>
      </w:p>
    </w:sdtContent>
  </w:sdt>
  <w:p w:rsidR="00EF4B45" w:rsidRDefault="00EF4B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B45" w:rsidRPr="00290C63" w:rsidRDefault="00EF4B4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F4B45" w:rsidRDefault="00EF4B45">
    <w:pPr>
      <w:pStyle w:val="Footer"/>
    </w:pPr>
  </w:p>
  <w:p w:rsidR="00EF4B45" w:rsidRDefault="00EF4B45"/>
  <w:p w:rsidR="00EF4B45" w:rsidRDefault="00EF4B45"/>
  <w:p w:rsidR="00EF4B45" w:rsidRDefault="00EF4B45"/>
  <w:p w:rsidR="00EF4B45" w:rsidRDefault="00EF4B45"/>
  <w:p w:rsidR="00EF4B45" w:rsidRDefault="00EF4B45"/>
  <w:p w:rsidR="00EF4B45" w:rsidRDefault="00EF4B45"/>
  <w:p w:rsidR="00EF4B45" w:rsidRDefault="00EF4B4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B45" w:rsidRPr="00290C63" w:rsidRDefault="00EF4B4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F4B45" w:rsidRDefault="00EF4B45"/>
  <w:p w:rsidR="00EF4B45" w:rsidRDefault="00EF4B45"/>
  <w:p w:rsidR="00EF4B45" w:rsidRDefault="00EF4B45"/>
  <w:p w:rsidR="00EF4B45" w:rsidRDefault="00EF4B45"/>
  <w:p w:rsidR="00EF4B45" w:rsidRDefault="00EF4B45"/>
  <w:p w:rsidR="00EF4B45" w:rsidRDefault="00EF4B45"/>
  <w:p w:rsidR="00EF4B45" w:rsidRDefault="00EF4B4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EF4B45" w:rsidRPr="009B6F84" w:rsidRDefault="00EF4B45">
        <w:pPr>
          <w:pStyle w:val="Footer"/>
          <w:rPr>
            <w:sz w:val="20"/>
          </w:rPr>
        </w:pPr>
        <w:r>
          <w:fldChar w:fldCharType="begin"/>
        </w:r>
        <w:r>
          <w:instrText xml:space="preserve"> PAGE   \* MERGEFORMAT </w:instrText>
        </w:r>
        <w:r>
          <w:fldChar w:fldCharType="separate"/>
        </w:r>
        <w:r w:rsidR="009270AF">
          <w:rPr>
            <w:noProof/>
          </w:rPr>
          <w:t>7-33</w:t>
        </w:r>
        <w:r>
          <w:rPr>
            <w:noProof/>
          </w:rPr>
          <w:fldChar w:fldCharType="end"/>
        </w:r>
        <w:r>
          <w:rPr>
            <w:noProof/>
          </w:rPr>
          <w:t xml:space="preserve">          </w:t>
        </w:r>
        <w:r>
          <w:t xml:space="preserve">Attachment 7 </w:t>
        </w:r>
        <w:r w:rsidRPr="000474DF">
          <w:t>−</w:t>
        </w:r>
        <w:r>
          <w:t xml:space="preserve"> Operating expenditure</w:t>
        </w:r>
        <w:r w:rsidRPr="00D5015C">
          <w:t xml:space="preserve"> | </w:t>
        </w:r>
        <w:r>
          <w:t>Draft decision - Multinet Gas access arrangement</w:t>
        </w:r>
        <w:r w:rsidRPr="00D5015C">
          <w:t xml:space="preserve"> 201</w:t>
        </w:r>
        <w:r>
          <w:t>8</w:t>
        </w:r>
        <w:r w:rsidRPr="00D5015C">
          <w:t>–</w:t>
        </w:r>
        <w:r>
          <w:t>22</w:t>
        </w:r>
      </w:p>
    </w:sdtContent>
  </w:sdt>
  <w:p w:rsidR="00EF4B45" w:rsidRDefault="00EF4B4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B45" w:rsidRPr="00290C63" w:rsidRDefault="00EF4B4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F4B45" w:rsidRDefault="00EF4B45">
    <w:pPr>
      <w:pStyle w:val="Footer"/>
    </w:pPr>
  </w:p>
  <w:p w:rsidR="00EF4B45" w:rsidRDefault="00EF4B45"/>
  <w:p w:rsidR="00EF4B45" w:rsidRDefault="00EF4B45"/>
  <w:p w:rsidR="00EF4B45" w:rsidRDefault="00EF4B45"/>
  <w:p w:rsidR="00EF4B45" w:rsidRDefault="00EF4B45"/>
  <w:p w:rsidR="00EF4B45" w:rsidRDefault="00EF4B45"/>
  <w:p w:rsidR="00EF4B45" w:rsidRDefault="00EF4B45"/>
  <w:p w:rsidR="00EF4B45" w:rsidRDefault="00EF4B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B45" w:rsidRPr="00290C63" w:rsidRDefault="00EF4B45" w:rsidP="00290C63">
      <w:r>
        <w:separator/>
      </w:r>
    </w:p>
    <w:p w:rsidR="00EF4B45" w:rsidRDefault="00EF4B45"/>
  </w:footnote>
  <w:footnote w:type="continuationSeparator" w:id="0">
    <w:p w:rsidR="00EF4B45" w:rsidRPr="00290C63" w:rsidRDefault="00EF4B45" w:rsidP="00290C63">
      <w:r>
        <w:continuationSeparator/>
      </w:r>
    </w:p>
    <w:p w:rsidR="00EF4B45" w:rsidRDefault="00EF4B45"/>
  </w:footnote>
  <w:footnote w:id="1">
    <w:p w:rsidR="00EF4B45" w:rsidRDefault="00EF4B45" w:rsidP="00B812AC">
      <w:pPr>
        <w:pStyle w:val="FootnoteText"/>
      </w:pPr>
      <w:r>
        <w:rPr>
          <w:rStyle w:val="FootnoteReference"/>
        </w:rPr>
        <w:footnoteRef/>
      </w:r>
      <w:r>
        <w:t xml:space="preserve"> </w:t>
      </w:r>
      <w:r>
        <w:tab/>
        <w:t>Includes ancillary reference services and debt raising costs.</w:t>
      </w:r>
    </w:p>
  </w:footnote>
  <w:footnote w:id="2">
    <w:p w:rsidR="00EF4B45" w:rsidRDefault="00EF4B45" w:rsidP="00F263F5">
      <w:pPr>
        <w:pStyle w:val="FootnoteText"/>
      </w:pPr>
      <w:r>
        <w:rPr>
          <w:rStyle w:val="FootnoteReference"/>
        </w:rPr>
        <w:footnoteRef/>
      </w:r>
      <w:r>
        <w:t xml:space="preserve"> </w:t>
      </w:r>
      <w:r>
        <w:tab/>
      </w:r>
      <w:r w:rsidRPr="00D70A4C">
        <w:t>NGR, r. 91.</w:t>
      </w:r>
    </w:p>
  </w:footnote>
  <w:footnote w:id="3">
    <w:p w:rsidR="00EF4B45" w:rsidRDefault="00EF4B45" w:rsidP="00E02ED8">
      <w:pPr>
        <w:pStyle w:val="FootnoteText"/>
      </w:pPr>
      <w:r>
        <w:rPr>
          <w:rStyle w:val="FootnoteReference"/>
        </w:rPr>
        <w:footnoteRef/>
      </w:r>
      <w:r>
        <w:t xml:space="preserve"> </w:t>
      </w:r>
      <w:r>
        <w:tab/>
        <w:t>Includes ancillary reference services and debt raising costs;</w:t>
      </w:r>
      <w:r w:rsidRPr="009B0800">
        <w:t xml:space="preserve"> </w:t>
      </w:r>
      <w:r w:rsidRPr="00D70A4C">
        <w:t>NGR, r</w:t>
      </w:r>
      <w:r>
        <w:t>r</w:t>
      </w:r>
      <w:r w:rsidRPr="00D70A4C">
        <w:t xml:space="preserve">. </w:t>
      </w:r>
      <w:r>
        <w:t xml:space="preserve">74, </w:t>
      </w:r>
      <w:r w:rsidRPr="00D70A4C">
        <w:t>91.</w:t>
      </w:r>
    </w:p>
  </w:footnote>
  <w:footnote w:id="4">
    <w:p w:rsidR="00EF4B45" w:rsidRDefault="00EF4B45">
      <w:pPr>
        <w:pStyle w:val="FootnoteText"/>
      </w:pPr>
      <w:r>
        <w:rPr>
          <w:rStyle w:val="FootnoteReference"/>
        </w:rPr>
        <w:footnoteRef/>
      </w:r>
      <w:r>
        <w:t xml:space="preserve"> </w:t>
      </w:r>
      <w:r>
        <w:tab/>
        <w:t>Includes debt raising costs.</w:t>
      </w:r>
    </w:p>
  </w:footnote>
  <w:footnote w:id="5">
    <w:p w:rsidR="00EF4B45" w:rsidRDefault="00EF4B45">
      <w:pPr>
        <w:pStyle w:val="FootnoteText"/>
      </w:pPr>
      <w:r>
        <w:rPr>
          <w:rStyle w:val="FootnoteReference"/>
        </w:rPr>
        <w:footnoteRef/>
      </w:r>
      <w:r>
        <w:t xml:space="preserve"> </w:t>
      </w:r>
      <w:r>
        <w:tab/>
        <w:t>Actual opex comprises actual opex for 2013 to 2016 and estimated opex for 2017.</w:t>
      </w:r>
    </w:p>
  </w:footnote>
  <w:footnote w:id="6">
    <w:p w:rsidR="00EF4B45" w:rsidRDefault="00EF4B45">
      <w:pPr>
        <w:pStyle w:val="FootnoteText"/>
      </w:pPr>
      <w:r>
        <w:rPr>
          <w:rStyle w:val="FootnoteReference"/>
        </w:rPr>
        <w:footnoteRef/>
      </w:r>
      <w:r>
        <w:t xml:space="preserve"> </w:t>
      </w:r>
      <w:r>
        <w:tab/>
        <w:t xml:space="preserve">Although United Communities' submission focuses on AGN's access arrangement proposal, its view on AGN's marketing step change is relevant to AusNet and Multinet's proposed step change, given the distributors have proposed a joint marketing campaign.   </w:t>
      </w:r>
    </w:p>
  </w:footnote>
  <w:footnote w:id="7">
    <w:p w:rsidR="00EF4B45" w:rsidRDefault="00EF4B45" w:rsidP="00C21D1C">
      <w:pPr>
        <w:pStyle w:val="FootnoteText"/>
      </w:pPr>
      <w:r>
        <w:rPr>
          <w:rStyle w:val="FootnoteReference"/>
        </w:rPr>
        <w:footnoteRef/>
      </w:r>
      <w:r>
        <w:t xml:space="preserve"> </w:t>
      </w:r>
      <w:r>
        <w:tab/>
      </w:r>
      <w:r w:rsidRPr="002066F7">
        <w:t>Origin Energy</w:t>
      </w:r>
      <w:r>
        <w:t>,</w:t>
      </w:r>
      <w:r w:rsidRPr="002066F7">
        <w:t xml:space="preserve"> </w:t>
      </w:r>
      <w:r w:rsidRPr="002066F7">
        <w:rPr>
          <w:rStyle w:val="AERtextitalic"/>
        </w:rPr>
        <w:t>Victorian gas access arrangement review 2018–22—Response to gas distribution businesses' proposals</w:t>
      </w:r>
      <w:r>
        <w:t xml:space="preserve">, </w:t>
      </w:r>
      <w:r w:rsidRPr="002066F7">
        <w:t>10 March 2017</w:t>
      </w:r>
      <w:r>
        <w:t>, p. 2.</w:t>
      </w:r>
    </w:p>
  </w:footnote>
  <w:footnote w:id="8">
    <w:p w:rsidR="00EF4B45" w:rsidRPr="00501F80" w:rsidRDefault="00EF4B45" w:rsidP="00C740EE">
      <w:pPr>
        <w:pStyle w:val="FootnoteText"/>
      </w:pPr>
      <w:r w:rsidRPr="00501F80">
        <w:rPr>
          <w:rStyle w:val="FootnoteReference"/>
        </w:rPr>
        <w:footnoteRef/>
      </w:r>
      <w:r w:rsidRPr="00501F80">
        <w:t xml:space="preserve"> </w:t>
      </w:r>
      <w:r>
        <w:tab/>
      </w:r>
      <w:r w:rsidRPr="00501F80">
        <w:t>NGR, rr. 91</w:t>
      </w:r>
      <w:r>
        <w:t xml:space="preserve">, </w:t>
      </w:r>
      <w:r w:rsidRPr="00501F80">
        <w:t>40(2).</w:t>
      </w:r>
    </w:p>
  </w:footnote>
  <w:footnote w:id="9">
    <w:p w:rsidR="00EF4B45" w:rsidRPr="00501F80" w:rsidRDefault="00EF4B45" w:rsidP="00C740EE">
      <w:pPr>
        <w:pStyle w:val="FootnoteText"/>
      </w:pPr>
      <w:r w:rsidRPr="00501F80">
        <w:rPr>
          <w:rStyle w:val="FootnoteReference"/>
        </w:rPr>
        <w:footnoteRef/>
      </w:r>
      <w:r w:rsidRPr="00501F80">
        <w:t xml:space="preserve"> </w:t>
      </w:r>
      <w:r>
        <w:tab/>
      </w:r>
      <w:r w:rsidRPr="00501F80">
        <w:t>NGR, r</w:t>
      </w:r>
      <w:r>
        <w:t xml:space="preserve">. </w:t>
      </w:r>
      <w:r w:rsidRPr="00501F80">
        <w:t xml:space="preserve">74(2). </w:t>
      </w:r>
    </w:p>
  </w:footnote>
  <w:footnote w:id="10">
    <w:p w:rsidR="00EF4B45" w:rsidRDefault="00EF4B45" w:rsidP="00C740EE">
      <w:pPr>
        <w:pStyle w:val="FootnoteText"/>
      </w:pPr>
      <w:r w:rsidRPr="00235F1E">
        <w:rPr>
          <w:rStyle w:val="FootnoteReference"/>
        </w:rPr>
        <w:footnoteRef/>
      </w:r>
      <w:r w:rsidRPr="00617644">
        <w:t xml:space="preserve"> </w:t>
      </w:r>
      <w:r>
        <w:tab/>
      </w:r>
      <w:r w:rsidRPr="00DF50C5">
        <w:t>A 'top-down' approach forecasts total opex at an aggregate level, rather than forecasting individual projects or categories to build a total opex forecast from the 'bottom up'.</w:t>
      </w:r>
    </w:p>
  </w:footnote>
  <w:footnote w:id="11">
    <w:p w:rsidR="00EF4B45" w:rsidRDefault="00EF4B45" w:rsidP="00C740EE">
      <w:pPr>
        <w:pStyle w:val="FootnoteText"/>
      </w:pPr>
      <w:r>
        <w:rPr>
          <w:rStyle w:val="FootnoteReference"/>
        </w:rPr>
        <w:footnoteRef/>
      </w:r>
      <w:r>
        <w:t xml:space="preserve"> </w:t>
      </w:r>
      <w:r>
        <w:tab/>
        <w:t xml:space="preserve">NGL, s28(1). </w:t>
      </w:r>
    </w:p>
  </w:footnote>
  <w:footnote w:id="12">
    <w:p w:rsidR="00EF4B45" w:rsidRDefault="00EF4B45" w:rsidP="00C740EE">
      <w:pPr>
        <w:pStyle w:val="FootnoteText"/>
      </w:pPr>
      <w:r>
        <w:rPr>
          <w:rStyle w:val="FootnoteReference"/>
        </w:rPr>
        <w:footnoteRef/>
      </w:r>
      <w:r>
        <w:t xml:space="preserve"> </w:t>
      </w:r>
      <w:r>
        <w:tab/>
      </w:r>
      <w:r w:rsidRPr="008F3919">
        <w:t xml:space="preserve">Productivity Commission, </w:t>
      </w:r>
      <w:r w:rsidRPr="00543025">
        <w:rPr>
          <w:rStyle w:val="Emphasis"/>
        </w:rPr>
        <w:t>Electricity Network Regulatory Frameworks, volume 1, No. 62</w:t>
      </w:r>
      <w:r>
        <w:t>, 9 April 2013, p. 188</w:t>
      </w:r>
      <w:r w:rsidRPr="008F3919">
        <w:t xml:space="preserve">.  </w:t>
      </w:r>
    </w:p>
  </w:footnote>
  <w:footnote w:id="13">
    <w:p w:rsidR="00EF4B45" w:rsidRDefault="00EF4B45" w:rsidP="00C740EE">
      <w:pPr>
        <w:pStyle w:val="FootnoteText"/>
      </w:pPr>
      <w:r>
        <w:rPr>
          <w:rStyle w:val="FootnoteReference"/>
        </w:rPr>
        <w:footnoteRef/>
      </w:r>
      <w:r>
        <w:t xml:space="preserve"> </w:t>
      </w:r>
      <w:r>
        <w:tab/>
      </w:r>
      <w:r w:rsidRPr="008F3919">
        <w:t xml:space="preserve">Productivity Commission, </w:t>
      </w:r>
      <w:r w:rsidRPr="003529B3">
        <w:rPr>
          <w:rStyle w:val="Emphasis"/>
        </w:rPr>
        <w:t>Electricity Network Regulatory Frameworks, volume 1</w:t>
      </w:r>
      <w:r>
        <w:t xml:space="preserve">, </w:t>
      </w:r>
      <w:r w:rsidRPr="003529B3">
        <w:rPr>
          <w:rStyle w:val="Emphasis"/>
        </w:rPr>
        <w:t>No. 62</w:t>
      </w:r>
      <w:r>
        <w:t>, 9 April 2013, p. 27</w:t>
      </w:r>
      <w:r w:rsidRPr="008F3919">
        <w:t xml:space="preserve">.  </w:t>
      </w:r>
    </w:p>
  </w:footnote>
  <w:footnote w:id="14">
    <w:p w:rsidR="00EF4B45" w:rsidRDefault="00EF4B45" w:rsidP="00C740EE">
      <w:pPr>
        <w:pStyle w:val="FootnoteText"/>
      </w:pPr>
      <w:r>
        <w:rPr>
          <w:rStyle w:val="FootnoteReference"/>
        </w:rPr>
        <w:footnoteRef/>
      </w:r>
      <w:r>
        <w:t xml:space="preserve"> </w:t>
      </w:r>
      <w:r>
        <w:tab/>
      </w:r>
      <w:r w:rsidRPr="008F3919">
        <w:t xml:space="preserve">Productivity Commission, </w:t>
      </w:r>
      <w:r w:rsidRPr="00543025">
        <w:rPr>
          <w:rStyle w:val="Emphasis"/>
        </w:rPr>
        <w:t>Electricity Network Regulatory Frameworks, volume 1, No. 62</w:t>
      </w:r>
      <w:r>
        <w:t>, 9 April 2013, p. 189</w:t>
      </w:r>
      <w:r w:rsidRPr="008F3919">
        <w:t xml:space="preserve">.  </w:t>
      </w:r>
    </w:p>
  </w:footnote>
  <w:footnote w:id="15">
    <w:p w:rsidR="00EF4B45" w:rsidRDefault="00EF4B45" w:rsidP="00C740EE">
      <w:pPr>
        <w:pStyle w:val="FootnoteText"/>
      </w:pPr>
      <w:r>
        <w:rPr>
          <w:rStyle w:val="FootnoteReference"/>
        </w:rPr>
        <w:footnoteRef/>
      </w:r>
      <w:r>
        <w:t xml:space="preserve"> </w:t>
      </w:r>
      <w:r>
        <w:tab/>
      </w:r>
      <w:r w:rsidRPr="001F39FC">
        <w:t xml:space="preserve">Productivity Commission, </w:t>
      </w:r>
      <w:r w:rsidRPr="00543025">
        <w:rPr>
          <w:rStyle w:val="Emphasis"/>
        </w:rPr>
        <w:t>Electricity Network Regulatory Frameworks, volume 1, No. 62</w:t>
      </w:r>
      <w:r>
        <w:t xml:space="preserve">, 9 April 2013, p. </w:t>
      </w:r>
      <w:r w:rsidRPr="001F39FC">
        <w:t>190.</w:t>
      </w:r>
    </w:p>
  </w:footnote>
  <w:footnote w:id="16">
    <w:p w:rsidR="00EF4B45" w:rsidRDefault="00EF4B45" w:rsidP="00C740EE">
      <w:pPr>
        <w:pStyle w:val="FootnoteText"/>
      </w:pPr>
      <w:r>
        <w:rPr>
          <w:rStyle w:val="FootnoteReference"/>
        </w:rPr>
        <w:footnoteRef/>
      </w:r>
      <w:r>
        <w:t xml:space="preserve"> </w:t>
      </w:r>
      <w:r>
        <w:tab/>
        <w:t xml:space="preserve">Productivity Commission, </w:t>
      </w:r>
      <w:r w:rsidRPr="00DD52B8">
        <w:rPr>
          <w:rStyle w:val="Emphasis"/>
        </w:rPr>
        <w:t>Electricity Network Regulatory Frameworks</w:t>
      </w:r>
      <w:r w:rsidRPr="00EB0DF2">
        <w:rPr>
          <w:rStyle w:val="Emphasis"/>
        </w:rPr>
        <w:t>, volume 1, No. 62</w:t>
      </w:r>
      <w:r w:rsidRPr="00F6149B">
        <w:t>, 9 April 2013</w:t>
      </w:r>
      <w:r>
        <w:t xml:space="preserve">, pp.27-28.  </w:t>
      </w:r>
    </w:p>
  </w:footnote>
  <w:footnote w:id="17">
    <w:p w:rsidR="00EF4B45" w:rsidRDefault="00EF4B45">
      <w:pPr>
        <w:pStyle w:val="FootnoteText"/>
      </w:pPr>
      <w:r>
        <w:rPr>
          <w:rStyle w:val="FootnoteReference"/>
        </w:rPr>
        <w:footnoteRef/>
      </w:r>
      <w:r>
        <w:t xml:space="preserve"> </w:t>
      </w:r>
      <w:r>
        <w:tab/>
        <w:t>NGR, r. 71(1). We may infer opex</w:t>
      </w:r>
      <w:r w:rsidRPr="00AD400B">
        <w:t xml:space="preserve"> is efficient</w:t>
      </w:r>
      <w:r w:rsidRPr="009C43A8">
        <w:t xml:space="preserve"> </w:t>
      </w:r>
      <w:r w:rsidRPr="00AD400B">
        <w:t>without embarking on a detailed investigation, from the operation of an incentive mechanism</w:t>
      </w:r>
      <w:r>
        <w:t>.</w:t>
      </w:r>
    </w:p>
  </w:footnote>
  <w:footnote w:id="18">
    <w:p w:rsidR="00EF4B45" w:rsidRDefault="00EF4B45" w:rsidP="00C740EE">
      <w:pPr>
        <w:pStyle w:val="FootnoteText"/>
      </w:pPr>
      <w:r>
        <w:rPr>
          <w:rStyle w:val="FootnoteReference"/>
        </w:rPr>
        <w:footnoteRef/>
      </w:r>
      <w:r>
        <w:t xml:space="preserve"> </w:t>
      </w:r>
      <w:r>
        <w:tab/>
        <w:t xml:space="preserve">Frontier Economics, </w:t>
      </w:r>
      <w:r w:rsidRPr="00543025">
        <w:rPr>
          <w:rStyle w:val="AERtextitalic"/>
        </w:rPr>
        <w:t>Opex forecasting method: A report prepared for TransGrid</w:t>
      </w:r>
      <w:r>
        <w:t>, December 2014, p. 8.</w:t>
      </w:r>
    </w:p>
  </w:footnote>
  <w:footnote w:id="19">
    <w:p w:rsidR="00EF4B45" w:rsidRDefault="00EF4B45" w:rsidP="00C740EE">
      <w:pPr>
        <w:pStyle w:val="FootnoteText"/>
      </w:pPr>
      <w:r>
        <w:rPr>
          <w:rStyle w:val="FootnoteReference"/>
        </w:rPr>
        <w:footnoteRef/>
      </w:r>
      <w:r>
        <w:t xml:space="preserve"> </w:t>
      </w:r>
      <w:r>
        <w:tab/>
        <w:t xml:space="preserve">AER, </w:t>
      </w:r>
      <w:r w:rsidRPr="00DF7BB0">
        <w:rPr>
          <w:rStyle w:val="Emphasis"/>
        </w:rPr>
        <w:t>Stakeholder Engagement Framework</w:t>
      </w:r>
      <w:r>
        <w:t xml:space="preserve">, p. 1; </w:t>
      </w:r>
      <w:r w:rsidRPr="003C0A5A">
        <w:t>AER network revenue</w:t>
      </w:r>
      <w:r>
        <w:t xml:space="preserve"> </w:t>
      </w:r>
      <w:r w:rsidRPr="003C0A5A">
        <w:t>determination</w:t>
      </w:r>
      <w:r>
        <w:t xml:space="preserve"> </w:t>
      </w:r>
      <w:r w:rsidRPr="003C0A5A">
        <w:t>engagement protocol</w:t>
      </w:r>
      <w:r>
        <w:t>: version 1.0, p. 3.</w:t>
      </w:r>
    </w:p>
  </w:footnote>
  <w:footnote w:id="20">
    <w:p w:rsidR="00EF4B45" w:rsidRDefault="00EF4B45" w:rsidP="005D020F">
      <w:pPr>
        <w:pStyle w:val="FootnoteText"/>
      </w:pPr>
      <w:r>
        <w:rPr>
          <w:rStyle w:val="FootnoteReference"/>
        </w:rPr>
        <w:footnoteRef/>
      </w:r>
      <w:r>
        <w:t xml:space="preserve"> </w:t>
      </w:r>
      <w:r>
        <w:tab/>
        <w:t>NGR, r. 91</w:t>
      </w:r>
      <w:r w:rsidRPr="00081863">
        <w:t>.</w:t>
      </w:r>
    </w:p>
  </w:footnote>
  <w:footnote w:id="21">
    <w:p w:rsidR="00EF4B45" w:rsidRDefault="00EF4B45" w:rsidP="005D020F">
      <w:pPr>
        <w:pStyle w:val="FootnoteText"/>
      </w:pPr>
      <w:r>
        <w:rPr>
          <w:rStyle w:val="FootnoteReference"/>
        </w:rPr>
        <w:footnoteRef/>
      </w:r>
      <w:r>
        <w:t xml:space="preserve"> </w:t>
      </w:r>
      <w:r>
        <w:tab/>
      </w:r>
      <w:r w:rsidRPr="003B02FB">
        <w:t>NGR, r. 74.</w:t>
      </w:r>
    </w:p>
  </w:footnote>
  <w:footnote w:id="22">
    <w:p w:rsidR="00EF4B45" w:rsidRDefault="00EF4B45" w:rsidP="005D020F">
      <w:pPr>
        <w:pStyle w:val="FootnoteText"/>
      </w:pPr>
      <w:r>
        <w:rPr>
          <w:rStyle w:val="FootnoteReference"/>
        </w:rPr>
        <w:footnoteRef/>
      </w:r>
      <w:r>
        <w:t xml:space="preserve"> </w:t>
      </w:r>
      <w:r>
        <w:tab/>
        <w:t xml:space="preserve">Includes debt raising costs. </w:t>
      </w:r>
    </w:p>
  </w:footnote>
  <w:footnote w:id="23">
    <w:p w:rsidR="00EF4B45" w:rsidRDefault="00EF4B45">
      <w:pPr>
        <w:pStyle w:val="FootnoteText"/>
      </w:pPr>
      <w:r>
        <w:rPr>
          <w:rStyle w:val="FootnoteReference"/>
        </w:rPr>
        <w:footnoteRef/>
      </w:r>
      <w:r>
        <w:t xml:space="preserve"> </w:t>
      </w:r>
      <w:r>
        <w:tab/>
        <w:t xml:space="preserve">Alternative estimate of total opex, using the estimated opex for 2016, is $374.4 million ($2017), including debt raising costs. This is $22.0 million ($2017) or 5.5 per cent lower than Multinet's proposed opex. </w:t>
      </w:r>
    </w:p>
  </w:footnote>
  <w:footnote w:id="24">
    <w:p w:rsidR="00EF4B45" w:rsidRDefault="00EF4B45" w:rsidP="00B812AC">
      <w:pPr>
        <w:pStyle w:val="FootnoteText"/>
      </w:pPr>
      <w:r>
        <w:rPr>
          <w:rStyle w:val="FootnoteReference"/>
        </w:rPr>
        <w:footnoteRef/>
      </w:r>
      <w:r>
        <w:t xml:space="preserve"> </w:t>
      </w:r>
      <w:r>
        <w:tab/>
        <w:t>The estimated opex in 2017 is based on Multinet's reported opex in 2016 adjusted for movements in provisions.</w:t>
      </w:r>
    </w:p>
  </w:footnote>
  <w:footnote w:id="25">
    <w:p w:rsidR="00EF4B45" w:rsidRDefault="00EF4B45">
      <w:pPr>
        <w:pStyle w:val="FootnoteText"/>
      </w:pPr>
      <w:r>
        <w:rPr>
          <w:rStyle w:val="FootnoteReference"/>
        </w:rPr>
        <w:footnoteRef/>
      </w:r>
      <w:r>
        <w:t xml:space="preserve"> </w:t>
      </w:r>
      <w:r>
        <w:tab/>
      </w:r>
      <w:r w:rsidRPr="00D870EC">
        <w:t>NGR, r.</w:t>
      </w:r>
      <w:r>
        <w:t> </w:t>
      </w:r>
      <w:r w:rsidRPr="00D870EC">
        <w:t>71(1).</w:t>
      </w:r>
    </w:p>
  </w:footnote>
  <w:footnote w:id="26">
    <w:p w:rsidR="00EF4B45" w:rsidRDefault="00EF4B45" w:rsidP="00BF1DB1">
      <w:pPr>
        <w:pStyle w:val="FootnoteText"/>
      </w:pPr>
      <w:r>
        <w:rPr>
          <w:rStyle w:val="FootnoteReference"/>
        </w:rPr>
        <w:footnoteRef/>
      </w:r>
      <w:r>
        <w:t xml:space="preserve"> </w:t>
      </w:r>
      <w:r>
        <w:tab/>
        <w:t xml:space="preserve">Economic Insights, </w:t>
      </w:r>
      <w:r w:rsidRPr="00A20D85">
        <w:rPr>
          <w:rStyle w:val="Emphasis"/>
        </w:rPr>
        <w:t>Benchmarking the Victorian Gas Distribution Businesses' Operating and Capital Costs Using Partial Productivity Indicators</w:t>
      </w:r>
      <w:r>
        <w:t xml:space="preserve">, report prepared for AusNet Services, Australian Gas Networks Limited and Multinet Gas, 15 June 2016, p iii.  (Multinet Gas, </w:t>
      </w:r>
      <w:r w:rsidRPr="002F1D88">
        <w:rPr>
          <w:rStyle w:val="AERtextitalic"/>
        </w:rPr>
        <w:t>Supporting documents - 13.8.1</w:t>
      </w:r>
      <w:r>
        <w:t>, December 2016)</w:t>
      </w:r>
    </w:p>
  </w:footnote>
  <w:footnote w:id="27">
    <w:p w:rsidR="00EF4B45" w:rsidRDefault="00EF4B45" w:rsidP="00BF1DB1">
      <w:pPr>
        <w:pStyle w:val="FootnoteText"/>
      </w:pPr>
      <w:r>
        <w:rPr>
          <w:rStyle w:val="FootnoteReference"/>
        </w:rPr>
        <w:footnoteRef/>
      </w:r>
      <w:r>
        <w:t xml:space="preserve"> </w:t>
      </w:r>
      <w:r>
        <w:tab/>
      </w:r>
      <w:r w:rsidRPr="00C45BAA">
        <w:t xml:space="preserve">Economic Insights, </w:t>
      </w:r>
      <w:r w:rsidRPr="00C45BAA">
        <w:rPr>
          <w:rStyle w:val="Emphasis"/>
        </w:rPr>
        <w:t>Benchmarking the Victorian Gas Distribution Businesses' Operating and Capital Costs Using Partial Productivity Indicators</w:t>
      </w:r>
      <w:r>
        <w:t xml:space="preserve">, report prepared for AusNet </w:t>
      </w:r>
      <w:r w:rsidRPr="00C45BAA">
        <w:t>Services, Australian Gas Networks Limited and</w:t>
      </w:r>
      <w:r>
        <w:t xml:space="preserve"> Multinet Gas, 15 June 2016, p 9. (Multinet Gas, </w:t>
      </w:r>
      <w:r w:rsidRPr="002F1D88">
        <w:rPr>
          <w:rStyle w:val="AERtextitalic"/>
        </w:rPr>
        <w:t>Supporting documents - 13.8.1</w:t>
      </w:r>
      <w:r>
        <w:t>, December 2016)</w:t>
      </w:r>
    </w:p>
  </w:footnote>
  <w:footnote w:id="28">
    <w:p w:rsidR="00EF4B45" w:rsidRDefault="00EF4B45">
      <w:pPr>
        <w:pStyle w:val="FootnoteText"/>
      </w:pPr>
      <w:r>
        <w:rPr>
          <w:rStyle w:val="FootnoteReference"/>
        </w:rPr>
        <w:footnoteRef/>
      </w:r>
      <w:r>
        <w:t xml:space="preserve"> </w:t>
      </w:r>
      <w:r>
        <w:tab/>
        <w:t xml:space="preserve">AER, </w:t>
      </w:r>
      <w:r w:rsidRPr="00AB6768">
        <w:rPr>
          <w:rStyle w:val="AERtextitalic"/>
        </w:rPr>
        <w:t>Amended Multinet Gas</w:t>
      </w:r>
      <w:r>
        <w:rPr>
          <w:rStyle w:val="AERtextitalic"/>
        </w:rPr>
        <w:t xml:space="preserve"> Access Arrangement 2013–17</w:t>
      </w:r>
      <w:r w:rsidRPr="00AB6768">
        <w:rPr>
          <w:rStyle w:val="AERtextitalic"/>
        </w:rPr>
        <w:t xml:space="preserve">, Part </w:t>
      </w:r>
      <w:r>
        <w:rPr>
          <w:rStyle w:val="AERtextitalic"/>
        </w:rPr>
        <w:t>B</w:t>
      </w:r>
      <w:r w:rsidRPr="00AB6768">
        <w:rPr>
          <w:rStyle w:val="AERtextitalic"/>
        </w:rPr>
        <w:t xml:space="preserve"> - </w:t>
      </w:r>
      <w:r>
        <w:rPr>
          <w:rStyle w:val="AERtextitalic"/>
        </w:rPr>
        <w:t>Reference Tariffs and Reference Tariff Policy</w:t>
      </w:r>
      <w:r>
        <w:t xml:space="preserve">, October 2012, pp. 38–39. The reference tariff variation mechanism comprises the mechanisms and processes for varying reference tariffs during the access arrangement period and may allow for cost pass through of specific costs. </w:t>
      </w:r>
    </w:p>
  </w:footnote>
  <w:footnote w:id="29">
    <w:p w:rsidR="00EF4B45" w:rsidRDefault="00EF4B45">
      <w:pPr>
        <w:pStyle w:val="FootnoteText"/>
      </w:pPr>
      <w:r>
        <w:rPr>
          <w:rStyle w:val="FootnoteReference"/>
        </w:rPr>
        <w:footnoteRef/>
      </w:r>
      <w:r>
        <w:t xml:space="preserve"> </w:t>
      </w:r>
      <w:r>
        <w:tab/>
        <w:t>NGR, r. 74(2)(b).</w:t>
      </w:r>
    </w:p>
  </w:footnote>
  <w:footnote w:id="30">
    <w:p w:rsidR="00EF4B45" w:rsidRDefault="00EF4B45" w:rsidP="008A1A9F">
      <w:pPr>
        <w:pStyle w:val="FootnoteText"/>
      </w:pPr>
      <w:r>
        <w:rPr>
          <w:rStyle w:val="FootnoteReference"/>
        </w:rPr>
        <w:footnoteRef/>
      </w:r>
      <w:r>
        <w:t xml:space="preserve"> </w:t>
      </w:r>
      <w:r>
        <w:tab/>
        <w:t>Multinet Gas</w:t>
      </w:r>
      <w:r w:rsidRPr="00B21FA5">
        <w:t xml:space="preserve">, </w:t>
      </w:r>
      <w:r w:rsidRPr="002F1D88">
        <w:rPr>
          <w:rStyle w:val="AERtextitalic"/>
        </w:rPr>
        <w:t>2018 to 2022 Access arrangement proposal, 0.5 Operating expenditure and efficiency carryover mechanism model</w:t>
      </w:r>
      <w:r w:rsidRPr="00B21FA5">
        <w:t>, December 2016.</w:t>
      </w:r>
    </w:p>
  </w:footnote>
  <w:footnote w:id="31">
    <w:p w:rsidR="00EF4B45" w:rsidRDefault="00EF4B45" w:rsidP="008255D8">
      <w:pPr>
        <w:pStyle w:val="FootnoteText"/>
      </w:pPr>
      <w:r>
        <w:rPr>
          <w:rStyle w:val="FootnoteReference"/>
        </w:rPr>
        <w:footnoteRef/>
      </w:r>
      <w:r>
        <w:t xml:space="preserve"> </w:t>
      </w:r>
      <w:r>
        <w:tab/>
      </w:r>
      <w:r w:rsidRPr="00857AF9">
        <w:t xml:space="preserve">We applied Economic Insights' benchmark opex price weightings for labour and non-labour: 62 per cent for labour and 38 per cent for non-labour. For more detail for our approach to forecasting price changes refer to AER, </w:t>
      </w:r>
      <w:r>
        <w:rPr>
          <w:rStyle w:val="AERtextitalic"/>
        </w:rPr>
        <w:t>Draft decision</w:t>
      </w:r>
      <w:r w:rsidRPr="00857AF9">
        <w:rPr>
          <w:rStyle w:val="AERtextitalic"/>
        </w:rPr>
        <w:t xml:space="preserve"> AusNet Services transmission determination 2017–22</w:t>
      </w:r>
      <w:r w:rsidRPr="00857AF9">
        <w:t xml:space="preserve">, </w:t>
      </w:r>
      <w:r w:rsidRPr="009910B6">
        <w:rPr>
          <w:rStyle w:val="AERtextitalic"/>
        </w:rPr>
        <w:t>Attachment 7</w:t>
      </w:r>
      <w:r>
        <w:rPr>
          <w:rStyle w:val="AERtextitalic"/>
        </w:rPr>
        <w:t>- Operating Expenditure</w:t>
      </w:r>
      <w:r>
        <w:t xml:space="preserve">, </w:t>
      </w:r>
      <w:r w:rsidRPr="00857AF9">
        <w:t>20 July 2016, pp.</w:t>
      </w:r>
      <w:r>
        <w:t> 7-</w:t>
      </w:r>
      <w:r w:rsidRPr="00857AF9">
        <w:t>1</w:t>
      </w:r>
      <w:r>
        <w:t>9 to 7-20, 7-</w:t>
      </w:r>
      <w:r w:rsidRPr="00857AF9">
        <w:t>47</w:t>
      </w:r>
      <w:r>
        <w:t xml:space="preserve"> to 7-</w:t>
      </w:r>
      <w:r w:rsidRPr="00857AF9">
        <w:t>53</w:t>
      </w:r>
      <w:r>
        <w:t>.</w:t>
      </w:r>
    </w:p>
  </w:footnote>
  <w:footnote w:id="32">
    <w:p w:rsidR="00EF4B45" w:rsidRDefault="00EF4B45" w:rsidP="00146BF9">
      <w:pPr>
        <w:pStyle w:val="FootnoteText"/>
      </w:pPr>
      <w:r>
        <w:rPr>
          <w:rStyle w:val="FootnoteReference"/>
        </w:rPr>
        <w:footnoteRef/>
      </w:r>
      <w:r>
        <w:t xml:space="preserve"> </w:t>
      </w:r>
      <w:r>
        <w:tab/>
        <w:t xml:space="preserve">BIS Shrapnel, </w:t>
      </w:r>
      <w:r w:rsidRPr="009910B6">
        <w:rPr>
          <w:rStyle w:val="AERtextitalic"/>
        </w:rPr>
        <w:t>Real Labour Cost Escalation Forecasts to 2022</w:t>
      </w:r>
      <w:r w:rsidRPr="009910B6">
        <w:t>, October 2016</w:t>
      </w:r>
      <w:r>
        <w:t>, pp. 21, 30.</w:t>
      </w:r>
    </w:p>
  </w:footnote>
  <w:footnote w:id="33">
    <w:p w:rsidR="00EF4B45" w:rsidRDefault="00EF4B45" w:rsidP="00AE589A">
      <w:pPr>
        <w:pStyle w:val="FootnoteText"/>
      </w:pPr>
      <w:r>
        <w:rPr>
          <w:rStyle w:val="FootnoteReference"/>
        </w:rPr>
        <w:footnoteRef/>
      </w:r>
      <w:r>
        <w:t xml:space="preserve"> </w:t>
      </w:r>
      <w:r>
        <w:tab/>
        <w:t>Multinet Gas</w:t>
      </w:r>
      <w:r w:rsidRPr="00B21FA5">
        <w:t xml:space="preserve">, </w:t>
      </w:r>
      <w:r w:rsidRPr="002F1D88">
        <w:rPr>
          <w:rStyle w:val="AERtextitalic"/>
        </w:rPr>
        <w:t>2018 to 2022 Access arrangement proposal, Attachment 14.1 Operating expenditure</w:t>
      </w:r>
      <w:r>
        <w:rPr>
          <w:rStyle w:val="AERtextitalic"/>
        </w:rPr>
        <w:t xml:space="preserve"> overview</w:t>
      </w:r>
      <w:r>
        <w:t>, December 2016, p. 19.</w:t>
      </w:r>
    </w:p>
  </w:footnote>
  <w:footnote w:id="34">
    <w:p w:rsidR="00EF4B45" w:rsidRDefault="00EF4B45" w:rsidP="00AE589A">
      <w:pPr>
        <w:pStyle w:val="FootnoteText"/>
      </w:pPr>
      <w:r>
        <w:rPr>
          <w:rStyle w:val="FootnoteReference"/>
        </w:rPr>
        <w:footnoteRef/>
      </w:r>
      <w:r>
        <w:t xml:space="preserve"> </w:t>
      </w:r>
      <w:r>
        <w:tab/>
        <w:t xml:space="preserve">BIS Shrapnel, </w:t>
      </w:r>
      <w:r w:rsidRPr="009910B6">
        <w:rPr>
          <w:rStyle w:val="AERtextitalic"/>
        </w:rPr>
        <w:t>Real Labour Cost Escalation Forecasts to 2022</w:t>
      </w:r>
      <w:r w:rsidRPr="009910B6">
        <w:t>, October 2016</w:t>
      </w:r>
      <w:r>
        <w:t>, p. 2.</w:t>
      </w:r>
    </w:p>
  </w:footnote>
  <w:footnote w:id="35">
    <w:p w:rsidR="00EF4B45" w:rsidRDefault="00EF4B45" w:rsidP="00146BF9">
      <w:pPr>
        <w:pStyle w:val="FootnoteText"/>
      </w:pPr>
      <w:r>
        <w:rPr>
          <w:rStyle w:val="FootnoteReference"/>
        </w:rPr>
        <w:footnoteRef/>
      </w:r>
      <w:r>
        <w:t xml:space="preserve"> </w:t>
      </w:r>
      <w:r>
        <w:tab/>
        <w:t xml:space="preserve">For example, the ABS includes </w:t>
      </w:r>
      <w:r w:rsidRPr="00780ED8">
        <w:t xml:space="preserve">labour engaged in the construction of electricity </w:t>
      </w:r>
      <w:r>
        <w:t>transmission</w:t>
      </w:r>
      <w:r w:rsidRPr="00780ED8">
        <w:t xml:space="preserve"> networks </w:t>
      </w:r>
      <w:r>
        <w:t xml:space="preserve">in the construction industry. See: </w:t>
      </w:r>
      <w:hyperlink r:id="rId1" w:history="1">
        <w:r w:rsidRPr="00DA1EE9">
          <w:rPr>
            <w:rStyle w:val="Hyperlink"/>
            <w:sz w:val="16"/>
          </w:rPr>
          <w:t>http://www.abs.gov.au/AUSSTATS/abs@.nsf/Latestproducts/73F4863F0CDC7D4CCA257B9500133B80</w:t>
        </w:r>
      </w:hyperlink>
      <w:r>
        <w:t xml:space="preserve"> (Accessed on 11 May 2017).</w:t>
      </w:r>
    </w:p>
  </w:footnote>
  <w:footnote w:id="36">
    <w:p w:rsidR="00EF4B45" w:rsidRDefault="00EF4B45">
      <w:pPr>
        <w:pStyle w:val="FootnoteText"/>
      </w:pPr>
      <w:r>
        <w:rPr>
          <w:rStyle w:val="FootnoteReference"/>
        </w:rPr>
        <w:footnoteRef/>
      </w:r>
      <w:r>
        <w:t xml:space="preserve"> </w:t>
      </w:r>
      <w:r>
        <w:tab/>
        <w:t>NGR, r. 74(2).</w:t>
      </w:r>
    </w:p>
  </w:footnote>
  <w:footnote w:id="37">
    <w:p w:rsidR="00EF4B45" w:rsidRDefault="00EF4B45">
      <w:pPr>
        <w:pStyle w:val="FootnoteText"/>
      </w:pPr>
      <w:r>
        <w:rPr>
          <w:rStyle w:val="FootnoteReference"/>
        </w:rPr>
        <w:footnoteRef/>
      </w:r>
      <w:r>
        <w:t xml:space="preserve"> </w:t>
      </w:r>
      <w:r>
        <w:tab/>
      </w:r>
      <w:r w:rsidRPr="00E37E9F">
        <w:t xml:space="preserve">AER, </w:t>
      </w:r>
      <w:r w:rsidRPr="002F1D88">
        <w:rPr>
          <w:rStyle w:val="AERtextitalic"/>
        </w:rPr>
        <w:t>Final decision Powerlink transmission determination 2012–17</w:t>
      </w:r>
      <w:r w:rsidRPr="00E37E9F">
        <w:t>, April 2012</w:t>
      </w:r>
      <w:r>
        <w:t>, p. 54.</w:t>
      </w:r>
    </w:p>
  </w:footnote>
  <w:footnote w:id="38">
    <w:p w:rsidR="00EF4B45" w:rsidRPr="00A22170" w:rsidRDefault="00EF4B45" w:rsidP="008A1A9F">
      <w:pPr>
        <w:pStyle w:val="FootnoteText"/>
      </w:pPr>
      <w:r>
        <w:rPr>
          <w:rStyle w:val="FootnoteReference"/>
        </w:rPr>
        <w:footnoteRef/>
      </w:r>
      <w:r>
        <w:t xml:space="preserve"> </w:t>
      </w:r>
      <w:r>
        <w:tab/>
      </w:r>
      <w:r w:rsidRPr="00A22170">
        <w:t xml:space="preserve">Robert T. Clemen, </w:t>
      </w:r>
      <w:r w:rsidRPr="00780B6E">
        <w:rPr>
          <w:rStyle w:val="AERtextitalic"/>
        </w:rPr>
        <w:t>'Combining forecasts: A review and annotated bibliography', International Journal of Forecasting, volume 5, issue 4,</w:t>
      </w:r>
      <w:r w:rsidRPr="00A22170">
        <w:t xml:space="preserve"> 1989, pp. 559–583.</w:t>
      </w:r>
    </w:p>
    <w:p w:rsidR="00EF4B45" w:rsidRDefault="00EF4B45" w:rsidP="008A1A9F">
      <w:pPr>
        <w:pStyle w:val="FootnoteText"/>
      </w:pPr>
      <w:r>
        <w:tab/>
      </w:r>
      <w:r w:rsidRPr="00A22170">
        <w:t xml:space="preserve">Allan Timmermann, </w:t>
      </w:r>
      <w:r w:rsidRPr="00780B6E">
        <w:rPr>
          <w:rStyle w:val="AERtextitalic"/>
        </w:rPr>
        <w:t>'Forecast Combinations', Handbook of economic forecasting, Volume 1, 2006</w:t>
      </w:r>
      <w:r w:rsidRPr="00A22170">
        <w:t>, pp. 135–196.</w:t>
      </w:r>
    </w:p>
  </w:footnote>
  <w:footnote w:id="39">
    <w:p w:rsidR="00EF4B45" w:rsidRDefault="00EF4B45" w:rsidP="00000C21">
      <w:pPr>
        <w:pStyle w:val="FootnoteText"/>
        <w:tabs>
          <w:tab w:val="left" w:pos="3600"/>
        </w:tabs>
      </w:pPr>
      <w:r>
        <w:rPr>
          <w:rStyle w:val="FootnoteReference"/>
        </w:rPr>
        <w:footnoteRef/>
      </w:r>
      <w:r>
        <w:t xml:space="preserve"> </w:t>
      </w:r>
      <w:r>
        <w:tab/>
        <w:t>Multinet Gas</w:t>
      </w:r>
      <w:r w:rsidRPr="00AE589A">
        <w:t>,</w:t>
      </w:r>
      <w:r>
        <w:t xml:space="preserve"> </w:t>
      </w:r>
      <w:r w:rsidRPr="002F1D88">
        <w:rPr>
          <w:rStyle w:val="AERtextitalic"/>
        </w:rPr>
        <w:t>2018 to 2022 Access arrangement proposal, Attachment 14.1 Operating expenditure</w:t>
      </w:r>
      <w:r>
        <w:rPr>
          <w:rStyle w:val="AERtextitalic"/>
        </w:rPr>
        <w:t xml:space="preserve"> overview</w:t>
      </w:r>
      <w:r w:rsidRPr="00AE589A">
        <w:t xml:space="preserve">, December 2016, p. </w:t>
      </w:r>
      <w:r>
        <w:t>20</w:t>
      </w:r>
      <w:r w:rsidRPr="00AE589A">
        <w:t>.</w:t>
      </w:r>
    </w:p>
  </w:footnote>
  <w:footnote w:id="40">
    <w:p w:rsidR="00EF4B45" w:rsidRDefault="00EF4B45" w:rsidP="008A1A9F">
      <w:pPr>
        <w:pStyle w:val="FootnoteText"/>
      </w:pPr>
      <w:r>
        <w:rPr>
          <w:rStyle w:val="FootnoteReference"/>
        </w:rPr>
        <w:footnoteRef/>
      </w:r>
      <w:r>
        <w:t xml:space="preserve"> </w:t>
      </w:r>
      <w:r>
        <w:tab/>
        <w:t xml:space="preserve">Economic Insights, </w:t>
      </w:r>
      <w:r w:rsidRPr="00125AA4">
        <w:rPr>
          <w:rStyle w:val="AERtextitalic"/>
        </w:rPr>
        <w:t>Gas Distribution Businesses Opex Cost Function</w:t>
      </w:r>
      <w:r>
        <w:rPr>
          <w:rStyle w:val="AERtextitalic"/>
        </w:rPr>
        <w:t>,</w:t>
      </w:r>
      <w:r>
        <w:t xml:space="preserve"> </w:t>
      </w:r>
      <w:r w:rsidRPr="00B177E3">
        <w:rPr>
          <w:rStyle w:val="AERtextitalic"/>
        </w:rPr>
        <w:t>Report prepared for Multinet Gas</w:t>
      </w:r>
      <w:r>
        <w:t xml:space="preserve">, </w:t>
      </w:r>
      <w:r w:rsidRPr="00125AA4">
        <w:t>22 August 2016</w:t>
      </w:r>
    </w:p>
  </w:footnote>
  <w:footnote w:id="41">
    <w:p w:rsidR="00EF4B45" w:rsidRDefault="00EF4B45" w:rsidP="008A1A9F">
      <w:pPr>
        <w:pStyle w:val="FootnoteText"/>
      </w:pPr>
      <w:r>
        <w:rPr>
          <w:rStyle w:val="FootnoteReference"/>
        </w:rPr>
        <w:footnoteRef/>
      </w:r>
      <w:r>
        <w:t xml:space="preserve"> </w:t>
      </w:r>
      <w:r>
        <w:tab/>
        <w:t xml:space="preserve">ACIL Allen </w:t>
      </w:r>
      <w:r w:rsidRPr="00D407ED">
        <w:t>Consulting</w:t>
      </w:r>
      <w:r>
        <w:t xml:space="preserve">, </w:t>
      </w:r>
      <w:r w:rsidRPr="00D35406">
        <w:rPr>
          <w:rStyle w:val="AERtextitalic"/>
        </w:rPr>
        <w:t>Opex Partial Productivity Analysis, Report for AGN</w:t>
      </w:r>
      <w:r>
        <w:t xml:space="preserve">, </w:t>
      </w:r>
      <w:r w:rsidRPr="00D407ED">
        <w:t>20 December 2016</w:t>
      </w:r>
      <w:r>
        <w:t>.</w:t>
      </w:r>
    </w:p>
  </w:footnote>
  <w:footnote w:id="42">
    <w:p w:rsidR="00EF4B45" w:rsidRDefault="00EF4B45">
      <w:pPr>
        <w:pStyle w:val="FootnoteText"/>
      </w:pPr>
      <w:r>
        <w:rPr>
          <w:rStyle w:val="FootnoteReference"/>
        </w:rPr>
        <w:footnoteRef/>
      </w:r>
      <w:r>
        <w:t xml:space="preserve"> </w:t>
      </w:r>
      <w:r>
        <w:tab/>
      </w:r>
      <w:r w:rsidRPr="00410F57">
        <w:t>Economic Insights estimation of the opex cost function for gas distributors attributes weights to each output measure. Economic Insights concluded that the average elasticity of opex with respect to customer numbers is 0.20 and the average elasticity with respect to network length is 0.42.</w:t>
      </w:r>
    </w:p>
  </w:footnote>
  <w:footnote w:id="43">
    <w:p w:rsidR="00EF4B45" w:rsidRDefault="00EF4B45" w:rsidP="00EA2BA0">
      <w:pPr>
        <w:pStyle w:val="FootnoteText"/>
      </w:pPr>
      <w:r>
        <w:rPr>
          <w:rStyle w:val="FootnoteReference"/>
        </w:rPr>
        <w:footnoteRef/>
      </w:r>
      <w:r>
        <w:t xml:space="preserve"> </w:t>
      </w:r>
      <w:r>
        <w:tab/>
        <w:t>AER's final d</w:t>
      </w:r>
      <w:r w:rsidRPr="00DE394A">
        <w:t>ecision</w:t>
      </w:r>
      <w:r>
        <w:t>s</w:t>
      </w:r>
      <w:r w:rsidRPr="00DE394A">
        <w:t xml:space="preserve"> for the Victorian </w:t>
      </w:r>
      <w:r>
        <w:t>electricity distribution network service providers for the 2016–20 regulatory control period. Multinet</w:t>
      </w:r>
      <w:r w:rsidRPr="004E4781">
        <w:t xml:space="preserve"> proportionately scaled </w:t>
      </w:r>
      <w:r>
        <w:t>up the weights we applied to customer numbers and network length to account for the fact that</w:t>
      </w:r>
      <w:r w:rsidRPr="004E4781">
        <w:t xml:space="preserve"> </w:t>
      </w:r>
      <w:r>
        <w:t>it</w:t>
      </w:r>
      <w:r w:rsidRPr="004E4781">
        <w:t xml:space="preserve"> </w:t>
      </w:r>
      <w:r>
        <w:t>did not use</w:t>
      </w:r>
      <w:r w:rsidRPr="004E4781">
        <w:t xml:space="preserve"> </w:t>
      </w:r>
      <w:r>
        <w:t xml:space="preserve">the third output measure we </w:t>
      </w:r>
      <w:r w:rsidRPr="004E4781">
        <w:t>used for electricity</w:t>
      </w:r>
      <w:r>
        <w:t xml:space="preserve"> (ratcheted </w:t>
      </w:r>
      <w:r w:rsidRPr="004E4781">
        <w:t>maximum demand</w:t>
      </w:r>
      <w:r>
        <w:t>)</w:t>
      </w:r>
      <w:r w:rsidRPr="004E4781">
        <w:t>.</w:t>
      </w:r>
    </w:p>
  </w:footnote>
  <w:footnote w:id="44">
    <w:p w:rsidR="00EF4B45" w:rsidRDefault="00EF4B45" w:rsidP="00CA135A">
      <w:pPr>
        <w:pStyle w:val="FootnoteText"/>
      </w:pPr>
      <w:r>
        <w:rPr>
          <w:rStyle w:val="FootnoteReference"/>
        </w:rPr>
        <w:footnoteRef/>
      </w:r>
      <w:r>
        <w:t xml:space="preserve"> </w:t>
      </w:r>
      <w:r>
        <w:tab/>
        <w:t xml:space="preserve">Economic Insights, </w:t>
      </w:r>
      <w:r w:rsidRPr="002F1D88">
        <w:rPr>
          <w:rStyle w:val="AERtextitalic"/>
        </w:rPr>
        <w:t>The Productivity Performance of Victorian Gas Distribution Businesses Report prepared for AusNet Services, Australian Gas Networks Limited, and Multinet Gas</w:t>
      </w:r>
      <w:r>
        <w:t xml:space="preserve">, </w:t>
      </w:r>
      <w:r w:rsidRPr="00CA135A">
        <w:t>15 June 2016</w:t>
      </w:r>
      <w:r>
        <w:t>, pp. 38-39.</w:t>
      </w:r>
    </w:p>
  </w:footnote>
  <w:footnote w:id="45">
    <w:p w:rsidR="00EF4B45" w:rsidRDefault="00EF4B45">
      <w:pPr>
        <w:pStyle w:val="FootnoteText"/>
      </w:pPr>
      <w:r>
        <w:rPr>
          <w:rStyle w:val="FootnoteReference"/>
        </w:rPr>
        <w:footnoteRef/>
      </w:r>
      <w:r>
        <w:t xml:space="preserve"> </w:t>
      </w:r>
      <w:r>
        <w:tab/>
        <w:t xml:space="preserve">Economic Insights, </w:t>
      </w:r>
      <w:r w:rsidRPr="00125AA4">
        <w:rPr>
          <w:rStyle w:val="AERtextitalic"/>
        </w:rPr>
        <w:t>Gas Distribution Businesses Opex Cost Function</w:t>
      </w:r>
      <w:r>
        <w:rPr>
          <w:rStyle w:val="AERtextitalic"/>
        </w:rPr>
        <w:t>,</w:t>
      </w:r>
      <w:r>
        <w:t xml:space="preserve"> </w:t>
      </w:r>
      <w:r w:rsidRPr="002F1D88">
        <w:rPr>
          <w:rStyle w:val="AERtextitalic"/>
        </w:rPr>
        <w:t>Report prepared for Multinet Gas</w:t>
      </w:r>
      <w:r>
        <w:t xml:space="preserve">, </w:t>
      </w:r>
      <w:r w:rsidRPr="00125AA4">
        <w:t>22 August 2016</w:t>
      </w:r>
      <w:r>
        <w:t>, p. 18.</w:t>
      </w:r>
    </w:p>
  </w:footnote>
  <w:footnote w:id="46">
    <w:p w:rsidR="00EF4B45" w:rsidRDefault="00EF4B45">
      <w:pPr>
        <w:pStyle w:val="FootnoteText"/>
      </w:pPr>
      <w:r>
        <w:rPr>
          <w:rStyle w:val="FootnoteReference"/>
        </w:rPr>
        <w:footnoteRef/>
      </w:r>
      <w:r>
        <w:t xml:space="preserve"> </w:t>
      </w:r>
      <w:r>
        <w:tab/>
        <w:t xml:space="preserve">Axiom Economics, </w:t>
      </w:r>
      <w:r w:rsidRPr="00EC6B5E">
        <w:rPr>
          <w:rStyle w:val="AERtextitalic"/>
        </w:rPr>
        <w:t>Consistency of the Victorian gas distribution joint marketing campaign with 91 of the NGR, A report prepared for AGN, AusNet Services and Multinet</w:t>
      </w:r>
      <w:r>
        <w:t>, December 2016, p. 5.</w:t>
      </w:r>
    </w:p>
  </w:footnote>
  <w:footnote w:id="47">
    <w:p w:rsidR="00EF4B45" w:rsidRDefault="00EF4B45" w:rsidP="00C817E9">
      <w:pPr>
        <w:pStyle w:val="FootnoteText"/>
      </w:pPr>
      <w:r>
        <w:rPr>
          <w:rStyle w:val="FootnoteReference"/>
        </w:rPr>
        <w:footnoteRef/>
      </w:r>
      <w:r>
        <w:t xml:space="preserve"> </w:t>
      </w:r>
      <w:r>
        <w:tab/>
        <w:t xml:space="preserve">Multinet Gas, </w:t>
      </w:r>
      <w:r>
        <w:rPr>
          <w:rStyle w:val="AERtextitalic"/>
        </w:rPr>
        <w:t>2018 to 2022 Access a</w:t>
      </w:r>
      <w:r w:rsidRPr="00EC6B5E">
        <w:rPr>
          <w:rStyle w:val="AERtextitalic"/>
        </w:rPr>
        <w:t xml:space="preserve">rrangement </w:t>
      </w:r>
      <w:r>
        <w:rPr>
          <w:rStyle w:val="AERtextitalic"/>
        </w:rPr>
        <w:t>i</w:t>
      </w:r>
      <w:r w:rsidRPr="00EC6B5E">
        <w:rPr>
          <w:rStyle w:val="AERtextitalic"/>
        </w:rPr>
        <w:t>nformation</w:t>
      </w:r>
      <w:r>
        <w:t>, December 2016, p. 112.</w:t>
      </w:r>
    </w:p>
  </w:footnote>
  <w:footnote w:id="48">
    <w:p w:rsidR="00EF4B45" w:rsidRDefault="00EF4B45" w:rsidP="00DC0919">
      <w:pPr>
        <w:pStyle w:val="FootnoteText"/>
      </w:pPr>
      <w:r>
        <w:rPr>
          <w:rStyle w:val="FootnoteReference"/>
        </w:rPr>
        <w:footnoteRef/>
      </w:r>
      <w:r>
        <w:t xml:space="preserve"> </w:t>
      </w:r>
      <w:r>
        <w:tab/>
        <w:t xml:space="preserve">Multinet Gas, </w:t>
      </w:r>
      <w:r>
        <w:rPr>
          <w:rStyle w:val="AERtextitalic"/>
        </w:rPr>
        <w:t>2018 to 2022 Access a</w:t>
      </w:r>
      <w:r w:rsidRPr="00EC6B5E">
        <w:rPr>
          <w:rStyle w:val="AERtextitalic"/>
        </w:rPr>
        <w:t xml:space="preserve">rrangement </w:t>
      </w:r>
      <w:r>
        <w:rPr>
          <w:rStyle w:val="AERtextitalic"/>
        </w:rPr>
        <w:t>i</w:t>
      </w:r>
      <w:r w:rsidRPr="00EC6B5E">
        <w:rPr>
          <w:rStyle w:val="AERtextitalic"/>
        </w:rPr>
        <w:t>nformation</w:t>
      </w:r>
      <w:r>
        <w:t>, December 2016, p. 113.</w:t>
      </w:r>
    </w:p>
  </w:footnote>
  <w:footnote w:id="49">
    <w:p w:rsidR="00EF4B45" w:rsidRDefault="00EF4B45">
      <w:pPr>
        <w:pStyle w:val="FootnoteText"/>
      </w:pPr>
      <w:r>
        <w:rPr>
          <w:rStyle w:val="FootnoteReference"/>
        </w:rPr>
        <w:footnoteRef/>
      </w:r>
      <w:r>
        <w:t xml:space="preserve"> </w:t>
      </w:r>
      <w:r>
        <w:tab/>
        <w:t xml:space="preserve">Multinet Gas, </w:t>
      </w:r>
      <w:r w:rsidRPr="00EC6B5E">
        <w:rPr>
          <w:rStyle w:val="AERtextitalic"/>
        </w:rPr>
        <w:t>2018 to 2022 A</w:t>
      </w:r>
      <w:r>
        <w:rPr>
          <w:rStyle w:val="AERtextitalic"/>
        </w:rPr>
        <w:t>ccess a</w:t>
      </w:r>
      <w:r w:rsidRPr="00EC6B5E">
        <w:rPr>
          <w:rStyle w:val="AERtextitalic"/>
        </w:rPr>
        <w:t xml:space="preserve">rrangement </w:t>
      </w:r>
      <w:r>
        <w:rPr>
          <w:rStyle w:val="AERtextitalic"/>
        </w:rPr>
        <w:t>i</w:t>
      </w:r>
      <w:r w:rsidRPr="00EC6B5E">
        <w:rPr>
          <w:rStyle w:val="AERtextitalic"/>
        </w:rPr>
        <w:t>nformation</w:t>
      </w:r>
      <w:r>
        <w:t>, December 2016, pp. 113-114.</w:t>
      </w:r>
    </w:p>
  </w:footnote>
  <w:footnote w:id="50">
    <w:p w:rsidR="00EF4B45" w:rsidRDefault="00EF4B45" w:rsidP="00C817E9">
      <w:pPr>
        <w:pStyle w:val="FootnoteText"/>
      </w:pPr>
      <w:r>
        <w:rPr>
          <w:rStyle w:val="FootnoteReference"/>
        </w:rPr>
        <w:footnoteRef/>
      </w:r>
      <w:r>
        <w:t xml:space="preserve"> </w:t>
      </w:r>
      <w:r>
        <w:tab/>
        <w:t xml:space="preserve">Axiom Economics, </w:t>
      </w:r>
      <w:r w:rsidRPr="00EC6B5E">
        <w:rPr>
          <w:rStyle w:val="AERtextitalic"/>
        </w:rPr>
        <w:t>Consistency of the Victorian gas distribution joint marketing campaign with 91 of the NGR, A report prepared for AGN, AusNet Services and Multinet</w:t>
      </w:r>
      <w:r>
        <w:t>, December 2016, pp. 7–8.</w:t>
      </w:r>
    </w:p>
  </w:footnote>
  <w:footnote w:id="51">
    <w:p w:rsidR="00EF4B45" w:rsidRDefault="00EF4B45" w:rsidP="00C817E9">
      <w:pPr>
        <w:pStyle w:val="FootnoteText"/>
      </w:pPr>
      <w:r>
        <w:rPr>
          <w:rStyle w:val="FootnoteReference"/>
        </w:rPr>
        <w:footnoteRef/>
      </w:r>
      <w:r>
        <w:t xml:space="preserve"> </w:t>
      </w:r>
      <w:r>
        <w:tab/>
        <w:t>NGL, ss. 28(1)(a), 28(2).</w:t>
      </w:r>
    </w:p>
  </w:footnote>
  <w:footnote w:id="52">
    <w:p w:rsidR="00EF4B45" w:rsidRDefault="00EF4B45" w:rsidP="00C817E9">
      <w:pPr>
        <w:pStyle w:val="FootnoteText"/>
      </w:pPr>
      <w:r>
        <w:rPr>
          <w:rStyle w:val="FootnoteReference"/>
        </w:rPr>
        <w:footnoteRef/>
      </w:r>
      <w:r>
        <w:t xml:space="preserve"> </w:t>
      </w:r>
      <w:r>
        <w:tab/>
        <w:t xml:space="preserve">AER, </w:t>
      </w:r>
      <w:r w:rsidRPr="00EC6B5E">
        <w:rPr>
          <w:rStyle w:val="AERtextitalic"/>
        </w:rPr>
        <w:t>Final decision Jemena Gas Networks (NSW) Ltd Access Arrangement 2015–20, Attachment 7</w:t>
      </w:r>
      <w:r>
        <w:rPr>
          <w:rStyle w:val="AERtextitalic"/>
        </w:rPr>
        <w:t>- Operating expenditure</w:t>
      </w:r>
      <w:r>
        <w:t>, June 2015, p. 24.</w:t>
      </w:r>
    </w:p>
  </w:footnote>
  <w:footnote w:id="53">
    <w:p w:rsidR="00EF4B45" w:rsidRDefault="00EF4B45" w:rsidP="00C817E9">
      <w:pPr>
        <w:pStyle w:val="FootnoteText"/>
      </w:pPr>
      <w:r>
        <w:rPr>
          <w:rStyle w:val="FootnoteReference"/>
        </w:rPr>
        <w:footnoteRef/>
      </w:r>
      <w:r>
        <w:t xml:space="preserve"> </w:t>
      </w:r>
      <w:r>
        <w:tab/>
        <w:t xml:space="preserve">AER, </w:t>
      </w:r>
      <w:r w:rsidRPr="00EC6B5E">
        <w:rPr>
          <w:rStyle w:val="AERtextitalic"/>
        </w:rPr>
        <w:t>Draft decision Jemena Gas Networks (NSW) Ltd Access Arrangement 2015–20, Attachment 7- Operating expenditure</w:t>
      </w:r>
      <w:r>
        <w:t>, November 2014, pp. 7–35 to 7–37.</w:t>
      </w:r>
    </w:p>
  </w:footnote>
  <w:footnote w:id="54">
    <w:p w:rsidR="00EF4B45" w:rsidRDefault="00EF4B45" w:rsidP="00C817E9">
      <w:pPr>
        <w:pStyle w:val="FootnoteText"/>
      </w:pPr>
      <w:r>
        <w:rPr>
          <w:rStyle w:val="FootnoteReference"/>
        </w:rPr>
        <w:footnoteRef/>
      </w:r>
      <w:r>
        <w:t xml:space="preserve"> </w:t>
      </w:r>
      <w:r>
        <w:tab/>
        <w:t>Under price cap regulation, a business has a financial incentive to increase demand more than its forecast, to gain additional revenue . Therefore, the business may invest in marketing to the extent that it generates more revenue than its marketing costs within one period.</w:t>
      </w:r>
    </w:p>
  </w:footnote>
  <w:footnote w:id="55">
    <w:p w:rsidR="00EF4B45" w:rsidRDefault="00EF4B45">
      <w:pPr>
        <w:pStyle w:val="FootnoteText"/>
      </w:pPr>
      <w:r>
        <w:rPr>
          <w:rStyle w:val="FootnoteReference"/>
        </w:rPr>
        <w:footnoteRef/>
      </w:r>
      <w:r>
        <w:t xml:space="preserve"> </w:t>
      </w:r>
      <w:r>
        <w:tab/>
        <w:t>NGL, s. 24(3).</w:t>
      </w:r>
    </w:p>
  </w:footnote>
  <w:footnote w:id="56">
    <w:p w:rsidR="00EF4B45" w:rsidRDefault="00EF4B45" w:rsidP="00DC0919">
      <w:pPr>
        <w:pStyle w:val="FootnoteText"/>
      </w:pPr>
      <w:r>
        <w:rPr>
          <w:rStyle w:val="FootnoteReference"/>
        </w:rPr>
        <w:footnoteRef/>
      </w:r>
      <w:r>
        <w:t xml:space="preserve"> </w:t>
      </w:r>
      <w:r>
        <w:tab/>
        <w:t xml:space="preserve">AusNet Services, </w:t>
      </w:r>
      <w:r w:rsidRPr="00EC6B5E">
        <w:rPr>
          <w:rStyle w:val="AERtextitalic"/>
        </w:rPr>
        <w:t>Access arrangement information 2018–22</w:t>
      </w:r>
      <w:r>
        <w:t>, December 2016, p. 173.</w:t>
      </w:r>
    </w:p>
  </w:footnote>
  <w:footnote w:id="57">
    <w:p w:rsidR="00EF4B45" w:rsidRDefault="00EF4B45" w:rsidP="00C21D1C">
      <w:pPr>
        <w:pStyle w:val="FootnoteText"/>
      </w:pPr>
      <w:r>
        <w:rPr>
          <w:rStyle w:val="FootnoteReference"/>
        </w:rPr>
        <w:footnoteRef/>
      </w:r>
      <w:r>
        <w:t xml:space="preserve"> </w:t>
      </w:r>
      <w:r>
        <w:tab/>
        <w:t xml:space="preserve">AGL Energy Ltd, </w:t>
      </w:r>
      <w:r w:rsidRPr="00420D57">
        <w:rPr>
          <w:rStyle w:val="AERtextitalic"/>
        </w:rPr>
        <w:t xml:space="preserve">Submission </w:t>
      </w:r>
      <w:r>
        <w:rPr>
          <w:rStyle w:val="AERtextitalic"/>
        </w:rPr>
        <w:t xml:space="preserve">to the AER </w:t>
      </w:r>
      <w:r w:rsidRPr="00420D57">
        <w:rPr>
          <w:rStyle w:val="AERtextitalic"/>
        </w:rPr>
        <w:t xml:space="preserve">on the Victorian </w:t>
      </w:r>
      <w:r>
        <w:rPr>
          <w:rStyle w:val="AERtextitalic"/>
        </w:rPr>
        <w:t>gas access arrangement</w:t>
      </w:r>
      <w:r w:rsidRPr="00420D57">
        <w:rPr>
          <w:rStyle w:val="AERtextitalic"/>
        </w:rPr>
        <w:t xml:space="preserve"> proposals</w:t>
      </w:r>
      <w:r>
        <w:t>, March 2017, p.1.</w:t>
      </w:r>
    </w:p>
  </w:footnote>
  <w:footnote w:id="58">
    <w:p w:rsidR="00EF4B45" w:rsidRPr="008A581F" w:rsidRDefault="00EF4B45" w:rsidP="00C21D1C">
      <w:pPr>
        <w:pStyle w:val="FootnoteText"/>
      </w:pPr>
      <w:r>
        <w:rPr>
          <w:rStyle w:val="FootnoteReference"/>
        </w:rPr>
        <w:footnoteRef/>
      </w:r>
      <w:r>
        <w:t xml:space="preserve"> </w:t>
      </w:r>
      <w:r>
        <w:tab/>
      </w:r>
      <w:r w:rsidRPr="00EC6B5E">
        <w:rPr>
          <w:rStyle w:val="AERtextsize8"/>
        </w:rPr>
        <w:t>Origin Energy</w:t>
      </w:r>
      <w:r w:rsidRPr="008A581F">
        <w:rPr>
          <w:rStyle w:val="AERtextitalic"/>
        </w:rPr>
        <w:t>,</w:t>
      </w:r>
      <w:r>
        <w:rPr>
          <w:rStyle w:val="AERtextitalic"/>
        </w:rPr>
        <w:t xml:space="preserve"> Victorian Gas Access Arrangement Review 2018-2, Response to gas distribution businesses' proposals, </w:t>
      </w:r>
      <w:r w:rsidRPr="008A581F">
        <w:t>17 February 2017, p. 4.</w:t>
      </w:r>
    </w:p>
  </w:footnote>
  <w:footnote w:id="59">
    <w:p w:rsidR="00EF4B45" w:rsidRDefault="00EF4B45" w:rsidP="00C21D1C">
      <w:pPr>
        <w:pStyle w:val="FootnoteText"/>
      </w:pPr>
      <w:r>
        <w:rPr>
          <w:rStyle w:val="FootnoteReference"/>
        </w:rPr>
        <w:footnoteRef/>
      </w:r>
      <w:r>
        <w:t xml:space="preserve"> </w:t>
      </w:r>
      <w:r>
        <w:tab/>
        <w:t xml:space="preserve">United Communities, </w:t>
      </w:r>
      <w:r w:rsidRPr="00EC6B5E">
        <w:rPr>
          <w:rStyle w:val="AERtextitalic"/>
        </w:rPr>
        <w:t>No Shocks Access Arrangement Proposal - Submission to the AER regarding the AGN access arrangement proposal for Victoria Albury</w:t>
      </w:r>
      <w:r>
        <w:t>, April 2017, pp. 6-7.</w:t>
      </w:r>
    </w:p>
  </w:footnote>
  <w:footnote w:id="60">
    <w:p w:rsidR="00EF4B45" w:rsidRDefault="00EF4B45" w:rsidP="00C21D1C">
      <w:pPr>
        <w:pStyle w:val="FootnoteText"/>
      </w:pPr>
      <w:r>
        <w:rPr>
          <w:rStyle w:val="FootnoteReference"/>
        </w:rPr>
        <w:footnoteRef/>
      </w:r>
      <w:r>
        <w:t xml:space="preserve"> </w:t>
      </w:r>
      <w:r>
        <w:tab/>
        <w:t xml:space="preserve">United Communities, </w:t>
      </w:r>
      <w:r w:rsidRPr="00EC6B5E">
        <w:rPr>
          <w:rStyle w:val="AERtextitalic"/>
        </w:rPr>
        <w:t>No Shocks Access Arrangement Proposal - Submission to the AER regarding the AGN access arrangement proposal for Victoria Albury</w:t>
      </w:r>
      <w:r>
        <w:t>, April 2017, p. 7.</w:t>
      </w:r>
    </w:p>
  </w:footnote>
  <w:footnote w:id="61">
    <w:p w:rsidR="00EF4B45" w:rsidRDefault="00EF4B45" w:rsidP="00C817E9">
      <w:pPr>
        <w:pStyle w:val="FootnoteText"/>
      </w:pPr>
      <w:r>
        <w:rPr>
          <w:rStyle w:val="FootnoteReference"/>
        </w:rPr>
        <w:footnoteRef/>
      </w:r>
      <w:r>
        <w:t xml:space="preserve"> </w:t>
      </w:r>
      <w:r>
        <w:tab/>
        <w:t xml:space="preserve">CCP (sub-panel 11) , </w:t>
      </w:r>
      <w:r w:rsidRPr="00EC6B5E">
        <w:rPr>
          <w:rStyle w:val="AERtextitalic"/>
        </w:rPr>
        <w:t>Response to proposals from AGN, AusNet and Multinet for a revenue reset/access arrangement for the period 2018 to 2022</w:t>
      </w:r>
      <w:r>
        <w:t>, March 2017, p. 57.</w:t>
      </w:r>
    </w:p>
  </w:footnote>
  <w:footnote w:id="62">
    <w:p w:rsidR="00EF4B45" w:rsidRDefault="00EF4B45">
      <w:pPr>
        <w:pStyle w:val="FootnoteText"/>
      </w:pPr>
      <w:r>
        <w:rPr>
          <w:rStyle w:val="FootnoteReference"/>
        </w:rPr>
        <w:footnoteRef/>
      </w:r>
      <w:r>
        <w:t xml:space="preserve"> </w:t>
      </w:r>
      <w:r>
        <w:tab/>
        <w:t xml:space="preserve">Multinet Gas, </w:t>
      </w:r>
      <w:r w:rsidRPr="00EC6B5E">
        <w:rPr>
          <w:rStyle w:val="AERtextitalic"/>
        </w:rPr>
        <w:t xml:space="preserve">2018 to 2022 Access </w:t>
      </w:r>
      <w:r>
        <w:rPr>
          <w:rStyle w:val="AERtextitalic"/>
        </w:rPr>
        <w:t>a</w:t>
      </w:r>
      <w:r w:rsidRPr="00EC6B5E">
        <w:rPr>
          <w:rStyle w:val="AERtextitalic"/>
        </w:rPr>
        <w:t xml:space="preserve">rrangement </w:t>
      </w:r>
      <w:r>
        <w:rPr>
          <w:rStyle w:val="AERtextitalic"/>
        </w:rPr>
        <w:t>i</w:t>
      </w:r>
      <w:r w:rsidRPr="00EC6B5E">
        <w:rPr>
          <w:rStyle w:val="AERtextitalic"/>
        </w:rPr>
        <w:t>nformation</w:t>
      </w:r>
      <w:r>
        <w:t>, December 2016, p. 113.</w:t>
      </w:r>
    </w:p>
  </w:footnote>
  <w:footnote w:id="63">
    <w:p w:rsidR="00EF4B45" w:rsidRDefault="00EF4B45" w:rsidP="00C817E9">
      <w:pPr>
        <w:pStyle w:val="FootnoteText"/>
      </w:pPr>
      <w:r>
        <w:rPr>
          <w:rStyle w:val="FootnoteReference"/>
        </w:rPr>
        <w:footnoteRef/>
      </w:r>
      <w:r>
        <w:t xml:space="preserve"> </w:t>
      </w:r>
      <w:r>
        <w:tab/>
        <w:t xml:space="preserve">CCP (sub-panel 11) , </w:t>
      </w:r>
      <w:r w:rsidRPr="00EC6B5E">
        <w:rPr>
          <w:rStyle w:val="AERtextitalic"/>
        </w:rPr>
        <w:t>Response to proposals from AGN, AusNet and Multinet for a revenue reset/access arrangement for the period 2018 to 2022</w:t>
      </w:r>
      <w:r>
        <w:t>, March 2017, p. 58.</w:t>
      </w:r>
    </w:p>
  </w:footnote>
  <w:footnote w:id="64">
    <w:p w:rsidR="00EF4B45" w:rsidRDefault="00EF4B45" w:rsidP="00C817E9">
      <w:pPr>
        <w:pStyle w:val="FootnoteText"/>
      </w:pPr>
      <w:r>
        <w:rPr>
          <w:rStyle w:val="FootnoteReference"/>
        </w:rPr>
        <w:footnoteRef/>
      </w:r>
      <w:r>
        <w:t xml:space="preserve"> </w:t>
      </w:r>
      <w:r>
        <w:tab/>
        <w:t xml:space="preserve">CCP (sub-panel 11) , </w:t>
      </w:r>
      <w:r w:rsidRPr="00EC6B5E">
        <w:rPr>
          <w:rStyle w:val="AERtextitalic"/>
        </w:rPr>
        <w:t>Response to proposals from AGN, AusNet and Multinet for a revenue reset/access arrangement for the period 2018 to 2022</w:t>
      </w:r>
      <w:r>
        <w:t xml:space="preserve">, March 2017, p. 57; AusNet Services, </w:t>
      </w:r>
      <w:r w:rsidRPr="002149AC">
        <w:rPr>
          <w:rStyle w:val="AERtextitalic"/>
        </w:rPr>
        <w:t>Access Arrangement Information 2018–22, Appendix 5B, Energy Research Study 1: Report, prepared by Colmar Brunton Research</w:t>
      </w:r>
      <w:r>
        <w:t>, May 2016, p.45.</w:t>
      </w:r>
    </w:p>
  </w:footnote>
  <w:footnote w:id="65">
    <w:p w:rsidR="00EF4B45" w:rsidRDefault="00EF4B45" w:rsidP="00C817E9">
      <w:pPr>
        <w:pStyle w:val="FootnoteText"/>
      </w:pPr>
      <w:r>
        <w:rPr>
          <w:rStyle w:val="FootnoteReference"/>
        </w:rPr>
        <w:footnoteRef/>
      </w:r>
      <w:r>
        <w:t xml:space="preserve"> </w:t>
      </w:r>
      <w:r>
        <w:tab/>
        <w:t>NGR, r. 74(2).</w:t>
      </w:r>
    </w:p>
  </w:footnote>
  <w:footnote w:id="66">
    <w:p w:rsidR="00EF4B45" w:rsidRDefault="00EF4B45" w:rsidP="00C817E9">
      <w:pPr>
        <w:pStyle w:val="FootnoteText"/>
      </w:pPr>
      <w:r>
        <w:rPr>
          <w:rStyle w:val="FootnoteReference"/>
        </w:rPr>
        <w:footnoteRef/>
      </w:r>
      <w:r>
        <w:t xml:space="preserve"> </w:t>
      </w:r>
      <w:r>
        <w:tab/>
      </w:r>
      <w:r w:rsidRPr="005552B2">
        <w:t>For example, if one out of two gas appliances is purchased by a consumer irrespective of the rebate program, the rebate costs required to achieve the additional demand as forecast in the Axiom Economics model would be doubled.</w:t>
      </w:r>
    </w:p>
  </w:footnote>
  <w:footnote w:id="67">
    <w:p w:rsidR="00EF4B45" w:rsidRDefault="00EF4B45">
      <w:pPr>
        <w:pStyle w:val="FootnoteText"/>
      </w:pPr>
      <w:r>
        <w:rPr>
          <w:rStyle w:val="FootnoteReference"/>
        </w:rPr>
        <w:footnoteRef/>
      </w:r>
      <w:r>
        <w:t xml:space="preserve"> </w:t>
      </w:r>
      <w:r>
        <w:tab/>
        <w:t xml:space="preserve">Multinet Gas, </w:t>
      </w:r>
      <w:r w:rsidRPr="00EC6B5E">
        <w:rPr>
          <w:rStyle w:val="AERtextitalic"/>
        </w:rPr>
        <w:t>Response to AER IR#15 - Opex step change marketing campaign</w:t>
      </w:r>
      <w:r>
        <w:t>, March 2016, p.3.</w:t>
      </w:r>
    </w:p>
  </w:footnote>
  <w:footnote w:id="68">
    <w:p w:rsidR="00EF4B45" w:rsidRDefault="00EF4B45" w:rsidP="00C817E9">
      <w:pPr>
        <w:pStyle w:val="FootnoteText"/>
      </w:pPr>
      <w:r>
        <w:rPr>
          <w:rStyle w:val="FootnoteReference"/>
        </w:rPr>
        <w:footnoteRef/>
      </w:r>
      <w:r>
        <w:t xml:space="preserve"> </w:t>
      </w:r>
      <w:r>
        <w:tab/>
        <w:t xml:space="preserve">Multinet Gas, </w:t>
      </w:r>
      <w:r w:rsidRPr="00EC6B5E">
        <w:rPr>
          <w:rStyle w:val="AERtextitalic"/>
        </w:rPr>
        <w:t>Response to AER IR#15 - Opex step change marketing campaign</w:t>
      </w:r>
      <w:r>
        <w:t>, March 2016, p.3.</w:t>
      </w:r>
    </w:p>
  </w:footnote>
  <w:footnote w:id="69">
    <w:p w:rsidR="00EF4B45" w:rsidRDefault="00EF4B45" w:rsidP="00C817E9">
      <w:pPr>
        <w:pStyle w:val="FootnoteText"/>
      </w:pPr>
      <w:r>
        <w:rPr>
          <w:rStyle w:val="FootnoteReference"/>
        </w:rPr>
        <w:footnoteRef/>
      </w:r>
      <w:r>
        <w:t xml:space="preserve"> </w:t>
      </w:r>
      <w:r>
        <w:tab/>
        <w:t xml:space="preserve">Axiom Economics, </w:t>
      </w:r>
      <w:r w:rsidRPr="00EC6B5E">
        <w:rPr>
          <w:rStyle w:val="AERtextitalic"/>
        </w:rPr>
        <w:t>Consistency of the Victorian gas distribution joint marketing campaign with 91 of the NGR, A report prepared for AGN, AusNet Services and Multinet</w:t>
      </w:r>
      <w:r>
        <w:t>, December 2016, p.44.</w:t>
      </w:r>
    </w:p>
  </w:footnote>
  <w:footnote w:id="70">
    <w:p w:rsidR="00EF4B45" w:rsidRDefault="00EF4B45" w:rsidP="00C817E9">
      <w:pPr>
        <w:pStyle w:val="FootnoteText"/>
      </w:pPr>
      <w:r>
        <w:rPr>
          <w:rStyle w:val="FootnoteReference"/>
        </w:rPr>
        <w:footnoteRef/>
      </w:r>
      <w:r>
        <w:t xml:space="preserve"> </w:t>
      </w:r>
      <w:r>
        <w:tab/>
        <w:t xml:space="preserve">Axiom Economics, </w:t>
      </w:r>
      <w:r w:rsidRPr="00EC6B5E">
        <w:rPr>
          <w:rStyle w:val="AERtextitalic"/>
        </w:rPr>
        <w:t>Consistency of the Victorian gas distribution joint marketing campaign with 91 of the NGR, A report prepared for AGN, AusNet Services and Multinet</w:t>
      </w:r>
      <w:r>
        <w:t>, December 2016, p.32.</w:t>
      </w:r>
    </w:p>
  </w:footnote>
  <w:footnote w:id="71">
    <w:p w:rsidR="00EF4B45" w:rsidRDefault="00EF4B45" w:rsidP="00C817E9">
      <w:pPr>
        <w:pStyle w:val="FootnoteText"/>
      </w:pPr>
      <w:r>
        <w:rPr>
          <w:rStyle w:val="FootnoteReference"/>
        </w:rPr>
        <w:footnoteRef/>
      </w:r>
      <w:r>
        <w:t xml:space="preserve"> </w:t>
      </w:r>
      <w:r>
        <w:tab/>
        <w:t xml:space="preserve">Axiom Economics, </w:t>
      </w:r>
      <w:r w:rsidRPr="00EC6B5E">
        <w:rPr>
          <w:rStyle w:val="AERtextitalic"/>
        </w:rPr>
        <w:t>Consistency of the Victorian gas distribution joint marketing campaign with 91 of the NGR, A report prepared for AGN, AusNet Services and Multinet</w:t>
      </w:r>
      <w:r>
        <w:t>, December 2016, p.27.</w:t>
      </w:r>
    </w:p>
  </w:footnote>
  <w:footnote w:id="72">
    <w:p w:rsidR="00EF4B45" w:rsidRDefault="00EF4B45" w:rsidP="00C817E9">
      <w:pPr>
        <w:pStyle w:val="FootnoteText"/>
      </w:pPr>
      <w:r>
        <w:rPr>
          <w:rStyle w:val="FootnoteReference"/>
        </w:rPr>
        <w:footnoteRef/>
      </w:r>
      <w:r>
        <w:t xml:space="preserve"> </w:t>
      </w:r>
      <w:r>
        <w:tab/>
        <w:t xml:space="preserve">CCP (sub-panel 11) , </w:t>
      </w:r>
      <w:r w:rsidRPr="00EC6B5E">
        <w:rPr>
          <w:rStyle w:val="AERtextitalic"/>
        </w:rPr>
        <w:t>Response to proposals from AGN, AusNet and Multinet for a revenue reset/access arrangement for the period 2018 to 2022</w:t>
      </w:r>
      <w:r>
        <w:t>, March 2017, p. 60.</w:t>
      </w:r>
    </w:p>
  </w:footnote>
  <w:footnote w:id="73">
    <w:p w:rsidR="00EF4B45" w:rsidRDefault="00EF4B45" w:rsidP="00C817E9">
      <w:pPr>
        <w:pStyle w:val="FootnoteText"/>
      </w:pPr>
      <w:r>
        <w:rPr>
          <w:rStyle w:val="FootnoteReference"/>
        </w:rPr>
        <w:footnoteRef/>
      </w:r>
      <w:r>
        <w:t xml:space="preserve"> </w:t>
      </w:r>
      <w:r>
        <w:tab/>
        <w:t xml:space="preserve">NGR, r. 91.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B45" w:rsidRDefault="00EF4B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77DA445E"/>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rh7I1UM98OHOvH83smngDrzz9el/yqitrwUC2/LD+hI=" w:saltValue="fs9Rqo/ou+f7P48Swj8efQ==" w:algorithmName="SHA-256"/>
  <w:defaultTabStop w:val="340"/>
  <w:characterSpacingControl w:val="doNotCompress"/>
  <w:hdrShapeDefaults>
    <o:shapedefaults v:ext="edit" spidmax="329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0C21"/>
    <w:rsid w:val="000051DC"/>
    <w:rsid w:val="0000658F"/>
    <w:rsid w:val="0001367D"/>
    <w:rsid w:val="0001507B"/>
    <w:rsid w:val="00016BC2"/>
    <w:rsid w:val="00020016"/>
    <w:rsid w:val="00021202"/>
    <w:rsid w:val="00021C2B"/>
    <w:rsid w:val="0002498B"/>
    <w:rsid w:val="0002517F"/>
    <w:rsid w:val="00026187"/>
    <w:rsid w:val="000266FC"/>
    <w:rsid w:val="000273B3"/>
    <w:rsid w:val="00027549"/>
    <w:rsid w:val="00027E2D"/>
    <w:rsid w:val="0003578C"/>
    <w:rsid w:val="00044DA3"/>
    <w:rsid w:val="00044E28"/>
    <w:rsid w:val="000474DF"/>
    <w:rsid w:val="00055A67"/>
    <w:rsid w:val="0006306D"/>
    <w:rsid w:val="00063247"/>
    <w:rsid w:val="0006624E"/>
    <w:rsid w:val="00070F9F"/>
    <w:rsid w:val="0007137B"/>
    <w:rsid w:val="00073B74"/>
    <w:rsid w:val="00076416"/>
    <w:rsid w:val="000777F0"/>
    <w:rsid w:val="000805A8"/>
    <w:rsid w:val="0008069F"/>
    <w:rsid w:val="0008190B"/>
    <w:rsid w:val="000836D9"/>
    <w:rsid w:val="00084B6D"/>
    <w:rsid w:val="00085663"/>
    <w:rsid w:val="00085EBF"/>
    <w:rsid w:val="00091B15"/>
    <w:rsid w:val="00095186"/>
    <w:rsid w:val="000A0E71"/>
    <w:rsid w:val="000A1C0C"/>
    <w:rsid w:val="000A3020"/>
    <w:rsid w:val="000A4840"/>
    <w:rsid w:val="000A62C1"/>
    <w:rsid w:val="000A6A79"/>
    <w:rsid w:val="000A6C7B"/>
    <w:rsid w:val="000B0A7B"/>
    <w:rsid w:val="000B100D"/>
    <w:rsid w:val="000B1173"/>
    <w:rsid w:val="000B48C7"/>
    <w:rsid w:val="000B5827"/>
    <w:rsid w:val="000B7037"/>
    <w:rsid w:val="000C02D1"/>
    <w:rsid w:val="000C0C63"/>
    <w:rsid w:val="000C1147"/>
    <w:rsid w:val="000C2B40"/>
    <w:rsid w:val="000C5255"/>
    <w:rsid w:val="000C57CA"/>
    <w:rsid w:val="000D07A7"/>
    <w:rsid w:val="000D122C"/>
    <w:rsid w:val="000D75B0"/>
    <w:rsid w:val="000E1819"/>
    <w:rsid w:val="000E18DE"/>
    <w:rsid w:val="000E4821"/>
    <w:rsid w:val="000E4AA9"/>
    <w:rsid w:val="000E6C72"/>
    <w:rsid w:val="000E7CD0"/>
    <w:rsid w:val="000E7F39"/>
    <w:rsid w:val="00100EA2"/>
    <w:rsid w:val="00101AA1"/>
    <w:rsid w:val="00102338"/>
    <w:rsid w:val="00104566"/>
    <w:rsid w:val="00104FF6"/>
    <w:rsid w:val="00107F0B"/>
    <w:rsid w:val="001114AA"/>
    <w:rsid w:val="00112684"/>
    <w:rsid w:val="0011415F"/>
    <w:rsid w:val="00115743"/>
    <w:rsid w:val="00116EB2"/>
    <w:rsid w:val="0012132C"/>
    <w:rsid w:val="00124609"/>
    <w:rsid w:val="00125AA4"/>
    <w:rsid w:val="00125D57"/>
    <w:rsid w:val="00126A4C"/>
    <w:rsid w:val="001270E3"/>
    <w:rsid w:val="00132D43"/>
    <w:rsid w:val="00133366"/>
    <w:rsid w:val="00133F47"/>
    <w:rsid w:val="00134029"/>
    <w:rsid w:val="00142C2D"/>
    <w:rsid w:val="00144C96"/>
    <w:rsid w:val="0014573B"/>
    <w:rsid w:val="001463A3"/>
    <w:rsid w:val="00146807"/>
    <w:rsid w:val="00146BF9"/>
    <w:rsid w:val="0015073A"/>
    <w:rsid w:val="001573E4"/>
    <w:rsid w:val="00160756"/>
    <w:rsid w:val="00161DC8"/>
    <w:rsid w:val="00162020"/>
    <w:rsid w:val="00166760"/>
    <w:rsid w:val="0017232E"/>
    <w:rsid w:val="00174102"/>
    <w:rsid w:val="001754EE"/>
    <w:rsid w:val="001763F0"/>
    <w:rsid w:val="00180157"/>
    <w:rsid w:val="001809BC"/>
    <w:rsid w:val="00180E97"/>
    <w:rsid w:val="001820B4"/>
    <w:rsid w:val="00184351"/>
    <w:rsid w:val="00184AC8"/>
    <w:rsid w:val="00185BA5"/>
    <w:rsid w:val="00185CB9"/>
    <w:rsid w:val="00185DBE"/>
    <w:rsid w:val="00186ADC"/>
    <w:rsid w:val="00186F77"/>
    <w:rsid w:val="001877A4"/>
    <w:rsid w:val="00190080"/>
    <w:rsid w:val="00190F50"/>
    <w:rsid w:val="001926A4"/>
    <w:rsid w:val="00192AD5"/>
    <w:rsid w:val="00194597"/>
    <w:rsid w:val="00194E00"/>
    <w:rsid w:val="0019745E"/>
    <w:rsid w:val="00197B16"/>
    <w:rsid w:val="001A530D"/>
    <w:rsid w:val="001A5FB3"/>
    <w:rsid w:val="001A7155"/>
    <w:rsid w:val="001B4529"/>
    <w:rsid w:val="001B45A0"/>
    <w:rsid w:val="001B680E"/>
    <w:rsid w:val="001C63FC"/>
    <w:rsid w:val="001D055E"/>
    <w:rsid w:val="001D0AAE"/>
    <w:rsid w:val="001D4BE1"/>
    <w:rsid w:val="001E1B3F"/>
    <w:rsid w:val="001E7161"/>
    <w:rsid w:val="001F05A4"/>
    <w:rsid w:val="001F1476"/>
    <w:rsid w:val="001F3D4A"/>
    <w:rsid w:val="001F492E"/>
    <w:rsid w:val="001F64EF"/>
    <w:rsid w:val="001F6DA3"/>
    <w:rsid w:val="002010BC"/>
    <w:rsid w:val="002016E7"/>
    <w:rsid w:val="00202E03"/>
    <w:rsid w:val="002033B9"/>
    <w:rsid w:val="002043D0"/>
    <w:rsid w:val="0020492C"/>
    <w:rsid w:val="00204EC9"/>
    <w:rsid w:val="00206505"/>
    <w:rsid w:val="0020743F"/>
    <w:rsid w:val="00211A5F"/>
    <w:rsid w:val="00216C93"/>
    <w:rsid w:val="00221C6C"/>
    <w:rsid w:val="00223051"/>
    <w:rsid w:val="00224DB9"/>
    <w:rsid w:val="0022569A"/>
    <w:rsid w:val="0023005C"/>
    <w:rsid w:val="00230ED1"/>
    <w:rsid w:val="00231012"/>
    <w:rsid w:val="00233775"/>
    <w:rsid w:val="0023414B"/>
    <w:rsid w:val="00234C21"/>
    <w:rsid w:val="00240C4F"/>
    <w:rsid w:val="00243635"/>
    <w:rsid w:val="00247079"/>
    <w:rsid w:val="002478ED"/>
    <w:rsid w:val="00251745"/>
    <w:rsid w:val="00253301"/>
    <w:rsid w:val="002552BA"/>
    <w:rsid w:val="00257B35"/>
    <w:rsid w:val="00257B7A"/>
    <w:rsid w:val="00260016"/>
    <w:rsid w:val="00263AC0"/>
    <w:rsid w:val="00263CF1"/>
    <w:rsid w:val="00264264"/>
    <w:rsid w:val="0026689B"/>
    <w:rsid w:val="0026772D"/>
    <w:rsid w:val="00272D21"/>
    <w:rsid w:val="002730B2"/>
    <w:rsid w:val="00274C7E"/>
    <w:rsid w:val="002777CF"/>
    <w:rsid w:val="002810F2"/>
    <w:rsid w:val="00286874"/>
    <w:rsid w:val="00286B2C"/>
    <w:rsid w:val="00290C63"/>
    <w:rsid w:val="00291A99"/>
    <w:rsid w:val="00293B6D"/>
    <w:rsid w:val="00294B08"/>
    <w:rsid w:val="0029518C"/>
    <w:rsid w:val="00295AAD"/>
    <w:rsid w:val="002963DD"/>
    <w:rsid w:val="00296B65"/>
    <w:rsid w:val="002A7B2B"/>
    <w:rsid w:val="002A7DEF"/>
    <w:rsid w:val="002B0696"/>
    <w:rsid w:val="002B2467"/>
    <w:rsid w:val="002B4567"/>
    <w:rsid w:val="002C0222"/>
    <w:rsid w:val="002C1499"/>
    <w:rsid w:val="002C233C"/>
    <w:rsid w:val="002C517B"/>
    <w:rsid w:val="002D34B6"/>
    <w:rsid w:val="002D3509"/>
    <w:rsid w:val="002D5457"/>
    <w:rsid w:val="002D72E8"/>
    <w:rsid w:val="002D79AD"/>
    <w:rsid w:val="002E268F"/>
    <w:rsid w:val="002E6253"/>
    <w:rsid w:val="002E78DD"/>
    <w:rsid w:val="002E7B22"/>
    <w:rsid w:val="002F12EC"/>
    <w:rsid w:val="002F1D88"/>
    <w:rsid w:val="002F7986"/>
    <w:rsid w:val="00301B40"/>
    <w:rsid w:val="00301C82"/>
    <w:rsid w:val="003029EE"/>
    <w:rsid w:val="00304D38"/>
    <w:rsid w:val="00305CC8"/>
    <w:rsid w:val="00307F6D"/>
    <w:rsid w:val="00314D83"/>
    <w:rsid w:val="0031571F"/>
    <w:rsid w:val="003177A2"/>
    <w:rsid w:val="00317E02"/>
    <w:rsid w:val="00324C5A"/>
    <w:rsid w:val="003271B5"/>
    <w:rsid w:val="00327A1E"/>
    <w:rsid w:val="00327C1B"/>
    <w:rsid w:val="00327E28"/>
    <w:rsid w:val="003304EE"/>
    <w:rsid w:val="00331264"/>
    <w:rsid w:val="00332A7A"/>
    <w:rsid w:val="00334C8D"/>
    <w:rsid w:val="003378BD"/>
    <w:rsid w:val="003424EA"/>
    <w:rsid w:val="00342C2F"/>
    <w:rsid w:val="003436EB"/>
    <w:rsid w:val="00343A18"/>
    <w:rsid w:val="00345744"/>
    <w:rsid w:val="00346446"/>
    <w:rsid w:val="003518B3"/>
    <w:rsid w:val="00353E79"/>
    <w:rsid w:val="003551F2"/>
    <w:rsid w:val="00355CFB"/>
    <w:rsid w:val="00364EA0"/>
    <w:rsid w:val="00366981"/>
    <w:rsid w:val="00370678"/>
    <w:rsid w:val="003714A6"/>
    <w:rsid w:val="0037214E"/>
    <w:rsid w:val="00372C85"/>
    <w:rsid w:val="00373845"/>
    <w:rsid w:val="003744E3"/>
    <w:rsid w:val="00375F71"/>
    <w:rsid w:val="00376219"/>
    <w:rsid w:val="0037663E"/>
    <w:rsid w:val="0037699E"/>
    <w:rsid w:val="00377A29"/>
    <w:rsid w:val="00377C69"/>
    <w:rsid w:val="003828B9"/>
    <w:rsid w:val="0038415D"/>
    <w:rsid w:val="0038461C"/>
    <w:rsid w:val="003846F1"/>
    <w:rsid w:val="003872E4"/>
    <w:rsid w:val="00390E6A"/>
    <w:rsid w:val="00393897"/>
    <w:rsid w:val="00393ABE"/>
    <w:rsid w:val="00395DB6"/>
    <w:rsid w:val="00397398"/>
    <w:rsid w:val="003A0DE5"/>
    <w:rsid w:val="003A371A"/>
    <w:rsid w:val="003A59CD"/>
    <w:rsid w:val="003A6B00"/>
    <w:rsid w:val="003A6E10"/>
    <w:rsid w:val="003B0AA7"/>
    <w:rsid w:val="003B30B2"/>
    <w:rsid w:val="003B484F"/>
    <w:rsid w:val="003B504B"/>
    <w:rsid w:val="003B5179"/>
    <w:rsid w:val="003B685C"/>
    <w:rsid w:val="003B7FBA"/>
    <w:rsid w:val="003C0B6A"/>
    <w:rsid w:val="003C6537"/>
    <w:rsid w:val="003C6A13"/>
    <w:rsid w:val="003C764A"/>
    <w:rsid w:val="003C78BA"/>
    <w:rsid w:val="003D1D7C"/>
    <w:rsid w:val="003D41F1"/>
    <w:rsid w:val="003D42AB"/>
    <w:rsid w:val="003D5B94"/>
    <w:rsid w:val="003E0D3A"/>
    <w:rsid w:val="003E3AAB"/>
    <w:rsid w:val="003E7FE9"/>
    <w:rsid w:val="003F07D4"/>
    <w:rsid w:val="003F174D"/>
    <w:rsid w:val="003F2329"/>
    <w:rsid w:val="003F3037"/>
    <w:rsid w:val="003F3573"/>
    <w:rsid w:val="003F5A19"/>
    <w:rsid w:val="00400FD2"/>
    <w:rsid w:val="00403711"/>
    <w:rsid w:val="00403E82"/>
    <w:rsid w:val="00404C52"/>
    <w:rsid w:val="00410F57"/>
    <w:rsid w:val="004156D5"/>
    <w:rsid w:val="00415BA9"/>
    <w:rsid w:val="00415F31"/>
    <w:rsid w:val="0041691D"/>
    <w:rsid w:val="0042000C"/>
    <w:rsid w:val="0042090E"/>
    <w:rsid w:val="00421F27"/>
    <w:rsid w:val="0042223D"/>
    <w:rsid w:val="00422BC0"/>
    <w:rsid w:val="004238D8"/>
    <w:rsid w:val="00423A77"/>
    <w:rsid w:val="00426018"/>
    <w:rsid w:val="004324F4"/>
    <w:rsid w:val="00434544"/>
    <w:rsid w:val="0044162F"/>
    <w:rsid w:val="0044402E"/>
    <w:rsid w:val="0044471D"/>
    <w:rsid w:val="00445D43"/>
    <w:rsid w:val="00446CD2"/>
    <w:rsid w:val="0045777E"/>
    <w:rsid w:val="00465258"/>
    <w:rsid w:val="00471BC6"/>
    <w:rsid w:val="00476221"/>
    <w:rsid w:val="004766F5"/>
    <w:rsid w:val="00480B4B"/>
    <w:rsid w:val="004838D8"/>
    <w:rsid w:val="00485DC4"/>
    <w:rsid w:val="00491CB2"/>
    <w:rsid w:val="00494D04"/>
    <w:rsid w:val="004970F1"/>
    <w:rsid w:val="004A40BA"/>
    <w:rsid w:val="004A43D1"/>
    <w:rsid w:val="004A492B"/>
    <w:rsid w:val="004B10A0"/>
    <w:rsid w:val="004B2042"/>
    <w:rsid w:val="004B4412"/>
    <w:rsid w:val="004B78C2"/>
    <w:rsid w:val="004C348C"/>
    <w:rsid w:val="004C462E"/>
    <w:rsid w:val="004C6CA3"/>
    <w:rsid w:val="004C7F5E"/>
    <w:rsid w:val="004D343C"/>
    <w:rsid w:val="004D372A"/>
    <w:rsid w:val="004D55BA"/>
    <w:rsid w:val="004D720C"/>
    <w:rsid w:val="004E0FA7"/>
    <w:rsid w:val="004E22EC"/>
    <w:rsid w:val="004E4781"/>
    <w:rsid w:val="004F0BFA"/>
    <w:rsid w:val="004F13DA"/>
    <w:rsid w:val="004F4D69"/>
    <w:rsid w:val="004F6883"/>
    <w:rsid w:val="004F6A0E"/>
    <w:rsid w:val="004F6BB3"/>
    <w:rsid w:val="005009CD"/>
    <w:rsid w:val="00504E5F"/>
    <w:rsid w:val="0051337E"/>
    <w:rsid w:val="00513FA7"/>
    <w:rsid w:val="00514BB2"/>
    <w:rsid w:val="0051768F"/>
    <w:rsid w:val="00521258"/>
    <w:rsid w:val="00522DC2"/>
    <w:rsid w:val="00530128"/>
    <w:rsid w:val="00532467"/>
    <w:rsid w:val="005332A9"/>
    <w:rsid w:val="0053603C"/>
    <w:rsid w:val="00537871"/>
    <w:rsid w:val="00542BF9"/>
    <w:rsid w:val="00542FE9"/>
    <w:rsid w:val="00544598"/>
    <w:rsid w:val="00544C8D"/>
    <w:rsid w:val="00544DFD"/>
    <w:rsid w:val="00546F39"/>
    <w:rsid w:val="0055423B"/>
    <w:rsid w:val="00556B1E"/>
    <w:rsid w:val="00564A4D"/>
    <w:rsid w:val="0056598C"/>
    <w:rsid w:val="00566E0B"/>
    <w:rsid w:val="00567BA5"/>
    <w:rsid w:val="00571B35"/>
    <w:rsid w:val="00571B43"/>
    <w:rsid w:val="00571D57"/>
    <w:rsid w:val="00573649"/>
    <w:rsid w:val="00573A3B"/>
    <w:rsid w:val="005771C0"/>
    <w:rsid w:val="00577716"/>
    <w:rsid w:val="00577A09"/>
    <w:rsid w:val="005829C2"/>
    <w:rsid w:val="00584D8F"/>
    <w:rsid w:val="00587A18"/>
    <w:rsid w:val="00587ADE"/>
    <w:rsid w:val="00596240"/>
    <w:rsid w:val="00596448"/>
    <w:rsid w:val="005A0BEC"/>
    <w:rsid w:val="005A404D"/>
    <w:rsid w:val="005B0AAB"/>
    <w:rsid w:val="005B1E3C"/>
    <w:rsid w:val="005B2C46"/>
    <w:rsid w:val="005B6518"/>
    <w:rsid w:val="005B704A"/>
    <w:rsid w:val="005B72D7"/>
    <w:rsid w:val="005C045F"/>
    <w:rsid w:val="005C16FE"/>
    <w:rsid w:val="005C1FAB"/>
    <w:rsid w:val="005C2152"/>
    <w:rsid w:val="005C21A4"/>
    <w:rsid w:val="005C26CC"/>
    <w:rsid w:val="005C4463"/>
    <w:rsid w:val="005C569B"/>
    <w:rsid w:val="005D020F"/>
    <w:rsid w:val="005D2B13"/>
    <w:rsid w:val="005D3D88"/>
    <w:rsid w:val="005D48C4"/>
    <w:rsid w:val="005D6208"/>
    <w:rsid w:val="005D6366"/>
    <w:rsid w:val="005D7BA2"/>
    <w:rsid w:val="005E36C2"/>
    <w:rsid w:val="005E4AF4"/>
    <w:rsid w:val="005F387E"/>
    <w:rsid w:val="005F560F"/>
    <w:rsid w:val="005F5BBC"/>
    <w:rsid w:val="005F6C6D"/>
    <w:rsid w:val="00601E0B"/>
    <w:rsid w:val="0060258B"/>
    <w:rsid w:val="00604099"/>
    <w:rsid w:val="006104F9"/>
    <w:rsid w:val="00610EF9"/>
    <w:rsid w:val="00611066"/>
    <w:rsid w:val="00612246"/>
    <w:rsid w:val="00612F4F"/>
    <w:rsid w:val="00614EA0"/>
    <w:rsid w:val="00615C6B"/>
    <w:rsid w:val="00617D4C"/>
    <w:rsid w:val="00621DCE"/>
    <w:rsid w:val="00621FC5"/>
    <w:rsid w:val="00624258"/>
    <w:rsid w:val="00624F2C"/>
    <w:rsid w:val="00632273"/>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0577"/>
    <w:rsid w:val="00671692"/>
    <w:rsid w:val="00674AC1"/>
    <w:rsid w:val="00674CCA"/>
    <w:rsid w:val="00675E20"/>
    <w:rsid w:val="00676679"/>
    <w:rsid w:val="00683C89"/>
    <w:rsid w:val="00691B53"/>
    <w:rsid w:val="00693EC4"/>
    <w:rsid w:val="00697D0B"/>
    <w:rsid w:val="006A12BA"/>
    <w:rsid w:val="006A4739"/>
    <w:rsid w:val="006A66A1"/>
    <w:rsid w:val="006B032D"/>
    <w:rsid w:val="006B2395"/>
    <w:rsid w:val="006B40AC"/>
    <w:rsid w:val="006B4CF9"/>
    <w:rsid w:val="006B7800"/>
    <w:rsid w:val="006B797C"/>
    <w:rsid w:val="006B7AC8"/>
    <w:rsid w:val="006C1736"/>
    <w:rsid w:val="006C329B"/>
    <w:rsid w:val="006C6303"/>
    <w:rsid w:val="006C6391"/>
    <w:rsid w:val="006D550F"/>
    <w:rsid w:val="006D6146"/>
    <w:rsid w:val="006D7F7E"/>
    <w:rsid w:val="006E0CFF"/>
    <w:rsid w:val="006E40BF"/>
    <w:rsid w:val="006E4EE2"/>
    <w:rsid w:val="006E762C"/>
    <w:rsid w:val="006F0D92"/>
    <w:rsid w:val="006F267D"/>
    <w:rsid w:val="006F48A1"/>
    <w:rsid w:val="0070011E"/>
    <w:rsid w:val="00701CAB"/>
    <w:rsid w:val="007023BB"/>
    <w:rsid w:val="00704DD7"/>
    <w:rsid w:val="00707563"/>
    <w:rsid w:val="00715F61"/>
    <w:rsid w:val="00717689"/>
    <w:rsid w:val="00722132"/>
    <w:rsid w:val="007228F7"/>
    <w:rsid w:val="0072348C"/>
    <w:rsid w:val="00724A37"/>
    <w:rsid w:val="007303C3"/>
    <w:rsid w:val="00731188"/>
    <w:rsid w:val="007324F5"/>
    <w:rsid w:val="00735106"/>
    <w:rsid w:val="007356CC"/>
    <w:rsid w:val="007368E6"/>
    <w:rsid w:val="007375DF"/>
    <w:rsid w:val="007429BE"/>
    <w:rsid w:val="00743223"/>
    <w:rsid w:val="00743349"/>
    <w:rsid w:val="0074403A"/>
    <w:rsid w:val="00746E01"/>
    <w:rsid w:val="00751DCD"/>
    <w:rsid w:val="00755084"/>
    <w:rsid w:val="00757364"/>
    <w:rsid w:val="00757BDF"/>
    <w:rsid w:val="007609D0"/>
    <w:rsid w:val="00761454"/>
    <w:rsid w:val="0076193D"/>
    <w:rsid w:val="00763E5D"/>
    <w:rsid w:val="00767740"/>
    <w:rsid w:val="00767B5E"/>
    <w:rsid w:val="00775460"/>
    <w:rsid w:val="00777EE6"/>
    <w:rsid w:val="00780B6E"/>
    <w:rsid w:val="00782EEA"/>
    <w:rsid w:val="00782FA6"/>
    <w:rsid w:val="0078448A"/>
    <w:rsid w:val="007909B4"/>
    <w:rsid w:val="00790E86"/>
    <w:rsid w:val="007949D7"/>
    <w:rsid w:val="007A0143"/>
    <w:rsid w:val="007A34C2"/>
    <w:rsid w:val="007A34D5"/>
    <w:rsid w:val="007A35C2"/>
    <w:rsid w:val="007A396C"/>
    <w:rsid w:val="007A4B02"/>
    <w:rsid w:val="007B00AC"/>
    <w:rsid w:val="007B0BE3"/>
    <w:rsid w:val="007B1816"/>
    <w:rsid w:val="007B186E"/>
    <w:rsid w:val="007B25DC"/>
    <w:rsid w:val="007B2C72"/>
    <w:rsid w:val="007B3789"/>
    <w:rsid w:val="007B5FCB"/>
    <w:rsid w:val="007B651F"/>
    <w:rsid w:val="007B6526"/>
    <w:rsid w:val="007B7BB5"/>
    <w:rsid w:val="007C1C53"/>
    <w:rsid w:val="007C284C"/>
    <w:rsid w:val="007C3229"/>
    <w:rsid w:val="007C497E"/>
    <w:rsid w:val="007C4B82"/>
    <w:rsid w:val="007C74BB"/>
    <w:rsid w:val="007C7F64"/>
    <w:rsid w:val="007D0A95"/>
    <w:rsid w:val="007D0EB5"/>
    <w:rsid w:val="007D456E"/>
    <w:rsid w:val="007D5837"/>
    <w:rsid w:val="007D66CA"/>
    <w:rsid w:val="007E17A6"/>
    <w:rsid w:val="007E3CCB"/>
    <w:rsid w:val="007E4904"/>
    <w:rsid w:val="007E4CB5"/>
    <w:rsid w:val="007E4DAE"/>
    <w:rsid w:val="007F066B"/>
    <w:rsid w:val="007F3162"/>
    <w:rsid w:val="007F4EAB"/>
    <w:rsid w:val="007F5B16"/>
    <w:rsid w:val="007F7168"/>
    <w:rsid w:val="007F7C9D"/>
    <w:rsid w:val="008033C4"/>
    <w:rsid w:val="00806731"/>
    <w:rsid w:val="00806C88"/>
    <w:rsid w:val="0081034E"/>
    <w:rsid w:val="00810806"/>
    <w:rsid w:val="00815882"/>
    <w:rsid w:val="00815FC6"/>
    <w:rsid w:val="00820454"/>
    <w:rsid w:val="00822AC7"/>
    <w:rsid w:val="00822E86"/>
    <w:rsid w:val="008255D8"/>
    <w:rsid w:val="008344F6"/>
    <w:rsid w:val="0083510F"/>
    <w:rsid w:val="00837BF3"/>
    <w:rsid w:val="008415DE"/>
    <w:rsid w:val="008420DE"/>
    <w:rsid w:val="00845865"/>
    <w:rsid w:val="0084799B"/>
    <w:rsid w:val="00850C90"/>
    <w:rsid w:val="00851209"/>
    <w:rsid w:val="0085171F"/>
    <w:rsid w:val="00855C1E"/>
    <w:rsid w:val="00855FCA"/>
    <w:rsid w:val="008610B7"/>
    <w:rsid w:val="008658A1"/>
    <w:rsid w:val="0086716A"/>
    <w:rsid w:val="00870613"/>
    <w:rsid w:val="0087380F"/>
    <w:rsid w:val="0087648F"/>
    <w:rsid w:val="00876612"/>
    <w:rsid w:val="00876A89"/>
    <w:rsid w:val="00882BB1"/>
    <w:rsid w:val="008837AC"/>
    <w:rsid w:val="008909DC"/>
    <w:rsid w:val="00894255"/>
    <w:rsid w:val="008945AD"/>
    <w:rsid w:val="008A0645"/>
    <w:rsid w:val="008A1A9F"/>
    <w:rsid w:val="008A1C02"/>
    <w:rsid w:val="008A370D"/>
    <w:rsid w:val="008A587D"/>
    <w:rsid w:val="008B16B0"/>
    <w:rsid w:val="008B1BD5"/>
    <w:rsid w:val="008B35CD"/>
    <w:rsid w:val="008B396C"/>
    <w:rsid w:val="008B4093"/>
    <w:rsid w:val="008B5FCC"/>
    <w:rsid w:val="008B7F36"/>
    <w:rsid w:val="008C357F"/>
    <w:rsid w:val="008C5486"/>
    <w:rsid w:val="008C5ABC"/>
    <w:rsid w:val="008C6DC6"/>
    <w:rsid w:val="008D1661"/>
    <w:rsid w:val="008D27E0"/>
    <w:rsid w:val="008D5F90"/>
    <w:rsid w:val="008D6800"/>
    <w:rsid w:val="008D72F1"/>
    <w:rsid w:val="008E1032"/>
    <w:rsid w:val="008E4089"/>
    <w:rsid w:val="008E5AFF"/>
    <w:rsid w:val="008E6174"/>
    <w:rsid w:val="008E7031"/>
    <w:rsid w:val="008E77DE"/>
    <w:rsid w:val="008E7BCE"/>
    <w:rsid w:val="008F040C"/>
    <w:rsid w:val="008F07A3"/>
    <w:rsid w:val="008F3322"/>
    <w:rsid w:val="008F3519"/>
    <w:rsid w:val="008F3A0D"/>
    <w:rsid w:val="008F4FB5"/>
    <w:rsid w:val="009001B6"/>
    <w:rsid w:val="00900E1B"/>
    <w:rsid w:val="0090131F"/>
    <w:rsid w:val="009021E4"/>
    <w:rsid w:val="009032BB"/>
    <w:rsid w:val="00907683"/>
    <w:rsid w:val="00907E37"/>
    <w:rsid w:val="009108F0"/>
    <w:rsid w:val="009132B7"/>
    <w:rsid w:val="00916A2C"/>
    <w:rsid w:val="009233EE"/>
    <w:rsid w:val="009270AF"/>
    <w:rsid w:val="00927D55"/>
    <w:rsid w:val="00930B1A"/>
    <w:rsid w:val="00932612"/>
    <w:rsid w:val="009327DC"/>
    <w:rsid w:val="009338D9"/>
    <w:rsid w:val="009339BD"/>
    <w:rsid w:val="009356CF"/>
    <w:rsid w:val="00945E53"/>
    <w:rsid w:val="009460AA"/>
    <w:rsid w:val="00950E9A"/>
    <w:rsid w:val="00951978"/>
    <w:rsid w:val="0095203E"/>
    <w:rsid w:val="00952C8B"/>
    <w:rsid w:val="00961A4A"/>
    <w:rsid w:val="009661DE"/>
    <w:rsid w:val="00972C7C"/>
    <w:rsid w:val="00973C53"/>
    <w:rsid w:val="009776F4"/>
    <w:rsid w:val="00982DA2"/>
    <w:rsid w:val="00983C25"/>
    <w:rsid w:val="00983F6D"/>
    <w:rsid w:val="0098466D"/>
    <w:rsid w:val="009856B7"/>
    <w:rsid w:val="009859D6"/>
    <w:rsid w:val="00985C86"/>
    <w:rsid w:val="00986244"/>
    <w:rsid w:val="009910B6"/>
    <w:rsid w:val="009A1603"/>
    <w:rsid w:val="009A5FC3"/>
    <w:rsid w:val="009B0800"/>
    <w:rsid w:val="009B6F84"/>
    <w:rsid w:val="009B74B0"/>
    <w:rsid w:val="009C0152"/>
    <w:rsid w:val="009C1A74"/>
    <w:rsid w:val="009C3D42"/>
    <w:rsid w:val="009C43A8"/>
    <w:rsid w:val="009C491E"/>
    <w:rsid w:val="009C6CDB"/>
    <w:rsid w:val="009D0DF1"/>
    <w:rsid w:val="009D22D6"/>
    <w:rsid w:val="009D2C84"/>
    <w:rsid w:val="009D3906"/>
    <w:rsid w:val="009D6B46"/>
    <w:rsid w:val="009D76CB"/>
    <w:rsid w:val="009E35B6"/>
    <w:rsid w:val="009E5ABC"/>
    <w:rsid w:val="009F3BBA"/>
    <w:rsid w:val="009F43B4"/>
    <w:rsid w:val="009F4940"/>
    <w:rsid w:val="009F5BA1"/>
    <w:rsid w:val="00A02A88"/>
    <w:rsid w:val="00A04012"/>
    <w:rsid w:val="00A046FA"/>
    <w:rsid w:val="00A0562E"/>
    <w:rsid w:val="00A06182"/>
    <w:rsid w:val="00A0726D"/>
    <w:rsid w:val="00A073AE"/>
    <w:rsid w:val="00A12204"/>
    <w:rsid w:val="00A12750"/>
    <w:rsid w:val="00A13CB0"/>
    <w:rsid w:val="00A14C09"/>
    <w:rsid w:val="00A1561F"/>
    <w:rsid w:val="00A16544"/>
    <w:rsid w:val="00A23DB5"/>
    <w:rsid w:val="00A25CC2"/>
    <w:rsid w:val="00A30BF5"/>
    <w:rsid w:val="00A31BE6"/>
    <w:rsid w:val="00A32FBB"/>
    <w:rsid w:val="00A3421E"/>
    <w:rsid w:val="00A35B76"/>
    <w:rsid w:val="00A40068"/>
    <w:rsid w:val="00A40BE9"/>
    <w:rsid w:val="00A428EE"/>
    <w:rsid w:val="00A4390C"/>
    <w:rsid w:val="00A443C2"/>
    <w:rsid w:val="00A4478A"/>
    <w:rsid w:val="00A44852"/>
    <w:rsid w:val="00A50502"/>
    <w:rsid w:val="00A51118"/>
    <w:rsid w:val="00A52ADF"/>
    <w:rsid w:val="00A53409"/>
    <w:rsid w:val="00A53796"/>
    <w:rsid w:val="00A53848"/>
    <w:rsid w:val="00A56945"/>
    <w:rsid w:val="00A56A6E"/>
    <w:rsid w:val="00A57D04"/>
    <w:rsid w:val="00A60A26"/>
    <w:rsid w:val="00A61598"/>
    <w:rsid w:val="00A61777"/>
    <w:rsid w:val="00A63646"/>
    <w:rsid w:val="00A63914"/>
    <w:rsid w:val="00A67AE5"/>
    <w:rsid w:val="00A7448D"/>
    <w:rsid w:val="00A74B34"/>
    <w:rsid w:val="00A75C80"/>
    <w:rsid w:val="00A84A99"/>
    <w:rsid w:val="00A84F46"/>
    <w:rsid w:val="00A85E87"/>
    <w:rsid w:val="00A86AEA"/>
    <w:rsid w:val="00A871F4"/>
    <w:rsid w:val="00A90868"/>
    <w:rsid w:val="00A90F85"/>
    <w:rsid w:val="00A91A40"/>
    <w:rsid w:val="00A9431A"/>
    <w:rsid w:val="00A95988"/>
    <w:rsid w:val="00A959DF"/>
    <w:rsid w:val="00A97A1B"/>
    <w:rsid w:val="00AA1B0F"/>
    <w:rsid w:val="00AA2927"/>
    <w:rsid w:val="00AA6FB4"/>
    <w:rsid w:val="00AB2CB8"/>
    <w:rsid w:val="00AB4617"/>
    <w:rsid w:val="00AB6768"/>
    <w:rsid w:val="00AB6DF9"/>
    <w:rsid w:val="00AB76D8"/>
    <w:rsid w:val="00AC1B2C"/>
    <w:rsid w:val="00AC3264"/>
    <w:rsid w:val="00AC46AD"/>
    <w:rsid w:val="00AC4D2D"/>
    <w:rsid w:val="00AC58EC"/>
    <w:rsid w:val="00AC7282"/>
    <w:rsid w:val="00AC7961"/>
    <w:rsid w:val="00AD2DDB"/>
    <w:rsid w:val="00AD314E"/>
    <w:rsid w:val="00AD35C9"/>
    <w:rsid w:val="00AD4FEF"/>
    <w:rsid w:val="00AD5FCD"/>
    <w:rsid w:val="00AD6B48"/>
    <w:rsid w:val="00AD7A3A"/>
    <w:rsid w:val="00AE0CB2"/>
    <w:rsid w:val="00AE1BF1"/>
    <w:rsid w:val="00AE23AB"/>
    <w:rsid w:val="00AE589A"/>
    <w:rsid w:val="00AE58FB"/>
    <w:rsid w:val="00AE5AF0"/>
    <w:rsid w:val="00AE663D"/>
    <w:rsid w:val="00AE73B3"/>
    <w:rsid w:val="00AF07E7"/>
    <w:rsid w:val="00AF0DD2"/>
    <w:rsid w:val="00AF31E1"/>
    <w:rsid w:val="00AF3BBA"/>
    <w:rsid w:val="00AF4231"/>
    <w:rsid w:val="00AF608A"/>
    <w:rsid w:val="00B00B0E"/>
    <w:rsid w:val="00B00B26"/>
    <w:rsid w:val="00B02385"/>
    <w:rsid w:val="00B02F9D"/>
    <w:rsid w:val="00B05766"/>
    <w:rsid w:val="00B12CD8"/>
    <w:rsid w:val="00B13048"/>
    <w:rsid w:val="00B136C9"/>
    <w:rsid w:val="00B13883"/>
    <w:rsid w:val="00B1716D"/>
    <w:rsid w:val="00B17A1D"/>
    <w:rsid w:val="00B207A0"/>
    <w:rsid w:val="00B21C21"/>
    <w:rsid w:val="00B22F54"/>
    <w:rsid w:val="00B24A7E"/>
    <w:rsid w:val="00B25C0C"/>
    <w:rsid w:val="00B304B5"/>
    <w:rsid w:val="00B308A9"/>
    <w:rsid w:val="00B31047"/>
    <w:rsid w:val="00B31847"/>
    <w:rsid w:val="00B33148"/>
    <w:rsid w:val="00B35CDF"/>
    <w:rsid w:val="00B403C2"/>
    <w:rsid w:val="00B405A1"/>
    <w:rsid w:val="00B4438A"/>
    <w:rsid w:val="00B45AA2"/>
    <w:rsid w:val="00B479CA"/>
    <w:rsid w:val="00B5084F"/>
    <w:rsid w:val="00B514DD"/>
    <w:rsid w:val="00B52AF0"/>
    <w:rsid w:val="00B539FF"/>
    <w:rsid w:val="00B53D5F"/>
    <w:rsid w:val="00B54051"/>
    <w:rsid w:val="00B561BD"/>
    <w:rsid w:val="00B56E03"/>
    <w:rsid w:val="00B62765"/>
    <w:rsid w:val="00B65DF5"/>
    <w:rsid w:val="00B6639C"/>
    <w:rsid w:val="00B75678"/>
    <w:rsid w:val="00B7679F"/>
    <w:rsid w:val="00B77159"/>
    <w:rsid w:val="00B8080B"/>
    <w:rsid w:val="00B812AC"/>
    <w:rsid w:val="00B82223"/>
    <w:rsid w:val="00B8246D"/>
    <w:rsid w:val="00B87BA5"/>
    <w:rsid w:val="00B87C39"/>
    <w:rsid w:val="00B93891"/>
    <w:rsid w:val="00B9562D"/>
    <w:rsid w:val="00B95BD4"/>
    <w:rsid w:val="00B96BBF"/>
    <w:rsid w:val="00BA12FB"/>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A8A"/>
    <w:rsid w:val="00BE5FCE"/>
    <w:rsid w:val="00BF1DB1"/>
    <w:rsid w:val="00C0068A"/>
    <w:rsid w:val="00C0079E"/>
    <w:rsid w:val="00C042A2"/>
    <w:rsid w:val="00C0572A"/>
    <w:rsid w:val="00C13EBD"/>
    <w:rsid w:val="00C1631B"/>
    <w:rsid w:val="00C163AB"/>
    <w:rsid w:val="00C16780"/>
    <w:rsid w:val="00C170F0"/>
    <w:rsid w:val="00C21D1C"/>
    <w:rsid w:val="00C25962"/>
    <w:rsid w:val="00C25FA6"/>
    <w:rsid w:val="00C3099D"/>
    <w:rsid w:val="00C317DF"/>
    <w:rsid w:val="00C33011"/>
    <w:rsid w:val="00C362C1"/>
    <w:rsid w:val="00C41950"/>
    <w:rsid w:val="00C42C3B"/>
    <w:rsid w:val="00C51672"/>
    <w:rsid w:val="00C538A9"/>
    <w:rsid w:val="00C53B5A"/>
    <w:rsid w:val="00C53E41"/>
    <w:rsid w:val="00C54909"/>
    <w:rsid w:val="00C54AF3"/>
    <w:rsid w:val="00C54F5A"/>
    <w:rsid w:val="00C559FC"/>
    <w:rsid w:val="00C569B4"/>
    <w:rsid w:val="00C57DDE"/>
    <w:rsid w:val="00C61468"/>
    <w:rsid w:val="00C61A97"/>
    <w:rsid w:val="00C61E44"/>
    <w:rsid w:val="00C64FF3"/>
    <w:rsid w:val="00C662AD"/>
    <w:rsid w:val="00C67A92"/>
    <w:rsid w:val="00C71280"/>
    <w:rsid w:val="00C717BF"/>
    <w:rsid w:val="00C73547"/>
    <w:rsid w:val="00C73A2A"/>
    <w:rsid w:val="00C740EE"/>
    <w:rsid w:val="00C744E3"/>
    <w:rsid w:val="00C76178"/>
    <w:rsid w:val="00C817E9"/>
    <w:rsid w:val="00C84560"/>
    <w:rsid w:val="00C86679"/>
    <w:rsid w:val="00C8792F"/>
    <w:rsid w:val="00C90472"/>
    <w:rsid w:val="00C91D6E"/>
    <w:rsid w:val="00CA135A"/>
    <w:rsid w:val="00CA489E"/>
    <w:rsid w:val="00CA541D"/>
    <w:rsid w:val="00CA7E95"/>
    <w:rsid w:val="00CB0279"/>
    <w:rsid w:val="00CB666B"/>
    <w:rsid w:val="00CB734B"/>
    <w:rsid w:val="00CC0200"/>
    <w:rsid w:val="00CC41B6"/>
    <w:rsid w:val="00CC7ADA"/>
    <w:rsid w:val="00CC7F1D"/>
    <w:rsid w:val="00CD0A88"/>
    <w:rsid w:val="00CD125D"/>
    <w:rsid w:val="00CD283C"/>
    <w:rsid w:val="00CD3641"/>
    <w:rsid w:val="00CD3FD8"/>
    <w:rsid w:val="00CD66EA"/>
    <w:rsid w:val="00CD7432"/>
    <w:rsid w:val="00CE03C8"/>
    <w:rsid w:val="00CE0FA5"/>
    <w:rsid w:val="00CE2A23"/>
    <w:rsid w:val="00CE31C8"/>
    <w:rsid w:val="00CE47BC"/>
    <w:rsid w:val="00CE484B"/>
    <w:rsid w:val="00CE5E50"/>
    <w:rsid w:val="00CE7CBA"/>
    <w:rsid w:val="00CF0DEE"/>
    <w:rsid w:val="00CF42AA"/>
    <w:rsid w:val="00CF5EAA"/>
    <w:rsid w:val="00CF6AE3"/>
    <w:rsid w:val="00CF77BB"/>
    <w:rsid w:val="00D006AE"/>
    <w:rsid w:val="00D00905"/>
    <w:rsid w:val="00D010C1"/>
    <w:rsid w:val="00D01CF0"/>
    <w:rsid w:val="00D0442A"/>
    <w:rsid w:val="00D04539"/>
    <w:rsid w:val="00D07662"/>
    <w:rsid w:val="00D12A7B"/>
    <w:rsid w:val="00D12ADB"/>
    <w:rsid w:val="00D14778"/>
    <w:rsid w:val="00D1588C"/>
    <w:rsid w:val="00D15E63"/>
    <w:rsid w:val="00D22046"/>
    <w:rsid w:val="00D23E63"/>
    <w:rsid w:val="00D2488B"/>
    <w:rsid w:val="00D24F91"/>
    <w:rsid w:val="00D25A39"/>
    <w:rsid w:val="00D27CFA"/>
    <w:rsid w:val="00D310FA"/>
    <w:rsid w:val="00D325C6"/>
    <w:rsid w:val="00D34881"/>
    <w:rsid w:val="00D37213"/>
    <w:rsid w:val="00D4360D"/>
    <w:rsid w:val="00D5015C"/>
    <w:rsid w:val="00D5287B"/>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870EC"/>
    <w:rsid w:val="00D924AE"/>
    <w:rsid w:val="00D92CF1"/>
    <w:rsid w:val="00D92D38"/>
    <w:rsid w:val="00D950F5"/>
    <w:rsid w:val="00D97379"/>
    <w:rsid w:val="00DA4752"/>
    <w:rsid w:val="00DA4C09"/>
    <w:rsid w:val="00DA61F3"/>
    <w:rsid w:val="00DA7CB3"/>
    <w:rsid w:val="00DB0D00"/>
    <w:rsid w:val="00DB0F93"/>
    <w:rsid w:val="00DB1A67"/>
    <w:rsid w:val="00DB3721"/>
    <w:rsid w:val="00DB5074"/>
    <w:rsid w:val="00DC0281"/>
    <w:rsid w:val="00DC0919"/>
    <w:rsid w:val="00DC1930"/>
    <w:rsid w:val="00DC1C76"/>
    <w:rsid w:val="00DC1F94"/>
    <w:rsid w:val="00DC4DBF"/>
    <w:rsid w:val="00DC4E19"/>
    <w:rsid w:val="00DC65FE"/>
    <w:rsid w:val="00DC7981"/>
    <w:rsid w:val="00DD2588"/>
    <w:rsid w:val="00DD4C07"/>
    <w:rsid w:val="00DD5268"/>
    <w:rsid w:val="00DD577D"/>
    <w:rsid w:val="00DD5ADC"/>
    <w:rsid w:val="00DE1093"/>
    <w:rsid w:val="00DE394A"/>
    <w:rsid w:val="00DE4EFA"/>
    <w:rsid w:val="00DE5520"/>
    <w:rsid w:val="00DE563D"/>
    <w:rsid w:val="00DE7AB5"/>
    <w:rsid w:val="00DF0152"/>
    <w:rsid w:val="00DF1958"/>
    <w:rsid w:val="00DF6B49"/>
    <w:rsid w:val="00E02ED8"/>
    <w:rsid w:val="00E041D3"/>
    <w:rsid w:val="00E04818"/>
    <w:rsid w:val="00E05256"/>
    <w:rsid w:val="00E06442"/>
    <w:rsid w:val="00E06952"/>
    <w:rsid w:val="00E11E61"/>
    <w:rsid w:val="00E14A59"/>
    <w:rsid w:val="00E157B2"/>
    <w:rsid w:val="00E16055"/>
    <w:rsid w:val="00E2332D"/>
    <w:rsid w:val="00E23993"/>
    <w:rsid w:val="00E2574F"/>
    <w:rsid w:val="00E25951"/>
    <w:rsid w:val="00E25B8C"/>
    <w:rsid w:val="00E26ACE"/>
    <w:rsid w:val="00E31CF6"/>
    <w:rsid w:val="00E31D24"/>
    <w:rsid w:val="00E34A4A"/>
    <w:rsid w:val="00E35AFC"/>
    <w:rsid w:val="00E37E9F"/>
    <w:rsid w:val="00E37FCA"/>
    <w:rsid w:val="00E41D39"/>
    <w:rsid w:val="00E44332"/>
    <w:rsid w:val="00E50A02"/>
    <w:rsid w:val="00E54106"/>
    <w:rsid w:val="00E54697"/>
    <w:rsid w:val="00E54E5C"/>
    <w:rsid w:val="00E57A08"/>
    <w:rsid w:val="00E63631"/>
    <w:rsid w:val="00E64C2A"/>
    <w:rsid w:val="00E65C85"/>
    <w:rsid w:val="00E66119"/>
    <w:rsid w:val="00E66199"/>
    <w:rsid w:val="00E66825"/>
    <w:rsid w:val="00E70526"/>
    <w:rsid w:val="00E754B4"/>
    <w:rsid w:val="00E755EC"/>
    <w:rsid w:val="00E7624D"/>
    <w:rsid w:val="00E80CD5"/>
    <w:rsid w:val="00E8101A"/>
    <w:rsid w:val="00E81724"/>
    <w:rsid w:val="00E819A4"/>
    <w:rsid w:val="00E833FA"/>
    <w:rsid w:val="00E84B74"/>
    <w:rsid w:val="00E865A4"/>
    <w:rsid w:val="00E87066"/>
    <w:rsid w:val="00E966BF"/>
    <w:rsid w:val="00EA0C04"/>
    <w:rsid w:val="00EA2BA0"/>
    <w:rsid w:val="00EA34F8"/>
    <w:rsid w:val="00EA3D42"/>
    <w:rsid w:val="00EA5F1C"/>
    <w:rsid w:val="00EA6B1B"/>
    <w:rsid w:val="00EB1CBD"/>
    <w:rsid w:val="00EB3A34"/>
    <w:rsid w:val="00EB3C3F"/>
    <w:rsid w:val="00EC04F1"/>
    <w:rsid w:val="00EC237F"/>
    <w:rsid w:val="00EC573A"/>
    <w:rsid w:val="00EC6B5E"/>
    <w:rsid w:val="00ED35C8"/>
    <w:rsid w:val="00ED3968"/>
    <w:rsid w:val="00ED7323"/>
    <w:rsid w:val="00EE28F3"/>
    <w:rsid w:val="00EE50D1"/>
    <w:rsid w:val="00EE7614"/>
    <w:rsid w:val="00EF4B45"/>
    <w:rsid w:val="00EF5110"/>
    <w:rsid w:val="00EF5890"/>
    <w:rsid w:val="00EF5EA2"/>
    <w:rsid w:val="00EF76BA"/>
    <w:rsid w:val="00F0029A"/>
    <w:rsid w:val="00F0231A"/>
    <w:rsid w:val="00F03463"/>
    <w:rsid w:val="00F035E7"/>
    <w:rsid w:val="00F036B7"/>
    <w:rsid w:val="00F04311"/>
    <w:rsid w:val="00F0700F"/>
    <w:rsid w:val="00F07F1F"/>
    <w:rsid w:val="00F10411"/>
    <w:rsid w:val="00F10A9A"/>
    <w:rsid w:val="00F11B2D"/>
    <w:rsid w:val="00F121C2"/>
    <w:rsid w:val="00F1485B"/>
    <w:rsid w:val="00F15882"/>
    <w:rsid w:val="00F170C7"/>
    <w:rsid w:val="00F171E0"/>
    <w:rsid w:val="00F20BD3"/>
    <w:rsid w:val="00F22A8C"/>
    <w:rsid w:val="00F263F5"/>
    <w:rsid w:val="00F31621"/>
    <w:rsid w:val="00F322E9"/>
    <w:rsid w:val="00F3231B"/>
    <w:rsid w:val="00F33808"/>
    <w:rsid w:val="00F373A5"/>
    <w:rsid w:val="00F37864"/>
    <w:rsid w:val="00F404F9"/>
    <w:rsid w:val="00F44B0A"/>
    <w:rsid w:val="00F4589D"/>
    <w:rsid w:val="00F47559"/>
    <w:rsid w:val="00F50B30"/>
    <w:rsid w:val="00F51A8A"/>
    <w:rsid w:val="00F51F5F"/>
    <w:rsid w:val="00F52D75"/>
    <w:rsid w:val="00F55582"/>
    <w:rsid w:val="00F57647"/>
    <w:rsid w:val="00F62A14"/>
    <w:rsid w:val="00F644AB"/>
    <w:rsid w:val="00F64C7B"/>
    <w:rsid w:val="00F65D45"/>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52A0"/>
    <w:rsid w:val="00F953B5"/>
    <w:rsid w:val="00FA31B1"/>
    <w:rsid w:val="00FA3320"/>
    <w:rsid w:val="00FA3C7F"/>
    <w:rsid w:val="00FA6246"/>
    <w:rsid w:val="00FB19C8"/>
    <w:rsid w:val="00FB24ED"/>
    <w:rsid w:val="00FB3304"/>
    <w:rsid w:val="00FB4488"/>
    <w:rsid w:val="00FB5005"/>
    <w:rsid w:val="00FB60FE"/>
    <w:rsid w:val="00FB74E2"/>
    <w:rsid w:val="00FB778B"/>
    <w:rsid w:val="00FB7E3F"/>
    <w:rsid w:val="00FD232D"/>
    <w:rsid w:val="00FD5614"/>
    <w:rsid w:val="00FD5B45"/>
    <w:rsid w:val="00FD5E78"/>
    <w:rsid w:val="00FE0BE1"/>
    <w:rsid w:val="00FE11BB"/>
    <w:rsid w:val="00FE1953"/>
    <w:rsid w:val="00FE1DE9"/>
    <w:rsid w:val="00FE36AF"/>
    <w:rsid w:val="00FE39C2"/>
    <w:rsid w:val="00FE3C32"/>
    <w:rsid w:val="00FE5AAB"/>
    <w:rsid w:val="00FE64AE"/>
    <w:rsid w:val="00FF4B2B"/>
    <w:rsid w:val="00FF5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9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6634">
      <w:bodyDiv w:val="1"/>
      <w:marLeft w:val="0"/>
      <w:marRight w:val="0"/>
      <w:marTop w:val="0"/>
      <w:marBottom w:val="0"/>
      <w:divBdr>
        <w:top w:val="none" w:sz="0" w:space="0" w:color="auto"/>
        <w:left w:val="none" w:sz="0" w:space="0" w:color="auto"/>
        <w:bottom w:val="none" w:sz="0" w:space="0" w:color="auto"/>
        <w:right w:val="none" w:sz="0" w:space="0" w:color="auto"/>
      </w:divBdr>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733262417">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www.abs.gov.au/AUSSTATS/abs@.nsf/Latestproducts/73F4863F0CDC7D4CCA257B9500133B80"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D981D7-C344-42A0-97CF-0F1956113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8AF20921</Template>
  <TotalTime>0</TotalTime>
  <Pages>34</Pages>
  <Words>8870</Words>
  <Characters>50559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2017-07-02T23:39:00Z</dcterms:created>
  <dcterms:modified xsi:type="dcterms:W3CDTF">2017-07-02T23:39:00Z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