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DE7AB5" w:rsidP="00290C63">
          <w:r w:rsidRPr="00DB723B">
            <w:rPr>
              <w:noProof/>
              <w:lang w:eastAsia="en-AU"/>
            </w:rPr>
            <w:drawing>
              <wp:anchor distT="0" distB="0" distL="114300" distR="114300" simplePos="0" relativeHeight="251661312" behindDoc="1" locked="0" layoutInCell="1" allowOverlap="1" wp14:anchorId="6FF13FB9" wp14:editId="1526858F">
                <wp:simplePos x="0" y="0"/>
                <wp:positionH relativeFrom="column">
                  <wp:posOffset>-1116964</wp:posOffset>
                </wp:positionH>
                <wp:positionV relativeFrom="paragraph">
                  <wp:posOffset>-1000406</wp:posOffset>
                </wp:positionV>
                <wp:extent cx="7734300" cy="10932441"/>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34300" cy="10932441"/>
                        </a:xfrm>
                        <a:prstGeom prst="rect">
                          <a:avLst/>
                        </a:prstGeom>
                        <a:noFill/>
                      </pic:spPr>
                    </pic:pic>
                  </a:graphicData>
                </a:graphic>
                <wp14:sizeRelH relativeFrom="page">
                  <wp14:pctWidth>0</wp14:pctWidth>
                </wp14:sizeRelH>
                <wp14:sizeRelV relativeFrom="page">
                  <wp14:pctHeight>0</wp14:pctHeight>
                </wp14:sizeRelV>
              </wp:anchor>
            </w:drawing>
          </w:r>
          <w:r w:rsidR="000A6C7B" w:rsidRPr="00290C63">
            <w:rPr>
              <w:noProof/>
              <w:lang w:eastAsia="en-AU"/>
            </w:rPr>
            <w:drawing>
              <wp:anchor distT="0" distB="0" distL="114300" distR="114300" simplePos="0" relativeHeight="251659264" behindDoc="1" locked="0" layoutInCell="1" allowOverlap="1" wp14:anchorId="01DE8144" wp14:editId="5011B7AA">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327A1E" w:rsidRDefault="001754EE" w:rsidP="001754EE">
          <w:pPr>
            <w:pStyle w:val="ReportSubtitle"/>
            <w:tabs>
              <w:tab w:val="left" w:pos="1122"/>
              <w:tab w:val="center" w:pos="4238"/>
            </w:tabs>
            <w:jc w:val="left"/>
          </w:pPr>
          <w:r>
            <w:tab/>
          </w:r>
          <w:r>
            <w:tab/>
          </w:r>
          <w:r w:rsidR="000474DF">
            <w:t>DRAFT</w:t>
          </w:r>
          <w:r w:rsidR="00DA4752">
            <w:t xml:space="preserve"> DECISION</w:t>
          </w:r>
        </w:p>
        <w:p w:rsidR="00415F31" w:rsidRDefault="000474DF" w:rsidP="008F07A3">
          <w:pPr>
            <w:pStyle w:val="ReportSubtitle"/>
          </w:pPr>
          <w:r>
            <w:t>Powerlink</w:t>
          </w:r>
          <w:r w:rsidR="006A66A1">
            <w:t xml:space="preserve"> transmission</w:t>
          </w:r>
          <w:r w:rsidR="00415F31">
            <w:t xml:space="preserve"> </w:t>
          </w:r>
          <w:r w:rsidR="00DA4752">
            <w:t>determination</w:t>
          </w:r>
        </w:p>
        <w:p w:rsidR="000A6C7B" w:rsidRDefault="00DA4752" w:rsidP="008F07A3">
          <w:pPr>
            <w:pStyle w:val="ReportSubtitle"/>
          </w:pPr>
          <w:r>
            <w:t xml:space="preserve"> 201</w:t>
          </w:r>
          <w:r w:rsidR="000474DF">
            <w:t>7</w:t>
          </w:r>
          <w:r>
            <w:rPr>
              <w:rFonts w:cs="Arial"/>
            </w:rPr>
            <w:t>−</w:t>
          </w:r>
          <w:r>
            <w:t>1</w:t>
          </w:r>
          <w:r w:rsidR="000474DF">
            <w:t>8 to 2021</w:t>
          </w:r>
          <w:r>
            <w:rPr>
              <w:rFonts w:cs="Arial"/>
            </w:rPr>
            <w:t>−</w:t>
          </w:r>
          <w:r w:rsidR="000474DF">
            <w:t>22</w:t>
          </w:r>
        </w:p>
        <w:p w:rsidR="008F07A3" w:rsidRPr="000A6C7B" w:rsidRDefault="008F07A3" w:rsidP="008F07A3">
          <w:pPr>
            <w:pStyle w:val="ReportSubtitle"/>
          </w:pPr>
        </w:p>
        <w:p w:rsidR="000A6C7B" w:rsidRDefault="0037699E" w:rsidP="008F07A3">
          <w:pPr>
            <w:pStyle w:val="ReportSubtitle"/>
          </w:pPr>
          <w:r>
            <w:t xml:space="preserve">Attachment </w:t>
          </w:r>
          <w:r w:rsidR="00471BC6">
            <w:t>1</w:t>
          </w:r>
          <w:r w:rsidR="000474DF">
            <w:t xml:space="preserve"> </w:t>
          </w:r>
          <w:r w:rsidR="00185BA5">
            <w:t>–</w:t>
          </w:r>
          <w:r w:rsidR="000474DF">
            <w:t xml:space="preserve"> </w:t>
          </w:r>
          <w:r w:rsidR="00471BC6">
            <w:t>Maximum allowed revenue</w:t>
          </w:r>
        </w:p>
        <w:p w:rsidR="000A6C7B" w:rsidRPr="00327A1E" w:rsidRDefault="000474DF" w:rsidP="00327A1E">
          <w:pPr>
            <w:pStyle w:val="ReportDate"/>
          </w:pPr>
          <w:r>
            <w:t>September 2016</w:t>
          </w:r>
        </w:p>
      </w:sdtContent>
    </w:sdt>
    <w:p w:rsidR="00327A1E" w:rsidRPr="00290C63" w:rsidRDefault="00327A1E" w:rsidP="00290C63">
      <w:r>
        <w:br w:type="page"/>
      </w:r>
    </w:p>
    <w:p w:rsidR="00CE2A23" w:rsidRDefault="00CE2A23" w:rsidP="00761454">
      <w:bookmarkStart w:id="1" w:name="_Toc411428008"/>
      <w:r>
        <w:lastRenderedPageBreak/>
        <w:t>© Commonwealth of Australia 201</w:t>
      </w:r>
      <w:r w:rsidR="000474DF">
        <w:t>6</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proofErr w:type="gramStart"/>
      <w:r>
        <w:t>or</w:t>
      </w:r>
      <w:proofErr w:type="gramEnd"/>
      <w:r>
        <w:t xml:space="preserve">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 xml:space="preserve">Tel: </w:t>
      </w:r>
      <w:r w:rsidR="00AD2EB5">
        <w:t>1300 585 165</w:t>
      </w:r>
      <w:r>
        <w:br/>
        <w:t xml:space="preserve">Email: </w:t>
      </w:r>
      <w:hyperlink r:id="rId11" w:history="1">
        <w:r w:rsidRPr="00D64888">
          <w:rPr>
            <w:rStyle w:val="Hyperlink"/>
          </w:rPr>
          <w:t>AERInquiry@aer.gov.au</w:t>
        </w:r>
      </w:hyperlink>
      <w:r>
        <w:rPr>
          <w:rStyle w:val="Hyperlink"/>
        </w:rPr>
        <w:br/>
      </w:r>
    </w:p>
    <w:p w:rsidR="00291A99" w:rsidRDefault="00291A99" w:rsidP="00761454"/>
    <w:p w:rsidR="00761454" w:rsidRDefault="00761454">
      <w:pPr>
        <w:spacing w:line="240" w:lineRule="auto"/>
      </w:pPr>
      <w:r>
        <w:br w:type="page"/>
      </w:r>
    </w:p>
    <w:p w:rsidR="00761454" w:rsidRDefault="00761454" w:rsidP="00761454">
      <w:pPr>
        <w:pStyle w:val="UnnumberedHeading"/>
        <w:numPr>
          <w:ilvl w:val="0"/>
          <w:numId w:val="23"/>
        </w:numPr>
      </w:pPr>
      <w:bookmarkStart w:id="2" w:name="_Toc404153950"/>
      <w:bookmarkStart w:id="3" w:name="_Toc404437593"/>
      <w:bookmarkStart w:id="4" w:name="_Toc462749069"/>
      <w:r>
        <w:lastRenderedPageBreak/>
        <w:t>Note</w:t>
      </w:r>
      <w:bookmarkEnd w:id="2"/>
      <w:bookmarkEnd w:id="3"/>
      <w:bookmarkEnd w:id="4"/>
    </w:p>
    <w:p w:rsidR="00761454" w:rsidRDefault="00761454" w:rsidP="00761454">
      <w:pPr>
        <w:numPr>
          <w:ilvl w:val="0"/>
          <w:numId w:val="24"/>
        </w:numPr>
      </w:pPr>
      <w:r>
        <w:t xml:space="preserve">This </w:t>
      </w:r>
      <w:r w:rsidR="00AD2EB5">
        <w:t>attachment</w:t>
      </w:r>
      <w:r>
        <w:t xml:space="preserve"> forms part of the AER's </w:t>
      </w:r>
      <w:r w:rsidR="000474DF">
        <w:t xml:space="preserve">draft </w:t>
      </w:r>
      <w:r>
        <w:t xml:space="preserve">decision on </w:t>
      </w:r>
      <w:r w:rsidR="000474DF">
        <w:t>Powerlink's</w:t>
      </w:r>
      <w:r>
        <w:t xml:space="preserve"> transmission determination for 201</w:t>
      </w:r>
      <w:r w:rsidR="000474DF">
        <w:t>7</w:t>
      </w:r>
      <w:r w:rsidRPr="00F02D30">
        <w:t>–</w:t>
      </w:r>
      <w:r w:rsidR="000474DF">
        <w:t>22</w:t>
      </w:r>
      <w:r>
        <w:t xml:space="preserve">. It should be read with </w:t>
      </w:r>
      <w:r w:rsidR="000474DF">
        <w:t xml:space="preserve">all </w:t>
      </w:r>
      <w:r>
        <w:t xml:space="preserve">other parts of the </w:t>
      </w:r>
      <w:r w:rsidR="000474DF">
        <w:t>draft</w:t>
      </w:r>
      <w:r>
        <w:t xml:space="preserve"> decision.</w:t>
      </w:r>
    </w:p>
    <w:p w:rsidR="00761454" w:rsidRDefault="00761454" w:rsidP="00761454">
      <w:pPr>
        <w:numPr>
          <w:ilvl w:val="0"/>
          <w:numId w:val="24"/>
        </w:numPr>
      </w:pPr>
      <w:r>
        <w:t xml:space="preserve">The </w:t>
      </w:r>
      <w:r w:rsidR="000474DF">
        <w:t>draft</w:t>
      </w:r>
      <w:r>
        <w:t xml:space="preserve"> decision includes the following documents:</w:t>
      </w:r>
    </w:p>
    <w:p w:rsidR="00761454" w:rsidRDefault="00761454" w:rsidP="00761454">
      <w:pPr>
        <w:numPr>
          <w:ilvl w:val="0"/>
          <w:numId w:val="24"/>
        </w:numPr>
      </w:pPr>
      <w:r>
        <w:t>Overview</w:t>
      </w:r>
    </w:p>
    <w:p w:rsidR="00761454" w:rsidRDefault="000474DF" w:rsidP="00761454">
      <w:pPr>
        <w:numPr>
          <w:ilvl w:val="0"/>
          <w:numId w:val="24"/>
        </w:numPr>
      </w:pPr>
      <w:r>
        <w:t>Attachment 1 – M</w:t>
      </w:r>
      <w:r w:rsidR="00761454">
        <w:t>aximum allowed revenue</w:t>
      </w:r>
    </w:p>
    <w:p w:rsidR="00761454" w:rsidRDefault="000474DF" w:rsidP="00761454">
      <w:pPr>
        <w:numPr>
          <w:ilvl w:val="0"/>
          <w:numId w:val="24"/>
        </w:numPr>
      </w:pPr>
      <w:r>
        <w:t>Attachment 2 – R</w:t>
      </w:r>
      <w:r w:rsidR="00761454">
        <w:t>egulatory asset base</w:t>
      </w:r>
    </w:p>
    <w:p w:rsidR="00761454" w:rsidRDefault="000474DF" w:rsidP="00761454">
      <w:pPr>
        <w:numPr>
          <w:ilvl w:val="0"/>
          <w:numId w:val="24"/>
        </w:numPr>
      </w:pPr>
      <w:r>
        <w:t>Attachment 3 – R</w:t>
      </w:r>
      <w:r w:rsidR="00761454">
        <w:t>ate of return</w:t>
      </w:r>
    </w:p>
    <w:p w:rsidR="00761454" w:rsidRDefault="000474DF" w:rsidP="00761454">
      <w:pPr>
        <w:numPr>
          <w:ilvl w:val="0"/>
          <w:numId w:val="24"/>
        </w:numPr>
      </w:pPr>
      <w:r>
        <w:t>Attachment 4 – V</w:t>
      </w:r>
      <w:r w:rsidR="00761454">
        <w:t>alue of imputation credits</w:t>
      </w:r>
    </w:p>
    <w:p w:rsidR="00761454" w:rsidRDefault="00761454" w:rsidP="00761454">
      <w:pPr>
        <w:numPr>
          <w:ilvl w:val="0"/>
          <w:numId w:val="24"/>
        </w:numPr>
      </w:pPr>
      <w:r>
        <w:t xml:space="preserve">Attachment 5 – </w:t>
      </w:r>
      <w:r w:rsidR="000474DF">
        <w:t>R</w:t>
      </w:r>
      <w:r>
        <w:t>egulatory depreciation</w:t>
      </w:r>
    </w:p>
    <w:p w:rsidR="00761454" w:rsidRDefault="000474DF" w:rsidP="00761454">
      <w:pPr>
        <w:numPr>
          <w:ilvl w:val="0"/>
          <w:numId w:val="24"/>
        </w:numPr>
      </w:pPr>
      <w:r>
        <w:t>Attachment 6 – C</w:t>
      </w:r>
      <w:r w:rsidR="00761454">
        <w:t xml:space="preserve">apital expenditure </w:t>
      </w:r>
    </w:p>
    <w:p w:rsidR="00761454" w:rsidRDefault="000474DF" w:rsidP="00761454">
      <w:pPr>
        <w:numPr>
          <w:ilvl w:val="0"/>
          <w:numId w:val="24"/>
        </w:numPr>
      </w:pPr>
      <w:r>
        <w:t>Attachment 7 – O</w:t>
      </w:r>
      <w:r w:rsidR="00761454">
        <w:t>perating expenditure</w:t>
      </w:r>
    </w:p>
    <w:p w:rsidR="00761454" w:rsidRDefault="00761454" w:rsidP="00761454">
      <w:pPr>
        <w:numPr>
          <w:ilvl w:val="0"/>
          <w:numId w:val="24"/>
        </w:numPr>
      </w:pPr>
      <w:r>
        <w:t xml:space="preserve">Attachment 8 – </w:t>
      </w:r>
      <w:r w:rsidR="000474DF">
        <w:t>C</w:t>
      </w:r>
      <w:r>
        <w:t>orporate income tax</w:t>
      </w:r>
    </w:p>
    <w:p w:rsidR="00761454" w:rsidRDefault="000474DF" w:rsidP="00761454">
      <w:pPr>
        <w:numPr>
          <w:ilvl w:val="0"/>
          <w:numId w:val="24"/>
        </w:numPr>
      </w:pPr>
      <w:r>
        <w:t>Attachment 9 – E</w:t>
      </w:r>
      <w:r w:rsidR="00761454">
        <w:t>fficiency benefit sharing scheme</w:t>
      </w:r>
    </w:p>
    <w:p w:rsidR="00761454" w:rsidRDefault="000474DF" w:rsidP="00761454">
      <w:pPr>
        <w:numPr>
          <w:ilvl w:val="0"/>
          <w:numId w:val="24"/>
        </w:numPr>
      </w:pPr>
      <w:r>
        <w:t>Attachment 10 – C</w:t>
      </w:r>
      <w:r w:rsidR="00761454">
        <w:t>apital expenditure sharing scheme</w:t>
      </w:r>
    </w:p>
    <w:p w:rsidR="00761454" w:rsidRDefault="000474DF" w:rsidP="00761454">
      <w:pPr>
        <w:numPr>
          <w:ilvl w:val="0"/>
          <w:numId w:val="24"/>
        </w:numPr>
      </w:pPr>
      <w:r>
        <w:t>Attachment 11 – S</w:t>
      </w:r>
      <w:r w:rsidR="00761454">
        <w:t>ervice target performance incentive scheme</w:t>
      </w:r>
    </w:p>
    <w:p w:rsidR="00761454" w:rsidRPr="00F02D30" w:rsidRDefault="00761454" w:rsidP="00761454">
      <w:pPr>
        <w:numPr>
          <w:ilvl w:val="0"/>
          <w:numId w:val="24"/>
        </w:numPr>
      </w:pPr>
      <w:r>
        <w:t xml:space="preserve">Attachment 12 – </w:t>
      </w:r>
      <w:r w:rsidR="000474DF">
        <w:t>P</w:t>
      </w:r>
      <w:r w:rsidRPr="00F02D30">
        <w:t>ricing methodology</w:t>
      </w:r>
    </w:p>
    <w:p w:rsidR="00761454" w:rsidRPr="00F02D30" w:rsidRDefault="00761454" w:rsidP="00761454">
      <w:pPr>
        <w:numPr>
          <w:ilvl w:val="0"/>
          <w:numId w:val="24"/>
        </w:numPr>
      </w:pPr>
      <w:r>
        <w:t xml:space="preserve">Attachment 13 </w:t>
      </w:r>
      <w:r w:rsidR="000474DF">
        <w:t>– P</w:t>
      </w:r>
      <w:r w:rsidRPr="00F02D30">
        <w:t>ass through events</w:t>
      </w:r>
    </w:p>
    <w:p w:rsidR="00761454" w:rsidRPr="00F02D30" w:rsidRDefault="00761454" w:rsidP="00761454">
      <w:pPr>
        <w:numPr>
          <w:ilvl w:val="0"/>
          <w:numId w:val="24"/>
        </w:numPr>
      </w:pPr>
      <w:r>
        <w:t xml:space="preserve">Attachment 14 </w:t>
      </w:r>
      <w:r w:rsidR="000474DF">
        <w:t>– N</w:t>
      </w:r>
      <w:r w:rsidRPr="00F02D30">
        <w:t>egotiated services</w:t>
      </w:r>
    </w:p>
    <w:p w:rsidR="00761454" w:rsidRPr="009D3906" w:rsidRDefault="00761454" w:rsidP="00761454"/>
    <w:p w:rsidR="00CE2A23" w:rsidRPr="00CE2A23" w:rsidRDefault="00CE2A23" w:rsidP="00CE2A23">
      <w:bookmarkStart w:id="5" w:name="_Toc404354899"/>
      <w:bookmarkStart w:id="6" w:name="_Toc404353070"/>
      <w:bookmarkStart w:id="7" w:name="_Toc404684201"/>
      <w:bookmarkStart w:id="8" w:name="_Toc404700923"/>
      <w:r>
        <w:br w:type="page"/>
      </w:r>
    </w:p>
    <w:bookmarkEnd w:id="5"/>
    <w:bookmarkEnd w:id="6"/>
    <w:bookmarkEnd w:id="7"/>
    <w:bookmarkEnd w:id="8"/>
    <w:p w:rsidR="00CE2A23" w:rsidRPr="008F07A3" w:rsidRDefault="00CE2A23" w:rsidP="00CE2A23">
      <w:pPr>
        <w:numPr>
          <w:ilvl w:val="0"/>
          <w:numId w:val="24"/>
        </w:numPr>
        <w:sectPr w:rsidR="00CE2A23" w:rsidRPr="008F07A3" w:rsidSect="00317E02">
          <w:footerReference w:type="default" r:id="rId12"/>
          <w:pgSz w:w="11906" w:h="16838" w:code="9"/>
          <w:pgMar w:top="1440" w:right="1700" w:bottom="1582" w:left="1729" w:header="720" w:footer="0" w:gutter="0"/>
          <w:pgNumType w:start="0" w:chapStyle="1"/>
          <w:cols w:space="720"/>
          <w:docGrid w:linePitch="326"/>
        </w:sectPr>
      </w:pPr>
    </w:p>
    <w:p w:rsidR="00CE2A23" w:rsidRPr="00A72B34" w:rsidRDefault="00CE2A23" w:rsidP="00CE2A23">
      <w:pPr>
        <w:pStyle w:val="UnnumberedHeading"/>
        <w:numPr>
          <w:ilvl w:val="0"/>
          <w:numId w:val="23"/>
        </w:numPr>
      </w:pPr>
      <w:bookmarkStart w:id="9" w:name="_Toc403144133"/>
      <w:bookmarkStart w:id="10" w:name="_Toc462749070"/>
      <w:r>
        <w:lastRenderedPageBreak/>
        <w:t>Contents</w:t>
      </w:r>
      <w:bookmarkEnd w:id="9"/>
      <w:bookmarkEnd w:id="10"/>
    </w:p>
    <w:p w:rsidR="00CE2A23" w:rsidRDefault="00CE2A23" w:rsidP="00CE2A23"/>
    <w:sdt>
      <w:sdtPr>
        <w:id w:val="1269200322"/>
        <w:docPartObj>
          <w:docPartGallery w:val="Table of Contents"/>
          <w:docPartUnique/>
        </w:docPartObj>
      </w:sdtPr>
      <w:sdtEndPr/>
      <w:sdtContent>
        <w:p w:rsidR="00EA21A9" w:rsidRDefault="00CD283C">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7,1,Heading 8,2,Heading 9,3" </w:instrText>
          </w:r>
          <w:r>
            <w:fldChar w:fldCharType="separate"/>
          </w:r>
          <w:hyperlink w:anchor="_Toc462749069" w:history="1">
            <w:r w:rsidR="00EA21A9" w:rsidRPr="00DF1F3B">
              <w:rPr>
                <w:rStyle w:val="Hyperlink"/>
              </w:rPr>
              <w:t>Note</w:t>
            </w:r>
            <w:r w:rsidR="00EA21A9">
              <w:rPr>
                <w:webHidden/>
              </w:rPr>
              <w:tab/>
            </w:r>
            <w:r w:rsidR="00EA21A9">
              <w:rPr>
                <w:webHidden/>
              </w:rPr>
              <w:fldChar w:fldCharType="begin"/>
            </w:r>
            <w:r w:rsidR="00EA21A9">
              <w:rPr>
                <w:webHidden/>
              </w:rPr>
              <w:instrText xml:space="preserve"> PAGEREF _Toc462749069 \h </w:instrText>
            </w:r>
            <w:r w:rsidR="00EA21A9">
              <w:rPr>
                <w:webHidden/>
              </w:rPr>
            </w:r>
            <w:r w:rsidR="00EA21A9">
              <w:rPr>
                <w:webHidden/>
              </w:rPr>
              <w:fldChar w:fldCharType="separate"/>
            </w:r>
            <w:r w:rsidR="00EA21A9">
              <w:rPr>
                <w:webHidden/>
              </w:rPr>
              <w:t>1-2</w:t>
            </w:r>
            <w:r w:rsidR="00EA21A9">
              <w:rPr>
                <w:webHidden/>
              </w:rPr>
              <w:fldChar w:fldCharType="end"/>
            </w:r>
          </w:hyperlink>
        </w:p>
        <w:p w:rsidR="00EA21A9" w:rsidRDefault="00165639">
          <w:pPr>
            <w:pStyle w:val="TOC1"/>
            <w:rPr>
              <w:rFonts w:asciiTheme="minorHAnsi" w:eastAsiaTheme="minorEastAsia" w:hAnsiTheme="minorHAnsi"/>
              <w:b w:val="0"/>
              <w:color w:val="auto"/>
              <w:sz w:val="22"/>
              <w:lang w:val="en-AU" w:eastAsia="en-AU"/>
            </w:rPr>
          </w:pPr>
          <w:hyperlink w:anchor="_Toc462749070" w:history="1">
            <w:r w:rsidR="00EA21A9" w:rsidRPr="00DF1F3B">
              <w:rPr>
                <w:rStyle w:val="Hyperlink"/>
              </w:rPr>
              <w:t>Contents</w:t>
            </w:r>
            <w:r w:rsidR="00EA21A9">
              <w:rPr>
                <w:webHidden/>
              </w:rPr>
              <w:tab/>
            </w:r>
            <w:r w:rsidR="00EA21A9">
              <w:rPr>
                <w:webHidden/>
              </w:rPr>
              <w:fldChar w:fldCharType="begin"/>
            </w:r>
            <w:r w:rsidR="00EA21A9">
              <w:rPr>
                <w:webHidden/>
              </w:rPr>
              <w:instrText xml:space="preserve"> PAGEREF _Toc462749070 \h </w:instrText>
            </w:r>
            <w:r w:rsidR="00EA21A9">
              <w:rPr>
                <w:webHidden/>
              </w:rPr>
            </w:r>
            <w:r w:rsidR="00EA21A9">
              <w:rPr>
                <w:webHidden/>
              </w:rPr>
              <w:fldChar w:fldCharType="separate"/>
            </w:r>
            <w:r w:rsidR="00EA21A9">
              <w:rPr>
                <w:webHidden/>
              </w:rPr>
              <w:t>1-3</w:t>
            </w:r>
            <w:r w:rsidR="00EA21A9">
              <w:rPr>
                <w:webHidden/>
              </w:rPr>
              <w:fldChar w:fldCharType="end"/>
            </w:r>
          </w:hyperlink>
        </w:p>
        <w:p w:rsidR="00EA21A9" w:rsidRDefault="00165639">
          <w:pPr>
            <w:pStyle w:val="TOC1"/>
            <w:rPr>
              <w:rFonts w:asciiTheme="minorHAnsi" w:eastAsiaTheme="minorEastAsia" w:hAnsiTheme="minorHAnsi"/>
              <w:b w:val="0"/>
              <w:color w:val="auto"/>
              <w:sz w:val="22"/>
              <w:lang w:val="en-AU" w:eastAsia="en-AU"/>
            </w:rPr>
          </w:pPr>
          <w:hyperlink w:anchor="_Toc462749071" w:history="1">
            <w:r w:rsidR="00EA21A9" w:rsidRPr="00DF1F3B">
              <w:rPr>
                <w:rStyle w:val="Hyperlink"/>
              </w:rPr>
              <w:t>Shortened forms</w:t>
            </w:r>
            <w:r w:rsidR="00EA21A9">
              <w:rPr>
                <w:webHidden/>
              </w:rPr>
              <w:tab/>
            </w:r>
            <w:r w:rsidR="00EA21A9">
              <w:rPr>
                <w:webHidden/>
              </w:rPr>
              <w:fldChar w:fldCharType="begin"/>
            </w:r>
            <w:r w:rsidR="00EA21A9">
              <w:rPr>
                <w:webHidden/>
              </w:rPr>
              <w:instrText xml:space="preserve"> PAGEREF _Toc462749071 \h </w:instrText>
            </w:r>
            <w:r w:rsidR="00EA21A9">
              <w:rPr>
                <w:webHidden/>
              </w:rPr>
            </w:r>
            <w:r w:rsidR="00EA21A9">
              <w:rPr>
                <w:webHidden/>
              </w:rPr>
              <w:fldChar w:fldCharType="separate"/>
            </w:r>
            <w:r w:rsidR="00EA21A9">
              <w:rPr>
                <w:webHidden/>
              </w:rPr>
              <w:t>1-4</w:t>
            </w:r>
            <w:r w:rsidR="00EA21A9">
              <w:rPr>
                <w:webHidden/>
              </w:rPr>
              <w:fldChar w:fldCharType="end"/>
            </w:r>
          </w:hyperlink>
        </w:p>
        <w:p w:rsidR="00EA21A9" w:rsidRDefault="00165639">
          <w:pPr>
            <w:pStyle w:val="TOC1"/>
            <w:rPr>
              <w:rFonts w:asciiTheme="minorHAnsi" w:eastAsiaTheme="minorEastAsia" w:hAnsiTheme="minorHAnsi"/>
              <w:b w:val="0"/>
              <w:color w:val="auto"/>
              <w:sz w:val="22"/>
              <w:lang w:val="en-AU" w:eastAsia="en-AU"/>
            </w:rPr>
          </w:pPr>
          <w:hyperlink w:anchor="_Toc462749072" w:history="1">
            <w:r w:rsidR="00EA21A9" w:rsidRPr="00DF1F3B">
              <w:rPr>
                <w:rStyle w:val="Hyperlink"/>
              </w:rPr>
              <w:t>1</w:t>
            </w:r>
            <w:r w:rsidR="00EA21A9">
              <w:rPr>
                <w:rFonts w:asciiTheme="minorHAnsi" w:eastAsiaTheme="minorEastAsia" w:hAnsiTheme="minorHAnsi"/>
                <w:b w:val="0"/>
                <w:color w:val="auto"/>
                <w:sz w:val="22"/>
                <w:lang w:val="en-AU" w:eastAsia="en-AU"/>
              </w:rPr>
              <w:tab/>
            </w:r>
            <w:r w:rsidR="00EA21A9" w:rsidRPr="00DF1F3B">
              <w:rPr>
                <w:rStyle w:val="Hyperlink"/>
              </w:rPr>
              <w:t>Maximum allowed revenue</w:t>
            </w:r>
            <w:r w:rsidR="00EA21A9">
              <w:rPr>
                <w:webHidden/>
              </w:rPr>
              <w:tab/>
            </w:r>
            <w:r w:rsidR="00EA21A9">
              <w:rPr>
                <w:webHidden/>
              </w:rPr>
              <w:fldChar w:fldCharType="begin"/>
            </w:r>
            <w:r w:rsidR="00EA21A9">
              <w:rPr>
                <w:webHidden/>
              </w:rPr>
              <w:instrText xml:space="preserve"> PAGEREF _Toc462749072 \h </w:instrText>
            </w:r>
            <w:r w:rsidR="00EA21A9">
              <w:rPr>
                <w:webHidden/>
              </w:rPr>
            </w:r>
            <w:r w:rsidR="00EA21A9">
              <w:rPr>
                <w:webHidden/>
              </w:rPr>
              <w:fldChar w:fldCharType="separate"/>
            </w:r>
            <w:r w:rsidR="00EA21A9">
              <w:rPr>
                <w:webHidden/>
              </w:rPr>
              <w:t>1-6</w:t>
            </w:r>
            <w:r w:rsidR="00EA21A9">
              <w:rPr>
                <w:webHidden/>
              </w:rPr>
              <w:fldChar w:fldCharType="end"/>
            </w:r>
          </w:hyperlink>
        </w:p>
        <w:p w:rsidR="00EA21A9" w:rsidRDefault="00165639">
          <w:pPr>
            <w:pStyle w:val="TOC2"/>
            <w:rPr>
              <w:rFonts w:asciiTheme="minorHAnsi" w:eastAsiaTheme="minorEastAsia" w:hAnsiTheme="minorHAnsi"/>
              <w:b w:val="0"/>
              <w:color w:val="auto"/>
              <w:sz w:val="22"/>
              <w:lang w:eastAsia="en-AU"/>
            </w:rPr>
          </w:pPr>
          <w:hyperlink w:anchor="_Toc462749073" w:history="1">
            <w:r w:rsidR="00EA21A9" w:rsidRPr="00DF1F3B">
              <w:rPr>
                <w:rStyle w:val="Hyperlink"/>
              </w:rPr>
              <w:t>1.1</w:t>
            </w:r>
            <w:r w:rsidR="00EA21A9">
              <w:rPr>
                <w:rFonts w:asciiTheme="minorHAnsi" w:eastAsiaTheme="minorEastAsia" w:hAnsiTheme="minorHAnsi"/>
                <w:b w:val="0"/>
                <w:color w:val="auto"/>
                <w:sz w:val="22"/>
                <w:lang w:eastAsia="en-AU"/>
              </w:rPr>
              <w:tab/>
            </w:r>
            <w:r w:rsidR="00EA21A9" w:rsidRPr="00DF1F3B">
              <w:rPr>
                <w:rStyle w:val="Hyperlink"/>
              </w:rPr>
              <w:t>Draft decision</w:t>
            </w:r>
            <w:r w:rsidR="00EA21A9">
              <w:rPr>
                <w:webHidden/>
              </w:rPr>
              <w:tab/>
            </w:r>
            <w:r w:rsidR="00EA21A9">
              <w:rPr>
                <w:webHidden/>
              </w:rPr>
              <w:fldChar w:fldCharType="begin"/>
            </w:r>
            <w:r w:rsidR="00EA21A9">
              <w:rPr>
                <w:webHidden/>
              </w:rPr>
              <w:instrText xml:space="preserve"> PAGEREF _Toc462749073 \h </w:instrText>
            </w:r>
            <w:r w:rsidR="00EA21A9">
              <w:rPr>
                <w:webHidden/>
              </w:rPr>
            </w:r>
            <w:r w:rsidR="00EA21A9">
              <w:rPr>
                <w:webHidden/>
              </w:rPr>
              <w:fldChar w:fldCharType="separate"/>
            </w:r>
            <w:r w:rsidR="00EA21A9">
              <w:rPr>
                <w:webHidden/>
              </w:rPr>
              <w:t>1-6</w:t>
            </w:r>
            <w:r w:rsidR="00EA21A9">
              <w:rPr>
                <w:webHidden/>
              </w:rPr>
              <w:fldChar w:fldCharType="end"/>
            </w:r>
          </w:hyperlink>
        </w:p>
        <w:p w:rsidR="00EA21A9" w:rsidRDefault="00165639">
          <w:pPr>
            <w:pStyle w:val="TOC2"/>
            <w:rPr>
              <w:rFonts w:asciiTheme="minorHAnsi" w:eastAsiaTheme="minorEastAsia" w:hAnsiTheme="minorHAnsi"/>
              <w:b w:val="0"/>
              <w:color w:val="auto"/>
              <w:sz w:val="22"/>
              <w:lang w:eastAsia="en-AU"/>
            </w:rPr>
          </w:pPr>
          <w:hyperlink w:anchor="_Toc462749074" w:history="1">
            <w:r w:rsidR="00EA21A9" w:rsidRPr="00DF1F3B">
              <w:rPr>
                <w:rStyle w:val="Hyperlink"/>
              </w:rPr>
              <w:t>1.2</w:t>
            </w:r>
            <w:r w:rsidR="00EA21A9">
              <w:rPr>
                <w:rFonts w:asciiTheme="minorHAnsi" w:eastAsiaTheme="minorEastAsia" w:hAnsiTheme="minorHAnsi"/>
                <w:b w:val="0"/>
                <w:color w:val="auto"/>
                <w:sz w:val="22"/>
                <w:lang w:eastAsia="en-AU"/>
              </w:rPr>
              <w:tab/>
            </w:r>
            <w:r w:rsidR="00EA21A9" w:rsidRPr="00DF1F3B">
              <w:rPr>
                <w:rStyle w:val="Hyperlink"/>
              </w:rPr>
              <w:t>Powerlink’s proposal</w:t>
            </w:r>
            <w:r w:rsidR="00EA21A9">
              <w:rPr>
                <w:webHidden/>
              </w:rPr>
              <w:tab/>
            </w:r>
            <w:r w:rsidR="00EA21A9">
              <w:rPr>
                <w:webHidden/>
              </w:rPr>
              <w:fldChar w:fldCharType="begin"/>
            </w:r>
            <w:r w:rsidR="00EA21A9">
              <w:rPr>
                <w:webHidden/>
              </w:rPr>
              <w:instrText xml:space="preserve"> PAGEREF _Toc462749074 \h </w:instrText>
            </w:r>
            <w:r w:rsidR="00EA21A9">
              <w:rPr>
                <w:webHidden/>
              </w:rPr>
            </w:r>
            <w:r w:rsidR="00EA21A9">
              <w:rPr>
                <w:webHidden/>
              </w:rPr>
              <w:fldChar w:fldCharType="separate"/>
            </w:r>
            <w:r w:rsidR="00EA21A9">
              <w:rPr>
                <w:webHidden/>
              </w:rPr>
              <w:t>1-7</w:t>
            </w:r>
            <w:r w:rsidR="00EA21A9">
              <w:rPr>
                <w:webHidden/>
              </w:rPr>
              <w:fldChar w:fldCharType="end"/>
            </w:r>
          </w:hyperlink>
        </w:p>
        <w:p w:rsidR="00EA21A9" w:rsidRDefault="00165639">
          <w:pPr>
            <w:pStyle w:val="TOC2"/>
            <w:rPr>
              <w:rFonts w:asciiTheme="minorHAnsi" w:eastAsiaTheme="minorEastAsia" w:hAnsiTheme="minorHAnsi"/>
              <w:b w:val="0"/>
              <w:color w:val="auto"/>
              <w:sz w:val="22"/>
              <w:lang w:eastAsia="en-AU"/>
            </w:rPr>
          </w:pPr>
          <w:hyperlink w:anchor="_Toc462749075" w:history="1">
            <w:r w:rsidR="00EA21A9" w:rsidRPr="00DF1F3B">
              <w:rPr>
                <w:rStyle w:val="Hyperlink"/>
              </w:rPr>
              <w:t>1.3</w:t>
            </w:r>
            <w:r w:rsidR="00EA21A9">
              <w:rPr>
                <w:rFonts w:asciiTheme="minorHAnsi" w:eastAsiaTheme="minorEastAsia" w:hAnsiTheme="minorHAnsi"/>
                <w:b w:val="0"/>
                <w:color w:val="auto"/>
                <w:sz w:val="22"/>
                <w:lang w:eastAsia="en-AU"/>
              </w:rPr>
              <w:tab/>
            </w:r>
            <w:r w:rsidR="00EA21A9" w:rsidRPr="00DF1F3B">
              <w:rPr>
                <w:rStyle w:val="Hyperlink"/>
              </w:rPr>
              <w:t>Assessment approach</w:t>
            </w:r>
            <w:r w:rsidR="00EA21A9">
              <w:rPr>
                <w:webHidden/>
              </w:rPr>
              <w:tab/>
            </w:r>
            <w:r w:rsidR="00EA21A9">
              <w:rPr>
                <w:webHidden/>
              </w:rPr>
              <w:fldChar w:fldCharType="begin"/>
            </w:r>
            <w:r w:rsidR="00EA21A9">
              <w:rPr>
                <w:webHidden/>
              </w:rPr>
              <w:instrText xml:space="preserve"> PAGEREF _Toc462749075 \h </w:instrText>
            </w:r>
            <w:r w:rsidR="00EA21A9">
              <w:rPr>
                <w:webHidden/>
              </w:rPr>
            </w:r>
            <w:r w:rsidR="00EA21A9">
              <w:rPr>
                <w:webHidden/>
              </w:rPr>
              <w:fldChar w:fldCharType="separate"/>
            </w:r>
            <w:r w:rsidR="00EA21A9">
              <w:rPr>
                <w:webHidden/>
              </w:rPr>
              <w:t>1-9</w:t>
            </w:r>
            <w:r w:rsidR="00EA21A9">
              <w:rPr>
                <w:webHidden/>
              </w:rPr>
              <w:fldChar w:fldCharType="end"/>
            </w:r>
          </w:hyperlink>
        </w:p>
        <w:p w:rsidR="00EA21A9" w:rsidRDefault="00165639">
          <w:pPr>
            <w:pStyle w:val="TOC3"/>
            <w:rPr>
              <w:rFonts w:asciiTheme="minorHAnsi" w:eastAsiaTheme="minorEastAsia" w:hAnsiTheme="minorHAnsi"/>
              <w:lang w:eastAsia="en-AU"/>
            </w:rPr>
          </w:pPr>
          <w:hyperlink w:anchor="_Toc462749076" w:history="1">
            <w:r w:rsidR="00EA21A9" w:rsidRPr="00DF1F3B">
              <w:rPr>
                <w:rStyle w:val="Hyperlink"/>
              </w:rPr>
              <w:t>1.3.1</w:t>
            </w:r>
            <w:r w:rsidR="00EA21A9">
              <w:rPr>
                <w:rFonts w:asciiTheme="minorHAnsi" w:eastAsiaTheme="minorEastAsia" w:hAnsiTheme="minorHAnsi"/>
                <w:lang w:eastAsia="en-AU"/>
              </w:rPr>
              <w:tab/>
            </w:r>
            <w:r w:rsidR="00EA21A9" w:rsidRPr="00DF1F3B">
              <w:rPr>
                <w:rStyle w:val="Hyperlink"/>
              </w:rPr>
              <w:t>The building block approach</w:t>
            </w:r>
            <w:r w:rsidR="00EA21A9">
              <w:rPr>
                <w:webHidden/>
              </w:rPr>
              <w:tab/>
            </w:r>
            <w:r w:rsidR="00EA21A9">
              <w:rPr>
                <w:webHidden/>
              </w:rPr>
              <w:fldChar w:fldCharType="begin"/>
            </w:r>
            <w:r w:rsidR="00EA21A9">
              <w:rPr>
                <w:webHidden/>
              </w:rPr>
              <w:instrText xml:space="preserve"> PAGEREF _Toc462749076 \h </w:instrText>
            </w:r>
            <w:r w:rsidR="00EA21A9">
              <w:rPr>
                <w:webHidden/>
              </w:rPr>
            </w:r>
            <w:r w:rsidR="00EA21A9">
              <w:rPr>
                <w:webHidden/>
              </w:rPr>
              <w:fldChar w:fldCharType="separate"/>
            </w:r>
            <w:r w:rsidR="00EA21A9">
              <w:rPr>
                <w:webHidden/>
              </w:rPr>
              <w:t>1-9</w:t>
            </w:r>
            <w:r w:rsidR="00EA21A9">
              <w:rPr>
                <w:webHidden/>
              </w:rPr>
              <w:fldChar w:fldCharType="end"/>
            </w:r>
          </w:hyperlink>
        </w:p>
        <w:p w:rsidR="00EA21A9" w:rsidRDefault="00165639">
          <w:pPr>
            <w:pStyle w:val="TOC3"/>
            <w:rPr>
              <w:rFonts w:asciiTheme="minorHAnsi" w:eastAsiaTheme="minorEastAsia" w:hAnsiTheme="minorHAnsi"/>
              <w:lang w:eastAsia="en-AU"/>
            </w:rPr>
          </w:pPr>
          <w:hyperlink w:anchor="_Toc462749077" w:history="1">
            <w:r w:rsidR="00EA21A9" w:rsidRPr="00DF1F3B">
              <w:rPr>
                <w:rStyle w:val="Hyperlink"/>
              </w:rPr>
              <w:t>1.3.2</w:t>
            </w:r>
            <w:r w:rsidR="00EA21A9">
              <w:rPr>
                <w:rFonts w:asciiTheme="minorHAnsi" w:eastAsiaTheme="minorEastAsia" w:hAnsiTheme="minorHAnsi"/>
                <w:lang w:eastAsia="en-AU"/>
              </w:rPr>
              <w:tab/>
            </w:r>
            <w:r w:rsidR="00EA21A9" w:rsidRPr="00DF1F3B">
              <w:rPr>
                <w:rStyle w:val="Hyperlink"/>
              </w:rPr>
              <w:t>The building block costs</w:t>
            </w:r>
            <w:r w:rsidR="00EA21A9">
              <w:rPr>
                <w:webHidden/>
              </w:rPr>
              <w:tab/>
            </w:r>
            <w:r w:rsidR="00EA21A9">
              <w:rPr>
                <w:webHidden/>
              </w:rPr>
              <w:fldChar w:fldCharType="begin"/>
            </w:r>
            <w:r w:rsidR="00EA21A9">
              <w:rPr>
                <w:webHidden/>
              </w:rPr>
              <w:instrText xml:space="preserve"> PAGEREF _Toc462749077 \h </w:instrText>
            </w:r>
            <w:r w:rsidR="00EA21A9">
              <w:rPr>
                <w:webHidden/>
              </w:rPr>
            </w:r>
            <w:r w:rsidR="00EA21A9">
              <w:rPr>
                <w:webHidden/>
              </w:rPr>
              <w:fldChar w:fldCharType="separate"/>
            </w:r>
            <w:r w:rsidR="00EA21A9">
              <w:rPr>
                <w:webHidden/>
              </w:rPr>
              <w:t>1-12</w:t>
            </w:r>
            <w:r w:rsidR="00EA21A9">
              <w:rPr>
                <w:webHidden/>
              </w:rPr>
              <w:fldChar w:fldCharType="end"/>
            </w:r>
          </w:hyperlink>
        </w:p>
        <w:p w:rsidR="00EA21A9" w:rsidRDefault="00165639">
          <w:pPr>
            <w:pStyle w:val="TOC3"/>
            <w:rPr>
              <w:rFonts w:asciiTheme="minorHAnsi" w:eastAsiaTheme="minorEastAsia" w:hAnsiTheme="minorHAnsi"/>
              <w:lang w:eastAsia="en-AU"/>
            </w:rPr>
          </w:pPr>
          <w:hyperlink w:anchor="_Toc462749078" w:history="1">
            <w:r w:rsidR="00EA21A9" w:rsidRPr="00DF1F3B">
              <w:rPr>
                <w:rStyle w:val="Hyperlink"/>
              </w:rPr>
              <w:t>1.3.3</w:t>
            </w:r>
            <w:r w:rsidR="00EA21A9">
              <w:rPr>
                <w:rFonts w:asciiTheme="minorHAnsi" w:eastAsiaTheme="minorEastAsia" w:hAnsiTheme="minorHAnsi"/>
                <w:lang w:eastAsia="en-AU"/>
              </w:rPr>
              <w:tab/>
            </w:r>
            <w:r w:rsidR="00EA21A9" w:rsidRPr="00DF1F3B">
              <w:rPr>
                <w:rStyle w:val="Hyperlink"/>
              </w:rPr>
              <w:t>Annual revenue adjustment process</w:t>
            </w:r>
            <w:r w:rsidR="00EA21A9">
              <w:rPr>
                <w:webHidden/>
              </w:rPr>
              <w:tab/>
            </w:r>
            <w:r w:rsidR="00EA21A9">
              <w:rPr>
                <w:webHidden/>
              </w:rPr>
              <w:fldChar w:fldCharType="begin"/>
            </w:r>
            <w:r w:rsidR="00EA21A9">
              <w:rPr>
                <w:webHidden/>
              </w:rPr>
              <w:instrText xml:space="preserve"> PAGEREF _Toc462749078 \h </w:instrText>
            </w:r>
            <w:r w:rsidR="00EA21A9">
              <w:rPr>
                <w:webHidden/>
              </w:rPr>
            </w:r>
            <w:r w:rsidR="00EA21A9">
              <w:rPr>
                <w:webHidden/>
              </w:rPr>
              <w:fldChar w:fldCharType="separate"/>
            </w:r>
            <w:r w:rsidR="00EA21A9">
              <w:rPr>
                <w:webHidden/>
              </w:rPr>
              <w:t>1-12</w:t>
            </w:r>
            <w:r w:rsidR="00EA21A9">
              <w:rPr>
                <w:webHidden/>
              </w:rPr>
              <w:fldChar w:fldCharType="end"/>
            </w:r>
          </w:hyperlink>
        </w:p>
        <w:p w:rsidR="00EA21A9" w:rsidRDefault="00165639">
          <w:pPr>
            <w:pStyle w:val="TOC3"/>
            <w:rPr>
              <w:rFonts w:asciiTheme="minorHAnsi" w:eastAsiaTheme="minorEastAsia" w:hAnsiTheme="minorHAnsi"/>
              <w:lang w:eastAsia="en-AU"/>
            </w:rPr>
          </w:pPr>
          <w:hyperlink w:anchor="_Toc462749079" w:history="1">
            <w:r w:rsidR="00EA21A9" w:rsidRPr="00DF1F3B">
              <w:rPr>
                <w:rStyle w:val="Hyperlink"/>
              </w:rPr>
              <w:t>1.3.4</w:t>
            </w:r>
            <w:r w:rsidR="00EA21A9">
              <w:rPr>
                <w:rFonts w:asciiTheme="minorHAnsi" w:eastAsiaTheme="minorEastAsia" w:hAnsiTheme="minorHAnsi"/>
                <w:lang w:eastAsia="en-AU"/>
              </w:rPr>
              <w:tab/>
            </w:r>
            <w:r w:rsidR="00EA21A9" w:rsidRPr="00DF1F3B">
              <w:rPr>
                <w:rStyle w:val="Hyperlink"/>
              </w:rPr>
              <w:t>Average transmission charges</w:t>
            </w:r>
            <w:r w:rsidR="00EA21A9">
              <w:rPr>
                <w:webHidden/>
              </w:rPr>
              <w:tab/>
            </w:r>
            <w:r w:rsidR="00EA21A9">
              <w:rPr>
                <w:webHidden/>
              </w:rPr>
              <w:fldChar w:fldCharType="begin"/>
            </w:r>
            <w:r w:rsidR="00EA21A9">
              <w:rPr>
                <w:webHidden/>
              </w:rPr>
              <w:instrText xml:space="preserve"> PAGEREF _Toc462749079 \h </w:instrText>
            </w:r>
            <w:r w:rsidR="00EA21A9">
              <w:rPr>
                <w:webHidden/>
              </w:rPr>
            </w:r>
            <w:r w:rsidR="00EA21A9">
              <w:rPr>
                <w:webHidden/>
              </w:rPr>
              <w:fldChar w:fldCharType="separate"/>
            </w:r>
            <w:r w:rsidR="00EA21A9">
              <w:rPr>
                <w:webHidden/>
              </w:rPr>
              <w:t>1-15</w:t>
            </w:r>
            <w:r w:rsidR="00EA21A9">
              <w:rPr>
                <w:webHidden/>
              </w:rPr>
              <w:fldChar w:fldCharType="end"/>
            </w:r>
          </w:hyperlink>
        </w:p>
        <w:p w:rsidR="00EA21A9" w:rsidRDefault="00165639">
          <w:pPr>
            <w:pStyle w:val="TOC2"/>
            <w:rPr>
              <w:rFonts w:asciiTheme="minorHAnsi" w:eastAsiaTheme="minorEastAsia" w:hAnsiTheme="minorHAnsi"/>
              <w:b w:val="0"/>
              <w:color w:val="auto"/>
              <w:sz w:val="22"/>
              <w:lang w:eastAsia="en-AU"/>
            </w:rPr>
          </w:pPr>
          <w:hyperlink w:anchor="_Toc462749080" w:history="1">
            <w:r w:rsidR="00EA21A9" w:rsidRPr="00DF1F3B">
              <w:rPr>
                <w:rStyle w:val="Hyperlink"/>
              </w:rPr>
              <w:t>1.4</w:t>
            </w:r>
            <w:r w:rsidR="00EA21A9">
              <w:rPr>
                <w:rFonts w:asciiTheme="minorHAnsi" w:eastAsiaTheme="minorEastAsia" w:hAnsiTheme="minorHAnsi"/>
                <w:b w:val="0"/>
                <w:color w:val="auto"/>
                <w:sz w:val="22"/>
                <w:lang w:eastAsia="en-AU"/>
              </w:rPr>
              <w:tab/>
            </w:r>
            <w:r w:rsidR="00EA21A9" w:rsidRPr="00DF1F3B">
              <w:rPr>
                <w:rStyle w:val="Hyperlink"/>
              </w:rPr>
              <w:t>Reasons for draft decision</w:t>
            </w:r>
            <w:r w:rsidR="00EA21A9">
              <w:rPr>
                <w:webHidden/>
              </w:rPr>
              <w:tab/>
            </w:r>
            <w:r w:rsidR="00EA21A9">
              <w:rPr>
                <w:webHidden/>
              </w:rPr>
              <w:fldChar w:fldCharType="begin"/>
            </w:r>
            <w:r w:rsidR="00EA21A9">
              <w:rPr>
                <w:webHidden/>
              </w:rPr>
              <w:instrText xml:space="preserve"> PAGEREF _Toc462749080 \h </w:instrText>
            </w:r>
            <w:r w:rsidR="00EA21A9">
              <w:rPr>
                <w:webHidden/>
              </w:rPr>
            </w:r>
            <w:r w:rsidR="00EA21A9">
              <w:rPr>
                <w:webHidden/>
              </w:rPr>
              <w:fldChar w:fldCharType="separate"/>
            </w:r>
            <w:r w:rsidR="00EA21A9">
              <w:rPr>
                <w:webHidden/>
              </w:rPr>
              <w:t>1-15</w:t>
            </w:r>
            <w:r w:rsidR="00EA21A9">
              <w:rPr>
                <w:webHidden/>
              </w:rPr>
              <w:fldChar w:fldCharType="end"/>
            </w:r>
          </w:hyperlink>
        </w:p>
        <w:p w:rsidR="00EA21A9" w:rsidRDefault="00165639">
          <w:pPr>
            <w:pStyle w:val="TOC3"/>
            <w:rPr>
              <w:rFonts w:asciiTheme="minorHAnsi" w:eastAsiaTheme="minorEastAsia" w:hAnsiTheme="minorHAnsi"/>
              <w:lang w:eastAsia="en-AU"/>
            </w:rPr>
          </w:pPr>
          <w:hyperlink w:anchor="_Toc462749081" w:history="1">
            <w:r w:rsidR="00EA21A9" w:rsidRPr="00DF1F3B">
              <w:rPr>
                <w:rStyle w:val="Hyperlink"/>
              </w:rPr>
              <w:t>1.4.1</w:t>
            </w:r>
            <w:r w:rsidR="00EA21A9">
              <w:rPr>
                <w:rFonts w:asciiTheme="minorHAnsi" w:eastAsiaTheme="minorEastAsia" w:hAnsiTheme="minorHAnsi"/>
                <w:lang w:eastAsia="en-AU"/>
              </w:rPr>
              <w:tab/>
            </w:r>
            <w:r w:rsidR="00EA21A9" w:rsidRPr="00DF1F3B">
              <w:rPr>
                <w:rStyle w:val="Hyperlink"/>
              </w:rPr>
              <w:t>X factor, annual expected MAR and estimated total revenue cap</w:t>
            </w:r>
            <w:r w:rsidR="00EA21A9">
              <w:rPr>
                <w:webHidden/>
              </w:rPr>
              <w:tab/>
            </w:r>
            <w:r w:rsidR="00EA21A9">
              <w:rPr>
                <w:webHidden/>
              </w:rPr>
              <w:fldChar w:fldCharType="begin"/>
            </w:r>
            <w:r w:rsidR="00EA21A9">
              <w:rPr>
                <w:webHidden/>
              </w:rPr>
              <w:instrText xml:space="preserve"> PAGEREF _Toc462749081 \h </w:instrText>
            </w:r>
            <w:r w:rsidR="00EA21A9">
              <w:rPr>
                <w:webHidden/>
              </w:rPr>
            </w:r>
            <w:r w:rsidR="00EA21A9">
              <w:rPr>
                <w:webHidden/>
              </w:rPr>
              <w:fldChar w:fldCharType="separate"/>
            </w:r>
            <w:r w:rsidR="00EA21A9">
              <w:rPr>
                <w:webHidden/>
              </w:rPr>
              <w:t>1-16</w:t>
            </w:r>
            <w:r w:rsidR="00EA21A9">
              <w:rPr>
                <w:webHidden/>
              </w:rPr>
              <w:fldChar w:fldCharType="end"/>
            </w:r>
          </w:hyperlink>
        </w:p>
        <w:p w:rsidR="00EA21A9" w:rsidRDefault="00165639">
          <w:pPr>
            <w:pStyle w:val="TOC3"/>
            <w:rPr>
              <w:rFonts w:asciiTheme="minorHAnsi" w:eastAsiaTheme="minorEastAsia" w:hAnsiTheme="minorHAnsi"/>
              <w:lang w:eastAsia="en-AU"/>
            </w:rPr>
          </w:pPr>
          <w:hyperlink w:anchor="_Toc462749082" w:history="1">
            <w:r w:rsidR="00EA21A9" w:rsidRPr="00DF1F3B">
              <w:rPr>
                <w:rStyle w:val="Hyperlink"/>
              </w:rPr>
              <w:t>1.4.2</w:t>
            </w:r>
            <w:r w:rsidR="00EA21A9">
              <w:rPr>
                <w:rFonts w:asciiTheme="minorHAnsi" w:eastAsiaTheme="minorEastAsia" w:hAnsiTheme="minorHAnsi"/>
                <w:lang w:eastAsia="en-AU"/>
              </w:rPr>
              <w:tab/>
            </w:r>
            <w:r w:rsidR="00EA21A9" w:rsidRPr="00DF1F3B">
              <w:rPr>
                <w:rStyle w:val="Hyperlink"/>
              </w:rPr>
              <w:t>Shared assets</w:t>
            </w:r>
            <w:r w:rsidR="00EA21A9">
              <w:rPr>
                <w:webHidden/>
              </w:rPr>
              <w:tab/>
            </w:r>
            <w:r w:rsidR="00EA21A9">
              <w:rPr>
                <w:webHidden/>
              </w:rPr>
              <w:fldChar w:fldCharType="begin"/>
            </w:r>
            <w:r w:rsidR="00EA21A9">
              <w:rPr>
                <w:webHidden/>
              </w:rPr>
              <w:instrText xml:space="preserve"> PAGEREF _Toc462749082 \h </w:instrText>
            </w:r>
            <w:r w:rsidR="00EA21A9">
              <w:rPr>
                <w:webHidden/>
              </w:rPr>
            </w:r>
            <w:r w:rsidR="00EA21A9">
              <w:rPr>
                <w:webHidden/>
              </w:rPr>
              <w:fldChar w:fldCharType="separate"/>
            </w:r>
            <w:r w:rsidR="00EA21A9">
              <w:rPr>
                <w:webHidden/>
              </w:rPr>
              <w:t>1-18</w:t>
            </w:r>
            <w:r w:rsidR="00EA21A9">
              <w:rPr>
                <w:webHidden/>
              </w:rPr>
              <w:fldChar w:fldCharType="end"/>
            </w:r>
          </w:hyperlink>
        </w:p>
        <w:p w:rsidR="00EA21A9" w:rsidRDefault="00165639">
          <w:pPr>
            <w:pStyle w:val="TOC3"/>
            <w:rPr>
              <w:rFonts w:asciiTheme="minorHAnsi" w:eastAsiaTheme="minorEastAsia" w:hAnsiTheme="minorHAnsi"/>
              <w:lang w:eastAsia="en-AU"/>
            </w:rPr>
          </w:pPr>
          <w:hyperlink w:anchor="_Toc462749083" w:history="1">
            <w:r w:rsidR="00EA21A9" w:rsidRPr="00DF1F3B">
              <w:rPr>
                <w:rStyle w:val="Hyperlink"/>
              </w:rPr>
              <w:t>1.4.3</w:t>
            </w:r>
            <w:r w:rsidR="00EA21A9">
              <w:rPr>
                <w:rFonts w:asciiTheme="minorHAnsi" w:eastAsiaTheme="minorEastAsia" w:hAnsiTheme="minorHAnsi"/>
                <w:lang w:eastAsia="en-AU"/>
              </w:rPr>
              <w:tab/>
            </w:r>
            <w:r w:rsidR="00EA21A9" w:rsidRPr="00DF1F3B">
              <w:rPr>
                <w:rStyle w:val="Hyperlink"/>
              </w:rPr>
              <w:t>Indicative transmission charges and impact on electricity bills</w:t>
            </w:r>
            <w:r w:rsidR="00EA21A9">
              <w:rPr>
                <w:webHidden/>
              </w:rPr>
              <w:tab/>
            </w:r>
            <w:r w:rsidR="00EA21A9">
              <w:rPr>
                <w:webHidden/>
              </w:rPr>
              <w:fldChar w:fldCharType="begin"/>
            </w:r>
            <w:r w:rsidR="00EA21A9">
              <w:rPr>
                <w:webHidden/>
              </w:rPr>
              <w:instrText xml:space="preserve"> PAGEREF _Toc462749083 \h </w:instrText>
            </w:r>
            <w:r w:rsidR="00EA21A9">
              <w:rPr>
                <w:webHidden/>
              </w:rPr>
            </w:r>
            <w:r w:rsidR="00EA21A9">
              <w:rPr>
                <w:webHidden/>
              </w:rPr>
              <w:fldChar w:fldCharType="separate"/>
            </w:r>
            <w:r w:rsidR="00EA21A9">
              <w:rPr>
                <w:webHidden/>
              </w:rPr>
              <w:t>1-19</w:t>
            </w:r>
            <w:r w:rsidR="00EA21A9">
              <w:rPr>
                <w:webHidden/>
              </w:rPr>
              <w:fldChar w:fldCharType="end"/>
            </w:r>
          </w:hyperlink>
        </w:p>
        <w:p w:rsidR="00CE2A23" w:rsidRDefault="00CD283C" w:rsidP="00CD283C">
          <w:pPr>
            <w:pStyle w:val="TOC1"/>
          </w:pPr>
          <w:r>
            <w:fldChar w:fldCharType="end"/>
          </w:r>
        </w:p>
      </w:sdtContent>
    </w:sdt>
    <w:p w:rsidR="00CE2A23" w:rsidRPr="00CE2A23" w:rsidRDefault="00CE2A23" w:rsidP="00CE2A23">
      <w:r>
        <w:t xml:space="preserve"> </w:t>
      </w:r>
    </w:p>
    <w:p w:rsidR="00CE2A23" w:rsidRPr="00271F7C" w:rsidRDefault="00CE2A23" w:rsidP="00CE2A23">
      <w:pPr>
        <w:pStyle w:val="UnnumberedHeading"/>
        <w:numPr>
          <w:ilvl w:val="0"/>
          <w:numId w:val="23"/>
        </w:numPr>
      </w:pPr>
      <w:bookmarkStart w:id="11" w:name="_Toc404700925"/>
      <w:bookmarkStart w:id="12" w:name="_Toc462749071"/>
      <w:r>
        <w:lastRenderedPageBreak/>
        <w:t>Shortened forms</w:t>
      </w:r>
      <w:bookmarkEnd w:id="11"/>
      <w:bookmarkEnd w:id="12"/>
    </w:p>
    <w:tbl>
      <w:tblPr>
        <w:tblStyle w:val="AERtable-text0"/>
        <w:tblW w:w="0" w:type="auto"/>
        <w:tblLook w:val="04A0" w:firstRow="1" w:lastRow="0" w:firstColumn="1" w:lastColumn="0" w:noHBand="0" w:noVBand="1"/>
      </w:tblPr>
      <w:tblGrid>
        <w:gridCol w:w="4340"/>
        <w:gridCol w:w="4353"/>
      </w:tblGrid>
      <w:tr w:rsidR="0053603C" w:rsidRPr="0087648F" w:rsidTr="000474DF">
        <w:trPr>
          <w:cnfStyle w:val="100000000000" w:firstRow="1" w:lastRow="0" w:firstColumn="0" w:lastColumn="0" w:oddVBand="0" w:evenVBand="0" w:oddHBand="0" w:evenHBand="0" w:firstRowFirstColumn="0" w:firstRowLastColumn="0" w:lastRowFirstColumn="0" w:lastRowLastColumn="0"/>
          <w:tblHeader/>
        </w:trPr>
        <w:tc>
          <w:tcPr>
            <w:tcW w:w="4340" w:type="dxa"/>
          </w:tcPr>
          <w:p w:rsidR="0053603C" w:rsidRPr="0087648F" w:rsidRDefault="0087648F" w:rsidP="0087648F">
            <w:r>
              <w:t>Shortened form</w:t>
            </w:r>
          </w:p>
        </w:tc>
        <w:tc>
          <w:tcPr>
            <w:tcW w:w="4353" w:type="dxa"/>
          </w:tcPr>
          <w:p w:rsidR="0053603C" w:rsidRPr="0087648F" w:rsidRDefault="0087648F" w:rsidP="0087648F">
            <w:r>
              <w:t>Extended form</w:t>
            </w:r>
          </w:p>
        </w:tc>
      </w:tr>
      <w:tr w:rsidR="0087648F" w:rsidTr="000474DF">
        <w:tc>
          <w:tcPr>
            <w:tcW w:w="4340" w:type="dxa"/>
          </w:tcPr>
          <w:p w:rsidR="0087648F" w:rsidRDefault="0087648F" w:rsidP="0053603C">
            <w:pPr>
              <w:numPr>
                <w:ilvl w:val="0"/>
                <w:numId w:val="24"/>
              </w:numPr>
            </w:pPr>
            <w:r>
              <w:t>AARR</w:t>
            </w:r>
          </w:p>
        </w:tc>
        <w:tc>
          <w:tcPr>
            <w:tcW w:w="4353" w:type="dxa"/>
          </w:tcPr>
          <w:p w:rsidR="0087648F" w:rsidRDefault="0087648F" w:rsidP="0053603C">
            <w:pPr>
              <w:numPr>
                <w:ilvl w:val="0"/>
                <w:numId w:val="24"/>
              </w:numPr>
            </w:pPr>
            <w:r>
              <w:t>aggregate annual revenue requirement</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AEMC</w:t>
            </w:r>
          </w:p>
        </w:tc>
        <w:tc>
          <w:tcPr>
            <w:tcW w:w="4353" w:type="dxa"/>
          </w:tcPr>
          <w:p w:rsidR="0053603C" w:rsidRDefault="0053603C" w:rsidP="0053603C">
            <w:pPr>
              <w:numPr>
                <w:ilvl w:val="0"/>
                <w:numId w:val="24"/>
              </w:numPr>
            </w:pPr>
            <w:r>
              <w:t>Australian Energy Market Commission</w:t>
            </w:r>
          </w:p>
        </w:tc>
      </w:tr>
      <w:tr w:rsidR="0053603C" w:rsidTr="000474DF">
        <w:tc>
          <w:tcPr>
            <w:tcW w:w="4340" w:type="dxa"/>
          </w:tcPr>
          <w:p w:rsidR="0053603C" w:rsidRDefault="0053603C" w:rsidP="0053603C">
            <w:pPr>
              <w:numPr>
                <w:ilvl w:val="0"/>
                <w:numId w:val="24"/>
              </w:numPr>
            </w:pPr>
            <w:r>
              <w:t>AEMO</w:t>
            </w:r>
          </w:p>
        </w:tc>
        <w:tc>
          <w:tcPr>
            <w:tcW w:w="4353" w:type="dxa"/>
          </w:tcPr>
          <w:p w:rsidR="0053603C" w:rsidRDefault="0053603C" w:rsidP="0053603C">
            <w:pPr>
              <w:numPr>
                <w:ilvl w:val="0"/>
                <w:numId w:val="24"/>
              </w:numPr>
            </w:pPr>
            <w:r>
              <w:t>Australian Energy Market Operator</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AER</w:t>
            </w:r>
          </w:p>
        </w:tc>
        <w:tc>
          <w:tcPr>
            <w:tcW w:w="4353" w:type="dxa"/>
          </w:tcPr>
          <w:p w:rsidR="0053603C" w:rsidRDefault="0053603C" w:rsidP="0053603C">
            <w:pPr>
              <w:numPr>
                <w:ilvl w:val="0"/>
                <w:numId w:val="24"/>
              </w:numPr>
            </w:pPr>
            <w:r>
              <w:t>Australian Energy Regulator</w:t>
            </w:r>
          </w:p>
        </w:tc>
      </w:tr>
      <w:tr w:rsidR="0053603C" w:rsidTr="000474DF">
        <w:tc>
          <w:tcPr>
            <w:tcW w:w="4340" w:type="dxa"/>
          </w:tcPr>
          <w:p w:rsidR="0053603C" w:rsidRDefault="0053603C" w:rsidP="0053603C">
            <w:pPr>
              <w:numPr>
                <w:ilvl w:val="0"/>
                <w:numId w:val="24"/>
              </w:numPr>
            </w:pPr>
            <w:r>
              <w:t>ASRR</w:t>
            </w:r>
          </w:p>
        </w:tc>
        <w:tc>
          <w:tcPr>
            <w:tcW w:w="4353" w:type="dxa"/>
          </w:tcPr>
          <w:p w:rsidR="0053603C" w:rsidRDefault="0053603C" w:rsidP="0053603C">
            <w:pPr>
              <w:numPr>
                <w:ilvl w:val="0"/>
                <w:numId w:val="24"/>
              </w:numPr>
            </w:pPr>
            <w:r>
              <w:t>annual service revenue requirement</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augex</w:t>
            </w:r>
          </w:p>
        </w:tc>
        <w:tc>
          <w:tcPr>
            <w:tcW w:w="4353" w:type="dxa"/>
          </w:tcPr>
          <w:p w:rsidR="0053603C" w:rsidRDefault="0053603C" w:rsidP="0053603C">
            <w:pPr>
              <w:numPr>
                <w:ilvl w:val="0"/>
                <w:numId w:val="24"/>
              </w:numPr>
            </w:pPr>
            <w:r>
              <w:t>augmentation expenditure</w:t>
            </w:r>
          </w:p>
        </w:tc>
      </w:tr>
      <w:tr w:rsidR="0053603C" w:rsidTr="000474DF">
        <w:tc>
          <w:tcPr>
            <w:tcW w:w="4340" w:type="dxa"/>
          </w:tcPr>
          <w:p w:rsidR="0053603C" w:rsidRDefault="0053603C" w:rsidP="0053603C">
            <w:pPr>
              <w:numPr>
                <w:ilvl w:val="0"/>
                <w:numId w:val="24"/>
              </w:numPr>
            </w:pPr>
            <w:r>
              <w:t>capex</w:t>
            </w:r>
          </w:p>
        </w:tc>
        <w:tc>
          <w:tcPr>
            <w:tcW w:w="4353" w:type="dxa"/>
          </w:tcPr>
          <w:p w:rsidR="0053603C" w:rsidRDefault="0053603C" w:rsidP="0053603C">
            <w:pPr>
              <w:numPr>
                <w:ilvl w:val="0"/>
                <w:numId w:val="24"/>
              </w:numPr>
            </w:pPr>
            <w:r>
              <w:t>capital expenditure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CCP</w:t>
            </w:r>
          </w:p>
        </w:tc>
        <w:tc>
          <w:tcPr>
            <w:tcW w:w="4353" w:type="dxa"/>
          </w:tcPr>
          <w:p w:rsidR="0053603C" w:rsidRDefault="0053603C" w:rsidP="0053603C">
            <w:pPr>
              <w:numPr>
                <w:ilvl w:val="0"/>
                <w:numId w:val="24"/>
              </w:numPr>
            </w:pPr>
            <w:r>
              <w:t>Consumer Challenge Panel</w:t>
            </w:r>
          </w:p>
        </w:tc>
      </w:tr>
      <w:tr w:rsidR="0053603C" w:rsidTr="000474DF">
        <w:tc>
          <w:tcPr>
            <w:tcW w:w="4340" w:type="dxa"/>
          </w:tcPr>
          <w:p w:rsidR="0053603C" w:rsidRDefault="0053603C" w:rsidP="0053603C">
            <w:pPr>
              <w:numPr>
                <w:ilvl w:val="0"/>
                <w:numId w:val="24"/>
              </w:numPr>
            </w:pPr>
            <w:r>
              <w:t>CESS</w:t>
            </w:r>
          </w:p>
        </w:tc>
        <w:tc>
          <w:tcPr>
            <w:tcW w:w="4353" w:type="dxa"/>
          </w:tcPr>
          <w:p w:rsidR="0053603C" w:rsidRDefault="0053603C" w:rsidP="0053603C">
            <w:pPr>
              <w:numPr>
                <w:ilvl w:val="0"/>
                <w:numId w:val="24"/>
              </w:numPr>
            </w:pPr>
            <w:r>
              <w:t>capital expenditure sharing scheme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CPI</w:t>
            </w:r>
          </w:p>
        </w:tc>
        <w:tc>
          <w:tcPr>
            <w:tcW w:w="4353" w:type="dxa"/>
          </w:tcPr>
          <w:p w:rsidR="0053603C" w:rsidRDefault="0053603C" w:rsidP="0053603C">
            <w:pPr>
              <w:numPr>
                <w:ilvl w:val="0"/>
                <w:numId w:val="24"/>
              </w:numPr>
            </w:pPr>
            <w:r>
              <w:t>consumer price index</w:t>
            </w:r>
          </w:p>
        </w:tc>
      </w:tr>
      <w:tr w:rsidR="00F62A14" w:rsidTr="000474DF">
        <w:tc>
          <w:tcPr>
            <w:tcW w:w="4340" w:type="dxa"/>
          </w:tcPr>
          <w:p w:rsidR="00F62A14" w:rsidRDefault="00F62A14" w:rsidP="0053603C">
            <w:pPr>
              <w:numPr>
                <w:ilvl w:val="0"/>
                <w:numId w:val="24"/>
              </w:numPr>
            </w:pPr>
            <w:r>
              <w:t>DMIA</w:t>
            </w:r>
          </w:p>
        </w:tc>
        <w:tc>
          <w:tcPr>
            <w:tcW w:w="4353" w:type="dxa"/>
          </w:tcPr>
          <w:p w:rsidR="00F62A14" w:rsidRDefault="00F62A14" w:rsidP="0053603C">
            <w:pPr>
              <w:numPr>
                <w:ilvl w:val="0"/>
                <w:numId w:val="24"/>
              </w:numPr>
            </w:pPr>
            <w:r>
              <w:t>demand management innovation allowance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DRP</w:t>
            </w:r>
          </w:p>
        </w:tc>
        <w:tc>
          <w:tcPr>
            <w:tcW w:w="4353" w:type="dxa"/>
          </w:tcPr>
          <w:p w:rsidR="0053603C" w:rsidRDefault="0053603C" w:rsidP="0053603C">
            <w:pPr>
              <w:numPr>
                <w:ilvl w:val="0"/>
                <w:numId w:val="24"/>
              </w:numPr>
            </w:pPr>
            <w:r>
              <w:t>debt risk premium</w:t>
            </w:r>
          </w:p>
        </w:tc>
      </w:tr>
      <w:tr w:rsidR="0053603C" w:rsidTr="000474DF">
        <w:tc>
          <w:tcPr>
            <w:tcW w:w="4340" w:type="dxa"/>
          </w:tcPr>
          <w:p w:rsidR="0053603C" w:rsidRDefault="0053603C" w:rsidP="0053603C">
            <w:pPr>
              <w:numPr>
                <w:ilvl w:val="0"/>
                <w:numId w:val="24"/>
              </w:numPr>
            </w:pPr>
            <w:r>
              <w:t>EBSS</w:t>
            </w:r>
          </w:p>
        </w:tc>
        <w:tc>
          <w:tcPr>
            <w:tcW w:w="4353" w:type="dxa"/>
          </w:tcPr>
          <w:p w:rsidR="0053603C" w:rsidRDefault="0053603C" w:rsidP="0053603C">
            <w:pPr>
              <w:numPr>
                <w:ilvl w:val="0"/>
                <w:numId w:val="24"/>
              </w:numPr>
            </w:pPr>
            <w:r>
              <w:t>efficiency benefit sharing scheme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ERP</w:t>
            </w:r>
          </w:p>
        </w:tc>
        <w:tc>
          <w:tcPr>
            <w:tcW w:w="4353" w:type="dxa"/>
          </w:tcPr>
          <w:p w:rsidR="0053603C" w:rsidRDefault="0053603C" w:rsidP="0053603C">
            <w:pPr>
              <w:numPr>
                <w:ilvl w:val="0"/>
                <w:numId w:val="24"/>
              </w:numPr>
            </w:pPr>
            <w:r>
              <w:t>equity risk premium</w:t>
            </w:r>
          </w:p>
        </w:tc>
      </w:tr>
      <w:tr w:rsidR="0053603C" w:rsidTr="000474DF">
        <w:tc>
          <w:tcPr>
            <w:tcW w:w="4340" w:type="dxa"/>
          </w:tcPr>
          <w:p w:rsidR="0053603C" w:rsidRDefault="0053603C" w:rsidP="0053603C">
            <w:pPr>
              <w:numPr>
                <w:ilvl w:val="0"/>
                <w:numId w:val="24"/>
              </w:numPr>
            </w:pPr>
            <w:r>
              <w:t>MAR</w:t>
            </w:r>
          </w:p>
        </w:tc>
        <w:tc>
          <w:tcPr>
            <w:tcW w:w="4353" w:type="dxa"/>
          </w:tcPr>
          <w:p w:rsidR="0053603C" w:rsidRDefault="0053603C" w:rsidP="0053603C">
            <w:pPr>
              <w:numPr>
                <w:ilvl w:val="0"/>
                <w:numId w:val="24"/>
              </w:numPr>
            </w:pPr>
            <w:r>
              <w:t>maximum allowed revenue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MRP</w:t>
            </w:r>
          </w:p>
        </w:tc>
        <w:tc>
          <w:tcPr>
            <w:tcW w:w="4353" w:type="dxa"/>
          </w:tcPr>
          <w:p w:rsidR="0053603C" w:rsidRDefault="0053603C" w:rsidP="0053603C">
            <w:pPr>
              <w:numPr>
                <w:ilvl w:val="0"/>
                <w:numId w:val="24"/>
              </w:numPr>
            </w:pPr>
            <w:r>
              <w:t>market risk premium</w:t>
            </w:r>
          </w:p>
        </w:tc>
      </w:tr>
      <w:tr w:rsidR="0053603C" w:rsidTr="000474DF">
        <w:tc>
          <w:tcPr>
            <w:tcW w:w="4340" w:type="dxa"/>
          </w:tcPr>
          <w:p w:rsidR="0053603C" w:rsidRDefault="0053603C" w:rsidP="0053603C">
            <w:pPr>
              <w:numPr>
                <w:ilvl w:val="0"/>
                <w:numId w:val="24"/>
              </w:numPr>
            </w:pPr>
            <w:r>
              <w:t>NEL</w:t>
            </w:r>
          </w:p>
        </w:tc>
        <w:tc>
          <w:tcPr>
            <w:tcW w:w="4353" w:type="dxa"/>
          </w:tcPr>
          <w:p w:rsidR="0053603C" w:rsidRDefault="0053603C" w:rsidP="0053603C">
            <w:pPr>
              <w:numPr>
                <w:ilvl w:val="0"/>
                <w:numId w:val="24"/>
              </w:numPr>
            </w:pPr>
            <w:r>
              <w:t>national electricity law</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NEM</w:t>
            </w:r>
          </w:p>
        </w:tc>
        <w:tc>
          <w:tcPr>
            <w:tcW w:w="4353" w:type="dxa"/>
          </w:tcPr>
          <w:p w:rsidR="0053603C" w:rsidRDefault="0053603C" w:rsidP="0053603C">
            <w:pPr>
              <w:numPr>
                <w:ilvl w:val="0"/>
                <w:numId w:val="24"/>
              </w:numPr>
            </w:pPr>
            <w:r>
              <w:t>national electricity market</w:t>
            </w:r>
          </w:p>
        </w:tc>
      </w:tr>
      <w:tr w:rsidR="0053603C" w:rsidTr="000474DF">
        <w:tc>
          <w:tcPr>
            <w:tcW w:w="4340" w:type="dxa"/>
          </w:tcPr>
          <w:p w:rsidR="0053603C" w:rsidRDefault="0053603C" w:rsidP="0053603C">
            <w:pPr>
              <w:numPr>
                <w:ilvl w:val="0"/>
                <w:numId w:val="24"/>
              </w:numPr>
            </w:pPr>
            <w:r>
              <w:t>NEO</w:t>
            </w:r>
          </w:p>
        </w:tc>
        <w:tc>
          <w:tcPr>
            <w:tcW w:w="4353" w:type="dxa"/>
          </w:tcPr>
          <w:p w:rsidR="0053603C" w:rsidRDefault="0053603C" w:rsidP="0053603C">
            <w:pPr>
              <w:numPr>
                <w:ilvl w:val="0"/>
                <w:numId w:val="24"/>
              </w:numPr>
            </w:pPr>
            <w:r>
              <w:t>national electricity objective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NER</w:t>
            </w:r>
          </w:p>
        </w:tc>
        <w:tc>
          <w:tcPr>
            <w:tcW w:w="4353" w:type="dxa"/>
          </w:tcPr>
          <w:p w:rsidR="0053603C" w:rsidRDefault="0053603C" w:rsidP="0053603C">
            <w:pPr>
              <w:numPr>
                <w:ilvl w:val="0"/>
                <w:numId w:val="24"/>
              </w:numPr>
            </w:pPr>
            <w:r>
              <w:t>national electricity rules</w:t>
            </w:r>
          </w:p>
        </w:tc>
      </w:tr>
      <w:tr w:rsidR="0053603C" w:rsidTr="000474DF">
        <w:tc>
          <w:tcPr>
            <w:tcW w:w="4340" w:type="dxa"/>
          </w:tcPr>
          <w:p w:rsidR="0053603C" w:rsidRDefault="0053603C" w:rsidP="0053603C">
            <w:pPr>
              <w:numPr>
                <w:ilvl w:val="0"/>
                <w:numId w:val="24"/>
              </w:numPr>
            </w:pPr>
            <w:r>
              <w:t>NSP</w:t>
            </w:r>
          </w:p>
        </w:tc>
        <w:tc>
          <w:tcPr>
            <w:tcW w:w="4353" w:type="dxa"/>
          </w:tcPr>
          <w:p w:rsidR="0053603C" w:rsidRDefault="0053603C" w:rsidP="0053603C">
            <w:pPr>
              <w:numPr>
                <w:ilvl w:val="0"/>
                <w:numId w:val="24"/>
              </w:numPr>
            </w:pPr>
            <w:r>
              <w:t>network service provider</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NTSC</w:t>
            </w:r>
          </w:p>
        </w:tc>
        <w:tc>
          <w:tcPr>
            <w:tcW w:w="4353" w:type="dxa"/>
          </w:tcPr>
          <w:p w:rsidR="0053603C" w:rsidRDefault="0053603C" w:rsidP="0053603C">
            <w:pPr>
              <w:numPr>
                <w:ilvl w:val="0"/>
                <w:numId w:val="24"/>
              </w:numPr>
            </w:pPr>
            <w:r>
              <w:t>negotiated transmission service criteria</w:t>
            </w:r>
          </w:p>
        </w:tc>
      </w:tr>
      <w:tr w:rsidR="0053603C" w:rsidTr="000474DF">
        <w:tc>
          <w:tcPr>
            <w:tcW w:w="4340" w:type="dxa"/>
          </w:tcPr>
          <w:p w:rsidR="0053603C" w:rsidRDefault="0053603C" w:rsidP="0053603C">
            <w:pPr>
              <w:numPr>
                <w:ilvl w:val="0"/>
                <w:numId w:val="24"/>
              </w:numPr>
            </w:pPr>
            <w:r>
              <w:t>opex</w:t>
            </w:r>
          </w:p>
        </w:tc>
        <w:tc>
          <w:tcPr>
            <w:tcW w:w="4353" w:type="dxa"/>
          </w:tcPr>
          <w:p w:rsidR="0053603C" w:rsidRDefault="0053603C" w:rsidP="0053603C">
            <w:pPr>
              <w:numPr>
                <w:ilvl w:val="0"/>
                <w:numId w:val="24"/>
              </w:numPr>
            </w:pPr>
            <w:r>
              <w:t>operating expenditure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PPI</w:t>
            </w:r>
          </w:p>
        </w:tc>
        <w:tc>
          <w:tcPr>
            <w:tcW w:w="4353" w:type="dxa"/>
          </w:tcPr>
          <w:p w:rsidR="0053603C" w:rsidRDefault="0053603C" w:rsidP="0053603C">
            <w:pPr>
              <w:numPr>
                <w:ilvl w:val="0"/>
                <w:numId w:val="24"/>
              </w:numPr>
            </w:pPr>
            <w:r>
              <w:t>partial performance indicators</w:t>
            </w:r>
          </w:p>
        </w:tc>
      </w:tr>
      <w:tr w:rsidR="0053603C" w:rsidTr="000474DF">
        <w:tc>
          <w:tcPr>
            <w:tcW w:w="4340" w:type="dxa"/>
          </w:tcPr>
          <w:p w:rsidR="0053603C" w:rsidRDefault="0053603C" w:rsidP="0053603C">
            <w:pPr>
              <w:numPr>
                <w:ilvl w:val="0"/>
                <w:numId w:val="24"/>
              </w:numPr>
            </w:pPr>
            <w:r>
              <w:t>PTRM</w:t>
            </w:r>
          </w:p>
        </w:tc>
        <w:tc>
          <w:tcPr>
            <w:tcW w:w="4353" w:type="dxa"/>
          </w:tcPr>
          <w:p w:rsidR="0053603C" w:rsidRDefault="0053603C" w:rsidP="0053603C">
            <w:pPr>
              <w:numPr>
                <w:ilvl w:val="0"/>
                <w:numId w:val="24"/>
              </w:numPr>
            </w:pPr>
            <w:r>
              <w:t>post-tax revenue model</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RAB</w:t>
            </w:r>
          </w:p>
        </w:tc>
        <w:tc>
          <w:tcPr>
            <w:tcW w:w="4353" w:type="dxa"/>
          </w:tcPr>
          <w:p w:rsidR="0053603C" w:rsidRDefault="0053603C" w:rsidP="0053603C">
            <w:pPr>
              <w:numPr>
                <w:ilvl w:val="0"/>
                <w:numId w:val="24"/>
              </w:numPr>
            </w:pPr>
            <w:r>
              <w:t>regulatory asset base</w:t>
            </w:r>
          </w:p>
        </w:tc>
      </w:tr>
      <w:tr w:rsidR="0053603C" w:rsidTr="000474DF">
        <w:tc>
          <w:tcPr>
            <w:tcW w:w="4340" w:type="dxa"/>
          </w:tcPr>
          <w:p w:rsidR="0053603C" w:rsidRDefault="0053603C" w:rsidP="0053603C">
            <w:pPr>
              <w:numPr>
                <w:ilvl w:val="0"/>
                <w:numId w:val="24"/>
              </w:numPr>
            </w:pPr>
            <w:r>
              <w:t>RBA</w:t>
            </w:r>
          </w:p>
        </w:tc>
        <w:tc>
          <w:tcPr>
            <w:tcW w:w="4353" w:type="dxa"/>
          </w:tcPr>
          <w:p w:rsidR="0053603C" w:rsidRDefault="0053603C" w:rsidP="0053603C">
            <w:pPr>
              <w:numPr>
                <w:ilvl w:val="0"/>
                <w:numId w:val="24"/>
              </w:numPr>
            </w:pPr>
            <w:r>
              <w:t>Reserve Bank of Australia</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repex</w:t>
            </w:r>
          </w:p>
        </w:tc>
        <w:tc>
          <w:tcPr>
            <w:tcW w:w="4353" w:type="dxa"/>
          </w:tcPr>
          <w:p w:rsidR="0053603C" w:rsidRDefault="0053603C" w:rsidP="0053603C">
            <w:pPr>
              <w:numPr>
                <w:ilvl w:val="0"/>
                <w:numId w:val="24"/>
              </w:numPr>
            </w:pPr>
            <w:r>
              <w:t>replacement expenditure</w:t>
            </w:r>
          </w:p>
        </w:tc>
      </w:tr>
      <w:tr w:rsidR="0053603C" w:rsidTr="000474DF">
        <w:tc>
          <w:tcPr>
            <w:tcW w:w="4340" w:type="dxa"/>
          </w:tcPr>
          <w:p w:rsidR="0053603C" w:rsidRDefault="0053603C" w:rsidP="0053603C">
            <w:pPr>
              <w:numPr>
                <w:ilvl w:val="0"/>
                <w:numId w:val="24"/>
              </w:numPr>
            </w:pPr>
            <w:r>
              <w:t>RFM</w:t>
            </w:r>
          </w:p>
        </w:tc>
        <w:tc>
          <w:tcPr>
            <w:tcW w:w="4353" w:type="dxa"/>
          </w:tcPr>
          <w:p w:rsidR="0053603C" w:rsidRDefault="0053603C" w:rsidP="0053603C">
            <w:pPr>
              <w:numPr>
                <w:ilvl w:val="0"/>
                <w:numId w:val="24"/>
              </w:numPr>
            </w:pPr>
            <w:r>
              <w:t>roll forward model</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RIN</w:t>
            </w:r>
          </w:p>
        </w:tc>
        <w:tc>
          <w:tcPr>
            <w:tcW w:w="4353" w:type="dxa"/>
          </w:tcPr>
          <w:p w:rsidR="0053603C" w:rsidRDefault="0053603C" w:rsidP="0053603C">
            <w:pPr>
              <w:numPr>
                <w:ilvl w:val="0"/>
                <w:numId w:val="24"/>
              </w:numPr>
            </w:pPr>
            <w:r>
              <w:t>regulatory information notice</w:t>
            </w:r>
          </w:p>
        </w:tc>
      </w:tr>
      <w:tr w:rsidR="0053603C" w:rsidTr="000474DF">
        <w:tc>
          <w:tcPr>
            <w:tcW w:w="4340" w:type="dxa"/>
          </w:tcPr>
          <w:p w:rsidR="0053603C" w:rsidRDefault="0053603C" w:rsidP="0053603C">
            <w:pPr>
              <w:numPr>
                <w:ilvl w:val="0"/>
                <w:numId w:val="24"/>
              </w:numPr>
            </w:pPr>
            <w:r>
              <w:lastRenderedPageBreak/>
              <w:t>RPP</w:t>
            </w:r>
          </w:p>
        </w:tc>
        <w:tc>
          <w:tcPr>
            <w:tcW w:w="4353" w:type="dxa"/>
          </w:tcPr>
          <w:p w:rsidR="0053603C" w:rsidRDefault="0053603C" w:rsidP="0053603C">
            <w:pPr>
              <w:numPr>
                <w:ilvl w:val="0"/>
                <w:numId w:val="24"/>
              </w:numPr>
            </w:pPr>
            <w:r>
              <w:t>revenue and pricing principles</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SLCAPM</w:t>
            </w:r>
          </w:p>
        </w:tc>
        <w:tc>
          <w:tcPr>
            <w:tcW w:w="4353" w:type="dxa"/>
          </w:tcPr>
          <w:p w:rsidR="0053603C" w:rsidRDefault="0053603C" w:rsidP="0053603C">
            <w:pPr>
              <w:numPr>
                <w:ilvl w:val="0"/>
                <w:numId w:val="24"/>
              </w:numPr>
            </w:pPr>
            <w:r>
              <w:t>Sharpe-</w:t>
            </w:r>
            <w:proofErr w:type="spellStart"/>
            <w:r>
              <w:t>Lintner</w:t>
            </w:r>
            <w:proofErr w:type="spellEnd"/>
            <w:r>
              <w:t xml:space="preserve"> capital asset pricing model</w:t>
            </w:r>
          </w:p>
        </w:tc>
      </w:tr>
      <w:tr w:rsidR="0053603C" w:rsidTr="000474DF">
        <w:tc>
          <w:tcPr>
            <w:tcW w:w="4340" w:type="dxa"/>
          </w:tcPr>
          <w:p w:rsidR="0053603C" w:rsidRDefault="0053603C" w:rsidP="0053603C">
            <w:pPr>
              <w:numPr>
                <w:ilvl w:val="0"/>
                <w:numId w:val="24"/>
              </w:numPr>
            </w:pPr>
            <w:r>
              <w:t>STPIS</w:t>
            </w:r>
          </w:p>
        </w:tc>
        <w:tc>
          <w:tcPr>
            <w:tcW w:w="4353" w:type="dxa"/>
          </w:tcPr>
          <w:p w:rsidR="0053603C" w:rsidRDefault="0053603C" w:rsidP="0053603C">
            <w:pPr>
              <w:numPr>
                <w:ilvl w:val="0"/>
                <w:numId w:val="24"/>
              </w:numPr>
            </w:pPr>
            <w:r>
              <w:t>service target performance incentive scheme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TNSP</w:t>
            </w:r>
          </w:p>
        </w:tc>
        <w:tc>
          <w:tcPr>
            <w:tcW w:w="4353" w:type="dxa"/>
          </w:tcPr>
          <w:p w:rsidR="0053603C" w:rsidRDefault="0053603C" w:rsidP="0053603C">
            <w:pPr>
              <w:numPr>
                <w:ilvl w:val="0"/>
                <w:numId w:val="24"/>
              </w:numPr>
            </w:pPr>
            <w:r>
              <w:t>transmission network service provider</w:t>
            </w:r>
          </w:p>
        </w:tc>
      </w:tr>
      <w:tr w:rsidR="0053603C" w:rsidTr="000474DF">
        <w:tc>
          <w:tcPr>
            <w:tcW w:w="4340" w:type="dxa"/>
          </w:tcPr>
          <w:p w:rsidR="0053603C" w:rsidRDefault="0053603C" w:rsidP="0053603C">
            <w:pPr>
              <w:numPr>
                <w:ilvl w:val="0"/>
                <w:numId w:val="24"/>
              </w:numPr>
            </w:pPr>
            <w:proofErr w:type="spellStart"/>
            <w:r>
              <w:t>TUoS</w:t>
            </w:r>
            <w:proofErr w:type="spellEnd"/>
          </w:p>
        </w:tc>
        <w:tc>
          <w:tcPr>
            <w:tcW w:w="4353" w:type="dxa"/>
          </w:tcPr>
          <w:p w:rsidR="0053603C" w:rsidRDefault="0053603C" w:rsidP="0053603C">
            <w:pPr>
              <w:numPr>
                <w:ilvl w:val="0"/>
                <w:numId w:val="24"/>
              </w:numPr>
            </w:pPr>
            <w:r>
              <w:t>transmission use of system</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WACC</w:t>
            </w:r>
          </w:p>
        </w:tc>
        <w:tc>
          <w:tcPr>
            <w:tcW w:w="4353" w:type="dxa"/>
          </w:tcPr>
          <w:p w:rsidR="0053603C" w:rsidRDefault="0053603C" w:rsidP="0053603C">
            <w:pPr>
              <w:numPr>
                <w:ilvl w:val="0"/>
                <w:numId w:val="24"/>
              </w:numPr>
            </w:pPr>
            <w:r>
              <w:t>weighted average cost of capital</w:t>
            </w:r>
          </w:p>
        </w:tc>
      </w:tr>
    </w:tbl>
    <w:p w:rsidR="00DE563D" w:rsidRDefault="00471BC6" w:rsidP="00471BC6">
      <w:pPr>
        <w:pStyle w:val="Heading1"/>
      </w:pPr>
      <w:bookmarkStart w:id="13" w:name="_Toc416278154"/>
      <w:bookmarkStart w:id="14" w:name="_Toc416346517"/>
      <w:bookmarkStart w:id="15" w:name="_Toc416278157"/>
      <w:bookmarkStart w:id="16" w:name="_Toc416346520"/>
      <w:bookmarkStart w:id="17" w:name="_Toc416278160"/>
      <w:bookmarkStart w:id="18" w:name="_Toc416346523"/>
      <w:bookmarkStart w:id="19" w:name="_Toc416278163"/>
      <w:bookmarkStart w:id="20" w:name="_Toc416346526"/>
      <w:bookmarkStart w:id="21" w:name="_Toc416278166"/>
      <w:bookmarkStart w:id="22" w:name="_Toc416346529"/>
      <w:bookmarkStart w:id="23" w:name="_Toc416278169"/>
      <w:bookmarkStart w:id="24" w:name="_Toc416346532"/>
      <w:bookmarkStart w:id="25" w:name="_Toc416278172"/>
      <w:bookmarkStart w:id="26" w:name="_Toc416346535"/>
      <w:bookmarkStart w:id="27" w:name="_Toc416278175"/>
      <w:bookmarkStart w:id="28" w:name="_Toc416346538"/>
      <w:bookmarkStart w:id="29" w:name="_Toc416278178"/>
      <w:bookmarkStart w:id="30" w:name="_Toc416346541"/>
      <w:bookmarkStart w:id="31" w:name="_Toc416278181"/>
      <w:bookmarkStart w:id="32" w:name="_Toc416346544"/>
      <w:bookmarkStart w:id="33" w:name="_Toc416278184"/>
      <w:bookmarkStart w:id="34" w:name="_Toc416346547"/>
      <w:bookmarkStart w:id="35" w:name="_Toc416278187"/>
      <w:bookmarkStart w:id="36" w:name="_Toc416346550"/>
      <w:bookmarkStart w:id="37" w:name="_Toc416278190"/>
      <w:bookmarkStart w:id="38" w:name="_Toc416346553"/>
      <w:bookmarkStart w:id="39" w:name="_Toc416278193"/>
      <w:bookmarkStart w:id="40" w:name="_Toc416346556"/>
      <w:bookmarkStart w:id="41" w:name="_Toc416278196"/>
      <w:bookmarkStart w:id="42" w:name="_Toc416346559"/>
      <w:bookmarkStart w:id="43" w:name="_Toc416278199"/>
      <w:bookmarkStart w:id="44" w:name="_Toc416346562"/>
      <w:bookmarkStart w:id="45" w:name="_Toc416278202"/>
      <w:bookmarkStart w:id="46" w:name="_Toc416346565"/>
      <w:bookmarkStart w:id="47" w:name="_Toc416278205"/>
      <w:bookmarkStart w:id="48" w:name="_Toc416346568"/>
      <w:bookmarkStart w:id="49" w:name="_Toc416278208"/>
      <w:bookmarkStart w:id="50" w:name="_Toc416346571"/>
      <w:bookmarkStart w:id="51" w:name="_Toc416278211"/>
      <w:bookmarkStart w:id="52" w:name="_Toc416346574"/>
      <w:bookmarkStart w:id="53" w:name="_Toc416278214"/>
      <w:bookmarkStart w:id="54" w:name="_Toc416346577"/>
      <w:bookmarkStart w:id="55" w:name="_Toc416278217"/>
      <w:bookmarkStart w:id="56" w:name="_Toc416346580"/>
      <w:bookmarkStart w:id="57" w:name="_Toc416278220"/>
      <w:bookmarkStart w:id="58" w:name="_Toc416346583"/>
      <w:bookmarkStart w:id="59" w:name="_Toc416278223"/>
      <w:bookmarkStart w:id="60" w:name="_Toc416346586"/>
      <w:bookmarkStart w:id="61" w:name="_Toc416278226"/>
      <w:bookmarkStart w:id="62" w:name="_Toc416346589"/>
      <w:bookmarkStart w:id="63" w:name="_Toc416278229"/>
      <w:bookmarkStart w:id="64" w:name="_Toc416346592"/>
      <w:bookmarkStart w:id="65" w:name="_Toc416278232"/>
      <w:bookmarkStart w:id="66" w:name="_Toc416346595"/>
      <w:bookmarkStart w:id="67" w:name="_Toc416278235"/>
      <w:bookmarkStart w:id="68" w:name="_Toc416346598"/>
      <w:bookmarkStart w:id="69" w:name="_Toc416278238"/>
      <w:bookmarkStart w:id="70" w:name="_Toc416346601"/>
      <w:bookmarkStart w:id="71" w:name="_Toc462749072"/>
      <w:bookmarkEnd w:id="1"/>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lastRenderedPageBreak/>
        <w:t>Maximum allowed revenue</w:t>
      </w:r>
      <w:bookmarkEnd w:id="71"/>
    </w:p>
    <w:p w:rsidR="000B6B35" w:rsidRPr="000B6B35" w:rsidRDefault="000B6B35" w:rsidP="000B6B35">
      <w:r w:rsidRPr="000B6B35">
        <w:t xml:space="preserve">This attachment sets out the AER's draft decision on the maximum allowed revenue (MAR) for the provision of prescribed transmission services for each year of </w:t>
      </w:r>
      <w:r>
        <w:t>Powerlink's</w:t>
      </w:r>
      <w:r w:rsidRPr="000B6B35">
        <w:t xml:space="preserve"> 2017–22 regulatory control period. Specifically, the attachment addresses:</w:t>
      </w:r>
      <w:r w:rsidRPr="000B6B35">
        <w:rPr>
          <w:rStyle w:val="FootnoteReference"/>
        </w:rPr>
        <w:footnoteReference w:id="1"/>
      </w:r>
    </w:p>
    <w:p w:rsidR="000B6B35" w:rsidRPr="000B6B35" w:rsidRDefault="000B6B35" w:rsidP="000B6B35">
      <w:pPr>
        <w:pStyle w:val="AERbulletlistfirststyle"/>
      </w:pPr>
      <w:r w:rsidRPr="000B6B35">
        <w:t xml:space="preserve">the estimated total revenue cap, which is the sum of the annual expected MAR </w:t>
      </w:r>
    </w:p>
    <w:p w:rsidR="000B6B35" w:rsidRPr="000B6B35" w:rsidRDefault="000B6B35" w:rsidP="000B6B35">
      <w:pPr>
        <w:pStyle w:val="AERbulletlistfirststyle"/>
      </w:pPr>
      <w:r w:rsidRPr="000B6B35">
        <w:t>the annual building block revenue requirement</w:t>
      </w:r>
    </w:p>
    <w:p w:rsidR="000B6B35" w:rsidRPr="000B6B35" w:rsidRDefault="000B6B35" w:rsidP="000B6B35">
      <w:pPr>
        <w:pStyle w:val="AERbulletlistfirststyle"/>
      </w:pPr>
      <w:r w:rsidRPr="000B6B35">
        <w:t xml:space="preserve">the annual expected MAR </w:t>
      </w:r>
    </w:p>
    <w:p w:rsidR="000B6B35" w:rsidRPr="000B6B35" w:rsidRDefault="000B6B35" w:rsidP="000B6B35">
      <w:pPr>
        <w:pStyle w:val="AERbulletlistfirststyle"/>
      </w:pPr>
      <w:proofErr w:type="gramStart"/>
      <w:r w:rsidRPr="000B6B35">
        <w:t>the</w:t>
      </w:r>
      <w:proofErr w:type="gramEnd"/>
      <w:r w:rsidRPr="000B6B35">
        <w:t xml:space="preserve"> X factor.</w:t>
      </w:r>
    </w:p>
    <w:p w:rsidR="000B6B35" w:rsidRPr="000B6B35" w:rsidRDefault="000B6B35" w:rsidP="000B6B35">
      <w:r w:rsidRPr="000B6B35">
        <w:t>We determine the TNSP's annual building block revenue requirement using a building block approach. We determine the X factors by smoothing the annual building block revenue requirement over the regulatory control period. The X factor is used in the CPI–X methodology to determine the annual expected MAR (smoothed).</w:t>
      </w:r>
    </w:p>
    <w:p w:rsidR="00132D43" w:rsidRDefault="00132D43" w:rsidP="00132D43">
      <w:pPr>
        <w:pStyle w:val="Heading2"/>
      </w:pPr>
      <w:bookmarkStart w:id="72" w:name="_Ref456007144"/>
      <w:bookmarkStart w:id="73" w:name="_Toc462749073"/>
      <w:r>
        <w:t>Draft decision</w:t>
      </w:r>
      <w:bookmarkEnd w:id="72"/>
      <w:bookmarkEnd w:id="73"/>
    </w:p>
    <w:p w:rsidR="000B6B35" w:rsidRPr="000B6B35" w:rsidRDefault="000B6B35" w:rsidP="000B6B35">
      <w:r w:rsidRPr="000B6B35">
        <w:t xml:space="preserve">We do not accept </w:t>
      </w:r>
      <w:r>
        <w:t>Powerlink</w:t>
      </w:r>
      <w:r w:rsidRPr="000B6B35">
        <w:t>’</w:t>
      </w:r>
      <w:r w:rsidR="007B4A42">
        <w:t>s</w:t>
      </w:r>
      <w:r w:rsidRPr="000B6B35">
        <w:t xml:space="preserve"> proposed annual building block revenue requirement, annual expected MAR and total revenue cap. For the reasons discussed in the attachments to this draft determination, our decisions on </w:t>
      </w:r>
      <w:r>
        <w:t>Powerlink</w:t>
      </w:r>
      <w:r w:rsidRPr="000B6B35">
        <w:t>’</w:t>
      </w:r>
      <w:r w:rsidR="007B4A42">
        <w:t>s</w:t>
      </w:r>
      <w:r w:rsidRPr="000B6B35">
        <w:t xml:space="preserve"> proposed building block costs have a consequential impact on its annual building block revenue requirement. We have calculated the X factor and the annual expected MAR (smoothed) to reflect our draft decision on </w:t>
      </w:r>
      <w:r>
        <w:t>Powerlink</w:t>
      </w:r>
      <w:r w:rsidRPr="000B6B35">
        <w:t>’ annual building block revenue requirement.</w:t>
      </w:r>
    </w:p>
    <w:p w:rsidR="000B6B35" w:rsidRPr="000B6B35" w:rsidRDefault="000B6B35" w:rsidP="000B6B35">
      <w:r w:rsidRPr="000B6B35">
        <w:t xml:space="preserve">We determine a total annual building block revenue requirement for </w:t>
      </w:r>
      <w:r>
        <w:t>Powerlink</w:t>
      </w:r>
      <w:r w:rsidRPr="000B6B35">
        <w:t xml:space="preserve"> of $</w:t>
      </w:r>
      <w:r w:rsidR="00527C7A">
        <w:t>372</w:t>
      </w:r>
      <w:r w:rsidR="009B6B07">
        <w:t>4</w:t>
      </w:r>
      <w:r w:rsidR="00527C7A">
        <w:t>.</w:t>
      </w:r>
      <w:r w:rsidR="00993F65">
        <w:t>2</w:t>
      </w:r>
      <w:r w:rsidRPr="000B6B35">
        <w:t> million ($ nominal) for the 2017–22 regulatory control period. This is a reduction of $</w:t>
      </w:r>
      <w:r w:rsidR="00527C7A">
        <w:t>29</w:t>
      </w:r>
      <w:r w:rsidR="00993F65">
        <w:t>7</w:t>
      </w:r>
      <w:r w:rsidR="00527C7A">
        <w:t>.</w:t>
      </w:r>
      <w:r w:rsidR="00993F65">
        <w:t>9</w:t>
      </w:r>
      <w:r w:rsidR="00527C7A">
        <w:t> million ($ nominal) or 7.4</w:t>
      </w:r>
      <w:r w:rsidRPr="000B6B35">
        <w:t xml:space="preserve"> per cent to </w:t>
      </w:r>
      <w:r>
        <w:t>Powerlink</w:t>
      </w:r>
      <w:r w:rsidRPr="000B6B35">
        <w:t>’ proposal and reflects the impact of our draft decisions on the various building block costs.</w:t>
      </w:r>
    </w:p>
    <w:p w:rsidR="000B6B35" w:rsidRPr="000B6B35" w:rsidRDefault="000B6B35" w:rsidP="000B6B35">
      <w:r w:rsidRPr="000B6B35">
        <w:t xml:space="preserve">As a result of our smoothing of the annual building block revenue requirement, our draft decision on the annual expected MAR and X factor for each regulatory year of the 2017–22 regulatory control </w:t>
      </w:r>
      <w:proofErr w:type="gramStart"/>
      <w:r w:rsidRPr="000B6B35">
        <w:t>period</w:t>
      </w:r>
      <w:proofErr w:type="gramEnd"/>
      <w:r w:rsidRPr="000B6B35">
        <w:t xml:space="preserve"> is set out in </w:t>
      </w:r>
      <w:r w:rsidR="00AE780A">
        <w:fldChar w:fldCharType="begin"/>
      </w:r>
      <w:r w:rsidR="00AE780A">
        <w:instrText xml:space="preserve"> REF  _Ref437858402 \* Lower \h </w:instrText>
      </w:r>
      <w:r w:rsidR="00AE780A">
        <w:fldChar w:fldCharType="separate"/>
      </w:r>
      <w:r w:rsidR="00EA21A9" w:rsidRPr="000B6B35">
        <w:t xml:space="preserve">table </w:t>
      </w:r>
      <w:r w:rsidR="00EA21A9">
        <w:rPr>
          <w:noProof/>
        </w:rPr>
        <w:t>1</w:t>
      </w:r>
      <w:r w:rsidR="00EA21A9" w:rsidRPr="000B6B35">
        <w:t>.</w:t>
      </w:r>
      <w:r w:rsidR="00EA21A9">
        <w:rPr>
          <w:noProof/>
        </w:rPr>
        <w:t>1</w:t>
      </w:r>
      <w:r w:rsidR="00AE780A">
        <w:fldChar w:fldCharType="end"/>
      </w:r>
      <w:r w:rsidRPr="000B6B35">
        <w:t>. Our draft decision is to approve an estimated total revenue cap of $</w:t>
      </w:r>
      <w:r w:rsidR="00527C7A">
        <w:t>3720.</w:t>
      </w:r>
      <w:r w:rsidR="009B6B07">
        <w:t>8</w:t>
      </w:r>
      <w:r w:rsidRPr="000B6B35">
        <w:t xml:space="preserve"> million ($ nominal) for </w:t>
      </w:r>
      <w:r>
        <w:t>Powerlink</w:t>
      </w:r>
      <w:r w:rsidRPr="000B6B35">
        <w:t xml:space="preserve"> for the 2017–22 regulatory control period. Our approved X factor for 201</w:t>
      </w:r>
      <w:r w:rsidR="00E70870">
        <w:t>8</w:t>
      </w:r>
      <w:r w:rsidRPr="000B6B35">
        <w:t>–1</w:t>
      </w:r>
      <w:r w:rsidR="00E70870">
        <w:t>9</w:t>
      </w:r>
      <w:r w:rsidRPr="000B6B35">
        <w:t xml:space="preserve"> </w:t>
      </w:r>
      <w:r w:rsidR="006843D5" w:rsidRPr="000B6B35">
        <w:t>to 2021–22</w:t>
      </w:r>
      <w:r w:rsidR="006843D5">
        <w:t xml:space="preserve"> </w:t>
      </w:r>
      <w:r w:rsidRPr="000B6B35">
        <w:t xml:space="preserve">is </w:t>
      </w:r>
      <w:r w:rsidR="00527C7A">
        <w:t>0.15 p</w:t>
      </w:r>
      <w:r w:rsidRPr="000B6B35">
        <w:t>er cent</w:t>
      </w:r>
      <w:r w:rsidR="00F748CC">
        <w:t xml:space="preserve"> per annum</w:t>
      </w:r>
      <w:r w:rsidRPr="000B6B35">
        <w:t>.</w:t>
      </w:r>
      <w:r w:rsidR="007B4A42">
        <w:rPr>
          <w:rStyle w:val="FootnoteReference"/>
        </w:rPr>
        <w:footnoteReference w:id="2"/>
      </w:r>
    </w:p>
    <w:p w:rsidR="000B6B35" w:rsidRDefault="000B6B35" w:rsidP="000B6B35">
      <w:r w:rsidRPr="000B6B35">
        <w:fldChar w:fldCharType="begin"/>
      </w:r>
      <w:r w:rsidRPr="000B6B35">
        <w:instrText xml:space="preserve"> REF _Ref437858402 \h </w:instrText>
      </w:r>
      <w:r w:rsidRPr="000B6B35">
        <w:fldChar w:fldCharType="separate"/>
      </w:r>
      <w:r w:rsidR="00EA21A9" w:rsidRPr="000B6B35">
        <w:t xml:space="preserve">Table </w:t>
      </w:r>
      <w:r w:rsidR="00EA21A9">
        <w:rPr>
          <w:noProof/>
        </w:rPr>
        <w:t>1</w:t>
      </w:r>
      <w:r w:rsidR="00EA21A9" w:rsidRPr="000B6B35">
        <w:t>.</w:t>
      </w:r>
      <w:r w:rsidR="00EA21A9">
        <w:rPr>
          <w:noProof/>
        </w:rPr>
        <w:t>1</w:t>
      </w:r>
      <w:r w:rsidRPr="000B6B35">
        <w:fldChar w:fldCharType="end"/>
      </w:r>
      <w:r w:rsidRPr="000B6B35">
        <w:t xml:space="preserve"> sets out our draft decision on </w:t>
      </w:r>
      <w:r>
        <w:t>Powerlink</w:t>
      </w:r>
      <w:r w:rsidRPr="000B6B35">
        <w:t>’</w:t>
      </w:r>
      <w:r w:rsidR="007B4A42">
        <w:t>s</w:t>
      </w:r>
      <w:r w:rsidRPr="000B6B35">
        <w:t xml:space="preserve"> annual building block revenue requirement, the X factor, the annual expected MAR and the estimated total revenue cap for the 2017–22 regulatory control period.</w:t>
      </w:r>
    </w:p>
    <w:p w:rsidR="000B6B35" w:rsidRPr="000B6B35" w:rsidRDefault="000B6B35" w:rsidP="000B6B35">
      <w:pPr>
        <w:pStyle w:val="Caption"/>
      </w:pPr>
      <w:bookmarkStart w:id="74" w:name="_Ref437858402"/>
      <w:proofErr w:type="gramStart"/>
      <w:r w:rsidRPr="000B6B35">
        <w:lastRenderedPageBreak/>
        <w:t xml:space="preserve">Table </w:t>
      </w:r>
      <w:fldSimple w:instr=" STYLEREF 1 \s ">
        <w:r w:rsidR="00EA21A9">
          <w:rPr>
            <w:noProof/>
          </w:rPr>
          <w:t>1</w:t>
        </w:r>
      </w:fldSimple>
      <w:r w:rsidRPr="000B6B35">
        <w:t>.</w:t>
      </w:r>
      <w:proofErr w:type="gramEnd"/>
      <w:r w:rsidR="00AE780A">
        <w:fldChar w:fldCharType="begin"/>
      </w:r>
      <w:r w:rsidR="00AE780A">
        <w:instrText xml:space="preserve"> SEQ Table \* ARABIC \s 1 </w:instrText>
      </w:r>
      <w:r w:rsidR="00AE780A">
        <w:fldChar w:fldCharType="separate"/>
      </w:r>
      <w:r w:rsidR="00EA21A9">
        <w:rPr>
          <w:noProof/>
        </w:rPr>
        <w:t>1</w:t>
      </w:r>
      <w:r w:rsidR="00AE780A">
        <w:fldChar w:fldCharType="end"/>
      </w:r>
      <w:bookmarkEnd w:id="74"/>
      <w:r w:rsidRPr="000B6B35">
        <w:tab/>
        <w:t xml:space="preserve">AER's draft decision on </w:t>
      </w:r>
      <w:r>
        <w:t>Powerlink</w:t>
      </w:r>
      <w:r w:rsidRPr="000B6B35">
        <w:t>’</w:t>
      </w:r>
      <w:r w:rsidR="007B4A42">
        <w:t>s</w:t>
      </w:r>
      <w:r w:rsidRPr="000B6B35">
        <w:t xml:space="preserve"> annual building block revenue requirement, annual expected MAR, estimated total revenue cap and X factor ($ million, nominal)</w:t>
      </w:r>
    </w:p>
    <w:tbl>
      <w:tblPr>
        <w:tblStyle w:val="AERtable-numbers"/>
        <w:tblW w:w="8880" w:type="dxa"/>
        <w:tblLayout w:type="fixed"/>
        <w:tblLook w:val="04A0" w:firstRow="1" w:lastRow="0" w:firstColumn="1" w:lastColumn="0" w:noHBand="0" w:noVBand="1"/>
      </w:tblPr>
      <w:tblGrid>
        <w:gridCol w:w="3369"/>
        <w:gridCol w:w="918"/>
        <w:gridCol w:w="919"/>
        <w:gridCol w:w="918"/>
        <w:gridCol w:w="919"/>
        <w:gridCol w:w="918"/>
        <w:gridCol w:w="919"/>
      </w:tblGrid>
      <w:tr w:rsidR="000B6B35" w:rsidRPr="00DD1300" w:rsidTr="00AE780A">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3369" w:type="dxa"/>
            <w:noWrap/>
            <w:hideMark/>
          </w:tcPr>
          <w:p w:rsidR="000B6B35" w:rsidRPr="000B6B35" w:rsidRDefault="000B6B35" w:rsidP="000B6B35">
            <w:r w:rsidRPr="000B6B35">
              <w:t> </w:t>
            </w:r>
          </w:p>
        </w:tc>
        <w:tc>
          <w:tcPr>
            <w:tcW w:w="918" w:type="dxa"/>
            <w:noWrap/>
            <w:hideMark/>
          </w:tcPr>
          <w:p w:rsidR="000B6B35" w:rsidRPr="000B6B35" w:rsidRDefault="000B6B35" w:rsidP="000B6B35">
            <w:pPr>
              <w:cnfStyle w:val="100000000000" w:firstRow="1" w:lastRow="0" w:firstColumn="0" w:lastColumn="0" w:oddVBand="0" w:evenVBand="0" w:oddHBand="0" w:evenHBand="0" w:firstRowFirstColumn="0" w:firstRowLastColumn="0" w:lastRowFirstColumn="0" w:lastRowLastColumn="0"/>
            </w:pPr>
            <w:r w:rsidRPr="000B6B35">
              <w:t>2017–18</w:t>
            </w:r>
          </w:p>
        </w:tc>
        <w:tc>
          <w:tcPr>
            <w:tcW w:w="919" w:type="dxa"/>
            <w:noWrap/>
            <w:hideMark/>
          </w:tcPr>
          <w:p w:rsidR="000B6B35" w:rsidRPr="000B6B35" w:rsidRDefault="000B6B35" w:rsidP="000B6B35">
            <w:pPr>
              <w:cnfStyle w:val="100000000000" w:firstRow="1" w:lastRow="0" w:firstColumn="0" w:lastColumn="0" w:oddVBand="0" w:evenVBand="0" w:oddHBand="0" w:evenHBand="0" w:firstRowFirstColumn="0" w:firstRowLastColumn="0" w:lastRowFirstColumn="0" w:lastRowLastColumn="0"/>
            </w:pPr>
            <w:r w:rsidRPr="000B6B35">
              <w:t>2018–19</w:t>
            </w:r>
          </w:p>
        </w:tc>
        <w:tc>
          <w:tcPr>
            <w:tcW w:w="918" w:type="dxa"/>
            <w:noWrap/>
            <w:hideMark/>
          </w:tcPr>
          <w:p w:rsidR="000B6B35" w:rsidRPr="000B6B35" w:rsidRDefault="000B6B35" w:rsidP="000B6B35">
            <w:pPr>
              <w:cnfStyle w:val="100000000000" w:firstRow="1" w:lastRow="0" w:firstColumn="0" w:lastColumn="0" w:oddVBand="0" w:evenVBand="0" w:oddHBand="0" w:evenHBand="0" w:firstRowFirstColumn="0" w:firstRowLastColumn="0" w:lastRowFirstColumn="0" w:lastRowLastColumn="0"/>
            </w:pPr>
            <w:r w:rsidRPr="000B6B35">
              <w:t>2019–20</w:t>
            </w:r>
          </w:p>
        </w:tc>
        <w:tc>
          <w:tcPr>
            <w:tcW w:w="919" w:type="dxa"/>
            <w:noWrap/>
            <w:hideMark/>
          </w:tcPr>
          <w:p w:rsidR="000B6B35" w:rsidRPr="000B6B35" w:rsidRDefault="000B6B35" w:rsidP="000B6B35">
            <w:pPr>
              <w:cnfStyle w:val="100000000000" w:firstRow="1" w:lastRow="0" w:firstColumn="0" w:lastColumn="0" w:oddVBand="0" w:evenVBand="0" w:oddHBand="0" w:evenHBand="0" w:firstRowFirstColumn="0" w:firstRowLastColumn="0" w:lastRowFirstColumn="0" w:lastRowLastColumn="0"/>
            </w:pPr>
            <w:r w:rsidRPr="000B6B35">
              <w:t>2020–21</w:t>
            </w:r>
          </w:p>
        </w:tc>
        <w:tc>
          <w:tcPr>
            <w:tcW w:w="918" w:type="dxa"/>
            <w:noWrap/>
            <w:hideMark/>
          </w:tcPr>
          <w:p w:rsidR="000B6B35" w:rsidRPr="000B6B35" w:rsidRDefault="000B6B35" w:rsidP="000B6B35">
            <w:pPr>
              <w:cnfStyle w:val="100000000000" w:firstRow="1" w:lastRow="0" w:firstColumn="0" w:lastColumn="0" w:oddVBand="0" w:evenVBand="0" w:oddHBand="0" w:evenHBand="0" w:firstRowFirstColumn="0" w:firstRowLastColumn="0" w:lastRowFirstColumn="0" w:lastRowLastColumn="0"/>
            </w:pPr>
            <w:r w:rsidRPr="000B6B35">
              <w:t>2021–22</w:t>
            </w:r>
          </w:p>
        </w:tc>
        <w:tc>
          <w:tcPr>
            <w:tcW w:w="919" w:type="dxa"/>
            <w:noWrap/>
            <w:hideMark/>
          </w:tcPr>
          <w:p w:rsidR="000B6B35" w:rsidRPr="000B6B35" w:rsidRDefault="000B6B35" w:rsidP="000B6B35">
            <w:pPr>
              <w:cnfStyle w:val="100000000000" w:firstRow="1" w:lastRow="0" w:firstColumn="0" w:lastColumn="0" w:oddVBand="0" w:evenVBand="0" w:oddHBand="0" w:evenHBand="0" w:firstRowFirstColumn="0" w:firstRowLastColumn="0" w:lastRowFirstColumn="0" w:lastRowLastColumn="0"/>
            </w:pPr>
            <w:r w:rsidRPr="000B6B35">
              <w:t>Total</w:t>
            </w:r>
          </w:p>
        </w:tc>
      </w:tr>
      <w:tr w:rsidR="00993F65" w:rsidRPr="00DD1300" w:rsidTr="00527C7A">
        <w:trPr>
          <w:trHeight w:val="275"/>
        </w:trPr>
        <w:tc>
          <w:tcPr>
            <w:cnfStyle w:val="001000000000" w:firstRow="0" w:lastRow="0" w:firstColumn="1" w:lastColumn="0" w:oddVBand="0" w:evenVBand="0" w:oddHBand="0" w:evenHBand="0" w:firstRowFirstColumn="0" w:firstRowLastColumn="0" w:lastRowFirstColumn="0" w:lastRowLastColumn="0"/>
            <w:tcW w:w="3369" w:type="dxa"/>
            <w:noWrap/>
            <w:hideMark/>
          </w:tcPr>
          <w:p w:rsidR="00993F65" w:rsidRPr="00993F65" w:rsidRDefault="00993F65" w:rsidP="00993F65">
            <w:r w:rsidRPr="00993F65">
              <w:t>Return on capital</w:t>
            </w:r>
          </w:p>
        </w:tc>
        <w:tc>
          <w:tcPr>
            <w:tcW w:w="918" w:type="dxa"/>
            <w:noWrap/>
            <w:vAlign w:val="bottom"/>
          </w:tcPr>
          <w:p w:rsidR="00993F65" w:rsidRPr="00993F65" w:rsidRDefault="00993F65" w:rsidP="00993F65">
            <w:pPr>
              <w:cnfStyle w:val="000000000000" w:firstRow="0" w:lastRow="0" w:firstColumn="0" w:lastColumn="0" w:oddVBand="0" w:evenVBand="0" w:oddHBand="0" w:evenHBand="0" w:firstRowFirstColumn="0" w:firstRowLastColumn="0" w:lastRowFirstColumn="0" w:lastRowLastColumn="0"/>
            </w:pPr>
            <w:r w:rsidRPr="00993F65">
              <w:t>392.3</w:t>
            </w:r>
          </w:p>
        </w:tc>
        <w:tc>
          <w:tcPr>
            <w:tcW w:w="919" w:type="dxa"/>
            <w:noWrap/>
            <w:vAlign w:val="bottom"/>
          </w:tcPr>
          <w:p w:rsidR="00993F65" w:rsidRPr="00993F65" w:rsidRDefault="00993F65" w:rsidP="00993F65">
            <w:pPr>
              <w:cnfStyle w:val="000000000000" w:firstRow="0" w:lastRow="0" w:firstColumn="0" w:lastColumn="0" w:oddVBand="0" w:evenVBand="0" w:oddHBand="0" w:evenHBand="0" w:firstRowFirstColumn="0" w:firstRowLastColumn="0" w:lastRowFirstColumn="0" w:lastRowLastColumn="0"/>
            </w:pPr>
            <w:r w:rsidRPr="00993F65">
              <w:t>396.1</w:t>
            </w:r>
          </w:p>
        </w:tc>
        <w:tc>
          <w:tcPr>
            <w:tcW w:w="918" w:type="dxa"/>
            <w:noWrap/>
            <w:vAlign w:val="bottom"/>
          </w:tcPr>
          <w:p w:rsidR="00993F65" w:rsidRPr="00993F65" w:rsidRDefault="00993F65" w:rsidP="00993F65">
            <w:pPr>
              <w:cnfStyle w:val="000000000000" w:firstRow="0" w:lastRow="0" w:firstColumn="0" w:lastColumn="0" w:oddVBand="0" w:evenVBand="0" w:oddHBand="0" w:evenHBand="0" w:firstRowFirstColumn="0" w:firstRowLastColumn="0" w:lastRowFirstColumn="0" w:lastRowLastColumn="0"/>
            </w:pPr>
            <w:r w:rsidRPr="00993F65">
              <w:t>399.3</w:t>
            </w:r>
          </w:p>
        </w:tc>
        <w:tc>
          <w:tcPr>
            <w:tcW w:w="919" w:type="dxa"/>
            <w:noWrap/>
            <w:vAlign w:val="bottom"/>
          </w:tcPr>
          <w:p w:rsidR="00993F65" w:rsidRPr="00993F65" w:rsidRDefault="00993F65" w:rsidP="00993F65">
            <w:pPr>
              <w:cnfStyle w:val="000000000000" w:firstRow="0" w:lastRow="0" w:firstColumn="0" w:lastColumn="0" w:oddVBand="0" w:evenVBand="0" w:oddHBand="0" w:evenHBand="0" w:firstRowFirstColumn="0" w:firstRowLastColumn="0" w:lastRowFirstColumn="0" w:lastRowLastColumn="0"/>
            </w:pPr>
            <w:r w:rsidRPr="00993F65">
              <w:t>401.8</w:t>
            </w:r>
          </w:p>
        </w:tc>
        <w:tc>
          <w:tcPr>
            <w:tcW w:w="918" w:type="dxa"/>
            <w:noWrap/>
            <w:vAlign w:val="bottom"/>
          </w:tcPr>
          <w:p w:rsidR="00993F65" w:rsidRPr="00993F65" w:rsidRDefault="00993F65" w:rsidP="00993F65">
            <w:pPr>
              <w:cnfStyle w:val="000000000000" w:firstRow="0" w:lastRow="0" w:firstColumn="0" w:lastColumn="0" w:oddVBand="0" w:evenVBand="0" w:oddHBand="0" w:evenHBand="0" w:firstRowFirstColumn="0" w:firstRowLastColumn="0" w:lastRowFirstColumn="0" w:lastRowLastColumn="0"/>
            </w:pPr>
            <w:r w:rsidRPr="00993F65">
              <w:t>404.0</w:t>
            </w:r>
          </w:p>
        </w:tc>
        <w:tc>
          <w:tcPr>
            <w:tcW w:w="919" w:type="dxa"/>
            <w:noWrap/>
            <w:vAlign w:val="bottom"/>
          </w:tcPr>
          <w:p w:rsidR="00993F65" w:rsidRPr="00993F65" w:rsidRDefault="00993F65" w:rsidP="00993F65">
            <w:pPr>
              <w:cnfStyle w:val="000000000000" w:firstRow="0" w:lastRow="0" w:firstColumn="0" w:lastColumn="0" w:oddVBand="0" w:evenVBand="0" w:oddHBand="0" w:evenHBand="0" w:firstRowFirstColumn="0" w:firstRowLastColumn="0" w:lastRowFirstColumn="0" w:lastRowLastColumn="0"/>
            </w:pPr>
            <w:r w:rsidRPr="00993F65">
              <w:t>1993.5</w:t>
            </w:r>
          </w:p>
        </w:tc>
      </w:tr>
      <w:tr w:rsidR="00993F65" w:rsidRPr="00DD1300" w:rsidTr="00527C7A">
        <w:trPr>
          <w:cnfStyle w:val="000000010000" w:firstRow="0" w:lastRow="0" w:firstColumn="0" w:lastColumn="0" w:oddVBand="0" w:evenVBand="0" w:oddHBand="0" w:evenHBand="1"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3369" w:type="dxa"/>
            <w:noWrap/>
            <w:hideMark/>
          </w:tcPr>
          <w:p w:rsidR="00993F65" w:rsidRPr="00993F65" w:rsidRDefault="00993F65" w:rsidP="00993F65">
            <w:r w:rsidRPr="00993F65">
              <w:t xml:space="preserve">Regulatory </w:t>
            </w:r>
            <w:proofErr w:type="spellStart"/>
            <w:r w:rsidRPr="00993F65">
              <w:t>depreciation</w:t>
            </w:r>
            <w:r w:rsidRPr="00993F65">
              <w:rPr>
                <w:rStyle w:val="AERsuperscript"/>
              </w:rPr>
              <w:t>a</w:t>
            </w:r>
            <w:proofErr w:type="spellEnd"/>
          </w:p>
        </w:tc>
        <w:tc>
          <w:tcPr>
            <w:tcW w:w="918" w:type="dxa"/>
            <w:noWrap/>
            <w:vAlign w:val="bottom"/>
          </w:tcPr>
          <w:p w:rsidR="00993F65" w:rsidRPr="00993F65" w:rsidRDefault="00993F65" w:rsidP="00993F65">
            <w:pPr>
              <w:cnfStyle w:val="000000010000" w:firstRow="0" w:lastRow="0" w:firstColumn="0" w:lastColumn="0" w:oddVBand="0" w:evenVBand="0" w:oddHBand="0" w:evenHBand="1" w:firstRowFirstColumn="0" w:firstRowLastColumn="0" w:lastRowFirstColumn="0" w:lastRowLastColumn="0"/>
            </w:pPr>
            <w:r w:rsidRPr="00993F65">
              <w:t>93.4</w:t>
            </w:r>
          </w:p>
        </w:tc>
        <w:tc>
          <w:tcPr>
            <w:tcW w:w="919" w:type="dxa"/>
            <w:noWrap/>
            <w:vAlign w:val="bottom"/>
          </w:tcPr>
          <w:p w:rsidR="00993F65" w:rsidRPr="00993F65" w:rsidRDefault="00993F65" w:rsidP="00993F65">
            <w:pPr>
              <w:cnfStyle w:val="000000010000" w:firstRow="0" w:lastRow="0" w:firstColumn="0" w:lastColumn="0" w:oddVBand="0" w:evenVBand="0" w:oddHBand="0" w:evenHBand="1" w:firstRowFirstColumn="0" w:firstRowLastColumn="0" w:lastRowFirstColumn="0" w:lastRowLastColumn="0"/>
            </w:pPr>
            <w:r w:rsidRPr="00993F65">
              <w:t>108.2</w:t>
            </w:r>
          </w:p>
        </w:tc>
        <w:tc>
          <w:tcPr>
            <w:tcW w:w="918" w:type="dxa"/>
            <w:noWrap/>
            <w:vAlign w:val="bottom"/>
          </w:tcPr>
          <w:p w:rsidR="00993F65" w:rsidRPr="00993F65" w:rsidRDefault="00993F65" w:rsidP="00993F65">
            <w:pPr>
              <w:cnfStyle w:val="000000010000" w:firstRow="0" w:lastRow="0" w:firstColumn="0" w:lastColumn="0" w:oddVBand="0" w:evenVBand="0" w:oddHBand="0" w:evenHBand="1" w:firstRowFirstColumn="0" w:firstRowLastColumn="0" w:lastRowFirstColumn="0" w:lastRowLastColumn="0"/>
            </w:pPr>
            <w:r w:rsidRPr="00993F65">
              <w:t>125.1</w:t>
            </w:r>
          </w:p>
        </w:tc>
        <w:tc>
          <w:tcPr>
            <w:tcW w:w="919" w:type="dxa"/>
            <w:noWrap/>
            <w:vAlign w:val="bottom"/>
          </w:tcPr>
          <w:p w:rsidR="00993F65" w:rsidRPr="00993F65" w:rsidRDefault="00993F65" w:rsidP="00993F65">
            <w:pPr>
              <w:cnfStyle w:val="000000010000" w:firstRow="0" w:lastRow="0" w:firstColumn="0" w:lastColumn="0" w:oddVBand="0" w:evenVBand="0" w:oddHBand="0" w:evenHBand="1" w:firstRowFirstColumn="0" w:firstRowLastColumn="0" w:lastRowFirstColumn="0" w:lastRowLastColumn="0"/>
            </w:pPr>
            <w:r w:rsidRPr="00993F65">
              <w:t>136.6</w:t>
            </w:r>
          </w:p>
        </w:tc>
        <w:tc>
          <w:tcPr>
            <w:tcW w:w="918" w:type="dxa"/>
            <w:noWrap/>
            <w:vAlign w:val="bottom"/>
          </w:tcPr>
          <w:p w:rsidR="00993F65" w:rsidRPr="00993F65" w:rsidRDefault="00993F65" w:rsidP="00993F65">
            <w:pPr>
              <w:cnfStyle w:val="000000010000" w:firstRow="0" w:lastRow="0" w:firstColumn="0" w:lastColumn="0" w:oddVBand="0" w:evenVBand="0" w:oddHBand="0" w:evenHBand="1" w:firstRowFirstColumn="0" w:firstRowLastColumn="0" w:lastRowFirstColumn="0" w:lastRowLastColumn="0"/>
            </w:pPr>
            <w:r w:rsidRPr="00993F65">
              <w:t>142.5</w:t>
            </w:r>
          </w:p>
        </w:tc>
        <w:tc>
          <w:tcPr>
            <w:tcW w:w="919" w:type="dxa"/>
            <w:noWrap/>
            <w:vAlign w:val="bottom"/>
          </w:tcPr>
          <w:p w:rsidR="00993F65" w:rsidRPr="00993F65" w:rsidRDefault="00993F65" w:rsidP="00993F65">
            <w:pPr>
              <w:cnfStyle w:val="000000010000" w:firstRow="0" w:lastRow="0" w:firstColumn="0" w:lastColumn="0" w:oddVBand="0" w:evenVBand="0" w:oddHBand="0" w:evenHBand="1" w:firstRowFirstColumn="0" w:firstRowLastColumn="0" w:lastRowFirstColumn="0" w:lastRowLastColumn="0"/>
            </w:pPr>
            <w:r w:rsidRPr="00993F65">
              <w:t>605.8</w:t>
            </w:r>
          </w:p>
        </w:tc>
      </w:tr>
      <w:tr w:rsidR="00993F65" w:rsidRPr="00DD1300" w:rsidTr="00527C7A">
        <w:trPr>
          <w:trHeight w:val="275"/>
        </w:trPr>
        <w:tc>
          <w:tcPr>
            <w:cnfStyle w:val="001000000000" w:firstRow="0" w:lastRow="0" w:firstColumn="1" w:lastColumn="0" w:oddVBand="0" w:evenVBand="0" w:oddHBand="0" w:evenHBand="0" w:firstRowFirstColumn="0" w:firstRowLastColumn="0" w:lastRowFirstColumn="0" w:lastRowLastColumn="0"/>
            <w:tcW w:w="3369" w:type="dxa"/>
            <w:noWrap/>
            <w:hideMark/>
          </w:tcPr>
          <w:p w:rsidR="00993F65" w:rsidRPr="00993F65" w:rsidRDefault="00993F65" w:rsidP="00993F65">
            <w:r w:rsidRPr="00993F65">
              <w:t xml:space="preserve">Operating </w:t>
            </w:r>
            <w:proofErr w:type="spellStart"/>
            <w:r w:rsidRPr="00993F65">
              <w:t>expenditure</w:t>
            </w:r>
            <w:r w:rsidRPr="00993F65">
              <w:rPr>
                <w:rStyle w:val="AERsuperscript"/>
              </w:rPr>
              <w:t>b</w:t>
            </w:r>
            <w:proofErr w:type="spellEnd"/>
          </w:p>
        </w:tc>
        <w:tc>
          <w:tcPr>
            <w:tcW w:w="918" w:type="dxa"/>
            <w:noWrap/>
            <w:vAlign w:val="bottom"/>
          </w:tcPr>
          <w:p w:rsidR="00993F65" w:rsidRPr="00993F65" w:rsidRDefault="00993F65" w:rsidP="00993F65">
            <w:pPr>
              <w:cnfStyle w:val="000000000000" w:firstRow="0" w:lastRow="0" w:firstColumn="0" w:lastColumn="0" w:oddVBand="0" w:evenVBand="0" w:oddHBand="0" w:evenHBand="0" w:firstRowFirstColumn="0" w:firstRowLastColumn="0" w:lastRowFirstColumn="0" w:lastRowLastColumn="0"/>
            </w:pPr>
            <w:r w:rsidRPr="00993F65">
              <w:t>201.7</w:t>
            </w:r>
          </w:p>
        </w:tc>
        <w:tc>
          <w:tcPr>
            <w:tcW w:w="919" w:type="dxa"/>
            <w:noWrap/>
            <w:vAlign w:val="bottom"/>
          </w:tcPr>
          <w:p w:rsidR="00993F65" w:rsidRPr="00993F65" w:rsidRDefault="00993F65" w:rsidP="00993F65">
            <w:pPr>
              <w:cnfStyle w:val="000000000000" w:firstRow="0" w:lastRow="0" w:firstColumn="0" w:lastColumn="0" w:oddVBand="0" w:evenVBand="0" w:oddHBand="0" w:evenHBand="0" w:firstRowFirstColumn="0" w:firstRowLastColumn="0" w:lastRowFirstColumn="0" w:lastRowLastColumn="0"/>
            </w:pPr>
            <w:r w:rsidRPr="00993F65">
              <w:t>205.8</w:t>
            </w:r>
          </w:p>
        </w:tc>
        <w:tc>
          <w:tcPr>
            <w:tcW w:w="918" w:type="dxa"/>
            <w:noWrap/>
            <w:vAlign w:val="bottom"/>
          </w:tcPr>
          <w:p w:rsidR="00993F65" w:rsidRPr="00993F65" w:rsidRDefault="00993F65" w:rsidP="00993F65">
            <w:pPr>
              <w:cnfStyle w:val="000000000000" w:firstRow="0" w:lastRow="0" w:firstColumn="0" w:lastColumn="0" w:oddVBand="0" w:evenVBand="0" w:oddHBand="0" w:evenHBand="0" w:firstRowFirstColumn="0" w:firstRowLastColumn="0" w:lastRowFirstColumn="0" w:lastRowLastColumn="0"/>
            </w:pPr>
            <w:r w:rsidRPr="00993F65">
              <w:t>209.8</w:t>
            </w:r>
          </w:p>
        </w:tc>
        <w:tc>
          <w:tcPr>
            <w:tcW w:w="919" w:type="dxa"/>
            <w:noWrap/>
            <w:vAlign w:val="bottom"/>
          </w:tcPr>
          <w:p w:rsidR="00993F65" w:rsidRPr="00993F65" w:rsidRDefault="00993F65" w:rsidP="00993F65">
            <w:pPr>
              <w:cnfStyle w:val="000000000000" w:firstRow="0" w:lastRow="0" w:firstColumn="0" w:lastColumn="0" w:oddVBand="0" w:evenVBand="0" w:oddHBand="0" w:evenHBand="0" w:firstRowFirstColumn="0" w:firstRowLastColumn="0" w:lastRowFirstColumn="0" w:lastRowLastColumn="0"/>
            </w:pPr>
            <w:r w:rsidRPr="00993F65">
              <w:t>214.2</w:t>
            </w:r>
          </w:p>
        </w:tc>
        <w:tc>
          <w:tcPr>
            <w:tcW w:w="918" w:type="dxa"/>
            <w:noWrap/>
            <w:vAlign w:val="bottom"/>
          </w:tcPr>
          <w:p w:rsidR="00993F65" w:rsidRPr="00993F65" w:rsidRDefault="00993F65" w:rsidP="00993F65">
            <w:pPr>
              <w:cnfStyle w:val="000000000000" w:firstRow="0" w:lastRow="0" w:firstColumn="0" w:lastColumn="0" w:oddVBand="0" w:evenVBand="0" w:oddHBand="0" w:evenHBand="0" w:firstRowFirstColumn="0" w:firstRowLastColumn="0" w:lastRowFirstColumn="0" w:lastRowLastColumn="0"/>
            </w:pPr>
            <w:r w:rsidRPr="00993F65">
              <w:t>219.3</w:t>
            </w:r>
          </w:p>
        </w:tc>
        <w:tc>
          <w:tcPr>
            <w:tcW w:w="919" w:type="dxa"/>
            <w:noWrap/>
            <w:vAlign w:val="bottom"/>
          </w:tcPr>
          <w:p w:rsidR="00993F65" w:rsidRPr="00993F65" w:rsidRDefault="00993F65" w:rsidP="00993F65">
            <w:pPr>
              <w:cnfStyle w:val="000000000000" w:firstRow="0" w:lastRow="0" w:firstColumn="0" w:lastColumn="0" w:oddVBand="0" w:evenVBand="0" w:oddHBand="0" w:evenHBand="0" w:firstRowFirstColumn="0" w:firstRowLastColumn="0" w:lastRowFirstColumn="0" w:lastRowLastColumn="0"/>
            </w:pPr>
            <w:r w:rsidRPr="00993F65">
              <w:t>1050.7</w:t>
            </w:r>
          </w:p>
        </w:tc>
      </w:tr>
      <w:tr w:rsidR="00993F65" w:rsidRPr="00DD1300" w:rsidTr="00527C7A">
        <w:trPr>
          <w:cnfStyle w:val="000000010000" w:firstRow="0" w:lastRow="0" w:firstColumn="0" w:lastColumn="0" w:oddVBand="0" w:evenVBand="0" w:oddHBand="0" w:evenHBand="1"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3369" w:type="dxa"/>
            <w:noWrap/>
            <w:hideMark/>
          </w:tcPr>
          <w:p w:rsidR="00993F65" w:rsidRPr="00993F65" w:rsidRDefault="00993F65" w:rsidP="00993F65">
            <w:r w:rsidRPr="00993F65">
              <w:t xml:space="preserve">Revenue </w:t>
            </w:r>
            <w:proofErr w:type="spellStart"/>
            <w:r w:rsidRPr="00993F65">
              <w:t>adjustments</w:t>
            </w:r>
            <w:r w:rsidRPr="00993F65">
              <w:rPr>
                <w:rStyle w:val="AERsuperscript"/>
              </w:rPr>
              <w:t>c</w:t>
            </w:r>
            <w:proofErr w:type="spellEnd"/>
          </w:p>
        </w:tc>
        <w:tc>
          <w:tcPr>
            <w:tcW w:w="918" w:type="dxa"/>
            <w:noWrap/>
            <w:vAlign w:val="bottom"/>
          </w:tcPr>
          <w:p w:rsidR="00993F65" w:rsidRPr="00993F65" w:rsidRDefault="00993F65" w:rsidP="00993F65">
            <w:pPr>
              <w:cnfStyle w:val="000000010000" w:firstRow="0" w:lastRow="0" w:firstColumn="0" w:lastColumn="0" w:oddVBand="0" w:evenVBand="0" w:oddHBand="0" w:evenHBand="1" w:firstRowFirstColumn="0" w:firstRowLastColumn="0" w:lastRowFirstColumn="0" w:lastRowLastColumn="0"/>
            </w:pPr>
            <w:r>
              <w:t>–</w:t>
            </w:r>
            <w:r w:rsidRPr="00993F65">
              <w:t>0.8</w:t>
            </w:r>
          </w:p>
        </w:tc>
        <w:tc>
          <w:tcPr>
            <w:tcW w:w="919" w:type="dxa"/>
            <w:noWrap/>
            <w:vAlign w:val="bottom"/>
          </w:tcPr>
          <w:p w:rsidR="00993F65" w:rsidRPr="00993F65" w:rsidRDefault="00993F65" w:rsidP="00993F65">
            <w:pPr>
              <w:cnfStyle w:val="000000010000" w:firstRow="0" w:lastRow="0" w:firstColumn="0" w:lastColumn="0" w:oddVBand="0" w:evenVBand="0" w:oddHBand="0" w:evenHBand="1" w:firstRowFirstColumn="0" w:firstRowLastColumn="0" w:lastRowFirstColumn="0" w:lastRowLastColumn="0"/>
            </w:pPr>
            <w:r>
              <w:t>–</w:t>
            </w:r>
            <w:r w:rsidRPr="00993F65">
              <w:t>7.1</w:t>
            </w:r>
          </w:p>
        </w:tc>
        <w:tc>
          <w:tcPr>
            <w:tcW w:w="918" w:type="dxa"/>
            <w:noWrap/>
            <w:vAlign w:val="bottom"/>
          </w:tcPr>
          <w:p w:rsidR="00993F65" w:rsidRPr="00993F65" w:rsidRDefault="00993F65" w:rsidP="00993F65">
            <w:pPr>
              <w:cnfStyle w:val="000000010000" w:firstRow="0" w:lastRow="0" w:firstColumn="0" w:lastColumn="0" w:oddVBand="0" w:evenVBand="0" w:oddHBand="0" w:evenHBand="1" w:firstRowFirstColumn="0" w:firstRowLastColumn="0" w:lastRowFirstColumn="0" w:lastRowLastColumn="0"/>
            </w:pPr>
            <w:r>
              <w:t>–</w:t>
            </w:r>
            <w:r w:rsidRPr="00993F65">
              <w:t>3.2</w:t>
            </w:r>
          </w:p>
        </w:tc>
        <w:tc>
          <w:tcPr>
            <w:tcW w:w="919" w:type="dxa"/>
            <w:noWrap/>
            <w:vAlign w:val="bottom"/>
          </w:tcPr>
          <w:p w:rsidR="00993F65" w:rsidRPr="00993F65" w:rsidRDefault="00993F65" w:rsidP="00993F65">
            <w:pPr>
              <w:cnfStyle w:val="000000010000" w:firstRow="0" w:lastRow="0" w:firstColumn="0" w:lastColumn="0" w:oddVBand="0" w:evenVBand="0" w:oddHBand="0" w:evenHBand="1" w:firstRowFirstColumn="0" w:firstRowLastColumn="0" w:lastRowFirstColumn="0" w:lastRowLastColumn="0"/>
            </w:pPr>
            <w:r w:rsidRPr="00993F65">
              <w:t>3.0</w:t>
            </w:r>
          </w:p>
        </w:tc>
        <w:tc>
          <w:tcPr>
            <w:tcW w:w="918" w:type="dxa"/>
            <w:noWrap/>
            <w:vAlign w:val="bottom"/>
          </w:tcPr>
          <w:p w:rsidR="00993F65" w:rsidRPr="00993F65" w:rsidRDefault="00993F65" w:rsidP="00993F65">
            <w:pPr>
              <w:cnfStyle w:val="000000010000" w:firstRow="0" w:lastRow="0" w:firstColumn="0" w:lastColumn="0" w:oddVBand="0" w:evenVBand="0" w:oddHBand="0" w:evenHBand="1" w:firstRowFirstColumn="0" w:firstRowLastColumn="0" w:lastRowFirstColumn="0" w:lastRowLastColumn="0"/>
            </w:pPr>
            <w:r w:rsidRPr="00993F65">
              <w:t>0.0</w:t>
            </w:r>
          </w:p>
        </w:tc>
        <w:tc>
          <w:tcPr>
            <w:tcW w:w="919" w:type="dxa"/>
            <w:noWrap/>
            <w:vAlign w:val="bottom"/>
          </w:tcPr>
          <w:p w:rsidR="00993F65" w:rsidRPr="00993F65" w:rsidRDefault="00993F65" w:rsidP="00993F65">
            <w:pPr>
              <w:cnfStyle w:val="000000010000" w:firstRow="0" w:lastRow="0" w:firstColumn="0" w:lastColumn="0" w:oddVBand="0" w:evenVBand="0" w:oddHBand="0" w:evenHBand="1" w:firstRowFirstColumn="0" w:firstRowLastColumn="0" w:lastRowFirstColumn="0" w:lastRowLastColumn="0"/>
            </w:pPr>
            <w:r w:rsidRPr="00993F65">
              <w:t>–8.1</w:t>
            </w:r>
          </w:p>
        </w:tc>
      </w:tr>
      <w:tr w:rsidR="00993F65" w:rsidRPr="00DD1300" w:rsidTr="00527C7A">
        <w:trPr>
          <w:trHeight w:val="275"/>
        </w:trPr>
        <w:tc>
          <w:tcPr>
            <w:cnfStyle w:val="001000000000" w:firstRow="0" w:lastRow="0" w:firstColumn="1" w:lastColumn="0" w:oddVBand="0" w:evenVBand="0" w:oddHBand="0" w:evenHBand="0" w:firstRowFirstColumn="0" w:firstRowLastColumn="0" w:lastRowFirstColumn="0" w:lastRowLastColumn="0"/>
            <w:tcW w:w="3369" w:type="dxa"/>
            <w:noWrap/>
            <w:hideMark/>
          </w:tcPr>
          <w:p w:rsidR="00993F65" w:rsidRPr="00993F65" w:rsidRDefault="00993F65" w:rsidP="00993F65">
            <w:r w:rsidRPr="00993F65">
              <w:t>Net tax allowance</w:t>
            </w:r>
          </w:p>
        </w:tc>
        <w:tc>
          <w:tcPr>
            <w:tcW w:w="918" w:type="dxa"/>
            <w:noWrap/>
            <w:vAlign w:val="bottom"/>
          </w:tcPr>
          <w:p w:rsidR="00993F65" w:rsidRPr="00993F65" w:rsidRDefault="00993F65" w:rsidP="00993F65">
            <w:pPr>
              <w:cnfStyle w:val="000000000000" w:firstRow="0" w:lastRow="0" w:firstColumn="0" w:lastColumn="0" w:oddVBand="0" w:evenVBand="0" w:oddHBand="0" w:evenHBand="0" w:firstRowFirstColumn="0" w:firstRowLastColumn="0" w:lastRowFirstColumn="0" w:lastRowLastColumn="0"/>
            </w:pPr>
            <w:r w:rsidRPr="00993F65">
              <w:t>11.7</w:t>
            </w:r>
          </w:p>
        </w:tc>
        <w:tc>
          <w:tcPr>
            <w:tcW w:w="919" w:type="dxa"/>
            <w:noWrap/>
            <w:vAlign w:val="bottom"/>
          </w:tcPr>
          <w:p w:rsidR="00993F65" w:rsidRPr="00993F65" w:rsidRDefault="00993F65" w:rsidP="00993F65">
            <w:pPr>
              <w:cnfStyle w:val="000000000000" w:firstRow="0" w:lastRow="0" w:firstColumn="0" w:lastColumn="0" w:oddVBand="0" w:evenVBand="0" w:oddHBand="0" w:evenHBand="0" w:firstRowFirstColumn="0" w:firstRowLastColumn="0" w:lastRowFirstColumn="0" w:lastRowLastColumn="0"/>
            </w:pPr>
            <w:r w:rsidRPr="00993F65">
              <w:t>14.2</w:t>
            </w:r>
          </w:p>
        </w:tc>
        <w:tc>
          <w:tcPr>
            <w:tcW w:w="918" w:type="dxa"/>
            <w:noWrap/>
            <w:vAlign w:val="bottom"/>
          </w:tcPr>
          <w:p w:rsidR="00993F65" w:rsidRPr="00993F65" w:rsidRDefault="00993F65" w:rsidP="00993F65">
            <w:pPr>
              <w:cnfStyle w:val="000000000000" w:firstRow="0" w:lastRow="0" w:firstColumn="0" w:lastColumn="0" w:oddVBand="0" w:evenVBand="0" w:oddHBand="0" w:evenHBand="0" w:firstRowFirstColumn="0" w:firstRowLastColumn="0" w:lastRowFirstColumn="0" w:lastRowLastColumn="0"/>
            </w:pPr>
            <w:r w:rsidRPr="00993F65">
              <w:t>17.7</w:t>
            </w:r>
          </w:p>
        </w:tc>
        <w:tc>
          <w:tcPr>
            <w:tcW w:w="919" w:type="dxa"/>
            <w:noWrap/>
            <w:vAlign w:val="bottom"/>
          </w:tcPr>
          <w:p w:rsidR="00993F65" w:rsidRPr="00993F65" w:rsidRDefault="00993F65" w:rsidP="00993F65">
            <w:pPr>
              <w:cnfStyle w:val="000000000000" w:firstRow="0" w:lastRow="0" w:firstColumn="0" w:lastColumn="0" w:oddVBand="0" w:evenVBand="0" w:oddHBand="0" w:evenHBand="0" w:firstRowFirstColumn="0" w:firstRowLastColumn="0" w:lastRowFirstColumn="0" w:lastRowLastColumn="0"/>
            </w:pPr>
            <w:r w:rsidRPr="00993F65">
              <w:t>19.2</w:t>
            </w:r>
          </w:p>
        </w:tc>
        <w:tc>
          <w:tcPr>
            <w:tcW w:w="918" w:type="dxa"/>
            <w:noWrap/>
            <w:vAlign w:val="bottom"/>
          </w:tcPr>
          <w:p w:rsidR="00993F65" w:rsidRPr="00993F65" w:rsidRDefault="00993F65" w:rsidP="00993F65">
            <w:pPr>
              <w:cnfStyle w:val="000000000000" w:firstRow="0" w:lastRow="0" w:firstColumn="0" w:lastColumn="0" w:oddVBand="0" w:evenVBand="0" w:oddHBand="0" w:evenHBand="0" w:firstRowFirstColumn="0" w:firstRowLastColumn="0" w:lastRowFirstColumn="0" w:lastRowLastColumn="0"/>
            </w:pPr>
            <w:r w:rsidRPr="00993F65">
              <w:t>19.3</w:t>
            </w:r>
          </w:p>
        </w:tc>
        <w:tc>
          <w:tcPr>
            <w:tcW w:w="919" w:type="dxa"/>
            <w:noWrap/>
            <w:vAlign w:val="bottom"/>
          </w:tcPr>
          <w:p w:rsidR="00993F65" w:rsidRPr="00993F65" w:rsidRDefault="00993F65" w:rsidP="00993F65">
            <w:pPr>
              <w:cnfStyle w:val="000000000000" w:firstRow="0" w:lastRow="0" w:firstColumn="0" w:lastColumn="0" w:oddVBand="0" w:evenVBand="0" w:oddHBand="0" w:evenHBand="0" w:firstRowFirstColumn="0" w:firstRowLastColumn="0" w:lastRowFirstColumn="0" w:lastRowLastColumn="0"/>
            </w:pPr>
            <w:r w:rsidRPr="00993F65">
              <w:t>82.2</w:t>
            </w:r>
          </w:p>
        </w:tc>
      </w:tr>
      <w:tr w:rsidR="00993F65" w:rsidRPr="00DD1300" w:rsidTr="00527C7A">
        <w:trPr>
          <w:cnfStyle w:val="000000010000" w:firstRow="0" w:lastRow="0" w:firstColumn="0" w:lastColumn="0" w:oddVBand="0" w:evenVBand="0" w:oddHBand="0" w:evenHBand="1"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3369" w:type="dxa"/>
            <w:noWrap/>
            <w:vAlign w:val="bottom"/>
            <w:hideMark/>
          </w:tcPr>
          <w:p w:rsidR="00993F65" w:rsidRPr="00993F65" w:rsidRDefault="00993F65" w:rsidP="00993F65">
            <w:r w:rsidRPr="00993F65">
              <w:t>Annual building block revenue requirement</w:t>
            </w:r>
            <w:r w:rsidRPr="00993F65">
              <w:br/>
              <w:t>(unsmoothed)</w:t>
            </w:r>
            <w:r w:rsidRPr="00993F65">
              <w:rPr>
                <w:rStyle w:val="AERsuperscript"/>
              </w:rPr>
              <w:t>d</w:t>
            </w:r>
          </w:p>
        </w:tc>
        <w:tc>
          <w:tcPr>
            <w:tcW w:w="918" w:type="dxa"/>
            <w:noWrap/>
            <w:vAlign w:val="bottom"/>
          </w:tcPr>
          <w:p w:rsidR="00993F65" w:rsidRPr="00993F65" w:rsidRDefault="00993F65" w:rsidP="00993F65">
            <w:pPr>
              <w:cnfStyle w:val="000000010000" w:firstRow="0" w:lastRow="0" w:firstColumn="0" w:lastColumn="0" w:oddVBand="0" w:evenVBand="0" w:oddHBand="0" w:evenHBand="1" w:firstRowFirstColumn="0" w:firstRowLastColumn="0" w:lastRowFirstColumn="0" w:lastRowLastColumn="0"/>
            </w:pPr>
            <w:r w:rsidRPr="00993F65">
              <w:t>698.3</w:t>
            </w:r>
          </w:p>
        </w:tc>
        <w:tc>
          <w:tcPr>
            <w:tcW w:w="919" w:type="dxa"/>
            <w:noWrap/>
            <w:vAlign w:val="bottom"/>
          </w:tcPr>
          <w:p w:rsidR="00993F65" w:rsidRPr="00993F65" w:rsidRDefault="00993F65" w:rsidP="00993F65">
            <w:pPr>
              <w:cnfStyle w:val="000000010000" w:firstRow="0" w:lastRow="0" w:firstColumn="0" w:lastColumn="0" w:oddVBand="0" w:evenVBand="0" w:oddHBand="0" w:evenHBand="1" w:firstRowFirstColumn="0" w:firstRowLastColumn="0" w:lastRowFirstColumn="0" w:lastRowLastColumn="0"/>
            </w:pPr>
            <w:r w:rsidRPr="00993F65">
              <w:t>717.2</w:t>
            </w:r>
          </w:p>
        </w:tc>
        <w:tc>
          <w:tcPr>
            <w:tcW w:w="918" w:type="dxa"/>
            <w:noWrap/>
            <w:vAlign w:val="bottom"/>
          </w:tcPr>
          <w:p w:rsidR="00993F65" w:rsidRPr="00993F65" w:rsidRDefault="00993F65" w:rsidP="00993F65">
            <w:pPr>
              <w:cnfStyle w:val="000000010000" w:firstRow="0" w:lastRow="0" w:firstColumn="0" w:lastColumn="0" w:oddVBand="0" w:evenVBand="0" w:oddHBand="0" w:evenHBand="1" w:firstRowFirstColumn="0" w:firstRowLastColumn="0" w:lastRowFirstColumn="0" w:lastRowLastColumn="0"/>
            </w:pPr>
            <w:r w:rsidRPr="00993F65">
              <w:t>748.8</w:t>
            </w:r>
          </w:p>
        </w:tc>
        <w:tc>
          <w:tcPr>
            <w:tcW w:w="919" w:type="dxa"/>
            <w:noWrap/>
            <w:vAlign w:val="bottom"/>
          </w:tcPr>
          <w:p w:rsidR="00993F65" w:rsidRPr="00993F65" w:rsidRDefault="00993F65" w:rsidP="00993F65">
            <w:pPr>
              <w:cnfStyle w:val="000000010000" w:firstRow="0" w:lastRow="0" w:firstColumn="0" w:lastColumn="0" w:oddVBand="0" w:evenVBand="0" w:oddHBand="0" w:evenHBand="1" w:firstRowFirstColumn="0" w:firstRowLastColumn="0" w:lastRowFirstColumn="0" w:lastRowLastColumn="0"/>
            </w:pPr>
            <w:r w:rsidRPr="00993F65">
              <w:t>774.8</w:t>
            </w:r>
          </w:p>
        </w:tc>
        <w:tc>
          <w:tcPr>
            <w:tcW w:w="918" w:type="dxa"/>
            <w:noWrap/>
            <w:vAlign w:val="bottom"/>
          </w:tcPr>
          <w:p w:rsidR="00993F65" w:rsidRPr="00993F65" w:rsidRDefault="00993F65" w:rsidP="00993F65">
            <w:pPr>
              <w:cnfStyle w:val="000000010000" w:firstRow="0" w:lastRow="0" w:firstColumn="0" w:lastColumn="0" w:oddVBand="0" w:evenVBand="0" w:oddHBand="0" w:evenHBand="1" w:firstRowFirstColumn="0" w:firstRowLastColumn="0" w:lastRowFirstColumn="0" w:lastRowLastColumn="0"/>
            </w:pPr>
            <w:r w:rsidRPr="00993F65">
              <w:t>785.1</w:t>
            </w:r>
          </w:p>
        </w:tc>
        <w:tc>
          <w:tcPr>
            <w:tcW w:w="919" w:type="dxa"/>
            <w:noWrap/>
            <w:vAlign w:val="bottom"/>
          </w:tcPr>
          <w:p w:rsidR="00993F65" w:rsidRPr="00993F65" w:rsidRDefault="00993F65" w:rsidP="00993F65">
            <w:pPr>
              <w:cnfStyle w:val="000000010000" w:firstRow="0" w:lastRow="0" w:firstColumn="0" w:lastColumn="0" w:oddVBand="0" w:evenVBand="0" w:oddHBand="0" w:evenHBand="1" w:firstRowFirstColumn="0" w:firstRowLastColumn="0" w:lastRowFirstColumn="0" w:lastRowLastColumn="0"/>
            </w:pPr>
            <w:r w:rsidRPr="00993F65">
              <w:t>3724.</w:t>
            </w:r>
            <w:r>
              <w:t>2</w:t>
            </w:r>
          </w:p>
        </w:tc>
      </w:tr>
      <w:tr w:rsidR="00993F65" w:rsidRPr="00527C7A" w:rsidTr="00527C7A">
        <w:trPr>
          <w:trHeight w:val="275"/>
        </w:trPr>
        <w:tc>
          <w:tcPr>
            <w:cnfStyle w:val="001000000000" w:firstRow="0" w:lastRow="0" w:firstColumn="1" w:lastColumn="0" w:oddVBand="0" w:evenVBand="0" w:oddHBand="0" w:evenHBand="0" w:firstRowFirstColumn="0" w:firstRowLastColumn="0" w:lastRowFirstColumn="0" w:lastRowLastColumn="0"/>
            <w:tcW w:w="3369" w:type="dxa"/>
            <w:noWrap/>
            <w:vAlign w:val="bottom"/>
            <w:hideMark/>
          </w:tcPr>
          <w:p w:rsidR="00993F65" w:rsidRPr="00993F65" w:rsidRDefault="00993F65" w:rsidP="00993F65">
            <w:pPr>
              <w:rPr>
                <w:rStyle w:val="Strong"/>
              </w:rPr>
            </w:pPr>
            <w:r w:rsidRPr="00993F65">
              <w:rPr>
                <w:rStyle w:val="Strong"/>
              </w:rPr>
              <w:t>Annual expected MAR (smoothed)</w:t>
            </w:r>
          </w:p>
        </w:tc>
        <w:tc>
          <w:tcPr>
            <w:tcW w:w="918" w:type="dxa"/>
            <w:noWrap/>
            <w:vAlign w:val="bottom"/>
          </w:tcPr>
          <w:p w:rsidR="00993F65" w:rsidRPr="00993F65" w:rsidRDefault="00993F65" w:rsidP="00993F65">
            <w:pPr>
              <w:cnfStyle w:val="000000000000" w:firstRow="0" w:lastRow="0" w:firstColumn="0" w:lastColumn="0" w:oddVBand="0" w:evenVBand="0" w:oddHBand="0" w:evenHBand="0" w:firstRowFirstColumn="0" w:firstRowLastColumn="0" w:lastRowFirstColumn="0" w:lastRowLastColumn="0"/>
              <w:rPr>
                <w:rStyle w:val="Strong"/>
              </w:rPr>
            </w:pPr>
            <w:r w:rsidRPr="00993F65">
              <w:rPr>
                <w:rStyle w:val="Strong"/>
              </w:rPr>
              <w:t>710.8</w:t>
            </w:r>
          </w:p>
        </w:tc>
        <w:tc>
          <w:tcPr>
            <w:tcW w:w="919" w:type="dxa"/>
            <w:noWrap/>
            <w:vAlign w:val="bottom"/>
          </w:tcPr>
          <w:p w:rsidR="00993F65" w:rsidRPr="00993F65" w:rsidRDefault="00993F65" w:rsidP="00993F65">
            <w:pPr>
              <w:cnfStyle w:val="000000000000" w:firstRow="0" w:lastRow="0" w:firstColumn="0" w:lastColumn="0" w:oddVBand="0" w:evenVBand="0" w:oddHBand="0" w:evenHBand="0" w:firstRowFirstColumn="0" w:firstRowLastColumn="0" w:lastRowFirstColumn="0" w:lastRowLastColumn="0"/>
              <w:rPr>
                <w:rStyle w:val="Strong"/>
              </w:rPr>
            </w:pPr>
            <w:r w:rsidRPr="00993F65">
              <w:rPr>
                <w:rStyle w:val="Strong"/>
              </w:rPr>
              <w:t>727.1</w:t>
            </w:r>
          </w:p>
        </w:tc>
        <w:tc>
          <w:tcPr>
            <w:tcW w:w="918" w:type="dxa"/>
            <w:noWrap/>
            <w:vAlign w:val="bottom"/>
          </w:tcPr>
          <w:p w:rsidR="00993F65" w:rsidRPr="00993F65" w:rsidRDefault="00993F65" w:rsidP="00993F65">
            <w:pPr>
              <w:cnfStyle w:val="000000000000" w:firstRow="0" w:lastRow="0" w:firstColumn="0" w:lastColumn="0" w:oddVBand="0" w:evenVBand="0" w:oddHBand="0" w:evenHBand="0" w:firstRowFirstColumn="0" w:firstRowLastColumn="0" w:lastRowFirstColumn="0" w:lastRowLastColumn="0"/>
              <w:rPr>
                <w:rStyle w:val="Strong"/>
              </w:rPr>
            </w:pPr>
            <w:r w:rsidRPr="00993F65">
              <w:rPr>
                <w:rStyle w:val="Strong"/>
              </w:rPr>
              <w:t>743.8</w:t>
            </w:r>
          </w:p>
        </w:tc>
        <w:tc>
          <w:tcPr>
            <w:tcW w:w="919" w:type="dxa"/>
            <w:noWrap/>
            <w:vAlign w:val="bottom"/>
          </w:tcPr>
          <w:p w:rsidR="00993F65" w:rsidRPr="00993F65" w:rsidRDefault="00993F65" w:rsidP="00993F65">
            <w:pPr>
              <w:cnfStyle w:val="000000000000" w:firstRow="0" w:lastRow="0" w:firstColumn="0" w:lastColumn="0" w:oddVBand="0" w:evenVBand="0" w:oddHBand="0" w:evenHBand="0" w:firstRowFirstColumn="0" w:firstRowLastColumn="0" w:lastRowFirstColumn="0" w:lastRowLastColumn="0"/>
              <w:rPr>
                <w:rStyle w:val="Strong"/>
              </w:rPr>
            </w:pPr>
            <w:r w:rsidRPr="00993F65">
              <w:rPr>
                <w:rStyle w:val="Strong"/>
              </w:rPr>
              <w:t>760.9</w:t>
            </w:r>
          </w:p>
        </w:tc>
        <w:tc>
          <w:tcPr>
            <w:tcW w:w="918" w:type="dxa"/>
            <w:noWrap/>
            <w:vAlign w:val="bottom"/>
          </w:tcPr>
          <w:p w:rsidR="00993F65" w:rsidRPr="00993F65" w:rsidRDefault="00993F65" w:rsidP="00993F65">
            <w:pPr>
              <w:cnfStyle w:val="000000000000" w:firstRow="0" w:lastRow="0" w:firstColumn="0" w:lastColumn="0" w:oddVBand="0" w:evenVBand="0" w:oddHBand="0" w:evenHBand="0" w:firstRowFirstColumn="0" w:firstRowLastColumn="0" w:lastRowFirstColumn="0" w:lastRowLastColumn="0"/>
              <w:rPr>
                <w:rStyle w:val="Strong"/>
              </w:rPr>
            </w:pPr>
            <w:r w:rsidRPr="00993F65">
              <w:rPr>
                <w:rStyle w:val="Strong"/>
              </w:rPr>
              <w:t>778.3</w:t>
            </w:r>
          </w:p>
        </w:tc>
        <w:tc>
          <w:tcPr>
            <w:tcW w:w="919" w:type="dxa"/>
            <w:noWrap/>
            <w:vAlign w:val="bottom"/>
          </w:tcPr>
          <w:p w:rsidR="00993F65" w:rsidRPr="00993F65" w:rsidRDefault="00993F65" w:rsidP="00993F65">
            <w:pPr>
              <w:cnfStyle w:val="000000000000" w:firstRow="0" w:lastRow="0" w:firstColumn="0" w:lastColumn="0" w:oddVBand="0" w:evenVBand="0" w:oddHBand="0" w:evenHBand="0" w:firstRowFirstColumn="0" w:firstRowLastColumn="0" w:lastRowFirstColumn="0" w:lastRowLastColumn="0"/>
              <w:rPr>
                <w:rStyle w:val="Strong"/>
              </w:rPr>
            </w:pPr>
            <w:r w:rsidRPr="00993F65">
              <w:rPr>
                <w:rStyle w:val="Strong"/>
              </w:rPr>
              <w:t>3720.8</w:t>
            </w:r>
            <w:r w:rsidRPr="00993F65">
              <w:rPr>
                <w:rStyle w:val="AERsuperscript"/>
              </w:rPr>
              <w:t>c</w:t>
            </w:r>
          </w:p>
        </w:tc>
      </w:tr>
      <w:tr w:rsidR="00527C7A" w:rsidRPr="00DD1300" w:rsidTr="00527C7A">
        <w:trPr>
          <w:cnfStyle w:val="000000010000" w:firstRow="0" w:lastRow="0" w:firstColumn="0" w:lastColumn="0" w:oddVBand="0" w:evenVBand="0" w:oddHBand="0" w:evenHBand="1"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3369" w:type="dxa"/>
            <w:noWrap/>
            <w:hideMark/>
          </w:tcPr>
          <w:p w:rsidR="00527C7A" w:rsidRPr="00527C7A" w:rsidRDefault="00527C7A" w:rsidP="00527C7A">
            <w:r w:rsidRPr="00527C7A">
              <w:t>X factor (%)</w:t>
            </w:r>
            <w:r w:rsidRPr="00527C7A">
              <w:rPr>
                <w:rStyle w:val="AERsuperscript"/>
              </w:rPr>
              <w:t>e</w:t>
            </w:r>
          </w:p>
        </w:tc>
        <w:tc>
          <w:tcPr>
            <w:tcW w:w="918" w:type="dxa"/>
            <w:noWrap/>
          </w:tcPr>
          <w:p w:rsidR="00527C7A" w:rsidRPr="00527C7A" w:rsidRDefault="00527C7A" w:rsidP="00527C7A">
            <w:pPr>
              <w:cnfStyle w:val="000000010000" w:firstRow="0" w:lastRow="0" w:firstColumn="0" w:lastColumn="0" w:oddVBand="0" w:evenVBand="0" w:oddHBand="0" w:evenHBand="1" w:firstRowFirstColumn="0" w:firstRowLastColumn="0" w:lastRowFirstColumn="0" w:lastRowLastColumn="0"/>
              <w:rPr>
                <w:rStyle w:val="AERsuperscript"/>
              </w:rPr>
            </w:pPr>
            <w:r w:rsidRPr="00527C7A">
              <w:t>n/</w:t>
            </w:r>
            <w:proofErr w:type="spellStart"/>
            <w:r w:rsidRPr="00527C7A">
              <w:t>a</w:t>
            </w:r>
            <w:r w:rsidRPr="00527C7A">
              <w:rPr>
                <w:rStyle w:val="AERsuperscript"/>
              </w:rPr>
              <w:t>f</w:t>
            </w:r>
            <w:proofErr w:type="spellEnd"/>
          </w:p>
        </w:tc>
        <w:tc>
          <w:tcPr>
            <w:tcW w:w="919" w:type="dxa"/>
            <w:noWrap/>
            <w:vAlign w:val="bottom"/>
          </w:tcPr>
          <w:p w:rsidR="00527C7A" w:rsidRPr="00527C7A" w:rsidRDefault="00527C7A" w:rsidP="00527C7A">
            <w:pPr>
              <w:cnfStyle w:val="000000010000" w:firstRow="0" w:lastRow="0" w:firstColumn="0" w:lastColumn="0" w:oddVBand="0" w:evenVBand="0" w:oddHBand="0" w:evenHBand="1" w:firstRowFirstColumn="0" w:firstRowLastColumn="0" w:lastRowFirstColumn="0" w:lastRowLastColumn="0"/>
            </w:pPr>
            <w:r w:rsidRPr="00527C7A">
              <w:t>0.15%</w:t>
            </w:r>
          </w:p>
        </w:tc>
        <w:tc>
          <w:tcPr>
            <w:tcW w:w="918" w:type="dxa"/>
            <w:noWrap/>
            <w:vAlign w:val="bottom"/>
          </w:tcPr>
          <w:p w:rsidR="00527C7A" w:rsidRPr="00527C7A" w:rsidRDefault="00527C7A" w:rsidP="00527C7A">
            <w:pPr>
              <w:cnfStyle w:val="000000010000" w:firstRow="0" w:lastRow="0" w:firstColumn="0" w:lastColumn="0" w:oddVBand="0" w:evenVBand="0" w:oddHBand="0" w:evenHBand="1" w:firstRowFirstColumn="0" w:firstRowLastColumn="0" w:lastRowFirstColumn="0" w:lastRowLastColumn="0"/>
            </w:pPr>
            <w:r w:rsidRPr="00527C7A">
              <w:t>0.15%</w:t>
            </w:r>
          </w:p>
        </w:tc>
        <w:tc>
          <w:tcPr>
            <w:tcW w:w="919" w:type="dxa"/>
            <w:noWrap/>
            <w:vAlign w:val="bottom"/>
          </w:tcPr>
          <w:p w:rsidR="00527C7A" w:rsidRPr="00527C7A" w:rsidRDefault="00527C7A" w:rsidP="00527C7A">
            <w:pPr>
              <w:cnfStyle w:val="000000010000" w:firstRow="0" w:lastRow="0" w:firstColumn="0" w:lastColumn="0" w:oddVBand="0" w:evenVBand="0" w:oddHBand="0" w:evenHBand="1" w:firstRowFirstColumn="0" w:firstRowLastColumn="0" w:lastRowFirstColumn="0" w:lastRowLastColumn="0"/>
            </w:pPr>
            <w:r w:rsidRPr="00527C7A">
              <w:t>0.15%</w:t>
            </w:r>
          </w:p>
        </w:tc>
        <w:tc>
          <w:tcPr>
            <w:tcW w:w="918" w:type="dxa"/>
            <w:noWrap/>
            <w:vAlign w:val="bottom"/>
          </w:tcPr>
          <w:p w:rsidR="00527C7A" w:rsidRPr="00527C7A" w:rsidRDefault="00527C7A" w:rsidP="00527C7A">
            <w:pPr>
              <w:cnfStyle w:val="000000010000" w:firstRow="0" w:lastRow="0" w:firstColumn="0" w:lastColumn="0" w:oddVBand="0" w:evenVBand="0" w:oddHBand="0" w:evenHBand="1" w:firstRowFirstColumn="0" w:firstRowLastColumn="0" w:lastRowFirstColumn="0" w:lastRowLastColumn="0"/>
            </w:pPr>
            <w:r w:rsidRPr="00527C7A">
              <w:t>0.15%</w:t>
            </w:r>
          </w:p>
        </w:tc>
        <w:tc>
          <w:tcPr>
            <w:tcW w:w="919" w:type="dxa"/>
            <w:noWrap/>
            <w:vAlign w:val="bottom"/>
          </w:tcPr>
          <w:p w:rsidR="00527C7A" w:rsidRPr="00527C7A" w:rsidRDefault="00527C7A">
            <w:pPr>
              <w:cnfStyle w:val="000000010000" w:firstRow="0" w:lastRow="0" w:firstColumn="0" w:lastColumn="0" w:oddVBand="0" w:evenVBand="0" w:oddHBand="0" w:evenHBand="1" w:firstRowFirstColumn="0" w:firstRowLastColumn="0" w:lastRowFirstColumn="0" w:lastRowLastColumn="0"/>
            </w:pPr>
            <w:r w:rsidRPr="00527C7A">
              <w:t>n/a</w:t>
            </w:r>
          </w:p>
        </w:tc>
      </w:tr>
    </w:tbl>
    <w:p w:rsidR="000B6B35" w:rsidRPr="000B6B35" w:rsidRDefault="000B6B35" w:rsidP="000B6B35">
      <w:pPr>
        <w:pStyle w:val="AERtablesource"/>
      </w:pPr>
      <w:r w:rsidRPr="000B6B35">
        <w:t>Source:</w:t>
      </w:r>
      <w:r w:rsidRPr="000B6B35">
        <w:tab/>
        <w:t>AER analysis.</w:t>
      </w:r>
    </w:p>
    <w:p w:rsidR="000B6B35" w:rsidRPr="000B6B35" w:rsidRDefault="000B6B35" w:rsidP="000B6B35">
      <w:pPr>
        <w:pStyle w:val="AERtablesource"/>
      </w:pPr>
      <w:r w:rsidRPr="000B6B35">
        <w:t>(a)</w:t>
      </w:r>
      <w:r w:rsidRPr="000B6B35">
        <w:tab/>
        <w:t>Regulatory depreciation is straight-line depreciation net of the inflation indexation on the opening RAB.</w:t>
      </w:r>
    </w:p>
    <w:p w:rsidR="007B4A42" w:rsidRDefault="000B6B35" w:rsidP="000B6B35">
      <w:pPr>
        <w:pStyle w:val="AERtablesource"/>
      </w:pPr>
      <w:r w:rsidRPr="000B6B35">
        <w:t>(b)</w:t>
      </w:r>
      <w:r w:rsidRPr="000B6B35">
        <w:tab/>
      </w:r>
      <w:r w:rsidR="007B4A42">
        <w:t>Operating expenditure includes debt raising costs</w:t>
      </w:r>
      <w:r w:rsidR="00E70870">
        <w:t>.</w:t>
      </w:r>
    </w:p>
    <w:p w:rsidR="000B6B35" w:rsidRPr="000B6B35" w:rsidRDefault="007B4A42" w:rsidP="000B6B35">
      <w:pPr>
        <w:pStyle w:val="AERtablesource"/>
      </w:pPr>
      <w:r>
        <w:t>(c)</w:t>
      </w:r>
      <w:r>
        <w:tab/>
      </w:r>
      <w:r w:rsidR="000B6B35" w:rsidRPr="000B6B35">
        <w:t>Includes efficiency benefit sharing scheme</w:t>
      </w:r>
      <w:r w:rsidR="00B247BA">
        <w:t xml:space="preserve"> amounts</w:t>
      </w:r>
      <w:r w:rsidR="000B6B35" w:rsidRPr="000B6B35">
        <w:t>.</w:t>
      </w:r>
    </w:p>
    <w:p w:rsidR="000B6B35" w:rsidRPr="000B6B35" w:rsidRDefault="000B6B35" w:rsidP="000B6B35">
      <w:pPr>
        <w:pStyle w:val="AERtablesource"/>
      </w:pPr>
      <w:r w:rsidRPr="000B6B35">
        <w:t>(</w:t>
      </w:r>
      <w:r w:rsidR="007B4A42">
        <w:t>d</w:t>
      </w:r>
      <w:r w:rsidRPr="000B6B35">
        <w:t>)</w:t>
      </w:r>
      <w:r w:rsidRPr="000B6B35">
        <w:tab/>
        <w:t>The estimated total revenue cap is equal to the total annual expected MAR.</w:t>
      </w:r>
    </w:p>
    <w:p w:rsidR="000B6B35" w:rsidRPr="000B6B35" w:rsidRDefault="000B6B35" w:rsidP="007B4A42">
      <w:pPr>
        <w:pStyle w:val="AERtablesource"/>
      </w:pPr>
      <w:r w:rsidRPr="000B6B35">
        <w:t>(</w:t>
      </w:r>
      <w:r w:rsidR="007B4A42">
        <w:t>e</w:t>
      </w:r>
      <w:r w:rsidRPr="000B6B35">
        <w:t>)</w:t>
      </w:r>
      <w:r w:rsidRPr="000B6B35">
        <w:tab/>
        <w:t>The X factors will be revised to reflect the annual return on debt update.</w:t>
      </w:r>
      <w:r w:rsidR="007B4A42" w:rsidRPr="007B4A42">
        <w:t xml:space="preserve"> </w:t>
      </w:r>
      <w:r w:rsidR="007B4A42">
        <w:t>Under the CPI–X framework, the X factor measures the real rate of change in annual expected revenue from one year to the next. A negative X factor represents a real increase in revenue. Conversely, a positive X factor represents a real decrease in revenue.</w:t>
      </w:r>
    </w:p>
    <w:p w:rsidR="000B6B35" w:rsidRPr="000B6B35" w:rsidRDefault="007B4A42" w:rsidP="000B6B35">
      <w:pPr>
        <w:pStyle w:val="AERtablesource"/>
      </w:pPr>
      <w:r>
        <w:t>(f</w:t>
      </w:r>
      <w:r w:rsidR="000B6B35" w:rsidRPr="000B6B35">
        <w:t>)</w:t>
      </w:r>
      <w:r w:rsidR="000B6B35" w:rsidRPr="000B6B35">
        <w:tab/>
      </w:r>
      <w:r w:rsidR="000B6B35">
        <w:t>Powerlink</w:t>
      </w:r>
      <w:r w:rsidR="000B6B35" w:rsidRPr="000B6B35">
        <w:t xml:space="preserve"> is not required to apply an X factor for 2017–18 because we set the 2017–18 MAR in this decision. The MAR for 2017–18 is around </w:t>
      </w:r>
      <w:r w:rsidR="00527C7A">
        <w:t>32.6</w:t>
      </w:r>
      <w:r w:rsidR="000B6B35" w:rsidRPr="000B6B35">
        <w:t xml:space="preserve"> per cent lower than the approved MAR for 2016–17 in real terms, or </w:t>
      </w:r>
      <w:r w:rsidR="00527C7A">
        <w:t>3</w:t>
      </w:r>
      <w:r w:rsidR="009B6B07">
        <w:t>0</w:t>
      </w:r>
      <w:r w:rsidR="00527C7A">
        <w:t>.</w:t>
      </w:r>
      <w:r w:rsidR="009B6B07">
        <w:t>9</w:t>
      </w:r>
      <w:r w:rsidR="000B6B35" w:rsidRPr="000B6B35">
        <w:t xml:space="preserve"> per cent lower in nominal terms.</w:t>
      </w:r>
    </w:p>
    <w:p w:rsidR="00132D43" w:rsidRDefault="00132D43" w:rsidP="00132D43">
      <w:pPr>
        <w:pStyle w:val="Heading2"/>
      </w:pPr>
      <w:bookmarkStart w:id="75" w:name="_Toc462749074"/>
      <w:r>
        <w:t>Powerlink’s proposal</w:t>
      </w:r>
      <w:bookmarkEnd w:id="75"/>
    </w:p>
    <w:p w:rsidR="00782D05" w:rsidRDefault="009C7114" w:rsidP="00782D05">
      <w:r>
        <w:t>Powerlink</w:t>
      </w:r>
      <w:r w:rsidR="00782D05">
        <w:t xml:space="preserve"> proposed a total (smoothed) revenue cap of $</w:t>
      </w:r>
      <w:r w:rsidR="00294332">
        <w:t>4017.2</w:t>
      </w:r>
      <w:r w:rsidR="00782D05">
        <w:t> million ($ nominal) for the 2017–22 regulatory control period.</w:t>
      </w:r>
    </w:p>
    <w:p w:rsidR="00EA21A9" w:rsidRDefault="00782D05">
      <w:pPr>
        <w:spacing w:line="240" w:lineRule="auto"/>
        <w:rPr>
          <w:b/>
          <w:bCs/>
          <w:color w:val="076A92" w:themeColor="text1"/>
          <w:sz w:val="24"/>
          <w:szCs w:val="18"/>
        </w:rPr>
      </w:pPr>
      <w:r>
        <w:fldChar w:fldCharType="begin"/>
      </w:r>
      <w:r>
        <w:instrText xml:space="preserve"> REF _Ref437859178 \h </w:instrText>
      </w:r>
      <w:r>
        <w:fldChar w:fldCharType="separate"/>
      </w:r>
      <w:r w:rsidR="00EA21A9">
        <w:br w:type="page"/>
      </w:r>
    </w:p>
    <w:p w:rsidR="00782D05" w:rsidRDefault="00EA21A9" w:rsidP="00782D05">
      <w:r>
        <w:lastRenderedPageBreak/>
        <w:t xml:space="preserve">Table </w:t>
      </w:r>
      <w:r>
        <w:rPr>
          <w:noProof/>
        </w:rPr>
        <w:t>1</w:t>
      </w:r>
      <w:r>
        <w:t>.</w:t>
      </w:r>
      <w:r>
        <w:rPr>
          <w:noProof/>
        </w:rPr>
        <w:t>2</w:t>
      </w:r>
      <w:r w:rsidR="00782D05">
        <w:fldChar w:fldCharType="end"/>
      </w:r>
      <w:r w:rsidR="00782D05">
        <w:t xml:space="preserve"> sets out </w:t>
      </w:r>
      <w:r w:rsidR="009C7114">
        <w:t>Powerlink</w:t>
      </w:r>
      <w:r w:rsidR="00782D05">
        <w:t>’</w:t>
      </w:r>
      <w:r w:rsidR="007B4A42">
        <w:t>s</w:t>
      </w:r>
      <w:r w:rsidR="00782D05">
        <w:t xml:space="preserve"> proposed annual building block revenue requirement, the X factor, the annual expected MAR and the estimated total revenue cap.</w:t>
      </w:r>
    </w:p>
    <w:p w:rsidR="00B247BA" w:rsidRDefault="00B247BA">
      <w:pPr>
        <w:spacing w:line="240" w:lineRule="auto"/>
        <w:rPr>
          <w:b/>
          <w:bCs/>
          <w:color w:val="076A92" w:themeColor="text1"/>
          <w:sz w:val="24"/>
          <w:szCs w:val="18"/>
        </w:rPr>
      </w:pPr>
      <w:bookmarkStart w:id="76" w:name="_Ref437859178"/>
      <w:r>
        <w:br w:type="page"/>
      </w:r>
    </w:p>
    <w:p w:rsidR="00782D05" w:rsidRDefault="00782D05" w:rsidP="00782D05">
      <w:pPr>
        <w:pStyle w:val="Caption"/>
      </w:pPr>
      <w:proofErr w:type="gramStart"/>
      <w:r>
        <w:lastRenderedPageBreak/>
        <w:t xml:space="preserve">Table </w:t>
      </w:r>
      <w:fldSimple w:instr=" STYLEREF 1 \s ">
        <w:r w:rsidR="00EA21A9">
          <w:rPr>
            <w:noProof/>
          </w:rPr>
          <w:t>1</w:t>
        </w:r>
      </w:fldSimple>
      <w:r>
        <w:t>.</w:t>
      </w:r>
      <w:proofErr w:type="gramEnd"/>
      <w:r>
        <w:fldChar w:fldCharType="begin"/>
      </w:r>
      <w:r>
        <w:instrText xml:space="preserve"> SEQ Table \* ARABIC \s 1 </w:instrText>
      </w:r>
      <w:r>
        <w:fldChar w:fldCharType="separate"/>
      </w:r>
      <w:r w:rsidR="00EA21A9">
        <w:rPr>
          <w:noProof/>
        </w:rPr>
        <w:t>2</w:t>
      </w:r>
      <w:r>
        <w:fldChar w:fldCharType="end"/>
      </w:r>
      <w:bookmarkEnd w:id="76"/>
      <w:r>
        <w:tab/>
      </w:r>
      <w:r w:rsidR="009C7114">
        <w:t>Powerlink</w:t>
      </w:r>
      <w:r>
        <w:t>’</w:t>
      </w:r>
      <w:r w:rsidR="007B4A42">
        <w:t>s</w:t>
      </w:r>
      <w:r>
        <w:t xml:space="preserve"> proposed annual building block revenue requirement, annual expected MAR, estimated total revenue cap and X factor ($ million, nominal)</w:t>
      </w:r>
    </w:p>
    <w:tbl>
      <w:tblPr>
        <w:tblStyle w:val="AERtable-numbers"/>
        <w:tblW w:w="8897" w:type="dxa"/>
        <w:tblLayout w:type="fixed"/>
        <w:tblLook w:val="04A0" w:firstRow="1" w:lastRow="0" w:firstColumn="1" w:lastColumn="0" w:noHBand="0" w:noVBand="1"/>
      </w:tblPr>
      <w:tblGrid>
        <w:gridCol w:w="3369"/>
        <w:gridCol w:w="921"/>
        <w:gridCol w:w="921"/>
        <w:gridCol w:w="922"/>
        <w:gridCol w:w="921"/>
        <w:gridCol w:w="921"/>
        <w:gridCol w:w="922"/>
      </w:tblGrid>
      <w:tr w:rsidR="00782D05" w:rsidRPr="00DD1300" w:rsidTr="00AE780A">
        <w:trPr>
          <w:cnfStyle w:val="100000000000" w:firstRow="1" w:lastRow="0" w:firstColumn="0" w:lastColumn="0" w:oddVBand="0" w:evenVBand="0" w:oddHBand="0"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369" w:type="dxa"/>
            <w:noWrap/>
            <w:hideMark/>
          </w:tcPr>
          <w:p w:rsidR="00782D05" w:rsidRPr="00782D05" w:rsidRDefault="00782D05" w:rsidP="00782D05">
            <w:r w:rsidRPr="00DD1300">
              <w:t> </w:t>
            </w:r>
          </w:p>
        </w:tc>
        <w:tc>
          <w:tcPr>
            <w:tcW w:w="921" w:type="dxa"/>
            <w:noWrap/>
            <w:hideMark/>
          </w:tcPr>
          <w:p w:rsidR="00782D05" w:rsidRPr="00782D05" w:rsidRDefault="00782D05" w:rsidP="00782D05">
            <w:pPr>
              <w:cnfStyle w:val="100000000000" w:firstRow="1" w:lastRow="0" w:firstColumn="0" w:lastColumn="0" w:oddVBand="0" w:evenVBand="0" w:oddHBand="0" w:evenHBand="0" w:firstRowFirstColumn="0" w:firstRowLastColumn="0" w:lastRowFirstColumn="0" w:lastRowLastColumn="0"/>
            </w:pPr>
            <w:r w:rsidRPr="00DD1300">
              <w:t>2017–18</w:t>
            </w:r>
          </w:p>
        </w:tc>
        <w:tc>
          <w:tcPr>
            <w:tcW w:w="921" w:type="dxa"/>
            <w:noWrap/>
            <w:hideMark/>
          </w:tcPr>
          <w:p w:rsidR="00782D05" w:rsidRPr="00782D05" w:rsidRDefault="00782D05" w:rsidP="00782D05">
            <w:pPr>
              <w:cnfStyle w:val="100000000000" w:firstRow="1" w:lastRow="0" w:firstColumn="0" w:lastColumn="0" w:oddVBand="0" w:evenVBand="0" w:oddHBand="0" w:evenHBand="0" w:firstRowFirstColumn="0" w:firstRowLastColumn="0" w:lastRowFirstColumn="0" w:lastRowLastColumn="0"/>
            </w:pPr>
            <w:r w:rsidRPr="00DD1300">
              <w:t>2018–19</w:t>
            </w:r>
          </w:p>
        </w:tc>
        <w:tc>
          <w:tcPr>
            <w:tcW w:w="922" w:type="dxa"/>
            <w:noWrap/>
            <w:hideMark/>
          </w:tcPr>
          <w:p w:rsidR="00782D05" w:rsidRPr="00782D05" w:rsidRDefault="00782D05" w:rsidP="00782D05">
            <w:pPr>
              <w:cnfStyle w:val="100000000000" w:firstRow="1" w:lastRow="0" w:firstColumn="0" w:lastColumn="0" w:oddVBand="0" w:evenVBand="0" w:oddHBand="0" w:evenHBand="0" w:firstRowFirstColumn="0" w:firstRowLastColumn="0" w:lastRowFirstColumn="0" w:lastRowLastColumn="0"/>
            </w:pPr>
            <w:r w:rsidRPr="00DD1300">
              <w:t>2019–20</w:t>
            </w:r>
          </w:p>
        </w:tc>
        <w:tc>
          <w:tcPr>
            <w:tcW w:w="921" w:type="dxa"/>
            <w:noWrap/>
            <w:hideMark/>
          </w:tcPr>
          <w:p w:rsidR="00782D05" w:rsidRPr="00782D05" w:rsidRDefault="00782D05" w:rsidP="00782D05">
            <w:pPr>
              <w:cnfStyle w:val="100000000000" w:firstRow="1" w:lastRow="0" w:firstColumn="0" w:lastColumn="0" w:oddVBand="0" w:evenVBand="0" w:oddHBand="0" w:evenHBand="0" w:firstRowFirstColumn="0" w:firstRowLastColumn="0" w:lastRowFirstColumn="0" w:lastRowLastColumn="0"/>
            </w:pPr>
            <w:r w:rsidRPr="00DD1300">
              <w:t>2020–21</w:t>
            </w:r>
          </w:p>
        </w:tc>
        <w:tc>
          <w:tcPr>
            <w:tcW w:w="921" w:type="dxa"/>
            <w:noWrap/>
            <w:hideMark/>
          </w:tcPr>
          <w:p w:rsidR="00782D05" w:rsidRPr="00782D05" w:rsidRDefault="00782D05" w:rsidP="00782D05">
            <w:pPr>
              <w:cnfStyle w:val="100000000000" w:firstRow="1" w:lastRow="0" w:firstColumn="0" w:lastColumn="0" w:oddVBand="0" w:evenVBand="0" w:oddHBand="0" w:evenHBand="0" w:firstRowFirstColumn="0" w:firstRowLastColumn="0" w:lastRowFirstColumn="0" w:lastRowLastColumn="0"/>
            </w:pPr>
            <w:r w:rsidRPr="00DD1300">
              <w:t>2021–22</w:t>
            </w:r>
          </w:p>
        </w:tc>
        <w:tc>
          <w:tcPr>
            <w:tcW w:w="922" w:type="dxa"/>
            <w:noWrap/>
            <w:hideMark/>
          </w:tcPr>
          <w:p w:rsidR="00782D05" w:rsidRPr="00782D05" w:rsidRDefault="00782D05" w:rsidP="00782D05">
            <w:pPr>
              <w:cnfStyle w:val="100000000000" w:firstRow="1" w:lastRow="0" w:firstColumn="0" w:lastColumn="0" w:oddVBand="0" w:evenVBand="0" w:oddHBand="0" w:evenHBand="0" w:firstRowFirstColumn="0" w:firstRowLastColumn="0" w:lastRowFirstColumn="0" w:lastRowLastColumn="0"/>
            </w:pPr>
            <w:r w:rsidRPr="00DD1300">
              <w:t>Total</w:t>
            </w:r>
          </w:p>
        </w:tc>
      </w:tr>
      <w:tr w:rsidR="00294332" w:rsidRPr="00DD1300" w:rsidTr="00294332">
        <w:trPr>
          <w:trHeight w:val="265"/>
        </w:trPr>
        <w:tc>
          <w:tcPr>
            <w:cnfStyle w:val="001000000000" w:firstRow="0" w:lastRow="0" w:firstColumn="1" w:lastColumn="0" w:oddVBand="0" w:evenVBand="0" w:oddHBand="0" w:evenHBand="0" w:firstRowFirstColumn="0" w:firstRowLastColumn="0" w:lastRowFirstColumn="0" w:lastRowLastColumn="0"/>
            <w:tcW w:w="3369" w:type="dxa"/>
            <w:noWrap/>
            <w:hideMark/>
          </w:tcPr>
          <w:p w:rsidR="00294332" w:rsidRPr="00294332" w:rsidRDefault="00294332" w:rsidP="00294332">
            <w:r w:rsidRPr="00294332">
              <w:t>Return on capital</w:t>
            </w:r>
          </w:p>
        </w:tc>
        <w:tc>
          <w:tcPr>
            <w:tcW w:w="921" w:type="dxa"/>
            <w:noWrap/>
            <w:vAlign w:val="bottom"/>
          </w:tcPr>
          <w:p w:rsidR="00294332" w:rsidRPr="00294332" w:rsidRDefault="00294332" w:rsidP="00294332">
            <w:pPr>
              <w:cnfStyle w:val="000000000000" w:firstRow="0" w:lastRow="0" w:firstColumn="0" w:lastColumn="0" w:oddVBand="0" w:evenVBand="0" w:oddHBand="0" w:evenHBand="0" w:firstRowFirstColumn="0" w:firstRowLastColumn="0" w:lastRowFirstColumn="0" w:lastRowLastColumn="0"/>
            </w:pPr>
            <w:r w:rsidRPr="00294332">
              <w:t>437.2</w:t>
            </w:r>
          </w:p>
        </w:tc>
        <w:tc>
          <w:tcPr>
            <w:tcW w:w="921" w:type="dxa"/>
            <w:noWrap/>
            <w:vAlign w:val="bottom"/>
          </w:tcPr>
          <w:p w:rsidR="00294332" w:rsidRPr="00294332" w:rsidRDefault="00294332" w:rsidP="00294332">
            <w:pPr>
              <w:cnfStyle w:val="000000000000" w:firstRow="0" w:lastRow="0" w:firstColumn="0" w:lastColumn="0" w:oddVBand="0" w:evenVBand="0" w:oddHBand="0" w:evenHBand="0" w:firstRowFirstColumn="0" w:firstRowLastColumn="0" w:lastRowFirstColumn="0" w:lastRowLastColumn="0"/>
            </w:pPr>
            <w:r w:rsidRPr="00294332">
              <w:t>444.0</w:t>
            </w:r>
          </w:p>
        </w:tc>
        <w:tc>
          <w:tcPr>
            <w:tcW w:w="922" w:type="dxa"/>
            <w:noWrap/>
            <w:vAlign w:val="bottom"/>
          </w:tcPr>
          <w:p w:rsidR="00294332" w:rsidRPr="00294332" w:rsidRDefault="00294332" w:rsidP="00294332">
            <w:pPr>
              <w:cnfStyle w:val="000000000000" w:firstRow="0" w:lastRow="0" w:firstColumn="0" w:lastColumn="0" w:oddVBand="0" w:evenVBand="0" w:oddHBand="0" w:evenHBand="0" w:firstRowFirstColumn="0" w:firstRowLastColumn="0" w:lastRowFirstColumn="0" w:lastRowLastColumn="0"/>
            </w:pPr>
            <w:r w:rsidRPr="00294332">
              <w:t>449.8</w:t>
            </w:r>
          </w:p>
        </w:tc>
        <w:tc>
          <w:tcPr>
            <w:tcW w:w="921" w:type="dxa"/>
            <w:noWrap/>
            <w:vAlign w:val="bottom"/>
          </w:tcPr>
          <w:p w:rsidR="00294332" w:rsidRPr="00294332" w:rsidRDefault="00294332" w:rsidP="00294332">
            <w:pPr>
              <w:cnfStyle w:val="000000000000" w:firstRow="0" w:lastRow="0" w:firstColumn="0" w:lastColumn="0" w:oddVBand="0" w:evenVBand="0" w:oddHBand="0" w:evenHBand="0" w:firstRowFirstColumn="0" w:firstRowLastColumn="0" w:lastRowFirstColumn="0" w:lastRowLastColumn="0"/>
            </w:pPr>
            <w:r w:rsidRPr="00294332">
              <w:t>454.7</w:t>
            </w:r>
          </w:p>
        </w:tc>
        <w:tc>
          <w:tcPr>
            <w:tcW w:w="921" w:type="dxa"/>
            <w:noWrap/>
            <w:vAlign w:val="bottom"/>
          </w:tcPr>
          <w:p w:rsidR="00294332" w:rsidRPr="00294332" w:rsidRDefault="00294332" w:rsidP="00294332">
            <w:pPr>
              <w:cnfStyle w:val="000000000000" w:firstRow="0" w:lastRow="0" w:firstColumn="0" w:lastColumn="0" w:oddVBand="0" w:evenVBand="0" w:oddHBand="0" w:evenHBand="0" w:firstRowFirstColumn="0" w:firstRowLastColumn="0" w:lastRowFirstColumn="0" w:lastRowLastColumn="0"/>
            </w:pPr>
            <w:r w:rsidRPr="00294332">
              <w:t>459.2</w:t>
            </w:r>
          </w:p>
        </w:tc>
        <w:tc>
          <w:tcPr>
            <w:tcW w:w="922" w:type="dxa"/>
            <w:noWrap/>
            <w:vAlign w:val="bottom"/>
          </w:tcPr>
          <w:p w:rsidR="00294332" w:rsidRPr="00294332" w:rsidRDefault="00294332" w:rsidP="00294332">
            <w:pPr>
              <w:cnfStyle w:val="000000000000" w:firstRow="0" w:lastRow="0" w:firstColumn="0" w:lastColumn="0" w:oddVBand="0" w:evenVBand="0" w:oddHBand="0" w:evenHBand="0" w:firstRowFirstColumn="0" w:firstRowLastColumn="0" w:lastRowFirstColumn="0" w:lastRowLastColumn="0"/>
            </w:pPr>
            <w:r w:rsidRPr="00294332">
              <w:t>2244.8</w:t>
            </w:r>
          </w:p>
        </w:tc>
      </w:tr>
      <w:tr w:rsidR="00294332" w:rsidRPr="00DD1300" w:rsidTr="00294332">
        <w:trPr>
          <w:cnfStyle w:val="000000010000" w:firstRow="0" w:lastRow="0" w:firstColumn="0" w:lastColumn="0" w:oddVBand="0" w:evenVBand="0" w:oddHBand="0" w:evenHBand="1"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369" w:type="dxa"/>
            <w:noWrap/>
            <w:hideMark/>
          </w:tcPr>
          <w:p w:rsidR="00294332" w:rsidRPr="00294332" w:rsidRDefault="00294332" w:rsidP="00294332">
            <w:r w:rsidRPr="00294332">
              <w:t xml:space="preserve">Regulatory </w:t>
            </w:r>
            <w:proofErr w:type="spellStart"/>
            <w:r w:rsidRPr="00294332">
              <w:t>depreciation</w:t>
            </w:r>
            <w:r w:rsidRPr="00294332">
              <w:rPr>
                <w:rStyle w:val="AERsuperscript"/>
              </w:rPr>
              <w:t>a</w:t>
            </w:r>
            <w:proofErr w:type="spellEnd"/>
          </w:p>
        </w:tc>
        <w:tc>
          <w:tcPr>
            <w:tcW w:w="921" w:type="dxa"/>
            <w:noWrap/>
            <w:vAlign w:val="bottom"/>
          </w:tcPr>
          <w:p w:rsidR="00294332" w:rsidRPr="00294332" w:rsidRDefault="00294332" w:rsidP="00294332">
            <w:pPr>
              <w:cnfStyle w:val="000000010000" w:firstRow="0" w:lastRow="0" w:firstColumn="0" w:lastColumn="0" w:oddVBand="0" w:evenVBand="0" w:oddHBand="0" w:evenHBand="1" w:firstRowFirstColumn="0" w:firstRowLastColumn="0" w:lastRowFirstColumn="0" w:lastRowLastColumn="0"/>
            </w:pPr>
            <w:r w:rsidRPr="00294332">
              <w:t>94.3</w:t>
            </w:r>
          </w:p>
        </w:tc>
        <w:tc>
          <w:tcPr>
            <w:tcW w:w="921" w:type="dxa"/>
            <w:noWrap/>
            <w:vAlign w:val="bottom"/>
          </w:tcPr>
          <w:p w:rsidR="00294332" w:rsidRPr="00294332" w:rsidRDefault="00294332" w:rsidP="00294332">
            <w:pPr>
              <w:cnfStyle w:val="000000010000" w:firstRow="0" w:lastRow="0" w:firstColumn="0" w:lastColumn="0" w:oddVBand="0" w:evenVBand="0" w:oddHBand="0" w:evenHBand="1" w:firstRowFirstColumn="0" w:firstRowLastColumn="0" w:lastRowFirstColumn="0" w:lastRowLastColumn="0"/>
            </w:pPr>
            <w:r w:rsidRPr="00294332">
              <w:t>110.4</w:t>
            </w:r>
          </w:p>
        </w:tc>
        <w:tc>
          <w:tcPr>
            <w:tcW w:w="922" w:type="dxa"/>
            <w:noWrap/>
            <w:vAlign w:val="bottom"/>
          </w:tcPr>
          <w:p w:rsidR="00294332" w:rsidRPr="00294332" w:rsidRDefault="00294332" w:rsidP="00294332">
            <w:pPr>
              <w:cnfStyle w:val="000000010000" w:firstRow="0" w:lastRow="0" w:firstColumn="0" w:lastColumn="0" w:oddVBand="0" w:evenVBand="0" w:oddHBand="0" w:evenHBand="1" w:firstRowFirstColumn="0" w:firstRowLastColumn="0" w:lastRowFirstColumn="0" w:lastRowLastColumn="0"/>
            </w:pPr>
            <w:r w:rsidRPr="00294332">
              <w:t>128.9</w:t>
            </w:r>
          </w:p>
        </w:tc>
        <w:tc>
          <w:tcPr>
            <w:tcW w:w="921" w:type="dxa"/>
            <w:noWrap/>
            <w:vAlign w:val="bottom"/>
          </w:tcPr>
          <w:p w:rsidR="00294332" w:rsidRPr="00294332" w:rsidRDefault="00294332" w:rsidP="00294332">
            <w:pPr>
              <w:cnfStyle w:val="000000010000" w:firstRow="0" w:lastRow="0" w:firstColumn="0" w:lastColumn="0" w:oddVBand="0" w:evenVBand="0" w:oddHBand="0" w:evenHBand="1" w:firstRowFirstColumn="0" w:firstRowLastColumn="0" w:lastRowFirstColumn="0" w:lastRowLastColumn="0"/>
            </w:pPr>
            <w:r w:rsidRPr="00294332">
              <w:t>141.3</w:t>
            </w:r>
          </w:p>
        </w:tc>
        <w:tc>
          <w:tcPr>
            <w:tcW w:w="921" w:type="dxa"/>
            <w:noWrap/>
            <w:vAlign w:val="bottom"/>
          </w:tcPr>
          <w:p w:rsidR="00294332" w:rsidRPr="00294332" w:rsidRDefault="00294332" w:rsidP="00294332">
            <w:pPr>
              <w:cnfStyle w:val="000000010000" w:firstRow="0" w:lastRow="0" w:firstColumn="0" w:lastColumn="0" w:oddVBand="0" w:evenVBand="0" w:oddHBand="0" w:evenHBand="1" w:firstRowFirstColumn="0" w:firstRowLastColumn="0" w:lastRowFirstColumn="0" w:lastRowLastColumn="0"/>
            </w:pPr>
            <w:r w:rsidRPr="00294332">
              <w:t>148.2</w:t>
            </w:r>
          </w:p>
        </w:tc>
        <w:tc>
          <w:tcPr>
            <w:tcW w:w="922" w:type="dxa"/>
            <w:noWrap/>
            <w:vAlign w:val="bottom"/>
          </w:tcPr>
          <w:p w:rsidR="00294332" w:rsidRPr="00294332" w:rsidRDefault="00294332" w:rsidP="00294332">
            <w:pPr>
              <w:cnfStyle w:val="000000010000" w:firstRow="0" w:lastRow="0" w:firstColumn="0" w:lastColumn="0" w:oddVBand="0" w:evenVBand="0" w:oddHBand="0" w:evenHBand="1" w:firstRowFirstColumn="0" w:firstRowLastColumn="0" w:lastRowFirstColumn="0" w:lastRowLastColumn="0"/>
            </w:pPr>
            <w:r w:rsidRPr="00294332">
              <w:t>623.2</w:t>
            </w:r>
          </w:p>
        </w:tc>
      </w:tr>
      <w:tr w:rsidR="00294332" w:rsidRPr="00DD1300" w:rsidTr="00294332">
        <w:trPr>
          <w:trHeight w:val="265"/>
        </w:trPr>
        <w:tc>
          <w:tcPr>
            <w:cnfStyle w:val="001000000000" w:firstRow="0" w:lastRow="0" w:firstColumn="1" w:lastColumn="0" w:oddVBand="0" w:evenVBand="0" w:oddHBand="0" w:evenHBand="0" w:firstRowFirstColumn="0" w:firstRowLastColumn="0" w:lastRowFirstColumn="0" w:lastRowLastColumn="0"/>
            <w:tcW w:w="3369" w:type="dxa"/>
            <w:noWrap/>
            <w:hideMark/>
          </w:tcPr>
          <w:p w:rsidR="00294332" w:rsidRPr="00294332" w:rsidRDefault="00294332" w:rsidP="00294332">
            <w:r w:rsidRPr="00294332">
              <w:t xml:space="preserve">Operating </w:t>
            </w:r>
            <w:proofErr w:type="spellStart"/>
            <w:r w:rsidRPr="00294332">
              <w:t>expenditure</w:t>
            </w:r>
            <w:r w:rsidR="007B4A42">
              <w:rPr>
                <w:rStyle w:val="AERsuperscript"/>
              </w:rPr>
              <w:t>b</w:t>
            </w:r>
            <w:proofErr w:type="spellEnd"/>
          </w:p>
        </w:tc>
        <w:tc>
          <w:tcPr>
            <w:tcW w:w="921" w:type="dxa"/>
            <w:noWrap/>
            <w:vAlign w:val="bottom"/>
          </w:tcPr>
          <w:p w:rsidR="00294332" w:rsidRPr="00294332" w:rsidRDefault="00294332" w:rsidP="00294332">
            <w:pPr>
              <w:cnfStyle w:val="000000000000" w:firstRow="0" w:lastRow="0" w:firstColumn="0" w:lastColumn="0" w:oddVBand="0" w:evenVBand="0" w:oddHBand="0" w:evenHBand="0" w:firstRowFirstColumn="0" w:firstRowLastColumn="0" w:lastRowFirstColumn="0" w:lastRowLastColumn="0"/>
            </w:pPr>
            <w:r w:rsidRPr="00294332">
              <w:t>201.7</w:t>
            </w:r>
          </w:p>
        </w:tc>
        <w:tc>
          <w:tcPr>
            <w:tcW w:w="921" w:type="dxa"/>
            <w:noWrap/>
            <w:vAlign w:val="bottom"/>
          </w:tcPr>
          <w:p w:rsidR="00294332" w:rsidRPr="00294332" w:rsidRDefault="00294332" w:rsidP="00294332">
            <w:pPr>
              <w:cnfStyle w:val="000000000000" w:firstRow="0" w:lastRow="0" w:firstColumn="0" w:lastColumn="0" w:oddVBand="0" w:evenVBand="0" w:oddHBand="0" w:evenHBand="0" w:firstRowFirstColumn="0" w:firstRowLastColumn="0" w:lastRowFirstColumn="0" w:lastRowLastColumn="0"/>
            </w:pPr>
            <w:r w:rsidRPr="00294332">
              <w:t>205.8</w:t>
            </w:r>
          </w:p>
        </w:tc>
        <w:tc>
          <w:tcPr>
            <w:tcW w:w="922" w:type="dxa"/>
            <w:noWrap/>
            <w:vAlign w:val="bottom"/>
          </w:tcPr>
          <w:p w:rsidR="00294332" w:rsidRPr="00294332" w:rsidRDefault="00294332" w:rsidP="00294332">
            <w:pPr>
              <w:cnfStyle w:val="000000000000" w:firstRow="0" w:lastRow="0" w:firstColumn="0" w:lastColumn="0" w:oddVBand="0" w:evenVBand="0" w:oddHBand="0" w:evenHBand="0" w:firstRowFirstColumn="0" w:firstRowLastColumn="0" w:lastRowFirstColumn="0" w:lastRowLastColumn="0"/>
            </w:pPr>
            <w:r w:rsidRPr="00294332">
              <w:t>209.8</w:t>
            </w:r>
          </w:p>
        </w:tc>
        <w:tc>
          <w:tcPr>
            <w:tcW w:w="921" w:type="dxa"/>
            <w:noWrap/>
            <w:vAlign w:val="bottom"/>
          </w:tcPr>
          <w:p w:rsidR="00294332" w:rsidRPr="00294332" w:rsidRDefault="00294332" w:rsidP="00294332">
            <w:pPr>
              <w:cnfStyle w:val="000000000000" w:firstRow="0" w:lastRow="0" w:firstColumn="0" w:lastColumn="0" w:oddVBand="0" w:evenVBand="0" w:oddHBand="0" w:evenHBand="0" w:firstRowFirstColumn="0" w:firstRowLastColumn="0" w:lastRowFirstColumn="0" w:lastRowLastColumn="0"/>
            </w:pPr>
            <w:r w:rsidRPr="00294332">
              <w:t>214.2</w:t>
            </w:r>
          </w:p>
        </w:tc>
        <w:tc>
          <w:tcPr>
            <w:tcW w:w="921" w:type="dxa"/>
            <w:noWrap/>
            <w:vAlign w:val="bottom"/>
          </w:tcPr>
          <w:p w:rsidR="00294332" w:rsidRPr="00294332" w:rsidRDefault="00294332" w:rsidP="00294332">
            <w:pPr>
              <w:cnfStyle w:val="000000000000" w:firstRow="0" w:lastRow="0" w:firstColumn="0" w:lastColumn="0" w:oddVBand="0" w:evenVBand="0" w:oddHBand="0" w:evenHBand="0" w:firstRowFirstColumn="0" w:firstRowLastColumn="0" w:lastRowFirstColumn="0" w:lastRowLastColumn="0"/>
            </w:pPr>
            <w:r w:rsidRPr="00294332">
              <w:t>219.3</w:t>
            </w:r>
          </w:p>
        </w:tc>
        <w:tc>
          <w:tcPr>
            <w:tcW w:w="922" w:type="dxa"/>
            <w:noWrap/>
            <w:vAlign w:val="bottom"/>
          </w:tcPr>
          <w:p w:rsidR="00294332" w:rsidRPr="00294332" w:rsidRDefault="00294332" w:rsidP="00294332">
            <w:pPr>
              <w:cnfStyle w:val="000000000000" w:firstRow="0" w:lastRow="0" w:firstColumn="0" w:lastColumn="0" w:oddVBand="0" w:evenVBand="0" w:oddHBand="0" w:evenHBand="0" w:firstRowFirstColumn="0" w:firstRowLastColumn="0" w:lastRowFirstColumn="0" w:lastRowLastColumn="0"/>
            </w:pPr>
            <w:r w:rsidRPr="00294332">
              <w:t>1050.7</w:t>
            </w:r>
          </w:p>
        </w:tc>
      </w:tr>
      <w:tr w:rsidR="00294332" w:rsidRPr="00DD1300" w:rsidTr="00294332">
        <w:trPr>
          <w:cnfStyle w:val="000000010000" w:firstRow="0" w:lastRow="0" w:firstColumn="0" w:lastColumn="0" w:oddVBand="0" w:evenVBand="0" w:oddHBand="0" w:evenHBand="1"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369" w:type="dxa"/>
            <w:noWrap/>
            <w:hideMark/>
          </w:tcPr>
          <w:p w:rsidR="00294332" w:rsidRPr="00294332" w:rsidRDefault="00294332" w:rsidP="00294332">
            <w:pPr>
              <w:rPr>
                <w:rStyle w:val="AERsuperscript"/>
              </w:rPr>
            </w:pPr>
            <w:r w:rsidRPr="00294332">
              <w:t xml:space="preserve">Revenue </w:t>
            </w:r>
            <w:proofErr w:type="spellStart"/>
            <w:r w:rsidRPr="00294332">
              <w:t>adjustments</w:t>
            </w:r>
            <w:r w:rsidR="00E70870">
              <w:rPr>
                <w:rStyle w:val="AERsuperscript"/>
              </w:rPr>
              <w:t>c</w:t>
            </w:r>
            <w:proofErr w:type="spellEnd"/>
          </w:p>
        </w:tc>
        <w:tc>
          <w:tcPr>
            <w:tcW w:w="921" w:type="dxa"/>
            <w:noWrap/>
            <w:vAlign w:val="bottom"/>
          </w:tcPr>
          <w:p w:rsidR="00294332" w:rsidRPr="00294332" w:rsidRDefault="00294332" w:rsidP="00294332">
            <w:pPr>
              <w:cnfStyle w:val="000000010000" w:firstRow="0" w:lastRow="0" w:firstColumn="0" w:lastColumn="0" w:oddVBand="0" w:evenVBand="0" w:oddHBand="0" w:evenHBand="1" w:firstRowFirstColumn="0" w:firstRowLastColumn="0" w:lastRowFirstColumn="0" w:lastRowLastColumn="0"/>
            </w:pPr>
            <w:r w:rsidRPr="00294332">
              <w:t>–0.8</w:t>
            </w:r>
          </w:p>
        </w:tc>
        <w:tc>
          <w:tcPr>
            <w:tcW w:w="921" w:type="dxa"/>
            <w:noWrap/>
            <w:vAlign w:val="bottom"/>
          </w:tcPr>
          <w:p w:rsidR="00294332" w:rsidRPr="00294332" w:rsidRDefault="00294332" w:rsidP="00294332">
            <w:pPr>
              <w:cnfStyle w:val="000000010000" w:firstRow="0" w:lastRow="0" w:firstColumn="0" w:lastColumn="0" w:oddVBand="0" w:evenVBand="0" w:oddHBand="0" w:evenHBand="1" w:firstRowFirstColumn="0" w:firstRowLastColumn="0" w:lastRowFirstColumn="0" w:lastRowLastColumn="0"/>
            </w:pPr>
            <w:r w:rsidRPr="00294332">
              <w:t>–7.1</w:t>
            </w:r>
          </w:p>
        </w:tc>
        <w:tc>
          <w:tcPr>
            <w:tcW w:w="922" w:type="dxa"/>
            <w:noWrap/>
            <w:vAlign w:val="bottom"/>
          </w:tcPr>
          <w:p w:rsidR="00294332" w:rsidRPr="00294332" w:rsidRDefault="00294332" w:rsidP="00294332">
            <w:pPr>
              <w:cnfStyle w:val="000000010000" w:firstRow="0" w:lastRow="0" w:firstColumn="0" w:lastColumn="0" w:oddVBand="0" w:evenVBand="0" w:oddHBand="0" w:evenHBand="1" w:firstRowFirstColumn="0" w:firstRowLastColumn="0" w:lastRowFirstColumn="0" w:lastRowLastColumn="0"/>
            </w:pPr>
            <w:r w:rsidRPr="00294332">
              <w:t>–3.2</w:t>
            </w:r>
          </w:p>
        </w:tc>
        <w:tc>
          <w:tcPr>
            <w:tcW w:w="921" w:type="dxa"/>
            <w:noWrap/>
            <w:vAlign w:val="bottom"/>
          </w:tcPr>
          <w:p w:rsidR="00294332" w:rsidRPr="00294332" w:rsidRDefault="00294332" w:rsidP="00294332">
            <w:pPr>
              <w:cnfStyle w:val="000000010000" w:firstRow="0" w:lastRow="0" w:firstColumn="0" w:lastColumn="0" w:oddVBand="0" w:evenVBand="0" w:oddHBand="0" w:evenHBand="1" w:firstRowFirstColumn="0" w:firstRowLastColumn="0" w:lastRowFirstColumn="0" w:lastRowLastColumn="0"/>
            </w:pPr>
            <w:r w:rsidRPr="00294332">
              <w:t>3.0</w:t>
            </w:r>
          </w:p>
        </w:tc>
        <w:tc>
          <w:tcPr>
            <w:tcW w:w="921" w:type="dxa"/>
            <w:noWrap/>
            <w:vAlign w:val="bottom"/>
          </w:tcPr>
          <w:p w:rsidR="00294332" w:rsidRPr="00294332" w:rsidRDefault="00294332" w:rsidP="00294332">
            <w:pPr>
              <w:cnfStyle w:val="000000010000" w:firstRow="0" w:lastRow="0" w:firstColumn="0" w:lastColumn="0" w:oddVBand="0" w:evenVBand="0" w:oddHBand="0" w:evenHBand="1" w:firstRowFirstColumn="0" w:firstRowLastColumn="0" w:lastRowFirstColumn="0" w:lastRowLastColumn="0"/>
            </w:pPr>
            <w:r w:rsidRPr="00294332">
              <w:t>0.0</w:t>
            </w:r>
          </w:p>
        </w:tc>
        <w:tc>
          <w:tcPr>
            <w:tcW w:w="922" w:type="dxa"/>
            <w:noWrap/>
            <w:vAlign w:val="bottom"/>
          </w:tcPr>
          <w:p w:rsidR="00294332" w:rsidRPr="00294332" w:rsidRDefault="00294332" w:rsidP="00294332">
            <w:pPr>
              <w:cnfStyle w:val="000000010000" w:firstRow="0" w:lastRow="0" w:firstColumn="0" w:lastColumn="0" w:oddVBand="0" w:evenVBand="0" w:oddHBand="0" w:evenHBand="1" w:firstRowFirstColumn="0" w:firstRowLastColumn="0" w:lastRowFirstColumn="0" w:lastRowLastColumn="0"/>
            </w:pPr>
            <w:r w:rsidRPr="00294332">
              <w:t>–8.1</w:t>
            </w:r>
          </w:p>
        </w:tc>
      </w:tr>
      <w:tr w:rsidR="00294332" w:rsidRPr="00DD1300" w:rsidTr="00294332">
        <w:trPr>
          <w:trHeight w:val="265"/>
        </w:trPr>
        <w:tc>
          <w:tcPr>
            <w:cnfStyle w:val="001000000000" w:firstRow="0" w:lastRow="0" w:firstColumn="1" w:lastColumn="0" w:oddVBand="0" w:evenVBand="0" w:oddHBand="0" w:evenHBand="0" w:firstRowFirstColumn="0" w:firstRowLastColumn="0" w:lastRowFirstColumn="0" w:lastRowLastColumn="0"/>
            <w:tcW w:w="3369" w:type="dxa"/>
            <w:noWrap/>
            <w:hideMark/>
          </w:tcPr>
          <w:p w:rsidR="00294332" w:rsidRPr="00294332" w:rsidRDefault="00294332" w:rsidP="00294332">
            <w:r w:rsidRPr="00294332">
              <w:t>Net tax allowance</w:t>
            </w:r>
          </w:p>
        </w:tc>
        <w:tc>
          <w:tcPr>
            <w:tcW w:w="921" w:type="dxa"/>
            <w:noWrap/>
            <w:vAlign w:val="bottom"/>
          </w:tcPr>
          <w:p w:rsidR="00294332" w:rsidRPr="00294332" w:rsidRDefault="00294332" w:rsidP="00294332">
            <w:pPr>
              <w:cnfStyle w:val="000000000000" w:firstRow="0" w:lastRow="0" w:firstColumn="0" w:lastColumn="0" w:oddVBand="0" w:evenVBand="0" w:oddHBand="0" w:evenHBand="0" w:firstRowFirstColumn="0" w:firstRowLastColumn="0" w:lastRowFirstColumn="0" w:lastRowLastColumn="0"/>
            </w:pPr>
            <w:r w:rsidRPr="00294332">
              <w:t>18.9</w:t>
            </w:r>
          </w:p>
        </w:tc>
        <w:tc>
          <w:tcPr>
            <w:tcW w:w="921" w:type="dxa"/>
            <w:noWrap/>
            <w:vAlign w:val="bottom"/>
          </w:tcPr>
          <w:p w:rsidR="00294332" w:rsidRPr="00294332" w:rsidRDefault="00294332" w:rsidP="00294332">
            <w:pPr>
              <w:cnfStyle w:val="000000000000" w:firstRow="0" w:lastRow="0" w:firstColumn="0" w:lastColumn="0" w:oddVBand="0" w:evenVBand="0" w:oddHBand="0" w:evenHBand="0" w:firstRowFirstColumn="0" w:firstRowLastColumn="0" w:lastRowFirstColumn="0" w:lastRowLastColumn="0"/>
            </w:pPr>
            <w:r w:rsidRPr="00294332">
              <w:t>19.7</w:t>
            </w:r>
          </w:p>
        </w:tc>
        <w:tc>
          <w:tcPr>
            <w:tcW w:w="922" w:type="dxa"/>
            <w:noWrap/>
            <w:vAlign w:val="bottom"/>
          </w:tcPr>
          <w:p w:rsidR="00294332" w:rsidRPr="00294332" w:rsidRDefault="00294332" w:rsidP="00294332">
            <w:pPr>
              <w:cnfStyle w:val="000000000000" w:firstRow="0" w:lastRow="0" w:firstColumn="0" w:lastColumn="0" w:oddVBand="0" w:evenVBand="0" w:oddHBand="0" w:evenHBand="0" w:firstRowFirstColumn="0" w:firstRowLastColumn="0" w:lastRowFirstColumn="0" w:lastRowLastColumn="0"/>
            </w:pPr>
            <w:r w:rsidRPr="00294332">
              <w:t>23.2</w:t>
            </w:r>
          </w:p>
        </w:tc>
        <w:tc>
          <w:tcPr>
            <w:tcW w:w="921" w:type="dxa"/>
            <w:noWrap/>
            <w:vAlign w:val="bottom"/>
          </w:tcPr>
          <w:p w:rsidR="00294332" w:rsidRPr="00294332" w:rsidRDefault="00294332" w:rsidP="00294332">
            <w:pPr>
              <w:cnfStyle w:val="000000000000" w:firstRow="0" w:lastRow="0" w:firstColumn="0" w:lastColumn="0" w:oddVBand="0" w:evenVBand="0" w:oddHBand="0" w:evenHBand="0" w:firstRowFirstColumn="0" w:firstRowLastColumn="0" w:lastRowFirstColumn="0" w:lastRowLastColumn="0"/>
            </w:pPr>
            <w:r w:rsidRPr="00294332">
              <w:t>24.7</w:t>
            </w:r>
          </w:p>
        </w:tc>
        <w:tc>
          <w:tcPr>
            <w:tcW w:w="921" w:type="dxa"/>
            <w:noWrap/>
            <w:vAlign w:val="bottom"/>
          </w:tcPr>
          <w:p w:rsidR="00294332" w:rsidRPr="00294332" w:rsidRDefault="00294332" w:rsidP="00294332">
            <w:pPr>
              <w:cnfStyle w:val="000000000000" w:firstRow="0" w:lastRow="0" w:firstColumn="0" w:lastColumn="0" w:oddVBand="0" w:evenVBand="0" w:oddHBand="0" w:evenHBand="0" w:firstRowFirstColumn="0" w:firstRowLastColumn="0" w:lastRowFirstColumn="0" w:lastRowLastColumn="0"/>
            </w:pPr>
            <w:r w:rsidRPr="00294332">
              <w:t>25.0</w:t>
            </w:r>
          </w:p>
        </w:tc>
        <w:tc>
          <w:tcPr>
            <w:tcW w:w="922" w:type="dxa"/>
            <w:noWrap/>
            <w:vAlign w:val="bottom"/>
          </w:tcPr>
          <w:p w:rsidR="00294332" w:rsidRPr="00294332" w:rsidRDefault="00294332" w:rsidP="00294332">
            <w:pPr>
              <w:cnfStyle w:val="000000000000" w:firstRow="0" w:lastRow="0" w:firstColumn="0" w:lastColumn="0" w:oddVBand="0" w:evenVBand="0" w:oddHBand="0" w:evenHBand="0" w:firstRowFirstColumn="0" w:firstRowLastColumn="0" w:lastRowFirstColumn="0" w:lastRowLastColumn="0"/>
            </w:pPr>
            <w:r w:rsidRPr="00294332">
              <w:t>111.5</w:t>
            </w:r>
          </w:p>
        </w:tc>
      </w:tr>
      <w:tr w:rsidR="00294332" w:rsidRPr="00DD1300" w:rsidTr="00294332">
        <w:trPr>
          <w:cnfStyle w:val="000000010000" w:firstRow="0" w:lastRow="0" w:firstColumn="0" w:lastColumn="0" w:oddVBand="0" w:evenVBand="0" w:oddHBand="0" w:evenHBand="1"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369" w:type="dxa"/>
            <w:noWrap/>
            <w:vAlign w:val="bottom"/>
            <w:hideMark/>
          </w:tcPr>
          <w:p w:rsidR="00294332" w:rsidRPr="00294332" w:rsidRDefault="00294332" w:rsidP="00294332">
            <w:r w:rsidRPr="00294332">
              <w:t>Annual building block revenue requirement</w:t>
            </w:r>
            <w:r w:rsidRPr="00294332">
              <w:br/>
              <w:t>(unsmoothed)</w:t>
            </w:r>
            <w:r w:rsidR="00E70870" w:rsidRPr="00E70870">
              <w:rPr>
                <w:rStyle w:val="AERsuperscript"/>
              </w:rPr>
              <w:t>d</w:t>
            </w:r>
          </w:p>
        </w:tc>
        <w:tc>
          <w:tcPr>
            <w:tcW w:w="921" w:type="dxa"/>
            <w:noWrap/>
            <w:vAlign w:val="bottom"/>
          </w:tcPr>
          <w:p w:rsidR="00294332" w:rsidRPr="00294332" w:rsidRDefault="00294332" w:rsidP="00294332">
            <w:pPr>
              <w:cnfStyle w:val="000000010000" w:firstRow="0" w:lastRow="0" w:firstColumn="0" w:lastColumn="0" w:oddVBand="0" w:evenVBand="0" w:oddHBand="0" w:evenHBand="1" w:firstRowFirstColumn="0" w:firstRowLastColumn="0" w:lastRowFirstColumn="0" w:lastRowLastColumn="0"/>
            </w:pPr>
            <w:r w:rsidRPr="00294332">
              <w:t>751.3</w:t>
            </w:r>
          </w:p>
        </w:tc>
        <w:tc>
          <w:tcPr>
            <w:tcW w:w="921" w:type="dxa"/>
            <w:noWrap/>
            <w:vAlign w:val="bottom"/>
          </w:tcPr>
          <w:p w:rsidR="00294332" w:rsidRPr="00294332" w:rsidRDefault="00294332" w:rsidP="00294332">
            <w:pPr>
              <w:cnfStyle w:val="000000010000" w:firstRow="0" w:lastRow="0" w:firstColumn="0" w:lastColumn="0" w:oddVBand="0" w:evenVBand="0" w:oddHBand="0" w:evenHBand="1" w:firstRowFirstColumn="0" w:firstRowLastColumn="0" w:lastRowFirstColumn="0" w:lastRowLastColumn="0"/>
            </w:pPr>
            <w:r w:rsidRPr="00294332">
              <w:t>772.7</w:t>
            </w:r>
          </w:p>
        </w:tc>
        <w:tc>
          <w:tcPr>
            <w:tcW w:w="922" w:type="dxa"/>
            <w:noWrap/>
            <w:vAlign w:val="bottom"/>
          </w:tcPr>
          <w:p w:rsidR="00294332" w:rsidRPr="00294332" w:rsidRDefault="00294332" w:rsidP="00294332">
            <w:pPr>
              <w:cnfStyle w:val="000000010000" w:firstRow="0" w:lastRow="0" w:firstColumn="0" w:lastColumn="0" w:oddVBand="0" w:evenVBand="0" w:oddHBand="0" w:evenHBand="1" w:firstRowFirstColumn="0" w:firstRowLastColumn="0" w:lastRowFirstColumn="0" w:lastRowLastColumn="0"/>
            </w:pPr>
            <w:r w:rsidRPr="00294332">
              <w:t>808.6</w:t>
            </w:r>
          </w:p>
        </w:tc>
        <w:tc>
          <w:tcPr>
            <w:tcW w:w="921" w:type="dxa"/>
            <w:noWrap/>
            <w:vAlign w:val="bottom"/>
          </w:tcPr>
          <w:p w:rsidR="00294332" w:rsidRPr="00294332" w:rsidRDefault="00294332" w:rsidP="00294332">
            <w:pPr>
              <w:cnfStyle w:val="000000010000" w:firstRow="0" w:lastRow="0" w:firstColumn="0" w:lastColumn="0" w:oddVBand="0" w:evenVBand="0" w:oddHBand="0" w:evenHBand="1" w:firstRowFirstColumn="0" w:firstRowLastColumn="0" w:lastRowFirstColumn="0" w:lastRowLastColumn="0"/>
            </w:pPr>
            <w:r w:rsidRPr="00294332">
              <w:t>837.9</w:t>
            </w:r>
          </w:p>
        </w:tc>
        <w:tc>
          <w:tcPr>
            <w:tcW w:w="921" w:type="dxa"/>
            <w:noWrap/>
            <w:vAlign w:val="bottom"/>
          </w:tcPr>
          <w:p w:rsidR="00294332" w:rsidRPr="00294332" w:rsidRDefault="00294332" w:rsidP="00294332">
            <w:pPr>
              <w:cnfStyle w:val="000000010000" w:firstRow="0" w:lastRow="0" w:firstColumn="0" w:lastColumn="0" w:oddVBand="0" w:evenVBand="0" w:oddHBand="0" w:evenHBand="1" w:firstRowFirstColumn="0" w:firstRowLastColumn="0" w:lastRowFirstColumn="0" w:lastRowLastColumn="0"/>
            </w:pPr>
            <w:r w:rsidRPr="00294332">
              <w:t>851.6</w:t>
            </w:r>
          </w:p>
        </w:tc>
        <w:tc>
          <w:tcPr>
            <w:tcW w:w="922" w:type="dxa"/>
            <w:noWrap/>
            <w:vAlign w:val="bottom"/>
          </w:tcPr>
          <w:p w:rsidR="00294332" w:rsidRPr="00294332" w:rsidRDefault="00294332" w:rsidP="00294332">
            <w:pPr>
              <w:cnfStyle w:val="000000010000" w:firstRow="0" w:lastRow="0" w:firstColumn="0" w:lastColumn="0" w:oddVBand="0" w:evenVBand="0" w:oddHBand="0" w:evenHBand="1" w:firstRowFirstColumn="0" w:firstRowLastColumn="0" w:lastRowFirstColumn="0" w:lastRowLastColumn="0"/>
            </w:pPr>
            <w:r w:rsidRPr="00294332">
              <w:t>4022.1</w:t>
            </w:r>
          </w:p>
        </w:tc>
      </w:tr>
      <w:tr w:rsidR="00294332" w:rsidRPr="00E70870" w:rsidTr="00294332">
        <w:trPr>
          <w:trHeight w:val="265"/>
        </w:trPr>
        <w:tc>
          <w:tcPr>
            <w:cnfStyle w:val="001000000000" w:firstRow="0" w:lastRow="0" w:firstColumn="1" w:lastColumn="0" w:oddVBand="0" w:evenVBand="0" w:oddHBand="0" w:evenHBand="0" w:firstRowFirstColumn="0" w:firstRowLastColumn="0" w:lastRowFirstColumn="0" w:lastRowLastColumn="0"/>
            <w:tcW w:w="3369" w:type="dxa"/>
            <w:noWrap/>
            <w:vAlign w:val="bottom"/>
            <w:hideMark/>
          </w:tcPr>
          <w:p w:rsidR="00294332" w:rsidRPr="00294332" w:rsidRDefault="00294332" w:rsidP="00294332">
            <w:pPr>
              <w:rPr>
                <w:rStyle w:val="Strong"/>
              </w:rPr>
            </w:pPr>
            <w:r w:rsidRPr="00294332">
              <w:rPr>
                <w:rStyle w:val="Strong"/>
              </w:rPr>
              <w:t>Annual expected MAR (smoothed)</w:t>
            </w:r>
          </w:p>
        </w:tc>
        <w:tc>
          <w:tcPr>
            <w:tcW w:w="921" w:type="dxa"/>
            <w:noWrap/>
            <w:vAlign w:val="bottom"/>
          </w:tcPr>
          <w:p w:rsidR="00294332" w:rsidRPr="00E70870" w:rsidRDefault="00294332" w:rsidP="00294332">
            <w:pPr>
              <w:cnfStyle w:val="000000000000" w:firstRow="0" w:lastRow="0" w:firstColumn="0" w:lastColumn="0" w:oddVBand="0" w:evenVBand="0" w:oddHBand="0" w:evenHBand="0" w:firstRowFirstColumn="0" w:firstRowLastColumn="0" w:lastRowFirstColumn="0" w:lastRowLastColumn="0"/>
              <w:rPr>
                <w:rStyle w:val="Strong"/>
              </w:rPr>
            </w:pPr>
            <w:r w:rsidRPr="00E70870">
              <w:rPr>
                <w:rStyle w:val="Strong"/>
              </w:rPr>
              <w:t>767.4</w:t>
            </w:r>
          </w:p>
        </w:tc>
        <w:tc>
          <w:tcPr>
            <w:tcW w:w="921" w:type="dxa"/>
            <w:noWrap/>
            <w:vAlign w:val="bottom"/>
          </w:tcPr>
          <w:p w:rsidR="00294332" w:rsidRPr="00E70870" w:rsidRDefault="00294332" w:rsidP="00294332">
            <w:pPr>
              <w:cnfStyle w:val="000000000000" w:firstRow="0" w:lastRow="0" w:firstColumn="0" w:lastColumn="0" w:oddVBand="0" w:evenVBand="0" w:oddHBand="0" w:evenHBand="0" w:firstRowFirstColumn="0" w:firstRowLastColumn="0" w:lastRowFirstColumn="0" w:lastRowLastColumn="0"/>
              <w:rPr>
                <w:rStyle w:val="Strong"/>
              </w:rPr>
            </w:pPr>
            <w:r w:rsidRPr="00E70870">
              <w:rPr>
                <w:rStyle w:val="Strong"/>
              </w:rPr>
              <w:t>785.0</w:t>
            </w:r>
          </w:p>
        </w:tc>
        <w:tc>
          <w:tcPr>
            <w:tcW w:w="922" w:type="dxa"/>
            <w:noWrap/>
            <w:vAlign w:val="bottom"/>
          </w:tcPr>
          <w:p w:rsidR="00294332" w:rsidRPr="00E70870" w:rsidRDefault="00294332" w:rsidP="00294332">
            <w:pPr>
              <w:cnfStyle w:val="000000000000" w:firstRow="0" w:lastRow="0" w:firstColumn="0" w:lastColumn="0" w:oddVBand="0" w:evenVBand="0" w:oddHBand="0" w:evenHBand="0" w:firstRowFirstColumn="0" w:firstRowLastColumn="0" w:lastRowFirstColumn="0" w:lastRowLastColumn="0"/>
              <w:rPr>
                <w:rStyle w:val="Strong"/>
              </w:rPr>
            </w:pPr>
            <w:r w:rsidRPr="00E70870">
              <w:rPr>
                <w:rStyle w:val="Strong"/>
              </w:rPr>
              <w:t>803.0</w:t>
            </w:r>
          </w:p>
        </w:tc>
        <w:tc>
          <w:tcPr>
            <w:tcW w:w="921" w:type="dxa"/>
            <w:noWrap/>
            <w:vAlign w:val="bottom"/>
          </w:tcPr>
          <w:p w:rsidR="00294332" w:rsidRPr="00E70870" w:rsidRDefault="00294332" w:rsidP="00294332">
            <w:pPr>
              <w:cnfStyle w:val="000000000000" w:firstRow="0" w:lastRow="0" w:firstColumn="0" w:lastColumn="0" w:oddVBand="0" w:evenVBand="0" w:oddHBand="0" w:evenHBand="0" w:firstRowFirstColumn="0" w:firstRowLastColumn="0" w:lastRowFirstColumn="0" w:lastRowLastColumn="0"/>
              <w:rPr>
                <w:rStyle w:val="Strong"/>
              </w:rPr>
            </w:pPr>
            <w:r w:rsidRPr="00E70870">
              <w:rPr>
                <w:rStyle w:val="Strong"/>
              </w:rPr>
              <w:t>821.5</w:t>
            </w:r>
          </w:p>
        </w:tc>
        <w:tc>
          <w:tcPr>
            <w:tcW w:w="921" w:type="dxa"/>
            <w:noWrap/>
            <w:vAlign w:val="bottom"/>
          </w:tcPr>
          <w:p w:rsidR="00294332" w:rsidRPr="00E70870" w:rsidRDefault="00294332" w:rsidP="00294332">
            <w:pPr>
              <w:cnfStyle w:val="000000000000" w:firstRow="0" w:lastRow="0" w:firstColumn="0" w:lastColumn="0" w:oddVBand="0" w:evenVBand="0" w:oddHBand="0" w:evenHBand="0" w:firstRowFirstColumn="0" w:firstRowLastColumn="0" w:lastRowFirstColumn="0" w:lastRowLastColumn="0"/>
              <w:rPr>
                <w:rStyle w:val="Strong"/>
              </w:rPr>
            </w:pPr>
            <w:r w:rsidRPr="00E70870">
              <w:rPr>
                <w:rStyle w:val="Strong"/>
              </w:rPr>
              <w:t>840.3</w:t>
            </w:r>
          </w:p>
        </w:tc>
        <w:tc>
          <w:tcPr>
            <w:tcW w:w="922" w:type="dxa"/>
            <w:noWrap/>
            <w:vAlign w:val="bottom"/>
          </w:tcPr>
          <w:p w:rsidR="00294332" w:rsidRPr="00E70870" w:rsidRDefault="00294332" w:rsidP="00294332">
            <w:pPr>
              <w:cnfStyle w:val="000000000000" w:firstRow="0" w:lastRow="0" w:firstColumn="0" w:lastColumn="0" w:oddVBand="0" w:evenVBand="0" w:oddHBand="0" w:evenHBand="0" w:firstRowFirstColumn="0" w:firstRowLastColumn="0" w:lastRowFirstColumn="0" w:lastRowLastColumn="0"/>
              <w:rPr>
                <w:rStyle w:val="Strong"/>
              </w:rPr>
            </w:pPr>
            <w:r w:rsidRPr="00E70870">
              <w:rPr>
                <w:rStyle w:val="Strong"/>
              </w:rPr>
              <w:t>4017.2</w:t>
            </w:r>
          </w:p>
        </w:tc>
      </w:tr>
      <w:tr w:rsidR="00294332" w:rsidRPr="00DD1300" w:rsidTr="00294332">
        <w:trPr>
          <w:cnfStyle w:val="000000010000" w:firstRow="0" w:lastRow="0" w:firstColumn="0" w:lastColumn="0" w:oddVBand="0" w:evenVBand="0" w:oddHBand="0" w:evenHBand="1"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369" w:type="dxa"/>
            <w:noWrap/>
            <w:hideMark/>
          </w:tcPr>
          <w:p w:rsidR="00294332" w:rsidRPr="00294332" w:rsidRDefault="00294332" w:rsidP="00294332">
            <w:r w:rsidRPr="00294332">
              <w:t>X factor (%)</w:t>
            </w:r>
          </w:p>
        </w:tc>
        <w:tc>
          <w:tcPr>
            <w:tcW w:w="921" w:type="dxa"/>
            <w:noWrap/>
            <w:vAlign w:val="bottom"/>
          </w:tcPr>
          <w:p w:rsidR="00294332" w:rsidRPr="00294332" w:rsidRDefault="00527C7A" w:rsidP="00294332">
            <w:pPr>
              <w:cnfStyle w:val="000000010000" w:firstRow="0" w:lastRow="0" w:firstColumn="0" w:lastColumn="0" w:oddVBand="0" w:evenVBand="0" w:oddHBand="0" w:evenHBand="1" w:firstRowFirstColumn="0" w:firstRowLastColumn="0" w:lastRowFirstColumn="0" w:lastRowLastColumn="0"/>
            </w:pPr>
            <w:r>
              <w:t>n/</w:t>
            </w:r>
            <w:proofErr w:type="spellStart"/>
            <w:r>
              <w:t>a</w:t>
            </w:r>
            <w:r w:rsidRPr="00527C7A">
              <w:rPr>
                <w:rStyle w:val="AERsuperscript"/>
              </w:rPr>
              <w:t>f</w:t>
            </w:r>
            <w:proofErr w:type="spellEnd"/>
          </w:p>
        </w:tc>
        <w:tc>
          <w:tcPr>
            <w:tcW w:w="921" w:type="dxa"/>
            <w:noWrap/>
            <w:vAlign w:val="bottom"/>
          </w:tcPr>
          <w:p w:rsidR="00294332" w:rsidRPr="00294332" w:rsidRDefault="00294332" w:rsidP="00294332">
            <w:pPr>
              <w:cnfStyle w:val="000000010000" w:firstRow="0" w:lastRow="0" w:firstColumn="0" w:lastColumn="0" w:oddVBand="0" w:evenVBand="0" w:oddHBand="0" w:evenHBand="1" w:firstRowFirstColumn="0" w:firstRowLastColumn="0" w:lastRowFirstColumn="0" w:lastRowLastColumn="0"/>
            </w:pPr>
            <w:r w:rsidRPr="00294332">
              <w:t>0.15%</w:t>
            </w:r>
          </w:p>
        </w:tc>
        <w:tc>
          <w:tcPr>
            <w:tcW w:w="922" w:type="dxa"/>
            <w:noWrap/>
            <w:vAlign w:val="bottom"/>
          </w:tcPr>
          <w:p w:rsidR="00294332" w:rsidRPr="00294332" w:rsidRDefault="00294332" w:rsidP="00294332">
            <w:pPr>
              <w:cnfStyle w:val="000000010000" w:firstRow="0" w:lastRow="0" w:firstColumn="0" w:lastColumn="0" w:oddVBand="0" w:evenVBand="0" w:oddHBand="0" w:evenHBand="1" w:firstRowFirstColumn="0" w:firstRowLastColumn="0" w:lastRowFirstColumn="0" w:lastRowLastColumn="0"/>
            </w:pPr>
            <w:r w:rsidRPr="00294332">
              <w:t>0.15%</w:t>
            </w:r>
          </w:p>
        </w:tc>
        <w:tc>
          <w:tcPr>
            <w:tcW w:w="921" w:type="dxa"/>
            <w:noWrap/>
            <w:vAlign w:val="bottom"/>
          </w:tcPr>
          <w:p w:rsidR="00294332" w:rsidRPr="00294332" w:rsidRDefault="00294332" w:rsidP="00294332">
            <w:pPr>
              <w:cnfStyle w:val="000000010000" w:firstRow="0" w:lastRow="0" w:firstColumn="0" w:lastColumn="0" w:oddVBand="0" w:evenVBand="0" w:oddHBand="0" w:evenHBand="1" w:firstRowFirstColumn="0" w:firstRowLastColumn="0" w:lastRowFirstColumn="0" w:lastRowLastColumn="0"/>
            </w:pPr>
            <w:r w:rsidRPr="00294332">
              <w:t>0.15%</w:t>
            </w:r>
          </w:p>
        </w:tc>
        <w:tc>
          <w:tcPr>
            <w:tcW w:w="921" w:type="dxa"/>
            <w:noWrap/>
            <w:vAlign w:val="bottom"/>
          </w:tcPr>
          <w:p w:rsidR="00294332" w:rsidRPr="00294332" w:rsidRDefault="00294332" w:rsidP="00294332">
            <w:pPr>
              <w:cnfStyle w:val="000000010000" w:firstRow="0" w:lastRow="0" w:firstColumn="0" w:lastColumn="0" w:oddVBand="0" w:evenVBand="0" w:oddHBand="0" w:evenHBand="1" w:firstRowFirstColumn="0" w:firstRowLastColumn="0" w:lastRowFirstColumn="0" w:lastRowLastColumn="0"/>
            </w:pPr>
            <w:r w:rsidRPr="00294332">
              <w:t>0.15%</w:t>
            </w:r>
          </w:p>
        </w:tc>
        <w:tc>
          <w:tcPr>
            <w:tcW w:w="922" w:type="dxa"/>
            <w:noWrap/>
            <w:vAlign w:val="bottom"/>
          </w:tcPr>
          <w:p w:rsidR="00294332" w:rsidRPr="00294332" w:rsidRDefault="00294332">
            <w:pPr>
              <w:cnfStyle w:val="000000010000" w:firstRow="0" w:lastRow="0" w:firstColumn="0" w:lastColumn="0" w:oddVBand="0" w:evenVBand="0" w:oddHBand="0" w:evenHBand="1" w:firstRowFirstColumn="0" w:firstRowLastColumn="0" w:lastRowFirstColumn="0" w:lastRowLastColumn="0"/>
            </w:pPr>
            <w:r w:rsidRPr="00294332">
              <w:t>n/a</w:t>
            </w:r>
          </w:p>
        </w:tc>
      </w:tr>
    </w:tbl>
    <w:p w:rsidR="00782D05" w:rsidRPr="00294332" w:rsidRDefault="00782D05" w:rsidP="00294332">
      <w:pPr>
        <w:pStyle w:val="AERtablesource"/>
      </w:pPr>
      <w:r w:rsidRPr="00294332">
        <w:t>Source:</w:t>
      </w:r>
      <w:r w:rsidRPr="00294332">
        <w:tab/>
      </w:r>
      <w:r w:rsidR="009C7114" w:rsidRPr="00294332">
        <w:t>Powerlink</w:t>
      </w:r>
      <w:r w:rsidRPr="00294332">
        <w:t xml:space="preserve">, </w:t>
      </w:r>
      <w:r w:rsidRPr="00294332">
        <w:rPr>
          <w:rStyle w:val="AERtextitalic"/>
        </w:rPr>
        <w:t>Revenue proposal</w:t>
      </w:r>
      <w:r w:rsidRPr="00294332">
        <w:t xml:space="preserve">, </w:t>
      </w:r>
      <w:r w:rsidR="00294332">
        <w:t>January</w:t>
      </w:r>
      <w:r w:rsidRPr="00294332">
        <w:t xml:space="preserve"> 201</w:t>
      </w:r>
      <w:r w:rsidR="00294332">
        <w:t>6</w:t>
      </w:r>
      <w:r w:rsidRPr="00294332">
        <w:t>, p.</w:t>
      </w:r>
      <w:r w:rsidR="00294332">
        <w:t xml:space="preserve"> 101</w:t>
      </w:r>
      <w:r w:rsidRPr="00294332">
        <w:t>.</w:t>
      </w:r>
    </w:p>
    <w:p w:rsidR="007B4A42" w:rsidRDefault="00782D05" w:rsidP="007B4A42">
      <w:pPr>
        <w:pStyle w:val="AERtablesource"/>
      </w:pPr>
      <w:r>
        <w:t>(a)</w:t>
      </w:r>
      <w:r>
        <w:tab/>
      </w:r>
      <w:r w:rsidR="007B4A42" w:rsidRPr="00782D05">
        <w:t xml:space="preserve">Regulatory depreciation is </w:t>
      </w:r>
      <w:r w:rsidR="00B247BA">
        <w:t>straight-line</w:t>
      </w:r>
      <w:r w:rsidR="00B247BA" w:rsidRPr="00782D05">
        <w:t xml:space="preserve"> </w:t>
      </w:r>
      <w:r w:rsidR="007B4A42" w:rsidRPr="00782D05">
        <w:t>depreciation net of the inflation indexation on the opening RAB.</w:t>
      </w:r>
    </w:p>
    <w:p w:rsidR="007B4A42" w:rsidRPr="007B4A42" w:rsidRDefault="007B4A42" w:rsidP="007B4A42">
      <w:pPr>
        <w:pStyle w:val="AERtablesource"/>
      </w:pPr>
      <w:r>
        <w:t>(b)</w:t>
      </w:r>
      <w:r>
        <w:tab/>
        <w:t>Operating expenditure includes debt raising costs.</w:t>
      </w:r>
    </w:p>
    <w:p w:rsidR="00782D05" w:rsidRPr="00B408B4" w:rsidRDefault="007B4A42" w:rsidP="00782D05">
      <w:pPr>
        <w:pStyle w:val="AERtablesource"/>
      </w:pPr>
      <w:r>
        <w:t>(c</w:t>
      </w:r>
      <w:r w:rsidR="00782D05">
        <w:t>)</w:t>
      </w:r>
      <w:r w:rsidR="00782D05">
        <w:tab/>
        <w:t>Includes efficiency benefit sharing scheme</w:t>
      </w:r>
      <w:r w:rsidR="00B247BA">
        <w:t xml:space="preserve"> amounts</w:t>
      </w:r>
      <w:r w:rsidR="00782D05">
        <w:t>.</w:t>
      </w:r>
    </w:p>
    <w:p w:rsidR="00527C7A" w:rsidRDefault="007B4A42" w:rsidP="00527C7A">
      <w:pPr>
        <w:pStyle w:val="AERtablesource"/>
      </w:pPr>
      <w:r>
        <w:t>(</w:t>
      </w:r>
      <w:r w:rsidR="00B247BA">
        <w:t>d</w:t>
      </w:r>
      <w:r w:rsidR="00782D05">
        <w:t>)</w:t>
      </w:r>
      <w:r w:rsidR="00782D05">
        <w:tab/>
      </w:r>
      <w:r w:rsidR="00527C7A" w:rsidRPr="00527C7A">
        <w:t>The estimated total revenue cap is equal to the total annual expected MAR</w:t>
      </w:r>
    </w:p>
    <w:p w:rsidR="00527C7A" w:rsidRPr="00527C7A" w:rsidRDefault="00527C7A" w:rsidP="00527C7A">
      <w:pPr>
        <w:pStyle w:val="AERtablesource"/>
      </w:pPr>
      <w:r>
        <w:t>(f)</w:t>
      </w:r>
      <w:r>
        <w:tab/>
      </w:r>
      <w:r w:rsidRPr="00527C7A">
        <w:t>Powerlink is not required to apply an X factor for 2017–18 because we set the 2017–18 MAR in this decision</w:t>
      </w:r>
      <w:r w:rsidR="00782D05" w:rsidRPr="00DD1300">
        <w:t>.</w:t>
      </w:r>
    </w:p>
    <w:p w:rsidR="00132D43" w:rsidRDefault="00132D43" w:rsidP="00132D43">
      <w:pPr>
        <w:pStyle w:val="Heading2"/>
      </w:pPr>
      <w:bookmarkStart w:id="77" w:name="_Toc462749075"/>
      <w:r>
        <w:t>Assessment approach</w:t>
      </w:r>
      <w:bookmarkEnd w:id="77"/>
    </w:p>
    <w:p w:rsidR="00782D05" w:rsidRDefault="00782D05" w:rsidP="00782D05">
      <w:r>
        <w:t xml:space="preserve">In this section, we describe the building block approach used to determine the TNSP’s expected MAR. We also set out the annual revenue adjustment to be applied to </w:t>
      </w:r>
      <w:r w:rsidR="009C7114">
        <w:t>Powerlink</w:t>
      </w:r>
      <w:r>
        <w:t>’</w:t>
      </w:r>
      <w:r w:rsidR="00A844FB">
        <w:t>s</w:t>
      </w:r>
      <w:r>
        <w:t xml:space="preserve"> MAR over the 2017–22 regulatory control </w:t>
      </w:r>
      <w:proofErr w:type="gramStart"/>
      <w:r>
        <w:t>period</w:t>
      </w:r>
      <w:proofErr w:type="gramEnd"/>
      <w:r>
        <w:t>.</w:t>
      </w:r>
    </w:p>
    <w:p w:rsidR="00782D05" w:rsidRPr="00782D05" w:rsidRDefault="00782D05" w:rsidP="00782D05">
      <w:pPr>
        <w:pStyle w:val="Heading3"/>
      </w:pPr>
      <w:bookmarkStart w:id="78" w:name="_Toc441242142"/>
      <w:bookmarkStart w:id="79" w:name="_Toc462749076"/>
      <w:r>
        <w:t>The building block approach</w:t>
      </w:r>
      <w:bookmarkEnd w:id="78"/>
      <w:bookmarkEnd w:id="79"/>
    </w:p>
    <w:p w:rsidR="00782D05" w:rsidRDefault="00782D05" w:rsidP="00782D05">
      <w:r>
        <w:t>The MAR is calculated using the post-tax revenue model (PTRM).</w:t>
      </w:r>
      <w:r>
        <w:rPr>
          <w:rStyle w:val="FootnoteReference"/>
        </w:rPr>
        <w:footnoteReference w:id="3"/>
      </w:r>
      <w:r>
        <w:t xml:space="preserve"> The PTRM must be such that the expected MAR for each year of the regulatory control period is equal to the net present value (NPV) of the annual building block revenue requirement for the TNSP for each year, and the total revenue cap is the sum of the MARs for each year.</w:t>
      </w:r>
      <w:r>
        <w:rPr>
          <w:rStyle w:val="FootnoteReference"/>
        </w:rPr>
        <w:footnoteReference w:id="4"/>
      </w:r>
      <w:r>
        <w:t xml:space="preserve"> In turn, the annual building block revenue requirement must be determined using a building block approach.</w:t>
      </w:r>
      <w:r>
        <w:rPr>
          <w:rStyle w:val="FootnoteReference"/>
        </w:rPr>
        <w:footnoteReference w:id="5"/>
      </w:r>
      <w:r>
        <w:t xml:space="preserve"> Therefore, we adopt a building block approach when making our decision on a TNSP's total revenue cap and expected MAR for each regulatory year of the regulatory control period. Under this approach we determine the value of </w:t>
      </w:r>
      <w:r>
        <w:lastRenderedPageBreak/>
        <w:t xml:space="preserve">the building block costs that make up the annual building block revenue requirement for each regulatory year. </w:t>
      </w:r>
      <w:r w:rsidRPr="009E4C22">
        <w:t>These building block costs are set out in section</w:t>
      </w:r>
      <w:r w:rsidR="003926B6">
        <w:t xml:space="preserve"> </w:t>
      </w:r>
      <w:r w:rsidR="00B247BA">
        <w:fldChar w:fldCharType="begin"/>
      </w:r>
      <w:r w:rsidR="00B247BA">
        <w:instrText xml:space="preserve"> REF _Ref456076334 \r \h </w:instrText>
      </w:r>
      <w:r w:rsidR="00B247BA">
        <w:fldChar w:fldCharType="separate"/>
      </w:r>
      <w:r w:rsidR="00EA21A9">
        <w:t>1.3.2</w:t>
      </w:r>
      <w:r w:rsidR="00B247BA">
        <w:fldChar w:fldCharType="end"/>
      </w:r>
      <w:r>
        <w:t>.</w:t>
      </w:r>
    </w:p>
    <w:p w:rsidR="00782D05" w:rsidRDefault="00782D05" w:rsidP="00782D05">
      <w:r>
        <w:t>We developed the PTRM, which brings together the various building block costs and calculates the annual building block revenue requirement for each year of the regulatory control period.</w:t>
      </w:r>
      <w:r>
        <w:rPr>
          <w:rStyle w:val="FootnoteReference"/>
        </w:rPr>
        <w:footnoteReference w:id="6"/>
      </w:r>
      <w:r>
        <w:t xml:space="preserve"> The PTRM also calculates the X factors required under the CPI–X methodology which is used to escalate the MAR for each year (other than the first year) of the regulatory control period.</w:t>
      </w:r>
      <w:r>
        <w:rPr>
          <w:rStyle w:val="FootnoteReference"/>
        </w:rPr>
        <w:footnoteReference w:id="7"/>
      </w:r>
      <w:r>
        <w:t xml:space="preserve"> Using the X factors and annual building block revenue requirement, the annual expected MAR (smoothed) is forecast for each year of the regulatory control period. A TNSP’s revenue proposal must be prepared using our PTRM.</w:t>
      </w:r>
      <w:r>
        <w:rPr>
          <w:rStyle w:val="FootnoteReference"/>
        </w:rPr>
        <w:footnoteReference w:id="8"/>
      </w:r>
    </w:p>
    <w:p w:rsidR="00782D05" w:rsidRDefault="00782D05" w:rsidP="00782D05">
      <w:r w:rsidRPr="0076152C">
        <w:t xml:space="preserve">The annual building block revenue requirement can be lumpy over the regulatory control period. To minimise price shocks, revenues are smoothed within a regulatory control period while maintaining the principle of cost recovery under the building block approach. Smoothing requires diverting some of the cost recovery to adjacent years within the regulatory control period so that the </w:t>
      </w:r>
      <w:r>
        <w:t>NPV</w:t>
      </w:r>
      <w:r w:rsidRPr="0076152C">
        <w:t xml:space="preserve"> of the annual expected MAR (smoothed revenues) is equal to the </w:t>
      </w:r>
      <w:r>
        <w:t>NPV</w:t>
      </w:r>
      <w:r w:rsidRPr="0076152C">
        <w:t xml:space="preserve"> of the annual building block revenue requirement (unsmoothed revenues). That is, a smoothed profile of the expected MAR is determined for the regulatory control period under the CPI–X methodology.</w:t>
      </w:r>
      <w:r>
        <w:t xml:space="preserve"> </w:t>
      </w:r>
    </w:p>
    <w:p w:rsidR="00782D05" w:rsidRDefault="00782D05" w:rsidP="00782D05">
      <w:r>
        <w:t>The expected MAR for the first year is generally set equal to the annual building block revenue requirement for the first year of the regulatory control period.</w:t>
      </w:r>
      <w:r w:rsidRPr="00C00D0B">
        <w:t xml:space="preserve"> </w:t>
      </w:r>
      <w:r>
        <w:t>It may be appropriate to set the expected MAR for the first year to align with the MAR from the last year of the previous regulatory control period to avoid any large revenue variation between periods (or P</w:t>
      </w:r>
      <w:r w:rsidRPr="006560A1">
        <w:rPr>
          <w:rStyle w:val="AERsubscript"/>
        </w:rPr>
        <w:t>0</w:t>
      </w:r>
      <w:r>
        <w:t>):</w:t>
      </w:r>
      <w:r>
        <w:rPr>
          <w:rStyle w:val="FootnoteReference"/>
        </w:rPr>
        <w:footnoteReference w:id="9"/>
      </w:r>
    </w:p>
    <w:p w:rsidR="00782D05" w:rsidRPr="00A6711D" w:rsidRDefault="00782D05" w:rsidP="00782D05">
      <w:pPr>
        <w:rPr>
          <w:rStyle w:val="AERsubscript"/>
        </w:rPr>
      </w:pPr>
      <w:r>
        <w:tab/>
        <w:t>MAR</w:t>
      </w:r>
      <w:r w:rsidRPr="00AE034B">
        <w:rPr>
          <w:rStyle w:val="AERsubscript"/>
        </w:rPr>
        <w:t>1</w:t>
      </w:r>
      <w:r>
        <w:tab/>
        <w:t>=</w:t>
      </w:r>
      <w:r>
        <w:tab/>
        <w:t>AR</w:t>
      </w:r>
      <w:r w:rsidRPr="00AE034B">
        <w:rPr>
          <w:rStyle w:val="AERsubscript"/>
        </w:rPr>
        <w:t>1</w:t>
      </w:r>
      <w:r w:rsidRPr="00A6711D">
        <w:t xml:space="preserve"> </w:t>
      </w:r>
      <w:r>
        <w:t>or MAR</w:t>
      </w:r>
      <w:r>
        <w:rPr>
          <w:rStyle w:val="AERsubscript"/>
        </w:rPr>
        <w:t>L</w:t>
      </w:r>
    </w:p>
    <w:p w:rsidR="00782D05" w:rsidRDefault="00782D05" w:rsidP="00782D05">
      <w:proofErr w:type="gramStart"/>
      <w:r>
        <w:t>where</w:t>
      </w:r>
      <w:proofErr w:type="gramEnd"/>
      <w:r>
        <w:t>:</w:t>
      </w:r>
    </w:p>
    <w:p w:rsidR="00782D05" w:rsidRDefault="00782D05" w:rsidP="00782D05">
      <w:r>
        <w:tab/>
        <w:t>MAR</w:t>
      </w:r>
      <w:r w:rsidRPr="00AE034B">
        <w:rPr>
          <w:rStyle w:val="AERsubscript"/>
        </w:rPr>
        <w:t>1</w:t>
      </w:r>
      <w:r>
        <w:t xml:space="preserve"> </w:t>
      </w:r>
      <w:r>
        <w:tab/>
        <w:t>=</w:t>
      </w:r>
      <w:r>
        <w:tab/>
        <w:t xml:space="preserve">the maximum allowed revenue for year 1 of the next regulatory </w:t>
      </w:r>
      <w:r>
        <w:tab/>
      </w:r>
      <w:r>
        <w:tab/>
      </w:r>
      <w:r>
        <w:tab/>
      </w:r>
      <w:r>
        <w:tab/>
      </w:r>
      <w:r>
        <w:tab/>
      </w:r>
      <w:r>
        <w:tab/>
        <w:t>control period</w:t>
      </w:r>
    </w:p>
    <w:p w:rsidR="00782D05" w:rsidRDefault="00782D05" w:rsidP="00782D05">
      <w:r>
        <w:tab/>
        <w:t>AR</w:t>
      </w:r>
      <w:r w:rsidRPr="00AE034B">
        <w:rPr>
          <w:rStyle w:val="AERsubscript"/>
        </w:rPr>
        <w:t>1</w:t>
      </w:r>
      <w:r>
        <w:t xml:space="preserve"> </w:t>
      </w:r>
      <w:r>
        <w:tab/>
        <w:t>=</w:t>
      </w:r>
      <w:r>
        <w:tab/>
        <w:t xml:space="preserve">the annual building block revenue requirement for year 1 of the next </w:t>
      </w:r>
      <w:r>
        <w:tab/>
      </w:r>
      <w:r>
        <w:tab/>
      </w:r>
      <w:r>
        <w:tab/>
      </w:r>
      <w:r>
        <w:tab/>
      </w:r>
      <w:r>
        <w:tab/>
        <w:t>regulatory control period</w:t>
      </w:r>
    </w:p>
    <w:p w:rsidR="00782D05" w:rsidRDefault="00782D05" w:rsidP="00782D05">
      <w:r>
        <w:tab/>
        <w:t>MAR</w:t>
      </w:r>
      <w:r>
        <w:rPr>
          <w:rStyle w:val="AERsubscript"/>
        </w:rPr>
        <w:t>L</w:t>
      </w:r>
      <w:r>
        <w:t xml:space="preserve"> </w:t>
      </w:r>
      <w:r>
        <w:tab/>
        <w:t>~</w:t>
      </w:r>
      <w:r>
        <w:tab/>
        <w:t xml:space="preserve">the maximum allowed revenue for the last year of the previous </w:t>
      </w:r>
      <w:r>
        <w:tab/>
      </w:r>
      <w:r>
        <w:tab/>
      </w:r>
      <w:r>
        <w:tab/>
      </w:r>
      <w:r>
        <w:tab/>
      </w:r>
      <w:r>
        <w:tab/>
      </w:r>
      <w:r>
        <w:tab/>
        <w:t>regulatory control period.</w:t>
      </w:r>
    </w:p>
    <w:p w:rsidR="00782D05" w:rsidRPr="0076152C" w:rsidRDefault="00782D05" w:rsidP="00782D05">
      <w:r>
        <w:t xml:space="preserve">To enable the formula for the annual revenue adjustment process (discussed below in section </w:t>
      </w:r>
      <w:r>
        <w:fldChar w:fldCharType="begin"/>
      </w:r>
      <w:r>
        <w:instrText xml:space="preserve"> REF _Ref441233137 \r \h </w:instrText>
      </w:r>
      <w:r>
        <w:fldChar w:fldCharType="separate"/>
      </w:r>
      <w:r w:rsidR="00EA21A9">
        <w:t>0</w:t>
      </w:r>
      <w:r>
        <w:fldChar w:fldCharType="end"/>
      </w:r>
      <w:r>
        <w:t xml:space="preserve">) to operate correctly, we will refer to the MAR determined in this decision </w:t>
      </w:r>
      <w:r>
        <w:lastRenderedPageBreak/>
        <w:t>using the building block costs as the allowed revenue (AR). This is because the expected MAR determined using the building block costs do not incorporate performance incentive scheme revenue adjustments and pass through amounts that may apply to each regulatory year.</w:t>
      </w:r>
    </w:p>
    <w:p w:rsidR="00782D05" w:rsidRPr="000E3B05" w:rsidRDefault="00782D05" w:rsidP="00782D05">
      <w:r w:rsidRPr="000E3B05">
        <w:t xml:space="preserve">In this determination we first calculate </w:t>
      </w:r>
      <w:r>
        <w:t>annual building block revenue requirements</w:t>
      </w:r>
      <w:r w:rsidRPr="000E3B05">
        <w:t xml:space="preserve"> for each year of the 201</w:t>
      </w:r>
      <w:r>
        <w:t>7</w:t>
      </w:r>
      <w:r w:rsidRPr="000E3B05">
        <w:t>–</w:t>
      </w:r>
      <w:r>
        <w:t>22</w:t>
      </w:r>
      <w:r w:rsidRPr="000E3B05">
        <w:t xml:space="preserve"> </w:t>
      </w:r>
      <w:r>
        <w:t xml:space="preserve">regulatory control </w:t>
      </w:r>
      <w:proofErr w:type="gramStart"/>
      <w:r w:rsidRPr="000E3B05">
        <w:t>period</w:t>
      </w:r>
      <w:proofErr w:type="gramEnd"/>
      <w:r w:rsidRPr="000E3B05">
        <w:t xml:space="preserve">. To do this we consider the various costs facing the </w:t>
      </w:r>
      <w:r>
        <w:t>TNSP</w:t>
      </w:r>
      <w:r w:rsidRPr="000E3B05">
        <w:t xml:space="preserve"> and the trade-offs and interactions between these costs, service quality and across years. This reflects the AER's holistic assessment of the </w:t>
      </w:r>
      <w:r>
        <w:t>TNSP's</w:t>
      </w:r>
      <w:r w:rsidRPr="000E3B05">
        <w:t xml:space="preserve"> proposal.</w:t>
      </w:r>
    </w:p>
    <w:p w:rsidR="00782D05" w:rsidRDefault="00782D05" w:rsidP="00782D05">
      <w:r w:rsidRPr="00361E04">
        <w:t>We understand the trade-offs that occur between building block costs and test the sensitivity of these costs to their various driver elements. These trade-offs are</w:t>
      </w:r>
      <w:r>
        <w:t xml:space="preserve"> </w:t>
      </w:r>
      <w:r w:rsidRPr="00361E04">
        <w:t xml:space="preserve">discussed in the interrelationships section of the various attachments to this </w:t>
      </w:r>
      <w:r>
        <w:t xml:space="preserve">draft </w:t>
      </w:r>
      <w:r w:rsidRPr="00361E04">
        <w:t>decision and are reflected in the calculations made in the PTRM developed by the AER.</w:t>
      </w:r>
      <w:r>
        <w:rPr>
          <w:rStyle w:val="FootnoteReference"/>
        </w:rPr>
        <w:footnoteReference w:id="10"/>
      </w:r>
      <w:r w:rsidRPr="00361E04">
        <w:t xml:space="preserve"> Such understanding allows the AER to exercise judgement in determining the final inputs into the PTRM and the </w:t>
      </w:r>
      <w:r>
        <w:t>annual building block revenue requirements</w:t>
      </w:r>
      <w:r w:rsidRPr="00361E04">
        <w:t xml:space="preserve"> that result from this modelling.</w:t>
      </w:r>
    </w:p>
    <w:p w:rsidR="00782D05" w:rsidRDefault="00782D05" w:rsidP="00782D05">
      <w:bookmarkStart w:id="80" w:name="_Ref437864063"/>
      <w:r w:rsidRPr="00DD25CD">
        <w:t xml:space="preserve">Having determined the total annual building block revenue requirement for the </w:t>
      </w:r>
      <w:r>
        <w:br/>
      </w:r>
      <w:r w:rsidRPr="00DD25CD">
        <w:t>201</w:t>
      </w:r>
      <w:r>
        <w:t>7</w:t>
      </w:r>
      <w:r w:rsidRPr="00DD25CD">
        <w:t>–2</w:t>
      </w:r>
      <w:r>
        <w:t>2</w:t>
      </w:r>
      <w:r w:rsidRPr="00DD25CD">
        <w:t xml:space="preserve"> regulatory control </w:t>
      </w:r>
      <w:proofErr w:type="gramStart"/>
      <w:r w:rsidRPr="00DD25CD">
        <w:t>period</w:t>
      </w:r>
      <w:proofErr w:type="gramEnd"/>
      <w:r w:rsidRPr="00DD25CD">
        <w:t>, the annual building block revenue requirements for each regulatory year are smoothed across that period to reduce revenue variations between years and to come up with the expected MAR for each year.</w:t>
      </w:r>
      <w:r w:rsidRPr="000E3B05">
        <w:t xml:space="preserve"> </w:t>
      </w:r>
      <w:r>
        <w:t>This is done through the determination of the X factors.</w:t>
      </w:r>
      <w:r>
        <w:rPr>
          <w:rStyle w:val="FootnoteReference"/>
        </w:rPr>
        <w:footnoteReference w:id="11"/>
      </w:r>
      <w:r>
        <w:t xml:space="preserve"> The X factors must equalise (in NPV terms) the total expected revenue cap to be earned by the TNSP with the total building block revenue requirement for the 2017–22 regulatory control period.</w:t>
      </w:r>
      <w:r>
        <w:rPr>
          <w:rStyle w:val="FootnoteReference"/>
        </w:rPr>
        <w:footnoteReference w:id="12"/>
      </w:r>
      <w:r>
        <w:t xml:space="preserve"> The X factor must minimise, as far as reasonably possible, the variance between the expected MAR and annual building block revenue requirement for the last regulatory year of the period.</w:t>
      </w:r>
      <w:r>
        <w:rPr>
          <w:rStyle w:val="FootnoteReference"/>
        </w:rPr>
        <w:footnoteReference w:id="13"/>
      </w:r>
      <w:r>
        <w:t xml:space="preserve"> </w:t>
      </w:r>
      <w:r w:rsidRPr="000E3B05">
        <w:t xml:space="preserve">We therefore consider a divergence of up to 3 per cent between the expected </w:t>
      </w:r>
      <w:r>
        <w:t>MAR</w:t>
      </w:r>
      <w:r w:rsidRPr="000E3B05">
        <w:t xml:space="preserve"> and </w:t>
      </w:r>
      <w:r>
        <w:t>annual building block revenue requirement</w:t>
      </w:r>
      <w:r w:rsidRPr="000E3B05">
        <w:t xml:space="preserve"> for the last year of the regulatory c</w:t>
      </w:r>
      <w:r w:rsidR="00DF1A4A">
        <w:t xml:space="preserve">ontrol period is reasonable, </w:t>
      </w:r>
      <w:r w:rsidR="008049D6">
        <w:t xml:space="preserve">if </w:t>
      </w:r>
      <w:r w:rsidRPr="000E3B05">
        <w:t>this can promote smoother price changes over the regulatory control period.</w:t>
      </w:r>
    </w:p>
    <w:p w:rsidR="00782D05" w:rsidRDefault="00782D05" w:rsidP="00782D05">
      <w:r>
        <w:t>The building block costs (and the elements that drive those costs) used to determine the unsmoothed annual building block revenue requirements are set out below.</w:t>
      </w:r>
    </w:p>
    <w:p w:rsidR="008049D6" w:rsidRDefault="008049D6" w:rsidP="00782D05"/>
    <w:p w:rsidR="00782D05" w:rsidRPr="00782D05" w:rsidRDefault="00782D05" w:rsidP="00782D05">
      <w:pPr>
        <w:pStyle w:val="Heading3"/>
      </w:pPr>
      <w:bookmarkStart w:id="81" w:name="_Toc441242143"/>
      <w:bookmarkStart w:id="82" w:name="_Ref456076334"/>
      <w:bookmarkStart w:id="83" w:name="_Toc462749077"/>
      <w:r>
        <w:lastRenderedPageBreak/>
        <w:t>The building block costs</w:t>
      </w:r>
      <w:bookmarkEnd w:id="80"/>
      <w:bookmarkEnd w:id="81"/>
      <w:bookmarkEnd w:id="82"/>
      <w:bookmarkEnd w:id="83"/>
    </w:p>
    <w:p w:rsidR="00782D05" w:rsidRDefault="00782D05" w:rsidP="00782D05">
      <w:r>
        <w:t xml:space="preserve">The efficient costs to be recovered by a TNSP can be thought of as being made up of various building block costs. Our draft decision assesses each of the building block costs and the elements that drive these costs. The building block costs are approved reflecting trade-offs and interactions between the cost elements, service quality and across years. </w:t>
      </w:r>
    </w:p>
    <w:p w:rsidR="00782D05" w:rsidRDefault="00782D05" w:rsidP="00782D05">
      <w:r>
        <w:fldChar w:fldCharType="begin"/>
      </w:r>
      <w:r>
        <w:instrText xml:space="preserve"> REF _Ref437865892 \h </w:instrText>
      </w:r>
      <w:r>
        <w:fldChar w:fldCharType="separate"/>
      </w:r>
      <w:r w:rsidR="00EA21A9">
        <w:t xml:space="preserve">Table </w:t>
      </w:r>
      <w:r w:rsidR="00EA21A9">
        <w:rPr>
          <w:noProof/>
        </w:rPr>
        <w:t>1</w:t>
      </w:r>
      <w:r w:rsidR="00EA21A9">
        <w:t>.</w:t>
      </w:r>
      <w:r w:rsidR="00EA21A9">
        <w:rPr>
          <w:noProof/>
        </w:rPr>
        <w:t>3</w:t>
      </w:r>
      <w:r>
        <w:fldChar w:fldCharType="end"/>
      </w:r>
      <w:r>
        <w:t xml:space="preserve"> shows the building block costs that form the annual building block revenue requirement for each year and where discussion on the elements that drive these costs can be found within this draft decision.</w:t>
      </w:r>
    </w:p>
    <w:p w:rsidR="00782D05" w:rsidRDefault="00782D05" w:rsidP="00782D05">
      <w:pPr>
        <w:pStyle w:val="Caption"/>
      </w:pPr>
      <w:bookmarkStart w:id="84" w:name="_Ref437865892"/>
      <w:proofErr w:type="gramStart"/>
      <w:r>
        <w:t xml:space="preserve">Table </w:t>
      </w:r>
      <w:fldSimple w:instr=" STYLEREF 1 \s ">
        <w:r w:rsidR="00EA21A9">
          <w:rPr>
            <w:noProof/>
          </w:rPr>
          <w:t>1</w:t>
        </w:r>
      </w:fldSimple>
      <w:r>
        <w:t>.</w:t>
      </w:r>
      <w:proofErr w:type="gramEnd"/>
      <w:r>
        <w:fldChar w:fldCharType="begin"/>
      </w:r>
      <w:r>
        <w:instrText xml:space="preserve"> SEQ Table \* ARABIC \s 1 </w:instrText>
      </w:r>
      <w:r>
        <w:fldChar w:fldCharType="separate"/>
      </w:r>
      <w:r w:rsidR="00EA21A9">
        <w:rPr>
          <w:noProof/>
        </w:rPr>
        <w:t>3</w:t>
      </w:r>
      <w:r>
        <w:fldChar w:fldCharType="end"/>
      </w:r>
      <w:bookmarkEnd w:id="84"/>
      <w:r>
        <w:tab/>
        <w:t>Building block costs</w:t>
      </w:r>
    </w:p>
    <w:tbl>
      <w:tblPr>
        <w:tblStyle w:val="AERtable-numbers"/>
        <w:tblW w:w="0" w:type="auto"/>
        <w:tblLook w:val="04A0" w:firstRow="1" w:lastRow="0" w:firstColumn="1" w:lastColumn="0" w:noHBand="0" w:noVBand="1"/>
      </w:tblPr>
      <w:tblGrid>
        <w:gridCol w:w="4346"/>
        <w:gridCol w:w="4347"/>
      </w:tblGrid>
      <w:tr w:rsidR="00782D05" w:rsidRPr="00D905AD" w:rsidTr="00AE78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782D05" w:rsidRPr="00782D05" w:rsidRDefault="00782D05" w:rsidP="00782D05">
            <w:r w:rsidRPr="00D905AD">
              <w:t>Building block costs</w:t>
            </w:r>
          </w:p>
        </w:tc>
        <w:tc>
          <w:tcPr>
            <w:tcW w:w="4347" w:type="dxa"/>
            <w:vAlign w:val="top"/>
          </w:tcPr>
          <w:p w:rsidR="00782D05" w:rsidRPr="00782D05" w:rsidRDefault="00782D05" w:rsidP="00782D05">
            <w:pPr>
              <w:cnfStyle w:val="100000000000" w:firstRow="1" w:lastRow="0" w:firstColumn="0" w:lastColumn="0" w:oddVBand="0" w:evenVBand="0" w:oddHBand="0" w:evenHBand="0" w:firstRowFirstColumn="0" w:firstRowLastColumn="0" w:lastRowFirstColumn="0" w:lastRowLastColumn="0"/>
            </w:pPr>
            <w:r w:rsidRPr="00D905AD">
              <w:t>Attachments where elements are discussed</w:t>
            </w:r>
          </w:p>
        </w:tc>
      </w:tr>
      <w:tr w:rsidR="00782D05" w:rsidRPr="00D905AD" w:rsidTr="00AE780A">
        <w:tc>
          <w:tcPr>
            <w:cnfStyle w:val="001000000000" w:firstRow="0" w:lastRow="0" w:firstColumn="1" w:lastColumn="0" w:oddVBand="0" w:evenVBand="0" w:oddHBand="0" w:evenHBand="0" w:firstRowFirstColumn="0" w:firstRowLastColumn="0" w:lastRowFirstColumn="0" w:lastRowLastColumn="0"/>
            <w:tcW w:w="4346" w:type="dxa"/>
            <w:vAlign w:val="top"/>
          </w:tcPr>
          <w:p w:rsidR="00782D05" w:rsidRPr="00782D05" w:rsidRDefault="00782D05" w:rsidP="00782D05">
            <w:r w:rsidRPr="00D905AD">
              <w:t>Return on capital</w:t>
            </w:r>
          </w:p>
        </w:tc>
        <w:tc>
          <w:tcPr>
            <w:tcW w:w="4347" w:type="dxa"/>
            <w:vAlign w:val="top"/>
          </w:tcPr>
          <w:p w:rsidR="00782D05" w:rsidRPr="00782D05" w:rsidRDefault="00782D05" w:rsidP="00782D05">
            <w:pPr>
              <w:cnfStyle w:val="000000000000" w:firstRow="0" w:lastRow="0" w:firstColumn="0" w:lastColumn="0" w:oddVBand="0" w:evenVBand="0" w:oddHBand="0" w:evenHBand="0" w:firstRowFirstColumn="0" w:firstRowLastColumn="0" w:lastRowFirstColumn="0" w:lastRowLastColumn="0"/>
            </w:pPr>
            <w:r w:rsidRPr="00D905AD">
              <w:t>Regulatory</w:t>
            </w:r>
            <w:r w:rsidRPr="00782D05">
              <w:t xml:space="preserve"> asset base (attachment 2)</w:t>
            </w:r>
          </w:p>
          <w:p w:rsidR="00782D05" w:rsidRPr="00782D05" w:rsidRDefault="00782D05" w:rsidP="00782D05">
            <w:pPr>
              <w:cnfStyle w:val="000000000000" w:firstRow="0" w:lastRow="0" w:firstColumn="0" w:lastColumn="0" w:oddVBand="0" w:evenVBand="0" w:oddHBand="0" w:evenHBand="0" w:firstRowFirstColumn="0" w:firstRowLastColumn="0" w:lastRowFirstColumn="0" w:lastRowLastColumn="0"/>
            </w:pPr>
            <w:r w:rsidRPr="00D905AD">
              <w:t>Capex (attachment 6)</w:t>
            </w:r>
          </w:p>
          <w:p w:rsidR="00782D05" w:rsidRPr="00782D05" w:rsidRDefault="00782D05" w:rsidP="00782D05">
            <w:pPr>
              <w:cnfStyle w:val="000000000000" w:firstRow="0" w:lastRow="0" w:firstColumn="0" w:lastColumn="0" w:oddVBand="0" w:evenVBand="0" w:oddHBand="0" w:evenHBand="0" w:firstRowFirstColumn="0" w:firstRowLastColumn="0" w:lastRowFirstColumn="0" w:lastRowLastColumn="0"/>
            </w:pPr>
            <w:r w:rsidRPr="00D905AD">
              <w:t>Rate of return (attachment 3)</w:t>
            </w:r>
          </w:p>
        </w:tc>
      </w:tr>
      <w:tr w:rsidR="00782D05" w:rsidRPr="00D905AD" w:rsidTr="00AE780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vAlign w:val="top"/>
          </w:tcPr>
          <w:p w:rsidR="00782D05" w:rsidRPr="00782D05" w:rsidRDefault="00782D05" w:rsidP="00782D05">
            <w:r w:rsidRPr="00D905AD">
              <w:t>Regulatory depreciation (return of capital)</w:t>
            </w:r>
          </w:p>
        </w:tc>
        <w:tc>
          <w:tcPr>
            <w:tcW w:w="4347" w:type="dxa"/>
            <w:vAlign w:val="top"/>
          </w:tcPr>
          <w:p w:rsidR="00782D05" w:rsidRPr="00782D05" w:rsidRDefault="00782D05" w:rsidP="00782D05">
            <w:pPr>
              <w:cnfStyle w:val="000000010000" w:firstRow="0" w:lastRow="0" w:firstColumn="0" w:lastColumn="0" w:oddVBand="0" w:evenVBand="0" w:oddHBand="0" w:evenHBand="1" w:firstRowFirstColumn="0" w:firstRowLastColumn="0" w:lastRowFirstColumn="0" w:lastRowLastColumn="0"/>
            </w:pPr>
            <w:r w:rsidRPr="00D905AD">
              <w:t>Regulatory asset base (attachment 2)</w:t>
            </w:r>
          </w:p>
          <w:p w:rsidR="00782D05" w:rsidRPr="00782D05" w:rsidRDefault="00782D05" w:rsidP="00782D05">
            <w:pPr>
              <w:cnfStyle w:val="000000010000" w:firstRow="0" w:lastRow="0" w:firstColumn="0" w:lastColumn="0" w:oddVBand="0" w:evenVBand="0" w:oddHBand="0" w:evenHBand="1" w:firstRowFirstColumn="0" w:firstRowLastColumn="0" w:lastRowFirstColumn="0" w:lastRowLastColumn="0"/>
            </w:pPr>
            <w:r w:rsidRPr="00D905AD">
              <w:t>Capex (attachment 6)</w:t>
            </w:r>
          </w:p>
          <w:p w:rsidR="00782D05" w:rsidRPr="00782D05" w:rsidRDefault="00782D05" w:rsidP="00782D05">
            <w:pPr>
              <w:cnfStyle w:val="000000010000" w:firstRow="0" w:lastRow="0" w:firstColumn="0" w:lastColumn="0" w:oddVBand="0" w:evenVBand="0" w:oddHBand="0" w:evenHBand="1" w:firstRowFirstColumn="0" w:firstRowLastColumn="0" w:lastRowFirstColumn="0" w:lastRowLastColumn="0"/>
            </w:pPr>
            <w:r w:rsidRPr="00D905AD">
              <w:t>Depreciation (attachment 5)</w:t>
            </w:r>
          </w:p>
        </w:tc>
      </w:tr>
      <w:tr w:rsidR="00782D05" w:rsidRPr="00D905AD" w:rsidTr="00AE780A">
        <w:tc>
          <w:tcPr>
            <w:cnfStyle w:val="001000000000" w:firstRow="0" w:lastRow="0" w:firstColumn="1" w:lastColumn="0" w:oddVBand="0" w:evenVBand="0" w:oddHBand="0" w:evenHBand="0" w:firstRowFirstColumn="0" w:firstRowLastColumn="0" w:lastRowFirstColumn="0" w:lastRowLastColumn="0"/>
            <w:tcW w:w="4346" w:type="dxa"/>
            <w:vAlign w:val="top"/>
          </w:tcPr>
          <w:p w:rsidR="00782D05" w:rsidRPr="00782D05" w:rsidRDefault="00782D05" w:rsidP="00782D05">
            <w:r w:rsidRPr="00D905AD">
              <w:t>Operating expenditure (opex)</w:t>
            </w:r>
          </w:p>
        </w:tc>
        <w:tc>
          <w:tcPr>
            <w:tcW w:w="4347" w:type="dxa"/>
            <w:vAlign w:val="top"/>
          </w:tcPr>
          <w:p w:rsidR="00782D05" w:rsidRPr="00782D05" w:rsidRDefault="00782D05" w:rsidP="00782D05">
            <w:pPr>
              <w:cnfStyle w:val="000000000000" w:firstRow="0" w:lastRow="0" w:firstColumn="0" w:lastColumn="0" w:oddVBand="0" w:evenVBand="0" w:oddHBand="0" w:evenHBand="0" w:firstRowFirstColumn="0" w:firstRowLastColumn="0" w:lastRowFirstColumn="0" w:lastRowLastColumn="0"/>
            </w:pPr>
            <w:r w:rsidRPr="00D905AD">
              <w:t>Opex</w:t>
            </w:r>
            <w:r w:rsidRPr="00782D05">
              <w:t xml:space="preserve"> (attachment 7)</w:t>
            </w:r>
          </w:p>
        </w:tc>
      </w:tr>
      <w:tr w:rsidR="00782D05" w:rsidRPr="00D905AD" w:rsidTr="00AE780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vAlign w:val="top"/>
          </w:tcPr>
          <w:p w:rsidR="00782D05" w:rsidRPr="00782D05" w:rsidRDefault="00782D05" w:rsidP="00782D05">
            <w:r w:rsidRPr="00D905AD">
              <w:t>Efficiency benefits/penalties</w:t>
            </w:r>
          </w:p>
        </w:tc>
        <w:tc>
          <w:tcPr>
            <w:tcW w:w="4347" w:type="dxa"/>
            <w:vAlign w:val="top"/>
          </w:tcPr>
          <w:p w:rsidR="00782D05" w:rsidRPr="00782D05" w:rsidRDefault="00782D05" w:rsidP="00782D05">
            <w:pPr>
              <w:cnfStyle w:val="000000010000" w:firstRow="0" w:lastRow="0" w:firstColumn="0" w:lastColumn="0" w:oddVBand="0" w:evenVBand="0" w:oddHBand="0" w:evenHBand="1" w:firstRowFirstColumn="0" w:firstRowLastColumn="0" w:lastRowFirstColumn="0" w:lastRowLastColumn="0"/>
            </w:pPr>
            <w:r w:rsidRPr="00D905AD">
              <w:t>Efficiency benefit sharing scheme (attachment 9)</w:t>
            </w:r>
          </w:p>
        </w:tc>
      </w:tr>
      <w:tr w:rsidR="00782D05" w:rsidRPr="00D905AD" w:rsidTr="00AE780A">
        <w:tc>
          <w:tcPr>
            <w:cnfStyle w:val="001000000000" w:firstRow="0" w:lastRow="0" w:firstColumn="1" w:lastColumn="0" w:oddVBand="0" w:evenVBand="0" w:oddHBand="0" w:evenHBand="0" w:firstRowFirstColumn="0" w:firstRowLastColumn="0" w:lastRowFirstColumn="0" w:lastRowLastColumn="0"/>
            <w:tcW w:w="4346" w:type="dxa"/>
            <w:vAlign w:val="top"/>
          </w:tcPr>
          <w:p w:rsidR="00782D05" w:rsidRPr="00782D05" w:rsidRDefault="00782D05" w:rsidP="00782D05">
            <w:r w:rsidRPr="00D905AD">
              <w:t>Estimated cost of corporate tax</w:t>
            </w:r>
          </w:p>
        </w:tc>
        <w:tc>
          <w:tcPr>
            <w:tcW w:w="4347" w:type="dxa"/>
            <w:vAlign w:val="top"/>
          </w:tcPr>
          <w:p w:rsidR="00782D05" w:rsidRPr="00782D05" w:rsidRDefault="00782D05" w:rsidP="00782D05">
            <w:pPr>
              <w:cnfStyle w:val="000000000000" w:firstRow="0" w:lastRow="0" w:firstColumn="0" w:lastColumn="0" w:oddVBand="0" w:evenVBand="0" w:oddHBand="0" w:evenHBand="0" w:firstRowFirstColumn="0" w:firstRowLastColumn="0" w:lastRowFirstColumn="0" w:lastRowLastColumn="0"/>
            </w:pPr>
            <w:r w:rsidRPr="00D905AD">
              <w:t>Corporate income tax (attachment 8)</w:t>
            </w:r>
          </w:p>
          <w:p w:rsidR="00782D05" w:rsidRPr="00782D05" w:rsidRDefault="00782D05" w:rsidP="00782D05">
            <w:pPr>
              <w:cnfStyle w:val="000000000000" w:firstRow="0" w:lastRow="0" w:firstColumn="0" w:lastColumn="0" w:oddVBand="0" w:evenVBand="0" w:oddHBand="0" w:evenHBand="0" w:firstRowFirstColumn="0" w:firstRowLastColumn="0" w:lastRowFirstColumn="0" w:lastRowLastColumn="0"/>
            </w:pPr>
            <w:r w:rsidRPr="00D905AD">
              <w:t>Value of imputation credits (attachment 4)</w:t>
            </w:r>
          </w:p>
        </w:tc>
      </w:tr>
      <w:tr w:rsidR="00782D05" w:rsidRPr="00D905AD" w:rsidTr="00AE780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vAlign w:val="top"/>
          </w:tcPr>
          <w:p w:rsidR="00782D05" w:rsidRPr="00782D05" w:rsidRDefault="00782D05" w:rsidP="00782D05">
            <w:r>
              <w:t>Adjustment for shared assets</w:t>
            </w:r>
          </w:p>
        </w:tc>
        <w:tc>
          <w:tcPr>
            <w:tcW w:w="4347" w:type="dxa"/>
            <w:vAlign w:val="top"/>
          </w:tcPr>
          <w:p w:rsidR="00782D05" w:rsidRPr="00782D05" w:rsidRDefault="00782D05" w:rsidP="00782D05">
            <w:pPr>
              <w:cnfStyle w:val="000000010000" w:firstRow="0" w:lastRow="0" w:firstColumn="0" w:lastColumn="0" w:oddVBand="0" w:evenVBand="0" w:oddHBand="0" w:evenHBand="1" w:firstRowFirstColumn="0" w:firstRowLastColumn="0" w:lastRowFirstColumn="0" w:lastRowLastColumn="0"/>
            </w:pPr>
            <w:r>
              <w:t xml:space="preserve">Maximum allowed </w:t>
            </w:r>
            <w:r w:rsidRPr="00782D05">
              <w:t>revenue (attachment 1)</w:t>
            </w:r>
          </w:p>
        </w:tc>
      </w:tr>
    </w:tbl>
    <w:p w:rsidR="00782D05" w:rsidRDefault="00782D05" w:rsidP="00782D05">
      <w:pPr>
        <w:pStyle w:val="AERtablesource"/>
      </w:pPr>
      <w:bookmarkStart w:id="85" w:name="_Ref441233137"/>
      <w:r>
        <w:t xml:space="preserve">Source: </w:t>
      </w:r>
      <w:r>
        <w:tab/>
        <w:t>AER analysis.</w:t>
      </w:r>
    </w:p>
    <w:p w:rsidR="00782D05" w:rsidRPr="00782D05" w:rsidRDefault="00782D05" w:rsidP="00782D05">
      <w:pPr>
        <w:pStyle w:val="Heading3"/>
      </w:pPr>
      <w:bookmarkStart w:id="86" w:name="_Toc441242144"/>
      <w:bookmarkStart w:id="87" w:name="_Toc462749078"/>
      <w:r>
        <w:t>Annual revenue adjustment process</w:t>
      </w:r>
      <w:bookmarkEnd w:id="85"/>
      <w:bookmarkEnd w:id="86"/>
      <w:bookmarkEnd w:id="87"/>
    </w:p>
    <w:p w:rsidR="00782D05" w:rsidRDefault="00782D05" w:rsidP="00782D05">
      <w:r>
        <w:t>The PTRM incorporates an expected inflation rate to calculate the expected MAR (excluding performance incentive scheme revenue adjustments and pass through amount that may apply to each regulatory year) in nominal dollar terms, whereas the actual MAR for each year is adjusted for actual inflation. As discussed in the return on debt appendix</w:t>
      </w:r>
      <w:r w:rsidR="00103CD2">
        <w:t xml:space="preserve"> of attachment 3</w:t>
      </w:r>
      <w:r>
        <w:t>,</w:t>
      </w:r>
      <w:r w:rsidR="00557011">
        <w:rPr>
          <w:rStyle w:val="FootnoteReference"/>
        </w:rPr>
        <w:footnoteReference w:id="14"/>
      </w:r>
      <w:r>
        <w:t xml:space="preserve"> we will update </w:t>
      </w:r>
      <w:r w:rsidR="009C7114">
        <w:t>Powerlink</w:t>
      </w:r>
      <w:r>
        <w:t>’</w:t>
      </w:r>
      <w:r w:rsidR="00103CD2">
        <w:t>s</w:t>
      </w:r>
      <w:r>
        <w:t xml:space="preserve"> return on debt annually. This means the actual MAR for each year will also be adjusted for revised X factors after the annual return on debt update. This annual revenue adjustment process is set out below.</w:t>
      </w:r>
    </w:p>
    <w:p w:rsidR="00782D05" w:rsidRDefault="00782D05" w:rsidP="00782D05">
      <w:r>
        <w:lastRenderedPageBreak/>
        <w:t>The MAR for the subsequent year of the regulatory control period requires an annual adjustment based on the previous year’s allowed revenue.</w:t>
      </w:r>
      <w:r>
        <w:rPr>
          <w:rStyle w:val="FootnoteReference"/>
        </w:rPr>
        <w:footnoteReference w:id="15"/>
      </w:r>
      <w:r>
        <w:t xml:space="preserve"> That is, the subsequent year’s allowed revenue is determined by adjusting the previous year’s allowed revenue for actual inflation and the X factor determined after the annual return on debt update:</w:t>
      </w:r>
    </w:p>
    <w:p w:rsidR="00782D05" w:rsidRDefault="00782D05" w:rsidP="00782D05"/>
    <w:tbl>
      <w:tblPr>
        <w:tblStyle w:val="ACCCTable3"/>
        <w:tblW w:w="0" w:type="auto"/>
        <w:tblInd w:w="817" w:type="dxa"/>
        <w:tblLook w:val="0480" w:firstRow="0" w:lastRow="0" w:firstColumn="1" w:lastColumn="0" w:noHBand="0" w:noVBand="1"/>
      </w:tblPr>
      <w:tblGrid>
        <w:gridCol w:w="992"/>
        <w:gridCol w:w="851"/>
        <w:gridCol w:w="5812"/>
      </w:tblGrid>
      <w:tr w:rsidR="00782D05" w:rsidRPr="00AA50BF" w:rsidTr="00AE780A">
        <w:tc>
          <w:tcPr>
            <w:cnfStyle w:val="001000000000" w:firstRow="0" w:lastRow="0" w:firstColumn="1" w:lastColumn="0" w:oddVBand="0" w:evenVBand="0" w:oddHBand="0" w:evenHBand="0" w:firstRowFirstColumn="0" w:firstRowLastColumn="0" w:lastRowFirstColumn="0" w:lastRowLastColumn="0"/>
            <w:tcW w:w="992" w:type="dxa"/>
          </w:tcPr>
          <w:p w:rsidR="00782D05" w:rsidRPr="00E73D77" w:rsidRDefault="00103CD2" w:rsidP="008049D6">
            <w:pPr>
              <w:rPr>
                <w:rStyle w:val="Strong"/>
              </w:rPr>
            </w:pPr>
            <w:proofErr w:type="spellStart"/>
            <w:r w:rsidRPr="00E73D77">
              <w:rPr>
                <w:rStyle w:val="Bold"/>
              </w:rPr>
              <w:t>AR</w:t>
            </w:r>
            <w:r w:rsidRPr="00AD2EB5">
              <w:rPr>
                <w:rStyle w:val="AERtextitalic"/>
                <w:vertAlign w:val="subscript"/>
              </w:rPr>
              <w:t>t</w:t>
            </w:r>
            <w:proofErr w:type="spellEnd"/>
          </w:p>
        </w:tc>
        <w:tc>
          <w:tcPr>
            <w:tcW w:w="851" w:type="dxa"/>
          </w:tcPr>
          <w:p w:rsidR="00782D05" w:rsidRPr="00782D05" w:rsidRDefault="00782D05" w:rsidP="00782D05">
            <w:pPr>
              <w:cnfStyle w:val="000000000000" w:firstRow="0" w:lastRow="0" w:firstColumn="0" w:lastColumn="0" w:oddVBand="0" w:evenVBand="0" w:oddHBand="0" w:evenHBand="0" w:firstRowFirstColumn="0" w:firstRowLastColumn="0" w:lastRowFirstColumn="0" w:lastRowLastColumn="0"/>
              <w:rPr>
                <w:rStyle w:val="AERbody"/>
              </w:rPr>
            </w:pPr>
            <w:r>
              <w:rPr>
                <w:rStyle w:val="AERbody"/>
              </w:rPr>
              <w:t>=</w:t>
            </w:r>
          </w:p>
        </w:tc>
        <w:tc>
          <w:tcPr>
            <w:tcW w:w="5812" w:type="dxa"/>
          </w:tcPr>
          <w:p w:rsidR="00782D05" w:rsidRPr="00782D05" w:rsidRDefault="00165639" w:rsidP="00782D05">
            <w:pPr>
              <w:cnfStyle w:val="000000000000" w:firstRow="0" w:lastRow="0" w:firstColumn="0" w:lastColumn="0" w:oddVBand="0" w:evenVBand="0" w:oddHBand="0" w:evenHBand="0" w:firstRowFirstColumn="0" w:firstRowLastColumn="0" w:lastRowFirstColumn="0" w:lastRowLastColumn="0"/>
              <w:rPr>
                <w:rStyle w:val="AERbody"/>
              </w:rPr>
            </w:pPr>
            <m:oMathPara>
              <m:oMathParaPr>
                <m:jc m:val="left"/>
              </m:oMathParaPr>
              <m:oMath>
                <m:sSub>
                  <m:sSubPr>
                    <m:ctrlPr>
                      <w:rPr>
                        <w:rFonts w:ascii="Cambria Math" w:hAnsi="Cambria Math"/>
                      </w:rPr>
                    </m:ctrlPr>
                  </m:sSubPr>
                  <m:e>
                    <m:r>
                      <m:rPr>
                        <m:sty m:val="p"/>
                      </m:rPr>
                      <w:rPr>
                        <w:rFonts w:ascii="Cambria Math" w:hAnsi="Cambria Math"/>
                      </w:rPr>
                      <m:t>AR</m:t>
                    </m:r>
                  </m:e>
                  <m:sub>
                    <m:r>
                      <w:rPr>
                        <w:rFonts w:ascii="Cambria Math" w:hAnsi="Cambria Math"/>
                      </w:rPr>
                      <m:t>t-1</m:t>
                    </m:r>
                  </m:sub>
                </m:sSub>
                <m:r>
                  <w:rPr>
                    <w:rFonts w:ascii="Cambria Math" w:hAnsi="Cambria Math"/>
                  </w:rPr>
                  <m:t>×</m:t>
                </m:r>
                <m:d>
                  <m:dPr>
                    <m:ctrlPr>
                      <w:rPr>
                        <w:rFonts w:ascii="Cambria Math" w:hAnsi="Cambria Math"/>
                      </w:rPr>
                    </m:ctrlPr>
                  </m:dPr>
                  <m:e>
                    <m:r>
                      <w:rPr>
                        <w:rFonts w:ascii="Cambria Math" w:hAnsi="Cambria Math"/>
                      </w:rPr>
                      <m:t>1+∆</m:t>
                    </m:r>
                    <m:r>
                      <m:rPr>
                        <m:sty m:val="p"/>
                      </m:rPr>
                      <w:rPr>
                        <w:rFonts w:ascii="Cambria Math" w:hAnsi="Cambria Math"/>
                      </w:rPr>
                      <m:t>CPI</m:t>
                    </m:r>
                  </m:e>
                </m:d>
                <m:r>
                  <w:rPr>
                    <w:rFonts w:ascii="Cambria Math" w:hAnsi="Cambria Math"/>
                  </w:rPr>
                  <m:t>×</m:t>
                </m:r>
                <m:d>
                  <m:dPr>
                    <m:ctrlPr>
                      <w:rPr>
                        <w:rFonts w:ascii="Cambria Math" w:hAnsi="Cambria Math"/>
                      </w:rPr>
                    </m:ctrlPr>
                  </m:dPr>
                  <m:e>
                    <m:r>
                      <w:rPr>
                        <w:rFonts w:ascii="Cambria Math" w:hAnsi="Cambria Math"/>
                      </w:rPr>
                      <m:t>1-</m:t>
                    </m:r>
                    <m:sSub>
                      <m:sSubPr>
                        <m:ctrlPr>
                          <w:rPr>
                            <w:rFonts w:ascii="Cambria Math" w:hAnsi="Cambria Math"/>
                          </w:rPr>
                        </m:ctrlPr>
                      </m:sSubPr>
                      <m:e>
                        <m:r>
                          <m:rPr>
                            <m:sty m:val="p"/>
                          </m:rPr>
                          <w:rPr>
                            <w:rFonts w:ascii="Cambria Math" w:hAnsi="Cambria Math"/>
                          </w:rPr>
                          <m:t>X</m:t>
                        </m:r>
                      </m:e>
                      <m:sub>
                        <m:r>
                          <w:rPr>
                            <w:rFonts w:ascii="Cambria Math" w:hAnsi="Cambria Math"/>
                          </w:rPr>
                          <m:t>t</m:t>
                        </m:r>
                      </m:sub>
                    </m:sSub>
                  </m:e>
                </m:d>
              </m:oMath>
            </m:oMathPara>
          </w:p>
        </w:tc>
      </w:tr>
    </w:tbl>
    <w:p w:rsidR="00782D05" w:rsidRPr="00782D05" w:rsidRDefault="00782D05" w:rsidP="00782D05">
      <w:proofErr w:type="gramStart"/>
      <w:r w:rsidRPr="00782D05">
        <w:t>where</w:t>
      </w:r>
      <w:proofErr w:type="gramEnd"/>
      <w:r w:rsidRPr="00782D05">
        <w:t>:</w:t>
      </w:r>
    </w:p>
    <w:tbl>
      <w:tblPr>
        <w:tblStyle w:val="ACCCTable3"/>
        <w:tblW w:w="7938" w:type="dxa"/>
        <w:tblInd w:w="817" w:type="dxa"/>
        <w:tblLook w:val="0480" w:firstRow="0" w:lastRow="0" w:firstColumn="1" w:lastColumn="0" w:noHBand="0" w:noVBand="1"/>
      </w:tblPr>
      <w:tblGrid>
        <w:gridCol w:w="1011"/>
        <w:gridCol w:w="868"/>
        <w:gridCol w:w="6059"/>
      </w:tblGrid>
      <w:tr w:rsidR="00782D05" w:rsidRPr="00AA50BF" w:rsidTr="00AE780A">
        <w:trPr>
          <w:trHeight w:val="285"/>
        </w:trPr>
        <w:tc>
          <w:tcPr>
            <w:cnfStyle w:val="001000000000" w:firstRow="0" w:lastRow="0" w:firstColumn="1" w:lastColumn="0" w:oddVBand="0" w:evenVBand="0" w:oddHBand="0" w:evenHBand="0" w:firstRowFirstColumn="0" w:firstRowLastColumn="0" w:lastRowFirstColumn="0" w:lastRowLastColumn="0"/>
            <w:tcW w:w="1011" w:type="dxa"/>
          </w:tcPr>
          <w:p w:rsidR="00782D05" w:rsidRPr="00E73D77" w:rsidRDefault="00782D05" w:rsidP="00782D05">
            <w:pPr>
              <w:rPr>
                <w:rStyle w:val="Bold"/>
              </w:rPr>
            </w:pPr>
            <w:r w:rsidRPr="00E73D77">
              <w:rPr>
                <w:rStyle w:val="Bold"/>
              </w:rPr>
              <w:t>AR</w:t>
            </w:r>
          </w:p>
        </w:tc>
        <w:tc>
          <w:tcPr>
            <w:tcW w:w="868" w:type="dxa"/>
          </w:tcPr>
          <w:p w:rsidR="00782D05" w:rsidRPr="00782D05" w:rsidRDefault="00782D05" w:rsidP="00782D05">
            <w:pPr>
              <w:cnfStyle w:val="000000000000" w:firstRow="0" w:lastRow="0" w:firstColumn="0" w:lastColumn="0" w:oddVBand="0" w:evenVBand="0" w:oddHBand="0" w:evenHBand="0" w:firstRowFirstColumn="0" w:firstRowLastColumn="0" w:lastRowFirstColumn="0" w:lastRowLastColumn="0"/>
              <w:rPr>
                <w:rStyle w:val="AERbody"/>
              </w:rPr>
            </w:pPr>
            <w:r>
              <w:rPr>
                <w:rStyle w:val="AERbody"/>
              </w:rPr>
              <w:t>=</w:t>
            </w:r>
          </w:p>
        </w:tc>
        <w:tc>
          <w:tcPr>
            <w:tcW w:w="6059" w:type="dxa"/>
          </w:tcPr>
          <w:p w:rsidR="00782D05" w:rsidRPr="00782D05" w:rsidRDefault="00782D05" w:rsidP="00782D05">
            <w:pPr>
              <w:cnfStyle w:val="000000000000" w:firstRow="0" w:lastRow="0" w:firstColumn="0" w:lastColumn="0" w:oddVBand="0" w:evenVBand="0" w:oddHBand="0" w:evenHBand="0" w:firstRowFirstColumn="0" w:firstRowLastColumn="0" w:lastRowFirstColumn="0" w:lastRowLastColumn="0"/>
              <w:rPr>
                <w:rStyle w:val="AERbody"/>
              </w:rPr>
            </w:pPr>
            <w:r>
              <w:rPr>
                <w:rStyle w:val="AERbody"/>
              </w:rPr>
              <w:t>t</w:t>
            </w:r>
            <w:r w:rsidRPr="00782D05">
              <w:rPr>
                <w:rStyle w:val="AERbody"/>
              </w:rPr>
              <w:t>he allowed revenue</w:t>
            </w:r>
          </w:p>
          <w:p w:rsidR="00782D05" w:rsidRPr="00AA50BF" w:rsidRDefault="00782D05" w:rsidP="00782D05">
            <w:pPr>
              <w:cnfStyle w:val="000000000000" w:firstRow="0" w:lastRow="0" w:firstColumn="0" w:lastColumn="0" w:oddVBand="0" w:evenVBand="0" w:oddHBand="0" w:evenHBand="0" w:firstRowFirstColumn="0" w:firstRowLastColumn="0" w:lastRowFirstColumn="0" w:lastRowLastColumn="0"/>
              <w:rPr>
                <w:rStyle w:val="AERbody"/>
              </w:rPr>
            </w:pPr>
          </w:p>
        </w:tc>
      </w:tr>
      <w:tr w:rsidR="00782D05" w:rsidRPr="00AA50BF" w:rsidTr="00AE780A">
        <w:trPr>
          <w:trHeight w:val="74"/>
        </w:trPr>
        <w:tc>
          <w:tcPr>
            <w:cnfStyle w:val="001000000000" w:firstRow="0" w:lastRow="0" w:firstColumn="1" w:lastColumn="0" w:oddVBand="0" w:evenVBand="0" w:oddHBand="0" w:evenHBand="0" w:firstRowFirstColumn="0" w:firstRowLastColumn="0" w:lastRowFirstColumn="0" w:lastRowLastColumn="0"/>
            <w:tcW w:w="1011" w:type="dxa"/>
          </w:tcPr>
          <w:p w:rsidR="00782D05" w:rsidRPr="00AD2EB5" w:rsidRDefault="00782D05" w:rsidP="008049D6">
            <w:pPr>
              <w:rPr>
                <w:rStyle w:val="AERtextitalic"/>
                <w:b w:val="0"/>
              </w:rPr>
            </w:pPr>
            <w:r w:rsidRPr="00AD2EB5">
              <w:rPr>
                <w:rStyle w:val="AERtextitalic"/>
                <w:b w:val="0"/>
              </w:rPr>
              <w:t>t</w:t>
            </w:r>
          </w:p>
        </w:tc>
        <w:tc>
          <w:tcPr>
            <w:tcW w:w="868" w:type="dxa"/>
          </w:tcPr>
          <w:p w:rsidR="00782D05" w:rsidRPr="00782D05" w:rsidRDefault="00782D05" w:rsidP="00782D05">
            <w:pPr>
              <w:cnfStyle w:val="000000000000" w:firstRow="0" w:lastRow="0" w:firstColumn="0" w:lastColumn="0" w:oddVBand="0" w:evenVBand="0" w:oddHBand="0" w:evenHBand="0" w:firstRowFirstColumn="0" w:firstRowLastColumn="0" w:lastRowFirstColumn="0" w:lastRowLastColumn="0"/>
              <w:rPr>
                <w:rStyle w:val="AERbody"/>
              </w:rPr>
            </w:pPr>
            <w:r>
              <w:rPr>
                <w:rStyle w:val="AERbody"/>
              </w:rPr>
              <w:t>=</w:t>
            </w:r>
          </w:p>
        </w:tc>
        <w:tc>
          <w:tcPr>
            <w:tcW w:w="6059" w:type="dxa"/>
          </w:tcPr>
          <w:p w:rsidR="00782D05" w:rsidRPr="00782D05" w:rsidRDefault="00782D05" w:rsidP="00782D05">
            <w:pPr>
              <w:cnfStyle w:val="000000000000" w:firstRow="0" w:lastRow="0" w:firstColumn="0" w:lastColumn="0" w:oddVBand="0" w:evenVBand="0" w:oddHBand="0" w:evenHBand="0" w:firstRowFirstColumn="0" w:firstRowLastColumn="0" w:lastRowFirstColumn="0" w:lastRowLastColumn="0"/>
              <w:rPr>
                <w:rStyle w:val="AERbody"/>
              </w:rPr>
            </w:pPr>
            <w:r w:rsidRPr="00AA50BF">
              <w:rPr>
                <w:rStyle w:val="AERbody"/>
              </w:rPr>
              <w:t xml:space="preserve">time period/financial year (for </w:t>
            </w:r>
            <w:r w:rsidRPr="009429B2">
              <w:rPr>
                <w:rStyle w:val="AERtextitalic"/>
              </w:rPr>
              <w:t>t</w:t>
            </w:r>
            <w:r w:rsidRPr="00AA50BF">
              <w:rPr>
                <w:rStyle w:val="AERbody"/>
              </w:rPr>
              <w:t xml:space="preserve"> = </w:t>
            </w:r>
            <w:r w:rsidRPr="00782D05">
              <w:rPr>
                <w:rStyle w:val="AERbody"/>
              </w:rPr>
              <w:t>2 (2018–19), 3 (2019–20), 4 (2020–21), 5 (2021–22))</w:t>
            </w:r>
          </w:p>
          <w:p w:rsidR="00782D05" w:rsidRPr="00AA50BF" w:rsidRDefault="00782D05" w:rsidP="00782D05">
            <w:pPr>
              <w:cnfStyle w:val="000000000000" w:firstRow="0" w:lastRow="0" w:firstColumn="0" w:lastColumn="0" w:oddVBand="0" w:evenVBand="0" w:oddHBand="0" w:evenHBand="0" w:firstRowFirstColumn="0" w:firstRowLastColumn="0" w:lastRowFirstColumn="0" w:lastRowLastColumn="0"/>
              <w:rPr>
                <w:rStyle w:val="AERbody"/>
              </w:rPr>
            </w:pPr>
          </w:p>
        </w:tc>
      </w:tr>
      <w:tr w:rsidR="00782D05" w:rsidRPr="00AA50BF" w:rsidTr="00AE780A">
        <w:trPr>
          <w:trHeight w:val="299"/>
        </w:trPr>
        <w:tc>
          <w:tcPr>
            <w:cnfStyle w:val="001000000000" w:firstRow="0" w:lastRow="0" w:firstColumn="1" w:lastColumn="0" w:oddVBand="0" w:evenVBand="0" w:oddHBand="0" w:evenHBand="0" w:firstRowFirstColumn="0" w:firstRowLastColumn="0" w:lastRowFirstColumn="0" w:lastRowLastColumn="0"/>
            <w:tcW w:w="1011" w:type="dxa"/>
          </w:tcPr>
          <w:p w:rsidR="00782D05" w:rsidRPr="00782D05" w:rsidRDefault="00782D05" w:rsidP="00782D05">
            <w:pPr>
              <w:rPr>
                <w:rStyle w:val="AERbody"/>
              </w:rPr>
            </w:pPr>
            <w:r w:rsidRPr="00E73D77">
              <w:rPr>
                <w:rStyle w:val="Strong"/>
              </w:rPr>
              <w:t>∆CPI</w:t>
            </w:r>
          </w:p>
        </w:tc>
        <w:tc>
          <w:tcPr>
            <w:tcW w:w="868" w:type="dxa"/>
          </w:tcPr>
          <w:p w:rsidR="00782D05" w:rsidRPr="00782D05" w:rsidRDefault="00782D05" w:rsidP="00782D05">
            <w:pPr>
              <w:cnfStyle w:val="000000000000" w:firstRow="0" w:lastRow="0" w:firstColumn="0" w:lastColumn="0" w:oddVBand="0" w:evenVBand="0" w:oddHBand="0" w:evenHBand="0" w:firstRowFirstColumn="0" w:firstRowLastColumn="0" w:lastRowFirstColumn="0" w:lastRowLastColumn="0"/>
              <w:rPr>
                <w:rStyle w:val="AERbody"/>
              </w:rPr>
            </w:pPr>
            <w:r>
              <w:rPr>
                <w:rStyle w:val="AERbody"/>
              </w:rPr>
              <w:t>=</w:t>
            </w:r>
          </w:p>
        </w:tc>
        <w:tc>
          <w:tcPr>
            <w:tcW w:w="6059" w:type="dxa"/>
          </w:tcPr>
          <w:p w:rsidR="00782D05" w:rsidRPr="00782D05" w:rsidRDefault="00782D05" w:rsidP="00782D05">
            <w:pPr>
              <w:cnfStyle w:val="000000000000" w:firstRow="0" w:lastRow="0" w:firstColumn="0" w:lastColumn="0" w:oddVBand="0" w:evenVBand="0" w:oddHBand="0" w:evenHBand="0" w:firstRowFirstColumn="0" w:firstRowLastColumn="0" w:lastRowFirstColumn="0" w:lastRowLastColumn="0"/>
              <w:rPr>
                <w:rStyle w:val="AERbody"/>
              </w:rPr>
            </w:pPr>
            <w:r w:rsidRPr="00AA50BF">
              <w:rPr>
                <w:rStyle w:val="AERbody"/>
              </w:rPr>
              <w:t>the annual percentage change in the ABS Consumer price index all</w:t>
            </w:r>
            <w:r w:rsidRPr="00782D05">
              <w:rPr>
                <w:rStyle w:val="AERbody"/>
              </w:rPr>
              <w:t xml:space="preserve"> groups, weighted average of eight capital cities from </w:t>
            </w:r>
            <w:r w:rsidR="00675B17">
              <w:rPr>
                <w:rStyle w:val="AERbody"/>
              </w:rPr>
              <w:t>Decem</w:t>
            </w:r>
            <w:r w:rsidR="00675B17" w:rsidRPr="00782D05">
              <w:rPr>
                <w:rStyle w:val="AERbody"/>
              </w:rPr>
              <w:t xml:space="preserve">ber </w:t>
            </w:r>
            <w:r w:rsidRPr="00782D05">
              <w:rPr>
                <w:rStyle w:val="AERbody"/>
              </w:rPr>
              <w:t xml:space="preserve">in year </w:t>
            </w:r>
            <w:r w:rsidRPr="00782D05">
              <w:rPr>
                <w:rStyle w:val="AERtextitalic"/>
              </w:rPr>
              <w:t>t</w:t>
            </w:r>
            <w:r w:rsidRPr="00782D05">
              <w:rPr>
                <w:rStyle w:val="AERbody"/>
              </w:rPr>
              <w:t xml:space="preserve"> – 2 to </w:t>
            </w:r>
            <w:r w:rsidR="00675B17">
              <w:rPr>
                <w:rStyle w:val="AERbody"/>
              </w:rPr>
              <w:t>December</w:t>
            </w:r>
            <w:r w:rsidR="00675B17" w:rsidRPr="00782D05">
              <w:rPr>
                <w:rStyle w:val="AERbody"/>
              </w:rPr>
              <w:t xml:space="preserve"> </w:t>
            </w:r>
            <w:r w:rsidRPr="00782D05">
              <w:rPr>
                <w:rStyle w:val="AERbody"/>
              </w:rPr>
              <w:t xml:space="preserve">in year </w:t>
            </w:r>
            <w:r w:rsidRPr="00782D05">
              <w:rPr>
                <w:rStyle w:val="AERtextitalic"/>
              </w:rPr>
              <w:t>t</w:t>
            </w:r>
            <w:r w:rsidRPr="00782D05">
              <w:rPr>
                <w:rStyle w:val="AERbody"/>
              </w:rPr>
              <w:t xml:space="preserve"> – 1</w:t>
            </w:r>
            <w:r w:rsidR="00675B17">
              <w:rPr>
                <w:rStyle w:val="FootnoteReference"/>
                <w:sz w:val="22"/>
              </w:rPr>
              <w:footnoteReference w:id="16"/>
            </w:r>
          </w:p>
          <w:p w:rsidR="00782D05" w:rsidRPr="00AA50BF" w:rsidRDefault="00782D05" w:rsidP="00782D05">
            <w:pPr>
              <w:cnfStyle w:val="000000000000" w:firstRow="0" w:lastRow="0" w:firstColumn="0" w:lastColumn="0" w:oddVBand="0" w:evenVBand="0" w:oddHBand="0" w:evenHBand="0" w:firstRowFirstColumn="0" w:firstRowLastColumn="0" w:lastRowFirstColumn="0" w:lastRowLastColumn="0"/>
              <w:rPr>
                <w:rStyle w:val="AERbody"/>
              </w:rPr>
            </w:pPr>
          </w:p>
        </w:tc>
      </w:tr>
      <w:tr w:rsidR="00782D05" w:rsidRPr="00AA50BF" w:rsidTr="00AE780A">
        <w:trPr>
          <w:trHeight w:val="285"/>
        </w:trPr>
        <w:tc>
          <w:tcPr>
            <w:cnfStyle w:val="001000000000" w:firstRow="0" w:lastRow="0" w:firstColumn="1" w:lastColumn="0" w:oddVBand="0" w:evenVBand="0" w:oddHBand="0" w:evenHBand="0" w:firstRowFirstColumn="0" w:firstRowLastColumn="0" w:lastRowFirstColumn="0" w:lastRowLastColumn="0"/>
            <w:tcW w:w="1011" w:type="dxa"/>
          </w:tcPr>
          <w:p w:rsidR="00782D05" w:rsidRPr="00E73D77" w:rsidRDefault="00782D05" w:rsidP="00782D05">
            <w:pPr>
              <w:rPr>
                <w:rStyle w:val="Strong"/>
              </w:rPr>
            </w:pPr>
            <w:r w:rsidRPr="00E73D77">
              <w:rPr>
                <w:rStyle w:val="Strong"/>
              </w:rPr>
              <w:t>X</w:t>
            </w:r>
          </w:p>
        </w:tc>
        <w:tc>
          <w:tcPr>
            <w:tcW w:w="868" w:type="dxa"/>
          </w:tcPr>
          <w:p w:rsidR="00782D05" w:rsidRPr="00782D05" w:rsidRDefault="00782D05" w:rsidP="00782D05">
            <w:pPr>
              <w:cnfStyle w:val="000000000000" w:firstRow="0" w:lastRow="0" w:firstColumn="0" w:lastColumn="0" w:oddVBand="0" w:evenVBand="0" w:oddHBand="0" w:evenHBand="0" w:firstRowFirstColumn="0" w:firstRowLastColumn="0" w:lastRowFirstColumn="0" w:lastRowLastColumn="0"/>
              <w:rPr>
                <w:rStyle w:val="AERbody"/>
              </w:rPr>
            </w:pPr>
            <w:r>
              <w:rPr>
                <w:rStyle w:val="AERbody"/>
              </w:rPr>
              <w:t>=</w:t>
            </w:r>
          </w:p>
        </w:tc>
        <w:tc>
          <w:tcPr>
            <w:tcW w:w="6059" w:type="dxa"/>
          </w:tcPr>
          <w:p w:rsidR="00782D05" w:rsidRPr="00782D05" w:rsidRDefault="00782D05" w:rsidP="00782D05">
            <w:pPr>
              <w:cnfStyle w:val="000000000000" w:firstRow="0" w:lastRow="0" w:firstColumn="0" w:lastColumn="0" w:oddVBand="0" w:evenVBand="0" w:oddHBand="0" w:evenHBand="0" w:firstRowFirstColumn="0" w:firstRowLastColumn="0" w:lastRowFirstColumn="0" w:lastRowLastColumn="0"/>
              <w:rPr>
                <w:rStyle w:val="AERbody"/>
              </w:rPr>
            </w:pPr>
            <w:proofErr w:type="gramStart"/>
            <w:r w:rsidRPr="00AA50BF">
              <w:rPr>
                <w:rStyle w:val="AERbody"/>
              </w:rPr>
              <w:t>the</w:t>
            </w:r>
            <w:proofErr w:type="gramEnd"/>
            <w:r w:rsidRPr="00AA50BF">
              <w:rPr>
                <w:rStyle w:val="AERbody"/>
              </w:rPr>
              <w:t xml:space="preserve"> smoothing factor determined in accordance with the PTRM as approved</w:t>
            </w:r>
            <w:r w:rsidRPr="00782D05">
              <w:rPr>
                <w:rStyle w:val="AERbody"/>
              </w:rPr>
              <w:t xml:space="preserve"> in the AER's final decision, and annually revised for the return on debt update in accordance with the formula specified in the return on debt appendix</w:t>
            </w:r>
            <w:r w:rsidR="00557011">
              <w:rPr>
                <w:rStyle w:val="FootnoteReference"/>
                <w:sz w:val="22"/>
              </w:rPr>
              <w:footnoteReference w:id="17"/>
            </w:r>
            <w:r w:rsidRPr="00782D05">
              <w:rPr>
                <w:rStyle w:val="AERbody"/>
              </w:rPr>
              <w:t xml:space="preserve"> calculated for the relevant year.</w:t>
            </w:r>
          </w:p>
        </w:tc>
      </w:tr>
    </w:tbl>
    <w:p w:rsidR="00782D05" w:rsidRPr="00782D05" w:rsidRDefault="00782D05" w:rsidP="00782D05">
      <w:r w:rsidRPr="00782D05">
        <w:t>The MAR is determined annually in accordance with the NER by adding to (or deducting from) the allowed revenue:</w:t>
      </w:r>
    </w:p>
    <w:p w:rsidR="00782D05" w:rsidRPr="00AA50BF" w:rsidRDefault="00782D05" w:rsidP="00782D05">
      <w:pPr>
        <w:pStyle w:val="AERbulletlistfirststyle"/>
      </w:pPr>
      <w:r w:rsidRPr="00AA50BF">
        <w:t>the service target performance incentive scheme revenue in</w:t>
      </w:r>
      <w:r>
        <w:t>crement (or revenue decrement)</w:t>
      </w:r>
      <w:r>
        <w:rPr>
          <w:rStyle w:val="FootnoteReference"/>
        </w:rPr>
        <w:footnoteReference w:id="18"/>
      </w:r>
    </w:p>
    <w:p w:rsidR="00782D05" w:rsidRPr="00782D05" w:rsidRDefault="00782D05" w:rsidP="00782D05">
      <w:pPr>
        <w:pStyle w:val="AERbulletlistfirststyle"/>
      </w:pPr>
      <w:proofErr w:type="gramStart"/>
      <w:r w:rsidRPr="00AA50BF">
        <w:t>any</w:t>
      </w:r>
      <w:proofErr w:type="gramEnd"/>
      <w:r w:rsidRPr="00AA50BF">
        <w:t xml:space="preserve"> </w:t>
      </w:r>
      <w:r>
        <w:t>approved pass through amounts.</w:t>
      </w:r>
      <w:r>
        <w:rPr>
          <w:rStyle w:val="FootnoteReference"/>
        </w:rPr>
        <w:footnoteReference w:id="19"/>
      </w:r>
    </w:p>
    <w:p w:rsidR="00782D05" w:rsidRDefault="00782D05" w:rsidP="00782D05">
      <w:r w:rsidRPr="00782D05">
        <w:lastRenderedPageBreak/>
        <w:fldChar w:fldCharType="begin"/>
      </w:r>
      <w:r w:rsidRPr="00782D05">
        <w:instrText xml:space="preserve"> REF _Ref441233881 \h </w:instrText>
      </w:r>
      <w:r w:rsidRPr="00782D05">
        <w:fldChar w:fldCharType="separate"/>
      </w:r>
      <w:r w:rsidR="00EA21A9">
        <w:t xml:space="preserve">Table </w:t>
      </w:r>
      <w:r w:rsidR="00EA21A9">
        <w:rPr>
          <w:noProof/>
        </w:rPr>
        <w:t>1</w:t>
      </w:r>
      <w:r w:rsidR="00EA21A9">
        <w:t>.</w:t>
      </w:r>
      <w:r w:rsidR="00EA21A9">
        <w:rPr>
          <w:noProof/>
        </w:rPr>
        <w:t>4</w:t>
      </w:r>
      <w:r w:rsidRPr="00782D05">
        <w:fldChar w:fldCharType="end"/>
      </w:r>
      <w:r w:rsidRPr="00782D05">
        <w:t xml:space="preserve"> sets out the timing of the annual calculation of the AR and performance incentive:</w:t>
      </w:r>
    </w:p>
    <w:p w:rsidR="00DB7249" w:rsidRPr="00782D05" w:rsidRDefault="00DB7249" w:rsidP="00782D05"/>
    <w:tbl>
      <w:tblPr>
        <w:tblStyle w:val="ACCCTable3"/>
        <w:tblW w:w="7938" w:type="dxa"/>
        <w:tblInd w:w="817" w:type="dxa"/>
        <w:tblLook w:val="0480" w:firstRow="0" w:lastRow="0" w:firstColumn="1" w:lastColumn="0" w:noHBand="0" w:noVBand="1"/>
      </w:tblPr>
      <w:tblGrid>
        <w:gridCol w:w="1011"/>
        <w:gridCol w:w="868"/>
        <w:gridCol w:w="6059"/>
      </w:tblGrid>
      <w:tr w:rsidR="00782D05" w:rsidRPr="00AA50BF" w:rsidTr="00AE780A">
        <w:trPr>
          <w:trHeight w:val="285"/>
        </w:trPr>
        <w:tc>
          <w:tcPr>
            <w:cnfStyle w:val="001000000000" w:firstRow="0" w:lastRow="0" w:firstColumn="1" w:lastColumn="0" w:oddVBand="0" w:evenVBand="0" w:oddHBand="0" w:evenHBand="0" w:firstRowFirstColumn="0" w:firstRowLastColumn="0" w:lastRowFirstColumn="0" w:lastRowLastColumn="0"/>
            <w:tcW w:w="1011" w:type="dxa"/>
          </w:tcPr>
          <w:p w:rsidR="00782D05" w:rsidRPr="00E73D77" w:rsidRDefault="00782D05" w:rsidP="00103CD2">
            <w:pPr>
              <w:rPr>
                <w:rStyle w:val="Strong"/>
              </w:rPr>
            </w:pPr>
            <w:proofErr w:type="spellStart"/>
            <w:r w:rsidRPr="00E73D77">
              <w:rPr>
                <w:rStyle w:val="Strong"/>
              </w:rPr>
              <w:t>MAR</w:t>
            </w:r>
            <w:r w:rsidRPr="00AD2EB5">
              <w:rPr>
                <w:rStyle w:val="AERsubscript"/>
                <w:i/>
              </w:rPr>
              <w:t>t</w:t>
            </w:r>
            <w:proofErr w:type="spellEnd"/>
          </w:p>
        </w:tc>
        <w:tc>
          <w:tcPr>
            <w:tcW w:w="868" w:type="dxa"/>
          </w:tcPr>
          <w:p w:rsidR="00782D05" w:rsidRPr="00782D05" w:rsidRDefault="00782D05" w:rsidP="00782D05">
            <w:pPr>
              <w:cnfStyle w:val="000000000000" w:firstRow="0" w:lastRow="0" w:firstColumn="0" w:lastColumn="0" w:oddVBand="0" w:evenVBand="0" w:oddHBand="0" w:evenHBand="0" w:firstRowFirstColumn="0" w:firstRowLastColumn="0" w:lastRowFirstColumn="0" w:lastRowLastColumn="0"/>
              <w:rPr>
                <w:rStyle w:val="AERbody"/>
              </w:rPr>
            </w:pPr>
            <w:r>
              <w:rPr>
                <w:rStyle w:val="AERbody"/>
              </w:rPr>
              <w:t>=</w:t>
            </w:r>
          </w:p>
        </w:tc>
        <w:tc>
          <w:tcPr>
            <w:tcW w:w="6059" w:type="dxa"/>
          </w:tcPr>
          <w:p w:rsidR="00782D05" w:rsidRPr="00782D05" w:rsidRDefault="00782D05" w:rsidP="00782D05">
            <w:pPr>
              <w:cnfStyle w:val="000000000000" w:firstRow="0" w:lastRow="0" w:firstColumn="0" w:lastColumn="0" w:oddVBand="0" w:evenVBand="0" w:oddHBand="0" w:evenHBand="0" w:firstRowFirstColumn="0" w:firstRowLastColumn="0" w:lastRowFirstColumn="0" w:lastRowLastColumn="0"/>
              <w:rPr>
                <w:rStyle w:val="AERbody"/>
              </w:rPr>
            </w:pPr>
            <w:r w:rsidRPr="00AA50BF">
              <w:rPr>
                <w:rStyle w:val="AERbody"/>
              </w:rPr>
              <w:t>(allowed revenue) + (performance incentive) + (pass through)</w:t>
            </w:r>
          </w:p>
          <w:p w:rsidR="00782D05" w:rsidRPr="00AA50BF" w:rsidRDefault="00782D05" w:rsidP="00782D05">
            <w:pPr>
              <w:cnfStyle w:val="000000000000" w:firstRow="0" w:lastRow="0" w:firstColumn="0" w:lastColumn="0" w:oddVBand="0" w:evenVBand="0" w:oddHBand="0" w:evenHBand="0" w:firstRowFirstColumn="0" w:firstRowLastColumn="0" w:lastRowFirstColumn="0" w:lastRowLastColumn="0"/>
              <w:rPr>
                <w:rStyle w:val="AERbody"/>
              </w:rPr>
            </w:pPr>
          </w:p>
        </w:tc>
      </w:tr>
      <w:tr w:rsidR="00782D05" w:rsidRPr="00AA50BF" w:rsidTr="00AE780A">
        <w:trPr>
          <w:trHeight w:val="285"/>
        </w:trPr>
        <w:tc>
          <w:tcPr>
            <w:cnfStyle w:val="001000000000" w:firstRow="0" w:lastRow="0" w:firstColumn="1" w:lastColumn="0" w:oddVBand="0" w:evenVBand="0" w:oddHBand="0" w:evenHBand="0" w:firstRowFirstColumn="0" w:firstRowLastColumn="0" w:lastRowFirstColumn="0" w:lastRowLastColumn="0"/>
            <w:tcW w:w="1011" w:type="dxa"/>
          </w:tcPr>
          <w:p w:rsidR="00782D05" w:rsidRPr="00782D05" w:rsidRDefault="00782D05" w:rsidP="00782D05">
            <w:pPr>
              <w:rPr>
                <w:rStyle w:val="AERbody"/>
              </w:rPr>
            </w:pPr>
          </w:p>
        </w:tc>
        <w:tc>
          <w:tcPr>
            <w:tcW w:w="868" w:type="dxa"/>
            <w:vAlign w:val="center"/>
          </w:tcPr>
          <w:p w:rsidR="00782D05" w:rsidRPr="00782D05" w:rsidRDefault="00782D05" w:rsidP="00782D05">
            <w:pPr>
              <w:cnfStyle w:val="000000000000" w:firstRow="0" w:lastRow="0" w:firstColumn="0" w:lastColumn="0" w:oddVBand="0" w:evenVBand="0" w:oddHBand="0" w:evenHBand="0" w:firstRowFirstColumn="0" w:firstRowLastColumn="0" w:lastRowFirstColumn="0" w:lastRowLastColumn="0"/>
              <w:rPr>
                <w:rStyle w:val="AERbody"/>
              </w:rPr>
            </w:pPr>
            <w:r>
              <w:rPr>
                <w:rStyle w:val="AERbody"/>
              </w:rPr>
              <w:t>=</w:t>
            </w:r>
          </w:p>
          <w:p w:rsidR="00782D05" w:rsidRPr="00782D05" w:rsidRDefault="00782D05" w:rsidP="00782D05">
            <w:pPr>
              <w:cnfStyle w:val="000000000000" w:firstRow="0" w:lastRow="0" w:firstColumn="0" w:lastColumn="0" w:oddVBand="0" w:evenVBand="0" w:oddHBand="0" w:evenHBand="0" w:firstRowFirstColumn="0" w:firstRowLastColumn="0" w:lastRowFirstColumn="0" w:lastRowLastColumn="0"/>
            </w:pPr>
          </w:p>
        </w:tc>
        <w:tc>
          <w:tcPr>
            <w:tcW w:w="6059" w:type="dxa"/>
          </w:tcPr>
          <w:p w:rsidR="00782D05" w:rsidRPr="00782D05" w:rsidRDefault="00165639" w:rsidP="00782D05">
            <w:pPr>
              <w:cnfStyle w:val="000000000000" w:firstRow="0" w:lastRow="0" w:firstColumn="0" w:lastColumn="0" w:oddVBand="0" w:evenVBand="0" w:oddHBand="0" w:evenHBand="0" w:firstRowFirstColumn="0" w:firstRowLastColumn="0" w:lastRowFirstColumn="0" w:lastRowLastColumn="0"/>
              <w:rPr>
                <w:rFonts w:ascii="Cambria Math" w:hAnsi="Cambria Math"/>
                <w:oMath/>
              </w:rPr>
            </w:pPr>
            <m:oMathPara>
              <m:oMathParaPr>
                <m:jc m:val="left"/>
              </m:oMathParaPr>
              <m:oMath>
                <m:sSub>
                  <m:sSubPr>
                    <m:ctrlPr>
                      <w:rPr>
                        <w:rFonts w:ascii="Cambria Math" w:hAnsi="Cambria Math"/>
                      </w:rPr>
                    </m:ctrlPr>
                  </m:sSubPr>
                  <m:e>
                    <m:r>
                      <m:rPr>
                        <m:sty m:val="p"/>
                      </m:rPr>
                      <w:rPr>
                        <w:rFonts w:ascii="Cambria Math" w:hAnsi="Cambria Math"/>
                      </w:rPr>
                      <m:t>AR</m:t>
                    </m:r>
                  </m:e>
                  <m:sub>
                    <m:r>
                      <w:rPr>
                        <w:rFonts w:ascii="Cambria Math" w:hAnsi="Cambria Math"/>
                      </w:rPr>
                      <m:t>t</m:t>
                    </m:r>
                  </m:sub>
                </m:sSub>
                <m:r>
                  <w:rPr>
                    <w:rFonts w:ascii="Cambria Math" w:hAnsi="Cambria Math"/>
                  </w:rPr>
                  <m:t>+</m:t>
                </m:r>
                <m:d>
                  <m:dPr>
                    <m:ctrlPr>
                      <w:rPr>
                        <w:rFonts w:ascii="Cambria Math" w:hAnsi="Cambria Math"/>
                      </w:rPr>
                    </m:ctrlPr>
                  </m:dPr>
                  <m:e>
                    <m:d>
                      <m:dPr>
                        <m:ctrlPr>
                          <w:rPr>
                            <w:rFonts w:ascii="Cambria Math" w:hAnsi="Cambria Math"/>
                          </w:rPr>
                        </m:ctrlPr>
                      </m:dPr>
                      <m:e>
                        <m:sSub>
                          <m:sSubPr>
                            <m:ctrlPr>
                              <w:rPr>
                                <w:rFonts w:ascii="Cambria Math" w:hAnsi="Cambria Math"/>
                              </w:rPr>
                            </m:ctrlPr>
                          </m:sSubPr>
                          <m:e>
                            <m:r>
                              <m:rPr>
                                <m:sty m:val="p"/>
                              </m:rPr>
                              <w:rPr>
                                <w:rFonts w:ascii="Cambria Math" w:hAnsi="Cambria Math"/>
                              </w:rPr>
                              <m:t>AR</m:t>
                            </m:r>
                          </m:e>
                          <m:sub>
                            <m:r>
                              <w:rPr>
                                <w:rFonts w:ascii="Cambria Math" w:hAnsi="Cambria Math"/>
                              </w:rPr>
                              <m:t>t-2</m:t>
                            </m:r>
                          </m:sub>
                        </m:sSub>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m:t>
                            </m:r>
                          </m:den>
                        </m:f>
                      </m:e>
                    </m:d>
                    <m: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AR</m:t>
                            </m:r>
                          </m:e>
                          <m:sub>
                            <m:r>
                              <w:rPr>
                                <w:rFonts w:ascii="Cambria Math" w:hAnsi="Cambria Math"/>
                              </w:rPr>
                              <m:t>t-1</m:t>
                            </m:r>
                          </m:sub>
                        </m:sSub>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m:t>
                            </m:r>
                          </m:den>
                        </m:f>
                      </m:e>
                    </m:d>
                  </m:e>
                </m:d>
                <m:r>
                  <w:rPr>
                    <w:rFonts w:ascii="Cambria Math" w:hAnsi="Cambria Math"/>
                  </w:rPr>
                  <m:t>×</m:t>
                </m:r>
                <m:sSub>
                  <m:sSubPr>
                    <m:ctrlPr>
                      <w:rPr>
                        <w:rFonts w:ascii="Cambria Math" w:hAnsi="Cambria Math"/>
                      </w:rPr>
                    </m:ctrlPr>
                  </m:sSubPr>
                  <m:e>
                    <m:r>
                      <m:rPr>
                        <m:sty m:val="p"/>
                      </m:rPr>
                      <w:rPr>
                        <w:rFonts w:ascii="Cambria Math" w:hAnsi="Cambria Math"/>
                      </w:rPr>
                      <m:t>S</m:t>
                    </m:r>
                  </m:e>
                  <m:sub>
                    <m:r>
                      <w:rPr>
                        <w:rFonts w:ascii="Cambria Math" w:hAnsi="Cambria Math"/>
                      </w:rPr>
                      <m:t>ct</m:t>
                    </m:r>
                  </m:sub>
                </m:sSub>
                <m:r>
                  <w:rPr>
                    <w:rFonts w:ascii="Cambria Math" w:hAnsi="Cambria Math"/>
                  </w:rPr>
                  <m:t>+</m:t>
                </m:r>
                <m:sSub>
                  <m:sSubPr>
                    <m:ctrlPr>
                      <w:rPr>
                        <w:rFonts w:ascii="Cambria Math" w:hAnsi="Cambria Math"/>
                      </w:rPr>
                    </m:ctrlPr>
                  </m:sSubPr>
                  <m:e>
                    <m:r>
                      <m:rPr>
                        <m:sty m:val="p"/>
                      </m:rPr>
                      <w:rPr>
                        <w:rFonts w:ascii="Cambria Math" w:hAnsi="Cambria Math"/>
                      </w:rPr>
                      <m:t>P</m:t>
                    </m:r>
                  </m:e>
                  <m:sub>
                    <m:r>
                      <w:rPr>
                        <w:rFonts w:ascii="Cambria Math" w:hAnsi="Cambria Math"/>
                      </w:rPr>
                      <m:t>t</m:t>
                    </m:r>
                  </m:sub>
                </m:sSub>
              </m:oMath>
            </m:oMathPara>
          </w:p>
          <w:p w:rsidR="00782D05" w:rsidRPr="00AA50BF" w:rsidRDefault="00782D05" w:rsidP="00782D05">
            <w:pPr>
              <w:cnfStyle w:val="000000000000" w:firstRow="0" w:lastRow="0" w:firstColumn="0" w:lastColumn="0" w:oddVBand="0" w:evenVBand="0" w:oddHBand="0" w:evenHBand="0" w:firstRowFirstColumn="0" w:firstRowLastColumn="0" w:lastRowFirstColumn="0" w:lastRowLastColumn="0"/>
              <w:rPr>
                <w:rStyle w:val="AERbody"/>
              </w:rPr>
            </w:pPr>
          </w:p>
        </w:tc>
      </w:tr>
    </w:tbl>
    <w:p w:rsidR="00782D05" w:rsidRPr="00782D05" w:rsidRDefault="00782D05" w:rsidP="00782D05">
      <w:proofErr w:type="gramStart"/>
      <w:r w:rsidRPr="00782D05">
        <w:t>where</w:t>
      </w:r>
      <w:proofErr w:type="gramEnd"/>
      <w:r w:rsidRPr="00782D05">
        <w:t>:</w:t>
      </w:r>
    </w:p>
    <w:tbl>
      <w:tblPr>
        <w:tblStyle w:val="ACCCTable3"/>
        <w:tblW w:w="7938" w:type="dxa"/>
        <w:tblInd w:w="817" w:type="dxa"/>
        <w:tblLook w:val="0480" w:firstRow="0" w:lastRow="0" w:firstColumn="1" w:lastColumn="0" w:noHBand="0" w:noVBand="1"/>
      </w:tblPr>
      <w:tblGrid>
        <w:gridCol w:w="1011"/>
        <w:gridCol w:w="868"/>
        <w:gridCol w:w="6059"/>
      </w:tblGrid>
      <w:tr w:rsidR="00782D05" w:rsidRPr="00AA50BF" w:rsidTr="00AE780A">
        <w:trPr>
          <w:trHeight w:val="285"/>
        </w:trPr>
        <w:tc>
          <w:tcPr>
            <w:cnfStyle w:val="001000000000" w:firstRow="0" w:lastRow="0" w:firstColumn="1" w:lastColumn="0" w:oddVBand="0" w:evenVBand="0" w:oddHBand="0" w:evenHBand="0" w:firstRowFirstColumn="0" w:firstRowLastColumn="0" w:lastRowFirstColumn="0" w:lastRowLastColumn="0"/>
            <w:tcW w:w="1011" w:type="dxa"/>
          </w:tcPr>
          <w:p w:rsidR="00782D05" w:rsidRPr="00E73D77" w:rsidRDefault="00103CD2" w:rsidP="00103CD2">
            <w:pPr>
              <w:rPr>
                <w:rStyle w:val="Strong"/>
              </w:rPr>
            </w:pPr>
            <w:r w:rsidRPr="00E73D77">
              <w:rPr>
                <w:rStyle w:val="Strong"/>
              </w:rPr>
              <w:t>MAR</w:t>
            </w:r>
          </w:p>
        </w:tc>
        <w:tc>
          <w:tcPr>
            <w:tcW w:w="868" w:type="dxa"/>
          </w:tcPr>
          <w:p w:rsidR="00782D05" w:rsidRPr="00782D05" w:rsidRDefault="00782D05" w:rsidP="00782D05">
            <w:pPr>
              <w:cnfStyle w:val="000000000000" w:firstRow="0" w:lastRow="0" w:firstColumn="0" w:lastColumn="0" w:oddVBand="0" w:evenVBand="0" w:oddHBand="0" w:evenHBand="0" w:firstRowFirstColumn="0" w:firstRowLastColumn="0" w:lastRowFirstColumn="0" w:lastRowLastColumn="0"/>
            </w:pPr>
            <w:r w:rsidRPr="00782D05">
              <w:t>=</w:t>
            </w:r>
          </w:p>
        </w:tc>
        <w:tc>
          <w:tcPr>
            <w:tcW w:w="6059" w:type="dxa"/>
          </w:tcPr>
          <w:p w:rsidR="00782D05" w:rsidRPr="00103CD2" w:rsidRDefault="00782D05" w:rsidP="00103CD2">
            <w:pPr>
              <w:cnfStyle w:val="000000000000" w:firstRow="0" w:lastRow="0" w:firstColumn="0" w:lastColumn="0" w:oddVBand="0" w:evenVBand="0" w:oddHBand="0" w:evenHBand="0" w:firstRowFirstColumn="0" w:firstRowLastColumn="0" w:lastRowFirstColumn="0" w:lastRowLastColumn="0"/>
              <w:rPr>
                <w:rStyle w:val="AERbody"/>
              </w:rPr>
            </w:pPr>
            <w:r w:rsidRPr="00103CD2">
              <w:rPr>
                <w:rStyle w:val="AERbody"/>
              </w:rPr>
              <w:t>the maximum allowed revenue</w:t>
            </w:r>
          </w:p>
          <w:p w:rsidR="00782D05" w:rsidRPr="00103CD2" w:rsidRDefault="00782D05" w:rsidP="00103CD2">
            <w:pPr>
              <w:cnfStyle w:val="000000000000" w:firstRow="0" w:lastRow="0" w:firstColumn="0" w:lastColumn="0" w:oddVBand="0" w:evenVBand="0" w:oddHBand="0" w:evenHBand="0" w:firstRowFirstColumn="0" w:firstRowLastColumn="0" w:lastRowFirstColumn="0" w:lastRowLastColumn="0"/>
              <w:rPr>
                <w:rStyle w:val="AERbody"/>
              </w:rPr>
            </w:pPr>
          </w:p>
        </w:tc>
      </w:tr>
      <w:tr w:rsidR="00782D05" w:rsidRPr="00AA50BF" w:rsidTr="00AE780A">
        <w:trPr>
          <w:trHeight w:val="74"/>
        </w:trPr>
        <w:tc>
          <w:tcPr>
            <w:cnfStyle w:val="001000000000" w:firstRow="0" w:lastRow="0" w:firstColumn="1" w:lastColumn="0" w:oddVBand="0" w:evenVBand="0" w:oddHBand="0" w:evenHBand="0" w:firstRowFirstColumn="0" w:firstRowLastColumn="0" w:lastRowFirstColumn="0" w:lastRowLastColumn="0"/>
            <w:tcW w:w="1011" w:type="dxa"/>
          </w:tcPr>
          <w:p w:rsidR="00782D05" w:rsidRPr="00E73D77" w:rsidRDefault="00782D05" w:rsidP="00782D05">
            <w:pPr>
              <w:rPr>
                <w:rStyle w:val="Strong"/>
              </w:rPr>
            </w:pPr>
            <w:r w:rsidRPr="00E73D77">
              <w:rPr>
                <w:rStyle w:val="Strong"/>
              </w:rPr>
              <w:t>AR</w:t>
            </w:r>
          </w:p>
        </w:tc>
        <w:tc>
          <w:tcPr>
            <w:tcW w:w="868" w:type="dxa"/>
          </w:tcPr>
          <w:p w:rsidR="00782D05" w:rsidRPr="00782D05" w:rsidRDefault="00782D05" w:rsidP="00782D05">
            <w:pPr>
              <w:cnfStyle w:val="000000000000" w:firstRow="0" w:lastRow="0" w:firstColumn="0" w:lastColumn="0" w:oddVBand="0" w:evenVBand="0" w:oddHBand="0" w:evenHBand="0" w:firstRowFirstColumn="0" w:firstRowLastColumn="0" w:lastRowFirstColumn="0" w:lastRowLastColumn="0"/>
            </w:pPr>
            <w:r w:rsidRPr="00782D05">
              <w:t>=</w:t>
            </w:r>
          </w:p>
        </w:tc>
        <w:tc>
          <w:tcPr>
            <w:tcW w:w="6059" w:type="dxa"/>
          </w:tcPr>
          <w:p w:rsidR="00782D05" w:rsidRPr="00103CD2" w:rsidRDefault="00782D05" w:rsidP="00103CD2">
            <w:pPr>
              <w:cnfStyle w:val="000000000000" w:firstRow="0" w:lastRow="0" w:firstColumn="0" w:lastColumn="0" w:oddVBand="0" w:evenVBand="0" w:oddHBand="0" w:evenHBand="0" w:firstRowFirstColumn="0" w:firstRowLastColumn="0" w:lastRowFirstColumn="0" w:lastRowLastColumn="0"/>
              <w:rPr>
                <w:rStyle w:val="AERbody"/>
              </w:rPr>
            </w:pPr>
            <w:r w:rsidRPr="00103CD2">
              <w:rPr>
                <w:rStyle w:val="AERbody"/>
              </w:rPr>
              <w:t>the allowed revenue</w:t>
            </w:r>
          </w:p>
          <w:p w:rsidR="00782D05" w:rsidRPr="00103CD2" w:rsidRDefault="00782D05" w:rsidP="00103CD2">
            <w:pPr>
              <w:cnfStyle w:val="000000000000" w:firstRow="0" w:lastRow="0" w:firstColumn="0" w:lastColumn="0" w:oddVBand="0" w:evenVBand="0" w:oddHBand="0" w:evenHBand="0" w:firstRowFirstColumn="0" w:firstRowLastColumn="0" w:lastRowFirstColumn="0" w:lastRowLastColumn="0"/>
              <w:rPr>
                <w:rStyle w:val="AERbody"/>
              </w:rPr>
            </w:pPr>
          </w:p>
        </w:tc>
      </w:tr>
      <w:tr w:rsidR="00782D05" w:rsidRPr="00AA50BF" w:rsidTr="00AE780A">
        <w:trPr>
          <w:trHeight w:val="299"/>
        </w:trPr>
        <w:tc>
          <w:tcPr>
            <w:cnfStyle w:val="001000000000" w:firstRow="0" w:lastRow="0" w:firstColumn="1" w:lastColumn="0" w:oddVBand="0" w:evenVBand="0" w:oddHBand="0" w:evenHBand="0" w:firstRowFirstColumn="0" w:firstRowLastColumn="0" w:lastRowFirstColumn="0" w:lastRowLastColumn="0"/>
            <w:tcW w:w="1011" w:type="dxa"/>
          </w:tcPr>
          <w:p w:rsidR="00782D05" w:rsidRPr="00E73D77" w:rsidRDefault="00782D05" w:rsidP="00782D05">
            <w:pPr>
              <w:rPr>
                <w:rStyle w:val="Strong"/>
              </w:rPr>
            </w:pPr>
            <w:r w:rsidRPr="00E73D77">
              <w:rPr>
                <w:rStyle w:val="Strong"/>
              </w:rPr>
              <w:t>S</w:t>
            </w:r>
          </w:p>
        </w:tc>
        <w:tc>
          <w:tcPr>
            <w:tcW w:w="868" w:type="dxa"/>
          </w:tcPr>
          <w:p w:rsidR="00782D05" w:rsidRPr="00782D05" w:rsidRDefault="00782D05" w:rsidP="00782D05">
            <w:pPr>
              <w:cnfStyle w:val="000000000000" w:firstRow="0" w:lastRow="0" w:firstColumn="0" w:lastColumn="0" w:oddVBand="0" w:evenVBand="0" w:oddHBand="0" w:evenHBand="0" w:firstRowFirstColumn="0" w:firstRowLastColumn="0" w:lastRowFirstColumn="0" w:lastRowLastColumn="0"/>
              <w:rPr>
                <w:rStyle w:val="AERbody"/>
              </w:rPr>
            </w:pPr>
            <w:r>
              <w:rPr>
                <w:rStyle w:val="AERbody"/>
              </w:rPr>
              <w:t>=</w:t>
            </w:r>
          </w:p>
        </w:tc>
        <w:tc>
          <w:tcPr>
            <w:tcW w:w="6059" w:type="dxa"/>
          </w:tcPr>
          <w:p w:rsidR="00782D05" w:rsidRPr="00782D05" w:rsidRDefault="00782D05" w:rsidP="00782D05">
            <w:pPr>
              <w:cnfStyle w:val="000000000000" w:firstRow="0" w:lastRow="0" w:firstColumn="0" w:lastColumn="0" w:oddVBand="0" w:evenVBand="0" w:oddHBand="0" w:evenHBand="0" w:firstRowFirstColumn="0" w:firstRowLastColumn="0" w:lastRowFirstColumn="0" w:lastRowLastColumn="0"/>
              <w:rPr>
                <w:rStyle w:val="AERbody"/>
              </w:rPr>
            </w:pPr>
            <w:r w:rsidRPr="009C02C2">
              <w:rPr>
                <w:rStyle w:val="AERbody"/>
              </w:rPr>
              <w:t>the revenue increment or</w:t>
            </w:r>
            <w:r w:rsidRPr="00782D05">
              <w:rPr>
                <w:rStyle w:val="AERbody"/>
              </w:rPr>
              <w:t xml:space="preserve"> decrement determined in accordance with the service target performance incentive scheme</w:t>
            </w:r>
          </w:p>
          <w:p w:rsidR="00782D05" w:rsidRPr="00AA50BF" w:rsidRDefault="00782D05" w:rsidP="00782D05">
            <w:pPr>
              <w:cnfStyle w:val="000000000000" w:firstRow="0" w:lastRow="0" w:firstColumn="0" w:lastColumn="0" w:oddVBand="0" w:evenVBand="0" w:oddHBand="0" w:evenHBand="0" w:firstRowFirstColumn="0" w:firstRowLastColumn="0" w:lastRowFirstColumn="0" w:lastRowLastColumn="0"/>
              <w:rPr>
                <w:rStyle w:val="AERbody"/>
              </w:rPr>
            </w:pPr>
          </w:p>
        </w:tc>
      </w:tr>
      <w:tr w:rsidR="00782D05" w:rsidRPr="00AA50BF" w:rsidTr="00AE780A">
        <w:trPr>
          <w:trHeight w:val="285"/>
        </w:trPr>
        <w:tc>
          <w:tcPr>
            <w:cnfStyle w:val="001000000000" w:firstRow="0" w:lastRow="0" w:firstColumn="1" w:lastColumn="0" w:oddVBand="0" w:evenVBand="0" w:oddHBand="0" w:evenHBand="0" w:firstRowFirstColumn="0" w:firstRowLastColumn="0" w:lastRowFirstColumn="0" w:lastRowLastColumn="0"/>
            <w:tcW w:w="1011" w:type="dxa"/>
          </w:tcPr>
          <w:p w:rsidR="00782D05" w:rsidRPr="00E73D77" w:rsidRDefault="00782D05" w:rsidP="00782D05">
            <w:pPr>
              <w:rPr>
                <w:rStyle w:val="Strong"/>
              </w:rPr>
            </w:pPr>
            <w:r w:rsidRPr="00E73D77">
              <w:rPr>
                <w:rStyle w:val="Strong"/>
              </w:rPr>
              <w:t>P</w:t>
            </w:r>
          </w:p>
        </w:tc>
        <w:tc>
          <w:tcPr>
            <w:tcW w:w="868" w:type="dxa"/>
          </w:tcPr>
          <w:p w:rsidR="00782D05" w:rsidRPr="00782D05" w:rsidRDefault="00782D05" w:rsidP="00782D05">
            <w:pPr>
              <w:cnfStyle w:val="000000000000" w:firstRow="0" w:lastRow="0" w:firstColumn="0" w:lastColumn="0" w:oddVBand="0" w:evenVBand="0" w:oddHBand="0" w:evenHBand="0" w:firstRowFirstColumn="0" w:firstRowLastColumn="0" w:lastRowFirstColumn="0" w:lastRowLastColumn="0"/>
              <w:rPr>
                <w:rStyle w:val="AERbody"/>
              </w:rPr>
            </w:pPr>
            <w:r>
              <w:rPr>
                <w:rStyle w:val="AERbody"/>
              </w:rPr>
              <w:t>=</w:t>
            </w:r>
          </w:p>
        </w:tc>
        <w:tc>
          <w:tcPr>
            <w:tcW w:w="6059" w:type="dxa"/>
          </w:tcPr>
          <w:p w:rsidR="00782D05" w:rsidRPr="00782D05" w:rsidRDefault="00782D05" w:rsidP="00782D05">
            <w:pPr>
              <w:cnfStyle w:val="000000000000" w:firstRow="0" w:lastRow="0" w:firstColumn="0" w:lastColumn="0" w:oddVBand="0" w:evenVBand="0" w:oddHBand="0" w:evenHBand="0" w:firstRowFirstColumn="0" w:firstRowLastColumn="0" w:lastRowFirstColumn="0" w:lastRowLastColumn="0"/>
              <w:rPr>
                <w:rStyle w:val="AERbody"/>
              </w:rPr>
            </w:pPr>
            <w:r w:rsidRPr="009C02C2">
              <w:rPr>
                <w:rStyle w:val="AERbody"/>
              </w:rPr>
              <w:t>the pass through amount (positive or negative) that the AER has determined</w:t>
            </w:r>
            <w:r w:rsidRPr="00782D05">
              <w:rPr>
                <w:rStyle w:val="AERbody"/>
              </w:rPr>
              <w:t xml:space="preserve"> in accordance with clauses 6A.7.2 and 6A.7.3 of the NER</w:t>
            </w:r>
          </w:p>
          <w:p w:rsidR="00782D05" w:rsidRPr="00AA50BF" w:rsidRDefault="00782D05" w:rsidP="00782D05">
            <w:pPr>
              <w:cnfStyle w:val="000000000000" w:firstRow="0" w:lastRow="0" w:firstColumn="0" w:lastColumn="0" w:oddVBand="0" w:evenVBand="0" w:oddHBand="0" w:evenHBand="0" w:firstRowFirstColumn="0" w:firstRowLastColumn="0" w:lastRowFirstColumn="0" w:lastRowLastColumn="0"/>
              <w:rPr>
                <w:rStyle w:val="AERbody"/>
              </w:rPr>
            </w:pPr>
          </w:p>
        </w:tc>
      </w:tr>
      <w:tr w:rsidR="00782D05" w:rsidRPr="00AA50BF" w:rsidTr="00AE780A">
        <w:trPr>
          <w:trHeight w:val="285"/>
        </w:trPr>
        <w:tc>
          <w:tcPr>
            <w:cnfStyle w:val="001000000000" w:firstRow="0" w:lastRow="0" w:firstColumn="1" w:lastColumn="0" w:oddVBand="0" w:evenVBand="0" w:oddHBand="0" w:evenHBand="0" w:firstRowFirstColumn="0" w:firstRowLastColumn="0" w:lastRowFirstColumn="0" w:lastRowLastColumn="0"/>
            <w:tcW w:w="1011" w:type="dxa"/>
          </w:tcPr>
          <w:p w:rsidR="00782D05" w:rsidRPr="00AD2EB5" w:rsidRDefault="00782D05" w:rsidP="00782D05">
            <w:pPr>
              <w:rPr>
                <w:rStyle w:val="Strong"/>
                <w:i/>
              </w:rPr>
            </w:pPr>
            <w:r w:rsidRPr="00AD2EB5">
              <w:rPr>
                <w:rStyle w:val="Strong"/>
                <w:i/>
              </w:rPr>
              <w:t>t</w:t>
            </w:r>
          </w:p>
        </w:tc>
        <w:tc>
          <w:tcPr>
            <w:tcW w:w="868" w:type="dxa"/>
          </w:tcPr>
          <w:p w:rsidR="00782D05" w:rsidRPr="00782D05" w:rsidRDefault="00782D05" w:rsidP="00782D05">
            <w:pPr>
              <w:cnfStyle w:val="000000000000" w:firstRow="0" w:lastRow="0" w:firstColumn="0" w:lastColumn="0" w:oddVBand="0" w:evenVBand="0" w:oddHBand="0" w:evenHBand="0" w:firstRowFirstColumn="0" w:firstRowLastColumn="0" w:lastRowFirstColumn="0" w:lastRowLastColumn="0"/>
              <w:rPr>
                <w:rStyle w:val="AERbody"/>
              </w:rPr>
            </w:pPr>
            <w:r>
              <w:rPr>
                <w:rStyle w:val="AERbody"/>
              </w:rPr>
              <w:t>=</w:t>
            </w:r>
          </w:p>
        </w:tc>
        <w:tc>
          <w:tcPr>
            <w:tcW w:w="6059" w:type="dxa"/>
          </w:tcPr>
          <w:p w:rsidR="00782D05" w:rsidRPr="00782D05" w:rsidRDefault="00782D05" w:rsidP="00782D05">
            <w:pPr>
              <w:cnfStyle w:val="000000000000" w:firstRow="0" w:lastRow="0" w:firstColumn="0" w:lastColumn="0" w:oddVBand="0" w:evenVBand="0" w:oddHBand="0" w:evenHBand="0" w:firstRowFirstColumn="0" w:firstRowLastColumn="0" w:lastRowFirstColumn="0" w:lastRowLastColumn="0"/>
              <w:rPr>
                <w:rStyle w:val="AERbody"/>
              </w:rPr>
            </w:pPr>
            <w:r w:rsidRPr="009C02C2">
              <w:rPr>
                <w:rStyle w:val="AERbody"/>
              </w:rPr>
              <w:t xml:space="preserve">time period/financial year (for </w:t>
            </w:r>
            <w:r w:rsidRPr="00782D05">
              <w:rPr>
                <w:rStyle w:val="AERtextitalic"/>
              </w:rPr>
              <w:t>t</w:t>
            </w:r>
            <w:r w:rsidRPr="00782D05">
              <w:rPr>
                <w:rStyle w:val="AERbody"/>
              </w:rPr>
              <w:t xml:space="preserve"> = 2 (2018–19), 3 (2019–20), 4 (2020–21), 5 (2021–22))</w:t>
            </w:r>
          </w:p>
          <w:p w:rsidR="00782D05" w:rsidRPr="00AA50BF" w:rsidRDefault="00782D05" w:rsidP="00782D05">
            <w:pPr>
              <w:cnfStyle w:val="000000000000" w:firstRow="0" w:lastRow="0" w:firstColumn="0" w:lastColumn="0" w:oddVBand="0" w:evenVBand="0" w:oddHBand="0" w:evenHBand="0" w:firstRowFirstColumn="0" w:firstRowLastColumn="0" w:lastRowFirstColumn="0" w:lastRowLastColumn="0"/>
              <w:rPr>
                <w:rStyle w:val="AERbody"/>
              </w:rPr>
            </w:pPr>
          </w:p>
        </w:tc>
      </w:tr>
      <w:tr w:rsidR="00782D05" w:rsidRPr="00AA50BF" w:rsidTr="00AE780A">
        <w:trPr>
          <w:trHeight w:val="285"/>
        </w:trPr>
        <w:tc>
          <w:tcPr>
            <w:cnfStyle w:val="001000000000" w:firstRow="0" w:lastRow="0" w:firstColumn="1" w:lastColumn="0" w:oddVBand="0" w:evenVBand="0" w:oddHBand="0" w:evenHBand="0" w:firstRowFirstColumn="0" w:firstRowLastColumn="0" w:lastRowFirstColumn="0" w:lastRowLastColumn="0"/>
            <w:tcW w:w="1011" w:type="dxa"/>
          </w:tcPr>
          <w:p w:rsidR="00782D05" w:rsidRPr="00AD2EB5" w:rsidRDefault="00782D05" w:rsidP="00782D05">
            <w:pPr>
              <w:rPr>
                <w:rStyle w:val="Strong"/>
                <w:i/>
              </w:rPr>
            </w:pPr>
            <w:proofErr w:type="spellStart"/>
            <w:r w:rsidRPr="00AD2EB5">
              <w:rPr>
                <w:rStyle w:val="Strong"/>
                <w:i/>
              </w:rPr>
              <w:t>ct</w:t>
            </w:r>
            <w:proofErr w:type="spellEnd"/>
          </w:p>
        </w:tc>
        <w:tc>
          <w:tcPr>
            <w:tcW w:w="868" w:type="dxa"/>
          </w:tcPr>
          <w:p w:rsidR="00782D05" w:rsidRPr="00782D05" w:rsidRDefault="00782D05" w:rsidP="00782D05">
            <w:pPr>
              <w:cnfStyle w:val="000000000000" w:firstRow="0" w:lastRow="0" w:firstColumn="0" w:lastColumn="0" w:oddVBand="0" w:evenVBand="0" w:oddHBand="0" w:evenHBand="0" w:firstRowFirstColumn="0" w:firstRowLastColumn="0" w:lastRowFirstColumn="0" w:lastRowLastColumn="0"/>
            </w:pPr>
            <w:r>
              <w:t>=</w:t>
            </w:r>
          </w:p>
        </w:tc>
        <w:tc>
          <w:tcPr>
            <w:tcW w:w="6059" w:type="dxa"/>
          </w:tcPr>
          <w:p w:rsidR="00782D05" w:rsidRPr="00782D05" w:rsidRDefault="00782D05" w:rsidP="00782D05">
            <w:pPr>
              <w:cnfStyle w:val="000000000000" w:firstRow="0" w:lastRow="0" w:firstColumn="0" w:lastColumn="0" w:oddVBand="0" w:evenVBand="0" w:oddHBand="0" w:evenHBand="0" w:firstRowFirstColumn="0" w:firstRowLastColumn="0" w:lastRowFirstColumn="0" w:lastRowLastColumn="0"/>
              <w:rPr>
                <w:rStyle w:val="AERbody"/>
              </w:rPr>
            </w:pPr>
            <w:proofErr w:type="gramStart"/>
            <w:r w:rsidRPr="009C02C2">
              <w:rPr>
                <w:rStyle w:val="AERbody"/>
              </w:rPr>
              <w:t>time</w:t>
            </w:r>
            <w:proofErr w:type="gramEnd"/>
            <w:r w:rsidRPr="00782D05">
              <w:rPr>
                <w:rStyle w:val="AERbody"/>
              </w:rPr>
              <w:t xml:space="preserve"> period/calendar year (for </w:t>
            </w:r>
            <w:r w:rsidRPr="00782D05">
              <w:rPr>
                <w:rStyle w:val="AERtextitalic"/>
              </w:rPr>
              <w:t>t</w:t>
            </w:r>
            <w:r w:rsidRPr="00782D05">
              <w:rPr>
                <w:rStyle w:val="AERbody"/>
              </w:rPr>
              <w:t xml:space="preserve"> = 2 (2017), 3 (2018), 4 (2019), 5 (2020)).</w:t>
            </w:r>
          </w:p>
        </w:tc>
      </w:tr>
    </w:tbl>
    <w:p w:rsidR="00782D05" w:rsidRDefault="00782D05" w:rsidP="00782D05">
      <w:r>
        <w:t>Under the NER, a TNSP may also adjust the MAR for under or over-recovery amounts.</w:t>
      </w:r>
      <w:r>
        <w:rPr>
          <w:rStyle w:val="FootnoteReference"/>
        </w:rPr>
        <w:footnoteReference w:id="20"/>
      </w:r>
      <w:r>
        <w:t xml:space="preserve"> That is, the revenue amounts recovered higher or lower than the approved MAR for each year would be included in the subsequent year's MAR. In the case of an under-recovery, the amount would be added to the future year's MAR. In the case of an over-recovery, the amount would be subtracted from the future year's MAR.</w:t>
      </w:r>
    </w:p>
    <w:p w:rsidR="00782D05" w:rsidRDefault="00782D05" w:rsidP="00782D05">
      <w:pPr>
        <w:pStyle w:val="Caption"/>
      </w:pPr>
      <w:bookmarkStart w:id="88" w:name="_Ref441233881"/>
      <w:proofErr w:type="gramStart"/>
      <w:r>
        <w:t xml:space="preserve">Table </w:t>
      </w:r>
      <w:fldSimple w:instr=" STYLEREF 1 \s ">
        <w:r w:rsidR="00EA21A9">
          <w:rPr>
            <w:noProof/>
          </w:rPr>
          <w:t>1</w:t>
        </w:r>
      </w:fldSimple>
      <w:r>
        <w:t>.</w:t>
      </w:r>
      <w:proofErr w:type="gramEnd"/>
      <w:r w:rsidR="00294332">
        <w:fldChar w:fldCharType="begin"/>
      </w:r>
      <w:r w:rsidR="00294332">
        <w:instrText xml:space="preserve"> SEQ Table \* ARABIC \s 1 </w:instrText>
      </w:r>
      <w:r w:rsidR="00294332">
        <w:fldChar w:fldCharType="separate"/>
      </w:r>
      <w:r w:rsidR="00EA21A9">
        <w:rPr>
          <w:noProof/>
        </w:rPr>
        <w:t>4</w:t>
      </w:r>
      <w:r w:rsidR="00294332">
        <w:fldChar w:fldCharType="end"/>
      </w:r>
      <w:bookmarkEnd w:id="88"/>
      <w:r>
        <w:tab/>
        <w:t xml:space="preserve">Timing of the calculation of allowed revenues and the performance incentive for </w:t>
      </w:r>
      <w:r w:rsidR="009C7114">
        <w:t>Powerlink</w:t>
      </w:r>
    </w:p>
    <w:tbl>
      <w:tblPr>
        <w:tblStyle w:val="AERtable-text0"/>
        <w:tblW w:w="0" w:type="auto"/>
        <w:tblLook w:val="04A0" w:firstRow="1" w:lastRow="0" w:firstColumn="1" w:lastColumn="0" w:noHBand="0" w:noVBand="1"/>
      </w:tblPr>
      <w:tblGrid>
        <w:gridCol w:w="675"/>
        <w:gridCol w:w="3671"/>
        <w:gridCol w:w="724"/>
        <w:gridCol w:w="3623"/>
      </w:tblGrid>
      <w:tr w:rsidR="00782D05" w:rsidRPr="002624C0" w:rsidTr="00AE780A">
        <w:trPr>
          <w:cnfStyle w:val="100000000000" w:firstRow="1" w:lastRow="0" w:firstColumn="0" w:lastColumn="0" w:oddVBand="0" w:evenVBand="0" w:oddHBand="0" w:evenHBand="0" w:firstRowFirstColumn="0" w:firstRowLastColumn="0" w:lastRowFirstColumn="0" w:lastRowLastColumn="0"/>
        </w:trPr>
        <w:tc>
          <w:tcPr>
            <w:tcW w:w="675" w:type="dxa"/>
          </w:tcPr>
          <w:p w:rsidR="00782D05" w:rsidRPr="00E73D77" w:rsidRDefault="00782D05" w:rsidP="00782D05">
            <w:pPr>
              <w:rPr>
                <w:rStyle w:val="AERtextitalic"/>
              </w:rPr>
            </w:pPr>
            <w:r w:rsidRPr="00E73D77">
              <w:rPr>
                <w:rStyle w:val="AERtextitalic"/>
              </w:rPr>
              <w:t>t</w:t>
            </w:r>
          </w:p>
        </w:tc>
        <w:tc>
          <w:tcPr>
            <w:tcW w:w="3671" w:type="dxa"/>
          </w:tcPr>
          <w:p w:rsidR="00782D05" w:rsidRPr="00782D05" w:rsidRDefault="00782D05" w:rsidP="00782D05">
            <w:r w:rsidRPr="002624C0">
              <w:t>Allowed revenue (financial year)</w:t>
            </w:r>
          </w:p>
        </w:tc>
        <w:tc>
          <w:tcPr>
            <w:tcW w:w="724" w:type="dxa"/>
          </w:tcPr>
          <w:p w:rsidR="00782D05" w:rsidRPr="00E73D77" w:rsidRDefault="00782D05" w:rsidP="00782D05">
            <w:pPr>
              <w:rPr>
                <w:rStyle w:val="AERtextitalic"/>
              </w:rPr>
            </w:pPr>
            <w:proofErr w:type="spellStart"/>
            <w:r w:rsidRPr="00E73D77">
              <w:rPr>
                <w:rStyle w:val="AERtextitalic"/>
              </w:rPr>
              <w:t>ct</w:t>
            </w:r>
            <w:proofErr w:type="spellEnd"/>
          </w:p>
        </w:tc>
        <w:tc>
          <w:tcPr>
            <w:tcW w:w="3623" w:type="dxa"/>
          </w:tcPr>
          <w:p w:rsidR="00782D05" w:rsidRPr="00782D05" w:rsidRDefault="00782D05" w:rsidP="00782D05">
            <w:r w:rsidRPr="002624C0">
              <w:t>Performance incentive (calendar year)</w:t>
            </w:r>
          </w:p>
        </w:tc>
      </w:tr>
      <w:tr w:rsidR="00782D05" w:rsidRPr="002624C0" w:rsidTr="00AE780A">
        <w:tc>
          <w:tcPr>
            <w:tcW w:w="675" w:type="dxa"/>
          </w:tcPr>
          <w:p w:rsidR="00782D05" w:rsidRPr="00782D05" w:rsidRDefault="00782D05" w:rsidP="00782D05">
            <w:r>
              <w:t>2</w:t>
            </w:r>
          </w:p>
        </w:tc>
        <w:tc>
          <w:tcPr>
            <w:tcW w:w="3671" w:type="dxa"/>
          </w:tcPr>
          <w:p w:rsidR="00782D05" w:rsidRPr="00782D05" w:rsidRDefault="00782D05" w:rsidP="00332FF8">
            <w:r>
              <w:t xml:space="preserve">1 </w:t>
            </w:r>
            <w:r w:rsidR="00332FF8">
              <w:t>July 2018– 30 June</w:t>
            </w:r>
            <w:r>
              <w:t xml:space="preserve"> 2019</w:t>
            </w:r>
          </w:p>
        </w:tc>
        <w:tc>
          <w:tcPr>
            <w:tcW w:w="724" w:type="dxa"/>
          </w:tcPr>
          <w:p w:rsidR="00782D05" w:rsidRPr="00782D05" w:rsidRDefault="00782D05" w:rsidP="00782D05">
            <w:r>
              <w:t>2</w:t>
            </w:r>
          </w:p>
        </w:tc>
        <w:tc>
          <w:tcPr>
            <w:tcW w:w="3623" w:type="dxa"/>
          </w:tcPr>
          <w:p w:rsidR="00782D05" w:rsidRPr="00782D05" w:rsidRDefault="00782D05" w:rsidP="00782D05">
            <w:r>
              <w:t>1 January 2017– 31 December 2017</w:t>
            </w:r>
          </w:p>
        </w:tc>
      </w:tr>
      <w:tr w:rsidR="00782D05" w:rsidRPr="002624C0" w:rsidTr="00AE780A">
        <w:trPr>
          <w:cnfStyle w:val="000000010000" w:firstRow="0" w:lastRow="0" w:firstColumn="0" w:lastColumn="0" w:oddVBand="0" w:evenVBand="0" w:oddHBand="0" w:evenHBand="1" w:firstRowFirstColumn="0" w:firstRowLastColumn="0" w:lastRowFirstColumn="0" w:lastRowLastColumn="0"/>
        </w:trPr>
        <w:tc>
          <w:tcPr>
            <w:tcW w:w="675" w:type="dxa"/>
          </w:tcPr>
          <w:p w:rsidR="00782D05" w:rsidRPr="00782D05" w:rsidRDefault="00782D05" w:rsidP="00782D05">
            <w:r>
              <w:t>3</w:t>
            </w:r>
          </w:p>
        </w:tc>
        <w:tc>
          <w:tcPr>
            <w:tcW w:w="3671" w:type="dxa"/>
          </w:tcPr>
          <w:p w:rsidR="00782D05" w:rsidRPr="00782D05" w:rsidRDefault="00782D05" w:rsidP="00782D05">
            <w:r>
              <w:t xml:space="preserve">1 </w:t>
            </w:r>
            <w:r w:rsidR="00332FF8">
              <w:t>July</w:t>
            </w:r>
            <w:r w:rsidR="00332FF8" w:rsidRPr="00332FF8">
              <w:t xml:space="preserve"> 2018</w:t>
            </w:r>
            <w:r>
              <w:t xml:space="preserve">– </w:t>
            </w:r>
            <w:r w:rsidR="00332FF8">
              <w:t>30 June</w:t>
            </w:r>
            <w:r w:rsidR="00332FF8" w:rsidRPr="00332FF8">
              <w:t xml:space="preserve"> </w:t>
            </w:r>
            <w:r>
              <w:t>2020</w:t>
            </w:r>
          </w:p>
        </w:tc>
        <w:tc>
          <w:tcPr>
            <w:tcW w:w="724" w:type="dxa"/>
          </w:tcPr>
          <w:p w:rsidR="00782D05" w:rsidRPr="00782D05" w:rsidRDefault="00782D05" w:rsidP="00782D05">
            <w:r>
              <w:t>3</w:t>
            </w:r>
          </w:p>
        </w:tc>
        <w:tc>
          <w:tcPr>
            <w:tcW w:w="3623" w:type="dxa"/>
          </w:tcPr>
          <w:p w:rsidR="00782D05" w:rsidRPr="00782D05" w:rsidRDefault="00782D05" w:rsidP="00782D05">
            <w:r>
              <w:t>1 January 2018– 31 December 2018</w:t>
            </w:r>
          </w:p>
        </w:tc>
      </w:tr>
      <w:tr w:rsidR="00782D05" w:rsidRPr="002624C0" w:rsidTr="00AE780A">
        <w:tc>
          <w:tcPr>
            <w:tcW w:w="675" w:type="dxa"/>
          </w:tcPr>
          <w:p w:rsidR="00782D05" w:rsidRPr="00782D05" w:rsidRDefault="00782D05" w:rsidP="00782D05">
            <w:r>
              <w:t>4</w:t>
            </w:r>
          </w:p>
        </w:tc>
        <w:tc>
          <w:tcPr>
            <w:tcW w:w="3671" w:type="dxa"/>
          </w:tcPr>
          <w:p w:rsidR="00782D05" w:rsidRPr="00782D05" w:rsidRDefault="00782D05" w:rsidP="00782D05">
            <w:r>
              <w:t xml:space="preserve">1 </w:t>
            </w:r>
            <w:r w:rsidR="00332FF8">
              <w:t>July</w:t>
            </w:r>
            <w:r w:rsidR="00332FF8" w:rsidRPr="00332FF8">
              <w:t xml:space="preserve"> 2018</w:t>
            </w:r>
            <w:r>
              <w:t xml:space="preserve">– </w:t>
            </w:r>
            <w:r w:rsidR="00332FF8">
              <w:t>30 June</w:t>
            </w:r>
            <w:r w:rsidR="00332FF8" w:rsidRPr="00332FF8">
              <w:t xml:space="preserve"> </w:t>
            </w:r>
            <w:r>
              <w:t>2021</w:t>
            </w:r>
          </w:p>
        </w:tc>
        <w:tc>
          <w:tcPr>
            <w:tcW w:w="724" w:type="dxa"/>
          </w:tcPr>
          <w:p w:rsidR="00782D05" w:rsidRPr="00782D05" w:rsidRDefault="00782D05" w:rsidP="00782D05">
            <w:r>
              <w:t>4</w:t>
            </w:r>
          </w:p>
        </w:tc>
        <w:tc>
          <w:tcPr>
            <w:tcW w:w="3623" w:type="dxa"/>
          </w:tcPr>
          <w:p w:rsidR="00782D05" w:rsidRPr="00782D05" w:rsidRDefault="00782D05" w:rsidP="00782D05">
            <w:r>
              <w:t>1 January 2019– 31 December 2019</w:t>
            </w:r>
          </w:p>
        </w:tc>
      </w:tr>
      <w:tr w:rsidR="00782D05" w:rsidRPr="002624C0" w:rsidTr="00AE780A">
        <w:trPr>
          <w:cnfStyle w:val="000000010000" w:firstRow="0" w:lastRow="0" w:firstColumn="0" w:lastColumn="0" w:oddVBand="0" w:evenVBand="0" w:oddHBand="0" w:evenHBand="1" w:firstRowFirstColumn="0" w:firstRowLastColumn="0" w:lastRowFirstColumn="0" w:lastRowLastColumn="0"/>
        </w:trPr>
        <w:tc>
          <w:tcPr>
            <w:tcW w:w="675" w:type="dxa"/>
          </w:tcPr>
          <w:p w:rsidR="00782D05" w:rsidRPr="00782D05" w:rsidRDefault="00782D05" w:rsidP="00782D05">
            <w:r>
              <w:lastRenderedPageBreak/>
              <w:t>5</w:t>
            </w:r>
          </w:p>
        </w:tc>
        <w:tc>
          <w:tcPr>
            <w:tcW w:w="3671" w:type="dxa"/>
          </w:tcPr>
          <w:p w:rsidR="00782D05" w:rsidRPr="00782D05" w:rsidRDefault="00782D05" w:rsidP="00782D05">
            <w:r>
              <w:t xml:space="preserve">1 </w:t>
            </w:r>
            <w:r w:rsidR="00332FF8">
              <w:t>July</w:t>
            </w:r>
            <w:r w:rsidR="00332FF8" w:rsidRPr="00332FF8">
              <w:t xml:space="preserve"> 2018</w:t>
            </w:r>
            <w:r>
              <w:t xml:space="preserve">– </w:t>
            </w:r>
            <w:r w:rsidR="00332FF8">
              <w:t>30 June</w:t>
            </w:r>
            <w:r w:rsidR="00332FF8" w:rsidRPr="00332FF8">
              <w:t xml:space="preserve"> </w:t>
            </w:r>
            <w:r w:rsidRPr="00782D05">
              <w:t>2022</w:t>
            </w:r>
          </w:p>
        </w:tc>
        <w:tc>
          <w:tcPr>
            <w:tcW w:w="724" w:type="dxa"/>
          </w:tcPr>
          <w:p w:rsidR="00782D05" w:rsidRPr="00782D05" w:rsidRDefault="00782D05" w:rsidP="00782D05">
            <w:r>
              <w:t>5</w:t>
            </w:r>
          </w:p>
        </w:tc>
        <w:tc>
          <w:tcPr>
            <w:tcW w:w="3623" w:type="dxa"/>
          </w:tcPr>
          <w:p w:rsidR="00782D05" w:rsidRPr="00782D05" w:rsidRDefault="00782D05" w:rsidP="00782D05">
            <w:r>
              <w:t>1 January 2020– 31 December 2020</w:t>
            </w:r>
          </w:p>
        </w:tc>
      </w:tr>
    </w:tbl>
    <w:p w:rsidR="00782D05" w:rsidRDefault="00782D05" w:rsidP="00782D05">
      <w:pPr>
        <w:pStyle w:val="AERtablesource"/>
      </w:pPr>
      <w:r>
        <w:t>Note:</w:t>
      </w:r>
      <w:r>
        <w:tab/>
      </w:r>
      <w:r w:rsidRPr="004568E4">
        <w:t>The performance incentive for 1 January 201</w:t>
      </w:r>
      <w:r>
        <w:t>6</w:t>
      </w:r>
      <w:r w:rsidRPr="004568E4">
        <w:t>–31 December 201</w:t>
      </w:r>
      <w:r>
        <w:t>6</w:t>
      </w:r>
      <w:r w:rsidRPr="004568E4">
        <w:t xml:space="preserve"> is to be applied to the AR determined for </w:t>
      </w:r>
      <w:r w:rsidRPr="004568E4">
        <w:br/>
        <w:t>201</w:t>
      </w:r>
      <w:r>
        <w:t>7</w:t>
      </w:r>
      <w:r w:rsidRPr="004568E4">
        <w:t>–1</w:t>
      </w:r>
      <w:r>
        <w:t>8</w:t>
      </w:r>
      <w:r w:rsidRPr="004568E4">
        <w:t xml:space="preserve"> (AR</w:t>
      </w:r>
      <w:r w:rsidRPr="000F2B6A">
        <w:rPr>
          <w:rStyle w:val="AERsubscript"/>
        </w:rPr>
        <w:t>1</w:t>
      </w:r>
      <w:r>
        <w:t>).</w:t>
      </w:r>
    </w:p>
    <w:p w:rsidR="009F1D1C" w:rsidRPr="009F1D1C" w:rsidRDefault="009F1D1C" w:rsidP="009F1D1C">
      <w:pPr>
        <w:pStyle w:val="Heading3"/>
      </w:pPr>
      <w:bookmarkStart w:id="89" w:name="_Toc441242145"/>
      <w:bookmarkStart w:id="90" w:name="_Toc462749079"/>
      <w:r w:rsidRPr="009F1D1C">
        <w:t>Average transmission charges</w:t>
      </w:r>
      <w:bookmarkEnd w:id="89"/>
      <w:bookmarkEnd w:id="90"/>
    </w:p>
    <w:p w:rsidR="009F1D1C" w:rsidRPr="009F1D1C" w:rsidRDefault="009F1D1C" w:rsidP="009F1D1C">
      <w:r w:rsidRPr="009F1D1C">
        <w:t xml:space="preserve">The NER does not require an estimate of transmission charges for a revenue determination of a TNSP. Nonetheless, we typically provide some indicative transmission charges (and the resulting impact on annual electricity bills) flowing from the revenue determination as discussed in section </w:t>
      </w:r>
      <w:r w:rsidRPr="009F1D1C">
        <w:fldChar w:fldCharType="begin"/>
      </w:r>
      <w:r w:rsidRPr="009F1D1C">
        <w:instrText xml:space="preserve"> REF _Ref437867027 \r \h </w:instrText>
      </w:r>
      <w:r w:rsidRPr="009F1D1C">
        <w:fldChar w:fldCharType="separate"/>
      </w:r>
      <w:r w:rsidR="00EA21A9">
        <w:t>1.4.3</w:t>
      </w:r>
      <w:r w:rsidRPr="009F1D1C">
        <w:fldChar w:fldCharType="end"/>
      </w:r>
      <w:r w:rsidRPr="009F1D1C">
        <w:t xml:space="preserve">. Although we assess </w:t>
      </w:r>
      <w:r>
        <w:t>Powerlink</w:t>
      </w:r>
      <w:r w:rsidRPr="009F1D1C">
        <w:t>’</w:t>
      </w:r>
      <w:r w:rsidR="00103CD2">
        <w:t>s</w:t>
      </w:r>
      <w:r w:rsidRPr="009F1D1C">
        <w:t xml:space="preserve"> proposed pricing methodology as part of this determination, actual transmission charges established at particular connection points are not determined by us. </w:t>
      </w:r>
      <w:r>
        <w:t>Powerlink</w:t>
      </w:r>
      <w:r w:rsidRPr="009F1D1C">
        <w:t xml:space="preserve"> establishes the transmission charges in accordance with its approved pricing methodology and the NER.</w:t>
      </w:r>
      <w:r w:rsidRPr="009F1D1C">
        <w:rPr>
          <w:rStyle w:val="FootnoteReference"/>
        </w:rPr>
        <w:footnoteReference w:id="21"/>
      </w:r>
    </w:p>
    <w:p w:rsidR="009F1D1C" w:rsidRPr="009F1D1C" w:rsidRDefault="009F1D1C" w:rsidP="009F1D1C">
      <w:pPr>
        <w:pStyle w:val="Heading2"/>
      </w:pPr>
      <w:bookmarkStart w:id="91" w:name="_Toc441242146"/>
      <w:bookmarkStart w:id="92" w:name="_Toc462749080"/>
      <w:r w:rsidRPr="009F1D1C">
        <w:t>Reasons for draft decision</w:t>
      </w:r>
      <w:bookmarkEnd w:id="91"/>
      <w:bookmarkEnd w:id="92"/>
      <w:r w:rsidRPr="009F1D1C">
        <w:t xml:space="preserve"> </w:t>
      </w:r>
    </w:p>
    <w:p w:rsidR="009F1D1C" w:rsidRPr="009F1D1C" w:rsidRDefault="009F1D1C" w:rsidP="009F1D1C">
      <w:pPr>
        <w:rPr>
          <w:rStyle w:val="AERbody"/>
        </w:rPr>
      </w:pPr>
      <w:r w:rsidRPr="009F1D1C">
        <w:rPr>
          <w:rStyle w:val="AERbody"/>
        </w:rPr>
        <w:t>We determine a total annual building block revenue requirement of $</w:t>
      </w:r>
      <w:r w:rsidR="00527C7A">
        <w:rPr>
          <w:rStyle w:val="AERbody"/>
        </w:rPr>
        <w:t>372</w:t>
      </w:r>
      <w:r w:rsidR="009B6B07">
        <w:rPr>
          <w:rStyle w:val="AERbody"/>
        </w:rPr>
        <w:t>4</w:t>
      </w:r>
      <w:r w:rsidR="00527C7A">
        <w:rPr>
          <w:rStyle w:val="AERbody"/>
        </w:rPr>
        <w:t>.</w:t>
      </w:r>
      <w:r w:rsidR="00021823">
        <w:rPr>
          <w:rStyle w:val="AERbody"/>
        </w:rPr>
        <w:t>2</w:t>
      </w:r>
      <w:r w:rsidRPr="009F1D1C">
        <w:rPr>
          <w:rStyle w:val="AERbody"/>
        </w:rPr>
        <w:t xml:space="preserve"> million ($ nominal) for </w:t>
      </w:r>
      <w:r>
        <w:rPr>
          <w:rStyle w:val="AERbody"/>
        </w:rPr>
        <w:t>Powerlink</w:t>
      </w:r>
      <w:r w:rsidRPr="009F1D1C">
        <w:rPr>
          <w:rStyle w:val="AERbody"/>
        </w:rPr>
        <w:t xml:space="preserve"> for the 2017–22 regulatory control period. This compares to </w:t>
      </w:r>
      <w:r>
        <w:rPr>
          <w:rStyle w:val="AERbody"/>
        </w:rPr>
        <w:t>Powerlink</w:t>
      </w:r>
      <w:r w:rsidRPr="009F1D1C">
        <w:rPr>
          <w:rStyle w:val="AERbody"/>
        </w:rPr>
        <w:t>’</w:t>
      </w:r>
      <w:r w:rsidR="00A844FB">
        <w:rPr>
          <w:rStyle w:val="AERbody"/>
        </w:rPr>
        <w:t>s</w:t>
      </w:r>
      <w:r w:rsidRPr="009F1D1C">
        <w:rPr>
          <w:rStyle w:val="AERbody"/>
        </w:rPr>
        <w:t xml:space="preserve"> proposed total annual building block revenue requirement of $</w:t>
      </w:r>
      <w:r w:rsidR="00527C7A">
        <w:rPr>
          <w:rStyle w:val="AERbody"/>
        </w:rPr>
        <w:t>40</w:t>
      </w:r>
      <w:r w:rsidR="00F748CC">
        <w:rPr>
          <w:rStyle w:val="AERbody"/>
        </w:rPr>
        <w:t>22.1</w:t>
      </w:r>
      <w:r w:rsidR="009429B2">
        <w:rPr>
          <w:rStyle w:val="AERbody"/>
        </w:rPr>
        <w:t> </w:t>
      </w:r>
      <w:r w:rsidRPr="009F1D1C">
        <w:rPr>
          <w:rStyle w:val="AERbody"/>
        </w:rPr>
        <w:t xml:space="preserve">million ($ nominal) for this period. </w:t>
      </w:r>
    </w:p>
    <w:p w:rsidR="00DB7249" w:rsidRDefault="009F1D1C" w:rsidP="00DB7249">
      <w:r w:rsidRPr="009F1D1C">
        <w:rPr>
          <w:rStyle w:val="AERbody"/>
        </w:rPr>
        <w:fldChar w:fldCharType="begin"/>
      </w:r>
      <w:r w:rsidRPr="009F1D1C">
        <w:rPr>
          <w:rStyle w:val="AERbody"/>
        </w:rPr>
        <w:instrText xml:space="preserve"> REF _Ref437935040 \h </w:instrText>
      </w:r>
      <w:r w:rsidRPr="009F1D1C">
        <w:rPr>
          <w:rStyle w:val="AERbody"/>
        </w:rPr>
      </w:r>
      <w:r w:rsidRPr="009F1D1C">
        <w:rPr>
          <w:rStyle w:val="AERbody"/>
        </w:rPr>
        <w:fldChar w:fldCharType="separate"/>
      </w:r>
      <w:r w:rsidR="00EA21A9" w:rsidRPr="009F1D1C">
        <w:t xml:space="preserve">Figure </w:t>
      </w:r>
      <w:r w:rsidR="00EA21A9">
        <w:rPr>
          <w:noProof/>
        </w:rPr>
        <w:t>1</w:t>
      </w:r>
      <w:r w:rsidR="00EA21A9" w:rsidRPr="009F1D1C">
        <w:t>.</w:t>
      </w:r>
      <w:r w:rsidR="00EA21A9">
        <w:rPr>
          <w:noProof/>
        </w:rPr>
        <w:t>1</w:t>
      </w:r>
      <w:r w:rsidRPr="009F1D1C">
        <w:rPr>
          <w:rStyle w:val="AERbody"/>
        </w:rPr>
        <w:fldChar w:fldCharType="end"/>
      </w:r>
      <w:r w:rsidRPr="009F1D1C">
        <w:rPr>
          <w:rStyle w:val="AERbody"/>
        </w:rPr>
        <w:t xml:space="preserve"> shows the building block components from our determination that make up the annual building block revenue requirement for </w:t>
      </w:r>
      <w:r>
        <w:rPr>
          <w:rStyle w:val="AERbody"/>
        </w:rPr>
        <w:t>Powerlink</w:t>
      </w:r>
      <w:r w:rsidRPr="009F1D1C">
        <w:rPr>
          <w:rStyle w:val="AERbody"/>
        </w:rPr>
        <w:t>, and the corresponding components from its proposal.</w:t>
      </w:r>
      <w:r w:rsidR="00DB7249" w:rsidRPr="00DB7249">
        <w:t xml:space="preserve"> </w:t>
      </w:r>
    </w:p>
    <w:p w:rsidR="00DB7249" w:rsidRPr="009F1D1C" w:rsidRDefault="00DB7249" w:rsidP="00DB7249">
      <w:r w:rsidRPr="009F1D1C">
        <w:t xml:space="preserve">The most significant changes to </w:t>
      </w:r>
      <w:r>
        <w:t>Powerlink</w:t>
      </w:r>
      <w:r w:rsidRPr="009F1D1C">
        <w:t>'</w:t>
      </w:r>
      <w:r>
        <w:t>s</w:t>
      </w:r>
      <w:r w:rsidRPr="009F1D1C">
        <w:t xml:space="preserve"> proposal include:</w:t>
      </w:r>
    </w:p>
    <w:p w:rsidR="00DB7249" w:rsidRPr="009F1D1C" w:rsidRDefault="00DB7249" w:rsidP="00DB7249">
      <w:pPr>
        <w:pStyle w:val="AERbulletlistfirststyle"/>
      </w:pPr>
      <w:r w:rsidRPr="009F1D1C">
        <w:t xml:space="preserve">a reduction in the return on capital allowance of </w:t>
      </w:r>
      <w:r w:rsidR="00527C7A">
        <w:t>11.2</w:t>
      </w:r>
      <w:r w:rsidRPr="009F1D1C">
        <w:t xml:space="preserve"> per cent (attachments 2 and 3)</w:t>
      </w:r>
    </w:p>
    <w:p w:rsidR="00DB7249" w:rsidRPr="009F1D1C" w:rsidRDefault="00DB7249" w:rsidP="00DB7249">
      <w:pPr>
        <w:pStyle w:val="AERbulletlistfirststyle"/>
      </w:pPr>
      <w:r w:rsidRPr="009F1D1C">
        <w:t xml:space="preserve">a reduction in the regulatory depreciation allowance of </w:t>
      </w:r>
      <w:r w:rsidR="00527C7A">
        <w:t>2.8</w:t>
      </w:r>
      <w:r w:rsidRPr="009F1D1C">
        <w:t xml:space="preserve"> per cent (attachment 5)</w:t>
      </w:r>
    </w:p>
    <w:p w:rsidR="00DB7249" w:rsidRPr="009F1D1C" w:rsidRDefault="00DB7249" w:rsidP="00DB7249">
      <w:pPr>
        <w:pStyle w:val="AERbulletlistfirststyle"/>
      </w:pPr>
      <w:r w:rsidRPr="009F1D1C">
        <w:t xml:space="preserve">a reduction in the capex allowance of </w:t>
      </w:r>
      <w:r w:rsidR="00077D25">
        <w:t>19.4</w:t>
      </w:r>
      <w:r w:rsidRPr="009F1D1C">
        <w:t xml:space="preserve"> per cent (attachment 6)</w:t>
      </w:r>
    </w:p>
    <w:p w:rsidR="00DB7249" w:rsidRPr="009F1D1C" w:rsidRDefault="00DB7249" w:rsidP="00DB7249">
      <w:pPr>
        <w:pStyle w:val="AERbulletlistfirststyle"/>
      </w:pPr>
      <w:proofErr w:type="gramStart"/>
      <w:r w:rsidRPr="009F1D1C">
        <w:t>a</w:t>
      </w:r>
      <w:proofErr w:type="gramEnd"/>
      <w:r w:rsidRPr="009F1D1C">
        <w:t xml:space="preserve"> reduction in the cost of corporate income tax allowance of </w:t>
      </w:r>
      <w:r w:rsidR="009B6B07">
        <w:t>26.2</w:t>
      </w:r>
      <w:r w:rsidRPr="009F1D1C">
        <w:t xml:space="preserve"> per cent (attachment 8).</w:t>
      </w:r>
    </w:p>
    <w:p w:rsidR="009F1D1C" w:rsidRPr="009F1D1C" w:rsidRDefault="009F1D1C" w:rsidP="009F1D1C">
      <w:pPr>
        <w:rPr>
          <w:rStyle w:val="AERbody"/>
        </w:rPr>
      </w:pPr>
    </w:p>
    <w:p w:rsidR="009F1D1C" w:rsidRDefault="009F1D1C" w:rsidP="009F1D1C">
      <w:pPr>
        <w:pStyle w:val="Caption"/>
      </w:pPr>
      <w:bookmarkStart w:id="93" w:name="_Ref437935040"/>
      <w:proofErr w:type="gramStart"/>
      <w:r w:rsidRPr="009F1D1C">
        <w:lastRenderedPageBreak/>
        <w:t xml:space="preserve">Figure </w:t>
      </w:r>
      <w:fldSimple w:instr=" STYLEREF 1 \s ">
        <w:r w:rsidR="00EA21A9">
          <w:rPr>
            <w:noProof/>
          </w:rPr>
          <w:t>1</w:t>
        </w:r>
      </w:fldSimple>
      <w:r w:rsidRPr="009F1D1C">
        <w:t>.</w:t>
      </w:r>
      <w:proofErr w:type="gramEnd"/>
      <w:r w:rsidRPr="009F1D1C">
        <w:fldChar w:fldCharType="begin"/>
      </w:r>
      <w:r w:rsidRPr="009F1D1C">
        <w:instrText xml:space="preserve"> SEQ Figure \* ARABIC \s 1 </w:instrText>
      </w:r>
      <w:r w:rsidRPr="009F1D1C">
        <w:fldChar w:fldCharType="separate"/>
      </w:r>
      <w:r w:rsidR="00EA21A9">
        <w:rPr>
          <w:noProof/>
        </w:rPr>
        <w:t>1</w:t>
      </w:r>
      <w:r w:rsidRPr="009F1D1C">
        <w:fldChar w:fldCharType="end"/>
      </w:r>
      <w:bookmarkEnd w:id="93"/>
      <w:r w:rsidRPr="009F1D1C">
        <w:tab/>
        <w:t xml:space="preserve">AER's draft decision and </w:t>
      </w:r>
      <w:r>
        <w:t>Powerlink</w:t>
      </w:r>
      <w:r w:rsidRPr="009F1D1C">
        <w:t>’</w:t>
      </w:r>
      <w:r w:rsidR="00A844FB">
        <w:t>s</w:t>
      </w:r>
      <w:r w:rsidRPr="009F1D1C">
        <w:t xml:space="preserve"> proposed annual building block revenue requirement ($ million, nominal)</w:t>
      </w:r>
    </w:p>
    <w:p w:rsidR="00BA4EA5" w:rsidRPr="00BA4EA5" w:rsidRDefault="00EB5983" w:rsidP="00BA4EA5">
      <w:r>
        <w:rPr>
          <w:noProof/>
          <w:lang w:eastAsia="en-AU"/>
        </w:rPr>
        <w:drawing>
          <wp:inline distT="0" distB="0" distL="0" distR="0" wp14:anchorId="354AADEB">
            <wp:extent cx="5340350" cy="39630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40350" cy="3963035"/>
                    </a:xfrm>
                    <a:prstGeom prst="rect">
                      <a:avLst/>
                    </a:prstGeom>
                    <a:noFill/>
                  </pic:spPr>
                </pic:pic>
              </a:graphicData>
            </a:graphic>
          </wp:inline>
        </w:drawing>
      </w:r>
    </w:p>
    <w:p w:rsidR="009F1D1C" w:rsidRPr="009F1D1C" w:rsidRDefault="009F1D1C" w:rsidP="00BA4EA5">
      <w:pPr>
        <w:pStyle w:val="AERtablesource"/>
        <w:rPr>
          <w:rStyle w:val="AERsuperscript"/>
        </w:rPr>
      </w:pPr>
      <w:r w:rsidRPr="00BA4EA5">
        <w:t>Source:</w:t>
      </w:r>
      <w:r w:rsidRPr="00BA4EA5">
        <w:tab/>
        <w:t>AER analysis.</w:t>
      </w:r>
    </w:p>
    <w:p w:rsidR="009F1D1C" w:rsidRPr="00103CD2" w:rsidRDefault="009F1D1C" w:rsidP="00103CD2">
      <w:pPr>
        <w:pStyle w:val="Heading3"/>
      </w:pPr>
      <w:bookmarkStart w:id="94" w:name="_Toc441242147"/>
      <w:bookmarkStart w:id="95" w:name="_Toc462749081"/>
      <w:r w:rsidRPr="00103CD2">
        <w:t>X factor, annual expected MAR and estimated total revenue cap</w:t>
      </w:r>
      <w:bookmarkEnd w:id="94"/>
      <w:bookmarkEnd w:id="95"/>
    </w:p>
    <w:p w:rsidR="009F1D1C" w:rsidRPr="009F1D1C" w:rsidRDefault="009F1D1C" w:rsidP="009F1D1C">
      <w:pPr>
        <w:rPr>
          <w:rStyle w:val="AERbody"/>
        </w:rPr>
      </w:pPr>
      <w:r w:rsidRPr="009F1D1C">
        <w:rPr>
          <w:rStyle w:val="AERbody"/>
        </w:rPr>
        <w:t xml:space="preserve">For this draft decision, we determine </w:t>
      </w:r>
      <w:r w:rsidR="00DB7249">
        <w:rPr>
          <w:rStyle w:val="AERbody"/>
        </w:rPr>
        <w:t xml:space="preserve">an </w:t>
      </w:r>
      <w:r w:rsidRPr="009F1D1C">
        <w:rPr>
          <w:rStyle w:val="AERbody"/>
        </w:rPr>
        <w:t xml:space="preserve">X factor for </w:t>
      </w:r>
      <w:r>
        <w:rPr>
          <w:rStyle w:val="AERbody"/>
        </w:rPr>
        <w:t>Powerlink</w:t>
      </w:r>
      <w:r w:rsidRPr="009F1D1C">
        <w:rPr>
          <w:rStyle w:val="AERbody"/>
        </w:rPr>
        <w:t xml:space="preserve"> of </w:t>
      </w:r>
      <w:r w:rsidR="00527C7A">
        <w:rPr>
          <w:rStyle w:val="AERbody"/>
        </w:rPr>
        <w:t>0.15</w:t>
      </w:r>
      <w:r w:rsidRPr="009F1D1C">
        <w:rPr>
          <w:rStyle w:val="AERbody"/>
        </w:rPr>
        <w:t xml:space="preserve"> per cent per annum f</w:t>
      </w:r>
      <w:r w:rsidR="006843D5">
        <w:rPr>
          <w:rStyle w:val="AERbody"/>
        </w:rPr>
        <w:t xml:space="preserve">or the four </w:t>
      </w:r>
      <w:r w:rsidRPr="009F1D1C">
        <w:rPr>
          <w:rStyle w:val="AERbody"/>
        </w:rPr>
        <w:t>years of the</w:t>
      </w:r>
      <w:r w:rsidR="006843D5">
        <w:rPr>
          <w:rStyle w:val="AERbody"/>
        </w:rPr>
        <w:t xml:space="preserve"> regulatory control period from 2018–19</w:t>
      </w:r>
      <w:r w:rsidRPr="009F1D1C">
        <w:rPr>
          <w:rStyle w:val="AERbody"/>
        </w:rPr>
        <w:t xml:space="preserve"> to 2021–22.</w:t>
      </w:r>
      <w:r w:rsidR="00DB7249">
        <w:rPr>
          <w:rStyle w:val="FootnoteReference"/>
        </w:rPr>
        <w:footnoteReference w:id="22"/>
      </w:r>
      <w:r w:rsidRPr="009F1D1C">
        <w:rPr>
          <w:rStyle w:val="AERbody"/>
        </w:rPr>
        <w:t xml:space="preserve"> The NPV of the annual building block revenue requirement is $</w:t>
      </w:r>
      <w:r w:rsidR="00077D25">
        <w:rPr>
          <w:rStyle w:val="AERbody"/>
        </w:rPr>
        <w:t>3172</w:t>
      </w:r>
      <w:r w:rsidR="003204C4">
        <w:rPr>
          <w:rStyle w:val="AERbody"/>
        </w:rPr>
        <w:t>.</w:t>
      </w:r>
      <w:r w:rsidR="00077D25">
        <w:rPr>
          <w:rStyle w:val="AERbody"/>
        </w:rPr>
        <w:t>2</w:t>
      </w:r>
      <w:r w:rsidRPr="009F1D1C">
        <w:rPr>
          <w:rStyle w:val="AERbody"/>
        </w:rPr>
        <w:t xml:space="preserve"> million ($ nominal) as at 1 </w:t>
      </w:r>
      <w:r w:rsidR="00BA4EA5">
        <w:rPr>
          <w:rStyle w:val="AERbody"/>
        </w:rPr>
        <w:t>July</w:t>
      </w:r>
      <w:r w:rsidRPr="009F1D1C">
        <w:rPr>
          <w:rStyle w:val="AERbody"/>
        </w:rPr>
        <w:t xml:space="preserve"> 2017. Based on this NPV and applying the CPI–X method, we determine that the annual expected MAR (smoothed) for </w:t>
      </w:r>
      <w:r>
        <w:rPr>
          <w:rStyle w:val="AERbody"/>
        </w:rPr>
        <w:t>Powerlink</w:t>
      </w:r>
      <w:r w:rsidRPr="009F1D1C">
        <w:rPr>
          <w:rStyle w:val="AERbody"/>
        </w:rPr>
        <w:t xml:space="preserve"> increases from $</w:t>
      </w:r>
      <w:r w:rsidR="003204C4">
        <w:rPr>
          <w:rStyle w:val="AERbody"/>
        </w:rPr>
        <w:t>710.</w:t>
      </w:r>
      <w:r w:rsidR="00077D25">
        <w:rPr>
          <w:rStyle w:val="AERbody"/>
        </w:rPr>
        <w:t>8</w:t>
      </w:r>
      <w:r w:rsidRPr="009F1D1C">
        <w:rPr>
          <w:rStyle w:val="AERbody"/>
        </w:rPr>
        <w:t> million in 2017–18 to $</w:t>
      </w:r>
      <w:r w:rsidR="003204C4">
        <w:rPr>
          <w:rStyle w:val="AERbody"/>
        </w:rPr>
        <w:t>778</w:t>
      </w:r>
      <w:r w:rsidR="00077D25">
        <w:rPr>
          <w:rStyle w:val="AERbody"/>
        </w:rPr>
        <w:t>.3</w:t>
      </w:r>
      <w:r w:rsidRPr="009F1D1C">
        <w:rPr>
          <w:rStyle w:val="AERbody"/>
        </w:rPr>
        <w:t xml:space="preserve"> million in 2021–22 ($ nominal). The resulting estimated total revenue cap for </w:t>
      </w:r>
      <w:r>
        <w:rPr>
          <w:rStyle w:val="AERbody"/>
        </w:rPr>
        <w:t>Powerlink</w:t>
      </w:r>
      <w:r w:rsidRPr="009F1D1C">
        <w:rPr>
          <w:rStyle w:val="AERbody"/>
        </w:rPr>
        <w:t xml:space="preserve"> is $</w:t>
      </w:r>
      <w:r w:rsidR="003204C4">
        <w:rPr>
          <w:rStyle w:val="AERbody"/>
        </w:rPr>
        <w:t>3720</w:t>
      </w:r>
      <w:r w:rsidR="00077D25">
        <w:rPr>
          <w:rStyle w:val="AERbody"/>
        </w:rPr>
        <w:t>.8</w:t>
      </w:r>
      <w:r w:rsidRPr="009F1D1C">
        <w:rPr>
          <w:rStyle w:val="AERbody"/>
        </w:rPr>
        <w:t xml:space="preserve"> million for the 2017–22 regulatory control </w:t>
      </w:r>
      <w:proofErr w:type="gramStart"/>
      <w:r w:rsidRPr="009F1D1C">
        <w:rPr>
          <w:rStyle w:val="AERbody"/>
        </w:rPr>
        <w:t>period</w:t>
      </w:r>
      <w:proofErr w:type="gramEnd"/>
      <w:r w:rsidRPr="009F1D1C">
        <w:rPr>
          <w:rStyle w:val="AERbody"/>
        </w:rPr>
        <w:t>.</w:t>
      </w:r>
    </w:p>
    <w:p w:rsidR="009F1D1C" w:rsidRPr="009F1D1C" w:rsidRDefault="009F1D1C" w:rsidP="009F1D1C">
      <w:pPr>
        <w:rPr>
          <w:rStyle w:val="AERbody"/>
        </w:rPr>
      </w:pPr>
      <w:r w:rsidRPr="009F1D1C">
        <w:rPr>
          <w:rStyle w:val="AERbody"/>
        </w:rPr>
        <w:fldChar w:fldCharType="begin"/>
      </w:r>
      <w:r w:rsidRPr="009F1D1C">
        <w:rPr>
          <w:rStyle w:val="AERbody"/>
        </w:rPr>
        <w:instrText xml:space="preserve"> REF _Ref441235635 \h </w:instrText>
      </w:r>
      <w:r w:rsidRPr="009F1D1C">
        <w:rPr>
          <w:rStyle w:val="AERbody"/>
        </w:rPr>
      </w:r>
      <w:r w:rsidRPr="009F1D1C">
        <w:rPr>
          <w:rStyle w:val="AERbody"/>
        </w:rPr>
        <w:fldChar w:fldCharType="separate"/>
      </w:r>
      <w:r w:rsidR="00EA21A9" w:rsidRPr="009F1D1C">
        <w:t xml:space="preserve">Figure </w:t>
      </w:r>
      <w:r w:rsidR="00EA21A9">
        <w:rPr>
          <w:noProof/>
        </w:rPr>
        <w:t>1</w:t>
      </w:r>
      <w:r w:rsidR="00EA21A9" w:rsidRPr="009F1D1C">
        <w:t>.</w:t>
      </w:r>
      <w:r w:rsidR="00EA21A9">
        <w:rPr>
          <w:noProof/>
        </w:rPr>
        <w:t>2</w:t>
      </w:r>
      <w:r w:rsidRPr="009F1D1C">
        <w:rPr>
          <w:rStyle w:val="AERbody"/>
        </w:rPr>
        <w:fldChar w:fldCharType="end"/>
      </w:r>
      <w:r w:rsidRPr="009F1D1C">
        <w:rPr>
          <w:rStyle w:val="AERbody"/>
        </w:rPr>
        <w:t xml:space="preserve"> shows our draft decision on </w:t>
      </w:r>
      <w:r>
        <w:rPr>
          <w:rStyle w:val="AERbody"/>
        </w:rPr>
        <w:t>Powerlink</w:t>
      </w:r>
      <w:r w:rsidRPr="009F1D1C">
        <w:rPr>
          <w:rStyle w:val="AERbody"/>
        </w:rPr>
        <w:t>’</w:t>
      </w:r>
      <w:r w:rsidR="00103CD2">
        <w:rPr>
          <w:rStyle w:val="AERbody"/>
        </w:rPr>
        <w:t>s</w:t>
      </w:r>
      <w:r w:rsidRPr="009F1D1C">
        <w:rPr>
          <w:rStyle w:val="AERbody"/>
        </w:rPr>
        <w:t xml:space="preserve"> annual expected MAR (smoothed revenue) and the annual building block revenue requirement (unsmoothed revenue) for the 2017–22 regulatory control period.</w:t>
      </w:r>
    </w:p>
    <w:p w:rsidR="009F1D1C" w:rsidRDefault="009F1D1C" w:rsidP="009F1D1C">
      <w:pPr>
        <w:pStyle w:val="Caption"/>
      </w:pPr>
      <w:bookmarkStart w:id="96" w:name="_Ref441235635"/>
      <w:proofErr w:type="gramStart"/>
      <w:r w:rsidRPr="009F1D1C">
        <w:lastRenderedPageBreak/>
        <w:t xml:space="preserve">Figure </w:t>
      </w:r>
      <w:fldSimple w:instr=" STYLEREF 1 \s ">
        <w:r w:rsidR="00EA21A9">
          <w:rPr>
            <w:noProof/>
          </w:rPr>
          <w:t>1</w:t>
        </w:r>
      </w:fldSimple>
      <w:r w:rsidRPr="009F1D1C">
        <w:t>.</w:t>
      </w:r>
      <w:proofErr w:type="gramEnd"/>
      <w:r w:rsidRPr="009F1D1C">
        <w:fldChar w:fldCharType="begin"/>
      </w:r>
      <w:r w:rsidRPr="009F1D1C">
        <w:instrText xml:space="preserve"> SEQ Figure \* ARABIC \s 1 </w:instrText>
      </w:r>
      <w:r w:rsidRPr="009F1D1C">
        <w:fldChar w:fldCharType="separate"/>
      </w:r>
      <w:r w:rsidR="00EA21A9">
        <w:rPr>
          <w:noProof/>
        </w:rPr>
        <w:t>2</w:t>
      </w:r>
      <w:r w:rsidRPr="009F1D1C">
        <w:fldChar w:fldCharType="end"/>
      </w:r>
      <w:bookmarkEnd w:id="96"/>
      <w:r w:rsidRPr="009F1D1C">
        <w:tab/>
        <w:t xml:space="preserve">AER's draft decision on </w:t>
      </w:r>
      <w:r>
        <w:t>Powerlink</w:t>
      </w:r>
      <w:r w:rsidRPr="009F1D1C">
        <w:t>’</w:t>
      </w:r>
      <w:r w:rsidR="00103CD2">
        <w:t>s</w:t>
      </w:r>
      <w:r w:rsidRPr="009F1D1C">
        <w:t xml:space="preserve"> annual expected MAR (smoothed) and annual building block revenue requirement (unsmoothed) ($ million, nominal)</w:t>
      </w:r>
    </w:p>
    <w:p w:rsidR="00BA4EA5" w:rsidRPr="00BA4EA5" w:rsidRDefault="00976309" w:rsidP="00BA4EA5">
      <w:r>
        <w:rPr>
          <w:noProof/>
          <w:lang w:eastAsia="en-AU"/>
        </w:rPr>
        <w:drawing>
          <wp:inline distT="0" distB="0" distL="0" distR="0" wp14:anchorId="335253E4">
            <wp:extent cx="5341620" cy="32461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41620" cy="3246120"/>
                    </a:xfrm>
                    <a:prstGeom prst="rect">
                      <a:avLst/>
                    </a:prstGeom>
                    <a:noFill/>
                  </pic:spPr>
                </pic:pic>
              </a:graphicData>
            </a:graphic>
          </wp:inline>
        </w:drawing>
      </w:r>
    </w:p>
    <w:p w:rsidR="009F1D1C" w:rsidRPr="00BA4EA5" w:rsidRDefault="009F1D1C" w:rsidP="00BA4EA5">
      <w:pPr>
        <w:pStyle w:val="AERtablesource"/>
        <w:rPr>
          <w:rStyle w:val="AERsuperscript"/>
          <w:vertAlign w:val="baseline"/>
        </w:rPr>
      </w:pPr>
      <w:r w:rsidRPr="00BA4EA5">
        <w:rPr>
          <w:rStyle w:val="AERsuperscript"/>
          <w:vertAlign w:val="baseline"/>
        </w:rPr>
        <w:t>Source:</w:t>
      </w:r>
      <w:r w:rsidRPr="00BA4EA5">
        <w:rPr>
          <w:rStyle w:val="AERsuperscript"/>
          <w:vertAlign w:val="baseline"/>
        </w:rPr>
        <w:tab/>
        <w:t>AER analysis.</w:t>
      </w:r>
    </w:p>
    <w:p w:rsidR="009F1D1C" w:rsidRPr="009F1D1C" w:rsidRDefault="009F1D1C" w:rsidP="009F1D1C">
      <w:r w:rsidRPr="009F1D1C">
        <w:t xml:space="preserve">To determine the expected MAR for </w:t>
      </w:r>
      <w:r>
        <w:t>Powerlink</w:t>
      </w:r>
      <w:r w:rsidRPr="009F1D1C">
        <w:t>, we have set the MAR for the first regulatory year at $</w:t>
      </w:r>
      <w:r w:rsidR="003204C4">
        <w:t>710.</w:t>
      </w:r>
      <w:r w:rsidR="00077D25">
        <w:t>8</w:t>
      </w:r>
      <w:r w:rsidRPr="009F1D1C">
        <w:t xml:space="preserve"> million ($ nominal) which is $</w:t>
      </w:r>
      <w:r w:rsidR="00021823">
        <w:t>12.5</w:t>
      </w:r>
      <w:r w:rsidRPr="009F1D1C">
        <w:t xml:space="preserve"> million </w:t>
      </w:r>
      <w:r w:rsidR="00021823">
        <w:t>higher</w:t>
      </w:r>
      <w:r w:rsidRPr="009F1D1C">
        <w:t xml:space="preserve"> than the annual building block revenue requirement. We then applied </w:t>
      </w:r>
      <w:r w:rsidR="00615F87">
        <w:t xml:space="preserve">a CPI of 2.45 per cent per annum and </w:t>
      </w:r>
      <w:r w:rsidRPr="009F1D1C">
        <w:t xml:space="preserve">an X factor of </w:t>
      </w:r>
      <w:r w:rsidR="003204C4">
        <w:t>0.15</w:t>
      </w:r>
      <w:r w:rsidRPr="009F1D1C">
        <w:t xml:space="preserve"> per cent per annum to determine the expected MAR in subsequent years.</w:t>
      </w:r>
      <w:r w:rsidRPr="009F1D1C">
        <w:rPr>
          <w:rStyle w:val="FootnoteReference"/>
        </w:rPr>
        <w:footnoteReference w:id="23"/>
      </w:r>
      <w:r w:rsidRPr="009F1D1C">
        <w:t xml:space="preserve"> We consider that our profile of X factors results in an expected MAR in the last year of the regulatory control period that is as close as reasonably possible to the annual building block revenue requirement for that year.</w:t>
      </w:r>
      <w:r w:rsidRPr="009F1D1C">
        <w:rPr>
          <w:rStyle w:val="FootnoteReference"/>
        </w:rPr>
        <w:footnoteReference w:id="24"/>
      </w:r>
      <w:r w:rsidRPr="009F1D1C">
        <w:t xml:space="preserve"> </w:t>
      </w:r>
    </w:p>
    <w:p w:rsidR="009F1D1C" w:rsidRPr="009F1D1C" w:rsidRDefault="00077D25" w:rsidP="009F1D1C">
      <w:pPr>
        <w:rPr>
          <w:rStyle w:val="AERbody"/>
        </w:rPr>
      </w:pPr>
      <w:r>
        <w:rPr>
          <w:rStyle w:val="AERbody"/>
        </w:rPr>
        <w:t>The average de</w:t>
      </w:r>
      <w:r w:rsidR="009F1D1C" w:rsidRPr="009F1D1C">
        <w:rPr>
          <w:rStyle w:val="AERbody"/>
        </w:rPr>
        <w:t xml:space="preserve">crease in our approved expected MAR is </w:t>
      </w:r>
      <w:r w:rsidR="003204C4">
        <w:rPr>
          <w:rStyle w:val="AERbody"/>
        </w:rPr>
        <w:t>4.4</w:t>
      </w:r>
      <w:r w:rsidR="009F1D1C" w:rsidRPr="009F1D1C">
        <w:rPr>
          <w:rStyle w:val="AERbody"/>
        </w:rPr>
        <w:t> per cent per annum ($ nominal) over the 2017–22 regulatory control period.</w:t>
      </w:r>
      <w:r w:rsidR="009F1D1C" w:rsidRPr="009F1D1C">
        <w:rPr>
          <w:rStyle w:val="FootnoteReference"/>
        </w:rPr>
        <w:footnoteReference w:id="25"/>
      </w:r>
      <w:r w:rsidR="009F1D1C" w:rsidRPr="009F1D1C">
        <w:rPr>
          <w:rStyle w:val="AERbody"/>
        </w:rPr>
        <w:t xml:space="preserve"> This consists of an initial decrease of </w:t>
      </w:r>
      <w:r w:rsidR="003204C4">
        <w:rPr>
          <w:rStyle w:val="AERbody"/>
        </w:rPr>
        <w:t>3</w:t>
      </w:r>
      <w:r>
        <w:rPr>
          <w:rStyle w:val="AERbody"/>
        </w:rPr>
        <w:t>0</w:t>
      </w:r>
      <w:r w:rsidR="003204C4">
        <w:rPr>
          <w:rStyle w:val="AERbody"/>
        </w:rPr>
        <w:t>.</w:t>
      </w:r>
      <w:r>
        <w:rPr>
          <w:rStyle w:val="AERbody"/>
        </w:rPr>
        <w:t>9</w:t>
      </w:r>
      <w:r w:rsidR="009F1D1C" w:rsidRPr="009F1D1C">
        <w:rPr>
          <w:rStyle w:val="AERbody"/>
        </w:rPr>
        <w:t xml:space="preserve"> per cent from 2016–17 to 2017–18, followed by average annual increases of </w:t>
      </w:r>
      <w:r w:rsidR="003204C4">
        <w:rPr>
          <w:rStyle w:val="AERbody"/>
        </w:rPr>
        <w:t>2.3</w:t>
      </w:r>
      <w:r w:rsidR="009F1D1C" w:rsidRPr="009F1D1C">
        <w:rPr>
          <w:rStyle w:val="AERbody"/>
        </w:rPr>
        <w:t xml:space="preserve"> per cent during the remainder of the 2017–22 regulatory control </w:t>
      </w:r>
      <w:proofErr w:type="gramStart"/>
      <w:r w:rsidR="009F1D1C" w:rsidRPr="009F1D1C">
        <w:rPr>
          <w:rStyle w:val="AERbody"/>
        </w:rPr>
        <w:lastRenderedPageBreak/>
        <w:t>period</w:t>
      </w:r>
      <w:proofErr w:type="gramEnd"/>
      <w:r w:rsidR="009F1D1C" w:rsidRPr="009F1D1C">
        <w:rPr>
          <w:rStyle w:val="AERbody"/>
        </w:rPr>
        <w:t>.</w:t>
      </w:r>
      <w:r w:rsidR="009F1D1C" w:rsidRPr="009F1D1C">
        <w:rPr>
          <w:rStyle w:val="FootnoteReference"/>
        </w:rPr>
        <w:footnoteReference w:id="26"/>
      </w:r>
      <w:r w:rsidR="009F1D1C" w:rsidRPr="009F1D1C">
        <w:rPr>
          <w:rStyle w:val="AERbody"/>
        </w:rPr>
        <w:t xml:space="preserve"> Our draft decision results in a decrease of </w:t>
      </w:r>
      <w:r w:rsidR="003204C4">
        <w:rPr>
          <w:rStyle w:val="AERbody"/>
        </w:rPr>
        <w:t>2</w:t>
      </w:r>
      <w:r>
        <w:rPr>
          <w:rStyle w:val="AERbody"/>
        </w:rPr>
        <w:t>8</w:t>
      </w:r>
      <w:r w:rsidR="003204C4">
        <w:rPr>
          <w:rStyle w:val="AERbody"/>
        </w:rPr>
        <w:t>.</w:t>
      </w:r>
      <w:r>
        <w:rPr>
          <w:rStyle w:val="AERbody"/>
        </w:rPr>
        <w:t>9</w:t>
      </w:r>
      <w:r w:rsidR="009F1D1C" w:rsidRPr="009F1D1C">
        <w:rPr>
          <w:rStyle w:val="AERbody"/>
        </w:rPr>
        <w:t xml:space="preserve"> per cent in real terms ($2016–17) to </w:t>
      </w:r>
      <w:r w:rsidR="009F1D1C">
        <w:rPr>
          <w:rStyle w:val="AERbody"/>
        </w:rPr>
        <w:t>Powerlink</w:t>
      </w:r>
      <w:r w:rsidR="009F1D1C" w:rsidRPr="009F1D1C">
        <w:rPr>
          <w:rStyle w:val="AERbody"/>
        </w:rPr>
        <w:t>’</w:t>
      </w:r>
      <w:r w:rsidR="002E34FB">
        <w:rPr>
          <w:rStyle w:val="AERbody"/>
        </w:rPr>
        <w:t>s</w:t>
      </w:r>
      <w:r w:rsidR="009F1D1C" w:rsidRPr="009F1D1C">
        <w:rPr>
          <w:rStyle w:val="AERbody"/>
        </w:rPr>
        <w:t xml:space="preserve"> average annual allowed revenue relative to that in the 201</w:t>
      </w:r>
      <w:r w:rsidR="002E34FB">
        <w:rPr>
          <w:rStyle w:val="AERbody"/>
        </w:rPr>
        <w:t>2</w:t>
      </w:r>
      <w:r w:rsidR="009F1D1C" w:rsidRPr="009F1D1C">
        <w:rPr>
          <w:rStyle w:val="AERbody"/>
        </w:rPr>
        <w:t xml:space="preserve">–17 regulatory control </w:t>
      </w:r>
      <w:proofErr w:type="gramStart"/>
      <w:r w:rsidR="009F1D1C" w:rsidRPr="009F1D1C">
        <w:rPr>
          <w:rStyle w:val="AERbody"/>
        </w:rPr>
        <w:t>period</w:t>
      </w:r>
      <w:proofErr w:type="gramEnd"/>
      <w:r w:rsidR="009F1D1C" w:rsidRPr="009F1D1C">
        <w:rPr>
          <w:rStyle w:val="AERbody"/>
        </w:rPr>
        <w:t>. This decrease is primarily because of a</w:t>
      </w:r>
      <w:r w:rsidR="003204C4">
        <w:rPr>
          <w:rStyle w:val="AERbody"/>
        </w:rPr>
        <w:t xml:space="preserve"> lower rate of return, </w:t>
      </w:r>
      <w:r w:rsidR="009F1D1C" w:rsidRPr="009F1D1C">
        <w:rPr>
          <w:rStyle w:val="AERbody"/>
        </w:rPr>
        <w:t>capex</w:t>
      </w:r>
      <w:r w:rsidR="003204C4">
        <w:rPr>
          <w:rStyle w:val="AERbody"/>
        </w:rPr>
        <w:t xml:space="preserve"> and corporate income tax allowance</w:t>
      </w:r>
      <w:r w:rsidR="009F1D1C" w:rsidRPr="009F1D1C">
        <w:rPr>
          <w:rStyle w:val="AERbody"/>
        </w:rPr>
        <w:t xml:space="preserve"> applied in this draft decision for the 2017–22 regulatory control </w:t>
      </w:r>
      <w:proofErr w:type="gramStart"/>
      <w:r w:rsidR="009F1D1C" w:rsidRPr="009F1D1C">
        <w:rPr>
          <w:rStyle w:val="AERbody"/>
        </w:rPr>
        <w:t>period</w:t>
      </w:r>
      <w:proofErr w:type="gramEnd"/>
      <w:r w:rsidR="009F1D1C" w:rsidRPr="009F1D1C">
        <w:rPr>
          <w:rStyle w:val="AERbody"/>
        </w:rPr>
        <w:t xml:space="preserve"> than were approved in the 201</w:t>
      </w:r>
      <w:r w:rsidR="002E34FB">
        <w:rPr>
          <w:rStyle w:val="AERbody"/>
        </w:rPr>
        <w:t>2</w:t>
      </w:r>
      <w:r w:rsidR="009F1D1C" w:rsidRPr="009F1D1C">
        <w:rPr>
          <w:rStyle w:val="AERbody"/>
        </w:rPr>
        <w:t xml:space="preserve">–17 determination. </w:t>
      </w:r>
    </w:p>
    <w:p w:rsidR="009F1D1C" w:rsidRPr="009F1D1C" w:rsidRDefault="009F1D1C" w:rsidP="009F1D1C">
      <w:pPr>
        <w:rPr>
          <w:rStyle w:val="AERbody"/>
        </w:rPr>
      </w:pPr>
      <w:r w:rsidRPr="009F1D1C">
        <w:rPr>
          <w:rStyle w:val="AERbody"/>
        </w:rPr>
        <w:fldChar w:fldCharType="begin"/>
      </w:r>
      <w:r w:rsidRPr="009F1D1C">
        <w:rPr>
          <w:rStyle w:val="AERbody"/>
        </w:rPr>
        <w:instrText xml:space="preserve"> REF _Ref438112640 \h </w:instrText>
      </w:r>
      <w:r w:rsidRPr="009F1D1C">
        <w:rPr>
          <w:rStyle w:val="AERbody"/>
        </w:rPr>
      </w:r>
      <w:r w:rsidRPr="009F1D1C">
        <w:rPr>
          <w:rStyle w:val="AERbody"/>
        </w:rPr>
        <w:fldChar w:fldCharType="separate"/>
      </w:r>
      <w:r w:rsidR="00EA21A9" w:rsidRPr="009F1D1C">
        <w:t xml:space="preserve">Figure </w:t>
      </w:r>
      <w:r w:rsidR="00EA21A9">
        <w:rPr>
          <w:noProof/>
        </w:rPr>
        <w:t>1</w:t>
      </w:r>
      <w:r w:rsidR="00EA21A9" w:rsidRPr="009F1D1C">
        <w:t>.</w:t>
      </w:r>
      <w:r w:rsidR="00EA21A9">
        <w:rPr>
          <w:noProof/>
        </w:rPr>
        <w:t>3</w:t>
      </w:r>
      <w:r w:rsidRPr="009F1D1C">
        <w:rPr>
          <w:rStyle w:val="AERbody"/>
        </w:rPr>
        <w:fldChar w:fldCharType="end"/>
      </w:r>
      <w:r w:rsidRPr="009F1D1C">
        <w:rPr>
          <w:rStyle w:val="AERbody"/>
        </w:rPr>
        <w:t xml:space="preserve"> compares our draft decision building blocks for </w:t>
      </w:r>
      <w:r>
        <w:rPr>
          <w:rStyle w:val="AERbody"/>
        </w:rPr>
        <w:t>Powerlink</w:t>
      </w:r>
      <w:r w:rsidRPr="009F1D1C">
        <w:rPr>
          <w:rStyle w:val="AERbody"/>
        </w:rPr>
        <w:t>’</w:t>
      </w:r>
      <w:r w:rsidR="002E34FB">
        <w:rPr>
          <w:rStyle w:val="AERbody"/>
        </w:rPr>
        <w:t>s</w:t>
      </w:r>
      <w:r w:rsidRPr="009F1D1C">
        <w:rPr>
          <w:rStyle w:val="AERbody"/>
        </w:rPr>
        <w:t xml:space="preserve"> 2017–22 regulatory control </w:t>
      </w:r>
      <w:proofErr w:type="gramStart"/>
      <w:r w:rsidRPr="009F1D1C">
        <w:rPr>
          <w:rStyle w:val="AERbody"/>
        </w:rPr>
        <w:t>period</w:t>
      </w:r>
      <w:proofErr w:type="gramEnd"/>
      <w:r w:rsidRPr="009F1D1C">
        <w:rPr>
          <w:rStyle w:val="AERbody"/>
        </w:rPr>
        <w:t xml:space="preserve"> with </w:t>
      </w:r>
      <w:r>
        <w:rPr>
          <w:rStyle w:val="AERbody"/>
        </w:rPr>
        <w:t>Powerlink</w:t>
      </w:r>
      <w:r w:rsidRPr="009F1D1C">
        <w:rPr>
          <w:rStyle w:val="AERbody"/>
        </w:rPr>
        <w:t>’</w:t>
      </w:r>
      <w:r w:rsidR="002E34FB">
        <w:rPr>
          <w:rStyle w:val="AERbody"/>
        </w:rPr>
        <w:t>s</w:t>
      </w:r>
      <w:r w:rsidRPr="009F1D1C">
        <w:rPr>
          <w:rStyle w:val="AERbody"/>
        </w:rPr>
        <w:t xml:space="preserve"> proposed revenue requirement for the same period, and t</w:t>
      </w:r>
      <w:r w:rsidR="002E34FB">
        <w:rPr>
          <w:rStyle w:val="AERbody"/>
        </w:rPr>
        <w:t>he approved revenue for the 2012</w:t>
      </w:r>
      <w:r w:rsidRPr="009F1D1C">
        <w:rPr>
          <w:rStyle w:val="AERbody"/>
        </w:rPr>
        <w:t>–17 regulatory control period.</w:t>
      </w:r>
    </w:p>
    <w:p w:rsidR="009F1D1C" w:rsidRPr="009F1D1C" w:rsidRDefault="009F1D1C" w:rsidP="009F1D1C">
      <w:pPr>
        <w:pStyle w:val="Caption"/>
      </w:pPr>
      <w:bookmarkStart w:id="97" w:name="_Ref438112640"/>
      <w:proofErr w:type="gramStart"/>
      <w:r w:rsidRPr="009F1D1C">
        <w:t xml:space="preserve">Figure </w:t>
      </w:r>
      <w:fldSimple w:instr=" STYLEREF 1 \s ">
        <w:r w:rsidR="00EA21A9">
          <w:rPr>
            <w:noProof/>
          </w:rPr>
          <w:t>1</w:t>
        </w:r>
      </w:fldSimple>
      <w:r w:rsidRPr="009F1D1C">
        <w:t>.</w:t>
      </w:r>
      <w:proofErr w:type="gramEnd"/>
      <w:r w:rsidRPr="009F1D1C">
        <w:fldChar w:fldCharType="begin"/>
      </w:r>
      <w:r w:rsidRPr="009F1D1C">
        <w:instrText xml:space="preserve"> SEQ Figure \* ARABIC \s 1 </w:instrText>
      </w:r>
      <w:r w:rsidRPr="009F1D1C">
        <w:fldChar w:fldCharType="separate"/>
      </w:r>
      <w:r w:rsidR="00EA21A9">
        <w:rPr>
          <w:noProof/>
        </w:rPr>
        <w:t>3</w:t>
      </w:r>
      <w:r w:rsidRPr="009F1D1C">
        <w:fldChar w:fldCharType="end"/>
      </w:r>
      <w:bookmarkEnd w:id="97"/>
      <w:r w:rsidRPr="009F1D1C">
        <w:tab/>
        <w:t xml:space="preserve">Annual average of AER's draft decision building blocks compared to </w:t>
      </w:r>
      <w:r>
        <w:t>Powerlink</w:t>
      </w:r>
      <w:r w:rsidRPr="009F1D1C">
        <w:t>’</w:t>
      </w:r>
      <w:r w:rsidR="002E34FB">
        <w:t>s</w:t>
      </w:r>
      <w:r w:rsidRPr="009F1D1C">
        <w:t xml:space="preserve"> proposed revenue requirement and approved revenue for 201</w:t>
      </w:r>
      <w:r w:rsidR="002E34FB">
        <w:t>2</w:t>
      </w:r>
      <w:r w:rsidRPr="009F1D1C">
        <w:t>–17 ($ million, 2016–17)</w:t>
      </w:r>
    </w:p>
    <w:p w:rsidR="009F1D1C" w:rsidRPr="009F1D1C" w:rsidRDefault="003204C4" w:rsidP="009F1D1C">
      <w:pPr>
        <w:rPr>
          <w:rStyle w:val="AERbody"/>
        </w:rPr>
      </w:pPr>
      <w:r>
        <w:rPr>
          <w:noProof/>
          <w:lang w:eastAsia="en-AU"/>
        </w:rPr>
        <w:drawing>
          <wp:inline distT="0" distB="0" distL="0" distR="0" wp14:anchorId="04519536" wp14:editId="48D5E1FA">
            <wp:extent cx="5377180" cy="3237230"/>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77180" cy="3237230"/>
                    </a:xfrm>
                    <a:prstGeom prst="rect">
                      <a:avLst/>
                    </a:prstGeom>
                    <a:noFill/>
                  </pic:spPr>
                </pic:pic>
              </a:graphicData>
            </a:graphic>
          </wp:inline>
        </w:drawing>
      </w:r>
    </w:p>
    <w:p w:rsidR="00F1628C" w:rsidRPr="00BD66B1" w:rsidRDefault="009F1D1C" w:rsidP="00BD66B1">
      <w:pPr>
        <w:pStyle w:val="AERtablesource"/>
      </w:pPr>
      <w:r w:rsidRPr="00BD66B1">
        <w:rPr>
          <w:rStyle w:val="AERsuperscript"/>
          <w:vertAlign w:val="baseline"/>
        </w:rPr>
        <w:t>Source:</w:t>
      </w:r>
      <w:r w:rsidRPr="00BD66B1">
        <w:rPr>
          <w:rStyle w:val="AERsuperscript"/>
          <w:vertAlign w:val="baseline"/>
        </w:rPr>
        <w:tab/>
        <w:t>AER analysis.</w:t>
      </w:r>
    </w:p>
    <w:p w:rsidR="00F1628C" w:rsidRPr="00F1628C" w:rsidRDefault="00F1628C" w:rsidP="00F1628C">
      <w:pPr>
        <w:pStyle w:val="Heading3"/>
      </w:pPr>
      <w:bookmarkStart w:id="98" w:name="_Toc462749082"/>
      <w:r>
        <w:t>Shared assets</w:t>
      </w:r>
      <w:bookmarkEnd w:id="98"/>
    </w:p>
    <w:p w:rsidR="009F1D1C" w:rsidRPr="009F1D1C" w:rsidRDefault="009F1D1C" w:rsidP="009F1D1C">
      <w:pPr>
        <w:rPr>
          <w:rStyle w:val="AERbody"/>
        </w:rPr>
      </w:pPr>
      <w:r w:rsidRPr="009F1D1C">
        <w:rPr>
          <w:rStyle w:val="AERbody"/>
        </w:rPr>
        <w:t xml:space="preserve">Service providers, such as </w:t>
      </w:r>
      <w:r>
        <w:rPr>
          <w:rStyle w:val="AERbody"/>
        </w:rPr>
        <w:t>Powerlink</w:t>
      </w:r>
      <w:r w:rsidRPr="009F1D1C">
        <w:rPr>
          <w:rStyle w:val="AERbody"/>
        </w:rPr>
        <w:t>, may use assets to provide both prescribed transmission services we regulate and unregulated services. These assets are called 'shared assets'.</w:t>
      </w:r>
      <w:r w:rsidRPr="009F1D1C">
        <w:rPr>
          <w:rStyle w:val="FootnoteReference"/>
        </w:rPr>
        <w:footnoteReference w:id="27"/>
      </w:r>
      <w:r w:rsidRPr="009F1D1C">
        <w:rPr>
          <w:rStyle w:val="AERbody"/>
        </w:rPr>
        <w:t xml:space="preserve"> Of the unregulated revenues a service provider earns from shared </w:t>
      </w:r>
      <w:r w:rsidRPr="009F1D1C">
        <w:rPr>
          <w:rStyle w:val="AERbody"/>
        </w:rPr>
        <w:lastRenderedPageBreak/>
        <w:t>assets, 10 per cent will be used to reduce the service provider's prices for prescribed transmission services.</w:t>
      </w:r>
      <w:r w:rsidRPr="009F1D1C">
        <w:rPr>
          <w:rStyle w:val="FootnoteReference"/>
        </w:rPr>
        <w:footnoteReference w:id="28"/>
      </w:r>
      <w:r w:rsidRPr="009F1D1C">
        <w:rPr>
          <w:rStyle w:val="AERbody"/>
        </w:rPr>
        <w:t xml:space="preserve"> </w:t>
      </w:r>
    </w:p>
    <w:p w:rsidR="009F1D1C" w:rsidRPr="009F1D1C" w:rsidRDefault="009F1D1C" w:rsidP="009F1D1C">
      <w:pPr>
        <w:rPr>
          <w:rStyle w:val="AERbody"/>
        </w:rPr>
      </w:pPr>
      <w:r w:rsidRPr="009F1D1C">
        <w:rPr>
          <w:rStyle w:val="AERbody"/>
        </w:rPr>
        <w:t>Shared asset revenue reductions are subject to a materiality threshold. Unregulated use of shared assets is material when a service provider's unregulated revenues from shared assets in a specific regulatory year are expected to be greater than 1 per cent of its MAR for that regulatory year.</w:t>
      </w:r>
      <w:r w:rsidRPr="009F1D1C">
        <w:rPr>
          <w:rStyle w:val="FootnoteReference"/>
        </w:rPr>
        <w:footnoteReference w:id="29"/>
      </w:r>
    </w:p>
    <w:p w:rsidR="009F1D1C" w:rsidRPr="009F1D1C" w:rsidRDefault="009F1D1C" w:rsidP="009F1D1C">
      <w:pPr>
        <w:rPr>
          <w:rStyle w:val="AERbody"/>
        </w:rPr>
      </w:pPr>
      <w:r>
        <w:rPr>
          <w:rStyle w:val="AERbody"/>
        </w:rPr>
        <w:t>Powerlink</w:t>
      </w:r>
      <w:r w:rsidRPr="009F1D1C">
        <w:rPr>
          <w:rStyle w:val="AERbody"/>
        </w:rPr>
        <w:t xml:space="preserve"> submitted its shared asset unregulated revenues are forecast to be </w:t>
      </w:r>
      <w:r w:rsidR="00F1628C">
        <w:rPr>
          <w:rStyle w:val="AERbody"/>
        </w:rPr>
        <w:t>0.4</w:t>
      </w:r>
      <w:r w:rsidRPr="009F1D1C">
        <w:rPr>
          <w:rStyle w:val="AERbody"/>
        </w:rPr>
        <w:t xml:space="preserve"> per cent of its proposed total revenues in each year of the 2017–22 regulatory control </w:t>
      </w:r>
      <w:proofErr w:type="gramStart"/>
      <w:r w:rsidRPr="009F1D1C">
        <w:rPr>
          <w:rStyle w:val="AERbody"/>
        </w:rPr>
        <w:t>period</w:t>
      </w:r>
      <w:proofErr w:type="gramEnd"/>
      <w:r w:rsidRPr="009F1D1C">
        <w:rPr>
          <w:rStyle w:val="AERbody"/>
        </w:rPr>
        <w:t>.</w:t>
      </w:r>
      <w:r w:rsidRPr="009F1D1C">
        <w:rPr>
          <w:rStyle w:val="FootnoteReference"/>
        </w:rPr>
        <w:footnoteReference w:id="30"/>
      </w:r>
      <w:r w:rsidRPr="009F1D1C">
        <w:rPr>
          <w:rStyle w:val="AERbody"/>
        </w:rPr>
        <w:t xml:space="preserve"> </w:t>
      </w:r>
      <w:r>
        <w:rPr>
          <w:rStyle w:val="AERbody"/>
        </w:rPr>
        <w:t>Powerlink</w:t>
      </w:r>
      <w:r w:rsidRPr="009F1D1C">
        <w:rPr>
          <w:rStyle w:val="AERbody"/>
        </w:rPr>
        <w:t xml:space="preserve"> therefore proposed </w:t>
      </w:r>
      <w:r w:rsidR="00083924">
        <w:rPr>
          <w:rStyle w:val="AERbody"/>
        </w:rPr>
        <w:t xml:space="preserve">no </w:t>
      </w:r>
      <w:r w:rsidRPr="009F1D1C">
        <w:rPr>
          <w:rStyle w:val="AERbody"/>
        </w:rPr>
        <w:t>reduction in its total revenues for each year of that period.</w:t>
      </w:r>
    </w:p>
    <w:p w:rsidR="009F1D1C" w:rsidRDefault="009F1D1C" w:rsidP="009F1D1C">
      <w:pPr>
        <w:rPr>
          <w:rStyle w:val="AERbody"/>
        </w:rPr>
      </w:pPr>
      <w:r w:rsidRPr="009F1D1C">
        <w:rPr>
          <w:rStyle w:val="AERbody"/>
        </w:rPr>
        <w:t xml:space="preserve">We consider </w:t>
      </w:r>
      <w:r>
        <w:rPr>
          <w:rStyle w:val="AERbody"/>
        </w:rPr>
        <w:t>Powerlink</w:t>
      </w:r>
      <w:r w:rsidRPr="009F1D1C">
        <w:rPr>
          <w:rStyle w:val="AERbody"/>
        </w:rPr>
        <w:t>’</w:t>
      </w:r>
      <w:r w:rsidR="00BD66B1">
        <w:rPr>
          <w:rStyle w:val="AERbody"/>
        </w:rPr>
        <w:t>s</w:t>
      </w:r>
      <w:r w:rsidRPr="009F1D1C">
        <w:rPr>
          <w:rStyle w:val="AERbody"/>
        </w:rPr>
        <w:t xml:space="preserve"> forecasts are reasonable, based on its reporting of historical shared assets revenue and our assessment of this revenue source for other service providers.</w:t>
      </w:r>
      <w:r w:rsidRPr="009F1D1C">
        <w:rPr>
          <w:rStyle w:val="FootnoteReference"/>
        </w:rPr>
        <w:footnoteReference w:id="31"/>
      </w:r>
      <w:r w:rsidRPr="009F1D1C">
        <w:rPr>
          <w:rStyle w:val="AERbody"/>
        </w:rPr>
        <w:t xml:space="preserve"> However, </w:t>
      </w:r>
      <w:r>
        <w:rPr>
          <w:rStyle w:val="AERbody"/>
        </w:rPr>
        <w:t>Powerlink</w:t>
      </w:r>
      <w:r w:rsidRPr="009F1D1C">
        <w:rPr>
          <w:rStyle w:val="AERbody"/>
        </w:rPr>
        <w:t>’</w:t>
      </w:r>
      <w:r w:rsidR="00BD66B1">
        <w:rPr>
          <w:rStyle w:val="AERbody"/>
        </w:rPr>
        <w:t>s</w:t>
      </w:r>
      <w:r w:rsidRPr="009F1D1C">
        <w:rPr>
          <w:rStyle w:val="AERbody"/>
        </w:rPr>
        <w:t xml:space="preserve"> forecast unregulated revenues must be compared to the regulated revenues we determine, rather than those proposed by </w:t>
      </w:r>
      <w:r>
        <w:rPr>
          <w:rStyle w:val="AERbody"/>
        </w:rPr>
        <w:t>Powerlink</w:t>
      </w:r>
      <w:r w:rsidRPr="009F1D1C">
        <w:rPr>
          <w:rStyle w:val="AERbody"/>
        </w:rPr>
        <w:t xml:space="preserve">. Our draft decision sets lower expected </w:t>
      </w:r>
      <w:r w:rsidR="00914F82">
        <w:rPr>
          <w:rStyle w:val="AERbody"/>
        </w:rPr>
        <w:t>MARs</w:t>
      </w:r>
      <w:r w:rsidR="00914F82" w:rsidRPr="009F1D1C">
        <w:rPr>
          <w:rStyle w:val="AERbody"/>
        </w:rPr>
        <w:t xml:space="preserve"> </w:t>
      </w:r>
      <w:r w:rsidRPr="009F1D1C">
        <w:rPr>
          <w:rStyle w:val="AERbody"/>
        </w:rPr>
        <w:t xml:space="preserve">than </w:t>
      </w:r>
      <w:r>
        <w:rPr>
          <w:rStyle w:val="AERbody"/>
        </w:rPr>
        <w:t>Powerlink</w:t>
      </w:r>
      <w:r w:rsidRPr="009F1D1C">
        <w:rPr>
          <w:rStyle w:val="AERbody"/>
        </w:rPr>
        <w:t>’</w:t>
      </w:r>
      <w:r w:rsidR="00BD66B1">
        <w:rPr>
          <w:rStyle w:val="AERbody"/>
        </w:rPr>
        <w:t>s</w:t>
      </w:r>
      <w:r w:rsidRPr="009F1D1C">
        <w:rPr>
          <w:rStyle w:val="AERbody"/>
        </w:rPr>
        <w:t xml:space="preserve"> proposal, so we estimate that the unregulated revenues will be </w:t>
      </w:r>
      <w:proofErr w:type="gramStart"/>
      <w:r w:rsidRPr="009F1D1C">
        <w:rPr>
          <w:rStyle w:val="AERbody"/>
        </w:rPr>
        <w:t xml:space="preserve">between </w:t>
      </w:r>
      <w:r w:rsidR="003204C4">
        <w:rPr>
          <w:rStyle w:val="AERbody"/>
        </w:rPr>
        <w:t>0.37</w:t>
      </w:r>
      <w:r w:rsidR="00C01A68">
        <w:rPr>
          <w:rStyle w:val="AERbody"/>
        </w:rPr>
        <w:t xml:space="preserve"> p</w:t>
      </w:r>
      <w:r w:rsidRPr="009F1D1C">
        <w:rPr>
          <w:rStyle w:val="AERbody"/>
        </w:rPr>
        <w:t xml:space="preserve">er cent </w:t>
      </w:r>
      <w:r w:rsidR="00CF06F2">
        <w:rPr>
          <w:rStyle w:val="AERbody"/>
        </w:rPr>
        <w:t xml:space="preserve">to </w:t>
      </w:r>
      <w:r w:rsidR="003204C4">
        <w:rPr>
          <w:rStyle w:val="AERbody"/>
        </w:rPr>
        <w:t>0.41</w:t>
      </w:r>
      <w:r w:rsidR="00CF06F2">
        <w:rPr>
          <w:rStyle w:val="AERbody"/>
        </w:rPr>
        <w:t xml:space="preserve"> per cent </w:t>
      </w:r>
      <w:r w:rsidRPr="009F1D1C">
        <w:rPr>
          <w:rStyle w:val="AERbody"/>
        </w:rPr>
        <w:t xml:space="preserve">of its expected </w:t>
      </w:r>
      <w:r w:rsidR="00914F82">
        <w:rPr>
          <w:rStyle w:val="AERbody"/>
        </w:rPr>
        <w:t>MAR</w:t>
      </w:r>
      <w:r w:rsidR="00914F82" w:rsidRPr="009F1D1C">
        <w:rPr>
          <w:rStyle w:val="AERbody"/>
        </w:rPr>
        <w:t xml:space="preserve">s </w:t>
      </w:r>
      <w:r w:rsidRPr="009F1D1C">
        <w:rPr>
          <w:rStyle w:val="AERbody"/>
        </w:rPr>
        <w:t>in each year of the 2017–22 regulatory control period</w:t>
      </w:r>
      <w:proofErr w:type="gramEnd"/>
      <w:r w:rsidRPr="009F1D1C">
        <w:rPr>
          <w:rStyle w:val="AERbody"/>
        </w:rPr>
        <w:t xml:space="preserve">. </w:t>
      </w:r>
      <w:r w:rsidR="00914F82">
        <w:rPr>
          <w:rStyle w:val="AERbody"/>
        </w:rPr>
        <w:t xml:space="preserve">Hence, </w:t>
      </w:r>
      <w:r w:rsidRPr="009F1D1C">
        <w:rPr>
          <w:rStyle w:val="AERbody"/>
        </w:rPr>
        <w:t>the materiality threshold i</w:t>
      </w:r>
      <w:r w:rsidR="00914F82">
        <w:rPr>
          <w:rStyle w:val="AERbody"/>
        </w:rPr>
        <w:t xml:space="preserve">s </w:t>
      </w:r>
      <w:r w:rsidRPr="009F1D1C">
        <w:rPr>
          <w:rStyle w:val="AERbody"/>
        </w:rPr>
        <w:t>n</w:t>
      </w:r>
      <w:r w:rsidR="00914F82">
        <w:rPr>
          <w:rStyle w:val="AERbody"/>
        </w:rPr>
        <w:t>ot met in any</w:t>
      </w:r>
      <w:r w:rsidRPr="009F1D1C">
        <w:rPr>
          <w:rStyle w:val="AERbody"/>
        </w:rPr>
        <w:t xml:space="preserve"> year of the 2017–22 regulatory control period</w:t>
      </w:r>
      <w:r w:rsidR="00914F82">
        <w:rPr>
          <w:rStyle w:val="AERbody"/>
        </w:rPr>
        <w:t xml:space="preserve"> and we do not apply a shared asset revenue adjustment</w:t>
      </w:r>
      <w:r w:rsidRPr="009F1D1C">
        <w:rPr>
          <w:rStyle w:val="AERbody"/>
        </w:rPr>
        <w:t>.</w:t>
      </w:r>
    </w:p>
    <w:p w:rsidR="00914F82" w:rsidRPr="009F1D1C" w:rsidRDefault="00914F82" w:rsidP="00914F82">
      <w:pPr>
        <w:numPr>
          <w:ilvl w:val="0"/>
          <w:numId w:val="24"/>
        </w:numPr>
        <w:rPr>
          <w:rStyle w:val="AERbody"/>
        </w:rPr>
      </w:pPr>
      <w:r>
        <w:rPr>
          <w:rStyle w:val="AERbody"/>
        </w:rPr>
        <w:t xml:space="preserve">We note </w:t>
      </w:r>
      <w:r w:rsidRPr="003D05AA">
        <w:rPr>
          <w:rStyle w:val="AERbody"/>
        </w:rPr>
        <w:t>unregulated revenues from shared assets may in future become material.</w:t>
      </w:r>
      <w:r>
        <w:rPr>
          <w:rStyle w:val="FootnoteReference"/>
        </w:rPr>
        <w:footnoteReference w:id="32"/>
      </w:r>
      <w:r w:rsidRPr="003D05AA">
        <w:rPr>
          <w:rStyle w:val="AERbody"/>
        </w:rPr>
        <w:t xml:space="preserve"> We will monitor </w:t>
      </w:r>
      <w:r>
        <w:rPr>
          <w:rStyle w:val="AERbody"/>
        </w:rPr>
        <w:t>Powerlink's</w:t>
      </w:r>
      <w:r w:rsidRPr="003D05AA">
        <w:rPr>
          <w:rStyle w:val="AERbody"/>
        </w:rPr>
        <w:t xml:space="preserve"> shared asset unregulated revenues for future regulatory control periods.</w:t>
      </w:r>
    </w:p>
    <w:p w:rsidR="009F1D1C" w:rsidRPr="00BD66B1" w:rsidRDefault="009F1D1C" w:rsidP="00BD66B1">
      <w:pPr>
        <w:pStyle w:val="Heading3"/>
      </w:pPr>
      <w:bookmarkStart w:id="99" w:name="_Ref437867027"/>
      <w:bookmarkStart w:id="100" w:name="_Toc441242149"/>
      <w:bookmarkStart w:id="101" w:name="_Toc462749083"/>
      <w:r w:rsidRPr="00BD66B1">
        <w:t>Indicative transmission charges and impact on electricity bills</w:t>
      </w:r>
      <w:bookmarkEnd w:id="99"/>
      <w:bookmarkEnd w:id="100"/>
      <w:bookmarkEnd w:id="101"/>
    </w:p>
    <w:p w:rsidR="009F1D1C" w:rsidRPr="009F1D1C" w:rsidRDefault="009F1D1C" w:rsidP="009F1D1C">
      <w:r w:rsidRPr="009F1D1C">
        <w:t xml:space="preserve">Our draft decision on </w:t>
      </w:r>
      <w:r>
        <w:t>Powerlink</w:t>
      </w:r>
      <w:r w:rsidRPr="009F1D1C">
        <w:t>'</w:t>
      </w:r>
      <w:r w:rsidR="00BD66B1">
        <w:t>s</w:t>
      </w:r>
      <w:r w:rsidRPr="009F1D1C">
        <w:t xml:space="preserve"> expected MAR ultimately affects the annual electricity bills paid by customers in </w:t>
      </w:r>
      <w:r w:rsidR="0097300F">
        <w:t>Queensland</w:t>
      </w:r>
      <w:r w:rsidRPr="009F1D1C">
        <w:t>. There are several steps required to translate our revenue decision into indicative transmission charges, and then to estimate bill impact.</w:t>
      </w:r>
    </w:p>
    <w:p w:rsidR="009F1D1C" w:rsidRPr="009F1D1C" w:rsidRDefault="009F1D1C" w:rsidP="009F1D1C">
      <w:r w:rsidRPr="009F1D1C">
        <w:t xml:space="preserve">Since we regulate </w:t>
      </w:r>
      <w:r>
        <w:t>Powerlink</w:t>
      </w:r>
      <w:r w:rsidRPr="009F1D1C">
        <w:t>'</w:t>
      </w:r>
      <w:r w:rsidR="00A844FB">
        <w:t>s</w:t>
      </w:r>
      <w:r w:rsidRPr="009F1D1C">
        <w:t xml:space="preserve"> prescribed transmission services under a revenue cap, changes in the consumption of electrici</w:t>
      </w:r>
      <w:r w:rsidR="00BD66B1">
        <w:t xml:space="preserve">ty will affect the transmission </w:t>
      </w:r>
      <w:r w:rsidRPr="009F1D1C">
        <w:t xml:space="preserve">charges ultimately paid by consumers. We estimate the indicative effect of our draft decision on forecast average transmission charges in </w:t>
      </w:r>
      <w:r w:rsidR="00BD66B1">
        <w:t>Queensland</w:t>
      </w:r>
      <w:r w:rsidRPr="009F1D1C">
        <w:t xml:space="preserve"> by: </w:t>
      </w:r>
    </w:p>
    <w:p w:rsidR="009F1D1C" w:rsidRPr="009F1D1C" w:rsidRDefault="009F1D1C" w:rsidP="009F1D1C">
      <w:pPr>
        <w:pStyle w:val="AERbulletlistfirststyle"/>
      </w:pPr>
      <w:r w:rsidRPr="009F1D1C">
        <w:t xml:space="preserve">taking </w:t>
      </w:r>
      <w:r>
        <w:t>Powerlink</w:t>
      </w:r>
      <w:r w:rsidRPr="009F1D1C">
        <w:t>'</w:t>
      </w:r>
      <w:r w:rsidR="00BD66B1">
        <w:t>s</w:t>
      </w:r>
      <w:r w:rsidRPr="009F1D1C">
        <w:t xml:space="preserve"> annual expected MAR determined in this draft decision, and </w:t>
      </w:r>
    </w:p>
    <w:p w:rsidR="009F1D1C" w:rsidRPr="009F1D1C" w:rsidRDefault="009F1D1C" w:rsidP="009F1D1C">
      <w:pPr>
        <w:pStyle w:val="AERbulletlistfirststyle"/>
      </w:pPr>
      <w:proofErr w:type="gramStart"/>
      <w:r w:rsidRPr="009F1D1C">
        <w:lastRenderedPageBreak/>
        <w:t>dividing</w:t>
      </w:r>
      <w:proofErr w:type="gramEnd"/>
      <w:r w:rsidRPr="009F1D1C">
        <w:t xml:space="preserve"> it by the forecast annual energy delivered in </w:t>
      </w:r>
      <w:r w:rsidR="0097300F">
        <w:t>Queensland</w:t>
      </w:r>
      <w:r w:rsidRPr="009F1D1C">
        <w:t>.</w:t>
      </w:r>
      <w:r w:rsidRPr="009F1D1C">
        <w:rPr>
          <w:rStyle w:val="FootnoteReference"/>
        </w:rPr>
        <w:footnoteReference w:id="33"/>
      </w:r>
    </w:p>
    <w:p w:rsidR="009F1D1C" w:rsidRPr="009F1D1C" w:rsidRDefault="009F1D1C" w:rsidP="009F1D1C">
      <w:r w:rsidRPr="009F1D1C">
        <w:t>Based on this approach, we estimate that this draft decision will result in a decrease in annual average transmission charges from 2016–17 to 2021–22.</w:t>
      </w:r>
      <w:r w:rsidRPr="009F1D1C">
        <w:rPr>
          <w:rStyle w:val="FootnoteReference"/>
        </w:rPr>
        <w:footnoteReference w:id="34"/>
      </w:r>
      <w:r w:rsidRPr="009F1D1C">
        <w:t xml:space="preserve"> </w:t>
      </w:r>
      <w:r w:rsidRPr="009F1D1C">
        <w:fldChar w:fldCharType="begin"/>
      </w:r>
      <w:r w:rsidRPr="009F1D1C">
        <w:instrText xml:space="preserve"> REF _Ref363816331 \h  \* MERGEFORMAT </w:instrText>
      </w:r>
      <w:r w:rsidRPr="009F1D1C">
        <w:fldChar w:fldCharType="separate"/>
      </w:r>
      <w:r w:rsidR="00EA21A9" w:rsidRPr="009F1D1C">
        <w:t xml:space="preserve">Figure </w:t>
      </w:r>
      <w:r w:rsidR="00EA21A9">
        <w:t>1</w:t>
      </w:r>
      <w:r w:rsidR="00EA21A9" w:rsidRPr="009F1D1C">
        <w:t>.</w:t>
      </w:r>
      <w:r w:rsidR="00EA21A9">
        <w:t>4</w:t>
      </w:r>
      <w:r w:rsidRPr="009F1D1C">
        <w:fldChar w:fldCharType="end"/>
      </w:r>
      <w:r w:rsidRPr="009F1D1C">
        <w:t xml:space="preserve"> shows the indicative average transmission charges resulting from this draft decision compared with the average transmission charges from 201</w:t>
      </w:r>
      <w:r w:rsidR="002174C5">
        <w:t>2</w:t>
      </w:r>
      <w:r w:rsidRPr="009F1D1C">
        <w:t xml:space="preserve"> to 2017 in nominal dollar terms. The average transmi</w:t>
      </w:r>
      <w:r w:rsidR="003204C4">
        <w:t>ssion charges are forecast to de</w:t>
      </w:r>
      <w:r w:rsidRPr="009F1D1C">
        <w:t>crease from around $</w:t>
      </w:r>
      <w:r w:rsidR="003204C4">
        <w:t>19.6</w:t>
      </w:r>
      <w:r w:rsidRPr="009F1D1C">
        <w:t xml:space="preserve"> per MWh in 2016–17 to </w:t>
      </w:r>
      <w:r w:rsidR="008737D3">
        <w:t>$14.4</w:t>
      </w:r>
      <w:r w:rsidRPr="009F1D1C">
        <w:t xml:space="preserve"> per MWh in 2021–22. </w:t>
      </w:r>
    </w:p>
    <w:p w:rsidR="009F1D1C" w:rsidRDefault="009F1D1C" w:rsidP="009F1D1C">
      <w:pPr>
        <w:pStyle w:val="Caption"/>
      </w:pPr>
      <w:bookmarkStart w:id="102" w:name="_Ref363816331"/>
      <w:proofErr w:type="gramStart"/>
      <w:r w:rsidRPr="009F1D1C">
        <w:t xml:space="preserve">Figure </w:t>
      </w:r>
      <w:fldSimple w:instr=" STYLEREF 1 \s ">
        <w:r w:rsidR="00EA21A9">
          <w:rPr>
            <w:noProof/>
          </w:rPr>
          <w:t>1</w:t>
        </w:r>
      </w:fldSimple>
      <w:r w:rsidRPr="009F1D1C">
        <w:t>.</w:t>
      </w:r>
      <w:proofErr w:type="gramEnd"/>
      <w:r w:rsidRPr="009F1D1C">
        <w:fldChar w:fldCharType="begin"/>
      </w:r>
      <w:r w:rsidRPr="009F1D1C">
        <w:instrText xml:space="preserve"> SEQ Figure \* ARABIC \s 1 </w:instrText>
      </w:r>
      <w:r w:rsidRPr="009F1D1C">
        <w:fldChar w:fldCharType="separate"/>
      </w:r>
      <w:r w:rsidR="00EA21A9">
        <w:rPr>
          <w:noProof/>
        </w:rPr>
        <w:t>4</w:t>
      </w:r>
      <w:r w:rsidRPr="009F1D1C">
        <w:fldChar w:fldCharType="end"/>
      </w:r>
      <w:bookmarkEnd w:id="102"/>
      <w:r w:rsidRPr="009F1D1C">
        <w:tab/>
        <w:t>Indicative transmission price path from 201</w:t>
      </w:r>
      <w:r w:rsidR="002174C5">
        <w:t>2</w:t>
      </w:r>
      <w:r w:rsidRPr="009F1D1C">
        <w:t>–1</w:t>
      </w:r>
      <w:r w:rsidR="002639E6">
        <w:t>3</w:t>
      </w:r>
      <w:r w:rsidRPr="009F1D1C">
        <w:t xml:space="preserve"> to 2021–22 for </w:t>
      </w:r>
      <w:r w:rsidR="00F1628C">
        <w:t>Queensland</w:t>
      </w:r>
      <w:r w:rsidRPr="009F1D1C">
        <w:t xml:space="preserve"> ($/MWh, nominal)</w:t>
      </w:r>
    </w:p>
    <w:p w:rsidR="006E0E73" w:rsidRPr="006E0E73" w:rsidRDefault="00EB5983" w:rsidP="00E73D77">
      <w:r>
        <w:rPr>
          <w:noProof/>
          <w:lang w:eastAsia="en-AU"/>
        </w:rPr>
        <w:drawing>
          <wp:inline distT="0" distB="0" distL="0" distR="0" wp14:anchorId="478C8841">
            <wp:extent cx="5395595" cy="35420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95595" cy="3542030"/>
                    </a:xfrm>
                    <a:prstGeom prst="rect">
                      <a:avLst/>
                    </a:prstGeom>
                    <a:noFill/>
                  </pic:spPr>
                </pic:pic>
              </a:graphicData>
            </a:graphic>
          </wp:inline>
        </w:drawing>
      </w:r>
    </w:p>
    <w:p w:rsidR="009F1D1C" w:rsidRPr="009F1D1C" w:rsidRDefault="009F1D1C" w:rsidP="009F1D1C">
      <w:pPr>
        <w:pStyle w:val="AERtablesource"/>
      </w:pPr>
      <w:r w:rsidRPr="009F1D1C">
        <w:t xml:space="preserve">Source: </w:t>
      </w:r>
      <w:r w:rsidRPr="009F1D1C">
        <w:tab/>
        <w:t>AER analysis.</w:t>
      </w:r>
    </w:p>
    <w:p w:rsidR="009F1D1C" w:rsidRPr="009F1D1C" w:rsidRDefault="009F1D1C" w:rsidP="009F1D1C">
      <w:r w:rsidRPr="009F1D1C">
        <w:t xml:space="preserve">We then estimate the indicative impact of transmission charges on electricity bills. In </w:t>
      </w:r>
      <w:r w:rsidR="0097300F">
        <w:t>Queensland</w:t>
      </w:r>
      <w:r w:rsidRPr="009F1D1C">
        <w:t>, transmission c</w:t>
      </w:r>
      <w:r w:rsidR="0097300F">
        <w:t>harges represent approximately 9</w:t>
      </w:r>
      <w:r w:rsidR="00093195">
        <w:t>.3</w:t>
      </w:r>
      <w:r w:rsidRPr="009F1D1C">
        <w:t> per cent on average of a typical residential customer's annual electricity bill.</w:t>
      </w:r>
      <w:r w:rsidRPr="009F1D1C">
        <w:rPr>
          <w:rStyle w:val="FootnoteReference"/>
        </w:rPr>
        <w:footnoteReference w:id="35"/>
      </w:r>
      <w:r w:rsidR="00CF06F2">
        <w:t xml:space="preserve"> This</w:t>
      </w:r>
      <w:r w:rsidRPr="009F1D1C">
        <w:t xml:space="preserve"> small percentage largely explains the </w:t>
      </w:r>
      <w:r w:rsidR="002639E6">
        <w:t xml:space="preserve">relatively </w:t>
      </w:r>
      <w:r w:rsidRPr="009F1D1C">
        <w:t xml:space="preserve">modest average annual electricity bill impacts arising from our draft decision. We expect that our draft decision—other things being equal—will result </w:t>
      </w:r>
      <w:r w:rsidRPr="009F1D1C">
        <w:lastRenderedPageBreak/>
        <w:t xml:space="preserve">in average residential customer's annual electricity bill in </w:t>
      </w:r>
      <w:r w:rsidR="0097300F">
        <w:t>Queensland</w:t>
      </w:r>
      <w:r w:rsidR="0097300F" w:rsidRPr="009F1D1C">
        <w:t xml:space="preserve"> </w:t>
      </w:r>
      <w:r w:rsidR="00483BF9">
        <w:t>decrease moderately o</w:t>
      </w:r>
      <w:r w:rsidRPr="009F1D1C">
        <w:t>ver the 2017–22 regulatory control period.</w:t>
      </w:r>
    </w:p>
    <w:p w:rsidR="009F1D1C" w:rsidRPr="009F1D1C" w:rsidRDefault="009F1D1C" w:rsidP="009F1D1C">
      <w:r w:rsidRPr="009F1D1C">
        <w:t xml:space="preserve">The </w:t>
      </w:r>
      <w:r w:rsidR="002D6439">
        <w:t xml:space="preserve">transmission component of the average </w:t>
      </w:r>
      <w:r w:rsidRPr="009F1D1C">
        <w:t xml:space="preserve">residential customer's annual electricity bill in 2021–22 is expected to </w:t>
      </w:r>
      <w:r w:rsidR="00B279A5">
        <w:t xml:space="preserve">reduce by </w:t>
      </w:r>
      <w:r w:rsidRPr="009F1D1C">
        <w:t>about $</w:t>
      </w:r>
      <w:r w:rsidR="00992EE7">
        <w:t>40</w:t>
      </w:r>
      <w:r w:rsidRPr="009F1D1C">
        <w:t xml:space="preserve"> </w:t>
      </w:r>
      <w:r w:rsidR="002D6439">
        <w:t xml:space="preserve">($ nominal) or </w:t>
      </w:r>
      <w:r w:rsidR="00B279A5">
        <w:t xml:space="preserve">2.5 </w:t>
      </w:r>
      <w:r w:rsidR="002D6439">
        <w:t xml:space="preserve">per cent </w:t>
      </w:r>
      <w:r w:rsidR="00CF06F2">
        <w:t xml:space="preserve">below </w:t>
      </w:r>
      <w:r w:rsidRPr="009F1D1C">
        <w:t xml:space="preserve">the 2016–17 level. By comparison, had we accepted </w:t>
      </w:r>
      <w:r>
        <w:t>Powerlink</w:t>
      </w:r>
      <w:r w:rsidRPr="009F1D1C">
        <w:t>’</w:t>
      </w:r>
      <w:r w:rsidR="00093195">
        <w:t>s</w:t>
      </w:r>
      <w:r w:rsidRPr="009F1D1C">
        <w:t xml:space="preserve"> proposal, the expected</w:t>
      </w:r>
      <w:r w:rsidR="002D6439">
        <w:t xml:space="preserve"> transmission component of the</w:t>
      </w:r>
      <w:r w:rsidRPr="009F1D1C">
        <w:t xml:space="preserve"> average annual residential elec</w:t>
      </w:r>
      <w:r w:rsidR="00CF06F2">
        <w:t>tricity bill in 2021–22 would de</w:t>
      </w:r>
      <w:r w:rsidRPr="009F1D1C">
        <w:t xml:space="preserve">crease </w:t>
      </w:r>
      <w:r w:rsidR="00CF06F2">
        <w:t xml:space="preserve">by </w:t>
      </w:r>
      <w:r w:rsidRPr="009F1D1C">
        <w:t>approximately $</w:t>
      </w:r>
      <w:r w:rsidR="00992EE7">
        <w:t>31</w:t>
      </w:r>
      <w:r w:rsidR="008737D3">
        <w:t xml:space="preserve"> </w:t>
      </w:r>
      <w:r w:rsidRPr="009F1D1C">
        <w:t xml:space="preserve">($ nominal) or </w:t>
      </w:r>
      <w:r w:rsidR="00992EE7">
        <w:t>1.9</w:t>
      </w:r>
      <w:r w:rsidR="00CF06F2">
        <w:t xml:space="preserve"> </w:t>
      </w:r>
      <w:r w:rsidRPr="009F1D1C">
        <w:t xml:space="preserve">per cent </w:t>
      </w:r>
      <w:r w:rsidR="00CF06F2">
        <w:t xml:space="preserve">below </w:t>
      </w:r>
      <w:r w:rsidRPr="009F1D1C">
        <w:t>the 2016–17 level.</w:t>
      </w:r>
    </w:p>
    <w:p w:rsidR="009F1D1C" w:rsidRPr="009F1D1C" w:rsidRDefault="009F1D1C" w:rsidP="009F1D1C">
      <w:r w:rsidRPr="009F1D1C">
        <w:t xml:space="preserve">Our estimated potential impact is based on the typical </w:t>
      </w:r>
      <w:r w:rsidR="00093195">
        <w:t>annual electricity usage of 5173</w:t>
      </w:r>
      <w:r w:rsidRPr="009F1D1C">
        <w:t xml:space="preserve"> kWh per annum for a residential customer in </w:t>
      </w:r>
      <w:r w:rsidR="00093195">
        <w:t>Queensland</w:t>
      </w:r>
      <w:r w:rsidRPr="009F1D1C">
        <w:t>.</w:t>
      </w:r>
      <w:r w:rsidRPr="009F1D1C">
        <w:rPr>
          <w:rStyle w:val="FootnoteReference"/>
        </w:rPr>
        <w:footnoteReference w:id="36"/>
      </w:r>
      <w:r w:rsidRPr="009F1D1C">
        <w:t xml:space="preserve"> Customers with different usage will experience different changes in their bills. We also note that there are other factors, such as distribution network costs, wholesale and retail costs, which affect electricity bills. </w:t>
      </w:r>
    </w:p>
    <w:p w:rsidR="009F1D1C" w:rsidRPr="009F1D1C" w:rsidRDefault="009F1D1C" w:rsidP="009F1D1C">
      <w:r w:rsidRPr="009F1D1C">
        <w:t xml:space="preserve">Similarly, for small business customers in </w:t>
      </w:r>
      <w:r w:rsidR="00093195">
        <w:t>Queensland</w:t>
      </w:r>
      <w:r w:rsidRPr="009F1D1C">
        <w:t xml:space="preserve">—for which transmission charges represent approximately </w:t>
      </w:r>
      <w:r w:rsidR="00093195">
        <w:t>9.3</w:t>
      </w:r>
      <w:r w:rsidRPr="009F1D1C">
        <w:t> per cent  of a typical annual electricity bill—we have estimated the bill impact for two customer categories:</w:t>
      </w:r>
      <w:r w:rsidRPr="009F1D1C">
        <w:rPr>
          <w:rStyle w:val="FootnoteReference"/>
        </w:rPr>
        <w:footnoteReference w:id="37"/>
      </w:r>
    </w:p>
    <w:p w:rsidR="009F1D1C" w:rsidRPr="009F1D1C" w:rsidRDefault="00FC4DF0" w:rsidP="009F1D1C">
      <w:pPr>
        <w:pStyle w:val="AERbulletlistfirststyle"/>
      </w:pPr>
      <w:r>
        <w:t>Small b</w:t>
      </w:r>
      <w:r w:rsidR="00093195">
        <w:t xml:space="preserve">usiness </w:t>
      </w:r>
      <w:r>
        <w:t xml:space="preserve">customers </w:t>
      </w:r>
      <w:r w:rsidR="00093195">
        <w:t xml:space="preserve">consuming </w:t>
      </w:r>
      <w:r w:rsidR="009F1D1C" w:rsidRPr="009F1D1C">
        <w:t>1</w:t>
      </w:r>
      <w:r w:rsidR="00093195">
        <w:t>0</w:t>
      </w:r>
      <w:r w:rsidR="009F1D1C" w:rsidRPr="009F1D1C">
        <w:t> 000 kWh per annum</w:t>
      </w:r>
    </w:p>
    <w:p w:rsidR="009F1D1C" w:rsidRPr="009F1D1C" w:rsidRDefault="00FC4DF0" w:rsidP="009F1D1C">
      <w:pPr>
        <w:pStyle w:val="AERbulletlistfirststyle"/>
      </w:pPr>
      <w:r>
        <w:t>Small b</w:t>
      </w:r>
      <w:r w:rsidR="009F1D1C" w:rsidRPr="009F1D1C">
        <w:t>usiness customers</w:t>
      </w:r>
      <w:r w:rsidR="00093195">
        <w:t xml:space="preserve"> consuming 2</w:t>
      </w:r>
      <w:r w:rsidR="009F1D1C" w:rsidRPr="009F1D1C">
        <w:t>0 000 kWh per annum.</w:t>
      </w:r>
    </w:p>
    <w:p w:rsidR="009F1D1C" w:rsidRPr="009F1D1C" w:rsidRDefault="009F1D1C" w:rsidP="009F1D1C">
      <w:r w:rsidRPr="009F1D1C">
        <w:t>We expect our draft decision will result in the</w:t>
      </w:r>
      <w:r w:rsidR="00B279A5">
        <w:t xml:space="preserve"> transmission component of the average</w:t>
      </w:r>
      <w:r w:rsidRPr="009F1D1C">
        <w:t xml:space="preserve"> </w:t>
      </w:r>
      <w:r w:rsidR="00FC4DF0" w:rsidRPr="009F1D1C">
        <w:t xml:space="preserve">annual electricity bill </w:t>
      </w:r>
      <w:r w:rsidR="00FC4DF0">
        <w:t xml:space="preserve">for </w:t>
      </w:r>
      <w:r w:rsidR="00B70719">
        <w:t xml:space="preserve">the </w:t>
      </w:r>
      <w:r w:rsidR="00FC4DF0">
        <w:t xml:space="preserve">small </w:t>
      </w:r>
      <w:r w:rsidR="00093195">
        <w:t>business c</w:t>
      </w:r>
      <w:r w:rsidRPr="009F1D1C">
        <w:t>ustomer</w:t>
      </w:r>
      <w:r w:rsidR="00FC4DF0">
        <w:t xml:space="preserve"> with </w:t>
      </w:r>
      <w:r w:rsidR="00B279A5">
        <w:t>consumption of 10 0</w:t>
      </w:r>
      <w:r w:rsidR="00FC4DF0">
        <w:t xml:space="preserve">00 kWh </w:t>
      </w:r>
      <w:r w:rsidR="00B279A5">
        <w:t xml:space="preserve">per annum </w:t>
      </w:r>
      <w:r w:rsidRPr="009F1D1C">
        <w:t xml:space="preserve">in 2021–22 to </w:t>
      </w:r>
      <w:r w:rsidR="00B279A5">
        <w:t xml:space="preserve">reduce by </w:t>
      </w:r>
      <w:r w:rsidRPr="009F1D1C">
        <w:t xml:space="preserve">about </w:t>
      </w:r>
      <w:r w:rsidR="00FC4DF0">
        <w:t>$</w:t>
      </w:r>
      <w:r w:rsidR="00841256">
        <w:t>75</w:t>
      </w:r>
      <w:r w:rsidRPr="009F1D1C">
        <w:t xml:space="preserve"> ($ nominal)</w:t>
      </w:r>
      <w:r w:rsidRPr="009F1D1C" w:rsidDel="00A35B32">
        <w:t xml:space="preserve"> </w:t>
      </w:r>
      <w:r w:rsidRPr="009F1D1C">
        <w:t xml:space="preserve">or </w:t>
      </w:r>
      <w:r w:rsidR="00992EE7">
        <w:t>2.5</w:t>
      </w:r>
      <w:r w:rsidRPr="009F1D1C">
        <w:t xml:space="preserve"> per cent </w:t>
      </w:r>
      <w:r w:rsidR="00CF06F2">
        <w:t>below</w:t>
      </w:r>
      <w:r w:rsidRPr="009F1D1C">
        <w:t xml:space="preserve"> the 2016–17 level. By comparison, had we accepted </w:t>
      </w:r>
      <w:r>
        <w:t>Powerlink</w:t>
      </w:r>
      <w:r w:rsidRPr="009F1D1C">
        <w:t>'</w:t>
      </w:r>
      <w:r w:rsidR="00093195">
        <w:t>s</w:t>
      </w:r>
      <w:r w:rsidRPr="009F1D1C">
        <w:t xml:space="preserve"> proposal, the expected </w:t>
      </w:r>
      <w:r w:rsidR="00B279A5">
        <w:t xml:space="preserve">transmission component of the average </w:t>
      </w:r>
      <w:r w:rsidR="00FC4DF0">
        <w:t xml:space="preserve">annual </w:t>
      </w:r>
      <w:r w:rsidRPr="009F1D1C">
        <w:t>elec</w:t>
      </w:r>
      <w:r w:rsidR="008C0C53">
        <w:t xml:space="preserve">tricity bill </w:t>
      </w:r>
      <w:r w:rsidR="00B70719">
        <w:t xml:space="preserve">for this type of small business customer </w:t>
      </w:r>
      <w:r w:rsidR="008C0C53">
        <w:t>in 2021–22 would de</w:t>
      </w:r>
      <w:r w:rsidRPr="009F1D1C">
        <w:t xml:space="preserve">crease </w:t>
      </w:r>
      <w:r w:rsidR="008C0C53">
        <w:t xml:space="preserve">by </w:t>
      </w:r>
      <w:r w:rsidRPr="009F1D1C">
        <w:t>approximately $</w:t>
      </w:r>
      <w:r w:rsidR="00B279A5">
        <w:t>58</w:t>
      </w:r>
      <w:r w:rsidRPr="009F1D1C">
        <w:t xml:space="preserve"> ($ nominal) or </w:t>
      </w:r>
      <w:r w:rsidR="00992EE7">
        <w:t>1.9</w:t>
      </w:r>
      <w:r w:rsidRPr="009F1D1C">
        <w:t xml:space="preserve"> per cent </w:t>
      </w:r>
      <w:r w:rsidR="00CF06F2">
        <w:t>below</w:t>
      </w:r>
      <w:r w:rsidRPr="009F1D1C">
        <w:t xml:space="preserve"> the 2016–17 level. Likewise, the</w:t>
      </w:r>
      <w:r w:rsidR="00B279A5">
        <w:t xml:space="preserve"> transmission component of the average</w:t>
      </w:r>
      <w:r w:rsidRPr="009F1D1C">
        <w:t xml:space="preserve"> </w:t>
      </w:r>
      <w:r w:rsidR="00FC4DF0" w:rsidRPr="009F1D1C">
        <w:t xml:space="preserve">annual electricity bill </w:t>
      </w:r>
      <w:r w:rsidR="00FC4DF0">
        <w:t xml:space="preserve">for </w:t>
      </w:r>
      <w:r w:rsidR="00B70719">
        <w:t xml:space="preserve">the </w:t>
      </w:r>
      <w:r w:rsidR="00FC4DF0">
        <w:t xml:space="preserve">small </w:t>
      </w:r>
      <w:r w:rsidRPr="009F1D1C">
        <w:t>business customer</w:t>
      </w:r>
      <w:r w:rsidR="00FC4DF0">
        <w:t xml:space="preserve"> with </w:t>
      </w:r>
      <w:r w:rsidR="00B70719">
        <w:t xml:space="preserve">annual consumption of </w:t>
      </w:r>
      <w:r w:rsidR="00FC4DF0">
        <w:t>20 000 kWh</w:t>
      </w:r>
      <w:r w:rsidR="00B279A5">
        <w:t xml:space="preserve"> per annum</w:t>
      </w:r>
      <w:r w:rsidR="00FC4DF0">
        <w:t xml:space="preserve"> </w:t>
      </w:r>
      <w:r w:rsidRPr="009F1D1C">
        <w:t>in 2021–22 is expected to be about $</w:t>
      </w:r>
      <w:r w:rsidR="00841256">
        <w:t>130</w:t>
      </w:r>
      <w:r w:rsidRPr="009F1D1C">
        <w:t xml:space="preserve"> ($ nominal) or </w:t>
      </w:r>
      <w:r w:rsidR="00841256">
        <w:t>2.5</w:t>
      </w:r>
      <w:r w:rsidRPr="009F1D1C">
        <w:t xml:space="preserve"> per cent </w:t>
      </w:r>
      <w:r w:rsidR="00CF06F2">
        <w:t>below</w:t>
      </w:r>
      <w:r w:rsidRPr="009F1D1C">
        <w:t xml:space="preserve"> the 2016–17 level as a result of our draft decision. By comparison, had we accepted </w:t>
      </w:r>
      <w:r>
        <w:t>Powerlink</w:t>
      </w:r>
      <w:r w:rsidRPr="009F1D1C">
        <w:t>'</w:t>
      </w:r>
      <w:r w:rsidR="00FC4DF0">
        <w:t>s</w:t>
      </w:r>
      <w:r w:rsidRPr="009F1D1C">
        <w:t xml:space="preserve"> proposal, the expected </w:t>
      </w:r>
      <w:r w:rsidR="00B279A5">
        <w:t xml:space="preserve">transmission component of the </w:t>
      </w:r>
      <w:r w:rsidRPr="009F1D1C">
        <w:t>average annual elec</w:t>
      </w:r>
      <w:r w:rsidR="008C0C53">
        <w:t>tricity bill</w:t>
      </w:r>
      <w:r w:rsidR="00B70719">
        <w:t xml:space="preserve"> for this type of small business customer</w:t>
      </w:r>
      <w:r w:rsidR="008C0C53">
        <w:t xml:space="preserve"> in 2021–22 would de</w:t>
      </w:r>
      <w:r w:rsidRPr="009F1D1C">
        <w:t xml:space="preserve">crease </w:t>
      </w:r>
      <w:r w:rsidR="008C0C53">
        <w:t xml:space="preserve">by </w:t>
      </w:r>
      <w:r w:rsidRPr="009F1D1C">
        <w:t xml:space="preserve">approximately </w:t>
      </w:r>
      <w:r w:rsidR="00643620">
        <w:t>1</w:t>
      </w:r>
      <w:r w:rsidR="00841256">
        <w:t>02</w:t>
      </w:r>
      <w:r w:rsidRPr="009F1D1C">
        <w:t xml:space="preserve"> ($ nominal) or </w:t>
      </w:r>
      <w:r w:rsidR="00841256">
        <w:t>1.9</w:t>
      </w:r>
      <w:r w:rsidRPr="009F1D1C">
        <w:t xml:space="preserve"> per cent </w:t>
      </w:r>
      <w:r w:rsidR="00B70719">
        <w:t>below</w:t>
      </w:r>
      <w:r w:rsidRPr="009F1D1C">
        <w:t xml:space="preserve"> the 2016–17 level.</w:t>
      </w:r>
    </w:p>
    <w:p w:rsidR="009F1D1C" w:rsidRPr="009F1D1C" w:rsidRDefault="009F1D1C" w:rsidP="009F1D1C">
      <w:r w:rsidRPr="009F1D1C">
        <w:fldChar w:fldCharType="begin"/>
      </w:r>
      <w:r w:rsidRPr="009F1D1C">
        <w:instrText xml:space="preserve"> REF _Ref441242075 \h </w:instrText>
      </w:r>
      <w:r w:rsidRPr="009F1D1C">
        <w:fldChar w:fldCharType="separate"/>
      </w:r>
      <w:r w:rsidR="00EA21A9" w:rsidRPr="009F1D1C">
        <w:t xml:space="preserve">Table </w:t>
      </w:r>
      <w:r w:rsidR="00EA21A9">
        <w:rPr>
          <w:noProof/>
        </w:rPr>
        <w:t>1</w:t>
      </w:r>
      <w:r w:rsidR="00EA21A9" w:rsidRPr="009F1D1C">
        <w:t>.</w:t>
      </w:r>
      <w:r w:rsidR="00EA21A9">
        <w:rPr>
          <w:noProof/>
        </w:rPr>
        <w:t>5</w:t>
      </w:r>
      <w:r w:rsidRPr="009F1D1C">
        <w:fldChar w:fldCharType="end"/>
      </w:r>
      <w:r w:rsidRPr="009F1D1C">
        <w:t xml:space="preserve"> shows our estimated impact of this draft decision over the 2017–22 regulatory control period compared with </w:t>
      </w:r>
      <w:r>
        <w:t>Powerlink</w:t>
      </w:r>
      <w:r w:rsidR="00B70719">
        <w:t>'</w:t>
      </w:r>
      <w:r w:rsidR="00A844FB">
        <w:t>s</w:t>
      </w:r>
      <w:r w:rsidRPr="009F1D1C">
        <w:t xml:space="preserve"> proposal on the average annual electricity bills for residential and </w:t>
      </w:r>
      <w:r w:rsidR="00FC4DF0">
        <w:t>small</w:t>
      </w:r>
      <w:r w:rsidRPr="009F1D1C">
        <w:t xml:space="preserve"> business customers in </w:t>
      </w:r>
      <w:r w:rsidR="00FC4DF0">
        <w:t>Queensland</w:t>
      </w:r>
      <w:r w:rsidRPr="009F1D1C">
        <w:t>.</w:t>
      </w:r>
    </w:p>
    <w:p w:rsidR="009F1D1C" w:rsidRPr="009F1D1C" w:rsidRDefault="009F1D1C" w:rsidP="009F1D1C">
      <w:pPr>
        <w:pStyle w:val="Caption"/>
      </w:pPr>
      <w:bookmarkStart w:id="103" w:name="_Ref441242075"/>
      <w:proofErr w:type="gramStart"/>
      <w:r w:rsidRPr="009F1D1C">
        <w:lastRenderedPageBreak/>
        <w:t xml:space="preserve">Table </w:t>
      </w:r>
      <w:fldSimple w:instr=" STYLEREF 1 \s ">
        <w:r w:rsidR="00EA21A9">
          <w:rPr>
            <w:noProof/>
          </w:rPr>
          <w:t>1</w:t>
        </w:r>
      </w:fldSimple>
      <w:r w:rsidRPr="009F1D1C">
        <w:t>.</w:t>
      </w:r>
      <w:proofErr w:type="gramEnd"/>
      <w:r w:rsidR="00165639">
        <w:fldChar w:fldCharType="begin"/>
      </w:r>
      <w:r w:rsidR="00165639">
        <w:instrText xml:space="preserve"> SEQ Table \* ARABIC \s 1 </w:instrText>
      </w:r>
      <w:r w:rsidR="00165639">
        <w:fldChar w:fldCharType="separate"/>
      </w:r>
      <w:r w:rsidR="00EA21A9">
        <w:rPr>
          <w:noProof/>
        </w:rPr>
        <w:t>5</w:t>
      </w:r>
      <w:r w:rsidR="00165639">
        <w:rPr>
          <w:noProof/>
        </w:rPr>
        <w:fldChar w:fldCharType="end"/>
      </w:r>
      <w:bookmarkEnd w:id="103"/>
      <w:r w:rsidRPr="009F1D1C">
        <w:tab/>
        <w:t>AER's estimated impact of our final</w:t>
      </w:r>
      <w:r w:rsidRPr="009F1D1C">
        <w:tab/>
        <w:t xml:space="preserve">decision and </w:t>
      </w:r>
      <w:r>
        <w:t>Powerlink</w:t>
      </w:r>
      <w:r w:rsidRPr="009F1D1C">
        <w:t>’</w:t>
      </w:r>
      <w:r w:rsidR="00FC4DF0">
        <w:t>s</w:t>
      </w:r>
      <w:r w:rsidRPr="009F1D1C">
        <w:t xml:space="preserve"> proposal on the average annual electricity bills for the 2017–22 regulatory control period ($ nominal)</w:t>
      </w:r>
    </w:p>
    <w:tbl>
      <w:tblPr>
        <w:tblStyle w:val="AERtable-numbers"/>
        <w:tblW w:w="9077" w:type="dxa"/>
        <w:tblLook w:val="04A0" w:firstRow="1" w:lastRow="0" w:firstColumn="1" w:lastColumn="0" w:noHBand="0" w:noVBand="1"/>
      </w:tblPr>
      <w:tblGrid>
        <w:gridCol w:w="2572"/>
        <w:gridCol w:w="973"/>
        <w:gridCol w:w="1109"/>
        <w:gridCol w:w="1170"/>
        <w:gridCol w:w="1171"/>
        <w:gridCol w:w="1041"/>
        <w:gridCol w:w="1041"/>
      </w:tblGrid>
      <w:tr w:rsidR="009F1D1C" w:rsidRPr="00731756" w:rsidTr="0097300F">
        <w:trPr>
          <w:cnfStyle w:val="100000000000" w:firstRow="1" w:lastRow="0" w:firstColumn="0" w:lastColumn="0" w:oddVBand="0" w:evenVBand="0" w:oddHBand="0" w:evenHBand="0" w:firstRowFirstColumn="0" w:firstRowLastColumn="0" w:lastRowFirstColumn="0" w:lastRowLastColumn="0"/>
          <w:trHeight w:val="462"/>
          <w:tblHeader/>
        </w:trPr>
        <w:tc>
          <w:tcPr>
            <w:cnfStyle w:val="001000000000" w:firstRow="0" w:lastRow="0" w:firstColumn="1" w:lastColumn="0" w:oddVBand="0" w:evenVBand="0" w:oddHBand="0" w:evenHBand="0" w:firstRowFirstColumn="0" w:firstRowLastColumn="0" w:lastRowFirstColumn="0" w:lastRowLastColumn="0"/>
            <w:tcW w:w="2572" w:type="dxa"/>
          </w:tcPr>
          <w:p w:rsidR="009F1D1C" w:rsidRPr="009F1D1C" w:rsidRDefault="009F1D1C" w:rsidP="009F1D1C"/>
        </w:tc>
        <w:tc>
          <w:tcPr>
            <w:tcW w:w="973" w:type="dxa"/>
            <w:vAlign w:val="bottom"/>
          </w:tcPr>
          <w:p w:rsidR="009F1D1C" w:rsidRPr="009F1D1C" w:rsidRDefault="009F1D1C" w:rsidP="009F1D1C">
            <w:pPr>
              <w:cnfStyle w:val="100000000000" w:firstRow="1" w:lastRow="0" w:firstColumn="0" w:lastColumn="0" w:oddVBand="0" w:evenVBand="0" w:oddHBand="0" w:evenHBand="0" w:firstRowFirstColumn="0" w:firstRowLastColumn="0" w:lastRowFirstColumn="0" w:lastRowLastColumn="0"/>
            </w:pPr>
            <w:r w:rsidRPr="009F1D1C">
              <w:t>2016–17</w:t>
            </w:r>
          </w:p>
        </w:tc>
        <w:tc>
          <w:tcPr>
            <w:tcW w:w="1109" w:type="dxa"/>
            <w:vAlign w:val="bottom"/>
          </w:tcPr>
          <w:p w:rsidR="009F1D1C" w:rsidRPr="009F1D1C" w:rsidRDefault="009F1D1C" w:rsidP="009F1D1C">
            <w:pPr>
              <w:cnfStyle w:val="100000000000" w:firstRow="1" w:lastRow="0" w:firstColumn="0" w:lastColumn="0" w:oddVBand="0" w:evenVBand="0" w:oddHBand="0" w:evenHBand="0" w:firstRowFirstColumn="0" w:firstRowLastColumn="0" w:lastRowFirstColumn="0" w:lastRowLastColumn="0"/>
            </w:pPr>
            <w:r w:rsidRPr="009F1D1C">
              <w:t>2017–18</w:t>
            </w:r>
          </w:p>
        </w:tc>
        <w:tc>
          <w:tcPr>
            <w:tcW w:w="1170" w:type="dxa"/>
            <w:vAlign w:val="bottom"/>
          </w:tcPr>
          <w:p w:rsidR="009F1D1C" w:rsidRPr="009F1D1C" w:rsidRDefault="009F1D1C" w:rsidP="009F1D1C">
            <w:pPr>
              <w:cnfStyle w:val="100000000000" w:firstRow="1" w:lastRow="0" w:firstColumn="0" w:lastColumn="0" w:oddVBand="0" w:evenVBand="0" w:oddHBand="0" w:evenHBand="0" w:firstRowFirstColumn="0" w:firstRowLastColumn="0" w:lastRowFirstColumn="0" w:lastRowLastColumn="0"/>
            </w:pPr>
            <w:r w:rsidRPr="009F1D1C">
              <w:t>2018–19</w:t>
            </w:r>
          </w:p>
        </w:tc>
        <w:tc>
          <w:tcPr>
            <w:tcW w:w="1171" w:type="dxa"/>
            <w:vAlign w:val="bottom"/>
          </w:tcPr>
          <w:p w:rsidR="009F1D1C" w:rsidRPr="009F1D1C" w:rsidRDefault="009F1D1C" w:rsidP="009F1D1C">
            <w:pPr>
              <w:cnfStyle w:val="100000000000" w:firstRow="1" w:lastRow="0" w:firstColumn="0" w:lastColumn="0" w:oddVBand="0" w:evenVBand="0" w:oddHBand="0" w:evenHBand="0" w:firstRowFirstColumn="0" w:firstRowLastColumn="0" w:lastRowFirstColumn="0" w:lastRowLastColumn="0"/>
            </w:pPr>
            <w:r w:rsidRPr="009F1D1C">
              <w:t>2019–20</w:t>
            </w:r>
          </w:p>
        </w:tc>
        <w:tc>
          <w:tcPr>
            <w:tcW w:w="1041" w:type="dxa"/>
            <w:vAlign w:val="bottom"/>
          </w:tcPr>
          <w:p w:rsidR="009F1D1C" w:rsidRPr="009F1D1C" w:rsidRDefault="009F1D1C" w:rsidP="009F1D1C">
            <w:pPr>
              <w:cnfStyle w:val="100000000000" w:firstRow="1" w:lastRow="0" w:firstColumn="0" w:lastColumn="0" w:oddVBand="0" w:evenVBand="0" w:oddHBand="0" w:evenHBand="0" w:firstRowFirstColumn="0" w:firstRowLastColumn="0" w:lastRowFirstColumn="0" w:lastRowLastColumn="0"/>
            </w:pPr>
            <w:r w:rsidRPr="009F1D1C">
              <w:t>2020–21</w:t>
            </w:r>
          </w:p>
        </w:tc>
        <w:tc>
          <w:tcPr>
            <w:tcW w:w="1041" w:type="dxa"/>
            <w:vAlign w:val="bottom"/>
          </w:tcPr>
          <w:p w:rsidR="009F1D1C" w:rsidRPr="009F1D1C" w:rsidRDefault="009F1D1C" w:rsidP="009F1D1C">
            <w:pPr>
              <w:cnfStyle w:val="100000000000" w:firstRow="1" w:lastRow="0" w:firstColumn="0" w:lastColumn="0" w:oddVBand="0" w:evenVBand="0" w:oddHBand="0" w:evenHBand="0" w:firstRowFirstColumn="0" w:firstRowLastColumn="0" w:lastRowFirstColumn="0" w:lastRowLastColumn="0"/>
            </w:pPr>
            <w:r w:rsidRPr="009F1D1C">
              <w:t>2021–22</w:t>
            </w:r>
          </w:p>
        </w:tc>
      </w:tr>
      <w:tr w:rsidR="009F1D1C" w:rsidRPr="00731756" w:rsidTr="0097300F">
        <w:trPr>
          <w:trHeight w:val="392"/>
        </w:trPr>
        <w:tc>
          <w:tcPr>
            <w:cnfStyle w:val="001000000000" w:firstRow="0" w:lastRow="0" w:firstColumn="1" w:lastColumn="0" w:oddVBand="0" w:evenVBand="0" w:oddHBand="0" w:evenHBand="0" w:firstRowFirstColumn="0" w:firstRowLastColumn="0" w:lastRowFirstColumn="0" w:lastRowLastColumn="0"/>
            <w:tcW w:w="2572" w:type="dxa"/>
          </w:tcPr>
          <w:p w:rsidR="009F1D1C" w:rsidRPr="009F1D1C" w:rsidRDefault="009F1D1C" w:rsidP="009F1D1C">
            <w:pPr>
              <w:rPr>
                <w:rStyle w:val="Strong"/>
              </w:rPr>
            </w:pPr>
            <w:r w:rsidRPr="009F1D1C">
              <w:rPr>
                <w:rStyle w:val="Strong"/>
              </w:rPr>
              <w:t>AER draft decision</w:t>
            </w:r>
          </w:p>
        </w:tc>
        <w:tc>
          <w:tcPr>
            <w:tcW w:w="973" w:type="dxa"/>
            <w:vAlign w:val="bottom"/>
          </w:tcPr>
          <w:p w:rsidR="009F1D1C" w:rsidRPr="009F1D1C" w:rsidRDefault="009F1D1C" w:rsidP="009F1D1C">
            <w:pPr>
              <w:cnfStyle w:val="000000000000" w:firstRow="0" w:lastRow="0" w:firstColumn="0" w:lastColumn="0" w:oddVBand="0" w:evenVBand="0" w:oddHBand="0" w:evenHBand="0" w:firstRowFirstColumn="0" w:firstRowLastColumn="0" w:lastRowFirstColumn="0" w:lastRowLastColumn="0"/>
            </w:pPr>
            <w:r w:rsidRPr="009F1D1C">
              <w:t> </w:t>
            </w:r>
          </w:p>
        </w:tc>
        <w:tc>
          <w:tcPr>
            <w:tcW w:w="1109" w:type="dxa"/>
            <w:vAlign w:val="bottom"/>
          </w:tcPr>
          <w:p w:rsidR="009F1D1C" w:rsidRPr="009F1D1C" w:rsidRDefault="009F1D1C" w:rsidP="009F1D1C">
            <w:pPr>
              <w:cnfStyle w:val="000000000000" w:firstRow="0" w:lastRow="0" w:firstColumn="0" w:lastColumn="0" w:oddVBand="0" w:evenVBand="0" w:oddHBand="0" w:evenHBand="0" w:firstRowFirstColumn="0" w:firstRowLastColumn="0" w:lastRowFirstColumn="0" w:lastRowLastColumn="0"/>
            </w:pPr>
            <w:r w:rsidRPr="009F1D1C">
              <w:t> </w:t>
            </w:r>
          </w:p>
        </w:tc>
        <w:tc>
          <w:tcPr>
            <w:tcW w:w="1170" w:type="dxa"/>
            <w:vAlign w:val="bottom"/>
          </w:tcPr>
          <w:p w:rsidR="009F1D1C" w:rsidRPr="009F1D1C" w:rsidRDefault="009F1D1C" w:rsidP="009F1D1C">
            <w:pPr>
              <w:cnfStyle w:val="000000000000" w:firstRow="0" w:lastRow="0" w:firstColumn="0" w:lastColumn="0" w:oddVBand="0" w:evenVBand="0" w:oddHBand="0" w:evenHBand="0" w:firstRowFirstColumn="0" w:firstRowLastColumn="0" w:lastRowFirstColumn="0" w:lastRowLastColumn="0"/>
            </w:pPr>
            <w:r w:rsidRPr="009F1D1C">
              <w:t> </w:t>
            </w:r>
          </w:p>
        </w:tc>
        <w:tc>
          <w:tcPr>
            <w:tcW w:w="1171" w:type="dxa"/>
            <w:vAlign w:val="bottom"/>
          </w:tcPr>
          <w:p w:rsidR="009F1D1C" w:rsidRPr="009F1D1C" w:rsidRDefault="009F1D1C" w:rsidP="009F1D1C">
            <w:pPr>
              <w:cnfStyle w:val="000000000000" w:firstRow="0" w:lastRow="0" w:firstColumn="0" w:lastColumn="0" w:oddVBand="0" w:evenVBand="0" w:oddHBand="0" w:evenHBand="0" w:firstRowFirstColumn="0" w:firstRowLastColumn="0" w:lastRowFirstColumn="0" w:lastRowLastColumn="0"/>
            </w:pPr>
            <w:r w:rsidRPr="009F1D1C">
              <w:t> </w:t>
            </w:r>
          </w:p>
        </w:tc>
        <w:tc>
          <w:tcPr>
            <w:tcW w:w="1041" w:type="dxa"/>
            <w:vAlign w:val="bottom"/>
          </w:tcPr>
          <w:p w:rsidR="009F1D1C" w:rsidRPr="009F1D1C" w:rsidRDefault="009F1D1C" w:rsidP="009F1D1C">
            <w:pPr>
              <w:cnfStyle w:val="000000000000" w:firstRow="0" w:lastRow="0" w:firstColumn="0" w:lastColumn="0" w:oddVBand="0" w:evenVBand="0" w:oddHBand="0" w:evenHBand="0" w:firstRowFirstColumn="0" w:firstRowLastColumn="0" w:lastRowFirstColumn="0" w:lastRowLastColumn="0"/>
            </w:pPr>
            <w:r w:rsidRPr="009F1D1C">
              <w:t> </w:t>
            </w:r>
          </w:p>
        </w:tc>
        <w:tc>
          <w:tcPr>
            <w:tcW w:w="1041" w:type="dxa"/>
            <w:vAlign w:val="bottom"/>
          </w:tcPr>
          <w:p w:rsidR="009F1D1C" w:rsidRPr="009F1D1C" w:rsidRDefault="009F1D1C" w:rsidP="009F1D1C">
            <w:pPr>
              <w:cnfStyle w:val="000000000000" w:firstRow="0" w:lastRow="0" w:firstColumn="0" w:lastColumn="0" w:oddVBand="0" w:evenVBand="0" w:oddHBand="0" w:evenHBand="0" w:firstRowFirstColumn="0" w:firstRowLastColumn="0" w:lastRowFirstColumn="0" w:lastRowLastColumn="0"/>
            </w:pPr>
            <w:r w:rsidRPr="009F1D1C">
              <w:t> </w:t>
            </w:r>
          </w:p>
        </w:tc>
      </w:tr>
      <w:tr w:rsidR="00841256" w:rsidRPr="00731756" w:rsidTr="009B6B07">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572" w:type="dxa"/>
          </w:tcPr>
          <w:p w:rsidR="00841256" w:rsidRPr="00841256" w:rsidRDefault="00841256" w:rsidP="00841256">
            <w:r w:rsidRPr="00841256">
              <w:t>Residential annual bill</w:t>
            </w:r>
          </w:p>
        </w:tc>
        <w:tc>
          <w:tcPr>
            <w:tcW w:w="973" w:type="dxa"/>
            <w:vAlign w:val="bottom"/>
          </w:tcPr>
          <w:p w:rsidR="00841256" w:rsidRPr="00841256" w:rsidRDefault="00841256" w:rsidP="00841256">
            <w:pPr>
              <w:cnfStyle w:val="000000010000" w:firstRow="0" w:lastRow="0" w:firstColumn="0" w:lastColumn="0" w:oddVBand="0" w:evenVBand="0" w:oddHBand="0" w:evenHBand="1" w:firstRowFirstColumn="0" w:firstRowLastColumn="0" w:lastRowFirstColumn="0" w:lastRowLastColumn="0"/>
            </w:pPr>
            <w:r w:rsidRPr="00841256">
              <w:t>1611</w:t>
            </w:r>
            <w:r w:rsidRPr="00841256">
              <w:rPr>
                <w:rStyle w:val="AERsuperscript"/>
              </w:rPr>
              <w:t>a</w:t>
            </w:r>
          </w:p>
        </w:tc>
        <w:tc>
          <w:tcPr>
            <w:tcW w:w="1109" w:type="dxa"/>
            <w:vAlign w:val="bottom"/>
          </w:tcPr>
          <w:p w:rsidR="00841256" w:rsidRPr="00841256" w:rsidRDefault="00841256" w:rsidP="00841256">
            <w:pPr>
              <w:cnfStyle w:val="000000010000" w:firstRow="0" w:lastRow="0" w:firstColumn="0" w:lastColumn="0" w:oddVBand="0" w:evenVBand="0" w:oddHBand="0" w:evenHBand="1" w:firstRowFirstColumn="0" w:firstRowLastColumn="0" w:lastRowFirstColumn="0" w:lastRowLastColumn="0"/>
            </w:pPr>
            <w:r w:rsidRPr="00841256">
              <w:t>1562</w:t>
            </w:r>
          </w:p>
        </w:tc>
        <w:tc>
          <w:tcPr>
            <w:tcW w:w="1170" w:type="dxa"/>
            <w:vAlign w:val="bottom"/>
          </w:tcPr>
          <w:p w:rsidR="00841256" w:rsidRPr="00841256" w:rsidRDefault="00841256" w:rsidP="00841256">
            <w:pPr>
              <w:cnfStyle w:val="000000010000" w:firstRow="0" w:lastRow="0" w:firstColumn="0" w:lastColumn="0" w:oddVBand="0" w:evenVBand="0" w:oddHBand="0" w:evenHBand="1" w:firstRowFirstColumn="0" w:firstRowLastColumn="0" w:lastRowFirstColumn="0" w:lastRowLastColumn="0"/>
            </w:pPr>
            <w:r w:rsidRPr="00841256">
              <w:t>1564</w:t>
            </w:r>
          </w:p>
        </w:tc>
        <w:tc>
          <w:tcPr>
            <w:tcW w:w="1171" w:type="dxa"/>
            <w:vAlign w:val="bottom"/>
          </w:tcPr>
          <w:p w:rsidR="00841256" w:rsidRPr="00841256" w:rsidRDefault="00841256" w:rsidP="00841256">
            <w:pPr>
              <w:cnfStyle w:val="000000010000" w:firstRow="0" w:lastRow="0" w:firstColumn="0" w:lastColumn="0" w:oddVBand="0" w:evenVBand="0" w:oddHBand="0" w:evenHBand="1" w:firstRowFirstColumn="0" w:firstRowLastColumn="0" w:lastRowFirstColumn="0" w:lastRowLastColumn="0"/>
            </w:pPr>
            <w:r w:rsidRPr="00841256">
              <w:t>1566</w:t>
            </w:r>
          </w:p>
        </w:tc>
        <w:tc>
          <w:tcPr>
            <w:tcW w:w="1041" w:type="dxa"/>
            <w:vAlign w:val="bottom"/>
          </w:tcPr>
          <w:p w:rsidR="00841256" w:rsidRPr="00841256" w:rsidRDefault="00841256" w:rsidP="00841256">
            <w:pPr>
              <w:cnfStyle w:val="000000010000" w:firstRow="0" w:lastRow="0" w:firstColumn="0" w:lastColumn="0" w:oddVBand="0" w:evenVBand="0" w:oddHBand="0" w:evenHBand="1" w:firstRowFirstColumn="0" w:firstRowLastColumn="0" w:lastRowFirstColumn="0" w:lastRowLastColumn="0"/>
            </w:pPr>
            <w:r w:rsidRPr="00841256">
              <w:t>1569</w:t>
            </w:r>
          </w:p>
        </w:tc>
        <w:tc>
          <w:tcPr>
            <w:tcW w:w="1041" w:type="dxa"/>
            <w:vAlign w:val="bottom"/>
          </w:tcPr>
          <w:p w:rsidR="00841256" w:rsidRPr="00841256" w:rsidRDefault="00841256" w:rsidP="00841256">
            <w:pPr>
              <w:cnfStyle w:val="000000010000" w:firstRow="0" w:lastRow="0" w:firstColumn="0" w:lastColumn="0" w:oddVBand="0" w:evenVBand="0" w:oddHBand="0" w:evenHBand="1" w:firstRowFirstColumn="0" w:firstRowLastColumn="0" w:lastRowFirstColumn="0" w:lastRowLastColumn="0"/>
            </w:pPr>
            <w:r w:rsidRPr="00841256">
              <w:t>1571</w:t>
            </w:r>
          </w:p>
        </w:tc>
      </w:tr>
      <w:tr w:rsidR="00841256" w:rsidRPr="00731756" w:rsidTr="009B6B07">
        <w:trPr>
          <w:trHeight w:val="392"/>
        </w:trPr>
        <w:tc>
          <w:tcPr>
            <w:cnfStyle w:val="001000000000" w:firstRow="0" w:lastRow="0" w:firstColumn="1" w:lastColumn="0" w:oddVBand="0" w:evenVBand="0" w:oddHBand="0" w:evenHBand="0" w:firstRowFirstColumn="0" w:firstRowLastColumn="0" w:lastRowFirstColumn="0" w:lastRowLastColumn="0"/>
            <w:tcW w:w="2572" w:type="dxa"/>
          </w:tcPr>
          <w:p w:rsidR="00841256" w:rsidRPr="00841256" w:rsidRDefault="00841256" w:rsidP="00841256">
            <w:r w:rsidRPr="00841256">
              <w:t xml:space="preserve">Annual </w:t>
            </w:r>
            <w:proofErr w:type="spellStart"/>
            <w:r w:rsidRPr="00841256">
              <w:t>change</w:t>
            </w:r>
            <w:r>
              <w:rPr>
                <w:rStyle w:val="AERsuperscript"/>
              </w:rPr>
              <w:t>c</w:t>
            </w:r>
            <w:proofErr w:type="spellEnd"/>
          </w:p>
        </w:tc>
        <w:tc>
          <w:tcPr>
            <w:tcW w:w="973" w:type="dxa"/>
            <w:vAlign w:val="bottom"/>
          </w:tcPr>
          <w:p w:rsidR="00841256" w:rsidRPr="00841256" w:rsidRDefault="00841256" w:rsidP="00841256">
            <w:pPr>
              <w:cnfStyle w:val="000000000000" w:firstRow="0" w:lastRow="0" w:firstColumn="0" w:lastColumn="0" w:oddVBand="0" w:evenVBand="0" w:oddHBand="0" w:evenHBand="0" w:firstRowFirstColumn="0" w:firstRowLastColumn="0" w:lastRowFirstColumn="0" w:lastRowLastColumn="0"/>
            </w:pPr>
            <w:r w:rsidRPr="00841256">
              <w:t> </w:t>
            </w:r>
          </w:p>
        </w:tc>
        <w:tc>
          <w:tcPr>
            <w:tcW w:w="1109" w:type="dxa"/>
            <w:vAlign w:val="bottom"/>
          </w:tcPr>
          <w:p w:rsidR="00841256" w:rsidRPr="00841256" w:rsidRDefault="00841256" w:rsidP="00841256">
            <w:pPr>
              <w:cnfStyle w:val="000000000000" w:firstRow="0" w:lastRow="0" w:firstColumn="0" w:lastColumn="0" w:oddVBand="0" w:evenVBand="0" w:oddHBand="0" w:evenHBand="0" w:firstRowFirstColumn="0" w:firstRowLastColumn="0" w:lastRowFirstColumn="0" w:lastRowLastColumn="0"/>
            </w:pPr>
            <w:r w:rsidRPr="00841256">
              <w:t>-49 (-3.1%)</w:t>
            </w:r>
          </w:p>
        </w:tc>
        <w:tc>
          <w:tcPr>
            <w:tcW w:w="1170" w:type="dxa"/>
            <w:vAlign w:val="bottom"/>
          </w:tcPr>
          <w:p w:rsidR="00841256" w:rsidRPr="00841256" w:rsidRDefault="00841256" w:rsidP="00841256">
            <w:pPr>
              <w:cnfStyle w:val="000000000000" w:firstRow="0" w:lastRow="0" w:firstColumn="0" w:lastColumn="0" w:oddVBand="0" w:evenVBand="0" w:oddHBand="0" w:evenHBand="0" w:firstRowFirstColumn="0" w:firstRowLastColumn="0" w:lastRowFirstColumn="0" w:lastRowLastColumn="0"/>
            </w:pPr>
            <w:r w:rsidRPr="00841256">
              <w:t>2 (0.1%)</w:t>
            </w:r>
          </w:p>
        </w:tc>
        <w:tc>
          <w:tcPr>
            <w:tcW w:w="1171" w:type="dxa"/>
            <w:vAlign w:val="bottom"/>
          </w:tcPr>
          <w:p w:rsidR="00841256" w:rsidRPr="00841256" w:rsidRDefault="00841256" w:rsidP="00841256">
            <w:pPr>
              <w:cnfStyle w:val="000000000000" w:firstRow="0" w:lastRow="0" w:firstColumn="0" w:lastColumn="0" w:oddVBand="0" w:evenVBand="0" w:oddHBand="0" w:evenHBand="0" w:firstRowFirstColumn="0" w:firstRowLastColumn="0" w:lastRowFirstColumn="0" w:lastRowLastColumn="0"/>
            </w:pPr>
            <w:r w:rsidRPr="00841256">
              <w:t>2 (0.1%)</w:t>
            </w:r>
          </w:p>
        </w:tc>
        <w:tc>
          <w:tcPr>
            <w:tcW w:w="1041" w:type="dxa"/>
            <w:vAlign w:val="bottom"/>
          </w:tcPr>
          <w:p w:rsidR="00841256" w:rsidRPr="00841256" w:rsidRDefault="00841256" w:rsidP="00841256">
            <w:pPr>
              <w:cnfStyle w:val="000000000000" w:firstRow="0" w:lastRow="0" w:firstColumn="0" w:lastColumn="0" w:oddVBand="0" w:evenVBand="0" w:oddHBand="0" w:evenHBand="0" w:firstRowFirstColumn="0" w:firstRowLastColumn="0" w:lastRowFirstColumn="0" w:lastRowLastColumn="0"/>
            </w:pPr>
            <w:r w:rsidRPr="00841256">
              <w:t>3 (0.2%)</w:t>
            </w:r>
          </w:p>
        </w:tc>
        <w:tc>
          <w:tcPr>
            <w:tcW w:w="1041" w:type="dxa"/>
            <w:vAlign w:val="bottom"/>
          </w:tcPr>
          <w:p w:rsidR="00841256" w:rsidRPr="00841256" w:rsidRDefault="00841256" w:rsidP="00841256">
            <w:pPr>
              <w:cnfStyle w:val="000000000000" w:firstRow="0" w:lastRow="0" w:firstColumn="0" w:lastColumn="0" w:oddVBand="0" w:evenVBand="0" w:oddHBand="0" w:evenHBand="0" w:firstRowFirstColumn="0" w:firstRowLastColumn="0" w:lastRowFirstColumn="0" w:lastRowLastColumn="0"/>
            </w:pPr>
            <w:r w:rsidRPr="00841256">
              <w:t>2 (0.1%)</w:t>
            </w:r>
          </w:p>
        </w:tc>
      </w:tr>
      <w:tr w:rsidR="00841256" w:rsidRPr="00731756" w:rsidTr="009B6B07">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572" w:type="dxa"/>
          </w:tcPr>
          <w:p w:rsidR="00841256" w:rsidRPr="00841256" w:rsidRDefault="00841256" w:rsidP="00841256">
            <w:r w:rsidRPr="00841256">
              <w:t>Small business with 10 000 kWh consumption annual bill</w:t>
            </w:r>
          </w:p>
        </w:tc>
        <w:tc>
          <w:tcPr>
            <w:tcW w:w="973" w:type="dxa"/>
            <w:vAlign w:val="bottom"/>
          </w:tcPr>
          <w:p w:rsidR="00841256" w:rsidRPr="00841256" w:rsidRDefault="00841256" w:rsidP="00841256">
            <w:pPr>
              <w:cnfStyle w:val="000000010000" w:firstRow="0" w:lastRow="0" w:firstColumn="0" w:lastColumn="0" w:oddVBand="0" w:evenVBand="0" w:oddHBand="0" w:evenHBand="1" w:firstRowFirstColumn="0" w:firstRowLastColumn="0" w:lastRowFirstColumn="0" w:lastRowLastColumn="0"/>
            </w:pPr>
            <w:r w:rsidRPr="00841256">
              <w:t>3014</w:t>
            </w:r>
            <w:r w:rsidRPr="00841256">
              <w:rPr>
                <w:rStyle w:val="AERsuperscript"/>
              </w:rPr>
              <w:t>b</w:t>
            </w:r>
          </w:p>
        </w:tc>
        <w:tc>
          <w:tcPr>
            <w:tcW w:w="1109" w:type="dxa"/>
            <w:vAlign w:val="bottom"/>
          </w:tcPr>
          <w:p w:rsidR="00841256" w:rsidRPr="00841256" w:rsidRDefault="00841256" w:rsidP="00841256">
            <w:pPr>
              <w:cnfStyle w:val="000000010000" w:firstRow="0" w:lastRow="0" w:firstColumn="0" w:lastColumn="0" w:oddVBand="0" w:evenVBand="0" w:oddHBand="0" w:evenHBand="1" w:firstRowFirstColumn="0" w:firstRowLastColumn="0" w:lastRowFirstColumn="0" w:lastRowLastColumn="0"/>
            </w:pPr>
            <w:r w:rsidRPr="00841256">
              <w:t>2921</w:t>
            </w:r>
          </w:p>
        </w:tc>
        <w:tc>
          <w:tcPr>
            <w:tcW w:w="1170" w:type="dxa"/>
            <w:vAlign w:val="bottom"/>
          </w:tcPr>
          <w:p w:rsidR="00841256" w:rsidRPr="00841256" w:rsidRDefault="00841256" w:rsidP="00841256">
            <w:pPr>
              <w:cnfStyle w:val="000000010000" w:firstRow="0" w:lastRow="0" w:firstColumn="0" w:lastColumn="0" w:oddVBand="0" w:evenVBand="0" w:oddHBand="0" w:evenHBand="1" w:firstRowFirstColumn="0" w:firstRowLastColumn="0" w:lastRowFirstColumn="0" w:lastRowLastColumn="0"/>
            </w:pPr>
            <w:r w:rsidRPr="00841256">
              <w:t>2925</w:t>
            </w:r>
          </w:p>
        </w:tc>
        <w:tc>
          <w:tcPr>
            <w:tcW w:w="1171" w:type="dxa"/>
            <w:vAlign w:val="bottom"/>
          </w:tcPr>
          <w:p w:rsidR="00841256" w:rsidRPr="00841256" w:rsidRDefault="00841256" w:rsidP="00841256">
            <w:pPr>
              <w:cnfStyle w:val="000000010000" w:firstRow="0" w:lastRow="0" w:firstColumn="0" w:lastColumn="0" w:oddVBand="0" w:evenVBand="0" w:oddHBand="0" w:evenHBand="1" w:firstRowFirstColumn="0" w:firstRowLastColumn="0" w:lastRowFirstColumn="0" w:lastRowLastColumn="0"/>
            </w:pPr>
            <w:r w:rsidRPr="00841256">
              <w:t>2930</w:t>
            </w:r>
          </w:p>
        </w:tc>
        <w:tc>
          <w:tcPr>
            <w:tcW w:w="1041" w:type="dxa"/>
            <w:vAlign w:val="bottom"/>
          </w:tcPr>
          <w:p w:rsidR="00841256" w:rsidRPr="00841256" w:rsidRDefault="00841256" w:rsidP="00841256">
            <w:pPr>
              <w:cnfStyle w:val="000000010000" w:firstRow="0" w:lastRow="0" w:firstColumn="0" w:lastColumn="0" w:oddVBand="0" w:evenVBand="0" w:oddHBand="0" w:evenHBand="1" w:firstRowFirstColumn="0" w:firstRowLastColumn="0" w:lastRowFirstColumn="0" w:lastRowLastColumn="0"/>
            </w:pPr>
            <w:r w:rsidRPr="00841256">
              <w:t>2935</w:t>
            </w:r>
          </w:p>
        </w:tc>
        <w:tc>
          <w:tcPr>
            <w:tcW w:w="1041" w:type="dxa"/>
            <w:vAlign w:val="bottom"/>
          </w:tcPr>
          <w:p w:rsidR="00841256" w:rsidRPr="00841256" w:rsidRDefault="00841256" w:rsidP="00841256">
            <w:pPr>
              <w:cnfStyle w:val="000000010000" w:firstRow="0" w:lastRow="0" w:firstColumn="0" w:lastColumn="0" w:oddVBand="0" w:evenVBand="0" w:oddHBand="0" w:evenHBand="1" w:firstRowFirstColumn="0" w:firstRowLastColumn="0" w:lastRowFirstColumn="0" w:lastRowLastColumn="0"/>
            </w:pPr>
            <w:r w:rsidRPr="00841256">
              <w:t>2939</w:t>
            </w:r>
          </w:p>
        </w:tc>
      </w:tr>
      <w:tr w:rsidR="00841256" w:rsidRPr="00731756" w:rsidTr="009B6B07">
        <w:trPr>
          <w:trHeight w:val="392"/>
        </w:trPr>
        <w:tc>
          <w:tcPr>
            <w:cnfStyle w:val="001000000000" w:firstRow="0" w:lastRow="0" w:firstColumn="1" w:lastColumn="0" w:oddVBand="0" w:evenVBand="0" w:oddHBand="0" w:evenHBand="0" w:firstRowFirstColumn="0" w:firstRowLastColumn="0" w:lastRowFirstColumn="0" w:lastRowLastColumn="0"/>
            <w:tcW w:w="2572" w:type="dxa"/>
          </w:tcPr>
          <w:p w:rsidR="00841256" w:rsidRPr="00841256" w:rsidRDefault="00841256" w:rsidP="00841256">
            <w:r w:rsidRPr="00841256">
              <w:t xml:space="preserve">Annual </w:t>
            </w:r>
            <w:proofErr w:type="spellStart"/>
            <w:r w:rsidRPr="00841256">
              <w:t>change</w:t>
            </w:r>
            <w:r>
              <w:rPr>
                <w:rStyle w:val="AERsuperscript"/>
              </w:rPr>
              <w:t>c</w:t>
            </w:r>
            <w:proofErr w:type="spellEnd"/>
          </w:p>
        </w:tc>
        <w:tc>
          <w:tcPr>
            <w:tcW w:w="973" w:type="dxa"/>
            <w:vAlign w:val="bottom"/>
          </w:tcPr>
          <w:p w:rsidR="00841256" w:rsidRPr="00841256" w:rsidRDefault="00841256" w:rsidP="00841256">
            <w:pPr>
              <w:cnfStyle w:val="000000000000" w:firstRow="0" w:lastRow="0" w:firstColumn="0" w:lastColumn="0" w:oddVBand="0" w:evenVBand="0" w:oddHBand="0" w:evenHBand="0" w:firstRowFirstColumn="0" w:firstRowLastColumn="0" w:lastRowFirstColumn="0" w:lastRowLastColumn="0"/>
            </w:pPr>
            <w:r w:rsidRPr="00841256">
              <w:t> </w:t>
            </w:r>
          </w:p>
        </w:tc>
        <w:tc>
          <w:tcPr>
            <w:tcW w:w="1109" w:type="dxa"/>
            <w:vAlign w:val="bottom"/>
          </w:tcPr>
          <w:p w:rsidR="00841256" w:rsidRPr="00841256" w:rsidRDefault="00841256" w:rsidP="00841256">
            <w:pPr>
              <w:cnfStyle w:val="000000000000" w:firstRow="0" w:lastRow="0" w:firstColumn="0" w:lastColumn="0" w:oddVBand="0" w:evenVBand="0" w:oddHBand="0" w:evenHBand="0" w:firstRowFirstColumn="0" w:firstRowLastColumn="0" w:lastRowFirstColumn="0" w:lastRowLastColumn="0"/>
            </w:pPr>
            <w:r w:rsidRPr="00841256">
              <w:t>-93 (-3.1%)</w:t>
            </w:r>
          </w:p>
        </w:tc>
        <w:tc>
          <w:tcPr>
            <w:tcW w:w="1170" w:type="dxa"/>
            <w:vAlign w:val="bottom"/>
          </w:tcPr>
          <w:p w:rsidR="00841256" w:rsidRPr="00841256" w:rsidRDefault="00841256" w:rsidP="00841256">
            <w:pPr>
              <w:cnfStyle w:val="000000000000" w:firstRow="0" w:lastRow="0" w:firstColumn="0" w:lastColumn="0" w:oddVBand="0" w:evenVBand="0" w:oddHBand="0" w:evenHBand="0" w:firstRowFirstColumn="0" w:firstRowLastColumn="0" w:lastRowFirstColumn="0" w:lastRowLastColumn="0"/>
            </w:pPr>
            <w:r w:rsidRPr="00841256">
              <w:t>4 (0.1%)</w:t>
            </w:r>
          </w:p>
        </w:tc>
        <w:tc>
          <w:tcPr>
            <w:tcW w:w="1171" w:type="dxa"/>
            <w:vAlign w:val="bottom"/>
          </w:tcPr>
          <w:p w:rsidR="00841256" w:rsidRPr="00841256" w:rsidRDefault="00841256" w:rsidP="00841256">
            <w:pPr>
              <w:cnfStyle w:val="000000000000" w:firstRow="0" w:lastRow="0" w:firstColumn="0" w:lastColumn="0" w:oddVBand="0" w:evenVBand="0" w:oddHBand="0" w:evenHBand="0" w:firstRowFirstColumn="0" w:firstRowLastColumn="0" w:lastRowFirstColumn="0" w:lastRowLastColumn="0"/>
            </w:pPr>
            <w:r w:rsidRPr="00841256">
              <w:t>4 (0.1%)</w:t>
            </w:r>
          </w:p>
        </w:tc>
        <w:tc>
          <w:tcPr>
            <w:tcW w:w="1041" w:type="dxa"/>
            <w:vAlign w:val="bottom"/>
          </w:tcPr>
          <w:p w:rsidR="00841256" w:rsidRPr="00841256" w:rsidRDefault="00841256" w:rsidP="00841256">
            <w:pPr>
              <w:cnfStyle w:val="000000000000" w:firstRow="0" w:lastRow="0" w:firstColumn="0" w:lastColumn="0" w:oddVBand="0" w:evenVBand="0" w:oddHBand="0" w:evenHBand="0" w:firstRowFirstColumn="0" w:firstRowLastColumn="0" w:lastRowFirstColumn="0" w:lastRowLastColumn="0"/>
            </w:pPr>
            <w:r w:rsidRPr="00841256">
              <w:t>6 (0.2%)</w:t>
            </w:r>
          </w:p>
        </w:tc>
        <w:tc>
          <w:tcPr>
            <w:tcW w:w="1041" w:type="dxa"/>
            <w:vAlign w:val="bottom"/>
          </w:tcPr>
          <w:p w:rsidR="00841256" w:rsidRPr="00841256" w:rsidRDefault="00841256" w:rsidP="00841256">
            <w:pPr>
              <w:cnfStyle w:val="000000000000" w:firstRow="0" w:lastRow="0" w:firstColumn="0" w:lastColumn="0" w:oddVBand="0" w:evenVBand="0" w:oddHBand="0" w:evenHBand="0" w:firstRowFirstColumn="0" w:firstRowLastColumn="0" w:lastRowFirstColumn="0" w:lastRowLastColumn="0"/>
            </w:pPr>
            <w:r w:rsidRPr="00841256">
              <w:t>4 (0.1%)</w:t>
            </w:r>
          </w:p>
        </w:tc>
      </w:tr>
      <w:tr w:rsidR="00841256" w:rsidRPr="00731756" w:rsidTr="009B6B07">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572" w:type="dxa"/>
          </w:tcPr>
          <w:p w:rsidR="00841256" w:rsidRPr="00841256" w:rsidRDefault="00841256" w:rsidP="00841256">
            <w:pPr>
              <w:rPr>
                <w:rStyle w:val="Strong"/>
              </w:rPr>
            </w:pPr>
            <w:r w:rsidRPr="00841256">
              <w:t>Small business with 20 000 kWh consumption annual bill</w:t>
            </w:r>
          </w:p>
        </w:tc>
        <w:tc>
          <w:tcPr>
            <w:tcW w:w="973" w:type="dxa"/>
            <w:vAlign w:val="bottom"/>
          </w:tcPr>
          <w:p w:rsidR="00841256" w:rsidRPr="00841256" w:rsidRDefault="00841256" w:rsidP="00841256">
            <w:pPr>
              <w:cnfStyle w:val="000000010000" w:firstRow="0" w:lastRow="0" w:firstColumn="0" w:lastColumn="0" w:oddVBand="0" w:evenVBand="0" w:oddHBand="0" w:evenHBand="1" w:firstRowFirstColumn="0" w:firstRowLastColumn="0" w:lastRowFirstColumn="0" w:lastRowLastColumn="0"/>
            </w:pPr>
            <w:r w:rsidRPr="00841256">
              <w:t>5249</w:t>
            </w:r>
            <w:r w:rsidRPr="00841256">
              <w:rPr>
                <w:rStyle w:val="AERsuperscript"/>
              </w:rPr>
              <w:t>b</w:t>
            </w:r>
          </w:p>
        </w:tc>
        <w:tc>
          <w:tcPr>
            <w:tcW w:w="1109" w:type="dxa"/>
            <w:vAlign w:val="bottom"/>
          </w:tcPr>
          <w:p w:rsidR="00841256" w:rsidRPr="00841256" w:rsidRDefault="00841256" w:rsidP="00841256">
            <w:pPr>
              <w:cnfStyle w:val="000000010000" w:firstRow="0" w:lastRow="0" w:firstColumn="0" w:lastColumn="0" w:oddVBand="0" w:evenVBand="0" w:oddHBand="0" w:evenHBand="1" w:firstRowFirstColumn="0" w:firstRowLastColumn="0" w:lastRowFirstColumn="0" w:lastRowLastColumn="0"/>
            </w:pPr>
            <w:r w:rsidRPr="00841256">
              <w:t>5088</w:t>
            </w:r>
          </w:p>
        </w:tc>
        <w:tc>
          <w:tcPr>
            <w:tcW w:w="1170" w:type="dxa"/>
            <w:vAlign w:val="bottom"/>
          </w:tcPr>
          <w:p w:rsidR="00841256" w:rsidRPr="00841256" w:rsidRDefault="00841256" w:rsidP="00841256">
            <w:pPr>
              <w:cnfStyle w:val="000000010000" w:firstRow="0" w:lastRow="0" w:firstColumn="0" w:lastColumn="0" w:oddVBand="0" w:evenVBand="0" w:oddHBand="0" w:evenHBand="1" w:firstRowFirstColumn="0" w:firstRowLastColumn="0" w:lastRowFirstColumn="0" w:lastRowLastColumn="0"/>
            </w:pPr>
            <w:r w:rsidRPr="00841256">
              <w:t>5094</w:t>
            </w:r>
          </w:p>
        </w:tc>
        <w:tc>
          <w:tcPr>
            <w:tcW w:w="1171" w:type="dxa"/>
            <w:vAlign w:val="bottom"/>
          </w:tcPr>
          <w:p w:rsidR="00841256" w:rsidRPr="00841256" w:rsidRDefault="00841256" w:rsidP="00841256">
            <w:pPr>
              <w:cnfStyle w:val="000000010000" w:firstRow="0" w:lastRow="0" w:firstColumn="0" w:lastColumn="0" w:oddVBand="0" w:evenVBand="0" w:oddHBand="0" w:evenHBand="1" w:firstRowFirstColumn="0" w:firstRowLastColumn="0" w:lastRowFirstColumn="0" w:lastRowLastColumn="0"/>
            </w:pPr>
            <w:r w:rsidRPr="00841256">
              <w:t>5102</w:t>
            </w:r>
          </w:p>
        </w:tc>
        <w:tc>
          <w:tcPr>
            <w:tcW w:w="1041" w:type="dxa"/>
            <w:vAlign w:val="bottom"/>
          </w:tcPr>
          <w:p w:rsidR="00841256" w:rsidRPr="00841256" w:rsidRDefault="00841256" w:rsidP="00841256">
            <w:pPr>
              <w:cnfStyle w:val="000000010000" w:firstRow="0" w:lastRow="0" w:firstColumn="0" w:lastColumn="0" w:oddVBand="0" w:evenVBand="0" w:oddHBand="0" w:evenHBand="1" w:firstRowFirstColumn="0" w:firstRowLastColumn="0" w:lastRowFirstColumn="0" w:lastRowLastColumn="0"/>
            </w:pPr>
            <w:r w:rsidRPr="00841256">
              <w:t>5111</w:t>
            </w:r>
          </w:p>
        </w:tc>
        <w:tc>
          <w:tcPr>
            <w:tcW w:w="1041" w:type="dxa"/>
            <w:vAlign w:val="bottom"/>
          </w:tcPr>
          <w:p w:rsidR="00841256" w:rsidRPr="00841256" w:rsidRDefault="00841256" w:rsidP="00841256">
            <w:pPr>
              <w:cnfStyle w:val="000000010000" w:firstRow="0" w:lastRow="0" w:firstColumn="0" w:lastColumn="0" w:oddVBand="0" w:evenVBand="0" w:oddHBand="0" w:evenHBand="1" w:firstRowFirstColumn="0" w:firstRowLastColumn="0" w:lastRowFirstColumn="0" w:lastRowLastColumn="0"/>
            </w:pPr>
            <w:r w:rsidRPr="00841256">
              <w:t>5119</w:t>
            </w:r>
          </w:p>
        </w:tc>
      </w:tr>
      <w:tr w:rsidR="00841256" w:rsidRPr="00731756" w:rsidTr="009B6B07">
        <w:trPr>
          <w:trHeight w:val="392"/>
        </w:trPr>
        <w:tc>
          <w:tcPr>
            <w:cnfStyle w:val="001000000000" w:firstRow="0" w:lastRow="0" w:firstColumn="1" w:lastColumn="0" w:oddVBand="0" w:evenVBand="0" w:oddHBand="0" w:evenHBand="0" w:firstRowFirstColumn="0" w:firstRowLastColumn="0" w:lastRowFirstColumn="0" w:lastRowLastColumn="0"/>
            <w:tcW w:w="2572" w:type="dxa"/>
          </w:tcPr>
          <w:p w:rsidR="00841256" w:rsidRPr="00841256" w:rsidRDefault="00841256" w:rsidP="00841256">
            <w:pPr>
              <w:rPr>
                <w:rStyle w:val="Strong"/>
              </w:rPr>
            </w:pPr>
            <w:r w:rsidRPr="00841256">
              <w:t xml:space="preserve">Annual </w:t>
            </w:r>
            <w:proofErr w:type="spellStart"/>
            <w:r w:rsidRPr="00841256">
              <w:t>change</w:t>
            </w:r>
            <w:r w:rsidRPr="00841256">
              <w:rPr>
                <w:rStyle w:val="AERsuperscript"/>
              </w:rPr>
              <w:t>c</w:t>
            </w:r>
            <w:proofErr w:type="spellEnd"/>
          </w:p>
        </w:tc>
        <w:tc>
          <w:tcPr>
            <w:tcW w:w="973" w:type="dxa"/>
            <w:vAlign w:val="bottom"/>
          </w:tcPr>
          <w:p w:rsidR="00841256" w:rsidRPr="00841256" w:rsidRDefault="00841256" w:rsidP="00841256">
            <w:pPr>
              <w:cnfStyle w:val="000000000000" w:firstRow="0" w:lastRow="0" w:firstColumn="0" w:lastColumn="0" w:oddVBand="0" w:evenVBand="0" w:oddHBand="0" w:evenHBand="0" w:firstRowFirstColumn="0" w:firstRowLastColumn="0" w:lastRowFirstColumn="0" w:lastRowLastColumn="0"/>
            </w:pPr>
            <w:r w:rsidRPr="00841256">
              <w:t> </w:t>
            </w:r>
          </w:p>
        </w:tc>
        <w:tc>
          <w:tcPr>
            <w:tcW w:w="1109" w:type="dxa"/>
            <w:vAlign w:val="bottom"/>
          </w:tcPr>
          <w:p w:rsidR="00841256" w:rsidRPr="00841256" w:rsidRDefault="00841256" w:rsidP="00841256">
            <w:pPr>
              <w:cnfStyle w:val="000000000000" w:firstRow="0" w:lastRow="0" w:firstColumn="0" w:lastColumn="0" w:oddVBand="0" w:evenVBand="0" w:oddHBand="0" w:evenHBand="0" w:firstRowFirstColumn="0" w:firstRowLastColumn="0" w:lastRowFirstColumn="0" w:lastRowLastColumn="0"/>
            </w:pPr>
            <w:r w:rsidRPr="00841256">
              <w:t>-161 (-3.1%)</w:t>
            </w:r>
          </w:p>
        </w:tc>
        <w:tc>
          <w:tcPr>
            <w:tcW w:w="1170" w:type="dxa"/>
            <w:vAlign w:val="bottom"/>
          </w:tcPr>
          <w:p w:rsidR="00841256" w:rsidRPr="00841256" w:rsidRDefault="00841256" w:rsidP="00841256">
            <w:pPr>
              <w:cnfStyle w:val="000000000000" w:firstRow="0" w:lastRow="0" w:firstColumn="0" w:lastColumn="0" w:oddVBand="0" w:evenVBand="0" w:oddHBand="0" w:evenHBand="0" w:firstRowFirstColumn="0" w:firstRowLastColumn="0" w:lastRowFirstColumn="0" w:lastRowLastColumn="0"/>
            </w:pPr>
            <w:r w:rsidRPr="00841256">
              <w:t>7 (0.1%)</w:t>
            </w:r>
          </w:p>
        </w:tc>
        <w:tc>
          <w:tcPr>
            <w:tcW w:w="1171" w:type="dxa"/>
            <w:vAlign w:val="bottom"/>
          </w:tcPr>
          <w:p w:rsidR="00841256" w:rsidRPr="00841256" w:rsidRDefault="00841256" w:rsidP="00841256">
            <w:pPr>
              <w:cnfStyle w:val="000000000000" w:firstRow="0" w:lastRow="0" w:firstColumn="0" w:lastColumn="0" w:oddVBand="0" w:evenVBand="0" w:oddHBand="0" w:evenHBand="0" w:firstRowFirstColumn="0" w:firstRowLastColumn="0" w:lastRowFirstColumn="0" w:lastRowLastColumn="0"/>
            </w:pPr>
            <w:r w:rsidRPr="00841256">
              <w:t>7 (0.1%)</w:t>
            </w:r>
          </w:p>
        </w:tc>
        <w:tc>
          <w:tcPr>
            <w:tcW w:w="1041" w:type="dxa"/>
            <w:vAlign w:val="bottom"/>
          </w:tcPr>
          <w:p w:rsidR="00841256" w:rsidRPr="00841256" w:rsidRDefault="00841256" w:rsidP="00841256">
            <w:pPr>
              <w:cnfStyle w:val="000000000000" w:firstRow="0" w:lastRow="0" w:firstColumn="0" w:lastColumn="0" w:oddVBand="0" w:evenVBand="0" w:oddHBand="0" w:evenHBand="0" w:firstRowFirstColumn="0" w:firstRowLastColumn="0" w:lastRowFirstColumn="0" w:lastRowLastColumn="0"/>
            </w:pPr>
            <w:r w:rsidRPr="00841256">
              <w:t>10 (0.2%)</w:t>
            </w:r>
          </w:p>
        </w:tc>
        <w:tc>
          <w:tcPr>
            <w:tcW w:w="1041" w:type="dxa"/>
            <w:vAlign w:val="bottom"/>
          </w:tcPr>
          <w:p w:rsidR="00841256" w:rsidRPr="00841256" w:rsidRDefault="00841256" w:rsidP="00841256">
            <w:pPr>
              <w:cnfStyle w:val="000000000000" w:firstRow="0" w:lastRow="0" w:firstColumn="0" w:lastColumn="0" w:oddVBand="0" w:evenVBand="0" w:oddHBand="0" w:evenHBand="0" w:firstRowFirstColumn="0" w:firstRowLastColumn="0" w:lastRowFirstColumn="0" w:lastRowLastColumn="0"/>
            </w:pPr>
            <w:r w:rsidRPr="00841256">
              <w:t>7 (0.1%)</w:t>
            </w:r>
          </w:p>
        </w:tc>
      </w:tr>
      <w:tr w:rsidR="009F1D1C" w:rsidRPr="00731756" w:rsidTr="0097300F">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572" w:type="dxa"/>
          </w:tcPr>
          <w:p w:rsidR="009F1D1C" w:rsidRPr="009F1D1C" w:rsidRDefault="009F1D1C" w:rsidP="009F1D1C">
            <w:pPr>
              <w:rPr>
                <w:rStyle w:val="Strong"/>
              </w:rPr>
            </w:pPr>
            <w:r>
              <w:rPr>
                <w:rStyle w:val="Strong"/>
              </w:rPr>
              <w:t>Powerlink</w:t>
            </w:r>
            <w:r w:rsidRPr="009F1D1C">
              <w:rPr>
                <w:rStyle w:val="Strong"/>
              </w:rPr>
              <w:t xml:space="preserve"> proposal</w:t>
            </w:r>
          </w:p>
        </w:tc>
        <w:tc>
          <w:tcPr>
            <w:tcW w:w="973" w:type="dxa"/>
            <w:vAlign w:val="bottom"/>
          </w:tcPr>
          <w:p w:rsidR="009F1D1C" w:rsidRPr="009F1D1C" w:rsidRDefault="009F1D1C" w:rsidP="009F1D1C">
            <w:pPr>
              <w:cnfStyle w:val="000000010000" w:firstRow="0" w:lastRow="0" w:firstColumn="0" w:lastColumn="0" w:oddVBand="0" w:evenVBand="0" w:oddHBand="0" w:evenHBand="1" w:firstRowFirstColumn="0" w:firstRowLastColumn="0" w:lastRowFirstColumn="0" w:lastRowLastColumn="0"/>
            </w:pPr>
            <w:r w:rsidRPr="009F1D1C">
              <w:t> </w:t>
            </w:r>
          </w:p>
        </w:tc>
        <w:tc>
          <w:tcPr>
            <w:tcW w:w="1109" w:type="dxa"/>
            <w:vAlign w:val="bottom"/>
          </w:tcPr>
          <w:p w:rsidR="009F1D1C" w:rsidRPr="009F1D1C" w:rsidRDefault="009F1D1C" w:rsidP="009F1D1C">
            <w:pPr>
              <w:cnfStyle w:val="000000010000" w:firstRow="0" w:lastRow="0" w:firstColumn="0" w:lastColumn="0" w:oddVBand="0" w:evenVBand="0" w:oddHBand="0" w:evenHBand="1" w:firstRowFirstColumn="0" w:firstRowLastColumn="0" w:lastRowFirstColumn="0" w:lastRowLastColumn="0"/>
            </w:pPr>
            <w:r w:rsidRPr="009F1D1C">
              <w:t> </w:t>
            </w:r>
          </w:p>
        </w:tc>
        <w:tc>
          <w:tcPr>
            <w:tcW w:w="1170" w:type="dxa"/>
            <w:vAlign w:val="bottom"/>
          </w:tcPr>
          <w:p w:rsidR="009F1D1C" w:rsidRPr="009F1D1C" w:rsidRDefault="009F1D1C" w:rsidP="009F1D1C">
            <w:pPr>
              <w:cnfStyle w:val="000000010000" w:firstRow="0" w:lastRow="0" w:firstColumn="0" w:lastColumn="0" w:oddVBand="0" w:evenVBand="0" w:oddHBand="0" w:evenHBand="1" w:firstRowFirstColumn="0" w:firstRowLastColumn="0" w:lastRowFirstColumn="0" w:lastRowLastColumn="0"/>
            </w:pPr>
            <w:r w:rsidRPr="009F1D1C">
              <w:t> </w:t>
            </w:r>
          </w:p>
        </w:tc>
        <w:tc>
          <w:tcPr>
            <w:tcW w:w="1171" w:type="dxa"/>
            <w:vAlign w:val="bottom"/>
          </w:tcPr>
          <w:p w:rsidR="009F1D1C" w:rsidRPr="009F1D1C" w:rsidRDefault="009F1D1C" w:rsidP="009F1D1C">
            <w:pPr>
              <w:cnfStyle w:val="000000010000" w:firstRow="0" w:lastRow="0" w:firstColumn="0" w:lastColumn="0" w:oddVBand="0" w:evenVBand="0" w:oddHBand="0" w:evenHBand="1" w:firstRowFirstColumn="0" w:firstRowLastColumn="0" w:lastRowFirstColumn="0" w:lastRowLastColumn="0"/>
            </w:pPr>
            <w:r w:rsidRPr="009F1D1C">
              <w:t> </w:t>
            </w:r>
          </w:p>
        </w:tc>
        <w:tc>
          <w:tcPr>
            <w:tcW w:w="1041" w:type="dxa"/>
            <w:vAlign w:val="bottom"/>
          </w:tcPr>
          <w:p w:rsidR="009F1D1C" w:rsidRPr="009F1D1C" w:rsidRDefault="009F1D1C" w:rsidP="009F1D1C">
            <w:pPr>
              <w:cnfStyle w:val="000000010000" w:firstRow="0" w:lastRow="0" w:firstColumn="0" w:lastColumn="0" w:oddVBand="0" w:evenVBand="0" w:oddHBand="0" w:evenHBand="1" w:firstRowFirstColumn="0" w:firstRowLastColumn="0" w:lastRowFirstColumn="0" w:lastRowLastColumn="0"/>
            </w:pPr>
            <w:r w:rsidRPr="009F1D1C">
              <w:t> </w:t>
            </w:r>
          </w:p>
        </w:tc>
        <w:tc>
          <w:tcPr>
            <w:tcW w:w="1041" w:type="dxa"/>
            <w:vAlign w:val="bottom"/>
          </w:tcPr>
          <w:p w:rsidR="009F1D1C" w:rsidRPr="009F1D1C" w:rsidRDefault="009F1D1C" w:rsidP="009F1D1C">
            <w:pPr>
              <w:cnfStyle w:val="000000010000" w:firstRow="0" w:lastRow="0" w:firstColumn="0" w:lastColumn="0" w:oddVBand="0" w:evenVBand="0" w:oddHBand="0" w:evenHBand="1" w:firstRowFirstColumn="0" w:firstRowLastColumn="0" w:lastRowFirstColumn="0" w:lastRowLastColumn="0"/>
            </w:pPr>
            <w:r w:rsidRPr="009F1D1C">
              <w:t> </w:t>
            </w:r>
          </w:p>
        </w:tc>
      </w:tr>
      <w:tr w:rsidR="00841256" w:rsidRPr="00731756" w:rsidTr="0097300F">
        <w:trPr>
          <w:trHeight w:val="392"/>
        </w:trPr>
        <w:tc>
          <w:tcPr>
            <w:cnfStyle w:val="001000000000" w:firstRow="0" w:lastRow="0" w:firstColumn="1" w:lastColumn="0" w:oddVBand="0" w:evenVBand="0" w:oddHBand="0" w:evenHBand="0" w:firstRowFirstColumn="0" w:firstRowLastColumn="0" w:lastRowFirstColumn="0" w:lastRowLastColumn="0"/>
            <w:tcW w:w="2572" w:type="dxa"/>
          </w:tcPr>
          <w:p w:rsidR="00841256" w:rsidRPr="00841256" w:rsidRDefault="00841256" w:rsidP="00841256">
            <w:r w:rsidRPr="00841256">
              <w:t>Residential annual bill</w:t>
            </w:r>
          </w:p>
        </w:tc>
        <w:tc>
          <w:tcPr>
            <w:tcW w:w="973" w:type="dxa"/>
            <w:vAlign w:val="bottom"/>
          </w:tcPr>
          <w:p w:rsidR="00841256" w:rsidRPr="00841256" w:rsidRDefault="00841256" w:rsidP="00841256">
            <w:pPr>
              <w:cnfStyle w:val="000000000000" w:firstRow="0" w:lastRow="0" w:firstColumn="0" w:lastColumn="0" w:oddVBand="0" w:evenVBand="0" w:oddHBand="0" w:evenHBand="0" w:firstRowFirstColumn="0" w:firstRowLastColumn="0" w:lastRowFirstColumn="0" w:lastRowLastColumn="0"/>
            </w:pPr>
            <w:r w:rsidRPr="00841256">
              <w:t>1611</w:t>
            </w:r>
            <w:r w:rsidRPr="00841256">
              <w:rPr>
                <w:rStyle w:val="AERsuperscript"/>
              </w:rPr>
              <w:t>a</w:t>
            </w:r>
          </w:p>
        </w:tc>
        <w:tc>
          <w:tcPr>
            <w:tcW w:w="1109" w:type="dxa"/>
            <w:vAlign w:val="bottom"/>
          </w:tcPr>
          <w:p w:rsidR="00841256" w:rsidRPr="00841256" w:rsidRDefault="00841256" w:rsidP="00841256">
            <w:pPr>
              <w:cnfStyle w:val="000000000000" w:firstRow="0" w:lastRow="0" w:firstColumn="0" w:lastColumn="0" w:oddVBand="0" w:evenVBand="0" w:oddHBand="0" w:evenHBand="0" w:firstRowFirstColumn="0" w:firstRowLastColumn="0" w:lastRowFirstColumn="0" w:lastRowLastColumn="0"/>
            </w:pPr>
            <w:r w:rsidRPr="00841256">
              <w:t>1570</w:t>
            </w:r>
          </w:p>
        </w:tc>
        <w:tc>
          <w:tcPr>
            <w:tcW w:w="1170" w:type="dxa"/>
            <w:vAlign w:val="bottom"/>
          </w:tcPr>
          <w:p w:rsidR="00841256" w:rsidRPr="00841256" w:rsidRDefault="00841256" w:rsidP="00841256">
            <w:pPr>
              <w:cnfStyle w:val="000000000000" w:firstRow="0" w:lastRow="0" w:firstColumn="0" w:lastColumn="0" w:oddVBand="0" w:evenVBand="0" w:oddHBand="0" w:evenHBand="0" w:firstRowFirstColumn="0" w:firstRowLastColumn="0" w:lastRowFirstColumn="0" w:lastRowLastColumn="0"/>
            </w:pPr>
            <w:r w:rsidRPr="00841256">
              <w:t>1572</w:t>
            </w:r>
          </w:p>
        </w:tc>
        <w:tc>
          <w:tcPr>
            <w:tcW w:w="1171" w:type="dxa"/>
            <w:vAlign w:val="bottom"/>
          </w:tcPr>
          <w:p w:rsidR="00841256" w:rsidRPr="00841256" w:rsidRDefault="00841256" w:rsidP="00841256">
            <w:pPr>
              <w:cnfStyle w:val="000000000000" w:firstRow="0" w:lastRow="0" w:firstColumn="0" w:lastColumn="0" w:oddVBand="0" w:evenVBand="0" w:oddHBand="0" w:evenHBand="0" w:firstRowFirstColumn="0" w:firstRowLastColumn="0" w:lastRowFirstColumn="0" w:lastRowLastColumn="0"/>
            </w:pPr>
            <w:r w:rsidRPr="00841256">
              <w:t>1574</w:t>
            </w:r>
          </w:p>
        </w:tc>
        <w:tc>
          <w:tcPr>
            <w:tcW w:w="1041" w:type="dxa"/>
            <w:vAlign w:val="bottom"/>
          </w:tcPr>
          <w:p w:rsidR="00841256" w:rsidRPr="00841256" w:rsidRDefault="00841256" w:rsidP="00841256">
            <w:pPr>
              <w:cnfStyle w:val="000000000000" w:firstRow="0" w:lastRow="0" w:firstColumn="0" w:lastColumn="0" w:oddVBand="0" w:evenVBand="0" w:oddHBand="0" w:evenHBand="0" w:firstRowFirstColumn="0" w:firstRowLastColumn="0" w:lastRowFirstColumn="0" w:lastRowLastColumn="0"/>
            </w:pPr>
            <w:r w:rsidRPr="00841256">
              <w:t>1578</w:t>
            </w:r>
          </w:p>
        </w:tc>
        <w:tc>
          <w:tcPr>
            <w:tcW w:w="1041" w:type="dxa"/>
            <w:vAlign w:val="bottom"/>
          </w:tcPr>
          <w:p w:rsidR="00841256" w:rsidRPr="00841256" w:rsidRDefault="00841256" w:rsidP="00841256">
            <w:pPr>
              <w:cnfStyle w:val="000000000000" w:firstRow="0" w:lastRow="0" w:firstColumn="0" w:lastColumn="0" w:oddVBand="0" w:evenVBand="0" w:oddHBand="0" w:evenHBand="0" w:firstRowFirstColumn="0" w:firstRowLastColumn="0" w:lastRowFirstColumn="0" w:lastRowLastColumn="0"/>
            </w:pPr>
            <w:r w:rsidRPr="00841256">
              <w:t>1580</w:t>
            </w:r>
          </w:p>
        </w:tc>
      </w:tr>
      <w:tr w:rsidR="00841256" w:rsidRPr="00731756" w:rsidTr="0097300F">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572" w:type="dxa"/>
          </w:tcPr>
          <w:p w:rsidR="00841256" w:rsidRPr="00841256" w:rsidRDefault="00841256" w:rsidP="00841256">
            <w:r w:rsidRPr="00841256">
              <w:t xml:space="preserve">Annual </w:t>
            </w:r>
            <w:proofErr w:type="spellStart"/>
            <w:r w:rsidRPr="00841256">
              <w:t>change</w:t>
            </w:r>
            <w:r w:rsidRPr="00841256">
              <w:rPr>
                <w:rStyle w:val="AERsuperscript"/>
              </w:rPr>
              <w:t>c</w:t>
            </w:r>
            <w:proofErr w:type="spellEnd"/>
          </w:p>
        </w:tc>
        <w:tc>
          <w:tcPr>
            <w:tcW w:w="973" w:type="dxa"/>
            <w:vAlign w:val="bottom"/>
          </w:tcPr>
          <w:p w:rsidR="00841256" w:rsidRPr="00841256" w:rsidRDefault="00841256" w:rsidP="00841256">
            <w:pPr>
              <w:cnfStyle w:val="000000010000" w:firstRow="0" w:lastRow="0" w:firstColumn="0" w:lastColumn="0" w:oddVBand="0" w:evenVBand="0" w:oddHBand="0" w:evenHBand="1" w:firstRowFirstColumn="0" w:firstRowLastColumn="0" w:lastRowFirstColumn="0" w:lastRowLastColumn="0"/>
            </w:pPr>
            <w:r w:rsidRPr="00841256">
              <w:t> </w:t>
            </w:r>
          </w:p>
        </w:tc>
        <w:tc>
          <w:tcPr>
            <w:tcW w:w="1109" w:type="dxa"/>
            <w:vAlign w:val="bottom"/>
          </w:tcPr>
          <w:p w:rsidR="00841256" w:rsidRPr="00841256" w:rsidRDefault="00841256" w:rsidP="00841256">
            <w:pPr>
              <w:cnfStyle w:val="000000010000" w:firstRow="0" w:lastRow="0" w:firstColumn="0" w:lastColumn="0" w:oddVBand="0" w:evenVBand="0" w:oddHBand="0" w:evenHBand="1" w:firstRowFirstColumn="0" w:firstRowLastColumn="0" w:lastRowFirstColumn="0" w:lastRowLastColumn="0"/>
            </w:pPr>
            <w:r w:rsidRPr="00841256">
              <w:t>-41 (-2.6%)</w:t>
            </w:r>
          </w:p>
        </w:tc>
        <w:tc>
          <w:tcPr>
            <w:tcW w:w="1170" w:type="dxa"/>
            <w:vAlign w:val="bottom"/>
          </w:tcPr>
          <w:p w:rsidR="00841256" w:rsidRPr="00841256" w:rsidRDefault="00841256" w:rsidP="00841256">
            <w:pPr>
              <w:cnfStyle w:val="000000010000" w:firstRow="0" w:lastRow="0" w:firstColumn="0" w:lastColumn="0" w:oddVBand="0" w:evenVBand="0" w:oddHBand="0" w:evenHBand="1" w:firstRowFirstColumn="0" w:firstRowLastColumn="0" w:lastRowFirstColumn="0" w:lastRowLastColumn="0"/>
            </w:pPr>
            <w:r w:rsidRPr="00841256">
              <w:t>2 (0.1%)</w:t>
            </w:r>
          </w:p>
        </w:tc>
        <w:tc>
          <w:tcPr>
            <w:tcW w:w="1171" w:type="dxa"/>
            <w:vAlign w:val="bottom"/>
          </w:tcPr>
          <w:p w:rsidR="00841256" w:rsidRPr="00841256" w:rsidRDefault="00841256" w:rsidP="00841256">
            <w:pPr>
              <w:cnfStyle w:val="000000010000" w:firstRow="0" w:lastRow="0" w:firstColumn="0" w:lastColumn="0" w:oddVBand="0" w:evenVBand="0" w:oddHBand="0" w:evenHBand="1" w:firstRowFirstColumn="0" w:firstRowLastColumn="0" w:lastRowFirstColumn="0" w:lastRowLastColumn="0"/>
            </w:pPr>
            <w:r w:rsidRPr="00841256">
              <w:t>2 (0.2%)</w:t>
            </w:r>
          </w:p>
        </w:tc>
        <w:tc>
          <w:tcPr>
            <w:tcW w:w="1041" w:type="dxa"/>
            <w:vAlign w:val="bottom"/>
          </w:tcPr>
          <w:p w:rsidR="00841256" w:rsidRPr="00841256" w:rsidRDefault="00841256" w:rsidP="00841256">
            <w:pPr>
              <w:cnfStyle w:val="000000010000" w:firstRow="0" w:lastRow="0" w:firstColumn="0" w:lastColumn="0" w:oddVBand="0" w:evenVBand="0" w:oddHBand="0" w:evenHBand="1" w:firstRowFirstColumn="0" w:firstRowLastColumn="0" w:lastRowFirstColumn="0" w:lastRowLastColumn="0"/>
            </w:pPr>
            <w:r w:rsidRPr="00841256">
              <w:t>3 (0.2%)</w:t>
            </w:r>
          </w:p>
        </w:tc>
        <w:tc>
          <w:tcPr>
            <w:tcW w:w="1041" w:type="dxa"/>
            <w:vAlign w:val="bottom"/>
          </w:tcPr>
          <w:p w:rsidR="00841256" w:rsidRPr="00841256" w:rsidRDefault="00841256" w:rsidP="00841256">
            <w:pPr>
              <w:cnfStyle w:val="000000010000" w:firstRow="0" w:lastRow="0" w:firstColumn="0" w:lastColumn="0" w:oddVBand="0" w:evenVBand="0" w:oddHBand="0" w:evenHBand="1" w:firstRowFirstColumn="0" w:firstRowLastColumn="0" w:lastRowFirstColumn="0" w:lastRowLastColumn="0"/>
            </w:pPr>
            <w:r w:rsidRPr="00841256">
              <w:t>2 (0.1%)</w:t>
            </w:r>
          </w:p>
        </w:tc>
      </w:tr>
      <w:tr w:rsidR="00841256" w:rsidRPr="00731756" w:rsidTr="0097300F">
        <w:trPr>
          <w:trHeight w:val="392"/>
        </w:trPr>
        <w:tc>
          <w:tcPr>
            <w:cnfStyle w:val="001000000000" w:firstRow="0" w:lastRow="0" w:firstColumn="1" w:lastColumn="0" w:oddVBand="0" w:evenVBand="0" w:oddHBand="0" w:evenHBand="0" w:firstRowFirstColumn="0" w:firstRowLastColumn="0" w:lastRowFirstColumn="0" w:lastRowLastColumn="0"/>
            <w:tcW w:w="2572" w:type="dxa"/>
          </w:tcPr>
          <w:p w:rsidR="00841256" w:rsidRPr="00841256" w:rsidRDefault="00841256" w:rsidP="00841256">
            <w:r w:rsidRPr="00841256">
              <w:t>Small business with 10 000 kWh consumption annual bill</w:t>
            </w:r>
          </w:p>
        </w:tc>
        <w:tc>
          <w:tcPr>
            <w:tcW w:w="973" w:type="dxa"/>
            <w:vAlign w:val="bottom"/>
          </w:tcPr>
          <w:p w:rsidR="00841256" w:rsidRPr="00841256" w:rsidRDefault="00841256" w:rsidP="00841256">
            <w:pPr>
              <w:cnfStyle w:val="000000000000" w:firstRow="0" w:lastRow="0" w:firstColumn="0" w:lastColumn="0" w:oddVBand="0" w:evenVBand="0" w:oddHBand="0" w:evenHBand="0" w:firstRowFirstColumn="0" w:firstRowLastColumn="0" w:lastRowFirstColumn="0" w:lastRowLastColumn="0"/>
            </w:pPr>
            <w:r w:rsidRPr="00841256">
              <w:t>3014</w:t>
            </w:r>
            <w:r w:rsidRPr="00841256">
              <w:rPr>
                <w:rStyle w:val="AERsuperscript"/>
              </w:rPr>
              <w:t>b</w:t>
            </w:r>
          </w:p>
        </w:tc>
        <w:tc>
          <w:tcPr>
            <w:tcW w:w="1109" w:type="dxa"/>
            <w:vAlign w:val="bottom"/>
          </w:tcPr>
          <w:p w:rsidR="00841256" w:rsidRPr="00841256" w:rsidRDefault="00841256" w:rsidP="00841256">
            <w:pPr>
              <w:cnfStyle w:val="000000000000" w:firstRow="0" w:lastRow="0" w:firstColumn="0" w:lastColumn="0" w:oddVBand="0" w:evenVBand="0" w:oddHBand="0" w:evenHBand="0" w:firstRowFirstColumn="0" w:firstRowLastColumn="0" w:lastRowFirstColumn="0" w:lastRowLastColumn="0"/>
            </w:pPr>
            <w:r w:rsidRPr="00841256">
              <w:t>2936</w:t>
            </w:r>
          </w:p>
        </w:tc>
        <w:tc>
          <w:tcPr>
            <w:tcW w:w="1170" w:type="dxa"/>
            <w:vAlign w:val="bottom"/>
          </w:tcPr>
          <w:p w:rsidR="00841256" w:rsidRPr="00841256" w:rsidRDefault="00841256" w:rsidP="00841256">
            <w:pPr>
              <w:cnfStyle w:val="000000000000" w:firstRow="0" w:lastRow="0" w:firstColumn="0" w:lastColumn="0" w:oddVBand="0" w:evenVBand="0" w:oddHBand="0" w:evenHBand="0" w:firstRowFirstColumn="0" w:firstRowLastColumn="0" w:lastRowFirstColumn="0" w:lastRowLastColumn="0"/>
            </w:pPr>
            <w:r w:rsidRPr="00841256">
              <w:t>2941</w:t>
            </w:r>
          </w:p>
        </w:tc>
        <w:tc>
          <w:tcPr>
            <w:tcW w:w="1171" w:type="dxa"/>
            <w:vAlign w:val="bottom"/>
          </w:tcPr>
          <w:p w:rsidR="00841256" w:rsidRPr="00841256" w:rsidRDefault="00841256" w:rsidP="00841256">
            <w:pPr>
              <w:cnfStyle w:val="000000000000" w:firstRow="0" w:lastRow="0" w:firstColumn="0" w:lastColumn="0" w:oddVBand="0" w:evenVBand="0" w:oddHBand="0" w:evenHBand="0" w:firstRowFirstColumn="0" w:firstRowLastColumn="0" w:lastRowFirstColumn="0" w:lastRowLastColumn="0"/>
            </w:pPr>
            <w:r w:rsidRPr="00841256">
              <w:t>2945</w:t>
            </w:r>
          </w:p>
        </w:tc>
        <w:tc>
          <w:tcPr>
            <w:tcW w:w="1041" w:type="dxa"/>
            <w:vAlign w:val="bottom"/>
          </w:tcPr>
          <w:p w:rsidR="00841256" w:rsidRPr="00841256" w:rsidRDefault="00841256" w:rsidP="00841256">
            <w:pPr>
              <w:cnfStyle w:val="000000000000" w:firstRow="0" w:lastRow="0" w:firstColumn="0" w:lastColumn="0" w:oddVBand="0" w:evenVBand="0" w:oddHBand="0" w:evenHBand="0" w:firstRowFirstColumn="0" w:firstRowLastColumn="0" w:lastRowFirstColumn="0" w:lastRowLastColumn="0"/>
            </w:pPr>
            <w:r w:rsidRPr="00841256">
              <w:t>2951</w:t>
            </w:r>
          </w:p>
        </w:tc>
        <w:tc>
          <w:tcPr>
            <w:tcW w:w="1041" w:type="dxa"/>
            <w:vAlign w:val="bottom"/>
          </w:tcPr>
          <w:p w:rsidR="00841256" w:rsidRPr="00841256" w:rsidRDefault="00841256" w:rsidP="00841256">
            <w:pPr>
              <w:cnfStyle w:val="000000000000" w:firstRow="0" w:lastRow="0" w:firstColumn="0" w:lastColumn="0" w:oddVBand="0" w:evenVBand="0" w:oddHBand="0" w:evenHBand="0" w:firstRowFirstColumn="0" w:firstRowLastColumn="0" w:lastRowFirstColumn="0" w:lastRowLastColumn="0"/>
            </w:pPr>
            <w:r w:rsidRPr="00841256">
              <w:t>2956</w:t>
            </w:r>
          </w:p>
        </w:tc>
      </w:tr>
      <w:tr w:rsidR="00841256" w:rsidRPr="00731756" w:rsidTr="0097300F">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572" w:type="dxa"/>
          </w:tcPr>
          <w:p w:rsidR="00841256" w:rsidRPr="00841256" w:rsidRDefault="00841256" w:rsidP="00841256">
            <w:r w:rsidRPr="00841256">
              <w:t xml:space="preserve">Annual </w:t>
            </w:r>
            <w:proofErr w:type="spellStart"/>
            <w:r w:rsidRPr="00841256">
              <w:t>change</w:t>
            </w:r>
            <w:r w:rsidRPr="00841256">
              <w:rPr>
                <w:rStyle w:val="AERsuperscript"/>
              </w:rPr>
              <w:t>c</w:t>
            </w:r>
            <w:proofErr w:type="spellEnd"/>
          </w:p>
        </w:tc>
        <w:tc>
          <w:tcPr>
            <w:tcW w:w="973" w:type="dxa"/>
            <w:vAlign w:val="bottom"/>
          </w:tcPr>
          <w:p w:rsidR="00841256" w:rsidRPr="00841256" w:rsidRDefault="00841256" w:rsidP="00841256">
            <w:pPr>
              <w:cnfStyle w:val="000000010000" w:firstRow="0" w:lastRow="0" w:firstColumn="0" w:lastColumn="0" w:oddVBand="0" w:evenVBand="0" w:oddHBand="0" w:evenHBand="1" w:firstRowFirstColumn="0" w:firstRowLastColumn="0" w:lastRowFirstColumn="0" w:lastRowLastColumn="0"/>
            </w:pPr>
            <w:r w:rsidRPr="00841256">
              <w:t> </w:t>
            </w:r>
          </w:p>
        </w:tc>
        <w:tc>
          <w:tcPr>
            <w:tcW w:w="1109" w:type="dxa"/>
            <w:vAlign w:val="bottom"/>
          </w:tcPr>
          <w:p w:rsidR="00841256" w:rsidRPr="00841256" w:rsidRDefault="00841256" w:rsidP="00841256">
            <w:pPr>
              <w:cnfStyle w:val="000000010000" w:firstRow="0" w:lastRow="0" w:firstColumn="0" w:lastColumn="0" w:oddVBand="0" w:evenVBand="0" w:oddHBand="0" w:evenHBand="1" w:firstRowFirstColumn="0" w:firstRowLastColumn="0" w:lastRowFirstColumn="0" w:lastRowLastColumn="0"/>
            </w:pPr>
            <w:r w:rsidRPr="00841256">
              <w:t>-78 (-2.6%)</w:t>
            </w:r>
          </w:p>
        </w:tc>
        <w:tc>
          <w:tcPr>
            <w:tcW w:w="1170" w:type="dxa"/>
            <w:vAlign w:val="bottom"/>
          </w:tcPr>
          <w:p w:rsidR="00841256" w:rsidRPr="00841256" w:rsidRDefault="00841256" w:rsidP="00841256">
            <w:pPr>
              <w:cnfStyle w:val="000000010000" w:firstRow="0" w:lastRow="0" w:firstColumn="0" w:lastColumn="0" w:oddVBand="0" w:evenVBand="0" w:oddHBand="0" w:evenHBand="1" w:firstRowFirstColumn="0" w:firstRowLastColumn="0" w:lastRowFirstColumn="0" w:lastRowLastColumn="0"/>
            </w:pPr>
            <w:r w:rsidRPr="00841256">
              <w:t>4 (0.1%)</w:t>
            </w:r>
          </w:p>
        </w:tc>
        <w:tc>
          <w:tcPr>
            <w:tcW w:w="1171" w:type="dxa"/>
            <w:vAlign w:val="bottom"/>
          </w:tcPr>
          <w:p w:rsidR="00841256" w:rsidRPr="00841256" w:rsidRDefault="00841256" w:rsidP="00841256">
            <w:pPr>
              <w:cnfStyle w:val="000000010000" w:firstRow="0" w:lastRow="0" w:firstColumn="0" w:lastColumn="0" w:oddVBand="0" w:evenVBand="0" w:oddHBand="0" w:evenHBand="1" w:firstRowFirstColumn="0" w:firstRowLastColumn="0" w:lastRowFirstColumn="0" w:lastRowLastColumn="0"/>
            </w:pPr>
            <w:r w:rsidRPr="00841256">
              <w:t>5 (0.2%)</w:t>
            </w:r>
          </w:p>
        </w:tc>
        <w:tc>
          <w:tcPr>
            <w:tcW w:w="1041" w:type="dxa"/>
            <w:vAlign w:val="bottom"/>
          </w:tcPr>
          <w:p w:rsidR="00841256" w:rsidRPr="00841256" w:rsidRDefault="00841256" w:rsidP="00841256">
            <w:pPr>
              <w:cnfStyle w:val="000000010000" w:firstRow="0" w:lastRow="0" w:firstColumn="0" w:lastColumn="0" w:oddVBand="0" w:evenVBand="0" w:oddHBand="0" w:evenHBand="1" w:firstRowFirstColumn="0" w:firstRowLastColumn="0" w:lastRowFirstColumn="0" w:lastRowLastColumn="0"/>
            </w:pPr>
            <w:r w:rsidRPr="00841256">
              <w:t>6 (0.2%)</w:t>
            </w:r>
          </w:p>
        </w:tc>
        <w:tc>
          <w:tcPr>
            <w:tcW w:w="1041" w:type="dxa"/>
            <w:vAlign w:val="bottom"/>
          </w:tcPr>
          <w:p w:rsidR="00841256" w:rsidRPr="00841256" w:rsidRDefault="00841256" w:rsidP="00841256">
            <w:pPr>
              <w:cnfStyle w:val="000000010000" w:firstRow="0" w:lastRow="0" w:firstColumn="0" w:lastColumn="0" w:oddVBand="0" w:evenVBand="0" w:oddHBand="0" w:evenHBand="1" w:firstRowFirstColumn="0" w:firstRowLastColumn="0" w:lastRowFirstColumn="0" w:lastRowLastColumn="0"/>
            </w:pPr>
            <w:r w:rsidRPr="00841256">
              <w:t>4 (0.1%)</w:t>
            </w:r>
          </w:p>
        </w:tc>
      </w:tr>
      <w:tr w:rsidR="00841256" w:rsidRPr="00731756" w:rsidTr="0097300F">
        <w:trPr>
          <w:trHeight w:val="392"/>
        </w:trPr>
        <w:tc>
          <w:tcPr>
            <w:cnfStyle w:val="001000000000" w:firstRow="0" w:lastRow="0" w:firstColumn="1" w:lastColumn="0" w:oddVBand="0" w:evenVBand="0" w:oddHBand="0" w:evenHBand="0" w:firstRowFirstColumn="0" w:firstRowLastColumn="0" w:lastRowFirstColumn="0" w:lastRowLastColumn="0"/>
            <w:tcW w:w="2572" w:type="dxa"/>
          </w:tcPr>
          <w:p w:rsidR="00841256" w:rsidRPr="00841256" w:rsidRDefault="00841256" w:rsidP="00841256">
            <w:r w:rsidRPr="00841256">
              <w:t>Small business with 20 000 kWh consumption annual bill</w:t>
            </w:r>
          </w:p>
        </w:tc>
        <w:tc>
          <w:tcPr>
            <w:tcW w:w="973" w:type="dxa"/>
            <w:vAlign w:val="bottom"/>
          </w:tcPr>
          <w:p w:rsidR="00841256" w:rsidRPr="00841256" w:rsidRDefault="00841256" w:rsidP="00841256">
            <w:pPr>
              <w:cnfStyle w:val="000000000000" w:firstRow="0" w:lastRow="0" w:firstColumn="0" w:lastColumn="0" w:oddVBand="0" w:evenVBand="0" w:oddHBand="0" w:evenHBand="0" w:firstRowFirstColumn="0" w:firstRowLastColumn="0" w:lastRowFirstColumn="0" w:lastRowLastColumn="0"/>
            </w:pPr>
            <w:r w:rsidRPr="00841256">
              <w:t>5249</w:t>
            </w:r>
            <w:r w:rsidRPr="00841256">
              <w:rPr>
                <w:rStyle w:val="AERsuperscript"/>
              </w:rPr>
              <w:t>b</w:t>
            </w:r>
          </w:p>
        </w:tc>
        <w:tc>
          <w:tcPr>
            <w:tcW w:w="1109" w:type="dxa"/>
            <w:vAlign w:val="bottom"/>
          </w:tcPr>
          <w:p w:rsidR="00841256" w:rsidRPr="00841256" w:rsidRDefault="00841256" w:rsidP="00841256">
            <w:pPr>
              <w:cnfStyle w:val="000000000000" w:firstRow="0" w:lastRow="0" w:firstColumn="0" w:lastColumn="0" w:oddVBand="0" w:evenVBand="0" w:oddHBand="0" w:evenHBand="0" w:firstRowFirstColumn="0" w:firstRowLastColumn="0" w:lastRowFirstColumn="0" w:lastRowLastColumn="0"/>
            </w:pPr>
            <w:r w:rsidRPr="00841256">
              <w:t>5114</w:t>
            </w:r>
          </w:p>
        </w:tc>
        <w:tc>
          <w:tcPr>
            <w:tcW w:w="1170" w:type="dxa"/>
            <w:vAlign w:val="bottom"/>
          </w:tcPr>
          <w:p w:rsidR="00841256" w:rsidRPr="00841256" w:rsidRDefault="00841256" w:rsidP="00841256">
            <w:pPr>
              <w:cnfStyle w:val="000000000000" w:firstRow="0" w:lastRow="0" w:firstColumn="0" w:lastColumn="0" w:oddVBand="0" w:evenVBand="0" w:oddHBand="0" w:evenHBand="0" w:firstRowFirstColumn="0" w:firstRowLastColumn="0" w:lastRowFirstColumn="0" w:lastRowLastColumn="0"/>
            </w:pPr>
            <w:r w:rsidRPr="00841256">
              <w:t>5121</w:t>
            </w:r>
          </w:p>
        </w:tc>
        <w:tc>
          <w:tcPr>
            <w:tcW w:w="1171" w:type="dxa"/>
            <w:vAlign w:val="bottom"/>
          </w:tcPr>
          <w:p w:rsidR="00841256" w:rsidRPr="00841256" w:rsidRDefault="00841256" w:rsidP="00841256">
            <w:pPr>
              <w:cnfStyle w:val="000000000000" w:firstRow="0" w:lastRow="0" w:firstColumn="0" w:lastColumn="0" w:oddVBand="0" w:evenVBand="0" w:oddHBand="0" w:evenHBand="0" w:firstRowFirstColumn="0" w:firstRowLastColumn="0" w:lastRowFirstColumn="0" w:lastRowLastColumn="0"/>
            </w:pPr>
            <w:r w:rsidRPr="00841256">
              <w:t>5129</w:t>
            </w:r>
          </w:p>
        </w:tc>
        <w:tc>
          <w:tcPr>
            <w:tcW w:w="1041" w:type="dxa"/>
            <w:vAlign w:val="bottom"/>
          </w:tcPr>
          <w:p w:rsidR="00841256" w:rsidRPr="00841256" w:rsidRDefault="00841256" w:rsidP="00841256">
            <w:pPr>
              <w:cnfStyle w:val="000000000000" w:firstRow="0" w:lastRow="0" w:firstColumn="0" w:lastColumn="0" w:oddVBand="0" w:evenVBand="0" w:oddHBand="0" w:evenHBand="0" w:firstRowFirstColumn="0" w:firstRowLastColumn="0" w:lastRowFirstColumn="0" w:lastRowLastColumn="0"/>
            </w:pPr>
            <w:r w:rsidRPr="00841256">
              <w:t>5139</w:t>
            </w:r>
          </w:p>
        </w:tc>
        <w:tc>
          <w:tcPr>
            <w:tcW w:w="1041" w:type="dxa"/>
            <w:vAlign w:val="bottom"/>
          </w:tcPr>
          <w:p w:rsidR="00841256" w:rsidRPr="00841256" w:rsidRDefault="00841256" w:rsidP="00841256">
            <w:pPr>
              <w:cnfStyle w:val="000000000000" w:firstRow="0" w:lastRow="0" w:firstColumn="0" w:lastColumn="0" w:oddVBand="0" w:evenVBand="0" w:oddHBand="0" w:evenHBand="0" w:firstRowFirstColumn="0" w:firstRowLastColumn="0" w:lastRowFirstColumn="0" w:lastRowLastColumn="0"/>
            </w:pPr>
            <w:r w:rsidRPr="00841256">
              <w:t>5147</w:t>
            </w:r>
          </w:p>
        </w:tc>
      </w:tr>
      <w:tr w:rsidR="00841256" w:rsidRPr="00731756" w:rsidTr="0097300F">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572" w:type="dxa"/>
          </w:tcPr>
          <w:p w:rsidR="00841256" w:rsidRPr="00841256" w:rsidRDefault="00841256" w:rsidP="00841256">
            <w:r w:rsidRPr="00841256">
              <w:t>Annual change</w:t>
            </w:r>
            <w:r w:rsidRPr="00841256">
              <w:rPr>
                <w:rStyle w:val="AERsuperscript"/>
              </w:rPr>
              <w:t>d</w:t>
            </w:r>
          </w:p>
        </w:tc>
        <w:tc>
          <w:tcPr>
            <w:tcW w:w="973" w:type="dxa"/>
            <w:vAlign w:val="bottom"/>
          </w:tcPr>
          <w:p w:rsidR="00841256" w:rsidRPr="00841256" w:rsidRDefault="00841256" w:rsidP="00841256">
            <w:pPr>
              <w:cnfStyle w:val="000000010000" w:firstRow="0" w:lastRow="0" w:firstColumn="0" w:lastColumn="0" w:oddVBand="0" w:evenVBand="0" w:oddHBand="0" w:evenHBand="1" w:firstRowFirstColumn="0" w:firstRowLastColumn="0" w:lastRowFirstColumn="0" w:lastRowLastColumn="0"/>
            </w:pPr>
            <w:r w:rsidRPr="00841256">
              <w:t> </w:t>
            </w:r>
          </w:p>
        </w:tc>
        <w:tc>
          <w:tcPr>
            <w:tcW w:w="1109" w:type="dxa"/>
            <w:vAlign w:val="bottom"/>
          </w:tcPr>
          <w:p w:rsidR="00841256" w:rsidRPr="00841256" w:rsidRDefault="00841256" w:rsidP="00841256">
            <w:pPr>
              <w:cnfStyle w:val="000000010000" w:firstRow="0" w:lastRow="0" w:firstColumn="0" w:lastColumn="0" w:oddVBand="0" w:evenVBand="0" w:oddHBand="0" w:evenHBand="1" w:firstRowFirstColumn="0" w:firstRowLastColumn="0" w:lastRowFirstColumn="0" w:lastRowLastColumn="0"/>
            </w:pPr>
            <w:r w:rsidRPr="00841256">
              <w:t>-135 (-2.6%)</w:t>
            </w:r>
          </w:p>
        </w:tc>
        <w:tc>
          <w:tcPr>
            <w:tcW w:w="1170" w:type="dxa"/>
            <w:vAlign w:val="bottom"/>
          </w:tcPr>
          <w:p w:rsidR="00841256" w:rsidRPr="00841256" w:rsidRDefault="00841256" w:rsidP="00841256">
            <w:pPr>
              <w:cnfStyle w:val="000000010000" w:firstRow="0" w:lastRow="0" w:firstColumn="0" w:lastColumn="0" w:oddVBand="0" w:evenVBand="0" w:oddHBand="0" w:evenHBand="1" w:firstRowFirstColumn="0" w:firstRowLastColumn="0" w:lastRowFirstColumn="0" w:lastRowLastColumn="0"/>
            </w:pPr>
            <w:r w:rsidRPr="00841256">
              <w:t>7 (0.1%)</w:t>
            </w:r>
          </w:p>
        </w:tc>
        <w:tc>
          <w:tcPr>
            <w:tcW w:w="1171" w:type="dxa"/>
            <w:vAlign w:val="bottom"/>
          </w:tcPr>
          <w:p w:rsidR="00841256" w:rsidRPr="00841256" w:rsidRDefault="00841256" w:rsidP="00841256">
            <w:pPr>
              <w:cnfStyle w:val="000000010000" w:firstRow="0" w:lastRow="0" w:firstColumn="0" w:lastColumn="0" w:oddVBand="0" w:evenVBand="0" w:oddHBand="0" w:evenHBand="1" w:firstRowFirstColumn="0" w:firstRowLastColumn="0" w:lastRowFirstColumn="0" w:lastRowLastColumn="0"/>
            </w:pPr>
            <w:r w:rsidRPr="00841256">
              <w:t>8 (0.2%)</w:t>
            </w:r>
          </w:p>
        </w:tc>
        <w:tc>
          <w:tcPr>
            <w:tcW w:w="1041" w:type="dxa"/>
            <w:vAlign w:val="bottom"/>
          </w:tcPr>
          <w:p w:rsidR="00841256" w:rsidRPr="00841256" w:rsidRDefault="00841256" w:rsidP="00841256">
            <w:pPr>
              <w:cnfStyle w:val="000000010000" w:firstRow="0" w:lastRow="0" w:firstColumn="0" w:lastColumn="0" w:oddVBand="0" w:evenVBand="0" w:oddHBand="0" w:evenHBand="1" w:firstRowFirstColumn="0" w:firstRowLastColumn="0" w:lastRowFirstColumn="0" w:lastRowLastColumn="0"/>
            </w:pPr>
            <w:r w:rsidRPr="00841256">
              <w:t>10 (0.2%)</w:t>
            </w:r>
          </w:p>
        </w:tc>
        <w:tc>
          <w:tcPr>
            <w:tcW w:w="1041" w:type="dxa"/>
            <w:vAlign w:val="bottom"/>
          </w:tcPr>
          <w:p w:rsidR="00841256" w:rsidRPr="00841256" w:rsidRDefault="00841256" w:rsidP="00841256">
            <w:pPr>
              <w:cnfStyle w:val="000000010000" w:firstRow="0" w:lastRow="0" w:firstColumn="0" w:lastColumn="0" w:oddVBand="0" w:evenVBand="0" w:oddHBand="0" w:evenHBand="1" w:firstRowFirstColumn="0" w:firstRowLastColumn="0" w:lastRowFirstColumn="0" w:lastRowLastColumn="0"/>
            </w:pPr>
            <w:r w:rsidRPr="00841256">
              <w:t>8 (0.1%)</w:t>
            </w:r>
          </w:p>
        </w:tc>
      </w:tr>
    </w:tbl>
    <w:p w:rsidR="009F1D1C" w:rsidRPr="009F1D1C" w:rsidRDefault="009F1D1C" w:rsidP="009F1D1C">
      <w:pPr>
        <w:pStyle w:val="AERtablesource"/>
      </w:pPr>
      <w:r w:rsidRPr="009F1D1C">
        <w:t>Source:</w:t>
      </w:r>
      <w:r w:rsidRPr="009F1D1C">
        <w:tab/>
        <w:t>AER analysis</w:t>
      </w:r>
      <w:r w:rsidR="001441B5">
        <w:t>;</w:t>
      </w:r>
      <w:r w:rsidR="00F1628C">
        <w:t xml:space="preserve"> AEMC, </w:t>
      </w:r>
      <w:r w:rsidR="00F1628C" w:rsidRPr="00F1628C">
        <w:rPr>
          <w:rStyle w:val="AERtextitalic"/>
        </w:rPr>
        <w:t>2015</w:t>
      </w:r>
      <w:r w:rsidR="001441B5">
        <w:rPr>
          <w:rStyle w:val="AERtextitalic"/>
        </w:rPr>
        <w:t xml:space="preserve"> Residential e</w:t>
      </w:r>
      <w:r w:rsidR="00F1628C" w:rsidRPr="00F1628C">
        <w:rPr>
          <w:rStyle w:val="AERtextitalic"/>
        </w:rPr>
        <w:t xml:space="preserve">lectricity </w:t>
      </w:r>
      <w:r w:rsidR="001441B5">
        <w:rPr>
          <w:rStyle w:val="AERtextitalic"/>
        </w:rPr>
        <w:t>p</w:t>
      </w:r>
      <w:r w:rsidR="00F1628C" w:rsidRPr="00F1628C">
        <w:rPr>
          <w:rStyle w:val="AERtextitalic"/>
        </w:rPr>
        <w:t xml:space="preserve">rice </w:t>
      </w:r>
      <w:r w:rsidR="001441B5">
        <w:rPr>
          <w:rStyle w:val="AERtextitalic"/>
        </w:rPr>
        <w:t>t</w:t>
      </w:r>
      <w:r w:rsidR="00F1628C" w:rsidRPr="00F1628C">
        <w:rPr>
          <w:rStyle w:val="AERtextitalic"/>
        </w:rPr>
        <w:t>rends</w:t>
      </w:r>
      <w:r w:rsidR="00F1628C" w:rsidRPr="00F1628C">
        <w:t>, December 2015, p. 105</w:t>
      </w:r>
      <w:r w:rsidR="001441B5">
        <w:t>; and</w:t>
      </w:r>
      <w:r w:rsidR="00F1628C">
        <w:t xml:space="preserve"> Powerlink, </w:t>
      </w:r>
      <w:r w:rsidR="00F1628C" w:rsidRPr="00F1628C">
        <w:rPr>
          <w:rStyle w:val="AERtextitalic"/>
        </w:rPr>
        <w:t>Revenue proposal</w:t>
      </w:r>
      <w:r w:rsidR="00F1628C">
        <w:t xml:space="preserve">, </w:t>
      </w:r>
      <w:r w:rsidR="008C0C53">
        <w:t xml:space="preserve">PTRM, </w:t>
      </w:r>
      <w:r w:rsidR="00FC4DF0">
        <w:t>January 2016</w:t>
      </w:r>
      <w:r w:rsidR="00F1628C">
        <w:t>.</w:t>
      </w:r>
    </w:p>
    <w:p w:rsidR="008C0C53" w:rsidRDefault="009F1D1C" w:rsidP="00FC4DF0">
      <w:pPr>
        <w:pStyle w:val="AERtablesource"/>
      </w:pPr>
      <w:r w:rsidRPr="009F1D1C">
        <w:t xml:space="preserve">(a) </w:t>
      </w:r>
      <w:r w:rsidRPr="009F1D1C">
        <w:tab/>
        <w:t xml:space="preserve">Based on </w:t>
      </w:r>
      <w:r w:rsidR="00FC4DF0">
        <w:t xml:space="preserve">Powerlink, </w:t>
      </w:r>
      <w:r w:rsidR="00FC4DF0" w:rsidRPr="00F1628C">
        <w:rPr>
          <w:rStyle w:val="AERtextitalic"/>
        </w:rPr>
        <w:t>Revenue proposal</w:t>
      </w:r>
      <w:r w:rsidR="008C0C53">
        <w:t xml:space="preserve">, </w:t>
      </w:r>
      <w:r w:rsidR="00841256" w:rsidRPr="00841256">
        <w:rPr>
          <w:rStyle w:val="AERtextitalic"/>
        </w:rPr>
        <w:t>Consolidated Reset RIN</w:t>
      </w:r>
      <w:r w:rsidR="008C0C53">
        <w:t xml:space="preserve">, </w:t>
      </w:r>
      <w:r w:rsidR="00FC4DF0">
        <w:t xml:space="preserve">January 2016, checked against </w:t>
      </w:r>
      <w:r w:rsidRPr="009F1D1C">
        <w:t xml:space="preserve">offers at June 2016 from </w:t>
      </w:r>
      <w:r w:rsidR="0079012B">
        <w:t xml:space="preserve">the </w:t>
      </w:r>
      <w:hyperlink r:id="rId17" w:history="1">
        <w:r w:rsidR="0079012B" w:rsidRPr="001441B5">
          <w:rPr>
            <w:rStyle w:val="Hyperlink"/>
            <w:sz w:val="16"/>
          </w:rPr>
          <w:t>Energy Ma</w:t>
        </w:r>
        <w:r w:rsidR="001441B5" w:rsidRPr="001441B5">
          <w:rPr>
            <w:rStyle w:val="Hyperlink"/>
            <w:sz w:val="16"/>
          </w:rPr>
          <w:t>d</w:t>
        </w:r>
        <w:r w:rsidR="0079012B" w:rsidRPr="001441B5">
          <w:rPr>
            <w:rStyle w:val="Hyperlink"/>
            <w:sz w:val="16"/>
          </w:rPr>
          <w:t>e Eas</w:t>
        </w:r>
        <w:r w:rsidR="001441B5" w:rsidRPr="001441B5">
          <w:rPr>
            <w:rStyle w:val="Hyperlink"/>
            <w:sz w:val="16"/>
          </w:rPr>
          <w:t>y</w:t>
        </w:r>
      </w:hyperlink>
      <w:r w:rsidR="0079012B">
        <w:t xml:space="preserve"> website (</w:t>
      </w:r>
      <w:r w:rsidRPr="009F1D1C">
        <w:t>postcode:</w:t>
      </w:r>
      <w:r w:rsidR="00FC4DF0">
        <w:t>4000</w:t>
      </w:r>
      <w:r w:rsidR="00A75D62">
        <w:t>, 4810</w:t>
      </w:r>
      <w:r w:rsidRPr="009F1D1C">
        <w:t xml:space="preserve">) using consumption of </w:t>
      </w:r>
      <w:r w:rsidR="00F1628C">
        <w:t>5173</w:t>
      </w:r>
      <w:r w:rsidRPr="009F1D1C">
        <w:t xml:space="preserve"> kWh per annum</w:t>
      </w:r>
      <w:r w:rsidR="0079012B">
        <w:t>.</w:t>
      </w:r>
      <w:r w:rsidRPr="009F1D1C">
        <w:t xml:space="preserve"> </w:t>
      </w:r>
    </w:p>
    <w:p w:rsidR="009F1D1C" w:rsidRPr="009F1D1C" w:rsidRDefault="008C0C53" w:rsidP="00FC4DF0">
      <w:pPr>
        <w:pStyle w:val="AERtablesource"/>
      </w:pPr>
      <w:r>
        <w:t>(b)</w:t>
      </w:r>
      <w:r>
        <w:tab/>
        <w:t xml:space="preserve">Based on Powerlink, </w:t>
      </w:r>
      <w:r w:rsidRPr="00F1628C">
        <w:rPr>
          <w:rStyle w:val="AERtextitalic"/>
        </w:rPr>
        <w:t>Revenue proposal</w:t>
      </w:r>
      <w:r>
        <w:t>,</w:t>
      </w:r>
      <w:r w:rsidRPr="00841256">
        <w:rPr>
          <w:rStyle w:val="AERtextitalic"/>
        </w:rPr>
        <w:t xml:space="preserve"> </w:t>
      </w:r>
      <w:r w:rsidR="00841256" w:rsidRPr="00841256">
        <w:rPr>
          <w:rStyle w:val="AERtextitalic"/>
        </w:rPr>
        <w:t>Consolidated Reset RIN</w:t>
      </w:r>
      <w:r>
        <w:t>, January 2016.</w:t>
      </w:r>
    </w:p>
    <w:p w:rsidR="009F1D1C" w:rsidRPr="009F1D1C" w:rsidRDefault="009F1D1C" w:rsidP="009F1D1C">
      <w:pPr>
        <w:pStyle w:val="AERtablesource"/>
      </w:pPr>
      <w:r w:rsidRPr="009F1D1C">
        <w:t>(</w:t>
      </w:r>
      <w:r w:rsidR="008C0C53">
        <w:t>c</w:t>
      </w:r>
      <w:r w:rsidRPr="009F1D1C">
        <w:t>)</w:t>
      </w:r>
      <w:r w:rsidRPr="009F1D1C">
        <w:tab/>
        <w:t xml:space="preserve">Annual change amounts and percentages are indicative. They are derived by varying the transmission component of 2016–17 bill amounts in proportion to yearly expected revenue divided by </w:t>
      </w:r>
      <w:r w:rsidR="00F1628C">
        <w:t xml:space="preserve">Powerlink's </w:t>
      </w:r>
      <w:r w:rsidRPr="009F1D1C">
        <w:t>forecast demand. Actual bill impacts will vary depending on electricity consumption and tariff class.</w:t>
      </w:r>
    </w:p>
    <w:p w:rsidR="009F1D1C" w:rsidRPr="009F1D1C" w:rsidRDefault="009F1D1C" w:rsidP="009F1D1C">
      <w:pPr>
        <w:pStyle w:val="AERtablesource"/>
      </w:pPr>
    </w:p>
    <w:p w:rsidR="00132D43" w:rsidRDefault="00132D43" w:rsidP="00132D43"/>
    <w:sectPr w:rsidR="00132D43" w:rsidSect="00CF42AA">
      <w:headerReference w:type="default" r:id="rId18"/>
      <w:footerReference w:type="even" r:id="rId19"/>
      <w:footerReference w:type="default" r:id="rId20"/>
      <w:footerReference w:type="first" r:id="rId21"/>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9B2" w:rsidRPr="00290C63" w:rsidRDefault="009429B2" w:rsidP="00290C63">
      <w:r>
        <w:separator/>
      </w:r>
    </w:p>
    <w:p w:rsidR="009429B2" w:rsidRDefault="009429B2"/>
  </w:endnote>
  <w:endnote w:type="continuationSeparator" w:id="0">
    <w:p w:rsidR="009429B2" w:rsidRPr="00290C63" w:rsidRDefault="009429B2" w:rsidP="00290C63">
      <w:r>
        <w:continuationSeparator/>
      </w:r>
    </w:p>
    <w:p w:rsidR="009429B2" w:rsidRDefault="009429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7076017"/>
      <w:docPartObj>
        <w:docPartGallery w:val="Page Numbers (Bottom of Page)"/>
        <w:docPartUnique/>
      </w:docPartObj>
    </w:sdtPr>
    <w:sdtEndPr/>
    <w:sdtContent>
      <w:p w:rsidR="00C41448" w:rsidRPr="00C41448" w:rsidRDefault="00C41448" w:rsidP="00C41448">
        <w:pPr>
          <w:pStyle w:val="Footer"/>
        </w:pPr>
        <w:r w:rsidRPr="00C41448">
          <w:fldChar w:fldCharType="begin"/>
        </w:r>
        <w:r>
          <w:instrText xml:space="preserve"> PAGE   \* MERGEFORMAT </w:instrText>
        </w:r>
        <w:r w:rsidRPr="00C41448">
          <w:fldChar w:fldCharType="separate"/>
        </w:r>
        <w:r w:rsidR="00165639">
          <w:rPr>
            <w:noProof/>
          </w:rPr>
          <w:t>1-0</w:t>
        </w:r>
        <w:r w:rsidRPr="00C41448">
          <w:fldChar w:fldCharType="end"/>
        </w:r>
        <w:r w:rsidRPr="00C41448">
          <w:t xml:space="preserve">      </w:t>
        </w:r>
        <w:r>
          <w:t>Attachment 1 – Maximum allowed revenue</w:t>
        </w:r>
        <w:r w:rsidRPr="00C41448">
          <w:t xml:space="preserve"> | </w:t>
        </w:r>
        <w:r>
          <w:t>Powerlink transmission draft determination</w:t>
        </w:r>
        <w:r w:rsidRPr="00C41448">
          <w:t xml:space="preserve"> 201</w:t>
        </w:r>
        <w:r>
          <w:t>7</w:t>
        </w:r>
        <w:r w:rsidRPr="00C41448">
          <w:t>–</w:t>
        </w:r>
        <w:r>
          <w:t>22</w:t>
        </w:r>
      </w:p>
    </w:sdtContent>
  </w:sdt>
  <w:p w:rsidR="009429B2" w:rsidRPr="00BB6B99" w:rsidRDefault="009429B2" w:rsidP="00BB6B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9B2" w:rsidRPr="00BB6B99" w:rsidRDefault="009429B2" w:rsidP="00BB6B9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4388892"/>
      <w:docPartObj>
        <w:docPartGallery w:val="Page Numbers (Bottom of Page)"/>
        <w:docPartUnique/>
      </w:docPartObj>
    </w:sdtPr>
    <w:sdtEndPr/>
    <w:sdtContent>
      <w:p w:rsidR="00C41448" w:rsidRPr="00C41448" w:rsidRDefault="00C41448" w:rsidP="00C41448">
        <w:pPr>
          <w:pStyle w:val="Footer"/>
        </w:pPr>
        <w:r w:rsidRPr="00C41448">
          <w:fldChar w:fldCharType="begin"/>
        </w:r>
        <w:r>
          <w:instrText xml:space="preserve"> PAGE   \* MERGEFORMAT </w:instrText>
        </w:r>
        <w:r w:rsidRPr="00C41448">
          <w:fldChar w:fldCharType="separate"/>
        </w:r>
        <w:r w:rsidR="00165639">
          <w:rPr>
            <w:noProof/>
          </w:rPr>
          <w:t>1-22</w:t>
        </w:r>
        <w:r w:rsidRPr="00C41448">
          <w:fldChar w:fldCharType="end"/>
        </w:r>
        <w:r w:rsidRPr="00C41448">
          <w:t xml:space="preserve">      </w:t>
        </w:r>
        <w:r>
          <w:t>Attachment 1 – Maximum allowed revenue</w:t>
        </w:r>
        <w:r w:rsidRPr="00C41448">
          <w:t xml:space="preserve"> | </w:t>
        </w:r>
        <w:r>
          <w:t>Powerlink transmission draft determination</w:t>
        </w:r>
        <w:r w:rsidRPr="00C41448">
          <w:t xml:space="preserve"> 201</w:t>
        </w:r>
        <w:r>
          <w:t>7</w:t>
        </w:r>
        <w:r w:rsidRPr="00C41448">
          <w:t>–</w:t>
        </w:r>
        <w:r>
          <w:t>22</w:t>
        </w:r>
      </w:p>
    </w:sdtContent>
  </w:sdt>
  <w:p w:rsidR="009429B2" w:rsidRPr="00BB6B99" w:rsidRDefault="009429B2" w:rsidP="00BB6B9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9B2" w:rsidRPr="00BB6B99" w:rsidRDefault="009429B2" w:rsidP="00BB6B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9B2" w:rsidRPr="00290C63" w:rsidRDefault="009429B2" w:rsidP="00290C63">
      <w:r>
        <w:separator/>
      </w:r>
    </w:p>
    <w:p w:rsidR="009429B2" w:rsidRDefault="009429B2"/>
  </w:footnote>
  <w:footnote w:type="continuationSeparator" w:id="0">
    <w:p w:rsidR="009429B2" w:rsidRPr="00290C63" w:rsidRDefault="009429B2" w:rsidP="00290C63">
      <w:r>
        <w:continuationSeparator/>
      </w:r>
    </w:p>
    <w:p w:rsidR="009429B2" w:rsidRDefault="009429B2"/>
  </w:footnote>
  <w:footnote w:id="1">
    <w:p w:rsidR="009429B2" w:rsidRDefault="009429B2" w:rsidP="000B6B35">
      <w:pPr>
        <w:pStyle w:val="FootnoteText"/>
      </w:pPr>
      <w:r>
        <w:rPr>
          <w:rStyle w:val="FootnoteReference"/>
        </w:rPr>
        <w:footnoteRef/>
      </w:r>
      <w:r>
        <w:t xml:space="preserve"> </w:t>
      </w:r>
      <w:r>
        <w:tab/>
      </w:r>
      <w:proofErr w:type="gramStart"/>
      <w:r w:rsidRPr="000F0122">
        <w:t xml:space="preserve">NER, </w:t>
      </w:r>
      <w:proofErr w:type="spellStart"/>
      <w:r w:rsidRPr="000F0122">
        <w:t>c</w:t>
      </w:r>
      <w:r>
        <w:t>ll</w:t>
      </w:r>
      <w:proofErr w:type="spellEnd"/>
      <w:r>
        <w:t>.</w:t>
      </w:r>
      <w:proofErr w:type="gramEnd"/>
      <w:r w:rsidRPr="000F0122">
        <w:t xml:space="preserve"> </w:t>
      </w:r>
      <w:proofErr w:type="gramStart"/>
      <w:r w:rsidRPr="000F0122">
        <w:t>6A.4.2(</w:t>
      </w:r>
      <w:proofErr w:type="gramEnd"/>
      <w:r w:rsidRPr="000F0122">
        <w:t>a)(1)–(3)</w:t>
      </w:r>
      <w:r>
        <w:t>, 6A.5.3(c)</w:t>
      </w:r>
      <w:r w:rsidRPr="000F0122">
        <w:t xml:space="preserve"> and 6A.6.8.</w:t>
      </w:r>
    </w:p>
  </w:footnote>
  <w:footnote w:id="2">
    <w:p w:rsidR="009429B2" w:rsidRDefault="009429B2">
      <w:pPr>
        <w:pStyle w:val="FootnoteText"/>
      </w:pPr>
      <w:r>
        <w:rPr>
          <w:rStyle w:val="FootnoteReference"/>
        </w:rPr>
        <w:footnoteRef/>
      </w:r>
      <w:r>
        <w:t xml:space="preserve"> </w:t>
      </w:r>
      <w:r>
        <w:tab/>
        <w:t>Powerlink</w:t>
      </w:r>
      <w:r w:rsidRPr="00C10597">
        <w:t xml:space="preserve"> is not required to apply an X factor for 201</w:t>
      </w:r>
      <w:r>
        <w:t>7</w:t>
      </w:r>
      <w:r w:rsidRPr="00C10597">
        <w:t>–1</w:t>
      </w:r>
      <w:r>
        <w:t>8</w:t>
      </w:r>
      <w:r w:rsidRPr="00C10597">
        <w:t xml:space="preserve"> </w:t>
      </w:r>
      <w:r w:rsidRPr="006D43B4">
        <w:t xml:space="preserve">because </w:t>
      </w:r>
      <w:r>
        <w:t xml:space="preserve">we </w:t>
      </w:r>
      <w:r w:rsidRPr="006D43B4">
        <w:t>set</w:t>
      </w:r>
      <w:r>
        <w:t xml:space="preserve"> the 2017–18 MAR</w:t>
      </w:r>
      <w:r w:rsidRPr="006D43B4">
        <w:t xml:space="preserve"> in </w:t>
      </w:r>
      <w:r>
        <w:t>this</w:t>
      </w:r>
      <w:r w:rsidRPr="006D43B4">
        <w:t xml:space="preserve"> </w:t>
      </w:r>
      <w:r>
        <w:t>decision</w:t>
      </w:r>
      <w:r w:rsidRPr="00C10597">
        <w:t>.</w:t>
      </w:r>
    </w:p>
  </w:footnote>
  <w:footnote w:id="3">
    <w:p w:rsidR="009429B2" w:rsidRDefault="009429B2" w:rsidP="00782D05">
      <w:pPr>
        <w:pStyle w:val="FootnoteText"/>
      </w:pPr>
      <w:r>
        <w:rPr>
          <w:rStyle w:val="FootnoteReference"/>
        </w:rPr>
        <w:footnoteRef/>
      </w:r>
      <w:r>
        <w:t xml:space="preserve"> </w:t>
      </w:r>
      <w:r>
        <w:tab/>
      </w:r>
      <w:proofErr w:type="gramStart"/>
      <w:r w:rsidRPr="00574EC2">
        <w:t>NER, cl</w:t>
      </w:r>
      <w:r>
        <w:t>l</w:t>
      </w:r>
      <w:r w:rsidRPr="00574EC2">
        <w:t>.6A.5.1 and 6A.5.3.</w:t>
      </w:r>
      <w:proofErr w:type="gramEnd"/>
    </w:p>
  </w:footnote>
  <w:footnote w:id="4">
    <w:p w:rsidR="009429B2" w:rsidRDefault="009429B2" w:rsidP="00782D05">
      <w:pPr>
        <w:pStyle w:val="FootnoteText"/>
      </w:pPr>
      <w:r>
        <w:rPr>
          <w:rStyle w:val="FootnoteReference"/>
        </w:rPr>
        <w:footnoteRef/>
      </w:r>
      <w:r>
        <w:t xml:space="preserve"> </w:t>
      </w:r>
      <w:r>
        <w:tab/>
      </w:r>
      <w:proofErr w:type="gramStart"/>
      <w:r w:rsidRPr="00574EC2">
        <w:t xml:space="preserve">NER, </w:t>
      </w:r>
      <w:proofErr w:type="spellStart"/>
      <w:r w:rsidRPr="00574EC2">
        <w:t>cl</w:t>
      </w:r>
      <w:r>
        <w:t>l</w:t>
      </w:r>
      <w:proofErr w:type="spellEnd"/>
      <w:r w:rsidRPr="00574EC2">
        <w:t>.</w:t>
      </w:r>
      <w:proofErr w:type="gramEnd"/>
      <w:r w:rsidRPr="00574EC2">
        <w:t xml:space="preserve"> 6A.5.3(c</w:t>
      </w:r>
      <w:proofErr w:type="gramStart"/>
      <w:r w:rsidRPr="00574EC2">
        <w:t>)(</w:t>
      </w:r>
      <w:proofErr w:type="gramEnd"/>
      <w:r w:rsidRPr="00574EC2">
        <w:t>1) and (4).</w:t>
      </w:r>
    </w:p>
  </w:footnote>
  <w:footnote w:id="5">
    <w:p w:rsidR="009429B2" w:rsidRDefault="009429B2" w:rsidP="00782D05">
      <w:pPr>
        <w:pStyle w:val="FootnoteText"/>
      </w:pPr>
      <w:r>
        <w:rPr>
          <w:rStyle w:val="FootnoteReference"/>
        </w:rPr>
        <w:footnoteRef/>
      </w:r>
      <w:r>
        <w:t xml:space="preserve"> </w:t>
      </w:r>
      <w:r>
        <w:tab/>
      </w:r>
      <w:proofErr w:type="gramStart"/>
      <w:r w:rsidRPr="00574EC2">
        <w:t>NER, cl. 6A.5.4.</w:t>
      </w:r>
      <w:proofErr w:type="gramEnd"/>
    </w:p>
  </w:footnote>
  <w:footnote w:id="6">
    <w:p w:rsidR="009429B2" w:rsidRDefault="009429B2" w:rsidP="00782D05">
      <w:pPr>
        <w:pStyle w:val="FootnoteText"/>
      </w:pPr>
      <w:r>
        <w:rPr>
          <w:rStyle w:val="FootnoteReference"/>
        </w:rPr>
        <w:footnoteRef/>
      </w:r>
      <w:r>
        <w:t xml:space="preserve"> </w:t>
      </w:r>
      <w:r>
        <w:tab/>
      </w:r>
      <w:proofErr w:type="gramStart"/>
      <w:r w:rsidRPr="00574EC2">
        <w:t>NER, cl. 6A.5.</w:t>
      </w:r>
      <w:proofErr w:type="gramEnd"/>
    </w:p>
  </w:footnote>
  <w:footnote w:id="7">
    <w:p w:rsidR="009429B2" w:rsidRDefault="009429B2" w:rsidP="00782D05">
      <w:pPr>
        <w:pStyle w:val="FootnoteText"/>
      </w:pPr>
      <w:r>
        <w:rPr>
          <w:rStyle w:val="FootnoteReference"/>
        </w:rPr>
        <w:footnoteRef/>
      </w:r>
      <w:r>
        <w:t xml:space="preserve"> </w:t>
      </w:r>
      <w:r>
        <w:tab/>
      </w:r>
      <w:proofErr w:type="gramStart"/>
      <w:r>
        <w:t xml:space="preserve">NER, </w:t>
      </w:r>
      <w:proofErr w:type="spellStart"/>
      <w:r>
        <w:t>cll</w:t>
      </w:r>
      <w:proofErr w:type="spellEnd"/>
      <w:r w:rsidRPr="00574EC2">
        <w:t>.</w:t>
      </w:r>
      <w:proofErr w:type="gramEnd"/>
      <w:r w:rsidRPr="00574EC2">
        <w:t xml:space="preserve"> </w:t>
      </w:r>
      <w:proofErr w:type="gramStart"/>
      <w:r w:rsidRPr="00574EC2">
        <w:t>6A.5.3 and 6A.6.8.</w:t>
      </w:r>
      <w:proofErr w:type="gramEnd"/>
    </w:p>
  </w:footnote>
  <w:footnote w:id="8">
    <w:p w:rsidR="009429B2" w:rsidRDefault="009429B2" w:rsidP="00782D05">
      <w:pPr>
        <w:pStyle w:val="FootnoteText"/>
      </w:pPr>
      <w:r>
        <w:rPr>
          <w:rStyle w:val="FootnoteReference"/>
        </w:rPr>
        <w:footnoteRef/>
      </w:r>
      <w:r>
        <w:t xml:space="preserve"> </w:t>
      </w:r>
      <w:r>
        <w:tab/>
      </w:r>
      <w:r w:rsidRPr="00574EC2">
        <w:t xml:space="preserve">NER, cl. </w:t>
      </w:r>
      <w:proofErr w:type="gramStart"/>
      <w:r w:rsidRPr="00574EC2">
        <w:t>6A.5.1(</w:t>
      </w:r>
      <w:proofErr w:type="gramEnd"/>
      <w:r w:rsidRPr="00574EC2">
        <w:t>a).</w:t>
      </w:r>
    </w:p>
  </w:footnote>
  <w:footnote w:id="9">
    <w:p w:rsidR="009429B2" w:rsidRDefault="009429B2" w:rsidP="00782D05">
      <w:pPr>
        <w:pStyle w:val="FootnoteText"/>
      </w:pPr>
      <w:r>
        <w:rPr>
          <w:rStyle w:val="FootnoteReference"/>
        </w:rPr>
        <w:footnoteRef/>
      </w:r>
      <w:r>
        <w:t xml:space="preserve"> </w:t>
      </w:r>
      <w:r>
        <w:tab/>
        <w:t>The MAR for year 1 of the next regulatory control period may include adjustment for the performance incentive that applied during the previous regulatory control period, and under or over recovery adjustments from previous regulatory years.</w:t>
      </w:r>
    </w:p>
  </w:footnote>
  <w:footnote w:id="10">
    <w:p w:rsidR="009429B2" w:rsidRDefault="009429B2" w:rsidP="00782D05">
      <w:pPr>
        <w:pStyle w:val="FootnoteText"/>
      </w:pPr>
      <w:r>
        <w:rPr>
          <w:rStyle w:val="FootnoteReference"/>
        </w:rPr>
        <w:footnoteRef/>
      </w:r>
      <w:r>
        <w:t xml:space="preserve"> </w:t>
      </w:r>
      <w:r>
        <w:tab/>
      </w:r>
      <w:r w:rsidRPr="00361E04">
        <w:t xml:space="preserve">There are trade-offs that are not modelled in the PTRM but are reflected in the inputs to the PTRM. For example, service quality is not explicitly modelled in the PTRM, but the trade-offs between service quality and </w:t>
      </w:r>
      <w:proofErr w:type="gramStart"/>
      <w:r w:rsidRPr="00361E04">
        <w:t>price are</w:t>
      </w:r>
      <w:proofErr w:type="gramEnd"/>
      <w:r w:rsidRPr="00361E04">
        <w:t xml:space="preserve"> </w:t>
      </w:r>
      <w:r>
        <w:t>r</w:t>
      </w:r>
      <w:r w:rsidRPr="00361E04">
        <w:t>eflected in the forecast capex and opex inputs to the model. Other trade-offs are obvious from the calculations in the PTRM. For example, while someone may expect a lower regulatory asset base to also lower revenues, the PTRM shows that this will not occur if the reduction in the regulatory asset base is due solely to an increase in the depreciation rate. In such circumstances, revenues increase as the increased depreciation allowance more than offsets the reduction in the return on capital caused by the lower regulatory asset base.</w:t>
      </w:r>
    </w:p>
  </w:footnote>
  <w:footnote w:id="11">
    <w:p w:rsidR="009429B2" w:rsidRDefault="009429B2" w:rsidP="00782D05">
      <w:pPr>
        <w:pStyle w:val="FootnoteText"/>
      </w:pPr>
      <w:r>
        <w:rPr>
          <w:rStyle w:val="FootnoteReference"/>
        </w:rPr>
        <w:footnoteRef/>
      </w:r>
      <w:r>
        <w:t xml:space="preserve"> </w:t>
      </w:r>
      <w:r>
        <w:tab/>
        <w:t xml:space="preserve">NER, cl. </w:t>
      </w:r>
      <w:proofErr w:type="gramStart"/>
      <w:r>
        <w:t>6A.6.8(</w:t>
      </w:r>
      <w:proofErr w:type="gramEnd"/>
      <w:r>
        <w:t>a</w:t>
      </w:r>
      <w:r w:rsidRPr="00D905AD">
        <w:t>).</w:t>
      </w:r>
    </w:p>
  </w:footnote>
  <w:footnote w:id="12">
    <w:p w:rsidR="009429B2" w:rsidRDefault="009429B2" w:rsidP="00782D05">
      <w:pPr>
        <w:pStyle w:val="FootnoteText"/>
      </w:pPr>
      <w:r>
        <w:rPr>
          <w:rStyle w:val="FootnoteReference"/>
        </w:rPr>
        <w:footnoteRef/>
      </w:r>
      <w:r>
        <w:t xml:space="preserve"> </w:t>
      </w:r>
      <w:r>
        <w:tab/>
      </w:r>
      <w:r w:rsidRPr="00D905AD">
        <w:t>NER, cl. 6A.6.8(c</w:t>
      </w:r>
      <w:proofErr w:type="gramStart"/>
      <w:r w:rsidRPr="00D905AD">
        <w:t>)(</w:t>
      </w:r>
      <w:proofErr w:type="gramEnd"/>
      <w:r w:rsidRPr="00D905AD">
        <w:t>1).</w:t>
      </w:r>
    </w:p>
  </w:footnote>
  <w:footnote w:id="13">
    <w:p w:rsidR="009429B2" w:rsidRDefault="009429B2" w:rsidP="00782D05">
      <w:pPr>
        <w:pStyle w:val="FootnoteText"/>
      </w:pPr>
      <w:r>
        <w:rPr>
          <w:rStyle w:val="FootnoteReference"/>
        </w:rPr>
        <w:footnoteRef/>
      </w:r>
      <w:r>
        <w:t xml:space="preserve"> </w:t>
      </w:r>
      <w:r>
        <w:tab/>
      </w:r>
      <w:r w:rsidRPr="00D905AD">
        <w:t>NER, cl. 6A.6.8(c</w:t>
      </w:r>
      <w:proofErr w:type="gramStart"/>
      <w:r w:rsidRPr="00D905AD">
        <w:t>)(</w:t>
      </w:r>
      <w:proofErr w:type="gramEnd"/>
      <w:r w:rsidRPr="00D905AD">
        <w:t>2).</w:t>
      </w:r>
    </w:p>
  </w:footnote>
  <w:footnote w:id="14">
    <w:p w:rsidR="00557011" w:rsidRDefault="00557011">
      <w:pPr>
        <w:pStyle w:val="FootnoteText"/>
      </w:pPr>
      <w:r>
        <w:rPr>
          <w:rStyle w:val="FootnoteReference"/>
        </w:rPr>
        <w:footnoteRef/>
      </w:r>
      <w:r>
        <w:t xml:space="preserve"> </w:t>
      </w:r>
      <w:r>
        <w:tab/>
        <w:t xml:space="preserve">Please see appendix B of attachment 3 for details. </w:t>
      </w:r>
    </w:p>
  </w:footnote>
  <w:footnote w:id="15">
    <w:p w:rsidR="009429B2" w:rsidRDefault="009429B2" w:rsidP="00782D05">
      <w:pPr>
        <w:pStyle w:val="FootnoteText"/>
      </w:pPr>
      <w:r>
        <w:rPr>
          <w:rStyle w:val="FootnoteReference"/>
        </w:rPr>
        <w:footnoteRef/>
      </w:r>
      <w:r>
        <w:t xml:space="preserve"> </w:t>
      </w:r>
      <w:r>
        <w:tab/>
        <w:t>In the case of making the annual adjustment for year 2, the previous year's AR would be the same as the approved smoothed revenue for year 1 as contained in the PTRM.</w:t>
      </w:r>
    </w:p>
  </w:footnote>
  <w:footnote w:id="16">
    <w:p w:rsidR="009429B2" w:rsidRDefault="009429B2">
      <w:pPr>
        <w:pStyle w:val="FootnoteText"/>
      </w:pPr>
      <w:r>
        <w:rPr>
          <w:rStyle w:val="FootnoteReference"/>
        </w:rPr>
        <w:footnoteRef/>
      </w:r>
      <w:r>
        <w:t xml:space="preserve"> </w:t>
      </w:r>
      <w:r>
        <w:tab/>
        <w:t xml:space="preserve">In the transmission determination for Powerlink's 2012–17 regulatory control </w:t>
      </w:r>
      <w:proofErr w:type="gramStart"/>
      <w:r>
        <w:t>period</w:t>
      </w:r>
      <w:proofErr w:type="gramEnd"/>
      <w:r>
        <w:t>, the CPI required for the annual MAR adjustment process reflects the March quarter CPI, which is typically published by the ABS in late April each year. For this transmission determination we require Powerlink to use the December quarter of the previous calendar year CPI for the annual MAR adjustment for its 2017–22 regulatory control period. December quarter CPI is typically released by the ABS towards the end of January of the following year</w:t>
      </w:r>
      <w:r w:rsidRPr="007E1FDA">
        <w:t>.</w:t>
      </w:r>
      <w:r>
        <w:t xml:space="preserve"> As the same set of CPI will be used for the RAB roll forward at the next reset for Powerlink in 2022, this change will allow us to update the actual CPI for RAB roll forward purposes well before the publication date of the </w:t>
      </w:r>
      <w:r w:rsidRPr="00E670A9">
        <w:t>AER's final decision at the next reset.</w:t>
      </w:r>
      <w:r>
        <w:t xml:space="preserve"> </w:t>
      </w:r>
      <w:r w:rsidRPr="007C785C">
        <w:t>We note that there will be an overlapping issue of the March quarter CPI when the transition to the December quarter CPI occurs (this will be in the year 201</w:t>
      </w:r>
      <w:r>
        <w:t>7</w:t>
      </w:r>
      <w:r w:rsidRPr="007C785C">
        <w:t>–1</w:t>
      </w:r>
      <w:r>
        <w:t>8</w:t>
      </w:r>
      <w:r w:rsidRPr="007C785C">
        <w:t xml:space="preserve"> for </w:t>
      </w:r>
      <w:r>
        <w:t>Powerlink</w:t>
      </w:r>
      <w:r w:rsidRPr="007C785C">
        <w:t>). This is because the CPI for March quarter 201</w:t>
      </w:r>
      <w:r>
        <w:t>7</w:t>
      </w:r>
      <w:r w:rsidRPr="007C785C">
        <w:t xml:space="preserve"> will be reflected in both 201</w:t>
      </w:r>
      <w:r>
        <w:t>6</w:t>
      </w:r>
      <w:r w:rsidRPr="007C785C">
        <w:t>–1</w:t>
      </w:r>
      <w:r>
        <w:t>7</w:t>
      </w:r>
      <w:r w:rsidRPr="007C785C">
        <w:t xml:space="preserve"> and 201</w:t>
      </w:r>
      <w:r>
        <w:t>7</w:t>
      </w:r>
      <w:r w:rsidRPr="007C785C">
        <w:t>–1</w:t>
      </w:r>
      <w:r>
        <w:t>8</w:t>
      </w:r>
      <w:r w:rsidRPr="007C785C">
        <w:t xml:space="preserve">. However, we consider this is only a transitional issue and </w:t>
      </w:r>
      <w:r>
        <w:t>unlikely to</w:t>
      </w:r>
      <w:r w:rsidRPr="007C785C">
        <w:t xml:space="preserve"> have a material impact on th</w:t>
      </w:r>
      <w:r>
        <w:t>e revenue to be recovered by Powerlink.</w:t>
      </w:r>
    </w:p>
  </w:footnote>
  <w:footnote w:id="17">
    <w:p w:rsidR="00557011" w:rsidRDefault="00557011">
      <w:pPr>
        <w:pStyle w:val="FootnoteText"/>
      </w:pPr>
      <w:r>
        <w:rPr>
          <w:rStyle w:val="FootnoteReference"/>
        </w:rPr>
        <w:footnoteRef/>
      </w:r>
      <w:r>
        <w:t xml:space="preserve"> </w:t>
      </w:r>
      <w:r>
        <w:tab/>
        <w:t>Please see appendix B of attachment 3 for details.</w:t>
      </w:r>
    </w:p>
  </w:footnote>
  <w:footnote w:id="18">
    <w:p w:rsidR="009429B2" w:rsidRDefault="009429B2" w:rsidP="00782D05">
      <w:pPr>
        <w:pStyle w:val="FootnoteText"/>
      </w:pPr>
      <w:r>
        <w:rPr>
          <w:rStyle w:val="FootnoteReference"/>
        </w:rPr>
        <w:footnoteRef/>
      </w:r>
      <w:r>
        <w:t xml:space="preserve"> </w:t>
      </w:r>
      <w:r>
        <w:tab/>
      </w:r>
      <w:proofErr w:type="gramStart"/>
      <w:r w:rsidRPr="00AA50BF">
        <w:t>NER, cl. 6A.7.4.</w:t>
      </w:r>
      <w:proofErr w:type="gramEnd"/>
    </w:p>
  </w:footnote>
  <w:footnote w:id="19">
    <w:p w:rsidR="009429B2" w:rsidRDefault="009429B2" w:rsidP="00782D05">
      <w:pPr>
        <w:pStyle w:val="FootnoteText"/>
      </w:pPr>
      <w:r>
        <w:rPr>
          <w:rStyle w:val="FootnoteReference"/>
        </w:rPr>
        <w:footnoteRef/>
      </w:r>
      <w:r>
        <w:t xml:space="preserve"> </w:t>
      </w:r>
      <w:r>
        <w:tab/>
      </w:r>
      <w:proofErr w:type="gramStart"/>
      <w:r w:rsidRPr="00AA50BF">
        <w:t xml:space="preserve">NER, </w:t>
      </w:r>
      <w:proofErr w:type="spellStart"/>
      <w:r w:rsidRPr="00AA50BF">
        <w:t>cl</w:t>
      </w:r>
      <w:r>
        <w:t>l</w:t>
      </w:r>
      <w:proofErr w:type="spellEnd"/>
      <w:r w:rsidRPr="00AA50BF">
        <w:t>.</w:t>
      </w:r>
      <w:proofErr w:type="gramEnd"/>
      <w:r w:rsidRPr="00AA50BF">
        <w:t xml:space="preserve"> </w:t>
      </w:r>
      <w:proofErr w:type="gramStart"/>
      <w:r w:rsidRPr="00AA50BF">
        <w:t>6A.7.2 and 6A.7.3.</w:t>
      </w:r>
      <w:proofErr w:type="gramEnd"/>
    </w:p>
  </w:footnote>
  <w:footnote w:id="20">
    <w:p w:rsidR="009429B2" w:rsidRDefault="009429B2" w:rsidP="00782D05">
      <w:pPr>
        <w:pStyle w:val="FootnoteText"/>
      </w:pPr>
      <w:r>
        <w:rPr>
          <w:rStyle w:val="FootnoteReference"/>
        </w:rPr>
        <w:footnoteRef/>
      </w:r>
      <w:r>
        <w:t xml:space="preserve"> </w:t>
      </w:r>
      <w:r>
        <w:tab/>
        <w:t xml:space="preserve">NER, </w:t>
      </w:r>
      <w:proofErr w:type="spellStart"/>
      <w:r>
        <w:t>cll</w:t>
      </w:r>
      <w:proofErr w:type="spellEnd"/>
      <w:r>
        <w:t xml:space="preserve"> 6A.23.3(c</w:t>
      </w:r>
      <w:proofErr w:type="gramStart"/>
      <w:r>
        <w:t>)(</w:t>
      </w:r>
      <w:proofErr w:type="gramEnd"/>
      <w:r>
        <w:t>2)(iii) and 6A.24.4(c).</w:t>
      </w:r>
    </w:p>
  </w:footnote>
  <w:footnote w:id="21">
    <w:p w:rsidR="009429B2" w:rsidRDefault="009429B2" w:rsidP="009F1D1C">
      <w:pPr>
        <w:pStyle w:val="FootnoteText"/>
      </w:pPr>
      <w:r>
        <w:rPr>
          <w:rStyle w:val="FootnoteReference"/>
        </w:rPr>
        <w:footnoteRef/>
      </w:r>
      <w:r>
        <w:t xml:space="preserve"> </w:t>
      </w:r>
      <w:r>
        <w:tab/>
      </w:r>
      <w:r w:rsidRPr="00E92071">
        <w:t xml:space="preserve">NER, cl. </w:t>
      </w:r>
      <w:proofErr w:type="gramStart"/>
      <w:r w:rsidRPr="00E92071">
        <w:t>6A.24.1(</w:t>
      </w:r>
      <w:proofErr w:type="gramEnd"/>
      <w:r w:rsidRPr="00E92071">
        <w:t>d).</w:t>
      </w:r>
    </w:p>
  </w:footnote>
  <w:footnote w:id="22">
    <w:p w:rsidR="009429B2" w:rsidRDefault="009429B2">
      <w:pPr>
        <w:pStyle w:val="FootnoteText"/>
      </w:pPr>
      <w:r>
        <w:rPr>
          <w:rStyle w:val="FootnoteReference"/>
        </w:rPr>
        <w:footnoteRef/>
      </w:r>
      <w:r>
        <w:t xml:space="preserve"> </w:t>
      </w:r>
      <w:r>
        <w:tab/>
        <w:t>Powerlink</w:t>
      </w:r>
      <w:r w:rsidRPr="00C10597">
        <w:t xml:space="preserve"> is not required to apply an X factor for 201</w:t>
      </w:r>
      <w:r>
        <w:t>7</w:t>
      </w:r>
      <w:r w:rsidRPr="00C10597">
        <w:t>–1</w:t>
      </w:r>
      <w:r>
        <w:t>8</w:t>
      </w:r>
      <w:r w:rsidRPr="00C10597">
        <w:t xml:space="preserve"> </w:t>
      </w:r>
      <w:r w:rsidRPr="006D43B4">
        <w:t xml:space="preserve">because </w:t>
      </w:r>
      <w:r>
        <w:t xml:space="preserve">we </w:t>
      </w:r>
      <w:r w:rsidRPr="006D43B4">
        <w:t>set</w:t>
      </w:r>
      <w:r>
        <w:t xml:space="preserve"> the 2017–18 MAR</w:t>
      </w:r>
      <w:r w:rsidRPr="006D43B4">
        <w:t xml:space="preserve"> in </w:t>
      </w:r>
      <w:r>
        <w:t>this</w:t>
      </w:r>
      <w:r w:rsidRPr="006D43B4">
        <w:t xml:space="preserve"> </w:t>
      </w:r>
      <w:r>
        <w:t>decision</w:t>
      </w:r>
      <w:r w:rsidRPr="00C10597">
        <w:t>.</w:t>
      </w:r>
    </w:p>
  </w:footnote>
  <w:footnote w:id="23">
    <w:p w:rsidR="009429B2" w:rsidRDefault="009429B2" w:rsidP="009F1D1C">
      <w:pPr>
        <w:pStyle w:val="FootnoteText"/>
      </w:pPr>
      <w:r>
        <w:rPr>
          <w:rStyle w:val="FootnoteReference"/>
        </w:rPr>
        <w:footnoteRef/>
      </w:r>
      <w:r>
        <w:t xml:space="preserve"> </w:t>
      </w:r>
      <w:r>
        <w:tab/>
        <w:t>NER, cl. 6A.5.3(c</w:t>
      </w:r>
      <w:proofErr w:type="gramStart"/>
      <w:r>
        <w:t>)(</w:t>
      </w:r>
      <w:proofErr w:type="gramEnd"/>
      <w:r>
        <w:t>3).</w:t>
      </w:r>
    </w:p>
  </w:footnote>
  <w:footnote w:id="24">
    <w:p w:rsidR="009429B2" w:rsidRDefault="009429B2" w:rsidP="009F1D1C">
      <w:pPr>
        <w:pStyle w:val="FootnoteText"/>
      </w:pPr>
      <w:r>
        <w:rPr>
          <w:rStyle w:val="FootnoteReference"/>
        </w:rPr>
        <w:footnoteRef/>
      </w:r>
      <w:r>
        <w:t xml:space="preserve"> </w:t>
      </w:r>
      <w:r>
        <w:tab/>
        <w:t xml:space="preserve">NER, </w:t>
      </w:r>
      <w:r w:rsidRPr="00FC276A">
        <w:t>cl</w:t>
      </w:r>
      <w:r>
        <w:t>.</w:t>
      </w:r>
      <w:r w:rsidRPr="00FC276A">
        <w:t xml:space="preserve"> 6A.6.8(c</w:t>
      </w:r>
      <w:proofErr w:type="gramStart"/>
      <w:r w:rsidRPr="00FC276A">
        <w:t>)(</w:t>
      </w:r>
      <w:proofErr w:type="gramEnd"/>
      <w:r w:rsidRPr="00FC276A">
        <w:t>2)</w:t>
      </w:r>
      <w:r>
        <w:t xml:space="preserve">. </w:t>
      </w:r>
      <w:r w:rsidRPr="00C729DC">
        <w:t>We consider a divergence of up to 3 per cent between the expected MAR and annual building block revenue requirement for the last year of the regulatory control period is appropriate, if this can achieve smoother price changes for users over the regulatory control period. In the present circumstances, based on the X factors we have determined</w:t>
      </w:r>
      <w:r w:rsidRPr="00000365">
        <w:t xml:space="preserve"> </w:t>
      </w:r>
      <w:r>
        <w:t>for Powerlink</w:t>
      </w:r>
      <w:r w:rsidRPr="00C729DC">
        <w:t xml:space="preserve">, this divergence is </w:t>
      </w:r>
      <w:r>
        <w:t>around 0.86</w:t>
      </w:r>
      <w:r w:rsidRPr="00C729DC">
        <w:t xml:space="preserve"> per cent.</w:t>
      </w:r>
    </w:p>
  </w:footnote>
  <w:footnote w:id="25">
    <w:p w:rsidR="009429B2" w:rsidRDefault="009429B2" w:rsidP="009F1D1C">
      <w:pPr>
        <w:pStyle w:val="FootnoteText"/>
      </w:pPr>
      <w:r>
        <w:rPr>
          <w:rStyle w:val="FootnoteReference"/>
        </w:rPr>
        <w:footnoteRef/>
      </w:r>
      <w:r>
        <w:t xml:space="preserve"> </w:t>
      </w:r>
      <w:r>
        <w:tab/>
      </w:r>
      <w:r w:rsidRPr="00FC276A">
        <w:t xml:space="preserve">In </w:t>
      </w:r>
      <w:r>
        <w:t>real 2016–17 dollar terms</w:t>
      </w:r>
      <w:r w:rsidRPr="00FC276A">
        <w:t>, t</w:t>
      </w:r>
      <w:r>
        <w:t>he average decrease</w:t>
      </w:r>
      <w:r w:rsidRPr="00FC276A">
        <w:t xml:space="preserve"> </w:t>
      </w:r>
      <w:r>
        <w:t>in our approved expected MAR for Powerlink</w:t>
      </w:r>
      <w:r w:rsidRPr="00FC276A">
        <w:t xml:space="preserve"> </w:t>
      </w:r>
      <w:r>
        <w:t>is</w:t>
      </w:r>
      <w:r w:rsidRPr="00FC276A">
        <w:t xml:space="preserve"> </w:t>
      </w:r>
      <w:r>
        <w:t>7.7 per cent</w:t>
      </w:r>
      <w:r w:rsidRPr="00FC276A">
        <w:t xml:space="preserve"> per annum over the</w:t>
      </w:r>
      <w:r>
        <w:t xml:space="preserve"> 2017–22</w:t>
      </w:r>
      <w:r w:rsidRPr="00FC276A">
        <w:t xml:space="preserve"> regulatory control </w:t>
      </w:r>
      <w:proofErr w:type="gramStart"/>
      <w:r w:rsidRPr="00FC276A">
        <w:t>period</w:t>
      </w:r>
      <w:proofErr w:type="gramEnd"/>
      <w:r>
        <w:t>.</w:t>
      </w:r>
    </w:p>
  </w:footnote>
  <w:footnote w:id="26">
    <w:p w:rsidR="009429B2" w:rsidRDefault="009429B2" w:rsidP="009F1D1C">
      <w:pPr>
        <w:pStyle w:val="FootnoteText"/>
      </w:pPr>
      <w:r>
        <w:rPr>
          <w:rStyle w:val="FootnoteReference"/>
        </w:rPr>
        <w:footnoteRef/>
      </w:r>
      <w:r>
        <w:t xml:space="preserve"> </w:t>
      </w:r>
      <w:r>
        <w:tab/>
        <w:t>In real 2016–17 dollar terms, this consists an initial decrease of 32.6 per cent from 2016–17 to 2017–18, followed by subsequent average annual decreases of 0.15 per cent during the remainder of the 2017–22 regulatory control period.</w:t>
      </w:r>
    </w:p>
  </w:footnote>
  <w:footnote w:id="27">
    <w:p w:rsidR="009429B2" w:rsidRDefault="009429B2" w:rsidP="009F1D1C">
      <w:pPr>
        <w:pStyle w:val="FootnoteText"/>
      </w:pPr>
      <w:r>
        <w:rPr>
          <w:rStyle w:val="FootnoteReference"/>
        </w:rPr>
        <w:footnoteRef/>
      </w:r>
      <w:r>
        <w:t xml:space="preserve"> </w:t>
      </w:r>
      <w:r>
        <w:tab/>
      </w:r>
      <w:proofErr w:type="gramStart"/>
      <w:r>
        <w:t>NER, cl. 6A.5.5.</w:t>
      </w:r>
      <w:proofErr w:type="gramEnd"/>
    </w:p>
  </w:footnote>
  <w:footnote w:id="28">
    <w:p w:rsidR="009429B2" w:rsidRDefault="009429B2" w:rsidP="009F1D1C">
      <w:pPr>
        <w:pStyle w:val="FootnoteText"/>
      </w:pPr>
      <w:r>
        <w:rPr>
          <w:rStyle w:val="FootnoteReference"/>
        </w:rPr>
        <w:footnoteRef/>
      </w:r>
      <w:r>
        <w:t xml:space="preserve"> </w:t>
      </w:r>
      <w:r>
        <w:tab/>
      </w:r>
      <w:proofErr w:type="gramStart"/>
      <w:r>
        <w:t xml:space="preserve">AER, </w:t>
      </w:r>
      <w:r w:rsidRPr="006B7504">
        <w:rPr>
          <w:rStyle w:val="AERtextitalic"/>
        </w:rPr>
        <w:t>Shared asset guideline</w:t>
      </w:r>
      <w:r>
        <w:t>, November 2013.</w:t>
      </w:r>
      <w:proofErr w:type="gramEnd"/>
    </w:p>
  </w:footnote>
  <w:footnote w:id="29">
    <w:p w:rsidR="009429B2" w:rsidRDefault="009429B2" w:rsidP="009F1D1C">
      <w:pPr>
        <w:pStyle w:val="FootnoteText"/>
      </w:pPr>
      <w:r>
        <w:rPr>
          <w:rStyle w:val="FootnoteReference"/>
        </w:rPr>
        <w:footnoteRef/>
      </w:r>
      <w:r>
        <w:t xml:space="preserve"> </w:t>
      </w:r>
      <w:r>
        <w:tab/>
      </w:r>
      <w:proofErr w:type="gramStart"/>
      <w:r>
        <w:t xml:space="preserve">AER, </w:t>
      </w:r>
      <w:r w:rsidRPr="00372EE1">
        <w:rPr>
          <w:rStyle w:val="AERtextitalic"/>
        </w:rPr>
        <w:t>Shared asset guideline</w:t>
      </w:r>
      <w:r>
        <w:t>, November 2013, p. 8.</w:t>
      </w:r>
      <w:proofErr w:type="gramEnd"/>
    </w:p>
  </w:footnote>
  <w:footnote w:id="30">
    <w:p w:rsidR="009429B2" w:rsidRDefault="009429B2" w:rsidP="009F1D1C">
      <w:pPr>
        <w:pStyle w:val="FootnoteText"/>
      </w:pPr>
      <w:r>
        <w:rPr>
          <w:rStyle w:val="FootnoteReference"/>
        </w:rPr>
        <w:footnoteRef/>
      </w:r>
      <w:r>
        <w:t xml:space="preserve"> </w:t>
      </w:r>
      <w:r>
        <w:tab/>
      </w:r>
      <w:proofErr w:type="gramStart"/>
      <w:r>
        <w:t xml:space="preserve">Powerlink, </w:t>
      </w:r>
      <w:r w:rsidRPr="00CB5742">
        <w:rPr>
          <w:rStyle w:val="AERtextitalic"/>
        </w:rPr>
        <w:t>Revenue proposal</w:t>
      </w:r>
      <w:r>
        <w:t>, January 2016, p.110.</w:t>
      </w:r>
      <w:proofErr w:type="gramEnd"/>
    </w:p>
  </w:footnote>
  <w:footnote w:id="31">
    <w:p w:rsidR="009429B2" w:rsidRDefault="009429B2" w:rsidP="009F1D1C">
      <w:pPr>
        <w:pStyle w:val="FootnoteText"/>
      </w:pPr>
      <w:r>
        <w:rPr>
          <w:rStyle w:val="FootnoteReference"/>
        </w:rPr>
        <w:footnoteRef/>
      </w:r>
      <w:r>
        <w:t xml:space="preserve"> </w:t>
      </w:r>
      <w:r>
        <w:tab/>
        <w:t>This was undertaken when we developed our</w:t>
      </w:r>
      <w:r w:rsidRPr="00F40AF1">
        <w:t xml:space="preserve"> shared asset guideline</w:t>
      </w:r>
      <w:r>
        <w:t>, during the 2013 calendar year, as part of our Better Regulation work program.</w:t>
      </w:r>
    </w:p>
  </w:footnote>
  <w:footnote w:id="32">
    <w:p w:rsidR="009429B2" w:rsidRDefault="009429B2" w:rsidP="00914F82">
      <w:pPr>
        <w:pStyle w:val="FootnoteText"/>
      </w:pPr>
      <w:r>
        <w:rPr>
          <w:rStyle w:val="FootnoteReference"/>
        </w:rPr>
        <w:footnoteRef/>
      </w:r>
      <w:r>
        <w:t xml:space="preserve"> </w:t>
      </w:r>
      <w:r>
        <w:tab/>
        <w:t>We will reassess the materiality of the forecast shared asset unregulated revenues for our final decision.</w:t>
      </w:r>
    </w:p>
  </w:footnote>
  <w:footnote w:id="33">
    <w:p w:rsidR="009429B2" w:rsidRDefault="009429B2" w:rsidP="009F1D1C">
      <w:pPr>
        <w:pStyle w:val="FootnoteText"/>
      </w:pPr>
      <w:r>
        <w:rPr>
          <w:rStyle w:val="FootnoteReference"/>
        </w:rPr>
        <w:footnoteRef/>
      </w:r>
      <w:r>
        <w:t xml:space="preserve"> </w:t>
      </w:r>
      <w:r>
        <w:tab/>
      </w:r>
      <w:proofErr w:type="gramStart"/>
      <w:r>
        <w:t xml:space="preserve">Powerlink, </w:t>
      </w:r>
      <w:r w:rsidRPr="00CB5742">
        <w:rPr>
          <w:rStyle w:val="AERtextitalic"/>
        </w:rPr>
        <w:t>Revenue proposal</w:t>
      </w:r>
      <w:r>
        <w:t>, PTRM, January 2016.</w:t>
      </w:r>
      <w:proofErr w:type="gramEnd"/>
    </w:p>
  </w:footnote>
  <w:footnote w:id="34">
    <w:p w:rsidR="009429B2" w:rsidRDefault="009429B2" w:rsidP="009F1D1C">
      <w:pPr>
        <w:pStyle w:val="FootnoteText"/>
      </w:pPr>
      <w:r>
        <w:rPr>
          <w:rStyle w:val="FootnoteReference"/>
        </w:rPr>
        <w:footnoteRef/>
      </w:r>
      <w:r>
        <w:t xml:space="preserve"> </w:t>
      </w:r>
      <w:r>
        <w:tab/>
        <w:t>On average, the draft decision</w:t>
      </w:r>
      <w:r w:rsidRPr="00724E58">
        <w:t xml:space="preserve"> </w:t>
      </w:r>
      <w:r>
        <w:t xml:space="preserve">transmission revenues will decrease by 5.4 per cent ($ nominal) </w:t>
      </w:r>
      <w:r w:rsidRPr="00724E58">
        <w:t xml:space="preserve">per </w:t>
      </w:r>
      <w:r w:rsidRPr="005E2807">
        <w:t>annum from 201</w:t>
      </w:r>
      <w:r>
        <w:t>6</w:t>
      </w:r>
      <w:r w:rsidRPr="005E2807">
        <w:t>–1</w:t>
      </w:r>
      <w:r>
        <w:t>7</w:t>
      </w:r>
      <w:r w:rsidRPr="005E2807">
        <w:t xml:space="preserve"> to 20</w:t>
      </w:r>
      <w:r>
        <w:t>21</w:t>
      </w:r>
      <w:r w:rsidRPr="005E2807">
        <w:t>–</w:t>
      </w:r>
      <w:r>
        <w:t>22</w:t>
      </w:r>
      <w:r w:rsidRPr="005E2807">
        <w:t xml:space="preserve">. The forecast energy delivered in </w:t>
      </w:r>
      <w:r>
        <w:t>Queensland</w:t>
      </w:r>
      <w:r w:rsidRPr="005E2807">
        <w:t xml:space="preserve"> </w:t>
      </w:r>
      <w:r>
        <w:t>will increase by a</w:t>
      </w:r>
      <w:r w:rsidR="002D6439">
        <w:t>n</w:t>
      </w:r>
      <w:r>
        <w:t xml:space="preserve"> average of 0.6 per </w:t>
      </w:r>
      <w:r w:rsidRPr="00724E58">
        <w:t>cent per</w:t>
      </w:r>
      <w:r>
        <w:t xml:space="preserve"> </w:t>
      </w:r>
      <w:r w:rsidRPr="00724E58">
        <w:t xml:space="preserve">annum </w:t>
      </w:r>
      <w:r>
        <w:t>across that period</w:t>
      </w:r>
      <w:r w:rsidRPr="00724E58">
        <w:t>.</w:t>
      </w:r>
      <w:r>
        <w:t xml:space="preserve"> As a result, the indicative transmission charge will decrease by 6.0 per cent ($ nominal) per annum from 2016–17 to 2021–22. </w:t>
      </w:r>
    </w:p>
  </w:footnote>
  <w:footnote w:id="35">
    <w:p w:rsidR="009429B2" w:rsidRDefault="009429B2" w:rsidP="009F1D1C">
      <w:pPr>
        <w:pStyle w:val="FootnoteText"/>
      </w:pPr>
      <w:r>
        <w:rPr>
          <w:rStyle w:val="FootnoteReference"/>
        </w:rPr>
        <w:footnoteRef/>
      </w:r>
      <w:r>
        <w:t xml:space="preserve"> </w:t>
      </w:r>
      <w:r>
        <w:tab/>
        <w:t xml:space="preserve">Powerlink, </w:t>
      </w:r>
      <w:r w:rsidRPr="00E6103C">
        <w:rPr>
          <w:rStyle w:val="AERtextitalic"/>
        </w:rPr>
        <w:t>Reset RIN – Table 7.6.1</w:t>
      </w:r>
      <w:r>
        <w:t>, October 2015</w:t>
      </w:r>
      <w:r w:rsidRPr="006C0DA4">
        <w:t>.</w:t>
      </w:r>
    </w:p>
  </w:footnote>
  <w:footnote w:id="36">
    <w:p w:rsidR="009429B2" w:rsidRDefault="009429B2" w:rsidP="009F1D1C">
      <w:pPr>
        <w:pStyle w:val="FootnoteText"/>
      </w:pPr>
      <w:r>
        <w:rPr>
          <w:rStyle w:val="FootnoteReference"/>
        </w:rPr>
        <w:footnoteRef/>
      </w:r>
      <w:r>
        <w:t xml:space="preserve"> </w:t>
      </w:r>
      <w:r>
        <w:tab/>
        <w:t>AEMC</w:t>
      </w:r>
      <w:r w:rsidRPr="00A6646A">
        <w:t xml:space="preserve">, </w:t>
      </w:r>
      <w:r>
        <w:rPr>
          <w:rStyle w:val="AERtextitalic"/>
        </w:rPr>
        <w:t>2015 Residential electricity price trends</w:t>
      </w:r>
      <w:r>
        <w:t>, December</w:t>
      </w:r>
      <w:r w:rsidRPr="00A6646A">
        <w:t xml:space="preserve"> 201</w:t>
      </w:r>
      <w:r>
        <w:t>5, p. 101.</w:t>
      </w:r>
    </w:p>
  </w:footnote>
  <w:footnote w:id="37">
    <w:p w:rsidR="009429B2" w:rsidRDefault="009429B2" w:rsidP="009F1D1C">
      <w:pPr>
        <w:pStyle w:val="FootnoteText"/>
      </w:pPr>
      <w:r>
        <w:rPr>
          <w:rStyle w:val="FootnoteReference"/>
        </w:rPr>
        <w:footnoteRef/>
      </w:r>
      <w:r>
        <w:t xml:space="preserve"> </w:t>
      </w:r>
      <w:r>
        <w:tab/>
        <w:t xml:space="preserve">Powerlink, </w:t>
      </w:r>
      <w:r w:rsidRPr="00E6103C">
        <w:rPr>
          <w:rStyle w:val="AERtextitalic"/>
        </w:rPr>
        <w:t>Reset RIN – Table 7.6.1</w:t>
      </w:r>
      <w:r>
        <w:t>, October 2015</w:t>
      </w:r>
      <w:r w:rsidRPr="006C0DA4">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9B2" w:rsidRDefault="009429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4">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5ECE4384"/>
    <w:multiLevelType w:val="multilevel"/>
    <w:tmpl w:val="FB628E2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8">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0">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19"/>
  </w:num>
  <w:num w:numId="14">
    <w:abstractNumId w:val="11"/>
  </w:num>
  <w:num w:numId="15">
    <w:abstractNumId w:val="14"/>
  </w:num>
  <w:num w:numId="16">
    <w:abstractNumId w:val="21"/>
  </w:num>
  <w:num w:numId="17">
    <w:abstractNumId w:val="10"/>
  </w:num>
  <w:num w:numId="18">
    <w:abstractNumId w:val="16"/>
  </w:num>
  <w:num w:numId="19">
    <w:abstractNumId w:val="22"/>
  </w:num>
  <w:num w:numId="20">
    <w:abstractNumId w:val="28"/>
  </w:num>
  <w:num w:numId="21">
    <w:abstractNumId w:val="25"/>
  </w:num>
  <w:num w:numId="22">
    <w:abstractNumId w:val="23"/>
  </w:num>
  <w:num w:numId="23">
    <w:abstractNumId w:val="17"/>
  </w:num>
  <w:num w:numId="24">
    <w:abstractNumId w:val="24"/>
  </w:num>
  <w:num w:numId="25">
    <w:abstractNumId w:val="26"/>
  </w:num>
  <w:num w:numId="26">
    <w:abstractNumId w:val="18"/>
  </w:num>
  <w:num w:numId="27">
    <w:abstractNumId w:val="15"/>
  </w:num>
  <w:num w:numId="28">
    <w:abstractNumId w:val="30"/>
  </w:num>
  <w:num w:numId="29">
    <w:abstractNumId w:val="20"/>
  </w:num>
  <w:num w:numId="30">
    <w:abstractNumId w:val="9"/>
  </w:num>
  <w:num w:numId="31">
    <w:abstractNumId w:val="29"/>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17"/>
    <w:lvlOverride w:ilvl="3">
      <w:lvl w:ilvl="3">
        <w:start w:val="1"/>
        <w:numFmt w:val="decimal"/>
        <w:lvlText w:val="%2.%3.%4"/>
        <w:lvlJc w:val="left"/>
        <w:pPr>
          <w:tabs>
            <w:tab w:val="num" w:pos="0"/>
          </w:tabs>
          <w:ind w:left="0" w:hanging="851"/>
        </w:pPr>
        <w:rPr>
          <w:rFonts w:hint="default"/>
        </w:rPr>
      </w:lvl>
    </w:lvlOverride>
  </w:num>
  <w:num w:numId="33">
    <w:abstractNumId w:val="13"/>
  </w:num>
  <w:num w:numId="3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8IIKWX6ppnlhV99+kUz3oGclyDDllVanvDVKk347/bY=" w:saltValue="H4KnGlAveiJyYl/vlEiNVQ==" w:algorithmName="SHA-256"/>
  <w:defaultTabStop w:val="340"/>
  <w:characterSpacingControl w:val="doNotCompress"/>
  <w:hdrShapeDefaults>
    <o:shapedefaults v:ext="edit" spidmax="2232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mleco\aer - draft decision powerlink transmission determination - attachment 1 - maximum allowed revenue - september 2016 (D2015-00169235).docx"/>
  </w:docVars>
  <w:rsids>
    <w:rsidRoot w:val="00961A4A"/>
    <w:rsid w:val="000051DC"/>
    <w:rsid w:val="0000658F"/>
    <w:rsid w:val="00007DE1"/>
    <w:rsid w:val="0001507B"/>
    <w:rsid w:val="00020016"/>
    <w:rsid w:val="00021202"/>
    <w:rsid w:val="00021823"/>
    <w:rsid w:val="00021C2B"/>
    <w:rsid w:val="0002498B"/>
    <w:rsid w:val="0002517F"/>
    <w:rsid w:val="00026187"/>
    <w:rsid w:val="000266FC"/>
    <w:rsid w:val="000273B3"/>
    <w:rsid w:val="00027E2D"/>
    <w:rsid w:val="0003578C"/>
    <w:rsid w:val="00044DA3"/>
    <w:rsid w:val="000474DF"/>
    <w:rsid w:val="00055A67"/>
    <w:rsid w:val="00063247"/>
    <w:rsid w:val="0006624E"/>
    <w:rsid w:val="00070F9F"/>
    <w:rsid w:val="0007137B"/>
    <w:rsid w:val="00073B74"/>
    <w:rsid w:val="00076416"/>
    <w:rsid w:val="00077D25"/>
    <w:rsid w:val="000805A8"/>
    <w:rsid w:val="0008190B"/>
    <w:rsid w:val="000836D9"/>
    <w:rsid w:val="00083924"/>
    <w:rsid w:val="00085663"/>
    <w:rsid w:val="00085EBF"/>
    <w:rsid w:val="00091B15"/>
    <w:rsid w:val="00093195"/>
    <w:rsid w:val="00095186"/>
    <w:rsid w:val="000A0E71"/>
    <w:rsid w:val="000A1C0C"/>
    <w:rsid w:val="000A3020"/>
    <w:rsid w:val="000A4840"/>
    <w:rsid w:val="000A62C1"/>
    <w:rsid w:val="000A6A79"/>
    <w:rsid w:val="000A6C7B"/>
    <w:rsid w:val="000B0A7B"/>
    <w:rsid w:val="000B1173"/>
    <w:rsid w:val="000B5827"/>
    <w:rsid w:val="000B6B35"/>
    <w:rsid w:val="000B7037"/>
    <w:rsid w:val="000C02D1"/>
    <w:rsid w:val="000C0C63"/>
    <w:rsid w:val="000C2B40"/>
    <w:rsid w:val="000C5255"/>
    <w:rsid w:val="000D07A7"/>
    <w:rsid w:val="000D122C"/>
    <w:rsid w:val="000D75B0"/>
    <w:rsid w:val="000E1819"/>
    <w:rsid w:val="000E4821"/>
    <w:rsid w:val="000E4AA9"/>
    <w:rsid w:val="000E6C72"/>
    <w:rsid w:val="000E7F39"/>
    <w:rsid w:val="00100EA2"/>
    <w:rsid w:val="00101AA1"/>
    <w:rsid w:val="00102338"/>
    <w:rsid w:val="00103CD2"/>
    <w:rsid w:val="00104566"/>
    <w:rsid w:val="00104FF6"/>
    <w:rsid w:val="001114AA"/>
    <w:rsid w:val="00115743"/>
    <w:rsid w:val="00116EB2"/>
    <w:rsid w:val="0012132C"/>
    <w:rsid w:val="00124609"/>
    <w:rsid w:val="00126A4C"/>
    <w:rsid w:val="001270E3"/>
    <w:rsid w:val="00132D43"/>
    <w:rsid w:val="00133366"/>
    <w:rsid w:val="00133F47"/>
    <w:rsid w:val="00134029"/>
    <w:rsid w:val="00142C2D"/>
    <w:rsid w:val="001441B5"/>
    <w:rsid w:val="00144C96"/>
    <w:rsid w:val="0014573B"/>
    <w:rsid w:val="001463A3"/>
    <w:rsid w:val="0015073A"/>
    <w:rsid w:val="001573E4"/>
    <w:rsid w:val="00160756"/>
    <w:rsid w:val="00161DC8"/>
    <w:rsid w:val="00165639"/>
    <w:rsid w:val="00166760"/>
    <w:rsid w:val="0017232E"/>
    <w:rsid w:val="00174102"/>
    <w:rsid w:val="001754EE"/>
    <w:rsid w:val="00180157"/>
    <w:rsid w:val="001809BC"/>
    <w:rsid w:val="00180E97"/>
    <w:rsid w:val="001820B4"/>
    <w:rsid w:val="00184351"/>
    <w:rsid w:val="00184AC8"/>
    <w:rsid w:val="00185BA5"/>
    <w:rsid w:val="00185CB9"/>
    <w:rsid w:val="00185DBE"/>
    <w:rsid w:val="00186ADC"/>
    <w:rsid w:val="00186F77"/>
    <w:rsid w:val="001877A4"/>
    <w:rsid w:val="001926A4"/>
    <w:rsid w:val="00192AD5"/>
    <w:rsid w:val="00194597"/>
    <w:rsid w:val="00194E00"/>
    <w:rsid w:val="0019745E"/>
    <w:rsid w:val="00197B16"/>
    <w:rsid w:val="001A530D"/>
    <w:rsid w:val="001A5FB3"/>
    <w:rsid w:val="001A7155"/>
    <w:rsid w:val="001B45A0"/>
    <w:rsid w:val="001B680E"/>
    <w:rsid w:val="001C6FBA"/>
    <w:rsid w:val="001D055E"/>
    <w:rsid w:val="001E1B3F"/>
    <w:rsid w:val="001E7161"/>
    <w:rsid w:val="001F05A4"/>
    <w:rsid w:val="001F3D4A"/>
    <w:rsid w:val="001F492E"/>
    <w:rsid w:val="001F64EF"/>
    <w:rsid w:val="001F6DA3"/>
    <w:rsid w:val="002010BC"/>
    <w:rsid w:val="002016E7"/>
    <w:rsid w:val="00202E03"/>
    <w:rsid w:val="002033B9"/>
    <w:rsid w:val="002043D0"/>
    <w:rsid w:val="0020492C"/>
    <w:rsid w:val="00204EC9"/>
    <w:rsid w:val="00206505"/>
    <w:rsid w:val="0020743F"/>
    <w:rsid w:val="00216C93"/>
    <w:rsid w:val="002174C5"/>
    <w:rsid w:val="00223051"/>
    <w:rsid w:val="00224DB9"/>
    <w:rsid w:val="0022569A"/>
    <w:rsid w:val="0023005C"/>
    <w:rsid w:val="00231012"/>
    <w:rsid w:val="00233775"/>
    <w:rsid w:val="0023414B"/>
    <w:rsid w:val="00243635"/>
    <w:rsid w:val="00247079"/>
    <w:rsid w:val="00251745"/>
    <w:rsid w:val="002552BA"/>
    <w:rsid w:val="00260016"/>
    <w:rsid w:val="002639E6"/>
    <w:rsid w:val="00263AC0"/>
    <w:rsid w:val="00264264"/>
    <w:rsid w:val="0026689B"/>
    <w:rsid w:val="0026772D"/>
    <w:rsid w:val="002730B2"/>
    <w:rsid w:val="00274C7E"/>
    <w:rsid w:val="002777CF"/>
    <w:rsid w:val="002810F2"/>
    <w:rsid w:val="00286874"/>
    <w:rsid w:val="00290C63"/>
    <w:rsid w:val="00291A99"/>
    <w:rsid w:val="00293B6D"/>
    <w:rsid w:val="00294332"/>
    <w:rsid w:val="00294B08"/>
    <w:rsid w:val="0029518C"/>
    <w:rsid w:val="002963DD"/>
    <w:rsid w:val="00296B65"/>
    <w:rsid w:val="002A7DEF"/>
    <w:rsid w:val="002B0696"/>
    <w:rsid w:val="002C0222"/>
    <w:rsid w:val="002C1499"/>
    <w:rsid w:val="002C233C"/>
    <w:rsid w:val="002C517B"/>
    <w:rsid w:val="002D3509"/>
    <w:rsid w:val="002D5457"/>
    <w:rsid w:val="002D6439"/>
    <w:rsid w:val="002D72E8"/>
    <w:rsid w:val="002D79AD"/>
    <w:rsid w:val="002E268F"/>
    <w:rsid w:val="002E34FB"/>
    <w:rsid w:val="002E78DD"/>
    <w:rsid w:val="002E7B22"/>
    <w:rsid w:val="002F12EC"/>
    <w:rsid w:val="002F7986"/>
    <w:rsid w:val="00301B40"/>
    <w:rsid w:val="00301C82"/>
    <w:rsid w:val="003029EE"/>
    <w:rsid w:val="00304D38"/>
    <w:rsid w:val="00305CC8"/>
    <w:rsid w:val="00307F6D"/>
    <w:rsid w:val="00314D83"/>
    <w:rsid w:val="0031571F"/>
    <w:rsid w:val="003177A2"/>
    <w:rsid w:val="00317E02"/>
    <w:rsid w:val="003204C4"/>
    <w:rsid w:val="003271B5"/>
    <w:rsid w:val="00327A1E"/>
    <w:rsid w:val="00327E28"/>
    <w:rsid w:val="00331264"/>
    <w:rsid w:val="00332FF8"/>
    <w:rsid w:val="00334C8D"/>
    <w:rsid w:val="003378BD"/>
    <w:rsid w:val="003424EA"/>
    <w:rsid w:val="00342C2F"/>
    <w:rsid w:val="003436EB"/>
    <w:rsid w:val="00343A18"/>
    <w:rsid w:val="00345744"/>
    <w:rsid w:val="003518B3"/>
    <w:rsid w:val="00353E79"/>
    <w:rsid w:val="00364EA0"/>
    <w:rsid w:val="00366981"/>
    <w:rsid w:val="00370678"/>
    <w:rsid w:val="0037214E"/>
    <w:rsid w:val="00372C85"/>
    <w:rsid w:val="00373845"/>
    <w:rsid w:val="003744E3"/>
    <w:rsid w:val="00375F71"/>
    <w:rsid w:val="00376219"/>
    <w:rsid w:val="0037663E"/>
    <w:rsid w:val="0037699E"/>
    <w:rsid w:val="00377A29"/>
    <w:rsid w:val="00377C69"/>
    <w:rsid w:val="0038415D"/>
    <w:rsid w:val="0038461C"/>
    <w:rsid w:val="003846F1"/>
    <w:rsid w:val="00390E6A"/>
    <w:rsid w:val="003926B6"/>
    <w:rsid w:val="00393ABE"/>
    <w:rsid w:val="00395DB6"/>
    <w:rsid w:val="00397398"/>
    <w:rsid w:val="003A371A"/>
    <w:rsid w:val="003A4084"/>
    <w:rsid w:val="003A59CD"/>
    <w:rsid w:val="003A6B00"/>
    <w:rsid w:val="003B1BB7"/>
    <w:rsid w:val="003B30B2"/>
    <w:rsid w:val="003B484F"/>
    <w:rsid w:val="003B504B"/>
    <w:rsid w:val="003B5179"/>
    <w:rsid w:val="003B685C"/>
    <w:rsid w:val="003B7FBA"/>
    <w:rsid w:val="003C6537"/>
    <w:rsid w:val="003C6A13"/>
    <w:rsid w:val="003C764A"/>
    <w:rsid w:val="003C78BA"/>
    <w:rsid w:val="003D41F1"/>
    <w:rsid w:val="003D42AB"/>
    <w:rsid w:val="003D5B94"/>
    <w:rsid w:val="003E0D3A"/>
    <w:rsid w:val="003E3AAB"/>
    <w:rsid w:val="003E7FE9"/>
    <w:rsid w:val="003F07D4"/>
    <w:rsid w:val="003F174D"/>
    <w:rsid w:val="003F2329"/>
    <w:rsid w:val="00400FD2"/>
    <w:rsid w:val="00403711"/>
    <w:rsid w:val="00404C52"/>
    <w:rsid w:val="004156D5"/>
    <w:rsid w:val="00415BA9"/>
    <w:rsid w:val="00415F31"/>
    <w:rsid w:val="0041691D"/>
    <w:rsid w:val="0042000C"/>
    <w:rsid w:val="0042090E"/>
    <w:rsid w:val="00421F27"/>
    <w:rsid w:val="004238D8"/>
    <w:rsid w:val="00423A77"/>
    <w:rsid w:val="004324F4"/>
    <w:rsid w:val="00434544"/>
    <w:rsid w:val="00445D43"/>
    <w:rsid w:val="00446CD2"/>
    <w:rsid w:val="0045777E"/>
    <w:rsid w:val="00465258"/>
    <w:rsid w:val="00471BC6"/>
    <w:rsid w:val="00476221"/>
    <w:rsid w:val="004766F5"/>
    <w:rsid w:val="00480B4B"/>
    <w:rsid w:val="004838D8"/>
    <w:rsid w:val="00483BF9"/>
    <w:rsid w:val="00485DC4"/>
    <w:rsid w:val="00494D04"/>
    <w:rsid w:val="004A40BA"/>
    <w:rsid w:val="004A43D1"/>
    <w:rsid w:val="004A492B"/>
    <w:rsid w:val="004B4412"/>
    <w:rsid w:val="004C348C"/>
    <w:rsid w:val="004C462E"/>
    <w:rsid w:val="004C6CA3"/>
    <w:rsid w:val="004C7F5E"/>
    <w:rsid w:val="004D343C"/>
    <w:rsid w:val="004D372A"/>
    <w:rsid w:val="004D55BA"/>
    <w:rsid w:val="004D720C"/>
    <w:rsid w:val="004E0FA7"/>
    <w:rsid w:val="004E22EC"/>
    <w:rsid w:val="004F0BFA"/>
    <w:rsid w:val="004F13DA"/>
    <w:rsid w:val="004F4D69"/>
    <w:rsid w:val="004F6883"/>
    <w:rsid w:val="004F6A0E"/>
    <w:rsid w:val="004F6BB3"/>
    <w:rsid w:val="005009CD"/>
    <w:rsid w:val="00504E5F"/>
    <w:rsid w:val="0051337E"/>
    <w:rsid w:val="00513FA7"/>
    <w:rsid w:val="0051768F"/>
    <w:rsid w:val="00522DC2"/>
    <w:rsid w:val="00527C7A"/>
    <w:rsid w:val="00530128"/>
    <w:rsid w:val="00532467"/>
    <w:rsid w:val="005332A9"/>
    <w:rsid w:val="0053603C"/>
    <w:rsid w:val="00537871"/>
    <w:rsid w:val="00542FE9"/>
    <w:rsid w:val="00544598"/>
    <w:rsid w:val="00544C8D"/>
    <w:rsid w:val="00544DFD"/>
    <w:rsid w:val="00556B1E"/>
    <w:rsid w:val="00557011"/>
    <w:rsid w:val="00564A4D"/>
    <w:rsid w:val="0056598C"/>
    <w:rsid w:val="00566E0B"/>
    <w:rsid w:val="00567BA5"/>
    <w:rsid w:val="00571B35"/>
    <w:rsid w:val="00571B43"/>
    <w:rsid w:val="00571D57"/>
    <w:rsid w:val="00573A3B"/>
    <w:rsid w:val="00577716"/>
    <w:rsid w:val="00577A09"/>
    <w:rsid w:val="005829C2"/>
    <w:rsid w:val="00584D8F"/>
    <w:rsid w:val="00587A18"/>
    <w:rsid w:val="00587ADE"/>
    <w:rsid w:val="005A0BEC"/>
    <w:rsid w:val="005A404D"/>
    <w:rsid w:val="005B1E3C"/>
    <w:rsid w:val="005B6518"/>
    <w:rsid w:val="005B704A"/>
    <w:rsid w:val="005B72D7"/>
    <w:rsid w:val="005C045F"/>
    <w:rsid w:val="005C16FE"/>
    <w:rsid w:val="005C1FAB"/>
    <w:rsid w:val="005C21A4"/>
    <w:rsid w:val="005C26CC"/>
    <w:rsid w:val="005C4463"/>
    <w:rsid w:val="005D3D88"/>
    <w:rsid w:val="005D48C4"/>
    <w:rsid w:val="005D6208"/>
    <w:rsid w:val="005D6366"/>
    <w:rsid w:val="005D7BA2"/>
    <w:rsid w:val="005E36C2"/>
    <w:rsid w:val="005E4AF4"/>
    <w:rsid w:val="005F387E"/>
    <w:rsid w:val="00601E0B"/>
    <w:rsid w:val="0060258B"/>
    <w:rsid w:val="00610EF9"/>
    <w:rsid w:val="00612F4F"/>
    <w:rsid w:val="00614EA0"/>
    <w:rsid w:val="00615C6B"/>
    <w:rsid w:val="00615F87"/>
    <w:rsid w:val="00617D4C"/>
    <w:rsid w:val="00621DCE"/>
    <w:rsid w:val="00621FC5"/>
    <w:rsid w:val="00624F2C"/>
    <w:rsid w:val="00632D6D"/>
    <w:rsid w:val="00636569"/>
    <w:rsid w:val="00636EF9"/>
    <w:rsid w:val="00642C3E"/>
    <w:rsid w:val="00643620"/>
    <w:rsid w:val="00644A01"/>
    <w:rsid w:val="00651E2D"/>
    <w:rsid w:val="00652324"/>
    <w:rsid w:val="006577FB"/>
    <w:rsid w:val="0066104A"/>
    <w:rsid w:val="00663066"/>
    <w:rsid w:val="00663DAD"/>
    <w:rsid w:val="00664206"/>
    <w:rsid w:val="006649E7"/>
    <w:rsid w:val="00666634"/>
    <w:rsid w:val="00671692"/>
    <w:rsid w:val="00675B17"/>
    <w:rsid w:val="00675E20"/>
    <w:rsid w:val="00676679"/>
    <w:rsid w:val="00683C89"/>
    <w:rsid w:val="006843D5"/>
    <w:rsid w:val="00691B53"/>
    <w:rsid w:val="00697D0B"/>
    <w:rsid w:val="006A12BA"/>
    <w:rsid w:val="006A4739"/>
    <w:rsid w:val="006A66A1"/>
    <w:rsid w:val="006B032D"/>
    <w:rsid w:val="006B2395"/>
    <w:rsid w:val="006B40AC"/>
    <w:rsid w:val="006B4CF9"/>
    <w:rsid w:val="006B797C"/>
    <w:rsid w:val="006B7AC8"/>
    <w:rsid w:val="006C1736"/>
    <w:rsid w:val="006C329B"/>
    <w:rsid w:val="006C6303"/>
    <w:rsid w:val="006D550F"/>
    <w:rsid w:val="006D6146"/>
    <w:rsid w:val="006D7F7E"/>
    <w:rsid w:val="006E0CFF"/>
    <w:rsid w:val="006E0E73"/>
    <w:rsid w:val="006F0D92"/>
    <w:rsid w:val="006F267D"/>
    <w:rsid w:val="0070011E"/>
    <w:rsid w:val="00701CAB"/>
    <w:rsid w:val="007023BB"/>
    <w:rsid w:val="00704DD7"/>
    <w:rsid w:val="00707563"/>
    <w:rsid w:val="00715F61"/>
    <w:rsid w:val="00722132"/>
    <w:rsid w:val="007228F7"/>
    <w:rsid w:val="0072348C"/>
    <w:rsid w:val="00724A37"/>
    <w:rsid w:val="007303C3"/>
    <w:rsid w:val="00731188"/>
    <w:rsid w:val="007356CC"/>
    <w:rsid w:val="007368E6"/>
    <w:rsid w:val="007375DF"/>
    <w:rsid w:val="007429BE"/>
    <w:rsid w:val="00743223"/>
    <w:rsid w:val="00743349"/>
    <w:rsid w:val="0074403A"/>
    <w:rsid w:val="00746E01"/>
    <w:rsid w:val="00751DCD"/>
    <w:rsid w:val="00755084"/>
    <w:rsid w:val="00757364"/>
    <w:rsid w:val="00757BDF"/>
    <w:rsid w:val="007609D0"/>
    <w:rsid w:val="00761454"/>
    <w:rsid w:val="0076193D"/>
    <w:rsid w:val="00763E5D"/>
    <w:rsid w:val="00767740"/>
    <w:rsid w:val="00767B5E"/>
    <w:rsid w:val="00775460"/>
    <w:rsid w:val="00777EE6"/>
    <w:rsid w:val="00782D05"/>
    <w:rsid w:val="00782EEA"/>
    <w:rsid w:val="0079012B"/>
    <w:rsid w:val="007909B4"/>
    <w:rsid w:val="00790E86"/>
    <w:rsid w:val="007949D7"/>
    <w:rsid w:val="007A0143"/>
    <w:rsid w:val="007A34C2"/>
    <w:rsid w:val="007A396C"/>
    <w:rsid w:val="007A4B02"/>
    <w:rsid w:val="007B0BE3"/>
    <w:rsid w:val="007B1816"/>
    <w:rsid w:val="007B186E"/>
    <w:rsid w:val="007B25DC"/>
    <w:rsid w:val="007B2C72"/>
    <w:rsid w:val="007B3789"/>
    <w:rsid w:val="007B4A42"/>
    <w:rsid w:val="007B651F"/>
    <w:rsid w:val="007B7BB5"/>
    <w:rsid w:val="007C1C53"/>
    <w:rsid w:val="007C284C"/>
    <w:rsid w:val="007C4B82"/>
    <w:rsid w:val="007C74BB"/>
    <w:rsid w:val="007C7F64"/>
    <w:rsid w:val="007D0A95"/>
    <w:rsid w:val="007D0EB5"/>
    <w:rsid w:val="007D456E"/>
    <w:rsid w:val="007D5837"/>
    <w:rsid w:val="007E4904"/>
    <w:rsid w:val="007E4CB5"/>
    <w:rsid w:val="007E4DAE"/>
    <w:rsid w:val="007F066B"/>
    <w:rsid w:val="007F4EAB"/>
    <w:rsid w:val="007F5B16"/>
    <w:rsid w:val="007F7C9D"/>
    <w:rsid w:val="008033C4"/>
    <w:rsid w:val="008049D6"/>
    <w:rsid w:val="00806731"/>
    <w:rsid w:val="00806C88"/>
    <w:rsid w:val="0081034E"/>
    <w:rsid w:val="00810806"/>
    <w:rsid w:val="00815882"/>
    <w:rsid w:val="00820454"/>
    <w:rsid w:val="00822AC7"/>
    <w:rsid w:val="00822E86"/>
    <w:rsid w:val="008344F6"/>
    <w:rsid w:val="0083510F"/>
    <w:rsid w:val="00837BF3"/>
    <w:rsid w:val="00841256"/>
    <w:rsid w:val="008415DE"/>
    <w:rsid w:val="008420DE"/>
    <w:rsid w:val="00845865"/>
    <w:rsid w:val="0084799B"/>
    <w:rsid w:val="00850C90"/>
    <w:rsid w:val="00851209"/>
    <w:rsid w:val="0085171F"/>
    <w:rsid w:val="0085675D"/>
    <w:rsid w:val="008658A1"/>
    <w:rsid w:val="0086716A"/>
    <w:rsid w:val="00870613"/>
    <w:rsid w:val="008737D3"/>
    <w:rsid w:val="0087380F"/>
    <w:rsid w:val="0087648F"/>
    <w:rsid w:val="00876612"/>
    <w:rsid w:val="008775CD"/>
    <w:rsid w:val="00882BB1"/>
    <w:rsid w:val="008837AC"/>
    <w:rsid w:val="008909DC"/>
    <w:rsid w:val="00894255"/>
    <w:rsid w:val="008945AD"/>
    <w:rsid w:val="008A0645"/>
    <w:rsid w:val="008A1C02"/>
    <w:rsid w:val="008A370D"/>
    <w:rsid w:val="008A587D"/>
    <w:rsid w:val="008B16B0"/>
    <w:rsid w:val="008B1BD5"/>
    <w:rsid w:val="008B35CD"/>
    <w:rsid w:val="008B4093"/>
    <w:rsid w:val="008B5FCC"/>
    <w:rsid w:val="008B7F36"/>
    <w:rsid w:val="008C0C53"/>
    <w:rsid w:val="008C357F"/>
    <w:rsid w:val="008C5486"/>
    <w:rsid w:val="008D1661"/>
    <w:rsid w:val="008D27E0"/>
    <w:rsid w:val="008D5F90"/>
    <w:rsid w:val="008D6800"/>
    <w:rsid w:val="008D72F1"/>
    <w:rsid w:val="008E4089"/>
    <w:rsid w:val="008E5AFF"/>
    <w:rsid w:val="008E7031"/>
    <w:rsid w:val="008E77DE"/>
    <w:rsid w:val="008F040C"/>
    <w:rsid w:val="008F07A3"/>
    <w:rsid w:val="008F3322"/>
    <w:rsid w:val="008F3519"/>
    <w:rsid w:val="008F3A0D"/>
    <w:rsid w:val="009001B6"/>
    <w:rsid w:val="00900E1B"/>
    <w:rsid w:val="0090131F"/>
    <w:rsid w:val="00907683"/>
    <w:rsid w:val="009132B7"/>
    <w:rsid w:val="00914F82"/>
    <w:rsid w:val="00916A2C"/>
    <w:rsid w:val="009233EE"/>
    <w:rsid w:val="00930B1A"/>
    <w:rsid w:val="00932612"/>
    <w:rsid w:val="009327DC"/>
    <w:rsid w:val="009338D9"/>
    <w:rsid w:val="009339BD"/>
    <w:rsid w:val="009356CF"/>
    <w:rsid w:val="00940064"/>
    <w:rsid w:val="009429B2"/>
    <w:rsid w:val="00945E53"/>
    <w:rsid w:val="009460AA"/>
    <w:rsid w:val="00951978"/>
    <w:rsid w:val="00952C8B"/>
    <w:rsid w:val="00961A4A"/>
    <w:rsid w:val="009661DE"/>
    <w:rsid w:val="00972C7C"/>
    <w:rsid w:val="0097300F"/>
    <w:rsid w:val="00976309"/>
    <w:rsid w:val="009776F4"/>
    <w:rsid w:val="00982DA2"/>
    <w:rsid w:val="00983C25"/>
    <w:rsid w:val="0098466D"/>
    <w:rsid w:val="009856B7"/>
    <w:rsid w:val="009859D6"/>
    <w:rsid w:val="00985C86"/>
    <w:rsid w:val="00992EE7"/>
    <w:rsid w:val="00993F65"/>
    <w:rsid w:val="009A5FC3"/>
    <w:rsid w:val="009B6B07"/>
    <w:rsid w:val="009B6F84"/>
    <w:rsid w:val="009B74B0"/>
    <w:rsid w:val="009C0152"/>
    <w:rsid w:val="009C1A74"/>
    <w:rsid w:val="009C3D42"/>
    <w:rsid w:val="009C491E"/>
    <w:rsid w:val="009C7114"/>
    <w:rsid w:val="009D0DF1"/>
    <w:rsid w:val="009D22D6"/>
    <w:rsid w:val="009D2C84"/>
    <w:rsid w:val="009D3906"/>
    <w:rsid w:val="009D6B46"/>
    <w:rsid w:val="009E35B6"/>
    <w:rsid w:val="009E5ABC"/>
    <w:rsid w:val="009F1D1C"/>
    <w:rsid w:val="009F3BBA"/>
    <w:rsid w:val="009F43B4"/>
    <w:rsid w:val="009F4940"/>
    <w:rsid w:val="009F5BA1"/>
    <w:rsid w:val="00A02A88"/>
    <w:rsid w:val="00A04012"/>
    <w:rsid w:val="00A045D4"/>
    <w:rsid w:val="00A046FA"/>
    <w:rsid w:val="00A0562E"/>
    <w:rsid w:val="00A0726D"/>
    <w:rsid w:val="00A073AE"/>
    <w:rsid w:val="00A10BD8"/>
    <w:rsid w:val="00A12204"/>
    <w:rsid w:val="00A12750"/>
    <w:rsid w:val="00A13CB0"/>
    <w:rsid w:val="00A1561F"/>
    <w:rsid w:val="00A16544"/>
    <w:rsid w:val="00A30BF5"/>
    <w:rsid w:val="00A31BE6"/>
    <w:rsid w:val="00A32FBB"/>
    <w:rsid w:val="00A40068"/>
    <w:rsid w:val="00A40BE9"/>
    <w:rsid w:val="00A428EE"/>
    <w:rsid w:val="00A443C2"/>
    <w:rsid w:val="00A4478A"/>
    <w:rsid w:val="00A44852"/>
    <w:rsid w:val="00A46425"/>
    <w:rsid w:val="00A50502"/>
    <w:rsid w:val="00A51A5C"/>
    <w:rsid w:val="00A53409"/>
    <w:rsid w:val="00A53796"/>
    <w:rsid w:val="00A53848"/>
    <w:rsid w:val="00A56945"/>
    <w:rsid w:val="00A56A6E"/>
    <w:rsid w:val="00A57D04"/>
    <w:rsid w:val="00A60A26"/>
    <w:rsid w:val="00A61598"/>
    <w:rsid w:val="00A61777"/>
    <w:rsid w:val="00A63646"/>
    <w:rsid w:val="00A63914"/>
    <w:rsid w:val="00A73F3F"/>
    <w:rsid w:val="00A75D62"/>
    <w:rsid w:val="00A844FB"/>
    <w:rsid w:val="00A84A99"/>
    <w:rsid w:val="00A84F46"/>
    <w:rsid w:val="00A85E87"/>
    <w:rsid w:val="00A86AEA"/>
    <w:rsid w:val="00A871F4"/>
    <w:rsid w:val="00A9431A"/>
    <w:rsid w:val="00A95988"/>
    <w:rsid w:val="00A959DF"/>
    <w:rsid w:val="00A97A1B"/>
    <w:rsid w:val="00AA2927"/>
    <w:rsid w:val="00AB2CB8"/>
    <w:rsid w:val="00AB4617"/>
    <w:rsid w:val="00AB4942"/>
    <w:rsid w:val="00AC1B2C"/>
    <w:rsid w:val="00AC3264"/>
    <w:rsid w:val="00AC46AD"/>
    <w:rsid w:val="00AC4D2D"/>
    <w:rsid w:val="00AC58EC"/>
    <w:rsid w:val="00AC7282"/>
    <w:rsid w:val="00AC7961"/>
    <w:rsid w:val="00AD2EB5"/>
    <w:rsid w:val="00AD314E"/>
    <w:rsid w:val="00AD5FCD"/>
    <w:rsid w:val="00AD6B48"/>
    <w:rsid w:val="00AD7A3A"/>
    <w:rsid w:val="00AE1BF1"/>
    <w:rsid w:val="00AE23AB"/>
    <w:rsid w:val="00AE58FB"/>
    <w:rsid w:val="00AE5AF0"/>
    <w:rsid w:val="00AE663D"/>
    <w:rsid w:val="00AE73B3"/>
    <w:rsid w:val="00AE780A"/>
    <w:rsid w:val="00AF07E7"/>
    <w:rsid w:val="00AF0DD2"/>
    <w:rsid w:val="00AF31E1"/>
    <w:rsid w:val="00AF3BBA"/>
    <w:rsid w:val="00AF4231"/>
    <w:rsid w:val="00B00B0E"/>
    <w:rsid w:val="00B00B26"/>
    <w:rsid w:val="00B02385"/>
    <w:rsid w:val="00B02F9D"/>
    <w:rsid w:val="00B05766"/>
    <w:rsid w:val="00B13048"/>
    <w:rsid w:val="00B13883"/>
    <w:rsid w:val="00B1716D"/>
    <w:rsid w:val="00B17A1D"/>
    <w:rsid w:val="00B207A0"/>
    <w:rsid w:val="00B21C21"/>
    <w:rsid w:val="00B22F54"/>
    <w:rsid w:val="00B247BA"/>
    <w:rsid w:val="00B24A7E"/>
    <w:rsid w:val="00B25C0C"/>
    <w:rsid w:val="00B27864"/>
    <w:rsid w:val="00B279A5"/>
    <w:rsid w:val="00B304B5"/>
    <w:rsid w:val="00B308A9"/>
    <w:rsid w:val="00B31047"/>
    <w:rsid w:val="00B33148"/>
    <w:rsid w:val="00B35CDF"/>
    <w:rsid w:val="00B403C2"/>
    <w:rsid w:val="00B405A1"/>
    <w:rsid w:val="00B4438A"/>
    <w:rsid w:val="00B45AA2"/>
    <w:rsid w:val="00B479CA"/>
    <w:rsid w:val="00B5084F"/>
    <w:rsid w:val="00B514DD"/>
    <w:rsid w:val="00B52AF0"/>
    <w:rsid w:val="00B53D5F"/>
    <w:rsid w:val="00B54051"/>
    <w:rsid w:val="00B561BD"/>
    <w:rsid w:val="00B56E03"/>
    <w:rsid w:val="00B62765"/>
    <w:rsid w:val="00B65DF5"/>
    <w:rsid w:val="00B7028C"/>
    <w:rsid w:val="00B70719"/>
    <w:rsid w:val="00B7679F"/>
    <w:rsid w:val="00B77159"/>
    <w:rsid w:val="00B8080B"/>
    <w:rsid w:val="00B82223"/>
    <w:rsid w:val="00B87BA5"/>
    <w:rsid w:val="00B87C39"/>
    <w:rsid w:val="00B93891"/>
    <w:rsid w:val="00B9562D"/>
    <w:rsid w:val="00BA21DA"/>
    <w:rsid w:val="00BA2B60"/>
    <w:rsid w:val="00BA3C93"/>
    <w:rsid w:val="00BA4665"/>
    <w:rsid w:val="00BA4EA5"/>
    <w:rsid w:val="00BA7FD7"/>
    <w:rsid w:val="00BB1681"/>
    <w:rsid w:val="00BB1A08"/>
    <w:rsid w:val="00BB2FB2"/>
    <w:rsid w:val="00BB3304"/>
    <w:rsid w:val="00BB6551"/>
    <w:rsid w:val="00BB6B99"/>
    <w:rsid w:val="00BC395F"/>
    <w:rsid w:val="00BC4A10"/>
    <w:rsid w:val="00BD30F4"/>
    <w:rsid w:val="00BD3446"/>
    <w:rsid w:val="00BD59CF"/>
    <w:rsid w:val="00BD66B1"/>
    <w:rsid w:val="00BE1312"/>
    <w:rsid w:val="00BE1F1B"/>
    <w:rsid w:val="00BE3F89"/>
    <w:rsid w:val="00BE47B5"/>
    <w:rsid w:val="00BE5FCE"/>
    <w:rsid w:val="00BF1A0E"/>
    <w:rsid w:val="00C0079E"/>
    <w:rsid w:val="00C01A68"/>
    <w:rsid w:val="00C0572A"/>
    <w:rsid w:val="00C13EBD"/>
    <w:rsid w:val="00C1631B"/>
    <w:rsid w:val="00C163AB"/>
    <w:rsid w:val="00C170F0"/>
    <w:rsid w:val="00C25962"/>
    <w:rsid w:val="00C25FA6"/>
    <w:rsid w:val="00C3099D"/>
    <w:rsid w:val="00C33011"/>
    <w:rsid w:val="00C362C1"/>
    <w:rsid w:val="00C41448"/>
    <w:rsid w:val="00C41950"/>
    <w:rsid w:val="00C42C3B"/>
    <w:rsid w:val="00C51672"/>
    <w:rsid w:val="00C538A9"/>
    <w:rsid w:val="00C53B5A"/>
    <w:rsid w:val="00C53E41"/>
    <w:rsid w:val="00C54909"/>
    <w:rsid w:val="00C54AF3"/>
    <w:rsid w:val="00C54F5A"/>
    <w:rsid w:val="00C569B4"/>
    <w:rsid w:val="00C57DDE"/>
    <w:rsid w:val="00C61468"/>
    <w:rsid w:val="00C61A97"/>
    <w:rsid w:val="00C61E44"/>
    <w:rsid w:val="00C64FF3"/>
    <w:rsid w:val="00C662AD"/>
    <w:rsid w:val="00C67A92"/>
    <w:rsid w:val="00C71280"/>
    <w:rsid w:val="00C717BF"/>
    <w:rsid w:val="00C76178"/>
    <w:rsid w:val="00C839E9"/>
    <w:rsid w:val="00C84560"/>
    <w:rsid w:val="00C86679"/>
    <w:rsid w:val="00C8792F"/>
    <w:rsid w:val="00C90472"/>
    <w:rsid w:val="00C91D6E"/>
    <w:rsid w:val="00CA489E"/>
    <w:rsid w:val="00CB0279"/>
    <w:rsid w:val="00CB666B"/>
    <w:rsid w:val="00CB734B"/>
    <w:rsid w:val="00CC41B6"/>
    <w:rsid w:val="00CC7ADA"/>
    <w:rsid w:val="00CC7F1D"/>
    <w:rsid w:val="00CD0A88"/>
    <w:rsid w:val="00CD125D"/>
    <w:rsid w:val="00CD283C"/>
    <w:rsid w:val="00CD3641"/>
    <w:rsid w:val="00CD66EA"/>
    <w:rsid w:val="00CD7432"/>
    <w:rsid w:val="00CE0FA5"/>
    <w:rsid w:val="00CE2A23"/>
    <w:rsid w:val="00CE31C8"/>
    <w:rsid w:val="00CE484B"/>
    <w:rsid w:val="00CE7CBA"/>
    <w:rsid w:val="00CF06F2"/>
    <w:rsid w:val="00CF0DEE"/>
    <w:rsid w:val="00CF42AA"/>
    <w:rsid w:val="00CF5EAA"/>
    <w:rsid w:val="00CF6AE3"/>
    <w:rsid w:val="00CF77BB"/>
    <w:rsid w:val="00D006AE"/>
    <w:rsid w:val="00D00905"/>
    <w:rsid w:val="00D010C1"/>
    <w:rsid w:val="00D01CF0"/>
    <w:rsid w:val="00D0442A"/>
    <w:rsid w:val="00D12A7B"/>
    <w:rsid w:val="00D12ADB"/>
    <w:rsid w:val="00D15E63"/>
    <w:rsid w:val="00D25A39"/>
    <w:rsid w:val="00D27CFA"/>
    <w:rsid w:val="00D310FA"/>
    <w:rsid w:val="00D325C6"/>
    <w:rsid w:val="00D37213"/>
    <w:rsid w:val="00D4360D"/>
    <w:rsid w:val="00D5607F"/>
    <w:rsid w:val="00D61388"/>
    <w:rsid w:val="00D61A54"/>
    <w:rsid w:val="00D62108"/>
    <w:rsid w:val="00D64AA4"/>
    <w:rsid w:val="00D64DEA"/>
    <w:rsid w:val="00D64F84"/>
    <w:rsid w:val="00D663CD"/>
    <w:rsid w:val="00D6726A"/>
    <w:rsid w:val="00D7001B"/>
    <w:rsid w:val="00D7160D"/>
    <w:rsid w:val="00D7168E"/>
    <w:rsid w:val="00D71E57"/>
    <w:rsid w:val="00D72D27"/>
    <w:rsid w:val="00D7786B"/>
    <w:rsid w:val="00D80893"/>
    <w:rsid w:val="00D82519"/>
    <w:rsid w:val="00D84854"/>
    <w:rsid w:val="00D91590"/>
    <w:rsid w:val="00D924AE"/>
    <w:rsid w:val="00D92CF1"/>
    <w:rsid w:val="00D92D38"/>
    <w:rsid w:val="00D950F5"/>
    <w:rsid w:val="00D97379"/>
    <w:rsid w:val="00DA4752"/>
    <w:rsid w:val="00DA4C09"/>
    <w:rsid w:val="00DA61F3"/>
    <w:rsid w:val="00DA7CB3"/>
    <w:rsid w:val="00DB0D00"/>
    <w:rsid w:val="00DB0F93"/>
    <w:rsid w:val="00DB1A67"/>
    <w:rsid w:val="00DB3721"/>
    <w:rsid w:val="00DB411E"/>
    <w:rsid w:val="00DB5074"/>
    <w:rsid w:val="00DB7249"/>
    <w:rsid w:val="00DC0281"/>
    <w:rsid w:val="00DC1930"/>
    <w:rsid w:val="00DC1C76"/>
    <w:rsid w:val="00DC4DBF"/>
    <w:rsid w:val="00DC4E19"/>
    <w:rsid w:val="00DC65FE"/>
    <w:rsid w:val="00DC7981"/>
    <w:rsid w:val="00DD4634"/>
    <w:rsid w:val="00DD4C07"/>
    <w:rsid w:val="00DD577D"/>
    <w:rsid w:val="00DD5ADC"/>
    <w:rsid w:val="00DE1093"/>
    <w:rsid w:val="00DE2B44"/>
    <w:rsid w:val="00DE4EFA"/>
    <w:rsid w:val="00DE5520"/>
    <w:rsid w:val="00DE563D"/>
    <w:rsid w:val="00DE7AB5"/>
    <w:rsid w:val="00DF0152"/>
    <w:rsid w:val="00DF1958"/>
    <w:rsid w:val="00DF1A4A"/>
    <w:rsid w:val="00E04818"/>
    <w:rsid w:val="00E06442"/>
    <w:rsid w:val="00E06952"/>
    <w:rsid w:val="00E11E61"/>
    <w:rsid w:val="00E157B2"/>
    <w:rsid w:val="00E16055"/>
    <w:rsid w:val="00E2332D"/>
    <w:rsid w:val="00E23993"/>
    <w:rsid w:val="00E2574F"/>
    <w:rsid w:val="00E25951"/>
    <w:rsid w:val="00E25B8C"/>
    <w:rsid w:val="00E31CF6"/>
    <w:rsid w:val="00E34A4A"/>
    <w:rsid w:val="00E35AFC"/>
    <w:rsid w:val="00E41D39"/>
    <w:rsid w:val="00E50A02"/>
    <w:rsid w:val="00E54106"/>
    <w:rsid w:val="00E54697"/>
    <w:rsid w:val="00E57A08"/>
    <w:rsid w:val="00E63631"/>
    <w:rsid w:val="00E64C2A"/>
    <w:rsid w:val="00E65C85"/>
    <w:rsid w:val="00E66199"/>
    <w:rsid w:val="00E70526"/>
    <w:rsid w:val="00E70870"/>
    <w:rsid w:val="00E73D77"/>
    <w:rsid w:val="00E754B4"/>
    <w:rsid w:val="00E755EC"/>
    <w:rsid w:val="00E7624D"/>
    <w:rsid w:val="00E81724"/>
    <w:rsid w:val="00E819A4"/>
    <w:rsid w:val="00E833FA"/>
    <w:rsid w:val="00E84B74"/>
    <w:rsid w:val="00E87066"/>
    <w:rsid w:val="00E966BF"/>
    <w:rsid w:val="00EA0C04"/>
    <w:rsid w:val="00EA21A9"/>
    <w:rsid w:val="00EA3D42"/>
    <w:rsid w:val="00EA6B1B"/>
    <w:rsid w:val="00EB1CBD"/>
    <w:rsid w:val="00EB3A34"/>
    <w:rsid w:val="00EB3C3F"/>
    <w:rsid w:val="00EB5983"/>
    <w:rsid w:val="00EC04F1"/>
    <w:rsid w:val="00EC237F"/>
    <w:rsid w:val="00EC573A"/>
    <w:rsid w:val="00ED35C8"/>
    <w:rsid w:val="00ED3968"/>
    <w:rsid w:val="00ED7323"/>
    <w:rsid w:val="00EE28F3"/>
    <w:rsid w:val="00EE50D1"/>
    <w:rsid w:val="00EE7614"/>
    <w:rsid w:val="00EF5110"/>
    <w:rsid w:val="00EF5890"/>
    <w:rsid w:val="00EF76BA"/>
    <w:rsid w:val="00F0231A"/>
    <w:rsid w:val="00F03463"/>
    <w:rsid w:val="00F036B7"/>
    <w:rsid w:val="00F0700F"/>
    <w:rsid w:val="00F07F1F"/>
    <w:rsid w:val="00F10411"/>
    <w:rsid w:val="00F10A9A"/>
    <w:rsid w:val="00F11B2D"/>
    <w:rsid w:val="00F121C2"/>
    <w:rsid w:val="00F1485B"/>
    <w:rsid w:val="00F15882"/>
    <w:rsid w:val="00F1628C"/>
    <w:rsid w:val="00F170C7"/>
    <w:rsid w:val="00F171E0"/>
    <w:rsid w:val="00F20BD3"/>
    <w:rsid w:val="00F322E9"/>
    <w:rsid w:val="00F3231B"/>
    <w:rsid w:val="00F33808"/>
    <w:rsid w:val="00F373A5"/>
    <w:rsid w:val="00F37864"/>
    <w:rsid w:val="00F404F9"/>
    <w:rsid w:val="00F44B0A"/>
    <w:rsid w:val="00F47559"/>
    <w:rsid w:val="00F50B30"/>
    <w:rsid w:val="00F51F5F"/>
    <w:rsid w:val="00F52D75"/>
    <w:rsid w:val="00F55582"/>
    <w:rsid w:val="00F57647"/>
    <w:rsid w:val="00F62A14"/>
    <w:rsid w:val="00F644AB"/>
    <w:rsid w:val="00F64C7B"/>
    <w:rsid w:val="00F676DD"/>
    <w:rsid w:val="00F67AB6"/>
    <w:rsid w:val="00F70028"/>
    <w:rsid w:val="00F70434"/>
    <w:rsid w:val="00F748CC"/>
    <w:rsid w:val="00F75A26"/>
    <w:rsid w:val="00F76706"/>
    <w:rsid w:val="00F77D6D"/>
    <w:rsid w:val="00F80206"/>
    <w:rsid w:val="00F83034"/>
    <w:rsid w:val="00F83FAD"/>
    <w:rsid w:val="00F844C6"/>
    <w:rsid w:val="00F92FA6"/>
    <w:rsid w:val="00F9353B"/>
    <w:rsid w:val="00F937F1"/>
    <w:rsid w:val="00F952A0"/>
    <w:rsid w:val="00FA31B1"/>
    <w:rsid w:val="00FA3320"/>
    <w:rsid w:val="00FA3C7F"/>
    <w:rsid w:val="00FA6246"/>
    <w:rsid w:val="00FB24ED"/>
    <w:rsid w:val="00FB3304"/>
    <w:rsid w:val="00FB5005"/>
    <w:rsid w:val="00FB60FE"/>
    <w:rsid w:val="00FB74E2"/>
    <w:rsid w:val="00FB778B"/>
    <w:rsid w:val="00FC4DF0"/>
    <w:rsid w:val="00FD5614"/>
    <w:rsid w:val="00FD5E78"/>
    <w:rsid w:val="00FE0BE1"/>
    <w:rsid w:val="00FE11BB"/>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32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09276364">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218591781">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energymadeeasy.gov.au"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ERInquiry@aer.gov.au" TargetMode="Externa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15930E0C.dotm</Template>
  <TotalTime>0</TotalTime>
  <Pages>23</Pages>
  <Words>5079</Words>
  <Characters>28952</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AER draft decision - Powerlink - Attachment 1 - Maximum allowed revenue</vt:lpstr>
    </vt:vector>
  </TitlesOfParts>
  <LinksUpToDate>false</LinksUpToDate>
  <CharactersWithSpaces>33964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 draft decision - Powerlink - Attachment 1 - Maximum allowed revenue</dc:title>
  <dc:creator/>
  <cp:lastModifiedBy/>
  <cp:revision>1</cp:revision>
  <dcterms:created xsi:type="dcterms:W3CDTF">2016-09-27T23:10:00Z</dcterms:created>
  <dcterms:modified xsi:type="dcterms:W3CDTF">2016-09-27T23:10:00Z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\\cdchnas-evs02\home$\mleco\aer - draft decision powerlink transmission determination - attachment 1 - maximum allowed revenue - september 2016 (D2015-00169235).docx</vt:lpwstr>
  </property>
</Properties>
</file>