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DB" w:rsidRDefault="00C70E79" w:rsidP="00290C63">
      <w:pPr>
        <w:rPr>
          <w:rFonts w:eastAsiaTheme="majorEastAsia" w:cstheme="majorBidi"/>
          <w:noProof/>
          <w:sz w:val="36"/>
          <w:szCs w:val="36"/>
          <w:lang w:eastAsia="en-AU"/>
        </w:rPr>
      </w:pPr>
      <w:r w:rsidRPr="00DB723B">
        <w:rPr>
          <w:noProof/>
          <w:lang w:eastAsia="en-AU"/>
        </w:rPr>
        <w:drawing>
          <wp:anchor distT="0" distB="0" distL="114300" distR="114300" simplePos="0" relativeHeight="251661312" behindDoc="1" locked="0" layoutInCell="1" allowOverlap="1" wp14:anchorId="1E510052" wp14:editId="2486073B">
            <wp:simplePos x="0" y="0"/>
            <wp:positionH relativeFrom="column">
              <wp:posOffset>-1109980</wp:posOffset>
            </wp:positionH>
            <wp:positionV relativeFrom="paragraph">
              <wp:posOffset>-911860</wp:posOffset>
            </wp:positionV>
            <wp:extent cx="7734300" cy="109321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160"/>
                    </a:xfrm>
                    <a:prstGeom prst="rect">
                      <a:avLst/>
                    </a:prstGeom>
                    <a:noFill/>
                  </pic:spPr>
                </pic:pic>
              </a:graphicData>
            </a:graphic>
            <wp14:sizeRelH relativeFrom="page">
              <wp14:pctWidth>0</wp14:pctWidth>
            </wp14:sizeRelH>
            <wp14:sizeRelV relativeFrom="page">
              <wp14:pctHeight>0</wp14:pctHeight>
            </wp14:sizeRelV>
          </wp:anchor>
        </w:drawing>
      </w:r>
      <w:r w:rsidR="005243DB">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4D03A2D" wp14:editId="03549EB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Attachment 1</w:t>
          </w:r>
          <w:r w:rsidR="0023005C">
            <w:t>1</w:t>
          </w:r>
          <w:r>
            <w:t xml:space="preserve"> </w:t>
          </w:r>
          <w:r w:rsidRPr="000474DF">
            <w:t>−</w:t>
          </w:r>
          <w:r>
            <w:t xml:space="preserve"> </w:t>
          </w:r>
          <w:r w:rsidR="0023005C">
            <w:t>Service target performance incentive scheme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81E16">
        <w:t>1</w:t>
      </w:r>
      <w:r w:rsidR="00DE62B1">
        <w:t>3</w:t>
      </w:r>
      <w:bookmarkStart w:id="1" w:name="_GoBack"/>
      <w:bookmarkEnd w:id="1"/>
      <w:r w:rsidR="00A81E16">
        <w:t>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2811"/>
      <w:r>
        <w:lastRenderedPageBreak/>
        <w:t>Note</w:t>
      </w:r>
      <w:bookmarkEnd w:id="2"/>
      <w:bookmarkEnd w:id="3"/>
      <w:bookmarkEnd w:id="4"/>
    </w:p>
    <w:p w:rsidR="00761454" w:rsidRDefault="00761454" w:rsidP="00761454">
      <w:pPr>
        <w:numPr>
          <w:ilvl w:val="0"/>
          <w:numId w:val="24"/>
        </w:numPr>
      </w:pPr>
      <w:r>
        <w:t xml:space="preserve">This </w:t>
      </w:r>
      <w:r w:rsidR="00A81E16">
        <w:t>attachment</w:t>
      </w:r>
      <w:r>
        <w:t xml:space="preserve"> forms part of the AER's </w:t>
      </w:r>
      <w:r w:rsidR="000474DF">
        <w:t xml:space="preserve">draft </w:t>
      </w:r>
      <w:r>
        <w:t xml:space="preserve">decision on </w:t>
      </w:r>
      <w:r w:rsidR="00840004">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281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1C054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2811" w:history="1">
            <w:r w:rsidR="001C0547" w:rsidRPr="001B0F67">
              <w:rPr>
                <w:rStyle w:val="Hyperlink"/>
              </w:rPr>
              <w:t>Note</w:t>
            </w:r>
            <w:r w:rsidR="001C0547">
              <w:rPr>
                <w:webHidden/>
              </w:rPr>
              <w:tab/>
            </w:r>
            <w:r w:rsidR="001C0547">
              <w:rPr>
                <w:webHidden/>
              </w:rPr>
              <w:fldChar w:fldCharType="begin"/>
            </w:r>
            <w:r w:rsidR="001C0547">
              <w:rPr>
                <w:webHidden/>
              </w:rPr>
              <w:instrText xml:space="preserve"> PAGEREF _Toc462752811 \h </w:instrText>
            </w:r>
            <w:r w:rsidR="001C0547">
              <w:rPr>
                <w:webHidden/>
              </w:rPr>
            </w:r>
            <w:r w:rsidR="001C0547">
              <w:rPr>
                <w:webHidden/>
              </w:rPr>
              <w:fldChar w:fldCharType="separate"/>
            </w:r>
            <w:r w:rsidR="001C0547">
              <w:rPr>
                <w:webHidden/>
              </w:rPr>
              <w:t>11-2</w:t>
            </w:r>
            <w:r w:rsidR="001C0547">
              <w:rPr>
                <w:webHidden/>
              </w:rPr>
              <w:fldChar w:fldCharType="end"/>
            </w:r>
          </w:hyperlink>
        </w:p>
        <w:p w:rsidR="001C0547" w:rsidRDefault="00E6549B">
          <w:pPr>
            <w:pStyle w:val="TOC1"/>
            <w:rPr>
              <w:rFonts w:asciiTheme="minorHAnsi" w:eastAsiaTheme="minorEastAsia" w:hAnsiTheme="minorHAnsi"/>
              <w:b w:val="0"/>
              <w:color w:val="auto"/>
              <w:sz w:val="22"/>
              <w:lang w:val="en-AU" w:eastAsia="en-AU"/>
            </w:rPr>
          </w:pPr>
          <w:hyperlink w:anchor="_Toc462752812" w:history="1">
            <w:r w:rsidR="001C0547" w:rsidRPr="001B0F67">
              <w:rPr>
                <w:rStyle w:val="Hyperlink"/>
              </w:rPr>
              <w:t>Contents</w:t>
            </w:r>
            <w:r w:rsidR="001C0547">
              <w:rPr>
                <w:webHidden/>
              </w:rPr>
              <w:tab/>
            </w:r>
            <w:r w:rsidR="001C0547">
              <w:rPr>
                <w:webHidden/>
              </w:rPr>
              <w:fldChar w:fldCharType="begin"/>
            </w:r>
            <w:r w:rsidR="001C0547">
              <w:rPr>
                <w:webHidden/>
              </w:rPr>
              <w:instrText xml:space="preserve"> PAGEREF _Toc462752812 \h </w:instrText>
            </w:r>
            <w:r w:rsidR="001C0547">
              <w:rPr>
                <w:webHidden/>
              </w:rPr>
            </w:r>
            <w:r w:rsidR="001C0547">
              <w:rPr>
                <w:webHidden/>
              </w:rPr>
              <w:fldChar w:fldCharType="separate"/>
            </w:r>
            <w:r w:rsidR="001C0547">
              <w:rPr>
                <w:webHidden/>
              </w:rPr>
              <w:t>11-3</w:t>
            </w:r>
            <w:r w:rsidR="001C0547">
              <w:rPr>
                <w:webHidden/>
              </w:rPr>
              <w:fldChar w:fldCharType="end"/>
            </w:r>
          </w:hyperlink>
        </w:p>
        <w:p w:rsidR="001C0547" w:rsidRDefault="00E6549B">
          <w:pPr>
            <w:pStyle w:val="TOC1"/>
            <w:rPr>
              <w:rFonts w:asciiTheme="minorHAnsi" w:eastAsiaTheme="minorEastAsia" w:hAnsiTheme="minorHAnsi"/>
              <w:b w:val="0"/>
              <w:color w:val="auto"/>
              <w:sz w:val="22"/>
              <w:lang w:val="en-AU" w:eastAsia="en-AU"/>
            </w:rPr>
          </w:pPr>
          <w:hyperlink w:anchor="_Toc462752813" w:history="1">
            <w:r w:rsidR="001C0547" w:rsidRPr="001B0F67">
              <w:rPr>
                <w:rStyle w:val="Hyperlink"/>
              </w:rPr>
              <w:t>Shortened forms</w:t>
            </w:r>
            <w:r w:rsidR="001C0547">
              <w:rPr>
                <w:webHidden/>
              </w:rPr>
              <w:tab/>
            </w:r>
            <w:r w:rsidR="001C0547">
              <w:rPr>
                <w:webHidden/>
              </w:rPr>
              <w:fldChar w:fldCharType="begin"/>
            </w:r>
            <w:r w:rsidR="001C0547">
              <w:rPr>
                <w:webHidden/>
              </w:rPr>
              <w:instrText xml:space="preserve"> PAGEREF _Toc462752813 \h </w:instrText>
            </w:r>
            <w:r w:rsidR="001C0547">
              <w:rPr>
                <w:webHidden/>
              </w:rPr>
            </w:r>
            <w:r w:rsidR="001C0547">
              <w:rPr>
                <w:webHidden/>
              </w:rPr>
              <w:fldChar w:fldCharType="separate"/>
            </w:r>
            <w:r w:rsidR="001C0547">
              <w:rPr>
                <w:webHidden/>
              </w:rPr>
              <w:t>11-4</w:t>
            </w:r>
            <w:r w:rsidR="001C0547">
              <w:rPr>
                <w:webHidden/>
              </w:rPr>
              <w:fldChar w:fldCharType="end"/>
            </w:r>
          </w:hyperlink>
        </w:p>
        <w:p w:rsidR="001C0547" w:rsidRDefault="00E6549B">
          <w:pPr>
            <w:pStyle w:val="TOC1"/>
            <w:rPr>
              <w:rFonts w:asciiTheme="minorHAnsi" w:eastAsiaTheme="minorEastAsia" w:hAnsiTheme="minorHAnsi"/>
              <w:b w:val="0"/>
              <w:color w:val="auto"/>
              <w:sz w:val="22"/>
              <w:lang w:val="en-AU" w:eastAsia="en-AU"/>
            </w:rPr>
          </w:pPr>
          <w:hyperlink w:anchor="_Toc462752814" w:history="1">
            <w:r w:rsidR="001C0547" w:rsidRPr="001B0F67">
              <w:rPr>
                <w:rStyle w:val="Hyperlink"/>
              </w:rPr>
              <w:t>11</w:t>
            </w:r>
            <w:r w:rsidR="001C0547">
              <w:rPr>
                <w:rFonts w:asciiTheme="minorHAnsi" w:eastAsiaTheme="minorEastAsia" w:hAnsiTheme="minorHAnsi"/>
                <w:b w:val="0"/>
                <w:color w:val="auto"/>
                <w:sz w:val="22"/>
                <w:lang w:val="en-AU" w:eastAsia="en-AU"/>
              </w:rPr>
              <w:tab/>
            </w:r>
            <w:r w:rsidR="001C0547" w:rsidRPr="001B0F67">
              <w:rPr>
                <w:rStyle w:val="Hyperlink"/>
              </w:rPr>
              <w:t>Service target performance incentive scheme</w:t>
            </w:r>
            <w:r w:rsidR="001C0547">
              <w:rPr>
                <w:webHidden/>
              </w:rPr>
              <w:tab/>
            </w:r>
            <w:r w:rsidR="001C0547">
              <w:rPr>
                <w:webHidden/>
              </w:rPr>
              <w:fldChar w:fldCharType="begin"/>
            </w:r>
            <w:r w:rsidR="001C0547">
              <w:rPr>
                <w:webHidden/>
              </w:rPr>
              <w:instrText xml:space="preserve"> PAGEREF _Toc462752814 \h </w:instrText>
            </w:r>
            <w:r w:rsidR="001C0547">
              <w:rPr>
                <w:webHidden/>
              </w:rPr>
            </w:r>
            <w:r w:rsidR="001C0547">
              <w:rPr>
                <w:webHidden/>
              </w:rPr>
              <w:fldChar w:fldCharType="separate"/>
            </w:r>
            <w:r w:rsidR="001C0547">
              <w:rPr>
                <w:webHidden/>
              </w:rPr>
              <w:t>11-6</w:t>
            </w:r>
            <w:r w:rsidR="001C0547">
              <w:rPr>
                <w:webHidden/>
              </w:rPr>
              <w:fldChar w:fldCharType="end"/>
            </w:r>
          </w:hyperlink>
        </w:p>
        <w:p w:rsidR="001C0547" w:rsidRDefault="00E6549B">
          <w:pPr>
            <w:pStyle w:val="TOC2"/>
            <w:tabs>
              <w:tab w:val="left" w:pos="1276"/>
            </w:tabs>
            <w:rPr>
              <w:rFonts w:asciiTheme="minorHAnsi" w:eastAsiaTheme="minorEastAsia" w:hAnsiTheme="minorHAnsi"/>
              <w:b w:val="0"/>
              <w:color w:val="auto"/>
              <w:sz w:val="22"/>
              <w:lang w:eastAsia="en-AU"/>
            </w:rPr>
          </w:pPr>
          <w:hyperlink w:anchor="_Toc462752815" w:history="1">
            <w:r w:rsidR="001C0547" w:rsidRPr="001B0F67">
              <w:rPr>
                <w:rStyle w:val="Hyperlink"/>
              </w:rPr>
              <w:t>11.1</w:t>
            </w:r>
            <w:r w:rsidR="001C0547">
              <w:rPr>
                <w:rFonts w:asciiTheme="minorHAnsi" w:eastAsiaTheme="minorEastAsia" w:hAnsiTheme="minorHAnsi"/>
                <w:b w:val="0"/>
                <w:color w:val="auto"/>
                <w:sz w:val="22"/>
                <w:lang w:eastAsia="en-AU"/>
              </w:rPr>
              <w:tab/>
            </w:r>
            <w:r w:rsidR="001C0547" w:rsidRPr="001B0F67">
              <w:rPr>
                <w:rStyle w:val="Hyperlink"/>
              </w:rPr>
              <w:t>DRAFT decision</w:t>
            </w:r>
            <w:r w:rsidR="001C0547">
              <w:rPr>
                <w:webHidden/>
              </w:rPr>
              <w:tab/>
            </w:r>
            <w:r w:rsidR="001C0547">
              <w:rPr>
                <w:webHidden/>
              </w:rPr>
              <w:fldChar w:fldCharType="begin"/>
            </w:r>
            <w:r w:rsidR="001C0547">
              <w:rPr>
                <w:webHidden/>
              </w:rPr>
              <w:instrText xml:space="preserve"> PAGEREF _Toc462752815 \h </w:instrText>
            </w:r>
            <w:r w:rsidR="001C0547">
              <w:rPr>
                <w:webHidden/>
              </w:rPr>
            </w:r>
            <w:r w:rsidR="001C0547">
              <w:rPr>
                <w:webHidden/>
              </w:rPr>
              <w:fldChar w:fldCharType="separate"/>
            </w:r>
            <w:r w:rsidR="001C0547">
              <w:rPr>
                <w:webHidden/>
              </w:rPr>
              <w:t>11-6</w:t>
            </w:r>
            <w:r w:rsidR="001C0547">
              <w:rPr>
                <w:webHidden/>
              </w:rPr>
              <w:fldChar w:fldCharType="end"/>
            </w:r>
          </w:hyperlink>
        </w:p>
        <w:p w:rsidR="001C0547" w:rsidRDefault="00E6549B">
          <w:pPr>
            <w:pStyle w:val="TOC2"/>
            <w:tabs>
              <w:tab w:val="left" w:pos="1276"/>
            </w:tabs>
            <w:rPr>
              <w:rFonts w:asciiTheme="minorHAnsi" w:eastAsiaTheme="minorEastAsia" w:hAnsiTheme="minorHAnsi"/>
              <w:b w:val="0"/>
              <w:color w:val="auto"/>
              <w:sz w:val="22"/>
              <w:lang w:eastAsia="en-AU"/>
            </w:rPr>
          </w:pPr>
          <w:hyperlink w:anchor="_Toc462752816" w:history="1">
            <w:r w:rsidR="001C0547" w:rsidRPr="001B0F67">
              <w:rPr>
                <w:rStyle w:val="Hyperlink"/>
              </w:rPr>
              <w:t>11.2</w:t>
            </w:r>
            <w:r w:rsidR="001C0547">
              <w:rPr>
                <w:rFonts w:asciiTheme="minorHAnsi" w:eastAsiaTheme="minorEastAsia" w:hAnsiTheme="minorHAnsi"/>
                <w:b w:val="0"/>
                <w:color w:val="auto"/>
                <w:sz w:val="22"/>
                <w:lang w:eastAsia="en-AU"/>
              </w:rPr>
              <w:tab/>
            </w:r>
            <w:r w:rsidR="001C0547" w:rsidRPr="001B0F67">
              <w:rPr>
                <w:rStyle w:val="Hyperlink"/>
              </w:rPr>
              <w:t>Powerlink's proposal</w:t>
            </w:r>
            <w:r w:rsidR="001C0547">
              <w:rPr>
                <w:webHidden/>
              </w:rPr>
              <w:tab/>
            </w:r>
            <w:r w:rsidR="001C0547">
              <w:rPr>
                <w:webHidden/>
              </w:rPr>
              <w:fldChar w:fldCharType="begin"/>
            </w:r>
            <w:r w:rsidR="001C0547">
              <w:rPr>
                <w:webHidden/>
              </w:rPr>
              <w:instrText xml:space="preserve"> PAGEREF _Toc462752816 \h </w:instrText>
            </w:r>
            <w:r w:rsidR="001C0547">
              <w:rPr>
                <w:webHidden/>
              </w:rPr>
            </w:r>
            <w:r w:rsidR="001C0547">
              <w:rPr>
                <w:webHidden/>
              </w:rPr>
              <w:fldChar w:fldCharType="separate"/>
            </w:r>
            <w:r w:rsidR="001C0547">
              <w:rPr>
                <w:webHidden/>
              </w:rPr>
              <w:t>11-8</w:t>
            </w:r>
            <w:r w:rsidR="001C0547">
              <w:rPr>
                <w:webHidden/>
              </w:rPr>
              <w:fldChar w:fldCharType="end"/>
            </w:r>
          </w:hyperlink>
        </w:p>
        <w:p w:rsidR="001C0547" w:rsidRDefault="00E6549B">
          <w:pPr>
            <w:pStyle w:val="TOC2"/>
            <w:tabs>
              <w:tab w:val="left" w:pos="1276"/>
            </w:tabs>
            <w:rPr>
              <w:rFonts w:asciiTheme="minorHAnsi" w:eastAsiaTheme="minorEastAsia" w:hAnsiTheme="minorHAnsi"/>
              <w:b w:val="0"/>
              <w:color w:val="auto"/>
              <w:sz w:val="22"/>
              <w:lang w:eastAsia="en-AU"/>
            </w:rPr>
          </w:pPr>
          <w:hyperlink w:anchor="_Toc462752817" w:history="1">
            <w:r w:rsidR="001C0547" w:rsidRPr="001B0F67">
              <w:rPr>
                <w:rStyle w:val="Hyperlink"/>
              </w:rPr>
              <w:t>11.3</w:t>
            </w:r>
            <w:r w:rsidR="001C0547">
              <w:rPr>
                <w:rFonts w:asciiTheme="minorHAnsi" w:eastAsiaTheme="minorEastAsia" w:hAnsiTheme="minorHAnsi"/>
                <w:b w:val="0"/>
                <w:color w:val="auto"/>
                <w:sz w:val="22"/>
                <w:lang w:eastAsia="en-AU"/>
              </w:rPr>
              <w:tab/>
            </w:r>
            <w:r w:rsidR="001C0547" w:rsidRPr="001B0F67">
              <w:rPr>
                <w:rStyle w:val="Hyperlink"/>
              </w:rPr>
              <w:t>AER’s assessment approach</w:t>
            </w:r>
            <w:r w:rsidR="001C0547">
              <w:rPr>
                <w:webHidden/>
              </w:rPr>
              <w:tab/>
            </w:r>
            <w:r w:rsidR="001C0547">
              <w:rPr>
                <w:webHidden/>
              </w:rPr>
              <w:fldChar w:fldCharType="begin"/>
            </w:r>
            <w:r w:rsidR="001C0547">
              <w:rPr>
                <w:webHidden/>
              </w:rPr>
              <w:instrText xml:space="preserve"> PAGEREF _Toc462752817 \h </w:instrText>
            </w:r>
            <w:r w:rsidR="001C0547">
              <w:rPr>
                <w:webHidden/>
              </w:rPr>
            </w:r>
            <w:r w:rsidR="001C0547">
              <w:rPr>
                <w:webHidden/>
              </w:rPr>
              <w:fldChar w:fldCharType="separate"/>
            </w:r>
            <w:r w:rsidR="001C0547">
              <w:rPr>
                <w:webHidden/>
              </w:rPr>
              <w:t>11-8</w:t>
            </w:r>
            <w:r w:rsidR="001C0547">
              <w:rPr>
                <w:webHidden/>
              </w:rPr>
              <w:fldChar w:fldCharType="end"/>
            </w:r>
          </w:hyperlink>
        </w:p>
        <w:p w:rsidR="001C0547" w:rsidRDefault="00E6549B">
          <w:pPr>
            <w:pStyle w:val="TOC3"/>
            <w:rPr>
              <w:rFonts w:asciiTheme="minorHAnsi" w:eastAsiaTheme="minorEastAsia" w:hAnsiTheme="minorHAnsi"/>
              <w:lang w:eastAsia="en-AU"/>
            </w:rPr>
          </w:pPr>
          <w:hyperlink w:anchor="_Toc462752818" w:history="1">
            <w:r w:rsidR="001C0547" w:rsidRPr="001B0F67">
              <w:rPr>
                <w:rStyle w:val="Hyperlink"/>
              </w:rPr>
              <w:t>11.3.1</w:t>
            </w:r>
            <w:r w:rsidR="001C0547">
              <w:rPr>
                <w:rFonts w:asciiTheme="minorHAnsi" w:eastAsiaTheme="minorEastAsia" w:hAnsiTheme="minorHAnsi"/>
                <w:lang w:eastAsia="en-AU"/>
              </w:rPr>
              <w:tab/>
            </w:r>
            <w:r w:rsidR="001C0547" w:rsidRPr="001B0F67">
              <w:rPr>
                <w:rStyle w:val="Hyperlink"/>
              </w:rPr>
              <w:t>Service component</w:t>
            </w:r>
            <w:r w:rsidR="001C0547">
              <w:rPr>
                <w:webHidden/>
              </w:rPr>
              <w:tab/>
            </w:r>
            <w:r w:rsidR="001C0547">
              <w:rPr>
                <w:webHidden/>
              </w:rPr>
              <w:fldChar w:fldCharType="begin"/>
            </w:r>
            <w:r w:rsidR="001C0547">
              <w:rPr>
                <w:webHidden/>
              </w:rPr>
              <w:instrText xml:space="preserve"> PAGEREF _Toc462752818 \h </w:instrText>
            </w:r>
            <w:r w:rsidR="001C0547">
              <w:rPr>
                <w:webHidden/>
              </w:rPr>
            </w:r>
            <w:r w:rsidR="001C0547">
              <w:rPr>
                <w:webHidden/>
              </w:rPr>
              <w:fldChar w:fldCharType="separate"/>
            </w:r>
            <w:r w:rsidR="001C0547">
              <w:rPr>
                <w:webHidden/>
              </w:rPr>
              <w:t>11-8</w:t>
            </w:r>
            <w:r w:rsidR="001C0547">
              <w:rPr>
                <w:webHidden/>
              </w:rPr>
              <w:fldChar w:fldCharType="end"/>
            </w:r>
          </w:hyperlink>
        </w:p>
        <w:p w:rsidR="001C0547" w:rsidRDefault="00E6549B">
          <w:pPr>
            <w:pStyle w:val="TOC3"/>
            <w:rPr>
              <w:rFonts w:asciiTheme="minorHAnsi" w:eastAsiaTheme="minorEastAsia" w:hAnsiTheme="minorHAnsi"/>
              <w:lang w:eastAsia="en-AU"/>
            </w:rPr>
          </w:pPr>
          <w:hyperlink w:anchor="_Toc462752819" w:history="1">
            <w:r w:rsidR="001C0547" w:rsidRPr="001B0F67">
              <w:rPr>
                <w:rStyle w:val="Hyperlink"/>
              </w:rPr>
              <w:t>11.3.2</w:t>
            </w:r>
            <w:r w:rsidR="001C0547">
              <w:rPr>
                <w:rFonts w:asciiTheme="minorHAnsi" w:eastAsiaTheme="minorEastAsia" w:hAnsiTheme="minorHAnsi"/>
                <w:lang w:eastAsia="en-AU"/>
              </w:rPr>
              <w:tab/>
            </w:r>
            <w:r w:rsidR="001C0547" w:rsidRPr="001B0F67">
              <w:rPr>
                <w:rStyle w:val="Hyperlink"/>
              </w:rPr>
              <w:t>Market impact component</w:t>
            </w:r>
            <w:r w:rsidR="001C0547">
              <w:rPr>
                <w:webHidden/>
              </w:rPr>
              <w:tab/>
            </w:r>
            <w:r w:rsidR="001C0547">
              <w:rPr>
                <w:webHidden/>
              </w:rPr>
              <w:fldChar w:fldCharType="begin"/>
            </w:r>
            <w:r w:rsidR="001C0547">
              <w:rPr>
                <w:webHidden/>
              </w:rPr>
              <w:instrText xml:space="preserve"> PAGEREF _Toc462752819 \h </w:instrText>
            </w:r>
            <w:r w:rsidR="001C0547">
              <w:rPr>
                <w:webHidden/>
              </w:rPr>
            </w:r>
            <w:r w:rsidR="001C0547">
              <w:rPr>
                <w:webHidden/>
              </w:rPr>
              <w:fldChar w:fldCharType="separate"/>
            </w:r>
            <w:r w:rsidR="001C0547">
              <w:rPr>
                <w:webHidden/>
              </w:rPr>
              <w:t>11-9</w:t>
            </w:r>
            <w:r w:rsidR="001C0547">
              <w:rPr>
                <w:webHidden/>
              </w:rPr>
              <w:fldChar w:fldCharType="end"/>
            </w:r>
          </w:hyperlink>
        </w:p>
        <w:p w:rsidR="001C0547" w:rsidRDefault="00E6549B">
          <w:pPr>
            <w:pStyle w:val="TOC3"/>
            <w:rPr>
              <w:rFonts w:asciiTheme="minorHAnsi" w:eastAsiaTheme="minorEastAsia" w:hAnsiTheme="minorHAnsi"/>
              <w:lang w:eastAsia="en-AU"/>
            </w:rPr>
          </w:pPr>
          <w:hyperlink w:anchor="_Toc462752820" w:history="1">
            <w:r w:rsidR="001C0547" w:rsidRPr="001B0F67">
              <w:rPr>
                <w:rStyle w:val="Hyperlink"/>
              </w:rPr>
              <w:t>11.3.3</w:t>
            </w:r>
            <w:r w:rsidR="001C0547">
              <w:rPr>
                <w:rFonts w:asciiTheme="minorHAnsi" w:eastAsiaTheme="minorEastAsia" w:hAnsiTheme="minorHAnsi"/>
                <w:lang w:eastAsia="en-AU"/>
              </w:rPr>
              <w:tab/>
            </w:r>
            <w:r w:rsidR="001C0547" w:rsidRPr="001B0F67">
              <w:rPr>
                <w:rStyle w:val="Hyperlink"/>
              </w:rPr>
              <w:t>Network capability component</w:t>
            </w:r>
            <w:r w:rsidR="001C0547">
              <w:rPr>
                <w:webHidden/>
              </w:rPr>
              <w:tab/>
            </w:r>
            <w:r w:rsidR="001C0547">
              <w:rPr>
                <w:webHidden/>
              </w:rPr>
              <w:fldChar w:fldCharType="begin"/>
            </w:r>
            <w:r w:rsidR="001C0547">
              <w:rPr>
                <w:webHidden/>
              </w:rPr>
              <w:instrText xml:space="preserve"> PAGEREF _Toc462752820 \h </w:instrText>
            </w:r>
            <w:r w:rsidR="001C0547">
              <w:rPr>
                <w:webHidden/>
              </w:rPr>
            </w:r>
            <w:r w:rsidR="001C0547">
              <w:rPr>
                <w:webHidden/>
              </w:rPr>
              <w:fldChar w:fldCharType="separate"/>
            </w:r>
            <w:r w:rsidR="001C0547">
              <w:rPr>
                <w:webHidden/>
              </w:rPr>
              <w:t>11-10</w:t>
            </w:r>
            <w:r w:rsidR="001C0547">
              <w:rPr>
                <w:webHidden/>
              </w:rPr>
              <w:fldChar w:fldCharType="end"/>
            </w:r>
          </w:hyperlink>
        </w:p>
        <w:p w:rsidR="001C0547" w:rsidRDefault="00E6549B">
          <w:pPr>
            <w:pStyle w:val="TOC2"/>
            <w:tabs>
              <w:tab w:val="left" w:pos="1276"/>
            </w:tabs>
            <w:rPr>
              <w:rFonts w:asciiTheme="minorHAnsi" w:eastAsiaTheme="minorEastAsia" w:hAnsiTheme="minorHAnsi"/>
              <w:b w:val="0"/>
              <w:color w:val="auto"/>
              <w:sz w:val="22"/>
              <w:lang w:eastAsia="en-AU"/>
            </w:rPr>
          </w:pPr>
          <w:hyperlink w:anchor="_Toc462752821" w:history="1">
            <w:r w:rsidR="001C0547" w:rsidRPr="001B0F67">
              <w:rPr>
                <w:rStyle w:val="Hyperlink"/>
              </w:rPr>
              <w:t>11.4</w:t>
            </w:r>
            <w:r w:rsidR="001C0547">
              <w:rPr>
                <w:rFonts w:asciiTheme="minorHAnsi" w:eastAsiaTheme="minorEastAsia" w:hAnsiTheme="minorHAnsi"/>
                <w:b w:val="0"/>
                <w:color w:val="auto"/>
                <w:sz w:val="22"/>
                <w:lang w:eastAsia="en-AU"/>
              </w:rPr>
              <w:tab/>
            </w:r>
            <w:r w:rsidR="001C0547" w:rsidRPr="001B0F67">
              <w:rPr>
                <w:rStyle w:val="Hyperlink"/>
              </w:rPr>
              <w:t>Interrelationships</w:t>
            </w:r>
            <w:r w:rsidR="001C0547">
              <w:rPr>
                <w:webHidden/>
              </w:rPr>
              <w:tab/>
            </w:r>
            <w:r w:rsidR="001C0547">
              <w:rPr>
                <w:webHidden/>
              </w:rPr>
              <w:fldChar w:fldCharType="begin"/>
            </w:r>
            <w:r w:rsidR="001C0547">
              <w:rPr>
                <w:webHidden/>
              </w:rPr>
              <w:instrText xml:space="preserve"> PAGEREF _Toc462752821 \h </w:instrText>
            </w:r>
            <w:r w:rsidR="001C0547">
              <w:rPr>
                <w:webHidden/>
              </w:rPr>
            </w:r>
            <w:r w:rsidR="001C0547">
              <w:rPr>
                <w:webHidden/>
              </w:rPr>
              <w:fldChar w:fldCharType="separate"/>
            </w:r>
            <w:r w:rsidR="001C0547">
              <w:rPr>
                <w:webHidden/>
              </w:rPr>
              <w:t>11-10</w:t>
            </w:r>
            <w:r w:rsidR="001C0547">
              <w:rPr>
                <w:webHidden/>
              </w:rPr>
              <w:fldChar w:fldCharType="end"/>
            </w:r>
          </w:hyperlink>
        </w:p>
        <w:p w:rsidR="001C0547" w:rsidRDefault="00E6549B">
          <w:pPr>
            <w:pStyle w:val="TOC2"/>
            <w:tabs>
              <w:tab w:val="left" w:pos="1276"/>
            </w:tabs>
            <w:rPr>
              <w:rFonts w:asciiTheme="minorHAnsi" w:eastAsiaTheme="minorEastAsia" w:hAnsiTheme="minorHAnsi"/>
              <w:b w:val="0"/>
              <w:color w:val="auto"/>
              <w:sz w:val="22"/>
              <w:lang w:eastAsia="en-AU"/>
            </w:rPr>
          </w:pPr>
          <w:hyperlink w:anchor="_Toc462752822" w:history="1">
            <w:r w:rsidR="001C0547" w:rsidRPr="001B0F67">
              <w:rPr>
                <w:rStyle w:val="Hyperlink"/>
              </w:rPr>
              <w:t>11.5</w:t>
            </w:r>
            <w:r w:rsidR="001C0547">
              <w:rPr>
                <w:rFonts w:asciiTheme="minorHAnsi" w:eastAsiaTheme="minorEastAsia" w:hAnsiTheme="minorHAnsi"/>
                <w:b w:val="0"/>
                <w:color w:val="auto"/>
                <w:sz w:val="22"/>
                <w:lang w:eastAsia="en-AU"/>
              </w:rPr>
              <w:tab/>
            </w:r>
            <w:r w:rsidR="001C0547" w:rsidRPr="001B0F67">
              <w:rPr>
                <w:rStyle w:val="Hyperlink"/>
              </w:rPr>
              <w:t>Reasons for draft decision</w:t>
            </w:r>
            <w:r w:rsidR="001C0547">
              <w:rPr>
                <w:webHidden/>
              </w:rPr>
              <w:tab/>
            </w:r>
            <w:r w:rsidR="001C0547">
              <w:rPr>
                <w:webHidden/>
              </w:rPr>
              <w:fldChar w:fldCharType="begin"/>
            </w:r>
            <w:r w:rsidR="001C0547">
              <w:rPr>
                <w:webHidden/>
              </w:rPr>
              <w:instrText xml:space="preserve"> PAGEREF _Toc462752822 \h </w:instrText>
            </w:r>
            <w:r w:rsidR="001C0547">
              <w:rPr>
                <w:webHidden/>
              </w:rPr>
            </w:r>
            <w:r w:rsidR="001C0547">
              <w:rPr>
                <w:webHidden/>
              </w:rPr>
              <w:fldChar w:fldCharType="separate"/>
            </w:r>
            <w:r w:rsidR="001C0547">
              <w:rPr>
                <w:webHidden/>
              </w:rPr>
              <w:t>11-11</w:t>
            </w:r>
            <w:r w:rsidR="001C0547">
              <w:rPr>
                <w:webHidden/>
              </w:rPr>
              <w:fldChar w:fldCharType="end"/>
            </w:r>
          </w:hyperlink>
        </w:p>
        <w:p w:rsidR="001C0547" w:rsidRDefault="00E6549B">
          <w:pPr>
            <w:pStyle w:val="TOC3"/>
            <w:rPr>
              <w:rFonts w:asciiTheme="minorHAnsi" w:eastAsiaTheme="minorEastAsia" w:hAnsiTheme="minorHAnsi"/>
              <w:lang w:eastAsia="en-AU"/>
            </w:rPr>
          </w:pPr>
          <w:hyperlink w:anchor="_Toc462752823" w:history="1">
            <w:r w:rsidR="001C0547" w:rsidRPr="001B0F67">
              <w:rPr>
                <w:rStyle w:val="Hyperlink"/>
              </w:rPr>
              <w:t>11.5.1</w:t>
            </w:r>
            <w:r w:rsidR="001C0547">
              <w:rPr>
                <w:rFonts w:asciiTheme="minorHAnsi" w:eastAsiaTheme="minorEastAsia" w:hAnsiTheme="minorHAnsi"/>
                <w:lang w:eastAsia="en-AU"/>
              </w:rPr>
              <w:tab/>
            </w:r>
            <w:r w:rsidR="001C0547" w:rsidRPr="001B0F67">
              <w:rPr>
                <w:rStyle w:val="Hyperlink"/>
              </w:rPr>
              <w:t>Service component</w:t>
            </w:r>
            <w:r w:rsidR="001C0547">
              <w:rPr>
                <w:webHidden/>
              </w:rPr>
              <w:tab/>
            </w:r>
            <w:r w:rsidR="001C0547">
              <w:rPr>
                <w:webHidden/>
              </w:rPr>
              <w:fldChar w:fldCharType="begin"/>
            </w:r>
            <w:r w:rsidR="001C0547">
              <w:rPr>
                <w:webHidden/>
              </w:rPr>
              <w:instrText xml:space="preserve"> PAGEREF _Toc462752823 \h </w:instrText>
            </w:r>
            <w:r w:rsidR="001C0547">
              <w:rPr>
                <w:webHidden/>
              </w:rPr>
            </w:r>
            <w:r w:rsidR="001C0547">
              <w:rPr>
                <w:webHidden/>
              </w:rPr>
              <w:fldChar w:fldCharType="separate"/>
            </w:r>
            <w:r w:rsidR="001C0547">
              <w:rPr>
                <w:webHidden/>
              </w:rPr>
              <w:t>11-11</w:t>
            </w:r>
            <w:r w:rsidR="001C0547">
              <w:rPr>
                <w:webHidden/>
              </w:rPr>
              <w:fldChar w:fldCharType="end"/>
            </w:r>
          </w:hyperlink>
        </w:p>
        <w:p w:rsidR="001C0547" w:rsidRDefault="00E6549B">
          <w:pPr>
            <w:pStyle w:val="TOC3"/>
            <w:rPr>
              <w:rFonts w:asciiTheme="minorHAnsi" w:eastAsiaTheme="minorEastAsia" w:hAnsiTheme="minorHAnsi"/>
              <w:lang w:eastAsia="en-AU"/>
            </w:rPr>
          </w:pPr>
          <w:hyperlink w:anchor="_Toc462752824" w:history="1">
            <w:r w:rsidR="001C0547" w:rsidRPr="001B0F67">
              <w:rPr>
                <w:rStyle w:val="Hyperlink"/>
              </w:rPr>
              <w:t>11.5.2</w:t>
            </w:r>
            <w:r w:rsidR="001C0547">
              <w:rPr>
                <w:rFonts w:asciiTheme="minorHAnsi" w:eastAsiaTheme="minorEastAsia" w:hAnsiTheme="minorHAnsi"/>
                <w:lang w:eastAsia="en-AU"/>
              </w:rPr>
              <w:tab/>
            </w:r>
            <w:r w:rsidR="001C0547" w:rsidRPr="001B0F67">
              <w:rPr>
                <w:rStyle w:val="Hyperlink"/>
              </w:rPr>
              <w:t>Market impact component</w:t>
            </w:r>
            <w:r w:rsidR="001C0547">
              <w:rPr>
                <w:webHidden/>
              </w:rPr>
              <w:tab/>
            </w:r>
            <w:r w:rsidR="001C0547">
              <w:rPr>
                <w:webHidden/>
              </w:rPr>
              <w:fldChar w:fldCharType="begin"/>
            </w:r>
            <w:r w:rsidR="001C0547">
              <w:rPr>
                <w:webHidden/>
              </w:rPr>
              <w:instrText xml:space="preserve"> PAGEREF _Toc462752824 \h </w:instrText>
            </w:r>
            <w:r w:rsidR="001C0547">
              <w:rPr>
                <w:webHidden/>
              </w:rPr>
            </w:r>
            <w:r w:rsidR="001C0547">
              <w:rPr>
                <w:webHidden/>
              </w:rPr>
              <w:fldChar w:fldCharType="separate"/>
            </w:r>
            <w:r w:rsidR="001C0547">
              <w:rPr>
                <w:webHidden/>
              </w:rPr>
              <w:t>11-12</w:t>
            </w:r>
            <w:r w:rsidR="001C0547">
              <w:rPr>
                <w:webHidden/>
              </w:rPr>
              <w:fldChar w:fldCharType="end"/>
            </w:r>
          </w:hyperlink>
        </w:p>
        <w:p w:rsidR="001C0547" w:rsidRDefault="00E6549B">
          <w:pPr>
            <w:pStyle w:val="TOC3"/>
            <w:rPr>
              <w:rFonts w:asciiTheme="minorHAnsi" w:eastAsiaTheme="minorEastAsia" w:hAnsiTheme="minorHAnsi"/>
              <w:lang w:eastAsia="en-AU"/>
            </w:rPr>
          </w:pPr>
          <w:hyperlink w:anchor="_Toc462752825" w:history="1">
            <w:r w:rsidR="001C0547" w:rsidRPr="001B0F67">
              <w:rPr>
                <w:rStyle w:val="Hyperlink"/>
              </w:rPr>
              <w:t>11.5.3</w:t>
            </w:r>
            <w:r w:rsidR="001C0547">
              <w:rPr>
                <w:rFonts w:asciiTheme="minorHAnsi" w:eastAsiaTheme="minorEastAsia" w:hAnsiTheme="minorHAnsi"/>
                <w:lang w:eastAsia="en-AU"/>
              </w:rPr>
              <w:tab/>
            </w:r>
            <w:r w:rsidR="001C0547" w:rsidRPr="001B0F67">
              <w:rPr>
                <w:rStyle w:val="Hyperlink"/>
              </w:rPr>
              <w:t>Network capability component</w:t>
            </w:r>
            <w:r w:rsidR="001C0547">
              <w:rPr>
                <w:webHidden/>
              </w:rPr>
              <w:tab/>
            </w:r>
            <w:r w:rsidR="001C0547">
              <w:rPr>
                <w:webHidden/>
              </w:rPr>
              <w:fldChar w:fldCharType="begin"/>
            </w:r>
            <w:r w:rsidR="001C0547">
              <w:rPr>
                <w:webHidden/>
              </w:rPr>
              <w:instrText xml:space="preserve"> PAGEREF _Toc462752825 \h </w:instrText>
            </w:r>
            <w:r w:rsidR="001C0547">
              <w:rPr>
                <w:webHidden/>
              </w:rPr>
            </w:r>
            <w:r w:rsidR="001C0547">
              <w:rPr>
                <w:webHidden/>
              </w:rPr>
              <w:fldChar w:fldCharType="separate"/>
            </w:r>
            <w:r w:rsidR="001C0547">
              <w:rPr>
                <w:webHidden/>
              </w:rPr>
              <w:t>11-18</w:t>
            </w:r>
            <w:r w:rsidR="001C0547">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281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840004" w:rsidRDefault="00840004" w:rsidP="00840004">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36655506"/>
      <w:bookmarkStart w:id="72" w:name="_Toc462752814"/>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Service target performance incentive scheme</w:t>
      </w:r>
      <w:bookmarkEnd w:id="71"/>
      <w:bookmarkEnd w:id="72"/>
    </w:p>
    <w:p w:rsidR="005E7969" w:rsidRDefault="005E7969" w:rsidP="005E7969">
      <w:pPr>
        <w:numPr>
          <w:ilvl w:val="0"/>
          <w:numId w:val="24"/>
        </w:numPr>
      </w:pPr>
      <w:r>
        <w:t>The service target performance incentive scheme (STPIS) provides a financial incentive to transmission network services providers (TNSPs) to maintain and improve service performance. The current version of the STPIS, version 5, includes three components: a service component, market impact component and network capability component.</w:t>
      </w:r>
      <w:r>
        <w:rPr>
          <w:rStyle w:val="FootnoteReference"/>
        </w:rPr>
        <w:footnoteReference w:id="1"/>
      </w:r>
      <w:r>
        <w:t xml:space="preserve"> </w:t>
      </w:r>
    </w:p>
    <w:p w:rsidR="005E7969" w:rsidRPr="00F65CE0" w:rsidRDefault="005E7969" w:rsidP="005E7969">
      <w:pPr>
        <w:pStyle w:val="ListParagraph"/>
        <w:numPr>
          <w:ilvl w:val="0"/>
          <w:numId w:val="24"/>
        </w:numPr>
      </w:pPr>
      <w:r w:rsidRPr="00F65CE0">
        <w:t>The S</w:t>
      </w:r>
      <w:r>
        <w:t xml:space="preserve">ervice </w:t>
      </w:r>
      <w:r w:rsidRPr="00F65CE0">
        <w:t>C</w:t>
      </w:r>
      <w:r>
        <w:t>omponent</w:t>
      </w:r>
      <w:r w:rsidRPr="00F65CE0">
        <w:t xml:space="preserve"> provides a reward/penalty of +/- 1.25 per cent of MAR to improve network reliability, by focussing on unplanned outages. The S</w:t>
      </w:r>
      <w:r>
        <w:t xml:space="preserve">ervice component </w:t>
      </w:r>
      <w:r w:rsidRPr="00F65CE0">
        <w:t>is designed to encourage TNSPs to seek to reduce the number of unplanned network outages and to promptly restore the network in the event of unplanned outages that result in supply</w:t>
      </w:r>
      <w:r w:rsidRPr="00F65CE0" w:rsidDel="00D463F4">
        <w:t xml:space="preserve"> </w:t>
      </w:r>
      <w:r w:rsidRPr="00F65CE0">
        <w:t>interruptions. This component</w:t>
      </w:r>
      <w:r>
        <w:t xml:space="preserve"> is also</w:t>
      </w:r>
      <w:r w:rsidRPr="00F65CE0">
        <w:t xml:space="preserve"> designed to indicate potential reliability issues. </w:t>
      </w:r>
    </w:p>
    <w:p w:rsidR="005E7969" w:rsidRDefault="005E7969" w:rsidP="005E7969">
      <w:pPr>
        <w:numPr>
          <w:ilvl w:val="0"/>
          <w:numId w:val="24"/>
        </w:numPr>
      </w:pPr>
      <w:r w:rsidRPr="006B2388">
        <w:t>The market impact component</w:t>
      </w:r>
      <w:r>
        <w:t xml:space="preserve"> (MIC)</w:t>
      </w:r>
      <w:r w:rsidRPr="006B2388">
        <w:t xml:space="preserve"> provides </w:t>
      </w:r>
      <w:r>
        <w:t xml:space="preserve">an incentive to TNSPs to minimise the impact of transmission outages that can affect wholesale market outcomes. The MIC measures performance against the market impact parameter which is the number of dispatch intervals where an outage on the TNSP's network results in a network outage constraint with </w:t>
      </w:r>
      <w:r w:rsidRPr="006B2388">
        <w:t>a marginal value greater than $10/MWh.</w:t>
      </w:r>
      <w:r w:rsidRPr="006B2388">
        <w:rPr>
          <w:rStyle w:val="AERsuperscript"/>
        </w:rPr>
        <w:footnoteReference w:id="2"/>
      </w:r>
      <w:r w:rsidRPr="006B2388">
        <w:t xml:space="preserve"> </w:t>
      </w:r>
      <w:r>
        <w:t xml:space="preserve"> TNSPs will receive a reward or penalty of up to 1 per cent of MAR for the relevant calendar year.</w:t>
      </w:r>
      <w:r w:rsidRPr="003C1B71">
        <w:t xml:space="preserve"> </w:t>
      </w:r>
      <w:r>
        <w:t xml:space="preserve">Under clause 4.2(a), a TNSP must submit 7 calendar years of data. </w:t>
      </w:r>
      <w:r w:rsidRPr="006B2388">
        <w:t xml:space="preserve">The </w:t>
      </w:r>
      <w:r>
        <w:t xml:space="preserve">target is set in the revenue determination based on the median five of the seven years of historical performance. </w:t>
      </w:r>
    </w:p>
    <w:p w:rsidR="005E7969" w:rsidRPr="00F65CE0" w:rsidRDefault="005E7969" w:rsidP="005E7969">
      <w:pPr>
        <w:pStyle w:val="ListParagraph"/>
        <w:numPr>
          <w:ilvl w:val="0"/>
          <w:numId w:val="24"/>
        </w:numPr>
      </w:pPr>
      <w:r w:rsidRPr="00F65CE0">
        <w:t xml:space="preserve">The </w:t>
      </w:r>
      <w:r>
        <w:t>network capability component</w:t>
      </w:r>
      <w:r w:rsidRPr="00F65CE0">
        <w:t xml:space="preserve"> is designed to encourage TNSPs to develop projects (up to a total of one per cent of the proposed MAR per year) in return for a pro-rata incentive payment of up to 1.5 per cent of MAR depending on the successful completion of proposed projects. This component encourages TNSPs to examine their networks to identify suitable low cost one-off operational and capital expenditure projects that improve the capability of the transmission network at times when it is most needed.</w:t>
      </w:r>
    </w:p>
    <w:p w:rsidR="00840004" w:rsidRPr="001754EE" w:rsidRDefault="00840004" w:rsidP="00840004">
      <w:pPr>
        <w:pStyle w:val="Heading2"/>
      </w:pPr>
      <w:bookmarkStart w:id="73" w:name="_Toc403144136"/>
      <w:bookmarkStart w:id="74" w:name="_Toc436655507"/>
      <w:bookmarkStart w:id="75" w:name="_Toc462752815"/>
      <w:r>
        <w:t>DRAFT</w:t>
      </w:r>
      <w:r w:rsidRPr="001754EE">
        <w:t xml:space="preserve"> decision</w:t>
      </w:r>
      <w:bookmarkEnd w:id="73"/>
      <w:bookmarkEnd w:id="74"/>
      <w:bookmarkEnd w:id="75"/>
    </w:p>
    <w:p w:rsidR="00840004" w:rsidRDefault="00840004" w:rsidP="00840004">
      <w:bookmarkStart w:id="76" w:name="_Toc403144137"/>
      <w:r w:rsidRPr="002472FD">
        <w:t xml:space="preserve">We will apply all components of version </w:t>
      </w:r>
      <w:r>
        <w:t>5</w:t>
      </w:r>
      <w:r w:rsidRPr="002472FD">
        <w:t xml:space="preserve"> of the STPIS to </w:t>
      </w:r>
      <w:r>
        <w:t xml:space="preserve">Powerlink </w:t>
      </w:r>
      <w:r w:rsidRPr="002472FD">
        <w:t>for the 201</w:t>
      </w:r>
      <w:r>
        <w:t>7</w:t>
      </w:r>
      <w:r w:rsidRPr="002472FD">
        <w:t>–</w:t>
      </w:r>
      <w:r>
        <w:t>22</w:t>
      </w:r>
      <w:r w:rsidRPr="002472FD">
        <w:t xml:space="preserve"> regulatory control period. We propose to apply the STPIS to </w:t>
      </w:r>
      <w:r>
        <w:t xml:space="preserve">Powerlink </w:t>
      </w:r>
      <w:r w:rsidRPr="002472FD">
        <w:t>in accordance with the details set out below.</w:t>
      </w:r>
      <w:r w:rsidR="002A0019">
        <w:t xml:space="preserve"> </w:t>
      </w:r>
    </w:p>
    <w:p w:rsidR="00EE6835" w:rsidRDefault="00EE6835" w:rsidP="005E7969">
      <w:pPr>
        <w:pStyle w:val="Caption"/>
      </w:pPr>
      <w:bookmarkStart w:id="77" w:name="_Ref454531263"/>
      <w:bookmarkStart w:id="78" w:name="_Ref454531255"/>
    </w:p>
    <w:p w:rsidR="00EE6835" w:rsidRDefault="00EE6835" w:rsidP="005E7969">
      <w:pPr>
        <w:pStyle w:val="Caption"/>
      </w:pPr>
    </w:p>
    <w:p w:rsidR="005E7969" w:rsidRDefault="005E7969" w:rsidP="005E7969">
      <w:pPr>
        <w:pStyle w:val="Caption"/>
      </w:pPr>
      <w:r>
        <w:t xml:space="preserve">Table </w:t>
      </w:r>
      <w:r w:rsidR="00E6549B">
        <w:fldChar w:fldCharType="begin"/>
      </w:r>
      <w:r w:rsidR="00E6549B">
        <w:instrText xml:space="preserve"> STYLEREF 1 \s </w:instrText>
      </w:r>
      <w:r w:rsidR="00E6549B">
        <w:fldChar w:fldCharType="separate"/>
      </w:r>
      <w:r w:rsidR="001C0547">
        <w:rPr>
          <w:noProof/>
        </w:rPr>
        <w:t>11</w:t>
      </w:r>
      <w:r w:rsidR="00E6549B">
        <w:rPr>
          <w:noProof/>
        </w:rPr>
        <w:fldChar w:fldCharType="end"/>
      </w:r>
      <w:r w:rsidR="003E612F">
        <w:noBreakHyphen/>
      </w:r>
      <w:r w:rsidR="00E6549B">
        <w:fldChar w:fldCharType="begin"/>
      </w:r>
      <w:r w:rsidR="00E6549B">
        <w:instrText xml:space="preserve"> SEQ Table \* ARABIC \s 1 </w:instrText>
      </w:r>
      <w:r w:rsidR="00E6549B">
        <w:fldChar w:fldCharType="separate"/>
      </w:r>
      <w:r w:rsidR="001C0547">
        <w:rPr>
          <w:noProof/>
        </w:rPr>
        <w:t>1</w:t>
      </w:r>
      <w:r w:rsidR="00E6549B">
        <w:rPr>
          <w:noProof/>
        </w:rPr>
        <w:fldChar w:fldCharType="end"/>
      </w:r>
      <w:bookmarkEnd w:id="77"/>
      <w:r>
        <w:tab/>
        <w:t xml:space="preserve">Draft decision — </w:t>
      </w:r>
      <w:r w:rsidR="003F221C">
        <w:t xml:space="preserve">Service Component </w:t>
      </w:r>
      <w:r>
        <w:t>C</w:t>
      </w:r>
      <w:r w:rsidRPr="00374883">
        <w:t>aps</w:t>
      </w:r>
      <w:r>
        <w:t>,</w:t>
      </w:r>
      <w:r w:rsidRPr="00374883">
        <w:t xml:space="preserve"> </w:t>
      </w:r>
      <w:r>
        <w:t>floors and targets for 2017–2022</w:t>
      </w:r>
      <w:bookmarkEnd w:id="78"/>
    </w:p>
    <w:tbl>
      <w:tblPr>
        <w:tblStyle w:val="AERtable-numbers"/>
        <w:tblW w:w="5000" w:type="pct"/>
        <w:tblLook w:val="04A0" w:firstRow="1" w:lastRow="0" w:firstColumn="1" w:lastColumn="0" w:noHBand="0" w:noVBand="1"/>
      </w:tblPr>
      <w:tblGrid>
        <w:gridCol w:w="5576"/>
        <w:gridCol w:w="1052"/>
        <w:gridCol w:w="1015"/>
        <w:gridCol w:w="1050"/>
      </w:tblGrid>
      <w:tr w:rsidR="00D75F62" w:rsidRPr="00D75F62" w:rsidTr="00175EC3">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07" w:type="pct"/>
            <w:hideMark/>
          </w:tcPr>
          <w:p w:rsidR="00D75F62" w:rsidRPr="00D75F62" w:rsidRDefault="00D75F62" w:rsidP="00D75F62">
            <w:r w:rsidRPr="00D75F62">
              <w:t>Parameter</w:t>
            </w:r>
          </w:p>
        </w:tc>
        <w:tc>
          <w:tcPr>
            <w:tcW w:w="605" w:type="pct"/>
            <w:hideMark/>
          </w:tcPr>
          <w:p w:rsidR="00D75F62" w:rsidRPr="00D75F62" w:rsidRDefault="00B50955" w:rsidP="00AE0D8E">
            <w:pPr>
              <w:cnfStyle w:val="100000000000" w:firstRow="1" w:lastRow="0" w:firstColumn="0" w:lastColumn="0" w:oddVBand="0" w:evenVBand="0" w:oddHBand="0" w:evenHBand="0" w:firstRowFirstColumn="0" w:firstRowLastColumn="0" w:lastRowFirstColumn="0" w:lastRowLastColumn="0"/>
            </w:pPr>
            <w:r w:rsidRPr="00D75F62">
              <w:t>Floor (5th percentile)</w:t>
            </w:r>
          </w:p>
        </w:tc>
        <w:tc>
          <w:tcPr>
            <w:tcW w:w="584" w:type="pct"/>
            <w:hideMark/>
          </w:tcPr>
          <w:p w:rsidR="00D75F62" w:rsidRPr="00D75F62" w:rsidRDefault="00D75F62" w:rsidP="00D75F62">
            <w:pPr>
              <w:cnfStyle w:val="100000000000" w:firstRow="1" w:lastRow="0" w:firstColumn="0" w:lastColumn="0" w:oddVBand="0" w:evenVBand="0" w:oddHBand="0" w:evenHBand="0" w:firstRowFirstColumn="0" w:firstRowLastColumn="0" w:lastRowFirstColumn="0" w:lastRowLastColumn="0"/>
            </w:pPr>
            <w:r w:rsidRPr="00D75F62">
              <w:t>Targets</w:t>
            </w:r>
          </w:p>
        </w:tc>
        <w:tc>
          <w:tcPr>
            <w:tcW w:w="604" w:type="pct"/>
            <w:hideMark/>
          </w:tcPr>
          <w:p w:rsidR="00D75F62" w:rsidRPr="00D75F62" w:rsidRDefault="00B50955" w:rsidP="00D75F62">
            <w:pPr>
              <w:cnfStyle w:val="100000000000" w:firstRow="1" w:lastRow="0" w:firstColumn="0" w:lastColumn="0" w:oddVBand="0" w:evenVBand="0" w:oddHBand="0" w:evenHBand="0" w:firstRowFirstColumn="0" w:firstRowLastColumn="0" w:lastRowFirstColumn="0" w:lastRowLastColumn="0"/>
            </w:pPr>
            <w:r w:rsidRPr="00D75F62">
              <w:t>Cap (</w:t>
            </w:r>
            <w:r w:rsidR="00AE0D8E">
              <w:t>9</w:t>
            </w:r>
            <w:r w:rsidRPr="00D75F62">
              <w:t>5th percentile)</w:t>
            </w:r>
          </w:p>
        </w:tc>
      </w:tr>
      <w:tr w:rsidR="00175EC3" w:rsidRPr="00D75F62" w:rsidTr="00175EC3">
        <w:trPr>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Average circuit outage rate</w:t>
            </w:r>
          </w:p>
        </w:tc>
        <w:tc>
          <w:tcPr>
            <w:tcW w:w="605" w:type="pct"/>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15.86</w:t>
            </w:r>
          </w:p>
        </w:tc>
        <w:tc>
          <w:tcPr>
            <w:tcW w:w="584" w:type="pct"/>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20.88</w:t>
            </w:r>
          </w:p>
        </w:tc>
        <w:tc>
          <w:tcPr>
            <w:tcW w:w="604" w:type="pct"/>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27.17</w:t>
            </w:r>
          </w:p>
        </w:tc>
      </w:tr>
      <w:tr w:rsidR="00175EC3" w:rsidRPr="00D75F62" w:rsidTr="00175EC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Lines event rate – fault </w:t>
            </w:r>
          </w:p>
        </w:tc>
        <w:tc>
          <w:tcPr>
            <w:tcW w:w="605"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17.09</w:t>
            </w:r>
          </w:p>
        </w:tc>
        <w:tc>
          <w:tcPr>
            <w:tcW w:w="584" w:type="pct"/>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18.91</w:t>
            </w:r>
          </w:p>
        </w:tc>
        <w:tc>
          <w:tcPr>
            <w:tcW w:w="604"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20.84</w:t>
            </w:r>
          </w:p>
        </w:tc>
      </w:tr>
      <w:tr w:rsidR="00175EC3" w:rsidRPr="00D75F62" w:rsidTr="00175EC3">
        <w:trPr>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Transformer event rate – fault </w:t>
            </w:r>
          </w:p>
        </w:tc>
        <w:tc>
          <w:tcPr>
            <w:tcW w:w="605"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19.49</w:t>
            </w:r>
          </w:p>
        </w:tc>
        <w:tc>
          <w:tcPr>
            <w:tcW w:w="584" w:type="pct"/>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29.85</w:t>
            </w:r>
          </w:p>
        </w:tc>
        <w:tc>
          <w:tcPr>
            <w:tcW w:w="604"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43.42</w:t>
            </w:r>
          </w:p>
        </w:tc>
      </w:tr>
      <w:tr w:rsidR="00175EC3" w:rsidRPr="00D75F62" w:rsidTr="00175EC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Reactive plant event rate – fault </w:t>
            </w:r>
          </w:p>
        </w:tc>
        <w:tc>
          <w:tcPr>
            <w:tcW w:w="605"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15.9</w:t>
            </w:r>
          </w:p>
        </w:tc>
        <w:tc>
          <w:tcPr>
            <w:tcW w:w="584" w:type="pct"/>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20.39</w:t>
            </w:r>
          </w:p>
        </w:tc>
        <w:tc>
          <w:tcPr>
            <w:tcW w:w="604"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24.09</w:t>
            </w:r>
          </w:p>
        </w:tc>
      </w:tr>
      <w:tr w:rsidR="00175EC3" w:rsidRPr="00D75F62" w:rsidTr="00175EC3">
        <w:trPr>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Lines event rate – forced </w:t>
            </w:r>
          </w:p>
        </w:tc>
        <w:tc>
          <w:tcPr>
            <w:tcW w:w="605"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13.96</w:t>
            </w:r>
          </w:p>
        </w:tc>
        <w:tc>
          <w:tcPr>
            <w:tcW w:w="584" w:type="pct"/>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19.17</w:t>
            </w:r>
          </w:p>
        </w:tc>
        <w:tc>
          <w:tcPr>
            <w:tcW w:w="604"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23.49</w:t>
            </w:r>
          </w:p>
        </w:tc>
      </w:tr>
      <w:tr w:rsidR="00175EC3" w:rsidRPr="00D75F62" w:rsidTr="00175EC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Transformer event rate – forced </w:t>
            </w:r>
          </w:p>
        </w:tc>
        <w:tc>
          <w:tcPr>
            <w:tcW w:w="605"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15.95</w:t>
            </w:r>
          </w:p>
        </w:tc>
        <w:tc>
          <w:tcPr>
            <w:tcW w:w="584" w:type="pct"/>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24.23</w:t>
            </w:r>
          </w:p>
        </w:tc>
        <w:tc>
          <w:tcPr>
            <w:tcW w:w="604"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34.25</w:t>
            </w:r>
          </w:p>
        </w:tc>
      </w:tr>
      <w:tr w:rsidR="00175EC3" w:rsidRPr="00D75F62" w:rsidTr="00175EC3">
        <w:trPr>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Reactive plant event rate – forced </w:t>
            </w:r>
          </w:p>
        </w:tc>
        <w:tc>
          <w:tcPr>
            <w:tcW w:w="605" w:type="pct"/>
            <w:vAlign w:val="top"/>
          </w:tcPr>
          <w:p w:rsidR="00175EC3" w:rsidRPr="00516AB4" w:rsidRDefault="00175EC3" w:rsidP="00175EC3">
            <w:pPr>
              <w:cnfStyle w:val="000000000000" w:firstRow="0" w:lastRow="0" w:firstColumn="0" w:lastColumn="0" w:oddVBand="0" w:evenVBand="0" w:oddHBand="0" w:evenHBand="0" w:firstRowFirstColumn="0" w:firstRowLastColumn="0" w:lastRowFirstColumn="0" w:lastRowLastColumn="0"/>
            </w:pPr>
          </w:p>
        </w:tc>
        <w:tc>
          <w:tcPr>
            <w:tcW w:w="584" w:type="pct"/>
            <w:vAlign w:val="top"/>
            <w:hideMark/>
          </w:tcPr>
          <w:p w:rsidR="00175EC3" w:rsidRPr="00516AB4" w:rsidRDefault="00175EC3" w:rsidP="00175EC3">
            <w:pPr>
              <w:cnfStyle w:val="000000000000" w:firstRow="0" w:lastRow="0" w:firstColumn="0" w:lastColumn="0" w:oddVBand="0" w:evenVBand="0" w:oddHBand="0" w:evenHBand="0" w:firstRowFirstColumn="0" w:firstRowLastColumn="0" w:lastRowFirstColumn="0" w:lastRowLastColumn="0"/>
            </w:pPr>
          </w:p>
        </w:tc>
        <w:tc>
          <w:tcPr>
            <w:tcW w:w="604" w:type="pct"/>
            <w:vAlign w:val="top"/>
          </w:tcPr>
          <w:p w:rsidR="00175EC3" w:rsidRPr="00516AB4" w:rsidRDefault="00175EC3" w:rsidP="00175EC3">
            <w:pPr>
              <w:cnfStyle w:val="000000000000" w:firstRow="0" w:lastRow="0" w:firstColumn="0" w:lastColumn="0" w:oddVBand="0" w:evenVBand="0" w:oddHBand="0" w:evenHBand="0" w:firstRowFirstColumn="0" w:firstRowLastColumn="0" w:lastRowFirstColumn="0" w:lastRowLastColumn="0"/>
            </w:pPr>
          </w:p>
        </w:tc>
      </w:tr>
      <w:tr w:rsidR="00175EC3" w:rsidRPr="00D75F62" w:rsidTr="00175EC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Loss of supply events</w:t>
            </w:r>
          </w:p>
        </w:tc>
        <w:tc>
          <w:tcPr>
            <w:tcW w:w="605"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w:t>
            </w:r>
          </w:p>
        </w:tc>
        <w:tc>
          <w:tcPr>
            <w:tcW w:w="584" w:type="pct"/>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3</w:t>
            </w:r>
          </w:p>
        </w:tc>
        <w:tc>
          <w:tcPr>
            <w:tcW w:w="604"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7</w:t>
            </w:r>
          </w:p>
        </w:tc>
      </w:tr>
      <w:tr w:rsidR="00175EC3" w:rsidRPr="00D75F62" w:rsidTr="00175EC3">
        <w:trPr>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Number of events greater than 0.05 system minutes per annum </w:t>
            </w:r>
          </w:p>
        </w:tc>
        <w:tc>
          <w:tcPr>
            <w:tcW w:w="605"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0</w:t>
            </w:r>
          </w:p>
        </w:tc>
        <w:tc>
          <w:tcPr>
            <w:tcW w:w="584" w:type="pct"/>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w:t>
            </w:r>
          </w:p>
        </w:tc>
        <w:tc>
          <w:tcPr>
            <w:tcW w:w="604"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3</w:t>
            </w:r>
          </w:p>
        </w:tc>
      </w:tr>
      <w:tr w:rsidR="00175EC3" w:rsidRPr="00D75F62" w:rsidTr="00175EC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 xml:space="preserve">Number of events greater than 0.30 system minutes per annum </w:t>
            </w:r>
          </w:p>
        </w:tc>
        <w:tc>
          <w:tcPr>
            <w:tcW w:w="605"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4.83</w:t>
            </w:r>
          </w:p>
        </w:tc>
        <w:tc>
          <w:tcPr>
            <w:tcW w:w="584" w:type="pct"/>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94.14</w:t>
            </w:r>
          </w:p>
        </w:tc>
        <w:tc>
          <w:tcPr>
            <w:tcW w:w="604" w:type="pct"/>
            <w:vAlign w:val="top"/>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282</w:t>
            </w:r>
          </w:p>
        </w:tc>
      </w:tr>
      <w:tr w:rsidR="00175EC3" w:rsidRPr="00D75F62" w:rsidTr="00175EC3">
        <w:trPr>
          <w:trHeight w:val="225"/>
        </w:trPr>
        <w:tc>
          <w:tcPr>
            <w:cnfStyle w:val="001000000000" w:firstRow="0" w:lastRow="0" w:firstColumn="1" w:lastColumn="0" w:oddVBand="0" w:evenVBand="0" w:oddHBand="0" w:evenHBand="0" w:firstRowFirstColumn="0" w:firstRowLastColumn="0" w:lastRowFirstColumn="0" w:lastRowLastColumn="0"/>
            <w:tcW w:w="3207" w:type="pct"/>
            <w:hideMark/>
          </w:tcPr>
          <w:p w:rsidR="00175EC3" w:rsidRPr="00175EC3" w:rsidRDefault="00175EC3" w:rsidP="00175EC3">
            <w:r w:rsidRPr="00516AB4">
              <w:t>Average outage duration</w:t>
            </w:r>
          </w:p>
        </w:tc>
        <w:tc>
          <w:tcPr>
            <w:tcW w:w="605"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15.86</w:t>
            </w:r>
          </w:p>
        </w:tc>
        <w:tc>
          <w:tcPr>
            <w:tcW w:w="584" w:type="pct"/>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20.88</w:t>
            </w:r>
          </w:p>
        </w:tc>
        <w:tc>
          <w:tcPr>
            <w:tcW w:w="604" w:type="pct"/>
            <w:vAlign w:val="top"/>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27.17</w:t>
            </w:r>
          </w:p>
        </w:tc>
      </w:tr>
    </w:tbl>
    <w:p w:rsidR="005E7969" w:rsidRDefault="005E7969" w:rsidP="005E7969">
      <w:pPr>
        <w:pStyle w:val="AERtablesource"/>
        <w:numPr>
          <w:ilvl w:val="0"/>
          <w:numId w:val="24"/>
        </w:numPr>
      </w:pPr>
      <w:r w:rsidRPr="00374883">
        <w:t xml:space="preserve">Source: </w:t>
      </w:r>
      <w:r w:rsidRPr="00374883">
        <w:tab/>
      </w:r>
      <w:r>
        <w:t>AER analysis</w:t>
      </w:r>
    </w:p>
    <w:p w:rsidR="005E7969" w:rsidRPr="00704645" w:rsidRDefault="005E7969" w:rsidP="005E7969">
      <w:pPr>
        <w:pStyle w:val="Caption"/>
        <w:numPr>
          <w:ilvl w:val="0"/>
          <w:numId w:val="24"/>
        </w:numPr>
      </w:pPr>
      <w:r>
        <w:t xml:space="preserve">Table </w:t>
      </w:r>
      <w:r w:rsidR="00E6549B">
        <w:fldChar w:fldCharType="begin"/>
      </w:r>
      <w:r w:rsidR="00E6549B">
        <w:instrText xml:space="preserve"> STYLEREF 1 \s </w:instrText>
      </w:r>
      <w:r w:rsidR="00E6549B">
        <w:fldChar w:fldCharType="separate"/>
      </w:r>
      <w:r w:rsidR="001C0547">
        <w:rPr>
          <w:noProof/>
        </w:rPr>
        <w:t>11</w:t>
      </w:r>
      <w:r w:rsidR="00E6549B">
        <w:rPr>
          <w:noProof/>
        </w:rPr>
        <w:fldChar w:fldCharType="end"/>
      </w:r>
      <w:r w:rsidR="003E612F">
        <w:noBreakHyphen/>
      </w:r>
      <w:r w:rsidR="00E6549B">
        <w:fldChar w:fldCharType="begin"/>
      </w:r>
      <w:r w:rsidR="00E6549B">
        <w:instrText xml:space="preserve"> SEQ Table \* ARABIC \s 1 </w:instrText>
      </w:r>
      <w:r w:rsidR="00E6549B">
        <w:fldChar w:fldCharType="separate"/>
      </w:r>
      <w:r w:rsidR="001C0547">
        <w:rPr>
          <w:noProof/>
        </w:rPr>
        <w:t>2</w:t>
      </w:r>
      <w:r w:rsidR="00E6549B">
        <w:rPr>
          <w:noProof/>
        </w:rPr>
        <w:fldChar w:fldCharType="end"/>
      </w:r>
      <w:r>
        <w:tab/>
        <w:t>Draft decision —MIC parameter values for 2017–2022</w:t>
      </w:r>
    </w:p>
    <w:tbl>
      <w:tblPr>
        <w:tblStyle w:val="AERtable-numbers"/>
        <w:tblW w:w="0" w:type="auto"/>
        <w:tblLook w:val="04A0" w:firstRow="1" w:lastRow="0" w:firstColumn="1" w:lastColumn="0" w:noHBand="0" w:noVBand="1"/>
      </w:tblPr>
      <w:tblGrid>
        <w:gridCol w:w="4346"/>
        <w:gridCol w:w="4347"/>
      </w:tblGrid>
      <w:tr w:rsidR="00AB7C84" w:rsidTr="00AB7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AB7C84" w:rsidRPr="00AB7C84" w:rsidRDefault="00AB7C84" w:rsidP="00AB7C84">
            <w:r w:rsidRPr="00AB7C84">
              <w:t>Parameter values - MIC</w:t>
            </w:r>
          </w:p>
        </w:tc>
        <w:tc>
          <w:tcPr>
            <w:tcW w:w="4347" w:type="dxa"/>
            <w:vAlign w:val="top"/>
          </w:tcPr>
          <w:p w:rsidR="00AB7C84" w:rsidRPr="00AB7C84" w:rsidRDefault="00AB7C84" w:rsidP="00AE0D8E">
            <w:pPr>
              <w:cnfStyle w:val="100000000000" w:firstRow="1" w:lastRow="0" w:firstColumn="0" w:lastColumn="0" w:oddVBand="0" w:evenVBand="0" w:oddHBand="0" w:evenHBand="0" w:firstRowFirstColumn="0" w:firstRowLastColumn="0" w:lastRowFirstColumn="0" w:lastRowLastColumn="0"/>
            </w:pPr>
            <w:r w:rsidRPr="00AB7C84">
              <w:t>Indicative (200</w:t>
            </w:r>
            <w:r w:rsidR="00AE0D8E">
              <w:t>9</w:t>
            </w:r>
            <w:r w:rsidRPr="00AB7C84">
              <w:t>–201</w:t>
            </w:r>
            <w:r w:rsidR="00AE0D8E">
              <w:t>5</w:t>
            </w:r>
            <w:r w:rsidRPr="00AB7C84">
              <w:t>)</w:t>
            </w:r>
          </w:p>
        </w:tc>
      </w:tr>
      <w:tr w:rsidR="00AB7C84" w:rsidTr="00AB7C84">
        <w:tc>
          <w:tcPr>
            <w:cnfStyle w:val="001000000000" w:firstRow="0" w:lastRow="0" w:firstColumn="1" w:lastColumn="0" w:oddVBand="0" w:evenVBand="0" w:oddHBand="0" w:evenHBand="0" w:firstRowFirstColumn="0" w:firstRowLastColumn="0" w:lastRowFirstColumn="0" w:lastRowLastColumn="0"/>
            <w:tcW w:w="4346" w:type="dxa"/>
            <w:vAlign w:val="top"/>
          </w:tcPr>
          <w:p w:rsidR="00AB7C84" w:rsidRPr="00AB7C84" w:rsidRDefault="00AB7C84" w:rsidP="00AB7C84">
            <w:r w:rsidRPr="00AB7C84">
              <w:t>Performance target</w:t>
            </w:r>
          </w:p>
        </w:tc>
        <w:tc>
          <w:tcPr>
            <w:tcW w:w="4347" w:type="dxa"/>
            <w:vAlign w:val="top"/>
          </w:tcPr>
          <w:p w:rsidR="00AB7C84" w:rsidRPr="00AB7C84" w:rsidRDefault="00BA65D0" w:rsidP="00AB7C84">
            <w:pPr>
              <w:cnfStyle w:val="000000000000" w:firstRow="0" w:lastRow="0" w:firstColumn="0" w:lastColumn="0" w:oddVBand="0" w:evenVBand="0" w:oddHBand="0" w:evenHBand="0" w:firstRowFirstColumn="0" w:firstRowLastColumn="0" w:lastRowFirstColumn="0" w:lastRowLastColumn="0"/>
            </w:pPr>
            <w:r>
              <w:t>333</w:t>
            </w:r>
          </w:p>
        </w:tc>
      </w:tr>
      <w:tr w:rsidR="00AB7C84" w:rsidTr="00AB7C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AB7C84" w:rsidRPr="00AB7C84" w:rsidRDefault="00AB7C84" w:rsidP="00AB7C84">
            <w:r w:rsidRPr="00AB7C84">
              <w:t>Unplanned outage event limit</w:t>
            </w:r>
          </w:p>
        </w:tc>
        <w:tc>
          <w:tcPr>
            <w:tcW w:w="4347" w:type="dxa"/>
            <w:vAlign w:val="top"/>
          </w:tcPr>
          <w:p w:rsidR="00AB7C84" w:rsidRPr="00AB7C84" w:rsidRDefault="00BA65D0" w:rsidP="00AB7C84">
            <w:pPr>
              <w:cnfStyle w:val="000000010000" w:firstRow="0" w:lastRow="0" w:firstColumn="0" w:lastColumn="0" w:oddVBand="0" w:evenVBand="0" w:oddHBand="0" w:evenHBand="1" w:firstRowFirstColumn="0" w:firstRowLastColumn="0" w:lastRowFirstColumn="0" w:lastRowLastColumn="0"/>
            </w:pPr>
            <w:r>
              <w:t>57</w:t>
            </w:r>
          </w:p>
        </w:tc>
      </w:tr>
      <w:tr w:rsidR="00AB7C84" w:rsidTr="00AB7C84">
        <w:tc>
          <w:tcPr>
            <w:cnfStyle w:val="001000000000" w:firstRow="0" w:lastRow="0" w:firstColumn="1" w:lastColumn="0" w:oddVBand="0" w:evenVBand="0" w:oddHBand="0" w:evenHBand="0" w:firstRowFirstColumn="0" w:firstRowLastColumn="0" w:lastRowFirstColumn="0" w:lastRowLastColumn="0"/>
            <w:tcW w:w="4346" w:type="dxa"/>
            <w:vAlign w:val="top"/>
          </w:tcPr>
          <w:p w:rsidR="00AB7C84" w:rsidRPr="00AB7C84" w:rsidRDefault="00AB7C84" w:rsidP="00AB7C84">
            <w:r w:rsidRPr="00AB7C84">
              <w:t>Dollar per dispatch interval</w:t>
            </w:r>
          </w:p>
        </w:tc>
        <w:tc>
          <w:tcPr>
            <w:tcW w:w="4347" w:type="dxa"/>
            <w:vAlign w:val="top"/>
          </w:tcPr>
          <w:p w:rsidR="00AB7C84" w:rsidRPr="00AB7C84" w:rsidRDefault="00BA65D0" w:rsidP="00AB7C84">
            <w:pPr>
              <w:cnfStyle w:val="000000000000" w:firstRow="0" w:lastRow="0" w:firstColumn="0" w:lastColumn="0" w:oddVBand="0" w:evenVBand="0" w:oddHBand="0" w:evenHBand="0" w:firstRowFirstColumn="0" w:firstRowLastColumn="0" w:lastRowFirstColumn="0" w:lastRowLastColumn="0"/>
            </w:pPr>
            <w:r w:rsidRPr="00BA65D0">
              <w:t>$21,344</w:t>
            </w:r>
          </w:p>
        </w:tc>
      </w:tr>
    </w:tbl>
    <w:p w:rsidR="005E7969" w:rsidRDefault="005E7969" w:rsidP="005E7969">
      <w:pPr>
        <w:pStyle w:val="AERtablesource"/>
        <w:numPr>
          <w:ilvl w:val="0"/>
          <w:numId w:val="24"/>
        </w:numPr>
      </w:pPr>
      <w:r w:rsidRPr="00374883">
        <w:t xml:space="preserve">Source: </w:t>
      </w:r>
      <w:r w:rsidRPr="00374883">
        <w:tab/>
      </w:r>
      <w:r>
        <w:t>AER analysis</w:t>
      </w:r>
    </w:p>
    <w:p w:rsidR="005E7969" w:rsidRDefault="005E7969" w:rsidP="005E7969">
      <w:pPr>
        <w:pStyle w:val="Caption"/>
      </w:pPr>
      <w:bookmarkStart w:id="79" w:name="_Ref454531268"/>
      <w:r>
        <w:t xml:space="preserve">Table </w:t>
      </w:r>
      <w:r w:rsidR="00E6549B">
        <w:fldChar w:fldCharType="begin"/>
      </w:r>
      <w:r w:rsidR="00E6549B">
        <w:instrText xml:space="preserve"> STYLEREF 1 \s </w:instrText>
      </w:r>
      <w:r w:rsidR="00E6549B">
        <w:fldChar w:fldCharType="separate"/>
      </w:r>
      <w:r w:rsidR="001C0547">
        <w:rPr>
          <w:noProof/>
        </w:rPr>
        <w:t>11</w:t>
      </w:r>
      <w:r w:rsidR="00E6549B">
        <w:rPr>
          <w:noProof/>
        </w:rPr>
        <w:fldChar w:fldCharType="end"/>
      </w:r>
      <w:r w:rsidR="003E612F">
        <w:noBreakHyphen/>
      </w:r>
      <w:r w:rsidR="00E6549B">
        <w:fldChar w:fldCharType="begin"/>
      </w:r>
      <w:r w:rsidR="00E6549B">
        <w:instrText xml:space="preserve"> SEQ Table \* ARABIC \s 1 </w:instrText>
      </w:r>
      <w:r w:rsidR="00E6549B">
        <w:fldChar w:fldCharType="separate"/>
      </w:r>
      <w:r w:rsidR="001C0547">
        <w:rPr>
          <w:noProof/>
        </w:rPr>
        <w:t>3</w:t>
      </w:r>
      <w:r w:rsidR="00E6549B">
        <w:rPr>
          <w:noProof/>
        </w:rPr>
        <w:fldChar w:fldCharType="end"/>
      </w:r>
      <w:bookmarkEnd w:id="79"/>
      <w:r>
        <w:tab/>
        <w:t xml:space="preserve">Draft decision — </w:t>
      </w:r>
      <w:r w:rsidRPr="00D75328">
        <w:t>11.1</w:t>
      </w:r>
      <w:r w:rsidRPr="00D75328">
        <w:tab/>
        <w:t>Network capability component</w:t>
      </w:r>
      <w:r>
        <w:t xml:space="preserve"> for 2017–2022 </w:t>
      </w:r>
      <w:r w:rsidRPr="00D75328">
        <w:t>($ real 2016-17)</w:t>
      </w:r>
    </w:p>
    <w:tbl>
      <w:tblPr>
        <w:tblStyle w:val="AERtable-numbers"/>
        <w:tblW w:w="5000" w:type="pct"/>
        <w:tblLook w:val="04A0" w:firstRow="1" w:lastRow="0" w:firstColumn="1" w:lastColumn="0" w:noHBand="0" w:noVBand="1"/>
      </w:tblPr>
      <w:tblGrid>
        <w:gridCol w:w="6634"/>
        <w:gridCol w:w="2059"/>
      </w:tblGrid>
      <w:tr w:rsidR="0054455A" w:rsidTr="00544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pct"/>
          </w:tcPr>
          <w:p w:rsidR="0054455A" w:rsidRPr="00AB7C84" w:rsidRDefault="0054455A" w:rsidP="00AB7C84">
            <w:r w:rsidRPr="00AB7C84">
              <w:t>Project</w:t>
            </w:r>
          </w:p>
        </w:tc>
        <w:tc>
          <w:tcPr>
            <w:tcW w:w="1184" w:type="pct"/>
          </w:tcPr>
          <w:p w:rsidR="0054455A" w:rsidRPr="00AB7C84" w:rsidRDefault="0054455A" w:rsidP="00AB7C84">
            <w:pPr>
              <w:cnfStyle w:val="100000000000" w:firstRow="1" w:lastRow="0" w:firstColumn="0" w:lastColumn="0" w:oddVBand="0" w:evenVBand="0" w:oddHBand="0" w:evenHBand="0" w:firstRowFirstColumn="0" w:firstRowLastColumn="0" w:lastRowFirstColumn="0" w:lastRowLastColumn="0"/>
            </w:pPr>
            <w:r w:rsidRPr="00AB7C84">
              <w:t>Indicative value</w:t>
            </w:r>
          </w:p>
        </w:tc>
      </w:tr>
      <w:tr w:rsidR="0054455A" w:rsidRPr="008C5B82" w:rsidTr="0054455A">
        <w:tc>
          <w:tcPr>
            <w:cnfStyle w:val="001000000000" w:firstRow="0" w:lastRow="0" w:firstColumn="1" w:lastColumn="0" w:oddVBand="0" w:evenVBand="0" w:oddHBand="0" w:evenHBand="0" w:firstRowFirstColumn="0" w:firstRowLastColumn="0" w:lastRowFirstColumn="0" w:lastRowLastColumn="0"/>
            <w:tcW w:w="3816" w:type="pct"/>
            <w:vAlign w:val="top"/>
          </w:tcPr>
          <w:p w:rsidR="0054455A" w:rsidRPr="0054455A" w:rsidRDefault="0054455A" w:rsidP="0054455A">
            <w:r w:rsidRPr="0054455A">
              <w:t>Greenbank System Integrity Protection Scheme</w:t>
            </w:r>
          </w:p>
        </w:tc>
        <w:tc>
          <w:tcPr>
            <w:tcW w:w="1184" w:type="pct"/>
          </w:tcPr>
          <w:p w:rsidR="0054455A" w:rsidRPr="0054455A" w:rsidRDefault="0054455A" w:rsidP="0054455A">
            <w:pPr>
              <w:cnfStyle w:val="000000000000" w:firstRow="0" w:lastRow="0" w:firstColumn="0" w:lastColumn="0" w:oddVBand="0" w:evenVBand="0" w:oddHBand="0" w:evenHBand="0" w:firstRowFirstColumn="0" w:firstRowLastColumn="0" w:lastRowFirstColumn="0" w:lastRowLastColumn="0"/>
            </w:pPr>
            <w:r>
              <w:t>0</w:t>
            </w:r>
          </w:p>
        </w:tc>
      </w:tr>
      <w:tr w:rsidR="0054455A" w:rsidRPr="008C5B82" w:rsidTr="00544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pct"/>
            <w:vAlign w:val="top"/>
          </w:tcPr>
          <w:p w:rsidR="0054455A" w:rsidRPr="0054455A" w:rsidRDefault="0054455A" w:rsidP="0054455A">
            <w:r w:rsidRPr="0054455A">
              <w:t>Load model enhancement and validation</w:t>
            </w:r>
          </w:p>
        </w:tc>
        <w:tc>
          <w:tcPr>
            <w:tcW w:w="1184" w:type="pct"/>
          </w:tcPr>
          <w:p w:rsidR="0054455A" w:rsidRPr="0054455A" w:rsidRDefault="00EE6835" w:rsidP="0054455A">
            <w:pPr>
              <w:cnfStyle w:val="000000010000" w:firstRow="0" w:lastRow="0" w:firstColumn="0" w:lastColumn="0" w:oddVBand="0" w:evenVBand="0" w:oddHBand="0" w:evenHBand="1" w:firstRowFirstColumn="0" w:firstRowLastColumn="0" w:lastRowFirstColumn="0" w:lastRowLastColumn="0"/>
            </w:pPr>
            <w:r w:rsidRPr="00EE6835">
              <w:t>$506</w:t>
            </w:r>
            <w:r w:rsidR="003877A8">
              <w:t>,000</w:t>
            </w:r>
            <w:r w:rsidRPr="00EE6835">
              <w:t xml:space="preserve"> (real, 2016/17)</w:t>
            </w:r>
          </w:p>
        </w:tc>
      </w:tr>
      <w:tr w:rsidR="0054455A" w:rsidRPr="008C5B82" w:rsidTr="0054455A">
        <w:tc>
          <w:tcPr>
            <w:cnfStyle w:val="001000000000" w:firstRow="0" w:lastRow="0" w:firstColumn="1" w:lastColumn="0" w:oddVBand="0" w:evenVBand="0" w:oddHBand="0" w:evenHBand="0" w:firstRowFirstColumn="0" w:firstRowLastColumn="0" w:lastRowFirstColumn="0" w:lastRowLastColumn="0"/>
            <w:tcW w:w="3816" w:type="pct"/>
            <w:vAlign w:val="top"/>
          </w:tcPr>
          <w:p w:rsidR="0054455A" w:rsidRPr="0054455A" w:rsidRDefault="0054455A" w:rsidP="0054455A">
            <w:r w:rsidRPr="0054455A">
              <w:t>Increase design temperature of two 275kV transmission lines</w:t>
            </w:r>
          </w:p>
        </w:tc>
        <w:tc>
          <w:tcPr>
            <w:tcW w:w="1184" w:type="pct"/>
          </w:tcPr>
          <w:p w:rsidR="0054455A" w:rsidRPr="0054455A" w:rsidRDefault="0054455A" w:rsidP="0054455A">
            <w:pPr>
              <w:cnfStyle w:val="000000000000" w:firstRow="0" w:lastRow="0" w:firstColumn="0" w:lastColumn="0" w:oddVBand="0" w:evenVBand="0" w:oddHBand="0" w:evenHBand="0" w:firstRowFirstColumn="0" w:firstRowLastColumn="0" w:lastRowFirstColumn="0" w:lastRowLastColumn="0"/>
            </w:pPr>
            <w:r>
              <w:t>0</w:t>
            </w:r>
          </w:p>
        </w:tc>
      </w:tr>
    </w:tbl>
    <w:p w:rsidR="005E7969" w:rsidRDefault="005E7969" w:rsidP="005E7969">
      <w:pPr>
        <w:pStyle w:val="AERtablesource"/>
        <w:numPr>
          <w:ilvl w:val="0"/>
          <w:numId w:val="24"/>
        </w:numPr>
      </w:pPr>
      <w:r w:rsidRPr="00374883">
        <w:t xml:space="preserve">Source: </w:t>
      </w:r>
      <w:r w:rsidRPr="00374883">
        <w:tab/>
      </w:r>
      <w:r>
        <w:t>AER analysis</w:t>
      </w:r>
    </w:p>
    <w:p w:rsidR="00840004" w:rsidRPr="001754EE" w:rsidRDefault="00840004" w:rsidP="00840004">
      <w:pPr>
        <w:pStyle w:val="Heading2"/>
      </w:pPr>
      <w:bookmarkStart w:id="80" w:name="_Toc436655508"/>
      <w:bookmarkStart w:id="81" w:name="_Toc462752816"/>
      <w:r>
        <w:lastRenderedPageBreak/>
        <w:t>Powerlink's</w:t>
      </w:r>
      <w:r w:rsidRPr="001754EE">
        <w:t xml:space="preserve"> proposal</w:t>
      </w:r>
      <w:bookmarkEnd w:id="76"/>
      <w:bookmarkEnd w:id="80"/>
      <w:bookmarkEnd w:id="81"/>
    </w:p>
    <w:p w:rsidR="00840004" w:rsidRDefault="00840004" w:rsidP="00840004">
      <w:r>
        <w:t>Powerlink proposed to apply version 5 of the STPIS as follows:</w:t>
      </w:r>
      <w:r>
        <w:rPr>
          <w:rStyle w:val="FootnoteReference"/>
        </w:rPr>
        <w:footnoteReference w:id="3"/>
      </w:r>
    </w:p>
    <w:p w:rsidR="00840004" w:rsidRPr="002472FD" w:rsidRDefault="00840004" w:rsidP="00840004">
      <w:pPr>
        <w:pStyle w:val="AERbulletlistfirststyle"/>
      </w:pPr>
      <w:r>
        <w:t>The s</w:t>
      </w:r>
      <w:r w:rsidRPr="002472FD">
        <w:t xml:space="preserve">ervice </w:t>
      </w:r>
      <w:r>
        <w:t>c</w:t>
      </w:r>
      <w:r w:rsidRPr="002472FD">
        <w:t>omponent parameter targets are set equal to average historic</w:t>
      </w:r>
      <w:r w:rsidR="00790D4D">
        <w:t>al</w:t>
      </w:r>
      <w:r w:rsidRPr="002472FD">
        <w:t xml:space="preserve"> performance</w:t>
      </w:r>
      <w:r>
        <w:t xml:space="preserve"> over the last five years. The s</w:t>
      </w:r>
      <w:r w:rsidRPr="002472FD">
        <w:t xml:space="preserve">ervice </w:t>
      </w:r>
      <w:r>
        <w:t>c</w:t>
      </w:r>
      <w:r w:rsidRPr="002472FD">
        <w:t xml:space="preserve">omponent caps and </w:t>
      </w:r>
      <w:r w:rsidR="00AB7C84">
        <w:t>floor</w:t>
      </w:r>
      <w:r w:rsidRPr="002472FD">
        <w:t>s are set at the 5th and 95th percentiles of historic performance</w:t>
      </w:r>
      <w:r>
        <w:t>.</w:t>
      </w:r>
    </w:p>
    <w:p w:rsidR="00840004" w:rsidRPr="002472FD" w:rsidRDefault="00840004" w:rsidP="00840004">
      <w:pPr>
        <w:pStyle w:val="AERbulletlistfirststyle"/>
      </w:pPr>
      <w:r>
        <w:t xml:space="preserve">The </w:t>
      </w:r>
      <w:r w:rsidRPr="002472FD">
        <w:t xml:space="preserve">Market Impact Component (MIC) </w:t>
      </w:r>
      <w:r w:rsidR="000B5190">
        <w:t>parameter values to be set using market impact</w:t>
      </w:r>
      <w:r w:rsidRPr="002472FD">
        <w:t xml:space="preserve"> data from 2009</w:t>
      </w:r>
      <w:r>
        <w:t>–</w:t>
      </w:r>
      <w:r w:rsidRPr="002472FD">
        <w:t>1</w:t>
      </w:r>
      <w:r w:rsidR="00862CB3">
        <w:t>5</w:t>
      </w:r>
      <w:r w:rsidR="000B5190">
        <w:t xml:space="preserve"> in accordance with the requirements of the scheme</w:t>
      </w:r>
      <w:r>
        <w:t>.</w:t>
      </w:r>
    </w:p>
    <w:p w:rsidR="00840004" w:rsidRDefault="00840004" w:rsidP="00840004">
      <w:pPr>
        <w:pStyle w:val="AERbulletlistfirststyle"/>
      </w:pPr>
      <w:r w:rsidRPr="002472FD">
        <w:t xml:space="preserve">The </w:t>
      </w:r>
      <w:r w:rsidR="0082710E">
        <w:t xml:space="preserve">network capability component for three </w:t>
      </w:r>
      <w:r w:rsidRPr="002472FD">
        <w:t>priority projects</w:t>
      </w:r>
      <w:r>
        <w:t xml:space="preserve"> </w:t>
      </w:r>
      <w:r w:rsidR="0082710E">
        <w:t>(</w:t>
      </w:r>
      <w:r>
        <w:t>around $3.2 million real</w:t>
      </w:r>
      <w:r w:rsidR="0082710E">
        <w:t xml:space="preserve"> </w:t>
      </w:r>
      <w:r>
        <w:t>$ 2016/17)</w:t>
      </w:r>
      <w:r w:rsidRPr="002472FD">
        <w:t xml:space="preserve"> to improve network capability.</w:t>
      </w:r>
    </w:p>
    <w:p w:rsidR="00840004" w:rsidRDefault="00840004" w:rsidP="00840004">
      <w:pPr>
        <w:pStyle w:val="Heading2"/>
      </w:pPr>
      <w:bookmarkStart w:id="82" w:name="_Toc403144138"/>
      <w:bookmarkStart w:id="83" w:name="_Toc436655509"/>
      <w:bookmarkStart w:id="84" w:name="_Toc462752817"/>
      <w:r w:rsidRPr="001754EE">
        <w:t>AER’s</w:t>
      </w:r>
      <w:r>
        <w:t xml:space="preserve"> assessment approach</w:t>
      </w:r>
      <w:bookmarkEnd w:id="82"/>
      <w:bookmarkEnd w:id="83"/>
      <w:bookmarkEnd w:id="84"/>
    </w:p>
    <w:p w:rsidR="00840004" w:rsidRDefault="00840004" w:rsidP="00840004">
      <w:r w:rsidRPr="00ED6CFA">
        <w:t>A revenue determination for a TNSP is to specify, amongst other things, the annual building block revenue requirement for each regulatory year of the regulatory control period.</w:t>
      </w:r>
      <w:r w:rsidRPr="00ED6CFA">
        <w:rPr>
          <w:rStyle w:val="AERsuperscript"/>
        </w:rPr>
        <w:footnoteReference w:id="4"/>
      </w:r>
      <w:r w:rsidRPr="00ED6CFA">
        <w:t xml:space="preserve"> In turn, the annual building block revenue requirement must be determined using a building blocks approach, under which one of the building blocks is the revenue increments or decrements (if any) for that year arising from the application of any STP</w:t>
      </w:r>
      <w:r>
        <w:t>I</w:t>
      </w:r>
      <w:r w:rsidRPr="00ED6CFA">
        <w:t>S (and other schemes).</w:t>
      </w:r>
      <w:r w:rsidRPr="00ED6CFA">
        <w:rPr>
          <w:rStyle w:val="AERsuperscript"/>
        </w:rPr>
        <w:footnoteReference w:id="5"/>
      </w:r>
      <w:r w:rsidRPr="00ED6CFA">
        <w:t xml:space="preserve"> </w:t>
      </w:r>
      <w:r>
        <w:t>W</w:t>
      </w:r>
      <w:r w:rsidRPr="00ED6CFA">
        <w:t xml:space="preserve">e have assessed </w:t>
      </w:r>
      <w:r>
        <w:t xml:space="preserve">Powerlink's regulatory </w:t>
      </w:r>
      <w:r w:rsidRPr="00ED6CFA">
        <w:t>proposal against the requirements of the STP</w:t>
      </w:r>
      <w:r>
        <w:t>I</w:t>
      </w:r>
      <w:r w:rsidRPr="00ED6CFA">
        <w:t xml:space="preserve">S version </w:t>
      </w:r>
      <w:r>
        <w:t>5</w:t>
      </w:r>
      <w:r w:rsidRPr="00ED6CFA">
        <w:t>.</w:t>
      </w:r>
    </w:p>
    <w:p w:rsidR="00840004" w:rsidRPr="00840004" w:rsidRDefault="00840004" w:rsidP="00840004">
      <w:pPr>
        <w:pStyle w:val="Heading3"/>
      </w:pPr>
      <w:bookmarkStart w:id="85" w:name="_Toc462752818"/>
      <w:r>
        <w:t>Service component</w:t>
      </w:r>
      <w:bookmarkEnd w:id="85"/>
    </w:p>
    <w:p w:rsidR="00840004" w:rsidRDefault="00840004" w:rsidP="00840004">
      <w:pPr>
        <w:numPr>
          <w:ilvl w:val="0"/>
          <w:numId w:val="24"/>
        </w:numPr>
      </w:pPr>
      <w:r>
        <w:t xml:space="preserve">We assessed whether Powerlink's proposed performance targets, caps and </w:t>
      </w:r>
      <w:r w:rsidR="00AB7C84">
        <w:t>floor</w:t>
      </w:r>
      <w:r>
        <w:t>s comply with the STPIS requirements for:</w:t>
      </w:r>
      <w:r>
        <w:rPr>
          <w:rStyle w:val="FootnoteReference"/>
        </w:rPr>
        <w:footnoteReference w:id="6"/>
      </w:r>
    </w:p>
    <w:p w:rsidR="00840004" w:rsidRPr="00B537F8" w:rsidRDefault="00840004" w:rsidP="00840004">
      <w:pPr>
        <w:pStyle w:val="AERbulletlistfirststyle"/>
      </w:pPr>
      <w:r>
        <w:t>average circuit outage rate, with six sub parameters</w:t>
      </w:r>
      <w:r w:rsidRPr="00B537F8">
        <w:rPr>
          <w:rStyle w:val="FootnoteReference"/>
        </w:rPr>
        <w:footnoteReference w:id="7"/>
      </w:r>
    </w:p>
    <w:p w:rsidR="00840004" w:rsidRPr="00B537F8" w:rsidRDefault="00840004" w:rsidP="00840004">
      <w:pPr>
        <w:pStyle w:val="AERbulletlistfirststyle"/>
      </w:pPr>
      <w:r>
        <w:t>loss of supply event frequency, with two loss of supply event sub-parameters</w:t>
      </w:r>
      <w:r w:rsidRPr="00B537F8">
        <w:rPr>
          <w:rStyle w:val="FootnoteReference"/>
        </w:rPr>
        <w:footnoteReference w:id="8"/>
      </w:r>
    </w:p>
    <w:p w:rsidR="00840004" w:rsidRPr="00B537F8" w:rsidRDefault="00840004" w:rsidP="00840004">
      <w:pPr>
        <w:pStyle w:val="AERbulletlistfirststyle"/>
      </w:pPr>
      <w:r>
        <w:t>average outage duration</w:t>
      </w:r>
    </w:p>
    <w:p w:rsidR="00840004" w:rsidRPr="00B537F8" w:rsidRDefault="00840004" w:rsidP="00840004">
      <w:pPr>
        <w:pStyle w:val="AERbulletlistfirststyle"/>
      </w:pPr>
      <w:r>
        <w:t xml:space="preserve">proper operation of equipment, with three </w:t>
      </w:r>
      <w:r w:rsidRPr="00B537F8">
        <w:t>sub-parameters</w:t>
      </w:r>
      <w:r>
        <w:t>.</w:t>
      </w:r>
      <w:r w:rsidRPr="00B537F8">
        <w:rPr>
          <w:rStyle w:val="FootnoteReference"/>
        </w:rPr>
        <w:footnoteReference w:id="9"/>
      </w:r>
    </w:p>
    <w:p w:rsidR="00840004" w:rsidRPr="00E02761" w:rsidRDefault="003F221C" w:rsidP="00840004">
      <w:pPr>
        <w:numPr>
          <w:ilvl w:val="0"/>
          <w:numId w:val="24"/>
        </w:numPr>
      </w:pPr>
      <w:r>
        <w:t xml:space="preserve">Under the STIPS, we </w:t>
      </w:r>
      <w:r w:rsidR="00840004">
        <w:t>must accept Powerlink's proposed parameter values if they comply with the requirements of the STPIS.</w:t>
      </w:r>
      <w:r w:rsidR="00840004" w:rsidRPr="00E02761">
        <w:t xml:space="preserve"> We may reject them if they are </w:t>
      </w:r>
      <w:r w:rsidR="00840004" w:rsidRPr="00E02761">
        <w:lastRenderedPageBreak/>
        <w:t>inconsistent with the objectives of the STPIS.</w:t>
      </w:r>
      <w:r w:rsidR="00840004" w:rsidRPr="00E02761">
        <w:rPr>
          <w:rStyle w:val="FootnoteReference"/>
        </w:rPr>
        <w:footnoteReference w:id="10"/>
      </w:r>
      <w:r w:rsidR="00840004">
        <w:t xml:space="preserve"> We measure actual performance for the 'average circuit outage rate' and 'average outage duration' parameters on a two calendar year rolling average in accordance with appendix E of the STPIS. </w:t>
      </w:r>
    </w:p>
    <w:p w:rsidR="00840004" w:rsidRDefault="00840004" w:rsidP="00840004">
      <w:pPr>
        <w:numPr>
          <w:ilvl w:val="0"/>
          <w:numId w:val="24"/>
        </w:numPr>
      </w:pPr>
      <w:r>
        <w:t>We assessed Powerlink's service component proposal against the requirements of the STPIS — that is, whether:</w:t>
      </w:r>
    </w:p>
    <w:p w:rsidR="00840004" w:rsidRPr="00B537F8" w:rsidRDefault="00840004" w:rsidP="00840004">
      <w:pPr>
        <w:pStyle w:val="AERbulletlistfirststyle"/>
      </w:pPr>
      <w:r>
        <w:t>Powerlink's data recording systems and processes produce accurate and reliable data and whether the data is recorded consistently based on the parameter definitions under the STPIS</w:t>
      </w:r>
      <w:r w:rsidRPr="00B537F8">
        <w:rPr>
          <w:rStyle w:val="FootnoteReference"/>
        </w:rPr>
        <w:footnoteReference w:id="11"/>
      </w:r>
    </w:p>
    <w:p w:rsidR="00840004" w:rsidRPr="00B537F8" w:rsidRDefault="00840004" w:rsidP="00840004">
      <w:pPr>
        <w:pStyle w:val="AERbulletlistfirststyle"/>
      </w:pPr>
      <w:r>
        <w:t>the proposed performance targets were equal to the average of the most recent five years of performance data</w:t>
      </w:r>
      <w:r w:rsidRPr="00B537F8">
        <w:rPr>
          <w:rStyle w:val="FootnoteReference"/>
        </w:rPr>
        <w:footnoteReference w:id="12"/>
      </w:r>
    </w:p>
    <w:p w:rsidR="00840004" w:rsidRPr="00B537F8" w:rsidRDefault="00840004" w:rsidP="00840004">
      <w:pPr>
        <w:pStyle w:val="AERbulletlistfirststyle"/>
      </w:pPr>
      <w:r>
        <w:t>any adjustments to the proposed targets are warranted and reasonable</w:t>
      </w:r>
      <w:r w:rsidRPr="00B537F8">
        <w:rPr>
          <w:rStyle w:val="FootnoteReference"/>
        </w:rPr>
        <w:footnoteReference w:id="13"/>
      </w:r>
    </w:p>
    <w:p w:rsidR="00840004" w:rsidRPr="00B537F8" w:rsidRDefault="00840004" w:rsidP="00840004">
      <w:pPr>
        <w:pStyle w:val="AERbulletlistfirststyle"/>
      </w:pPr>
      <w:r>
        <w:t xml:space="preserve">Powerlink applied a sound methodology, with reference to the performance targets, to calculate the proposed caps and </w:t>
      </w:r>
      <w:r w:rsidR="00AB7C84">
        <w:t>floors</w:t>
      </w:r>
      <w:r w:rsidRPr="00B537F8">
        <w:rPr>
          <w:rStyle w:val="FootnoteReference"/>
        </w:rPr>
        <w:footnoteReference w:id="14"/>
      </w:r>
      <w:r>
        <w:t xml:space="preserve"> </w:t>
      </w:r>
    </w:p>
    <w:p w:rsidR="00840004" w:rsidRPr="00B537F8" w:rsidRDefault="00840004" w:rsidP="00840004">
      <w:pPr>
        <w:pStyle w:val="AERbulletlistfirststyle"/>
      </w:pPr>
      <w:r>
        <w:t xml:space="preserve">any adjustment to a performance target was applied to the cap and </w:t>
      </w:r>
      <w:r w:rsidR="00AB7C84">
        <w:t>floor</w:t>
      </w:r>
      <w:r>
        <w:t xml:space="preserve"> of that parameter.</w:t>
      </w:r>
      <w:r w:rsidRPr="00B537F8">
        <w:rPr>
          <w:rStyle w:val="FootnoteReference"/>
        </w:rPr>
        <w:footnoteReference w:id="15"/>
      </w:r>
    </w:p>
    <w:p w:rsidR="000B5190" w:rsidRPr="000B5190" w:rsidRDefault="000B5190" w:rsidP="000B5190">
      <w:pPr>
        <w:pStyle w:val="Heading3"/>
      </w:pPr>
      <w:bookmarkStart w:id="86" w:name="_Toc462752819"/>
      <w:r>
        <w:t>Market impact component</w:t>
      </w:r>
      <w:bookmarkEnd w:id="86"/>
      <w:r>
        <w:t xml:space="preserve"> </w:t>
      </w:r>
    </w:p>
    <w:p w:rsidR="005E49B7" w:rsidRDefault="005E49B7" w:rsidP="000B5190">
      <w:pPr>
        <w:numPr>
          <w:ilvl w:val="0"/>
          <w:numId w:val="24"/>
        </w:numPr>
      </w:pPr>
      <w:r w:rsidRPr="005E49B7">
        <w:t xml:space="preserve">We assessed Powerlink's </w:t>
      </w:r>
      <w:r w:rsidR="001360D1">
        <w:t xml:space="preserve">market impact </w:t>
      </w:r>
      <w:r w:rsidRPr="005E49B7">
        <w:t>component proposal against the requirements of the STPIS — that is, whether</w:t>
      </w:r>
      <w:r>
        <w:t xml:space="preserve"> : </w:t>
      </w:r>
    </w:p>
    <w:p w:rsidR="005E49B7" w:rsidRDefault="00EC08AF" w:rsidP="006E2BD6">
      <w:pPr>
        <w:pStyle w:val="AERbulletlistfirststyle"/>
      </w:pPr>
      <w:r>
        <w:t>data used to calculate the market impact parameter is accurate and reliable, and consistently recorded based on the parameter definition in Appendix C.</w:t>
      </w:r>
      <w:r>
        <w:rPr>
          <w:rStyle w:val="FootnoteReference"/>
        </w:rPr>
        <w:footnoteReference w:id="16"/>
      </w:r>
    </w:p>
    <w:p w:rsidR="00EC08AF" w:rsidRDefault="00EC08AF" w:rsidP="006E2BD6">
      <w:pPr>
        <w:pStyle w:val="AERbulletlistfirststyle"/>
      </w:pPr>
      <w:r>
        <w:t>the proposed performance target was calculated in accordance with the requirements of clause 4.2(f) in version 5 of the STPIS.</w:t>
      </w:r>
      <w:r>
        <w:rPr>
          <w:rStyle w:val="FootnoteReference"/>
        </w:rPr>
        <w:footnoteReference w:id="17"/>
      </w:r>
    </w:p>
    <w:p w:rsidR="00EC08AF" w:rsidRDefault="00EC08AF" w:rsidP="006E2BD6">
      <w:pPr>
        <w:pStyle w:val="AERbulletlistfirststyle"/>
      </w:pPr>
      <w:r>
        <w:t>the</w:t>
      </w:r>
      <w:r w:rsidR="005768BC">
        <w:t xml:space="preserve"> proposed</w:t>
      </w:r>
      <w:r>
        <w:t xml:space="preserve"> unplanned outage event limit has been calculated in accordance with the requirements of clause 4.2(h) in version 5 of the STPIS.</w:t>
      </w:r>
    </w:p>
    <w:p w:rsidR="003806A6" w:rsidRDefault="00EC08AF" w:rsidP="006E2BD6">
      <w:pPr>
        <w:pStyle w:val="AERbulletlistfirststyle"/>
      </w:pPr>
      <w:r>
        <w:t xml:space="preserve">the </w:t>
      </w:r>
      <w:r w:rsidR="005768BC">
        <w:t xml:space="preserve">proposed </w:t>
      </w:r>
      <w:r>
        <w:t xml:space="preserve">dollar per dispatch interval has been calculated in accordance with clause 4.2(j) in version 5 of the STPIS. </w:t>
      </w:r>
    </w:p>
    <w:p w:rsidR="00EC08AF" w:rsidRDefault="003806A6" w:rsidP="007D05CD">
      <w:pPr>
        <w:pStyle w:val="AERbulletlistfirststyle"/>
        <w:numPr>
          <w:ilvl w:val="0"/>
          <w:numId w:val="0"/>
        </w:numPr>
      </w:pPr>
      <w:r>
        <w:t xml:space="preserve">Where Powerlink's proposed values for the market impact parameter </w:t>
      </w:r>
      <w:r w:rsidR="00B738FA">
        <w:t xml:space="preserve">does not comply with the requirements of the STPIS or is otherwise inconsistent with the objectives of </w:t>
      </w:r>
      <w:r w:rsidR="00B738FA">
        <w:lastRenderedPageBreak/>
        <w:t>the scheme</w:t>
      </w:r>
      <w:r w:rsidR="00B738FA">
        <w:rPr>
          <w:rStyle w:val="FootnoteReference"/>
        </w:rPr>
        <w:footnoteReference w:id="18"/>
      </w:r>
      <w:r w:rsidR="00B738FA">
        <w:t xml:space="preserve">, we will reject the proposed values and provide substitute values which comply with the STPIS. </w:t>
      </w:r>
    </w:p>
    <w:p w:rsidR="007F5F0D" w:rsidRPr="007F5F0D" w:rsidRDefault="007F5F0D" w:rsidP="007F5F0D">
      <w:pPr>
        <w:pStyle w:val="Heading3"/>
      </w:pPr>
      <w:bookmarkStart w:id="87" w:name="_Toc453679959"/>
      <w:bookmarkStart w:id="88" w:name="_Toc456602849"/>
      <w:bookmarkStart w:id="89" w:name="_Toc462752820"/>
      <w:r>
        <w:t>Network capability component</w:t>
      </w:r>
      <w:bookmarkEnd w:id="87"/>
      <w:bookmarkEnd w:id="88"/>
      <w:bookmarkEnd w:id="89"/>
    </w:p>
    <w:p w:rsidR="00AE0D8E" w:rsidRDefault="007F5F0D" w:rsidP="007F5F0D">
      <w:pPr>
        <w:numPr>
          <w:ilvl w:val="0"/>
          <w:numId w:val="24"/>
        </w:numPr>
      </w:pPr>
      <w:r>
        <w:t xml:space="preserve">We assessed </w:t>
      </w:r>
      <w:r w:rsidR="00AE0D8E">
        <w:t>Powerlink's</w:t>
      </w:r>
      <w:r>
        <w:t xml:space="preserve"> network capability component against the STPIS</w:t>
      </w:r>
      <w:r w:rsidR="00AE0D8E">
        <w:t xml:space="preserve"> requirements to take into accoun</w:t>
      </w:r>
      <w:r w:rsidR="007D4AD9">
        <w:t>t</w:t>
      </w:r>
      <w:r w:rsidR="00AE0D8E">
        <w:t>:</w:t>
      </w:r>
      <w:r>
        <w:rPr>
          <w:rStyle w:val="FootnoteReference"/>
        </w:rPr>
        <w:footnoteReference w:id="19"/>
      </w:r>
    </w:p>
    <w:p w:rsidR="00AE0D8E" w:rsidRPr="00AE0D8E" w:rsidRDefault="00AE0D8E" w:rsidP="00AE0D8E">
      <w:pPr>
        <w:pStyle w:val="ListNumber"/>
      </w:pPr>
      <w:r w:rsidRPr="00AE0D8E">
        <w:t>the likely effect of the priority project improvement on wholesale market outcomes, including inter-regional outcomes</w:t>
      </w:r>
    </w:p>
    <w:p w:rsidR="00AE0D8E" w:rsidRPr="00AE0D8E" w:rsidRDefault="00AE0D8E" w:rsidP="00AE0D8E">
      <w:pPr>
        <w:pStyle w:val="ListNumber"/>
      </w:pPr>
      <w:r w:rsidRPr="00AE0D8E">
        <w:t>the likely effect of the priority project improvement in ensuring that the transmission network can meet demand at an injection point without major network augmentation or replacement</w:t>
      </w:r>
    </w:p>
    <w:p w:rsidR="00AE0D8E" w:rsidRPr="00AE0D8E" w:rsidRDefault="00AE0D8E" w:rsidP="00AE0D8E">
      <w:pPr>
        <w:pStyle w:val="ListNumber"/>
      </w:pPr>
      <w:r w:rsidRPr="00AE0D8E">
        <w:t>whether the priority project improvement is appropriate, taking into account the forecast changes in demand at a relevant injection point</w:t>
      </w:r>
    </w:p>
    <w:p w:rsidR="00AE0D8E" w:rsidRPr="00AE0D8E" w:rsidRDefault="00AE0D8E" w:rsidP="00AE0D8E">
      <w:pPr>
        <w:pStyle w:val="ListNumber"/>
      </w:pPr>
      <w:r w:rsidRPr="00AE0D8E">
        <w:t>the benefits to consumers resulting from the priority project improvement</w:t>
      </w:r>
    </w:p>
    <w:p w:rsidR="00AE0D8E" w:rsidRPr="00AE0D8E" w:rsidRDefault="00AE0D8E" w:rsidP="00AE0D8E">
      <w:pPr>
        <w:pStyle w:val="ListNumber"/>
      </w:pPr>
      <w:r w:rsidRPr="00AE0D8E">
        <w:t>the extent to which a TNSP would be incentivised or required to undertake such a project under the NER or any other applicable regulatory obligations</w:t>
      </w:r>
    </w:p>
    <w:p w:rsidR="00AE0D8E" w:rsidRPr="00AE0D8E" w:rsidRDefault="00AE0D8E" w:rsidP="00AE0D8E">
      <w:pPr>
        <w:pStyle w:val="ListNumber"/>
      </w:pPr>
      <w:r w:rsidRPr="00AE0D8E">
        <w:t>the time taken for a project to have a net positive benefit</w:t>
      </w:r>
    </w:p>
    <w:p w:rsidR="00AE0D8E" w:rsidRDefault="00AE0D8E" w:rsidP="00AE0D8E">
      <w:pPr>
        <w:pStyle w:val="ListNumber"/>
      </w:pPr>
      <w:r w:rsidRPr="00AE0D8E">
        <w:t>any relevant information contained in the TNSP’s most recent annual planning report.</w:t>
      </w:r>
    </w:p>
    <w:p w:rsidR="007F5F0D" w:rsidRPr="00840004" w:rsidRDefault="007F5F0D" w:rsidP="007F5F0D">
      <w:pPr>
        <w:pStyle w:val="Heading2"/>
      </w:pPr>
      <w:bookmarkStart w:id="90" w:name="_Toc462752821"/>
      <w:r w:rsidRPr="00ED09CD">
        <w:t>Interrelationships</w:t>
      </w:r>
      <w:bookmarkEnd w:id="90"/>
    </w:p>
    <w:p w:rsidR="007F5F0D" w:rsidRPr="007F5F0D" w:rsidRDefault="007F5F0D" w:rsidP="007F5F0D">
      <w:pPr>
        <w:numPr>
          <w:ilvl w:val="0"/>
          <w:numId w:val="24"/>
        </w:numPr>
      </w:pPr>
      <w:r w:rsidRPr="007F5F0D">
        <w:t xml:space="preserve">The STPIS takes into account any other incentives provided for in the NER that TNSPs have to minimise capital or operating expenditure.  One of the objectives of the STPIS is to assist in the setting of efficient capital and operating expenditure allowances by balancing the incentive to reduce actual expenditure with the need to maintain and improve reliability for customers and reduce the market impact of transmission congestion. </w:t>
      </w:r>
    </w:p>
    <w:p w:rsidR="007F5F0D" w:rsidRPr="007F5F0D" w:rsidRDefault="007F5F0D" w:rsidP="007F5F0D">
      <w:pPr>
        <w:numPr>
          <w:ilvl w:val="0"/>
          <w:numId w:val="24"/>
        </w:numPr>
      </w:pPr>
      <w:r w:rsidRPr="007F5F0D">
        <w:t>The STPIS will interact with the Capital Expenditure Sharing Scheme (CESS) and the opex Expenditure Benefit Sharing Scheme (EBSS). The STPIS allows us to adjust the performance targets of the service component for the expected effects on the TNSP's performance from any increases or decreases in the volume of capital works planned during the regulatory control period. In conjunction with CESS and EBSS, the STPIS will ensure that:</w:t>
      </w:r>
    </w:p>
    <w:p w:rsidR="007F5F0D" w:rsidRPr="007F5F0D" w:rsidRDefault="007F5F0D" w:rsidP="007F5F0D">
      <w:pPr>
        <w:pStyle w:val="AERbulletlistfirststyle"/>
      </w:pPr>
      <w:r w:rsidRPr="007F5F0D">
        <w:t>any additional investments to improve service quality are based on prudent economic decisions</w:t>
      </w:r>
    </w:p>
    <w:p w:rsidR="007F5F0D" w:rsidRPr="007F5F0D" w:rsidRDefault="007F5F0D" w:rsidP="007F5F0D">
      <w:pPr>
        <w:pStyle w:val="AERbulletlistfirststyle"/>
      </w:pPr>
      <w:r w:rsidRPr="007F5F0D">
        <w:lastRenderedPageBreak/>
        <w:t>reductions in capex and opex are achieved efficiently, rather than at the expense of service levels to the network users.</w:t>
      </w:r>
    </w:p>
    <w:p w:rsidR="00840004" w:rsidRDefault="00840004" w:rsidP="00840004">
      <w:pPr>
        <w:pStyle w:val="Heading2"/>
      </w:pPr>
      <w:bookmarkStart w:id="91" w:name="_Toc403144140"/>
      <w:bookmarkStart w:id="92" w:name="_Toc436655510"/>
      <w:bookmarkStart w:id="93" w:name="_Toc462752822"/>
      <w:r w:rsidRPr="001754EE">
        <w:t>Reasons</w:t>
      </w:r>
      <w:r>
        <w:t xml:space="preserve"> for draft decision</w:t>
      </w:r>
      <w:bookmarkEnd w:id="91"/>
      <w:bookmarkEnd w:id="92"/>
      <w:bookmarkEnd w:id="93"/>
      <w:r>
        <w:t xml:space="preserve"> </w:t>
      </w:r>
    </w:p>
    <w:p w:rsidR="00840004" w:rsidRDefault="00840004" w:rsidP="00840004">
      <w:pPr>
        <w:numPr>
          <w:ilvl w:val="0"/>
          <w:numId w:val="24"/>
        </w:numPr>
      </w:pPr>
      <w:r>
        <w:t>We will apply version 5 of the STPIS to Powerlink in the next regulatory control period without any variation to the service component.</w:t>
      </w:r>
      <w:r w:rsidR="003877A8">
        <w:t xml:space="preserve"> The reasons for our decision </w:t>
      </w:r>
      <w:r w:rsidR="001360D1">
        <w:t xml:space="preserve">are </w:t>
      </w:r>
      <w:r w:rsidR="003877A8">
        <w:t>outlined below.</w:t>
      </w:r>
      <w:r>
        <w:t xml:space="preserve"> </w:t>
      </w:r>
    </w:p>
    <w:p w:rsidR="00840004" w:rsidRDefault="007F5F0D" w:rsidP="00A0529D">
      <w:pPr>
        <w:pStyle w:val="Heading3"/>
      </w:pPr>
      <w:bookmarkStart w:id="94" w:name="_Toc462752823"/>
      <w:r>
        <w:t>Service component</w:t>
      </w:r>
      <w:bookmarkEnd w:id="94"/>
    </w:p>
    <w:p w:rsidR="00790D4D" w:rsidRDefault="00840004" w:rsidP="00840004">
      <w:pPr>
        <w:numPr>
          <w:ilvl w:val="0"/>
          <w:numId w:val="24"/>
        </w:numPr>
      </w:pPr>
      <w:r>
        <w:t>Performance targets must equal the TNSP's average performance history over the past five years unless they are subject to adjustment under clause 3.2(</w:t>
      </w:r>
      <w:r w:rsidR="00EB3D40">
        <w:t>i</w:t>
      </w:r>
      <w:r>
        <w:t>) or (</w:t>
      </w:r>
      <w:r w:rsidR="00062DF9">
        <w:t>j</w:t>
      </w:r>
      <w:r>
        <w:t>) of the STPIS.</w:t>
      </w:r>
      <w:r>
        <w:rPr>
          <w:rStyle w:val="FootnoteReference"/>
        </w:rPr>
        <w:footnoteReference w:id="20"/>
      </w:r>
      <w:r>
        <w:t xml:space="preserve"> We generally approve performance targets that are the arithmetic mean of the past five years' performance data</w:t>
      </w:r>
      <w:r w:rsidR="00790D4D">
        <w:t>.</w:t>
      </w:r>
      <w:r>
        <w:t xml:space="preserve"> </w:t>
      </w:r>
    </w:p>
    <w:p w:rsidR="00A0529D" w:rsidRDefault="00A0529D" w:rsidP="00A0529D">
      <w:pPr>
        <w:numPr>
          <w:ilvl w:val="0"/>
          <w:numId w:val="24"/>
        </w:numPr>
      </w:pPr>
      <w:r>
        <w:t>We accept Powerlink's performance targets for the next regulatory control period as it is consistent with the methodology outlined in version 5 of the STPIS.</w:t>
      </w:r>
      <w:r>
        <w:rPr>
          <w:rStyle w:val="FootnoteReference"/>
        </w:rPr>
        <w:footnoteReference w:id="21"/>
      </w:r>
      <w:r>
        <w:t xml:space="preserve"> </w:t>
      </w:r>
    </w:p>
    <w:p w:rsidR="00840004" w:rsidRDefault="00840004" w:rsidP="00840004">
      <w:pPr>
        <w:pStyle w:val="Caption"/>
      </w:pPr>
      <w:r>
        <w:t xml:space="preserve">Caps and </w:t>
      </w:r>
      <w:r w:rsidR="00AB7C84">
        <w:t>floor</w:t>
      </w:r>
      <w:r>
        <w:t>s</w:t>
      </w:r>
    </w:p>
    <w:p w:rsidR="00840004" w:rsidRDefault="00840004" w:rsidP="00840004">
      <w:pPr>
        <w:numPr>
          <w:ilvl w:val="0"/>
          <w:numId w:val="24"/>
        </w:numPr>
      </w:pPr>
      <w:r w:rsidRPr="00F9662C">
        <w:t xml:space="preserve">Proposed caps and </w:t>
      </w:r>
      <w:r w:rsidR="00AB7C84">
        <w:t>floor</w:t>
      </w:r>
      <w:r w:rsidRPr="00F9662C">
        <w:t>s must be calculated with reference to the proposed performance targets using a sound method</w:t>
      </w:r>
      <w:r>
        <w:t>ology</w:t>
      </w:r>
      <w:r w:rsidRPr="00F9662C">
        <w:t>.</w:t>
      </w:r>
      <w:r w:rsidRPr="00F9662C">
        <w:rPr>
          <w:rStyle w:val="FootnoteReference"/>
        </w:rPr>
        <w:footnoteReference w:id="22"/>
      </w:r>
      <w:r w:rsidRPr="00F9662C">
        <w:t xml:space="preserve"> In the past, we have generally accepted approaches that use five years of performance data to </w:t>
      </w:r>
      <w:r>
        <w:t xml:space="preserve">determine </w:t>
      </w:r>
      <w:r w:rsidRPr="00F9662C">
        <w:t>a statistical distribution</w:t>
      </w:r>
      <w:r w:rsidR="00CE3527">
        <w:t xml:space="preserve"> that best fits that </w:t>
      </w:r>
      <w:r>
        <w:t>data</w:t>
      </w:r>
      <w:r w:rsidR="00CE3527">
        <w:t>—</w:t>
      </w:r>
      <w:r w:rsidRPr="00F9662C">
        <w:t xml:space="preserve">with the caps and </w:t>
      </w:r>
      <w:r w:rsidR="00AB7C84">
        <w:t>floor</w:t>
      </w:r>
      <w:r w:rsidRPr="00F9662C">
        <w:t>s set at two standard deviations either side of the mean (if using a normal distribution)</w:t>
      </w:r>
      <w:r w:rsidR="00CE3527">
        <w:t>;</w:t>
      </w:r>
      <w:r w:rsidRPr="00F9662C">
        <w:t xml:space="preserve"> or at the 5th and 95th percentiles (if using </w:t>
      </w:r>
      <w:r>
        <w:t>a</w:t>
      </w:r>
      <w:r w:rsidRPr="00F9662C">
        <w:t xml:space="preserve"> distribution</w:t>
      </w:r>
      <w:r>
        <w:t xml:space="preserve"> other than the normal distribution</w:t>
      </w:r>
      <w:r w:rsidRPr="00F9662C">
        <w:t xml:space="preserve">). </w:t>
      </w:r>
    </w:p>
    <w:p w:rsidR="00A0529D" w:rsidRDefault="00A0529D" w:rsidP="00A0529D">
      <w:pPr>
        <w:numPr>
          <w:ilvl w:val="0"/>
          <w:numId w:val="24"/>
        </w:numPr>
      </w:pPr>
      <w:r>
        <w:t>We accept Powerlink's performance cap and floor values for the next regulatory control period as it is consistent with version 5 of the STPIS.</w:t>
      </w:r>
      <w:r>
        <w:rPr>
          <w:rStyle w:val="FootnoteReference"/>
        </w:rPr>
        <w:footnoteReference w:id="23"/>
      </w:r>
      <w:r>
        <w:t xml:space="preserve"> We tested Powerlink's data using our @risk software and our outputs were consistent with Powerlink's regulatory proposal. </w:t>
      </w:r>
    </w:p>
    <w:p w:rsidR="00840004" w:rsidRDefault="00840004" w:rsidP="00840004">
      <w:pPr>
        <w:numPr>
          <w:ilvl w:val="0"/>
          <w:numId w:val="24"/>
        </w:numPr>
      </w:pPr>
      <w:r>
        <w:fldChar w:fldCharType="begin"/>
      </w:r>
      <w:r>
        <w:instrText xml:space="preserve"> REF _Ref448845656 \h </w:instrText>
      </w:r>
      <w:r>
        <w:fldChar w:fldCharType="separate"/>
      </w:r>
      <w:r w:rsidR="001C0547">
        <w:t xml:space="preserve">Table </w:t>
      </w:r>
      <w:r w:rsidR="001C0547">
        <w:rPr>
          <w:noProof/>
        </w:rPr>
        <w:t>11</w:t>
      </w:r>
      <w:r w:rsidR="001C0547">
        <w:noBreakHyphen/>
      </w:r>
      <w:r w:rsidR="001C0547">
        <w:rPr>
          <w:noProof/>
        </w:rPr>
        <w:t>4</w:t>
      </w:r>
      <w:r>
        <w:fldChar w:fldCharType="end"/>
      </w:r>
      <w:r>
        <w:t xml:space="preserve"> sets out the caps and </w:t>
      </w:r>
      <w:r w:rsidR="00AB7C84">
        <w:t>floor</w:t>
      </w:r>
      <w:r>
        <w:t>s</w:t>
      </w:r>
      <w:r w:rsidR="00F55B43">
        <w:t xml:space="preserve"> for Powerlink</w:t>
      </w:r>
      <w:r>
        <w:t xml:space="preserve">. </w:t>
      </w:r>
    </w:p>
    <w:p w:rsidR="00840004" w:rsidRDefault="00840004" w:rsidP="00840004">
      <w:pPr>
        <w:pStyle w:val="Caption"/>
        <w:numPr>
          <w:ilvl w:val="0"/>
          <w:numId w:val="24"/>
        </w:numPr>
      </w:pPr>
      <w:bookmarkStart w:id="95" w:name="_Ref448845656"/>
      <w:r>
        <w:t xml:space="preserve">Table </w:t>
      </w:r>
      <w:r w:rsidR="00E6549B">
        <w:fldChar w:fldCharType="begin"/>
      </w:r>
      <w:r w:rsidR="00E6549B">
        <w:instrText xml:space="preserve"> STYLEREF 1 \s </w:instrText>
      </w:r>
      <w:r w:rsidR="00E6549B">
        <w:fldChar w:fldCharType="separate"/>
      </w:r>
      <w:r w:rsidR="001C0547">
        <w:rPr>
          <w:noProof/>
        </w:rPr>
        <w:t>11</w:t>
      </w:r>
      <w:r w:rsidR="00E6549B">
        <w:rPr>
          <w:noProof/>
        </w:rPr>
        <w:fldChar w:fldCharType="end"/>
      </w:r>
      <w:r w:rsidR="003E612F">
        <w:noBreakHyphen/>
      </w:r>
      <w:r w:rsidR="00E6549B">
        <w:fldChar w:fldCharType="begin"/>
      </w:r>
      <w:r w:rsidR="00E6549B">
        <w:instrText xml:space="preserve"> SEQ Table \* ARABIC \s 1 </w:instrText>
      </w:r>
      <w:r w:rsidR="00E6549B">
        <w:fldChar w:fldCharType="separate"/>
      </w:r>
      <w:r w:rsidR="001C0547">
        <w:rPr>
          <w:noProof/>
        </w:rPr>
        <w:t>4</w:t>
      </w:r>
      <w:r w:rsidR="00E6549B">
        <w:rPr>
          <w:noProof/>
        </w:rPr>
        <w:fldChar w:fldCharType="end"/>
      </w:r>
      <w:bookmarkEnd w:id="95"/>
      <w:r w:rsidRPr="00374883">
        <w:tab/>
      </w:r>
      <w:r>
        <w:t>Draft decision — C</w:t>
      </w:r>
      <w:r w:rsidRPr="00374883">
        <w:t xml:space="preserve">aps and </w:t>
      </w:r>
      <w:r w:rsidR="00AB7C84">
        <w:t>floor</w:t>
      </w:r>
      <w:r w:rsidRPr="00374883">
        <w:t>s</w:t>
      </w:r>
      <w:r>
        <w:t xml:space="preserve"> and targets for 2017–2022</w:t>
      </w:r>
    </w:p>
    <w:tbl>
      <w:tblPr>
        <w:tblStyle w:val="AERtable-numbers"/>
        <w:tblW w:w="9340" w:type="dxa"/>
        <w:tblLook w:val="04A0" w:firstRow="1" w:lastRow="0" w:firstColumn="1" w:lastColumn="0" w:noHBand="0" w:noVBand="1"/>
      </w:tblPr>
      <w:tblGrid>
        <w:gridCol w:w="5947"/>
        <w:gridCol w:w="1053"/>
        <w:gridCol w:w="1170"/>
        <w:gridCol w:w="1170"/>
      </w:tblGrid>
      <w:tr w:rsidR="00D75F62" w:rsidRPr="00D75F62" w:rsidTr="00F55B43">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947" w:type="dxa"/>
            <w:hideMark/>
          </w:tcPr>
          <w:p w:rsidR="00D75F62" w:rsidRPr="00D75F62" w:rsidRDefault="00D75F62" w:rsidP="00D75F62">
            <w:r w:rsidRPr="00D75F62">
              <w:t>Parameter</w:t>
            </w:r>
          </w:p>
        </w:tc>
        <w:tc>
          <w:tcPr>
            <w:tcW w:w="1053" w:type="dxa"/>
            <w:hideMark/>
          </w:tcPr>
          <w:p w:rsidR="00D75F62" w:rsidRPr="00D75F62" w:rsidRDefault="00D75F62" w:rsidP="00D75F62">
            <w:pPr>
              <w:cnfStyle w:val="100000000000" w:firstRow="1" w:lastRow="0" w:firstColumn="0" w:lastColumn="0" w:oddVBand="0" w:evenVBand="0" w:oddHBand="0" w:evenHBand="0" w:firstRowFirstColumn="0" w:firstRowLastColumn="0" w:lastRowFirstColumn="0" w:lastRowLastColumn="0"/>
            </w:pPr>
            <w:r w:rsidRPr="00D75F62">
              <w:t> </w:t>
            </w:r>
          </w:p>
        </w:tc>
        <w:tc>
          <w:tcPr>
            <w:tcW w:w="1170" w:type="dxa"/>
            <w:hideMark/>
          </w:tcPr>
          <w:p w:rsidR="00D75F62" w:rsidRPr="00D75F62" w:rsidRDefault="00B50955" w:rsidP="00B50955">
            <w:pPr>
              <w:cnfStyle w:val="100000000000" w:firstRow="1" w:lastRow="0" w:firstColumn="0" w:lastColumn="0" w:oddVBand="0" w:evenVBand="0" w:oddHBand="0" w:evenHBand="0" w:firstRowFirstColumn="0" w:firstRowLastColumn="0" w:lastRowFirstColumn="0" w:lastRowLastColumn="0"/>
            </w:pPr>
            <w:r w:rsidRPr="00D75F62">
              <w:t>Floor (5th percentile)</w:t>
            </w:r>
            <w:r w:rsidRPr="00B50955">
              <w:t xml:space="preserve"> </w:t>
            </w:r>
          </w:p>
        </w:tc>
        <w:tc>
          <w:tcPr>
            <w:tcW w:w="1170" w:type="dxa"/>
            <w:hideMark/>
          </w:tcPr>
          <w:p w:rsidR="00D75F62" w:rsidRPr="00D75F62" w:rsidRDefault="00B50955" w:rsidP="00D75F62">
            <w:pPr>
              <w:cnfStyle w:val="100000000000" w:firstRow="1" w:lastRow="0" w:firstColumn="0" w:lastColumn="0" w:oddVBand="0" w:evenVBand="0" w:oddHBand="0" w:evenHBand="0" w:firstRowFirstColumn="0" w:firstRowLastColumn="0" w:lastRowFirstColumn="0" w:lastRowLastColumn="0"/>
            </w:pPr>
            <w:r w:rsidRPr="00D75F62">
              <w:t>Cap (</w:t>
            </w:r>
            <w:r w:rsidR="008B03D1">
              <w:t>9</w:t>
            </w:r>
            <w:r w:rsidRPr="00D75F62">
              <w:t>5th percentile)</w:t>
            </w:r>
          </w:p>
        </w:tc>
      </w:tr>
      <w:tr w:rsidR="00D75F62" w:rsidRPr="00D75F62" w:rsidTr="00F55B43">
        <w:trPr>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D75F62" w:rsidRPr="00D75F62" w:rsidRDefault="00D75F62" w:rsidP="00D75F62">
            <w:r w:rsidRPr="00D75F62">
              <w:t>Average circuit outage rate</w:t>
            </w:r>
          </w:p>
        </w:tc>
        <w:tc>
          <w:tcPr>
            <w:tcW w:w="1053" w:type="dxa"/>
            <w:hideMark/>
          </w:tcPr>
          <w:p w:rsidR="00D75F62" w:rsidRPr="00D75F62" w:rsidRDefault="00D75F62" w:rsidP="00D75F62">
            <w:pPr>
              <w:cnfStyle w:val="000000000000" w:firstRow="0" w:lastRow="0" w:firstColumn="0" w:lastColumn="0" w:oddVBand="0" w:evenVBand="0" w:oddHBand="0" w:evenHBand="0" w:firstRowFirstColumn="0" w:firstRowLastColumn="0" w:lastRowFirstColumn="0" w:lastRowLastColumn="0"/>
            </w:pPr>
          </w:p>
        </w:tc>
        <w:tc>
          <w:tcPr>
            <w:tcW w:w="1170" w:type="dxa"/>
            <w:hideMark/>
          </w:tcPr>
          <w:p w:rsidR="00D75F62" w:rsidRPr="00D75F62" w:rsidRDefault="00D75F62" w:rsidP="00D75F62">
            <w:pPr>
              <w:cnfStyle w:val="000000000000" w:firstRow="0" w:lastRow="0" w:firstColumn="0" w:lastColumn="0" w:oddVBand="0" w:evenVBand="0" w:oddHBand="0" w:evenHBand="0" w:firstRowFirstColumn="0" w:firstRowLastColumn="0" w:lastRowFirstColumn="0" w:lastRowLastColumn="0"/>
            </w:pPr>
          </w:p>
        </w:tc>
        <w:tc>
          <w:tcPr>
            <w:tcW w:w="1170" w:type="dxa"/>
            <w:hideMark/>
          </w:tcPr>
          <w:p w:rsidR="00D75F62" w:rsidRPr="00D75F62" w:rsidRDefault="00D75F62" w:rsidP="00D75F62">
            <w:pPr>
              <w:cnfStyle w:val="000000000000" w:firstRow="0" w:lastRow="0" w:firstColumn="0" w:lastColumn="0" w:oddVBand="0" w:evenVBand="0" w:oddHBand="0" w:evenHBand="0" w:firstRowFirstColumn="0" w:firstRowLastColumn="0" w:lastRowFirstColumn="0" w:lastRowLastColumn="0"/>
            </w:pPr>
          </w:p>
        </w:tc>
      </w:tr>
      <w:tr w:rsidR="00175EC3" w:rsidRPr="00D75F62" w:rsidTr="00DE38A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Lines event rate – fault </w:t>
            </w:r>
          </w:p>
        </w:tc>
        <w:tc>
          <w:tcPr>
            <w:tcW w:w="1053" w:type="dxa"/>
            <w:noWrap/>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Pearson5</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15.86</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27.17</w:t>
            </w:r>
          </w:p>
        </w:tc>
      </w:tr>
      <w:tr w:rsidR="00175EC3" w:rsidRPr="00D75F62" w:rsidTr="00DE38AA">
        <w:trPr>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lastRenderedPageBreak/>
              <w:t xml:space="preserve">Transformer event rate – fault </w:t>
            </w:r>
          </w:p>
        </w:tc>
        <w:tc>
          <w:tcPr>
            <w:tcW w:w="1053" w:type="dxa"/>
            <w:noWrap/>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LogNormal</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17.09</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20.84</w:t>
            </w:r>
          </w:p>
        </w:tc>
      </w:tr>
      <w:tr w:rsidR="00175EC3" w:rsidRPr="00D75F62" w:rsidTr="00DE38A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Reactive plant event rate – fault </w:t>
            </w:r>
          </w:p>
        </w:tc>
        <w:tc>
          <w:tcPr>
            <w:tcW w:w="1053" w:type="dxa"/>
            <w:noWrap/>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LogLogistic</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19.49</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43.42</w:t>
            </w:r>
          </w:p>
        </w:tc>
      </w:tr>
      <w:tr w:rsidR="00175EC3" w:rsidRPr="00D75F62" w:rsidTr="00DE38AA">
        <w:trPr>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Lines event rate – forced </w:t>
            </w:r>
          </w:p>
        </w:tc>
        <w:tc>
          <w:tcPr>
            <w:tcW w:w="1053" w:type="dxa"/>
            <w:noWrap/>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Weibull</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15.9</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24.09</w:t>
            </w:r>
          </w:p>
        </w:tc>
      </w:tr>
      <w:tr w:rsidR="00175EC3" w:rsidRPr="00D75F62" w:rsidTr="00DE38A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Transformer event rate – forced </w:t>
            </w:r>
          </w:p>
        </w:tc>
        <w:tc>
          <w:tcPr>
            <w:tcW w:w="1053" w:type="dxa"/>
            <w:noWrap/>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Weibull</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13.96</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23.49</w:t>
            </w:r>
          </w:p>
        </w:tc>
      </w:tr>
      <w:tr w:rsidR="00175EC3" w:rsidRPr="00D75F62" w:rsidTr="00DE38AA">
        <w:trPr>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Reactive plant event rate – forced </w:t>
            </w:r>
          </w:p>
        </w:tc>
        <w:tc>
          <w:tcPr>
            <w:tcW w:w="1053" w:type="dxa"/>
            <w:noWrap/>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LogLogistic</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15.95</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34.25</w:t>
            </w:r>
          </w:p>
        </w:tc>
      </w:tr>
      <w:tr w:rsidR="00175EC3" w:rsidRPr="00D75F62" w:rsidTr="00DE38A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Loss of supply events</w:t>
            </w:r>
          </w:p>
        </w:tc>
        <w:tc>
          <w:tcPr>
            <w:tcW w:w="1053" w:type="dxa"/>
            <w:vAlign w:val="top"/>
            <w:hideMark/>
          </w:tcPr>
          <w:p w:rsidR="00175EC3" w:rsidRPr="00F55B43" w:rsidRDefault="00175EC3" w:rsidP="00175EC3">
            <w:pPr>
              <w:cnfStyle w:val="000000010000" w:firstRow="0" w:lastRow="0" w:firstColumn="0" w:lastColumn="0" w:oddVBand="0" w:evenVBand="0" w:oddHBand="0" w:evenHBand="1" w:firstRowFirstColumn="0" w:firstRowLastColumn="0" w:lastRowFirstColumn="0" w:lastRowLastColumn="0"/>
            </w:pPr>
          </w:p>
        </w:tc>
        <w:tc>
          <w:tcPr>
            <w:tcW w:w="1170" w:type="dxa"/>
            <w:vAlign w:val="top"/>
            <w:hideMark/>
          </w:tcPr>
          <w:p w:rsidR="00175EC3" w:rsidRPr="00516AB4" w:rsidRDefault="00175EC3" w:rsidP="00175EC3">
            <w:pPr>
              <w:cnfStyle w:val="000000010000" w:firstRow="0" w:lastRow="0" w:firstColumn="0" w:lastColumn="0" w:oddVBand="0" w:evenVBand="0" w:oddHBand="0" w:evenHBand="1" w:firstRowFirstColumn="0" w:firstRowLastColumn="0" w:lastRowFirstColumn="0" w:lastRowLastColumn="0"/>
            </w:pPr>
          </w:p>
        </w:tc>
        <w:tc>
          <w:tcPr>
            <w:tcW w:w="1170" w:type="dxa"/>
            <w:vAlign w:val="top"/>
            <w:hideMark/>
          </w:tcPr>
          <w:p w:rsidR="00175EC3" w:rsidRPr="00F55B43" w:rsidRDefault="00175EC3" w:rsidP="00175EC3">
            <w:pPr>
              <w:cnfStyle w:val="000000010000" w:firstRow="0" w:lastRow="0" w:firstColumn="0" w:lastColumn="0" w:oddVBand="0" w:evenVBand="0" w:oddHBand="0" w:evenHBand="1" w:firstRowFirstColumn="0" w:firstRowLastColumn="0" w:lastRowFirstColumn="0" w:lastRowLastColumn="0"/>
            </w:pPr>
          </w:p>
        </w:tc>
      </w:tr>
      <w:tr w:rsidR="00175EC3" w:rsidRPr="00D75F62" w:rsidTr="00DE38AA">
        <w:trPr>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Number of events greater than 0.05 system minutes per annum </w:t>
            </w:r>
          </w:p>
        </w:tc>
        <w:tc>
          <w:tcPr>
            <w:tcW w:w="1053" w:type="dxa"/>
            <w:noWrap/>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Poisson</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1</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7</w:t>
            </w:r>
          </w:p>
        </w:tc>
      </w:tr>
      <w:tr w:rsidR="00175EC3" w:rsidRPr="00D75F62" w:rsidTr="00DE38AA">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Number of events greater than 0.30 system minutes per annum </w:t>
            </w:r>
          </w:p>
        </w:tc>
        <w:tc>
          <w:tcPr>
            <w:tcW w:w="1053" w:type="dxa"/>
            <w:noWrap/>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Poisson</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516AB4">
              <w:t>0</w:t>
            </w:r>
          </w:p>
        </w:tc>
        <w:tc>
          <w:tcPr>
            <w:tcW w:w="1170" w:type="dxa"/>
            <w:vAlign w:val="top"/>
            <w:hideMark/>
          </w:tcPr>
          <w:p w:rsidR="00175EC3" w:rsidRPr="00175EC3" w:rsidRDefault="00175EC3" w:rsidP="00175EC3">
            <w:pPr>
              <w:cnfStyle w:val="000000010000" w:firstRow="0" w:lastRow="0" w:firstColumn="0" w:lastColumn="0" w:oddVBand="0" w:evenVBand="0" w:oddHBand="0" w:evenHBand="1" w:firstRowFirstColumn="0" w:firstRowLastColumn="0" w:lastRowFirstColumn="0" w:lastRowLastColumn="0"/>
            </w:pPr>
            <w:r w:rsidRPr="00F55B43">
              <w:t>3</w:t>
            </w:r>
          </w:p>
        </w:tc>
      </w:tr>
      <w:tr w:rsidR="00175EC3" w:rsidRPr="00D75F62" w:rsidTr="00DE38AA">
        <w:trPr>
          <w:trHeight w:val="225"/>
        </w:trPr>
        <w:tc>
          <w:tcPr>
            <w:cnfStyle w:val="001000000000" w:firstRow="0" w:lastRow="0" w:firstColumn="1" w:lastColumn="0" w:oddVBand="0" w:evenVBand="0" w:oddHBand="0" w:evenHBand="0" w:firstRowFirstColumn="0" w:firstRowLastColumn="0" w:lastRowFirstColumn="0" w:lastRowLastColumn="0"/>
            <w:tcW w:w="5947" w:type="dxa"/>
            <w:hideMark/>
          </w:tcPr>
          <w:p w:rsidR="00175EC3" w:rsidRPr="00175EC3" w:rsidRDefault="00175EC3" w:rsidP="00175EC3">
            <w:r w:rsidRPr="00F55B43">
              <w:t xml:space="preserve">Average outage </w:t>
            </w:r>
            <w:r w:rsidRPr="00175EC3">
              <w:t>duration</w:t>
            </w:r>
          </w:p>
        </w:tc>
        <w:tc>
          <w:tcPr>
            <w:tcW w:w="1053" w:type="dxa"/>
            <w:noWrap/>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Exponential</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516AB4">
              <w:t>4.83</w:t>
            </w:r>
          </w:p>
        </w:tc>
        <w:tc>
          <w:tcPr>
            <w:tcW w:w="1170" w:type="dxa"/>
            <w:vAlign w:val="top"/>
            <w:hideMark/>
          </w:tcPr>
          <w:p w:rsidR="00175EC3" w:rsidRPr="00175EC3" w:rsidRDefault="00175EC3" w:rsidP="00175EC3">
            <w:pPr>
              <w:cnfStyle w:val="000000000000" w:firstRow="0" w:lastRow="0" w:firstColumn="0" w:lastColumn="0" w:oddVBand="0" w:evenVBand="0" w:oddHBand="0" w:evenHBand="0" w:firstRowFirstColumn="0" w:firstRowLastColumn="0" w:lastRowFirstColumn="0" w:lastRowLastColumn="0"/>
            </w:pPr>
            <w:r w:rsidRPr="00F55B43">
              <w:t>282</w:t>
            </w:r>
          </w:p>
        </w:tc>
      </w:tr>
    </w:tbl>
    <w:p w:rsidR="00840004" w:rsidRDefault="00840004" w:rsidP="00840004">
      <w:pPr>
        <w:pStyle w:val="AERtablesource"/>
        <w:numPr>
          <w:ilvl w:val="0"/>
          <w:numId w:val="24"/>
        </w:numPr>
      </w:pPr>
      <w:r w:rsidRPr="00374883">
        <w:t xml:space="preserve">Source: </w:t>
      </w:r>
      <w:r w:rsidRPr="00374883">
        <w:tab/>
      </w:r>
      <w:r>
        <w:t>AER analysis</w:t>
      </w:r>
    </w:p>
    <w:p w:rsidR="00DE38AA" w:rsidRPr="00DE38AA" w:rsidRDefault="00DE38AA" w:rsidP="003877A8">
      <w:pPr>
        <w:pStyle w:val="Heading3"/>
      </w:pPr>
      <w:bookmarkStart w:id="96" w:name="_Toc462752824"/>
      <w:bookmarkStart w:id="97" w:name="_Toc453679964"/>
      <w:r>
        <w:t>Market impact</w:t>
      </w:r>
      <w:r w:rsidRPr="00DE38AA">
        <w:t xml:space="preserve"> component</w:t>
      </w:r>
      <w:bookmarkEnd w:id="96"/>
    </w:p>
    <w:p w:rsidR="00DE38AA" w:rsidRPr="00DE38AA" w:rsidRDefault="00DE38AA" w:rsidP="00DE38AA">
      <w:pPr>
        <w:pStyle w:val="Tabletitle"/>
      </w:pPr>
      <w:r>
        <w:t>Performance target</w:t>
      </w:r>
    </w:p>
    <w:p w:rsidR="004755FB" w:rsidRDefault="00DE38AA" w:rsidP="006E2BD6">
      <w:r>
        <w:t xml:space="preserve">We do not </w:t>
      </w:r>
      <w:r w:rsidR="00AC2399">
        <w:t>accept</w:t>
      </w:r>
      <w:r>
        <w:t xml:space="preserve"> Powerlink's proposed performance target for the market impact </w:t>
      </w:r>
      <w:r w:rsidR="009A142A">
        <w:t>parameter</w:t>
      </w:r>
      <w:r>
        <w:t xml:space="preserve">. Instead, </w:t>
      </w:r>
      <w:r w:rsidR="008302E5">
        <w:t xml:space="preserve">our draft decision is to substitute the proposed value of </w:t>
      </w:r>
      <w:r w:rsidR="00AB75A6">
        <w:t>361</w:t>
      </w:r>
      <w:r w:rsidR="006D00DF">
        <w:t xml:space="preserve"> </w:t>
      </w:r>
      <w:r w:rsidR="009A142A">
        <w:t xml:space="preserve">dispatch intervals </w:t>
      </w:r>
      <w:r w:rsidR="008302E5">
        <w:t xml:space="preserve">with </w:t>
      </w:r>
      <w:r w:rsidR="009A142A">
        <w:t>333</w:t>
      </w:r>
      <w:r w:rsidR="008302E5">
        <w:t xml:space="preserve"> dispatch intervals. </w:t>
      </w:r>
    </w:p>
    <w:p w:rsidR="00156861" w:rsidRPr="00156861" w:rsidRDefault="00156861" w:rsidP="00156861">
      <w:r w:rsidRPr="00156861">
        <w:t xml:space="preserve">As Powerlink is applying version 5 of the STPIS for the first time, the performance target is calculated in accordance with clause 4.2(f) of version 5 of the STPIS. Under this methodology, the performance target is calculated by: </w:t>
      </w:r>
    </w:p>
    <w:p w:rsidR="00156861" w:rsidRPr="00156861" w:rsidRDefault="00156861" w:rsidP="00156861">
      <w:pPr>
        <w:pStyle w:val="AERbulletlistfirststyle"/>
      </w:pPr>
      <w:r w:rsidRPr="00156861">
        <w:t>calculating the raw performance target which is equal to Powerlink's</w:t>
      </w:r>
      <w:r w:rsidR="005768BC">
        <w:t xml:space="preserve"> average</w:t>
      </w:r>
      <w:r w:rsidRPr="00156861">
        <w:t xml:space="preserve"> annual performance history against the market impact parameter for the median five out of seven preceding calendar years</w:t>
      </w:r>
    </w:p>
    <w:p w:rsidR="00156861" w:rsidRPr="00156861" w:rsidRDefault="00156861" w:rsidP="00156861">
      <w:pPr>
        <w:pStyle w:val="AERbulletlistfirststyle"/>
      </w:pPr>
      <w:r w:rsidRPr="00156861">
        <w:t xml:space="preserve">calculating 17 per cent of the raw performance target  </w:t>
      </w:r>
    </w:p>
    <w:p w:rsidR="00156861" w:rsidRPr="00156861" w:rsidRDefault="00156861" w:rsidP="00156861">
      <w:pPr>
        <w:pStyle w:val="AERbulletlistfirststyle"/>
      </w:pPr>
      <w:r w:rsidRPr="00156861">
        <w:t>adjusting the annual performance history of Powerlink</w:t>
      </w:r>
      <w:r w:rsidR="005768BC">
        <w:t xml:space="preserve"> for the seven preceding calendar years</w:t>
      </w:r>
      <w:r w:rsidRPr="00156861">
        <w:t xml:space="preserve"> by limiting the impact of market impact parameter counts associated with unplanned outages to 17 per cent of the raw performance target </w:t>
      </w:r>
    </w:p>
    <w:p w:rsidR="00156861" w:rsidRDefault="00156861" w:rsidP="007D05CD">
      <w:pPr>
        <w:pStyle w:val="AERbulletlistfirststyle"/>
      </w:pPr>
      <w:r w:rsidRPr="00156861">
        <w:t xml:space="preserve">using the adjusted performance history to calculate the performance target, which is the average adjusted annual performance history of the median five out of seven preceding calendar years </w:t>
      </w:r>
    </w:p>
    <w:p w:rsidR="00156861" w:rsidRDefault="00156861" w:rsidP="007D05CD">
      <w:r>
        <w:t>In accordance with this methodology, Powerlink proposed a performance target of 361 dispatch intervals based on its 2009</w:t>
      </w:r>
      <w:r w:rsidR="006D00DF">
        <w:t>–</w:t>
      </w:r>
      <w:r>
        <w:t xml:space="preserve">15 performance history. </w:t>
      </w:r>
    </w:p>
    <w:p w:rsidR="00125EEB" w:rsidRDefault="004755FB" w:rsidP="007D05CD">
      <w:r>
        <w:t>Our a</w:t>
      </w:r>
      <w:r w:rsidR="00156861">
        <w:t>ssessment</w:t>
      </w:r>
      <w:r>
        <w:t xml:space="preserve"> </w:t>
      </w:r>
      <w:r w:rsidR="00156861">
        <w:t>of the Powerlink's 2009</w:t>
      </w:r>
      <w:r w:rsidR="006D00DF">
        <w:t>–</w:t>
      </w:r>
      <w:r w:rsidR="00156861">
        <w:t xml:space="preserve">15 performance history found </w:t>
      </w:r>
      <w:r>
        <w:t xml:space="preserve">that a number of </w:t>
      </w:r>
      <w:r w:rsidR="004740A3">
        <w:t>the performance history counts used to calculate Powerlink's proposed performance target is not consistent with the requirements of the STPIS.</w:t>
      </w:r>
      <w:r w:rsidR="00156861">
        <w:t xml:space="preserve"> </w:t>
      </w:r>
      <w:r w:rsidR="00187C1B">
        <w:t xml:space="preserve">To account for this, we have made the following adjustments to Powerlink's performance history: </w:t>
      </w:r>
    </w:p>
    <w:p w:rsidR="000D658A" w:rsidRDefault="006D00DF" w:rsidP="007D05CD">
      <w:pPr>
        <w:pStyle w:val="AERbulletlistfirststyle"/>
      </w:pPr>
      <w:r>
        <w:lastRenderedPageBreak/>
        <w:t>T</w:t>
      </w:r>
      <w:r w:rsidR="00187C1B">
        <w:t xml:space="preserve">he removal 99 counts in 2012 (associated with Q_CPSA_44 and Q_CPSA_72) and 1 count in 2015 (associated with </w:t>
      </w:r>
      <w:r w:rsidR="00187C1B" w:rsidRPr="00187C1B">
        <w:t>Q_STSTN_863</w:t>
      </w:r>
      <w:r w:rsidR="00187C1B">
        <w:t xml:space="preserve">). These counts relate to planned network outages coordinated with affected generators.  </w:t>
      </w:r>
      <w:r w:rsidR="00187C1B" w:rsidRPr="00187C1B">
        <w:t>In previous iterations of the STPIS, the AER has excluded such counts from the MIC on the basis that while these outage constraints may have a marginal value in the market systems, in actuality they have no market impact as the outages have been coordinated with affected generators.</w:t>
      </w:r>
      <w:r w:rsidR="00187C1B">
        <w:rPr>
          <w:rStyle w:val="FootnoteReference"/>
        </w:rPr>
        <w:footnoteReference w:id="24"/>
      </w:r>
      <w:r w:rsidR="00187C1B" w:rsidRPr="00187C1B">
        <w:t xml:space="preserve">  This has not changed in version 5.  </w:t>
      </w:r>
    </w:p>
    <w:p w:rsidR="00125EEB" w:rsidRDefault="006D00DF" w:rsidP="007D05CD">
      <w:pPr>
        <w:pStyle w:val="AERbulletlistfirststyle"/>
      </w:pPr>
      <w:r>
        <w:t>T</w:t>
      </w:r>
      <w:r w:rsidR="00A71A9A">
        <w:t>he removal of 38 counts associated with generator constraints</w:t>
      </w:r>
      <w:r w:rsidR="000D658A">
        <w:t xml:space="preserve"> (</w:t>
      </w:r>
      <w:r w:rsidR="000D658A" w:rsidRPr="000D658A">
        <w:t>#KAREEYA4_D_E</w:t>
      </w:r>
      <w:r w:rsidR="000D658A">
        <w:t xml:space="preserve">, </w:t>
      </w:r>
      <w:r w:rsidR="000D658A" w:rsidRPr="000D658A">
        <w:t>#YABULU_D_E</w:t>
      </w:r>
      <w:r w:rsidR="000D658A">
        <w:t xml:space="preserve">, </w:t>
      </w:r>
      <w:r w:rsidR="000D658A" w:rsidRPr="000D658A">
        <w:t xml:space="preserve"> #MSTUART2_D_E</w:t>
      </w:r>
      <w:r w:rsidR="000D658A">
        <w:t xml:space="preserve">, </w:t>
      </w:r>
      <w:r w:rsidR="000D658A" w:rsidRPr="000D658A">
        <w:t>#KAREEYA2_D_E</w:t>
      </w:r>
      <w:r w:rsidR="000D658A">
        <w:t xml:space="preserve"> and </w:t>
      </w:r>
      <w:r w:rsidR="000D658A" w:rsidRPr="000D658A">
        <w:t>#BARRON-1_D_E</w:t>
      </w:r>
      <w:r w:rsidR="000D658A">
        <w:t>)</w:t>
      </w:r>
      <w:r w:rsidR="00A71A9A">
        <w:t xml:space="preserve"> that were invoked as part of AEMO generator directions on the 13 October 2015. Powerlink proposed to include these counts on the basis they were associated with the planned outage of the 8857 line. </w:t>
      </w:r>
      <w:r w:rsidR="00933E57">
        <w:t>AEMO reports</w:t>
      </w:r>
      <w:r w:rsidR="00933E57">
        <w:rPr>
          <w:rStyle w:val="FootnoteReference"/>
        </w:rPr>
        <w:footnoteReference w:id="25"/>
      </w:r>
      <w:r w:rsidR="00933E57">
        <w:t xml:space="preserve"> indicate that on the day, line 897, which runs parallel to the 8857 line, tripped four times. </w:t>
      </w:r>
      <w:r w:rsidR="009D172D">
        <w:t xml:space="preserve">As the cause of the trip was unknown at the time, </w:t>
      </w:r>
      <w:r w:rsidR="00933E57">
        <w:t>AEMO reclassified the simultaneous loss of both lines as a credible contingency</w:t>
      </w:r>
      <w:r w:rsidR="009D172D">
        <w:t xml:space="preserve"> and invoked </w:t>
      </w:r>
      <w:r w:rsidR="00933E57">
        <w:t>network outage constraint Q_RS_260</w:t>
      </w:r>
      <w:r w:rsidR="009D172D">
        <w:t xml:space="preserve"> to manage the power system. Q_RS_260 constrained on northern Queensland generation. However, in response </w:t>
      </w:r>
      <w:r w:rsidR="003B0D24">
        <w:t xml:space="preserve">to the constraint being invoked, some north Queensland </w:t>
      </w:r>
      <w:r w:rsidR="009D172D">
        <w:t xml:space="preserve">generators </w:t>
      </w:r>
      <w:r w:rsidR="00457B08">
        <w:t xml:space="preserve">bid themselves as unavailable, causing Q_RS_260 to violate and put the northern Queensland power system in a non-secure operating state. To restore system security, AEMO issued directions to generators to follow dispatch instructions. The binding generator constraints are associated with these AEMO instructions.   </w:t>
      </w:r>
    </w:p>
    <w:p w:rsidR="00457B08" w:rsidRDefault="00457B08" w:rsidP="007D05CD">
      <w:pPr>
        <w:pStyle w:val="AERbulletlistfirststyle"/>
        <w:numPr>
          <w:ilvl w:val="0"/>
          <w:numId w:val="0"/>
        </w:numPr>
        <w:ind w:left="357"/>
      </w:pPr>
      <w:r w:rsidRPr="00457B08">
        <w:t>The market impact parameter measures dispatch intervals where an outage on the TNSP’s prescribed transmission network results in a network outage constraint exceeds $10/MWh.</w:t>
      </w:r>
      <w:r>
        <w:t xml:space="preserve">  However, </w:t>
      </w:r>
      <w:r w:rsidRPr="00457B08">
        <w:t>the generator constraints should</w:t>
      </w:r>
      <w:r>
        <w:t xml:space="preserve"> not</w:t>
      </w:r>
      <w:r w:rsidRPr="00457B08">
        <w:t xml:space="preserve"> be in included as they are related to AEMO directions to generators. These directions arose directly because of generator decisions and not as a direct consequence of the outages to line 879 and 8857. Thus, they are not network outage constraints.     </w:t>
      </w:r>
    </w:p>
    <w:p w:rsidR="0032798B" w:rsidRDefault="0032798B" w:rsidP="00825AE1">
      <w:pPr>
        <w:pStyle w:val="AERbulletlistfirststyle"/>
      </w:pPr>
      <w:r>
        <w:t xml:space="preserve">The removal of one count in 2010 (associated with </w:t>
      </w:r>
      <w:r w:rsidRPr="0032798B">
        <w:t>#STAN-3_E</w:t>
      </w:r>
      <w:r>
        <w:t xml:space="preserve">). This is usually a generator constraint and no evidence has been provided that this was invoked to manage a network outage. </w:t>
      </w:r>
    </w:p>
    <w:p w:rsidR="00180FEC" w:rsidRDefault="0032798B" w:rsidP="007D05CD">
      <w:pPr>
        <w:pStyle w:val="AERbulletlistfirststyle"/>
      </w:pPr>
      <w:r>
        <w:t xml:space="preserve">The removal of one count in 2009 (associated with </w:t>
      </w:r>
      <w:r w:rsidRPr="0032798B">
        <w:t>Q^FNQ4-030</w:t>
      </w:r>
      <w:r>
        <w:t>)</w:t>
      </w:r>
      <w:r w:rsidR="00776FF2">
        <w:t>. This count did not have marginal value which</w:t>
      </w:r>
      <w:r w:rsidR="00180FEC">
        <w:t xml:space="preserve"> exceeded the $10/MWh threshold. </w:t>
      </w:r>
    </w:p>
    <w:p w:rsidR="00EF149E" w:rsidRDefault="00180FEC" w:rsidP="007D05CD">
      <w:pPr>
        <w:pStyle w:val="AERbulletlistfirststyle"/>
      </w:pPr>
      <w:r>
        <w:t xml:space="preserve">The inclusion of one count in 2009 (associated with Q_CS_1500). AER market data shows that this constraint bound eight times on the 24 January 2009. However Powerlink's proposal only included seven binding counts.  </w:t>
      </w:r>
    </w:p>
    <w:p w:rsidR="00EF149E" w:rsidRPr="00EF149E" w:rsidRDefault="00EF149E" w:rsidP="007D05CD">
      <w:pPr>
        <w:pStyle w:val="AERbulletlistfirststyle"/>
      </w:pPr>
      <w:r>
        <w:lastRenderedPageBreak/>
        <w:t xml:space="preserve">Powerlink attributed all counts associated with constraints </w:t>
      </w:r>
      <w:r w:rsidRPr="00EF149E">
        <w:t>Q:N_BCKTR_BCK2L-G</w:t>
      </w:r>
      <w:r>
        <w:t xml:space="preserve"> and </w:t>
      </w:r>
      <w:r w:rsidRPr="00EF149E">
        <w:t>Q:N_BCKTR_BI_POT</w:t>
      </w:r>
      <w:r>
        <w:t xml:space="preserve"> in 2010 to planned outages. However, market notices 31857 and 31865 indicate that the constraints were invoked to manage an unplanned outage </w:t>
      </w:r>
      <w:r w:rsidR="000D658A">
        <w:t>from 5.35 pm on 20 May 2010 and lasted until 2.55 pm on 21 May 2010. Constraint</w:t>
      </w:r>
      <w:r w:rsidR="005768BC">
        <w:t>s</w:t>
      </w:r>
      <w:r w:rsidR="000D658A">
        <w:t xml:space="preserve"> </w:t>
      </w:r>
      <w:r w:rsidR="000D658A" w:rsidRPr="00EF149E">
        <w:t>Q:N_BCKTR_BCK2L-G</w:t>
      </w:r>
      <w:r w:rsidR="000D658A" w:rsidRPr="000D658A">
        <w:t xml:space="preserve"> and Q:N_BCKTR_BI_POT</w:t>
      </w:r>
      <w:r w:rsidR="000D658A">
        <w:t xml:space="preserve"> bound for 57 dispatch intervals during this period. Accordingly, we have attributed these 57 counts to unplanned outages. </w:t>
      </w:r>
    </w:p>
    <w:p w:rsidR="000D658A" w:rsidRDefault="000D658A">
      <w:pPr>
        <w:pStyle w:val="AERbulletlistfirststyle"/>
      </w:pPr>
      <w:r>
        <w:t xml:space="preserve">Powerlink attributed one count associated with </w:t>
      </w:r>
      <w:r w:rsidRPr="000D658A">
        <w:t>N^^Q_BR_VC_B1</w:t>
      </w:r>
      <w:r>
        <w:t xml:space="preserve"> in 2011 to an unplanned outage. However, market notice 36444 indicates that the outage constraint was invoked for a planned outage. Accordingly we have attributed this count to a planned outage. </w:t>
      </w:r>
    </w:p>
    <w:p w:rsidR="00FA6FBB" w:rsidRDefault="00FA6FBB" w:rsidP="007D05CD">
      <w:r>
        <w:t xml:space="preserve">Details of each adjustment are summarised in </w:t>
      </w:r>
      <w:r w:rsidR="003E612F">
        <w:fldChar w:fldCharType="begin"/>
      </w:r>
      <w:r w:rsidR="003E612F">
        <w:instrText xml:space="preserve"> REF _Ref460313612 \h </w:instrText>
      </w:r>
      <w:r w:rsidR="003E612F">
        <w:fldChar w:fldCharType="separate"/>
      </w:r>
      <w:r w:rsidR="001C0547">
        <w:t xml:space="preserve">Table </w:t>
      </w:r>
      <w:r w:rsidR="001C0547">
        <w:rPr>
          <w:noProof/>
        </w:rPr>
        <w:t>11</w:t>
      </w:r>
      <w:r w:rsidR="001C0547">
        <w:noBreakHyphen/>
      </w:r>
      <w:r w:rsidR="001C0547">
        <w:rPr>
          <w:noProof/>
        </w:rPr>
        <w:t>5</w:t>
      </w:r>
      <w:r w:rsidR="003E612F">
        <w:fldChar w:fldCharType="end"/>
      </w:r>
      <w:r>
        <w:t xml:space="preserve"> below </w:t>
      </w:r>
    </w:p>
    <w:p w:rsidR="00FA6FBB" w:rsidRDefault="003E612F" w:rsidP="003E612F">
      <w:pPr>
        <w:pStyle w:val="Caption"/>
      </w:pPr>
      <w:bookmarkStart w:id="98" w:name="_Ref460313612"/>
      <w:r>
        <w:t xml:space="preserve">Table </w:t>
      </w:r>
      <w:r w:rsidR="00E6549B">
        <w:fldChar w:fldCharType="begin"/>
      </w:r>
      <w:r w:rsidR="00E6549B">
        <w:instrText xml:space="preserve"> STYLEREF 1 \s </w:instrText>
      </w:r>
      <w:r w:rsidR="00E6549B">
        <w:fldChar w:fldCharType="separate"/>
      </w:r>
      <w:r w:rsidR="001C0547">
        <w:rPr>
          <w:noProof/>
        </w:rPr>
        <w:t>11</w:t>
      </w:r>
      <w:r w:rsidR="00E6549B">
        <w:rPr>
          <w:noProof/>
        </w:rPr>
        <w:fldChar w:fldCharType="end"/>
      </w:r>
      <w:r>
        <w:noBreakHyphen/>
      </w:r>
      <w:r w:rsidR="00E6549B">
        <w:fldChar w:fldCharType="begin"/>
      </w:r>
      <w:r w:rsidR="00E6549B">
        <w:instrText xml:space="preserve"> SEQ Table \* ARABIC \s 1 </w:instrText>
      </w:r>
      <w:r w:rsidR="00E6549B">
        <w:fldChar w:fldCharType="separate"/>
      </w:r>
      <w:r w:rsidR="001C0547">
        <w:rPr>
          <w:noProof/>
        </w:rPr>
        <w:t>5</w:t>
      </w:r>
      <w:r w:rsidR="00E6549B">
        <w:rPr>
          <w:noProof/>
        </w:rPr>
        <w:fldChar w:fldCharType="end"/>
      </w:r>
      <w:bookmarkEnd w:id="98"/>
      <w:r>
        <w:tab/>
      </w:r>
      <w:r w:rsidR="00C948F9">
        <w:t>Adjustments to Powerlink's 2009</w:t>
      </w:r>
      <w:r w:rsidR="006D00DF">
        <w:t>–</w:t>
      </w:r>
      <w:r w:rsidR="00C948F9">
        <w:t>2015 performance history</w:t>
      </w:r>
    </w:p>
    <w:tbl>
      <w:tblPr>
        <w:tblStyle w:val="AERtable-numbers"/>
        <w:tblW w:w="9039" w:type="dxa"/>
        <w:tblLook w:val="04A0" w:firstRow="1" w:lastRow="0" w:firstColumn="1" w:lastColumn="0" w:noHBand="0" w:noVBand="1"/>
      </w:tblPr>
      <w:tblGrid>
        <w:gridCol w:w="2184"/>
        <w:gridCol w:w="1414"/>
        <w:gridCol w:w="3750"/>
        <w:gridCol w:w="1691"/>
      </w:tblGrid>
      <w:tr w:rsidR="00FA6FBB" w:rsidTr="003E6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FA6FBB" w:rsidRDefault="00FA6FBB" w:rsidP="00825AE1">
            <w:pPr>
              <w:pStyle w:val="AERbulletlistfirststyle"/>
              <w:numPr>
                <w:ilvl w:val="0"/>
                <w:numId w:val="0"/>
              </w:numPr>
            </w:pPr>
            <w:r>
              <w:t>Constraint ID</w:t>
            </w:r>
          </w:p>
        </w:tc>
        <w:tc>
          <w:tcPr>
            <w:tcW w:w="1417" w:type="dxa"/>
          </w:tcPr>
          <w:p w:rsidR="00FA6FBB" w:rsidRDefault="00FA6FBB" w:rsidP="007D05CD">
            <w:pPr>
              <w:pStyle w:val="Tabletext"/>
              <w:cnfStyle w:val="100000000000" w:firstRow="1" w:lastRow="0" w:firstColumn="0" w:lastColumn="0" w:oddVBand="0" w:evenVBand="0" w:oddHBand="0" w:evenHBand="0" w:firstRowFirstColumn="0" w:firstRowLastColumn="0" w:lastRowFirstColumn="0" w:lastRowLastColumn="0"/>
            </w:pPr>
            <w:r>
              <w:t xml:space="preserve">AER adjustment to dispatch interval count </w:t>
            </w:r>
          </w:p>
        </w:tc>
        <w:tc>
          <w:tcPr>
            <w:tcW w:w="3800" w:type="dxa"/>
          </w:tcPr>
          <w:p w:rsidR="00FA6FBB" w:rsidRDefault="00FA6FBB"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 xml:space="preserve">Reason for adjustment </w:t>
            </w:r>
          </w:p>
        </w:tc>
        <w:tc>
          <w:tcPr>
            <w:tcW w:w="1701" w:type="dxa"/>
          </w:tcPr>
          <w:p w:rsidR="00FA6FBB" w:rsidRDefault="00FA6FBB"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 xml:space="preserve">Date binding </w:t>
            </w:r>
          </w:p>
        </w:tc>
      </w:tr>
      <w:tr w:rsidR="00FA6FBB" w:rsidTr="003E612F">
        <w:tc>
          <w:tcPr>
            <w:cnfStyle w:val="001000000000" w:firstRow="0" w:lastRow="0" w:firstColumn="1" w:lastColumn="0" w:oddVBand="0" w:evenVBand="0" w:oddHBand="0" w:evenHBand="0" w:firstRowFirstColumn="0" w:firstRowLastColumn="0" w:lastRowFirstColumn="0" w:lastRowLastColumn="0"/>
            <w:tcW w:w="2121" w:type="dxa"/>
          </w:tcPr>
          <w:p w:rsidR="00FA6FBB" w:rsidRDefault="00FA6FBB" w:rsidP="007D05CD">
            <w:pPr>
              <w:pStyle w:val="Tabletext-right"/>
            </w:pPr>
            <w:r w:rsidRPr="00FA6FBB">
              <w:t xml:space="preserve">Q^FNQ4-030 </w:t>
            </w:r>
          </w:p>
        </w:tc>
        <w:tc>
          <w:tcPr>
            <w:tcW w:w="1417" w:type="dxa"/>
          </w:tcPr>
          <w:p w:rsidR="00FA6FBB" w:rsidRDefault="00FA6FBB" w:rsidP="007D05CD">
            <w:pPr>
              <w:pStyle w:val="Tabletext-right"/>
              <w:cnfStyle w:val="000000000000" w:firstRow="0" w:lastRow="0" w:firstColumn="0" w:lastColumn="0" w:oddVBand="0" w:evenVBand="0" w:oddHBand="0" w:evenHBand="0" w:firstRowFirstColumn="0" w:firstRowLastColumn="0" w:lastRowFirstColumn="0" w:lastRowLastColumn="0"/>
            </w:pPr>
            <w:r>
              <w:t>-1</w:t>
            </w:r>
          </w:p>
        </w:tc>
        <w:tc>
          <w:tcPr>
            <w:tcW w:w="3800" w:type="dxa"/>
          </w:tcPr>
          <w:p w:rsidR="00FA6FBB" w:rsidRDefault="00C948F9" w:rsidP="007D05CD">
            <w:pPr>
              <w:pStyle w:val="Tabletext"/>
              <w:cnfStyle w:val="000000000000" w:firstRow="0" w:lastRow="0" w:firstColumn="0" w:lastColumn="0" w:oddVBand="0" w:evenVBand="0" w:oddHBand="0" w:evenHBand="0" w:firstRowFirstColumn="0" w:firstRowLastColumn="0" w:lastRowFirstColumn="0" w:lastRowLastColumn="0"/>
            </w:pPr>
            <w:r>
              <w:t xml:space="preserve">Count did not have marginal value greater than $10/MWh </w:t>
            </w:r>
          </w:p>
        </w:tc>
        <w:tc>
          <w:tcPr>
            <w:tcW w:w="1701" w:type="dxa"/>
          </w:tcPr>
          <w:p w:rsidR="00FA6FBB" w:rsidRDefault="00FA6FBB" w:rsidP="007D05CD">
            <w:pPr>
              <w:pStyle w:val="Tabletext-right"/>
              <w:cnfStyle w:val="000000000000" w:firstRow="0" w:lastRow="0" w:firstColumn="0" w:lastColumn="0" w:oddVBand="0" w:evenVBand="0" w:oddHBand="0" w:evenHBand="0" w:firstRowFirstColumn="0" w:firstRowLastColumn="0" w:lastRowFirstColumn="0" w:lastRowLastColumn="0"/>
            </w:pPr>
            <w:r>
              <w:t>29/11/2009</w:t>
            </w:r>
          </w:p>
        </w:tc>
      </w:tr>
      <w:tr w:rsidR="00FA6FBB" w:rsidTr="003E6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FA6FBB" w:rsidRDefault="00FA6FBB" w:rsidP="007D05CD">
            <w:pPr>
              <w:pStyle w:val="Tabletext-right"/>
            </w:pPr>
            <w:r w:rsidRPr="00FA6FBB">
              <w:t>Q_CS_1500</w:t>
            </w:r>
          </w:p>
        </w:tc>
        <w:tc>
          <w:tcPr>
            <w:tcW w:w="1417" w:type="dxa"/>
          </w:tcPr>
          <w:p w:rsidR="00FA6FBB" w:rsidRDefault="00FA6FBB" w:rsidP="007D05CD">
            <w:pPr>
              <w:pStyle w:val="Tabletext-right"/>
              <w:cnfStyle w:val="000000010000" w:firstRow="0" w:lastRow="0" w:firstColumn="0" w:lastColumn="0" w:oddVBand="0" w:evenVBand="0" w:oddHBand="0" w:evenHBand="1" w:firstRowFirstColumn="0" w:firstRowLastColumn="0" w:lastRowFirstColumn="0" w:lastRowLastColumn="0"/>
            </w:pPr>
            <w:r>
              <w:t>1</w:t>
            </w:r>
          </w:p>
        </w:tc>
        <w:tc>
          <w:tcPr>
            <w:tcW w:w="3800" w:type="dxa"/>
          </w:tcPr>
          <w:p w:rsidR="00FA6FBB" w:rsidRDefault="00C948F9" w:rsidP="007D05CD">
            <w:pPr>
              <w:pStyle w:val="Tabletext"/>
              <w:cnfStyle w:val="000000010000" w:firstRow="0" w:lastRow="0" w:firstColumn="0" w:lastColumn="0" w:oddVBand="0" w:evenVBand="0" w:oddHBand="0" w:evenHBand="1" w:firstRowFirstColumn="0" w:firstRowLastColumn="0" w:lastRowFirstColumn="0" w:lastRowLastColumn="0"/>
            </w:pPr>
            <w:r>
              <w:t>Binding count was not included in Powerlink's performance history</w:t>
            </w:r>
          </w:p>
        </w:tc>
        <w:tc>
          <w:tcPr>
            <w:tcW w:w="1701" w:type="dxa"/>
          </w:tcPr>
          <w:p w:rsidR="00FA6FBB" w:rsidRDefault="00FA6FBB" w:rsidP="007D05CD">
            <w:pPr>
              <w:pStyle w:val="Tabletext-right"/>
              <w:cnfStyle w:val="000000010000" w:firstRow="0" w:lastRow="0" w:firstColumn="0" w:lastColumn="0" w:oddVBand="0" w:evenVBand="0" w:oddHBand="0" w:evenHBand="1" w:firstRowFirstColumn="0" w:firstRowLastColumn="0" w:lastRowFirstColumn="0" w:lastRowLastColumn="0"/>
            </w:pPr>
            <w:r>
              <w:t>24/01/2009</w:t>
            </w:r>
          </w:p>
        </w:tc>
      </w:tr>
      <w:tr w:rsidR="00FA6FBB" w:rsidTr="003E612F">
        <w:tc>
          <w:tcPr>
            <w:cnfStyle w:val="001000000000" w:firstRow="0" w:lastRow="0" w:firstColumn="1" w:lastColumn="0" w:oddVBand="0" w:evenVBand="0" w:oddHBand="0" w:evenHBand="0" w:firstRowFirstColumn="0" w:firstRowLastColumn="0" w:lastRowFirstColumn="0" w:lastRowLastColumn="0"/>
            <w:tcW w:w="2121" w:type="dxa"/>
          </w:tcPr>
          <w:p w:rsidR="00FA6FBB" w:rsidRDefault="00FA6FBB" w:rsidP="007D05CD">
            <w:pPr>
              <w:pStyle w:val="Tabletext-right"/>
            </w:pPr>
            <w:r w:rsidRPr="00FA6FBB">
              <w:t>#STAN-3_E</w:t>
            </w:r>
          </w:p>
        </w:tc>
        <w:tc>
          <w:tcPr>
            <w:tcW w:w="1417" w:type="dxa"/>
          </w:tcPr>
          <w:p w:rsidR="00FA6FBB" w:rsidRDefault="00FA6FBB" w:rsidP="007D05CD">
            <w:pPr>
              <w:pStyle w:val="Tabletext-right"/>
              <w:cnfStyle w:val="000000000000" w:firstRow="0" w:lastRow="0" w:firstColumn="0" w:lastColumn="0" w:oddVBand="0" w:evenVBand="0" w:oddHBand="0" w:evenHBand="0" w:firstRowFirstColumn="0" w:firstRowLastColumn="0" w:lastRowFirstColumn="0" w:lastRowLastColumn="0"/>
            </w:pPr>
            <w:r>
              <w:t>1</w:t>
            </w:r>
          </w:p>
        </w:tc>
        <w:tc>
          <w:tcPr>
            <w:tcW w:w="3800" w:type="dxa"/>
          </w:tcPr>
          <w:p w:rsidR="00FA6FBB" w:rsidRDefault="00C948F9" w:rsidP="007D05CD">
            <w:pPr>
              <w:pStyle w:val="Tabletext"/>
              <w:cnfStyle w:val="000000000000" w:firstRow="0" w:lastRow="0" w:firstColumn="0" w:lastColumn="0" w:oddVBand="0" w:evenVBand="0" w:oddHBand="0" w:evenHBand="0" w:firstRowFirstColumn="0" w:firstRowLastColumn="0" w:lastRowFirstColumn="0" w:lastRowLastColumn="0"/>
            </w:pPr>
            <w:r>
              <w:t xml:space="preserve">No evidence constraint was invoked to manage a network outage </w:t>
            </w:r>
          </w:p>
        </w:tc>
        <w:tc>
          <w:tcPr>
            <w:tcW w:w="1701" w:type="dxa"/>
          </w:tcPr>
          <w:p w:rsidR="00FA6FBB" w:rsidRDefault="00FA6FBB" w:rsidP="007D05CD">
            <w:pPr>
              <w:pStyle w:val="Tabletext-right"/>
              <w:cnfStyle w:val="000000000000" w:firstRow="0" w:lastRow="0" w:firstColumn="0" w:lastColumn="0" w:oddVBand="0" w:evenVBand="0" w:oddHBand="0" w:evenHBand="0" w:firstRowFirstColumn="0" w:firstRowLastColumn="0" w:lastRowFirstColumn="0" w:lastRowLastColumn="0"/>
            </w:pPr>
            <w:r>
              <w:t>20/5/2010</w:t>
            </w:r>
          </w:p>
        </w:tc>
      </w:tr>
      <w:tr w:rsidR="00FA6FBB" w:rsidTr="003E6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FA6FBB" w:rsidRDefault="00FA6FBB" w:rsidP="007D05CD">
            <w:pPr>
              <w:pStyle w:val="Tabletext-right"/>
            </w:pPr>
            <w:r w:rsidRPr="00FA6FBB">
              <w:t>Q:N_BCKTR_BCK2L-G</w:t>
            </w:r>
          </w:p>
        </w:tc>
        <w:tc>
          <w:tcPr>
            <w:tcW w:w="1417" w:type="dxa"/>
          </w:tcPr>
          <w:p w:rsidR="00FA6FBB" w:rsidRDefault="00C948F9" w:rsidP="007D05CD">
            <w:pPr>
              <w:pStyle w:val="Tabletext-right"/>
              <w:cnfStyle w:val="000000010000" w:firstRow="0" w:lastRow="0" w:firstColumn="0" w:lastColumn="0" w:oddVBand="0" w:evenVBand="0" w:oddHBand="0" w:evenHBand="1" w:firstRowFirstColumn="0" w:firstRowLastColumn="0" w:lastRowFirstColumn="0" w:lastRowLastColumn="0"/>
            </w:pPr>
            <w:r>
              <w:t xml:space="preserve">attribute </w:t>
            </w:r>
            <w:r w:rsidR="000B69C3">
              <w:t>35</w:t>
            </w:r>
            <w:r>
              <w:t xml:space="preserve"> counts to unplanned outage </w:t>
            </w:r>
          </w:p>
        </w:tc>
        <w:tc>
          <w:tcPr>
            <w:tcW w:w="3800" w:type="dxa"/>
          </w:tcPr>
          <w:p w:rsidR="00FA6FBB" w:rsidRDefault="00C948F9" w:rsidP="007D05CD">
            <w:pPr>
              <w:pStyle w:val="Tabletext"/>
              <w:cnfStyle w:val="000000010000" w:firstRow="0" w:lastRow="0" w:firstColumn="0" w:lastColumn="0" w:oddVBand="0" w:evenVBand="0" w:oddHBand="0" w:evenHBand="1" w:firstRowFirstColumn="0" w:firstRowLastColumn="0" w:lastRowFirstColumn="0" w:lastRowLastColumn="0"/>
            </w:pPr>
            <w:r>
              <w:t>Constraint was invoked to manage an unplanned outage on 20/05 and 21/05 - see market notice 31857 and 31865</w:t>
            </w:r>
          </w:p>
        </w:tc>
        <w:tc>
          <w:tcPr>
            <w:tcW w:w="1701" w:type="dxa"/>
          </w:tcPr>
          <w:p w:rsidR="00FA6FBB"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 xml:space="preserve">20/05/2010 21/05/2010 </w:t>
            </w:r>
          </w:p>
        </w:tc>
      </w:tr>
      <w:tr w:rsidR="00FA6FBB" w:rsidTr="003E612F">
        <w:tc>
          <w:tcPr>
            <w:cnfStyle w:val="001000000000" w:firstRow="0" w:lastRow="0" w:firstColumn="1" w:lastColumn="0" w:oddVBand="0" w:evenVBand="0" w:oddHBand="0" w:evenHBand="0" w:firstRowFirstColumn="0" w:firstRowLastColumn="0" w:lastRowFirstColumn="0" w:lastRowLastColumn="0"/>
            <w:tcW w:w="2121" w:type="dxa"/>
          </w:tcPr>
          <w:p w:rsidR="00FA6FBB" w:rsidRDefault="00FA6FBB" w:rsidP="007D05CD">
            <w:pPr>
              <w:pStyle w:val="Tabletext-right"/>
            </w:pPr>
            <w:r w:rsidRPr="00FA6FBB">
              <w:t>Q:N_BCKTR_BI_POT</w:t>
            </w:r>
          </w:p>
        </w:tc>
        <w:tc>
          <w:tcPr>
            <w:tcW w:w="1417" w:type="dxa"/>
          </w:tcPr>
          <w:p w:rsidR="00FA6FBB" w:rsidRDefault="00C948F9" w:rsidP="007D05CD">
            <w:pPr>
              <w:pStyle w:val="Tabletext-right"/>
              <w:cnfStyle w:val="000000000000" w:firstRow="0" w:lastRow="0" w:firstColumn="0" w:lastColumn="0" w:oddVBand="0" w:evenVBand="0" w:oddHBand="0" w:evenHBand="0" w:firstRowFirstColumn="0" w:firstRowLastColumn="0" w:lastRowFirstColumn="0" w:lastRowLastColumn="0"/>
            </w:pPr>
            <w:r>
              <w:t xml:space="preserve">attribute </w:t>
            </w:r>
            <w:r w:rsidR="000B69C3">
              <w:t>22</w:t>
            </w:r>
            <w:r>
              <w:t xml:space="preserve"> counts to unplanned outage</w:t>
            </w:r>
          </w:p>
        </w:tc>
        <w:tc>
          <w:tcPr>
            <w:tcW w:w="3800" w:type="dxa"/>
          </w:tcPr>
          <w:p w:rsidR="00FA6FBB" w:rsidRDefault="00C948F9" w:rsidP="007D05CD">
            <w:pPr>
              <w:pStyle w:val="Tabletext"/>
              <w:cnfStyle w:val="000000000000" w:firstRow="0" w:lastRow="0" w:firstColumn="0" w:lastColumn="0" w:oddVBand="0" w:evenVBand="0" w:oddHBand="0" w:evenHBand="0" w:firstRowFirstColumn="0" w:firstRowLastColumn="0" w:lastRowFirstColumn="0" w:lastRowLastColumn="0"/>
            </w:pPr>
            <w:r>
              <w:t xml:space="preserve">Constraint was invoked to manage an unplanned outage on 20/05 and 21/05 - see market notice </w:t>
            </w:r>
            <w:r w:rsidRPr="00C948F9">
              <w:t>31857 and 31865</w:t>
            </w:r>
          </w:p>
        </w:tc>
        <w:tc>
          <w:tcPr>
            <w:tcW w:w="1701" w:type="dxa"/>
          </w:tcPr>
          <w:p w:rsidR="00FA6FBB"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20/05/2010 21/05/2010</w:t>
            </w:r>
          </w:p>
        </w:tc>
      </w:tr>
      <w:tr w:rsidR="000B69C3" w:rsidTr="003E6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0B69C3" w:rsidRPr="00FA6FBB" w:rsidRDefault="000B69C3" w:rsidP="00825AE1">
            <w:pPr>
              <w:pStyle w:val="Tabletext-right"/>
            </w:pPr>
            <w:r w:rsidRPr="000B69C3">
              <w:t>N^^Q_BR_VC_B1</w:t>
            </w:r>
          </w:p>
        </w:tc>
        <w:tc>
          <w:tcPr>
            <w:tcW w:w="1417" w:type="dxa"/>
          </w:tcPr>
          <w:p w:rsidR="000B69C3" w:rsidRDefault="00C948F9" w:rsidP="007D05CD">
            <w:pPr>
              <w:pStyle w:val="Tabletext-right"/>
              <w:cnfStyle w:val="000000010000" w:firstRow="0" w:lastRow="0" w:firstColumn="0" w:lastColumn="0" w:oddVBand="0" w:evenVBand="0" w:oddHBand="0" w:evenHBand="1" w:firstRowFirstColumn="0" w:firstRowLastColumn="0" w:lastRowFirstColumn="0" w:lastRowLastColumn="0"/>
            </w:pPr>
            <w:r>
              <w:t xml:space="preserve">attribute </w:t>
            </w:r>
            <w:r w:rsidR="000B69C3">
              <w:t>1</w:t>
            </w:r>
            <w:r>
              <w:t xml:space="preserve"> count to planned outage</w:t>
            </w:r>
          </w:p>
        </w:tc>
        <w:tc>
          <w:tcPr>
            <w:tcW w:w="3800" w:type="dxa"/>
          </w:tcPr>
          <w:p w:rsidR="000B69C3" w:rsidRDefault="00C948F9" w:rsidP="007D05CD">
            <w:pPr>
              <w:pStyle w:val="Tabletext"/>
              <w:cnfStyle w:val="000000010000" w:firstRow="0" w:lastRow="0" w:firstColumn="0" w:lastColumn="0" w:oddVBand="0" w:evenVBand="0" w:oddHBand="0" w:evenHBand="1" w:firstRowFirstColumn="0" w:firstRowLastColumn="0" w:lastRowFirstColumn="0" w:lastRowLastColumn="0"/>
            </w:pPr>
            <w:r>
              <w:t>Constraint was invoked to manage an planned outage - see market notice 36444</w:t>
            </w:r>
          </w:p>
        </w:tc>
        <w:tc>
          <w:tcPr>
            <w:tcW w:w="1701"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27/10/2011</w:t>
            </w:r>
          </w:p>
        </w:tc>
      </w:tr>
      <w:tr w:rsidR="000B69C3" w:rsidTr="003E612F">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t>Q_CPSA_44</w:t>
            </w:r>
          </w:p>
        </w:tc>
        <w:tc>
          <w:tcPr>
            <w:tcW w:w="1417"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-96</w:t>
            </w:r>
          </w:p>
        </w:tc>
        <w:tc>
          <w:tcPr>
            <w:tcW w:w="3800" w:type="dxa"/>
          </w:tcPr>
          <w:p w:rsidR="000B69C3" w:rsidRDefault="00C948F9" w:rsidP="007D05CD">
            <w:pPr>
              <w:pStyle w:val="Tabletext"/>
              <w:cnfStyle w:val="000000000000" w:firstRow="0" w:lastRow="0" w:firstColumn="0" w:lastColumn="0" w:oddVBand="0" w:evenVBand="0" w:oddHBand="0" w:evenHBand="0" w:firstRowFirstColumn="0" w:firstRowLastColumn="0" w:lastRowFirstColumn="0" w:lastRowLastColumn="0"/>
            </w:pPr>
            <w:r>
              <w:t>Planned outage coordinated with affected generators. No market impact</w:t>
            </w:r>
          </w:p>
        </w:tc>
        <w:tc>
          <w:tcPr>
            <w:tcW w:w="1701"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22/11/2012 23/11/2012</w:t>
            </w:r>
          </w:p>
        </w:tc>
      </w:tr>
      <w:tr w:rsidR="000B69C3" w:rsidTr="003E6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t>Q_CPSA_72</w:t>
            </w:r>
          </w:p>
        </w:tc>
        <w:tc>
          <w:tcPr>
            <w:tcW w:w="1417"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-3</w:t>
            </w:r>
          </w:p>
        </w:tc>
        <w:tc>
          <w:tcPr>
            <w:tcW w:w="3800" w:type="dxa"/>
          </w:tcPr>
          <w:p w:rsidR="000B69C3" w:rsidRDefault="00C948F9" w:rsidP="007D05CD">
            <w:pPr>
              <w:pStyle w:val="Tabletext"/>
              <w:cnfStyle w:val="000000010000" w:firstRow="0" w:lastRow="0" w:firstColumn="0" w:lastColumn="0" w:oddVBand="0" w:evenVBand="0" w:oddHBand="0" w:evenHBand="1" w:firstRowFirstColumn="0" w:firstRowLastColumn="0" w:lastRowFirstColumn="0" w:lastRowLastColumn="0"/>
            </w:pPr>
            <w:r>
              <w:t xml:space="preserve">Planned outage coordinated with affected generators. No market impact </w:t>
            </w:r>
          </w:p>
        </w:tc>
        <w:tc>
          <w:tcPr>
            <w:tcW w:w="1701"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08/11/2012</w:t>
            </w:r>
          </w:p>
        </w:tc>
      </w:tr>
      <w:tr w:rsidR="000B69C3" w:rsidTr="003E612F">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t>#BARRON-1_D_E</w:t>
            </w:r>
          </w:p>
        </w:tc>
        <w:tc>
          <w:tcPr>
            <w:tcW w:w="1417"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-8</w:t>
            </w:r>
          </w:p>
        </w:tc>
        <w:tc>
          <w:tcPr>
            <w:tcW w:w="3800" w:type="dxa"/>
          </w:tcPr>
          <w:p w:rsidR="000B69C3" w:rsidRDefault="00C948F9" w:rsidP="007D05CD">
            <w:pPr>
              <w:pStyle w:val="Tabletext"/>
              <w:cnfStyle w:val="000000000000" w:firstRow="0" w:lastRow="0" w:firstColumn="0" w:lastColumn="0" w:oddVBand="0" w:evenVBand="0" w:oddHBand="0" w:evenHBand="0" w:firstRowFirstColumn="0" w:firstRowLastColumn="0" w:lastRowFirstColumn="0" w:lastRowLastColumn="0"/>
            </w:pPr>
            <w:r>
              <w:t xml:space="preserve">Generator constraint associated with </w:t>
            </w:r>
            <w:r>
              <w:lastRenderedPageBreak/>
              <w:t>AEMO direction</w:t>
            </w:r>
            <w:r w:rsidRPr="00C948F9">
              <w:t xml:space="preserve"> to generators</w:t>
            </w:r>
          </w:p>
        </w:tc>
        <w:tc>
          <w:tcPr>
            <w:tcW w:w="1701"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lastRenderedPageBreak/>
              <w:t>13/10/2015</w:t>
            </w:r>
          </w:p>
        </w:tc>
      </w:tr>
      <w:tr w:rsidR="000B69C3" w:rsidTr="003E6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lastRenderedPageBreak/>
              <w:t>#KAREEYA2_D_E</w:t>
            </w:r>
          </w:p>
        </w:tc>
        <w:tc>
          <w:tcPr>
            <w:tcW w:w="1417"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-3</w:t>
            </w:r>
          </w:p>
        </w:tc>
        <w:tc>
          <w:tcPr>
            <w:tcW w:w="3800" w:type="dxa"/>
          </w:tcPr>
          <w:p w:rsidR="000B69C3" w:rsidRDefault="00C948F9" w:rsidP="007D05CD">
            <w:pPr>
              <w:pStyle w:val="Tabletext"/>
              <w:cnfStyle w:val="000000010000" w:firstRow="0" w:lastRow="0" w:firstColumn="0" w:lastColumn="0" w:oddVBand="0" w:evenVBand="0" w:oddHBand="0" w:evenHBand="1" w:firstRowFirstColumn="0" w:firstRowLastColumn="0" w:lastRowFirstColumn="0" w:lastRowLastColumn="0"/>
            </w:pPr>
            <w:r>
              <w:t>Generator constraint associated with AEMO direction</w:t>
            </w:r>
            <w:r w:rsidRPr="00C948F9">
              <w:t xml:space="preserve"> to generators</w:t>
            </w:r>
          </w:p>
        </w:tc>
        <w:tc>
          <w:tcPr>
            <w:tcW w:w="1701"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13/10/2015</w:t>
            </w:r>
          </w:p>
        </w:tc>
      </w:tr>
      <w:tr w:rsidR="000B69C3" w:rsidTr="003E612F">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t>#MSTUART2_D_E</w:t>
            </w:r>
          </w:p>
        </w:tc>
        <w:tc>
          <w:tcPr>
            <w:tcW w:w="1417"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-2</w:t>
            </w:r>
          </w:p>
        </w:tc>
        <w:tc>
          <w:tcPr>
            <w:tcW w:w="3800" w:type="dxa"/>
          </w:tcPr>
          <w:p w:rsidR="000B69C3" w:rsidRDefault="00C948F9" w:rsidP="007D05CD">
            <w:pPr>
              <w:pStyle w:val="Tabletext"/>
              <w:cnfStyle w:val="000000000000" w:firstRow="0" w:lastRow="0" w:firstColumn="0" w:lastColumn="0" w:oddVBand="0" w:evenVBand="0" w:oddHBand="0" w:evenHBand="0" w:firstRowFirstColumn="0" w:firstRowLastColumn="0" w:lastRowFirstColumn="0" w:lastRowLastColumn="0"/>
            </w:pPr>
            <w:r>
              <w:t xml:space="preserve">Generator constraint associated with AEMO direction to generators </w:t>
            </w:r>
          </w:p>
        </w:tc>
        <w:tc>
          <w:tcPr>
            <w:tcW w:w="1701"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13/10/2015</w:t>
            </w:r>
          </w:p>
        </w:tc>
      </w:tr>
      <w:tr w:rsidR="000B69C3" w:rsidTr="003E6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t>#KAREEYA4_D_E</w:t>
            </w:r>
          </w:p>
        </w:tc>
        <w:tc>
          <w:tcPr>
            <w:tcW w:w="1417"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-3</w:t>
            </w:r>
          </w:p>
        </w:tc>
        <w:tc>
          <w:tcPr>
            <w:tcW w:w="3800" w:type="dxa"/>
          </w:tcPr>
          <w:p w:rsidR="000B69C3" w:rsidRDefault="00C948F9" w:rsidP="007D05CD">
            <w:pPr>
              <w:pStyle w:val="Tabletext"/>
              <w:cnfStyle w:val="000000010000" w:firstRow="0" w:lastRow="0" w:firstColumn="0" w:lastColumn="0" w:oddVBand="0" w:evenVBand="0" w:oddHBand="0" w:evenHBand="1" w:firstRowFirstColumn="0" w:firstRowLastColumn="0" w:lastRowFirstColumn="0" w:lastRowLastColumn="0"/>
            </w:pPr>
            <w:r>
              <w:t>Generator constraint associated with AEMO direction</w:t>
            </w:r>
            <w:r w:rsidRPr="00C948F9">
              <w:t xml:space="preserve"> to generators</w:t>
            </w:r>
          </w:p>
        </w:tc>
        <w:tc>
          <w:tcPr>
            <w:tcW w:w="1701"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13/10/2015</w:t>
            </w:r>
          </w:p>
        </w:tc>
      </w:tr>
      <w:tr w:rsidR="000B69C3" w:rsidTr="003E612F">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t>#YABULU_D_E</w:t>
            </w:r>
          </w:p>
        </w:tc>
        <w:tc>
          <w:tcPr>
            <w:tcW w:w="1417"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-22</w:t>
            </w:r>
          </w:p>
        </w:tc>
        <w:tc>
          <w:tcPr>
            <w:tcW w:w="3800" w:type="dxa"/>
          </w:tcPr>
          <w:p w:rsidR="000B69C3" w:rsidRDefault="00C948F9" w:rsidP="007D05CD">
            <w:pPr>
              <w:pStyle w:val="Tabletext"/>
              <w:cnfStyle w:val="000000000000" w:firstRow="0" w:lastRow="0" w:firstColumn="0" w:lastColumn="0" w:oddVBand="0" w:evenVBand="0" w:oddHBand="0" w:evenHBand="0" w:firstRowFirstColumn="0" w:firstRowLastColumn="0" w:lastRowFirstColumn="0" w:lastRowLastColumn="0"/>
            </w:pPr>
            <w:r>
              <w:t>Generator constraint associated with AEMO direction</w:t>
            </w:r>
            <w:r w:rsidRPr="00C948F9">
              <w:t xml:space="preserve"> to generators</w:t>
            </w:r>
          </w:p>
        </w:tc>
        <w:tc>
          <w:tcPr>
            <w:tcW w:w="1701" w:type="dxa"/>
          </w:tcPr>
          <w:p w:rsidR="000B69C3" w:rsidRDefault="000B69C3" w:rsidP="007D05CD">
            <w:pPr>
              <w:pStyle w:val="Tabletext-right"/>
              <w:cnfStyle w:val="000000000000" w:firstRow="0" w:lastRow="0" w:firstColumn="0" w:lastColumn="0" w:oddVBand="0" w:evenVBand="0" w:oddHBand="0" w:evenHBand="0" w:firstRowFirstColumn="0" w:firstRowLastColumn="0" w:lastRowFirstColumn="0" w:lastRowLastColumn="0"/>
            </w:pPr>
            <w:r>
              <w:t>13/10/2015</w:t>
            </w:r>
          </w:p>
        </w:tc>
      </w:tr>
      <w:tr w:rsidR="000B69C3" w:rsidTr="003E6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0B69C3" w:rsidRPr="000B69C3" w:rsidRDefault="000B69C3" w:rsidP="00825AE1">
            <w:pPr>
              <w:pStyle w:val="Tabletext-right"/>
            </w:pPr>
            <w:r w:rsidRPr="000B69C3">
              <w:t>Q_STSTN_863</w:t>
            </w:r>
          </w:p>
        </w:tc>
        <w:tc>
          <w:tcPr>
            <w:tcW w:w="1417"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-1</w:t>
            </w:r>
          </w:p>
        </w:tc>
        <w:tc>
          <w:tcPr>
            <w:tcW w:w="3800" w:type="dxa"/>
          </w:tcPr>
          <w:p w:rsidR="000B69C3" w:rsidRDefault="00C948F9" w:rsidP="007D05CD">
            <w:pPr>
              <w:pStyle w:val="Tabletext"/>
              <w:cnfStyle w:val="000000010000" w:firstRow="0" w:lastRow="0" w:firstColumn="0" w:lastColumn="0" w:oddVBand="0" w:evenVBand="0" w:oddHBand="0" w:evenHBand="1" w:firstRowFirstColumn="0" w:firstRowLastColumn="0" w:lastRowFirstColumn="0" w:lastRowLastColumn="0"/>
            </w:pPr>
            <w:r>
              <w:t xml:space="preserve">Planned outage coordinated with </w:t>
            </w:r>
            <w:r w:rsidRPr="00C948F9">
              <w:t>affected generators. No market impact</w:t>
            </w:r>
          </w:p>
        </w:tc>
        <w:tc>
          <w:tcPr>
            <w:tcW w:w="1701" w:type="dxa"/>
          </w:tcPr>
          <w:p w:rsidR="000B69C3" w:rsidRDefault="000B69C3" w:rsidP="007D05CD">
            <w:pPr>
              <w:pStyle w:val="Tabletext-right"/>
              <w:cnfStyle w:val="000000010000" w:firstRow="0" w:lastRow="0" w:firstColumn="0" w:lastColumn="0" w:oddVBand="0" w:evenVBand="0" w:oddHBand="0" w:evenHBand="1" w:firstRowFirstColumn="0" w:firstRowLastColumn="0" w:lastRowFirstColumn="0" w:lastRowLastColumn="0"/>
            </w:pPr>
            <w:r>
              <w:t>24/09/2015</w:t>
            </w:r>
          </w:p>
        </w:tc>
      </w:tr>
    </w:tbl>
    <w:p w:rsidR="000D658A" w:rsidRDefault="000D658A" w:rsidP="007D05CD">
      <w:pPr>
        <w:pStyle w:val="AERbulletlistfirststyle"/>
        <w:numPr>
          <w:ilvl w:val="0"/>
          <w:numId w:val="0"/>
        </w:numPr>
      </w:pPr>
    </w:p>
    <w:p w:rsidR="005243DB" w:rsidRDefault="00DF701E" w:rsidP="007D05CD">
      <w:pPr>
        <w:pStyle w:val="AERbulletlistfirststyle"/>
        <w:numPr>
          <w:ilvl w:val="0"/>
          <w:numId w:val="0"/>
        </w:numPr>
      </w:pPr>
      <w:r>
        <w:t xml:space="preserve">Feedback was sought from </w:t>
      </w:r>
      <w:r w:rsidR="005243DB">
        <w:t>Powerlink</w:t>
      </w:r>
      <w:r>
        <w:t xml:space="preserve"> on these proposed adjustments</w:t>
      </w:r>
      <w:r w:rsidR="005243DB">
        <w:rPr>
          <w:rStyle w:val="FootnoteReference"/>
        </w:rPr>
        <w:footnoteReference w:id="26"/>
      </w:r>
      <w:r w:rsidR="005243DB">
        <w:t xml:space="preserve">. Powerlink </w:t>
      </w:r>
      <w:r w:rsidR="008F5DFD">
        <w:t xml:space="preserve">agreed with the proposed adjustments, with the exception of the </w:t>
      </w:r>
      <w:r w:rsidR="005243DB">
        <w:t>following constraints:</w:t>
      </w:r>
      <w:r w:rsidR="004E61EF">
        <w:rPr>
          <w:rStyle w:val="FootnoteReference"/>
        </w:rPr>
        <w:footnoteReference w:id="27"/>
      </w:r>
      <w:r w:rsidR="005243DB">
        <w:t xml:space="preserve"> </w:t>
      </w:r>
    </w:p>
    <w:p w:rsidR="007324B5" w:rsidRDefault="007324B5" w:rsidP="003E612F">
      <w:pPr>
        <w:pStyle w:val="AERbulletlistfirststyle"/>
      </w:pPr>
      <w:r>
        <w:t xml:space="preserve">Q_CPSA_44, </w:t>
      </w:r>
      <w:r w:rsidRPr="007324B5">
        <w:t xml:space="preserve">Q_CPSA_72 </w:t>
      </w:r>
      <w:r>
        <w:t xml:space="preserve">and Q_STSTN_863. Powerlink considered that these counts for these outage constraints, which were coordinated with affected generators, should be included as the work was initiated by Powerlink. As the power stations were aware of the work and the impact it would have on their ability to generate, affected generator units were taken offline for Powerlink to perform its' work.  </w:t>
      </w:r>
    </w:p>
    <w:p w:rsidR="008F5DFD" w:rsidRDefault="007324B5" w:rsidP="003E612F">
      <w:pPr>
        <w:pStyle w:val="AERbulletlistfirststyle"/>
      </w:pPr>
      <w:r w:rsidRPr="007324B5">
        <w:t>#BARRON-1_D_E</w:t>
      </w:r>
      <w:r>
        <w:t xml:space="preserve">, #KAREEYA2_D_E, </w:t>
      </w:r>
      <w:r w:rsidRPr="007324B5">
        <w:t>#MSTUART2_D_E</w:t>
      </w:r>
      <w:r>
        <w:t xml:space="preserve">, #KAREEYA4_D_E and </w:t>
      </w:r>
      <w:r w:rsidR="00BA3DEB">
        <w:t xml:space="preserve">#YABULU_D_E. Powerlink noted that the AER's STPIS Version 5 MIC guidance document provided to TNSPs stated exclusions do not apply where a subsequent directive issued by AEMO is in response to the actions of the TNSP for the initial outage. The AEMO directions were issued in response to the inability to meet requirements of the reclassification constraint, which was caused by a prior planned Powerlink outage. If Powerlink was not undertaking the planned outage then </w:t>
      </w:r>
      <w:r w:rsidR="008F5DFD">
        <w:t>the network would not have been limited and direction constraints would not have been required by AEMO. On this basis, these counts should be attributed to Powerlink.</w:t>
      </w:r>
    </w:p>
    <w:p w:rsidR="005243DB" w:rsidRDefault="008F5DFD" w:rsidP="003E612F">
      <w:pPr>
        <w:pStyle w:val="AERbulletlistfirststyle"/>
      </w:pPr>
      <w:r>
        <w:t xml:space="preserve">N^^Q_BR_VC_B1. Powerlink stated that the market notice 36444 was in error and that the outage constraint was invoked for an unplanned outage managed that was managed through the AEMO NOS system. </w:t>
      </w:r>
      <w:r w:rsidR="004E61EF">
        <w:t xml:space="preserve">Powerlink notes that the first NOS entry was submitted to AEMO after the outage commenced, meeting the requirement of less than 24 hours notice to AEMO for unplanned outages. </w:t>
      </w:r>
    </w:p>
    <w:p w:rsidR="008F5DFD" w:rsidRDefault="008F5DFD" w:rsidP="008F5DFD">
      <w:pPr>
        <w:pStyle w:val="AERbulletlistfirststyle"/>
        <w:numPr>
          <w:ilvl w:val="0"/>
          <w:numId w:val="0"/>
        </w:numPr>
      </w:pPr>
      <w:r>
        <w:lastRenderedPageBreak/>
        <w:t xml:space="preserve">The AER has considered Powerlink's response and </w:t>
      </w:r>
      <w:r w:rsidR="00DF701E">
        <w:t xml:space="preserve">does not consider that the adjustments needed to be amended. Specifically, </w:t>
      </w:r>
    </w:p>
    <w:p w:rsidR="005243DB" w:rsidRDefault="00AC11EA" w:rsidP="003E612F">
      <w:pPr>
        <w:pStyle w:val="AERbulletlistfirststyle"/>
      </w:pPr>
      <w:r>
        <w:t>I</w:t>
      </w:r>
      <w:r w:rsidR="00DF701E">
        <w:t xml:space="preserve">n relation to </w:t>
      </w:r>
      <w:r w:rsidR="00DF701E" w:rsidRPr="00DF701E">
        <w:t>Q_CPSA_44, Q_CPSA_72 and Q_STSTN_863</w:t>
      </w:r>
      <w:r w:rsidR="00DF701E">
        <w:t xml:space="preserve">, </w:t>
      </w:r>
      <w:r w:rsidR="00113485">
        <w:t xml:space="preserve">as explained above </w:t>
      </w:r>
      <w:r w:rsidR="00DF701E">
        <w:t xml:space="preserve">counts associated with planned coordinated outages between a TNSP and an affected generator is not included in as a binding count. These counts </w:t>
      </w:r>
      <w:r w:rsidR="00113485">
        <w:t>have previously been</w:t>
      </w:r>
      <w:r w:rsidR="00DF701E">
        <w:t xml:space="preserve"> excluded from Powerlink's performance counts under Version 3 of the scheme.</w:t>
      </w:r>
      <w:r w:rsidR="00DF701E">
        <w:rPr>
          <w:rStyle w:val="FootnoteReference"/>
        </w:rPr>
        <w:footnoteReference w:id="28"/>
      </w:r>
      <w:r w:rsidR="003B6955">
        <w:t xml:space="preserve"> We do not consider there have been any changes to the MIC since which warrant these constraint counts being treated differently.</w:t>
      </w:r>
      <w:r w:rsidR="00DF701E">
        <w:t xml:space="preserve"> </w:t>
      </w:r>
    </w:p>
    <w:p w:rsidR="003B6955" w:rsidRPr="003B6955" w:rsidRDefault="00AC11EA" w:rsidP="00CF5A86">
      <w:pPr>
        <w:pStyle w:val="AERbulletlistfirststyle"/>
      </w:pPr>
      <w:r>
        <w:t>I</w:t>
      </w:r>
      <w:r w:rsidR="003B6955">
        <w:t xml:space="preserve">n relation to  </w:t>
      </w:r>
      <w:r w:rsidR="003B6955" w:rsidRPr="003B6955">
        <w:t>#BARRON-1_D_E, #KAREEYA2_D_E, #MSTUART2_D_E,</w:t>
      </w:r>
      <w:r w:rsidR="003B6955">
        <w:t xml:space="preserve"> #KAREEYA4_D_E and #YABULU_D_E, we agree with the position that TNSP should be responsible for constraint counts associated with AEMO issues directives where it is caused by an outage on the TNSP's network. However, in this instance the AEMO directions were not caused by the TNSP's network but rather the bidding behaviour of generators in northern Queensland. </w:t>
      </w:r>
      <w:r w:rsidR="00DA5AE3">
        <w:t>This is explained in AEMO reports which cover events on the day.</w:t>
      </w:r>
      <w:r w:rsidR="00DA5AE3">
        <w:rPr>
          <w:rStyle w:val="FootnoteReference"/>
        </w:rPr>
        <w:footnoteReference w:id="29"/>
      </w:r>
      <w:r w:rsidR="00DA5AE3">
        <w:t xml:space="preserve"> While the planned outage was an underlying condition which contributed to the AEMO directions being required, they are not the cause.  </w:t>
      </w:r>
      <w:r w:rsidR="003B6955">
        <w:t xml:space="preserve">    </w:t>
      </w:r>
    </w:p>
    <w:p w:rsidR="003B6955" w:rsidRDefault="00AC11EA" w:rsidP="003E612F">
      <w:pPr>
        <w:pStyle w:val="AERbulletlistfirststyle"/>
      </w:pPr>
      <w:r>
        <w:t>I</w:t>
      </w:r>
      <w:r w:rsidR="00DA5AE3">
        <w:t xml:space="preserve">n relation to </w:t>
      </w:r>
      <w:r w:rsidR="00DA5AE3" w:rsidRPr="00DA5AE3">
        <w:t>N^^Q_BR_VC_B1</w:t>
      </w:r>
      <w:r w:rsidR="004E61EF">
        <w:t xml:space="preserve">, based on the information before us </w:t>
      </w:r>
      <w:r w:rsidR="00CF5A86">
        <w:t>it</w:t>
      </w:r>
      <w:r w:rsidR="004E61EF">
        <w:t xml:space="preserve"> has not</w:t>
      </w:r>
      <w:r w:rsidR="00CF5A86">
        <w:t xml:space="preserve"> been</w:t>
      </w:r>
      <w:r w:rsidR="004E61EF">
        <w:t xml:space="preserve"> satisfactorily shown that the outage was unplanned. Further information would need to be required to show that the outage was planned (i.e. detailed NOS records or confirmation from AEMO that market notice 36444 was in error). </w:t>
      </w:r>
    </w:p>
    <w:p w:rsidR="006A560C" w:rsidRDefault="003E612F" w:rsidP="007D05CD">
      <w:pPr>
        <w:pStyle w:val="AERbulletlistfirststyle"/>
        <w:numPr>
          <w:ilvl w:val="0"/>
          <w:numId w:val="0"/>
        </w:numPr>
      </w:pPr>
      <w:r>
        <w:fldChar w:fldCharType="begin"/>
      </w:r>
      <w:r>
        <w:instrText xml:space="preserve"> REF _Ref460313655 \h </w:instrText>
      </w:r>
      <w:r>
        <w:fldChar w:fldCharType="separate"/>
      </w:r>
      <w:r w:rsidR="001C0547">
        <w:t xml:space="preserve">Table </w:t>
      </w:r>
      <w:r w:rsidR="001C0547">
        <w:rPr>
          <w:noProof/>
        </w:rPr>
        <w:t>11</w:t>
      </w:r>
      <w:r w:rsidR="001C0547">
        <w:noBreakHyphen/>
      </w:r>
      <w:r w:rsidR="001C0547">
        <w:rPr>
          <w:noProof/>
        </w:rPr>
        <w:t>6</w:t>
      </w:r>
      <w:r>
        <w:fldChar w:fldCharType="end"/>
      </w:r>
      <w:r>
        <w:t xml:space="preserve"> </w:t>
      </w:r>
      <w:r w:rsidR="006A560C">
        <w:t xml:space="preserve">below sets out Powerlink's performance history with these adjustments factored in. </w:t>
      </w:r>
    </w:p>
    <w:p w:rsidR="000A08DB" w:rsidRDefault="003E612F" w:rsidP="003E612F">
      <w:pPr>
        <w:pStyle w:val="Caption"/>
      </w:pPr>
      <w:bookmarkStart w:id="99" w:name="_Ref460313655"/>
      <w:r>
        <w:t xml:space="preserve">Table </w:t>
      </w:r>
      <w:r w:rsidR="00E6549B">
        <w:fldChar w:fldCharType="begin"/>
      </w:r>
      <w:r w:rsidR="00E6549B">
        <w:instrText xml:space="preserve"> STYLEREF 1 \s </w:instrText>
      </w:r>
      <w:r w:rsidR="00E6549B">
        <w:fldChar w:fldCharType="separate"/>
      </w:r>
      <w:r w:rsidR="001C0547">
        <w:rPr>
          <w:noProof/>
        </w:rPr>
        <w:t>11</w:t>
      </w:r>
      <w:r w:rsidR="00E6549B">
        <w:rPr>
          <w:noProof/>
        </w:rPr>
        <w:fldChar w:fldCharType="end"/>
      </w:r>
      <w:r>
        <w:noBreakHyphen/>
      </w:r>
      <w:r w:rsidR="00E6549B">
        <w:fldChar w:fldCharType="begin"/>
      </w:r>
      <w:r w:rsidR="00E6549B">
        <w:instrText xml:space="preserve"> SEQ Table \* ARABIC \s 1 </w:instrText>
      </w:r>
      <w:r w:rsidR="00E6549B">
        <w:fldChar w:fldCharType="separate"/>
      </w:r>
      <w:r w:rsidR="001C0547">
        <w:rPr>
          <w:noProof/>
        </w:rPr>
        <w:t>6</w:t>
      </w:r>
      <w:r w:rsidR="00E6549B">
        <w:rPr>
          <w:noProof/>
        </w:rPr>
        <w:fldChar w:fldCharType="end"/>
      </w:r>
      <w:bookmarkEnd w:id="99"/>
      <w:r>
        <w:tab/>
      </w:r>
      <w:r w:rsidR="000A08DB">
        <w:t>Powerlink performance history with AER adjustments</w:t>
      </w:r>
    </w:p>
    <w:tbl>
      <w:tblPr>
        <w:tblStyle w:val="AERtable-numbers"/>
        <w:tblW w:w="0" w:type="auto"/>
        <w:tblLook w:val="04A0" w:firstRow="1" w:lastRow="0" w:firstColumn="1" w:lastColumn="0" w:noHBand="0" w:noVBand="1"/>
      </w:tblPr>
      <w:tblGrid>
        <w:gridCol w:w="1086"/>
        <w:gridCol w:w="1086"/>
        <w:gridCol w:w="1086"/>
        <w:gridCol w:w="1087"/>
        <w:gridCol w:w="1087"/>
        <w:gridCol w:w="1087"/>
        <w:gridCol w:w="1087"/>
        <w:gridCol w:w="1087"/>
      </w:tblGrid>
      <w:tr w:rsidR="006A560C" w:rsidTr="007A2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6A560C" w:rsidRDefault="006A560C" w:rsidP="00825AE1">
            <w:pPr>
              <w:pStyle w:val="AERbulletlistfirststyle"/>
              <w:numPr>
                <w:ilvl w:val="0"/>
                <w:numId w:val="0"/>
              </w:numPr>
            </w:pPr>
          </w:p>
        </w:tc>
        <w:tc>
          <w:tcPr>
            <w:tcW w:w="1086" w:type="dxa"/>
          </w:tcPr>
          <w:p w:rsidR="006A560C" w:rsidRDefault="006A560C"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2009</w:t>
            </w:r>
          </w:p>
        </w:tc>
        <w:tc>
          <w:tcPr>
            <w:tcW w:w="1086" w:type="dxa"/>
          </w:tcPr>
          <w:p w:rsidR="006A560C" w:rsidRDefault="006A560C"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2010</w:t>
            </w:r>
          </w:p>
        </w:tc>
        <w:tc>
          <w:tcPr>
            <w:tcW w:w="1087" w:type="dxa"/>
          </w:tcPr>
          <w:p w:rsidR="006A560C" w:rsidRDefault="006A560C"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2011</w:t>
            </w:r>
          </w:p>
        </w:tc>
        <w:tc>
          <w:tcPr>
            <w:tcW w:w="1087" w:type="dxa"/>
          </w:tcPr>
          <w:p w:rsidR="006A560C" w:rsidRDefault="006A560C"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2012</w:t>
            </w:r>
          </w:p>
        </w:tc>
        <w:tc>
          <w:tcPr>
            <w:tcW w:w="1087" w:type="dxa"/>
          </w:tcPr>
          <w:p w:rsidR="006A560C" w:rsidRDefault="006A560C"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2013</w:t>
            </w:r>
          </w:p>
        </w:tc>
        <w:tc>
          <w:tcPr>
            <w:tcW w:w="1087" w:type="dxa"/>
          </w:tcPr>
          <w:p w:rsidR="006A560C" w:rsidRDefault="006A560C"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2014</w:t>
            </w:r>
          </w:p>
        </w:tc>
        <w:tc>
          <w:tcPr>
            <w:tcW w:w="1087" w:type="dxa"/>
          </w:tcPr>
          <w:p w:rsidR="006A560C" w:rsidRDefault="006A560C" w:rsidP="00825AE1">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pPr>
            <w:r>
              <w:t>2015</w:t>
            </w:r>
          </w:p>
        </w:tc>
      </w:tr>
      <w:tr w:rsidR="006A560C" w:rsidTr="007A2FBE">
        <w:tc>
          <w:tcPr>
            <w:cnfStyle w:val="001000000000" w:firstRow="0" w:lastRow="0" w:firstColumn="1" w:lastColumn="0" w:oddVBand="0" w:evenVBand="0" w:oddHBand="0" w:evenHBand="0" w:firstRowFirstColumn="0" w:firstRowLastColumn="0" w:lastRowFirstColumn="0" w:lastRowLastColumn="0"/>
            <w:tcW w:w="1086" w:type="dxa"/>
          </w:tcPr>
          <w:p w:rsidR="006A560C" w:rsidRDefault="006A560C" w:rsidP="00825AE1">
            <w:pPr>
              <w:pStyle w:val="AERbulletlistfirststyle"/>
              <w:numPr>
                <w:ilvl w:val="0"/>
                <w:numId w:val="0"/>
              </w:numPr>
            </w:pPr>
            <w:r>
              <w:t xml:space="preserve">Planned outages </w:t>
            </w:r>
          </w:p>
        </w:tc>
        <w:tc>
          <w:tcPr>
            <w:tcW w:w="1086"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70</w:t>
            </w:r>
          </w:p>
        </w:tc>
        <w:tc>
          <w:tcPr>
            <w:tcW w:w="1086"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1320</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37</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6</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81</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3936</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26</w:t>
            </w:r>
          </w:p>
        </w:tc>
      </w:tr>
      <w:tr w:rsidR="006A560C" w:rsidTr="007A2F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6A560C" w:rsidRDefault="006A560C" w:rsidP="00825AE1">
            <w:pPr>
              <w:pStyle w:val="AERbulletlistfirststyle"/>
              <w:numPr>
                <w:ilvl w:val="0"/>
                <w:numId w:val="0"/>
              </w:numPr>
            </w:pPr>
            <w:r>
              <w:t>Unplanned outages</w:t>
            </w:r>
          </w:p>
        </w:tc>
        <w:tc>
          <w:tcPr>
            <w:tcW w:w="1086" w:type="dxa"/>
          </w:tcPr>
          <w:p w:rsidR="006A560C" w:rsidRDefault="006A560C" w:rsidP="00825AE1">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t>73</w:t>
            </w:r>
          </w:p>
        </w:tc>
        <w:tc>
          <w:tcPr>
            <w:tcW w:w="1086" w:type="dxa"/>
          </w:tcPr>
          <w:p w:rsidR="006A560C" w:rsidRDefault="006A560C" w:rsidP="00825AE1">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t>84</w:t>
            </w:r>
          </w:p>
        </w:tc>
        <w:tc>
          <w:tcPr>
            <w:tcW w:w="1087" w:type="dxa"/>
          </w:tcPr>
          <w:p w:rsidR="006A560C" w:rsidRDefault="006A560C" w:rsidP="00825AE1">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t>0</w:t>
            </w:r>
          </w:p>
        </w:tc>
        <w:tc>
          <w:tcPr>
            <w:tcW w:w="1087" w:type="dxa"/>
          </w:tcPr>
          <w:p w:rsidR="006A560C" w:rsidRDefault="006A560C" w:rsidP="00825AE1">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t>0</w:t>
            </w:r>
          </w:p>
        </w:tc>
        <w:tc>
          <w:tcPr>
            <w:tcW w:w="1087" w:type="dxa"/>
          </w:tcPr>
          <w:p w:rsidR="006A560C" w:rsidRDefault="006A560C" w:rsidP="00825AE1">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t>16</w:t>
            </w:r>
          </w:p>
        </w:tc>
        <w:tc>
          <w:tcPr>
            <w:tcW w:w="1087" w:type="dxa"/>
          </w:tcPr>
          <w:p w:rsidR="006A560C" w:rsidRDefault="006A560C" w:rsidP="00825AE1">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t>5</w:t>
            </w:r>
          </w:p>
        </w:tc>
        <w:tc>
          <w:tcPr>
            <w:tcW w:w="1087" w:type="dxa"/>
          </w:tcPr>
          <w:p w:rsidR="006A560C" w:rsidRDefault="006A560C" w:rsidP="00825AE1">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t>1</w:t>
            </w:r>
          </w:p>
        </w:tc>
      </w:tr>
      <w:tr w:rsidR="006A560C" w:rsidTr="007A2FBE">
        <w:tc>
          <w:tcPr>
            <w:cnfStyle w:val="001000000000" w:firstRow="0" w:lastRow="0" w:firstColumn="1" w:lastColumn="0" w:oddVBand="0" w:evenVBand="0" w:oddHBand="0" w:evenHBand="0" w:firstRowFirstColumn="0" w:firstRowLastColumn="0" w:lastRowFirstColumn="0" w:lastRowLastColumn="0"/>
            <w:tcW w:w="1086" w:type="dxa"/>
          </w:tcPr>
          <w:p w:rsidR="006A560C" w:rsidRDefault="006A560C">
            <w:pPr>
              <w:pStyle w:val="AERbulletlistfirststyle"/>
              <w:numPr>
                <w:ilvl w:val="0"/>
                <w:numId w:val="0"/>
              </w:numPr>
            </w:pPr>
            <w:r>
              <w:t>Total DI count</w:t>
            </w:r>
          </w:p>
        </w:tc>
        <w:tc>
          <w:tcPr>
            <w:tcW w:w="1086"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143</w:t>
            </w:r>
          </w:p>
        </w:tc>
        <w:tc>
          <w:tcPr>
            <w:tcW w:w="1086"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1404</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37</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6</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97</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3941</w:t>
            </w:r>
          </w:p>
        </w:tc>
        <w:tc>
          <w:tcPr>
            <w:tcW w:w="1087" w:type="dxa"/>
          </w:tcPr>
          <w:p w:rsidR="006A560C" w:rsidRDefault="006A560C" w:rsidP="00825AE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27</w:t>
            </w:r>
          </w:p>
        </w:tc>
      </w:tr>
    </w:tbl>
    <w:p w:rsidR="006A560C" w:rsidRDefault="006A560C" w:rsidP="007D05CD">
      <w:pPr>
        <w:pStyle w:val="AERbulletlistfirststyle"/>
        <w:numPr>
          <w:ilvl w:val="0"/>
          <w:numId w:val="0"/>
        </w:numPr>
      </w:pPr>
    </w:p>
    <w:p w:rsidR="006A560C" w:rsidRDefault="006A560C" w:rsidP="007D05CD">
      <w:pPr>
        <w:pStyle w:val="AERbulletlistfirststyle"/>
        <w:numPr>
          <w:ilvl w:val="0"/>
          <w:numId w:val="0"/>
        </w:numPr>
      </w:pPr>
      <w:r>
        <w:t xml:space="preserve">Using the performance history numbers in the table above and applying the methodology set out in clause </w:t>
      </w:r>
      <w:r w:rsidR="009E5AD7">
        <w:t xml:space="preserve">4.2(f) of the STPIS: </w:t>
      </w:r>
    </w:p>
    <w:p w:rsidR="009E5AD7" w:rsidRDefault="00AC11EA">
      <w:pPr>
        <w:pStyle w:val="AERbulletlistfirststyle"/>
      </w:pPr>
      <w:r>
        <w:lastRenderedPageBreak/>
        <w:t>I</w:t>
      </w:r>
      <w:r w:rsidR="009E5AD7">
        <w:t xml:space="preserve">n accordance with sub-clause 4.2(f)(1), the performance history of 2012 and 2014 is excluded and </w:t>
      </w:r>
      <w:r w:rsidR="000A08DB">
        <w:t>the</w:t>
      </w:r>
      <w:r w:rsidR="00825AE1">
        <w:t xml:space="preserve"> average of the</w:t>
      </w:r>
      <w:r w:rsidR="000A08DB">
        <w:t xml:space="preserve"> </w:t>
      </w:r>
      <w:r w:rsidR="009E5AD7">
        <w:t>remaining performance history years is used to calculate the raw performance target. This gives a raw performance target of 342 dispatch intervals</w:t>
      </w:r>
      <w:r>
        <w:t>.</w:t>
      </w:r>
    </w:p>
    <w:p w:rsidR="00757335" w:rsidRDefault="00AC11EA" w:rsidP="00757335">
      <w:pPr>
        <w:pStyle w:val="AERbulletlistfirststyle"/>
      </w:pPr>
      <w:r>
        <w:t>I</w:t>
      </w:r>
      <w:r w:rsidR="009E5AD7">
        <w:t>n accordance with sub-clause 4.2(f)(2), 17 per cent of the raw performance target is 58 dispatch intervals</w:t>
      </w:r>
      <w:r>
        <w:t>.</w:t>
      </w:r>
      <w:r w:rsidR="009E5AD7">
        <w:t xml:space="preserve"> </w:t>
      </w:r>
    </w:p>
    <w:p w:rsidR="000A08DB" w:rsidRDefault="00AC11EA">
      <w:pPr>
        <w:pStyle w:val="AERbulletlistfirststyle"/>
      </w:pPr>
      <w:r>
        <w:t>I</w:t>
      </w:r>
      <w:r w:rsidR="009E5AD7">
        <w:t>n accordance with sub-clause 4.2(f)(3), the performance history of Powerlink adjusted to limit the contribution of counts caused by unplann</w:t>
      </w:r>
      <w:r w:rsidR="00AC2D2B">
        <w:t xml:space="preserve">ed outages to no more than 17 per cent of the raw performance target. </w:t>
      </w:r>
      <w:r w:rsidR="003E612F">
        <w:fldChar w:fldCharType="begin"/>
      </w:r>
      <w:r w:rsidR="003E612F">
        <w:instrText xml:space="preserve"> REF _Ref460313680 \h </w:instrText>
      </w:r>
      <w:r w:rsidR="003E612F">
        <w:fldChar w:fldCharType="separate"/>
      </w:r>
      <w:r w:rsidR="001C0547">
        <w:t xml:space="preserve">Table </w:t>
      </w:r>
      <w:r w:rsidR="001C0547">
        <w:rPr>
          <w:noProof/>
        </w:rPr>
        <w:t>11</w:t>
      </w:r>
      <w:r w:rsidR="001C0547">
        <w:noBreakHyphen/>
      </w:r>
      <w:r w:rsidR="001C0547">
        <w:rPr>
          <w:noProof/>
        </w:rPr>
        <w:t>7</w:t>
      </w:r>
      <w:r w:rsidR="003E612F">
        <w:fldChar w:fldCharType="end"/>
      </w:r>
      <w:r w:rsidR="003E612F">
        <w:t xml:space="preserve"> </w:t>
      </w:r>
      <w:r w:rsidR="00AC2D2B">
        <w:t xml:space="preserve"> below sets out the performance history counts adjusted for the cap on unplanned outages</w:t>
      </w:r>
      <w:r w:rsidR="000A08DB">
        <w:t xml:space="preserve"> (capped performance history)</w:t>
      </w:r>
      <w:r>
        <w:t>.</w:t>
      </w:r>
    </w:p>
    <w:p w:rsidR="0032798B" w:rsidRDefault="003E612F" w:rsidP="003E612F">
      <w:pPr>
        <w:pStyle w:val="Caption"/>
      </w:pPr>
      <w:bookmarkStart w:id="100" w:name="_Ref460313680"/>
      <w:r>
        <w:t xml:space="preserve">Table </w:t>
      </w:r>
      <w:r w:rsidR="00E6549B">
        <w:fldChar w:fldCharType="begin"/>
      </w:r>
      <w:r w:rsidR="00E6549B">
        <w:instrText xml:space="preserve"> STYLEREF 1 \s </w:instrText>
      </w:r>
      <w:r w:rsidR="00E6549B">
        <w:fldChar w:fldCharType="separate"/>
      </w:r>
      <w:r w:rsidR="001C0547">
        <w:rPr>
          <w:noProof/>
        </w:rPr>
        <w:t>11</w:t>
      </w:r>
      <w:r w:rsidR="00E6549B">
        <w:rPr>
          <w:noProof/>
        </w:rPr>
        <w:fldChar w:fldCharType="end"/>
      </w:r>
      <w:r>
        <w:noBreakHyphen/>
      </w:r>
      <w:r w:rsidR="00E6549B">
        <w:fldChar w:fldCharType="begin"/>
      </w:r>
      <w:r w:rsidR="00E6549B">
        <w:instrText xml:space="preserve"> SEQ Table \* ARABIC \s 1 </w:instrText>
      </w:r>
      <w:r w:rsidR="00E6549B">
        <w:fldChar w:fldCharType="separate"/>
      </w:r>
      <w:r w:rsidR="001C0547">
        <w:rPr>
          <w:noProof/>
        </w:rPr>
        <w:t>7</w:t>
      </w:r>
      <w:r w:rsidR="00E6549B">
        <w:rPr>
          <w:noProof/>
        </w:rPr>
        <w:fldChar w:fldCharType="end"/>
      </w:r>
      <w:bookmarkEnd w:id="100"/>
      <w:r>
        <w:tab/>
      </w:r>
      <w:r w:rsidR="000A08DB" w:rsidRPr="000A08DB">
        <w:t xml:space="preserve">Powerlink performance history </w:t>
      </w:r>
      <w:r w:rsidR="000A08DB">
        <w:t xml:space="preserve">with 17 per cent cap on unplanned outages </w:t>
      </w:r>
    </w:p>
    <w:tbl>
      <w:tblPr>
        <w:tblStyle w:val="AERtable-numbers"/>
        <w:tblW w:w="0" w:type="auto"/>
        <w:tblLook w:val="04A0" w:firstRow="1" w:lastRow="0" w:firstColumn="1" w:lastColumn="0" w:noHBand="0" w:noVBand="1"/>
      </w:tblPr>
      <w:tblGrid>
        <w:gridCol w:w="1086"/>
        <w:gridCol w:w="1086"/>
        <w:gridCol w:w="1086"/>
        <w:gridCol w:w="1087"/>
        <w:gridCol w:w="1087"/>
        <w:gridCol w:w="1087"/>
        <w:gridCol w:w="1087"/>
        <w:gridCol w:w="1087"/>
      </w:tblGrid>
      <w:tr w:rsidR="000A08DB" w:rsidTr="007A2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A08DB" w:rsidRDefault="000A08DB" w:rsidP="007D05CD"/>
        </w:tc>
        <w:tc>
          <w:tcPr>
            <w:tcW w:w="1086" w:type="dxa"/>
          </w:tcPr>
          <w:p w:rsidR="000A08DB" w:rsidRPr="000A08DB" w:rsidRDefault="000A08DB" w:rsidP="007D05CD">
            <w:pPr>
              <w:cnfStyle w:val="100000000000" w:firstRow="1" w:lastRow="0" w:firstColumn="0" w:lastColumn="0" w:oddVBand="0" w:evenVBand="0" w:oddHBand="0" w:evenHBand="0" w:firstRowFirstColumn="0" w:firstRowLastColumn="0" w:lastRowFirstColumn="0" w:lastRowLastColumn="0"/>
            </w:pPr>
            <w:r>
              <w:t>2009</w:t>
            </w:r>
          </w:p>
        </w:tc>
        <w:tc>
          <w:tcPr>
            <w:tcW w:w="1086" w:type="dxa"/>
          </w:tcPr>
          <w:p w:rsidR="000A08DB" w:rsidRPr="000A08DB" w:rsidRDefault="000A08DB" w:rsidP="007D05CD">
            <w:pPr>
              <w:cnfStyle w:val="100000000000" w:firstRow="1" w:lastRow="0" w:firstColumn="0" w:lastColumn="0" w:oddVBand="0" w:evenVBand="0" w:oddHBand="0" w:evenHBand="0" w:firstRowFirstColumn="0" w:firstRowLastColumn="0" w:lastRowFirstColumn="0" w:lastRowLastColumn="0"/>
            </w:pPr>
            <w:r>
              <w:t>2010</w:t>
            </w:r>
          </w:p>
        </w:tc>
        <w:tc>
          <w:tcPr>
            <w:tcW w:w="1087" w:type="dxa"/>
          </w:tcPr>
          <w:p w:rsidR="000A08DB" w:rsidRPr="000A08DB" w:rsidRDefault="000A08DB" w:rsidP="007D05CD">
            <w:pPr>
              <w:cnfStyle w:val="100000000000" w:firstRow="1" w:lastRow="0" w:firstColumn="0" w:lastColumn="0" w:oddVBand="0" w:evenVBand="0" w:oddHBand="0" w:evenHBand="0" w:firstRowFirstColumn="0" w:firstRowLastColumn="0" w:lastRowFirstColumn="0" w:lastRowLastColumn="0"/>
            </w:pPr>
            <w:r>
              <w:t>2011</w:t>
            </w:r>
          </w:p>
        </w:tc>
        <w:tc>
          <w:tcPr>
            <w:tcW w:w="1087" w:type="dxa"/>
          </w:tcPr>
          <w:p w:rsidR="000A08DB" w:rsidRPr="000A08DB" w:rsidRDefault="000A08DB" w:rsidP="007D05CD">
            <w:pPr>
              <w:cnfStyle w:val="100000000000" w:firstRow="1" w:lastRow="0" w:firstColumn="0" w:lastColumn="0" w:oddVBand="0" w:evenVBand="0" w:oddHBand="0" w:evenHBand="0" w:firstRowFirstColumn="0" w:firstRowLastColumn="0" w:lastRowFirstColumn="0" w:lastRowLastColumn="0"/>
            </w:pPr>
            <w:r>
              <w:t>2012</w:t>
            </w:r>
          </w:p>
        </w:tc>
        <w:tc>
          <w:tcPr>
            <w:tcW w:w="1087" w:type="dxa"/>
          </w:tcPr>
          <w:p w:rsidR="000A08DB" w:rsidRPr="000A08DB" w:rsidRDefault="000A08DB" w:rsidP="007D05CD">
            <w:pPr>
              <w:cnfStyle w:val="100000000000" w:firstRow="1" w:lastRow="0" w:firstColumn="0" w:lastColumn="0" w:oddVBand="0" w:evenVBand="0" w:oddHBand="0" w:evenHBand="0" w:firstRowFirstColumn="0" w:firstRowLastColumn="0" w:lastRowFirstColumn="0" w:lastRowLastColumn="0"/>
            </w:pPr>
            <w:r>
              <w:t>2013</w:t>
            </w:r>
          </w:p>
        </w:tc>
        <w:tc>
          <w:tcPr>
            <w:tcW w:w="1087" w:type="dxa"/>
          </w:tcPr>
          <w:p w:rsidR="000A08DB" w:rsidRPr="000A08DB" w:rsidRDefault="000A08DB" w:rsidP="007D05CD">
            <w:pPr>
              <w:cnfStyle w:val="100000000000" w:firstRow="1" w:lastRow="0" w:firstColumn="0" w:lastColumn="0" w:oddVBand="0" w:evenVBand="0" w:oddHBand="0" w:evenHBand="0" w:firstRowFirstColumn="0" w:firstRowLastColumn="0" w:lastRowFirstColumn="0" w:lastRowLastColumn="0"/>
            </w:pPr>
            <w:r>
              <w:t>2014</w:t>
            </w:r>
          </w:p>
        </w:tc>
        <w:tc>
          <w:tcPr>
            <w:tcW w:w="1087" w:type="dxa"/>
          </w:tcPr>
          <w:p w:rsidR="000A08DB" w:rsidRPr="000A08DB" w:rsidRDefault="000A08DB" w:rsidP="007D05CD">
            <w:pPr>
              <w:cnfStyle w:val="100000000000" w:firstRow="1" w:lastRow="0" w:firstColumn="0" w:lastColumn="0" w:oddVBand="0" w:evenVBand="0" w:oddHBand="0" w:evenHBand="0" w:firstRowFirstColumn="0" w:firstRowLastColumn="0" w:lastRowFirstColumn="0" w:lastRowLastColumn="0"/>
            </w:pPr>
            <w:r>
              <w:t>2015</w:t>
            </w:r>
          </w:p>
        </w:tc>
      </w:tr>
      <w:tr w:rsidR="000A08DB" w:rsidTr="007A2FBE">
        <w:tc>
          <w:tcPr>
            <w:cnfStyle w:val="001000000000" w:firstRow="0" w:lastRow="0" w:firstColumn="1" w:lastColumn="0" w:oddVBand="0" w:evenVBand="0" w:oddHBand="0" w:evenHBand="0" w:firstRowFirstColumn="0" w:firstRowLastColumn="0" w:lastRowFirstColumn="0" w:lastRowLastColumn="0"/>
            <w:tcW w:w="1086" w:type="dxa"/>
          </w:tcPr>
          <w:p w:rsidR="000A08DB" w:rsidRPr="000A08DB" w:rsidRDefault="000A08DB" w:rsidP="007D05CD">
            <w:r>
              <w:t xml:space="preserve">Planned outages </w:t>
            </w:r>
          </w:p>
        </w:tc>
        <w:tc>
          <w:tcPr>
            <w:tcW w:w="1086"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70</w:t>
            </w:r>
          </w:p>
        </w:tc>
        <w:tc>
          <w:tcPr>
            <w:tcW w:w="1086"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1320</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37</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6</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81</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3936</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26</w:t>
            </w:r>
          </w:p>
        </w:tc>
      </w:tr>
      <w:tr w:rsidR="000A08DB" w:rsidTr="007A2F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tcPr>
          <w:p w:rsidR="000A08DB" w:rsidRPr="000A08DB" w:rsidRDefault="000A08DB" w:rsidP="007D05CD">
            <w:r>
              <w:t>Unplanned outages</w:t>
            </w:r>
          </w:p>
        </w:tc>
        <w:tc>
          <w:tcPr>
            <w:tcW w:w="1086" w:type="dxa"/>
          </w:tcPr>
          <w:p w:rsidR="000A08DB" w:rsidRPr="000A08DB" w:rsidRDefault="000A08DB" w:rsidP="007D05CD">
            <w:pPr>
              <w:cnfStyle w:val="000000010000" w:firstRow="0" w:lastRow="0" w:firstColumn="0" w:lastColumn="0" w:oddVBand="0" w:evenVBand="0" w:oddHBand="0" w:evenHBand="1" w:firstRowFirstColumn="0" w:firstRowLastColumn="0" w:lastRowFirstColumn="0" w:lastRowLastColumn="0"/>
            </w:pPr>
            <w:r>
              <w:t>58</w:t>
            </w:r>
          </w:p>
        </w:tc>
        <w:tc>
          <w:tcPr>
            <w:tcW w:w="1086" w:type="dxa"/>
          </w:tcPr>
          <w:p w:rsidR="000A08DB" w:rsidRPr="000A08DB" w:rsidRDefault="000A08DB" w:rsidP="007D05CD">
            <w:pPr>
              <w:cnfStyle w:val="000000010000" w:firstRow="0" w:lastRow="0" w:firstColumn="0" w:lastColumn="0" w:oddVBand="0" w:evenVBand="0" w:oddHBand="0" w:evenHBand="1" w:firstRowFirstColumn="0" w:firstRowLastColumn="0" w:lastRowFirstColumn="0" w:lastRowLastColumn="0"/>
            </w:pPr>
            <w:r>
              <w:t>58</w:t>
            </w:r>
          </w:p>
        </w:tc>
        <w:tc>
          <w:tcPr>
            <w:tcW w:w="1087" w:type="dxa"/>
          </w:tcPr>
          <w:p w:rsidR="000A08DB" w:rsidRPr="000A08DB" w:rsidRDefault="000A08DB" w:rsidP="007D05CD">
            <w:pPr>
              <w:cnfStyle w:val="000000010000" w:firstRow="0" w:lastRow="0" w:firstColumn="0" w:lastColumn="0" w:oddVBand="0" w:evenVBand="0" w:oddHBand="0" w:evenHBand="1" w:firstRowFirstColumn="0" w:firstRowLastColumn="0" w:lastRowFirstColumn="0" w:lastRowLastColumn="0"/>
            </w:pPr>
            <w:r>
              <w:t>0</w:t>
            </w:r>
          </w:p>
        </w:tc>
        <w:tc>
          <w:tcPr>
            <w:tcW w:w="1087" w:type="dxa"/>
          </w:tcPr>
          <w:p w:rsidR="000A08DB" w:rsidRPr="000A08DB" w:rsidRDefault="000A08DB" w:rsidP="007D05CD">
            <w:pPr>
              <w:cnfStyle w:val="000000010000" w:firstRow="0" w:lastRow="0" w:firstColumn="0" w:lastColumn="0" w:oddVBand="0" w:evenVBand="0" w:oddHBand="0" w:evenHBand="1" w:firstRowFirstColumn="0" w:firstRowLastColumn="0" w:lastRowFirstColumn="0" w:lastRowLastColumn="0"/>
            </w:pPr>
            <w:r>
              <w:t>0</w:t>
            </w:r>
          </w:p>
        </w:tc>
        <w:tc>
          <w:tcPr>
            <w:tcW w:w="1087" w:type="dxa"/>
          </w:tcPr>
          <w:p w:rsidR="000A08DB" w:rsidRPr="000A08DB" w:rsidRDefault="000A08DB" w:rsidP="007D05CD">
            <w:pPr>
              <w:cnfStyle w:val="000000010000" w:firstRow="0" w:lastRow="0" w:firstColumn="0" w:lastColumn="0" w:oddVBand="0" w:evenVBand="0" w:oddHBand="0" w:evenHBand="1" w:firstRowFirstColumn="0" w:firstRowLastColumn="0" w:lastRowFirstColumn="0" w:lastRowLastColumn="0"/>
            </w:pPr>
            <w:r>
              <w:t>16</w:t>
            </w:r>
          </w:p>
        </w:tc>
        <w:tc>
          <w:tcPr>
            <w:tcW w:w="1087" w:type="dxa"/>
          </w:tcPr>
          <w:p w:rsidR="000A08DB" w:rsidRPr="000A08DB" w:rsidRDefault="000A08DB" w:rsidP="007D05CD">
            <w:pPr>
              <w:cnfStyle w:val="000000010000" w:firstRow="0" w:lastRow="0" w:firstColumn="0" w:lastColumn="0" w:oddVBand="0" w:evenVBand="0" w:oddHBand="0" w:evenHBand="1" w:firstRowFirstColumn="0" w:firstRowLastColumn="0" w:lastRowFirstColumn="0" w:lastRowLastColumn="0"/>
            </w:pPr>
            <w:r>
              <w:t>5</w:t>
            </w:r>
          </w:p>
        </w:tc>
        <w:tc>
          <w:tcPr>
            <w:tcW w:w="1087" w:type="dxa"/>
          </w:tcPr>
          <w:p w:rsidR="000A08DB" w:rsidRPr="000A08DB" w:rsidRDefault="000A08DB" w:rsidP="007D05CD">
            <w:pPr>
              <w:cnfStyle w:val="000000010000" w:firstRow="0" w:lastRow="0" w:firstColumn="0" w:lastColumn="0" w:oddVBand="0" w:evenVBand="0" w:oddHBand="0" w:evenHBand="1" w:firstRowFirstColumn="0" w:firstRowLastColumn="0" w:lastRowFirstColumn="0" w:lastRowLastColumn="0"/>
            </w:pPr>
            <w:r>
              <w:t>1</w:t>
            </w:r>
          </w:p>
        </w:tc>
      </w:tr>
      <w:tr w:rsidR="000A08DB" w:rsidTr="007A2FBE">
        <w:tc>
          <w:tcPr>
            <w:cnfStyle w:val="001000000000" w:firstRow="0" w:lastRow="0" w:firstColumn="1" w:lastColumn="0" w:oddVBand="0" w:evenVBand="0" w:oddHBand="0" w:evenHBand="0" w:firstRowFirstColumn="0" w:firstRowLastColumn="0" w:lastRowFirstColumn="0" w:lastRowLastColumn="0"/>
            <w:tcW w:w="1086" w:type="dxa"/>
          </w:tcPr>
          <w:p w:rsidR="000A08DB" w:rsidRPr="000A08DB" w:rsidRDefault="000A08DB" w:rsidP="007D05CD">
            <w:r>
              <w:t>Total</w:t>
            </w:r>
            <w:r w:rsidRPr="000A08DB">
              <w:t xml:space="preserve"> DI count</w:t>
            </w:r>
          </w:p>
        </w:tc>
        <w:tc>
          <w:tcPr>
            <w:tcW w:w="1086"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1</w:t>
            </w:r>
            <w:r w:rsidRPr="000A08DB">
              <w:t>43</w:t>
            </w:r>
          </w:p>
        </w:tc>
        <w:tc>
          <w:tcPr>
            <w:tcW w:w="1086"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1378</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37</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6</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97</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3941</w:t>
            </w:r>
          </w:p>
        </w:tc>
        <w:tc>
          <w:tcPr>
            <w:tcW w:w="1087" w:type="dxa"/>
          </w:tcPr>
          <w:p w:rsidR="000A08DB" w:rsidRPr="000A08DB" w:rsidRDefault="000A08DB" w:rsidP="007D05CD">
            <w:pPr>
              <w:cnfStyle w:val="000000000000" w:firstRow="0" w:lastRow="0" w:firstColumn="0" w:lastColumn="0" w:oddVBand="0" w:evenVBand="0" w:oddHBand="0" w:evenHBand="0" w:firstRowFirstColumn="0" w:firstRowLastColumn="0" w:lastRowFirstColumn="0" w:lastRowLastColumn="0"/>
            </w:pPr>
            <w:r>
              <w:t>27</w:t>
            </w:r>
          </w:p>
        </w:tc>
      </w:tr>
    </w:tbl>
    <w:p w:rsidR="000A08DB" w:rsidRDefault="00AC11EA" w:rsidP="008717CF">
      <w:pPr>
        <w:pStyle w:val="AERbulletlistfirststyle"/>
      </w:pPr>
      <w:r>
        <w:t>I</w:t>
      </w:r>
      <w:r w:rsidR="000A08DB">
        <w:t xml:space="preserve">n accordance with sub-clause 4.2(f)(4), the capped performance history is used to calculate the performance target. The capped performance history of 2012 and 2014 is excluded and the </w:t>
      </w:r>
      <w:r w:rsidR="00825AE1">
        <w:t xml:space="preserve">average of the </w:t>
      </w:r>
      <w:r w:rsidR="000A08DB">
        <w:t xml:space="preserve">remaining </w:t>
      </w:r>
      <w:r w:rsidR="00825AE1">
        <w:t xml:space="preserve">performance history years is used to calculate the performance target. This gives a performance target of 333 dispatch intervals.   </w:t>
      </w:r>
      <w:r w:rsidR="000A08DB">
        <w:t xml:space="preserve">  </w:t>
      </w:r>
    </w:p>
    <w:p w:rsidR="00AB75A6" w:rsidRDefault="00AB75A6" w:rsidP="00AB75A6">
      <w:pPr>
        <w:pStyle w:val="Tabletitle"/>
      </w:pPr>
      <w:r>
        <w:t xml:space="preserve">Unplanned outage event limit </w:t>
      </w:r>
    </w:p>
    <w:p w:rsidR="009A142A" w:rsidRDefault="00AB75A6" w:rsidP="007D05CD">
      <w:pPr>
        <w:rPr>
          <w:rStyle w:val="AERbody"/>
          <w:rFonts w:eastAsia="Calibri" w:cs="Times New Roman"/>
          <w:b/>
          <w:lang w:eastAsia="en-AU"/>
        </w:rPr>
      </w:pPr>
      <w:r>
        <w:rPr>
          <w:rStyle w:val="AERbody"/>
        </w:rPr>
        <w:t xml:space="preserve">We do not </w:t>
      </w:r>
      <w:r w:rsidR="00AC2399">
        <w:rPr>
          <w:rStyle w:val="AERbody"/>
        </w:rPr>
        <w:t>accept</w:t>
      </w:r>
      <w:r>
        <w:rPr>
          <w:rStyle w:val="AERbody"/>
        </w:rPr>
        <w:t xml:space="preserve"> Powerlink's proposed unplanned outage event </w:t>
      </w:r>
      <w:r w:rsidR="009A142A">
        <w:rPr>
          <w:rStyle w:val="AERbody"/>
        </w:rPr>
        <w:t xml:space="preserve">limit for the market impact parameter. Instead, our draft decision is to substitute the proposed value of 61 dispatch intervals with 57 dispatch intervals. </w:t>
      </w:r>
    </w:p>
    <w:p w:rsidR="00AB75A6" w:rsidRDefault="009A142A" w:rsidP="007D05CD">
      <w:pPr>
        <w:rPr>
          <w:rStyle w:val="AERbody"/>
        </w:rPr>
      </w:pPr>
      <w:r>
        <w:rPr>
          <w:rStyle w:val="AERbody"/>
        </w:rPr>
        <w:t>As Powerlink is applying version 5 of the STPIS for the first time, the unplanned outage event limit is 17</w:t>
      </w:r>
      <w:r w:rsidR="00AC11EA">
        <w:rPr>
          <w:rStyle w:val="AERbody"/>
        </w:rPr>
        <w:t xml:space="preserve"> per cent</w:t>
      </w:r>
      <w:r>
        <w:rPr>
          <w:rStyle w:val="AERbody"/>
        </w:rPr>
        <w:t xml:space="preserve"> of the performance target calculated in accordance with clause 4.2(f)(4)-(5).</w:t>
      </w:r>
      <w:r>
        <w:rPr>
          <w:rStyle w:val="FootnoteReference"/>
        </w:rPr>
        <w:footnoteReference w:id="30"/>
      </w:r>
      <w:r w:rsidR="00DA1CEC">
        <w:rPr>
          <w:rStyle w:val="AERbody"/>
        </w:rPr>
        <w:t xml:space="preserve"> </w:t>
      </w:r>
      <w:r w:rsidR="008717CF">
        <w:rPr>
          <w:rStyle w:val="AERbody"/>
        </w:rPr>
        <w:t xml:space="preserve">Powerlink's proposed unplanned outage event limit has been calculated using their proposed performance target of 361 dispatch intervals. Using the draft decision performance target of 333 dispatch intervals, this gives an unplanned outage event limit of 57 dispatch intervals.  </w:t>
      </w:r>
      <w:r w:rsidR="00DA1CEC">
        <w:rPr>
          <w:rStyle w:val="AERbody"/>
        </w:rPr>
        <w:t xml:space="preserve">  </w:t>
      </w:r>
    </w:p>
    <w:p w:rsidR="001A5786" w:rsidRPr="007D05CD" w:rsidRDefault="001A5786" w:rsidP="007D05CD">
      <w:pPr>
        <w:rPr>
          <w:rStyle w:val="AERbody"/>
        </w:rPr>
      </w:pPr>
    </w:p>
    <w:p w:rsidR="00AB75A6" w:rsidRDefault="009A142A" w:rsidP="007D05CD">
      <w:pPr>
        <w:pStyle w:val="Tabletitle"/>
      </w:pPr>
      <w:r>
        <w:lastRenderedPageBreak/>
        <w:t xml:space="preserve">Dollar per dispatch interval  </w:t>
      </w:r>
    </w:p>
    <w:p w:rsidR="00AB75A6" w:rsidRPr="00DE5698" w:rsidRDefault="009A142A" w:rsidP="007D05CD">
      <w:r>
        <w:rPr>
          <w:rStyle w:val="AERbody"/>
        </w:rPr>
        <w:t>The dollar per dispatch interval is 1 per cent of</w:t>
      </w:r>
      <w:r w:rsidR="008717CF">
        <w:rPr>
          <w:rStyle w:val="AERbody"/>
        </w:rPr>
        <w:t xml:space="preserve"> one per cent of the MAR for the first year of Powerlink's regulatory control period divided by the performance target.</w:t>
      </w:r>
      <w:r w:rsidR="003806A6">
        <w:rPr>
          <w:rStyle w:val="FootnoteReference"/>
        </w:rPr>
        <w:footnoteReference w:id="31"/>
      </w:r>
      <w:r w:rsidR="008717CF">
        <w:rPr>
          <w:rStyle w:val="AERbody"/>
        </w:rPr>
        <w:t xml:space="preserve"> Powerlink has proposed a dollar per dispatch interval of $21,257 based on their proposed performance target and MAR. Using the draft decision performance </w:t>
      </w:r>
      <w:r w:rsidR="0022142B">
        <w:rPr>
          <w:rStyle w:val="AERbody"/>
        </w:rPr>
        <w:t>target of</w:t>
      </w:r>
      <w:r w:rsidR="008717CF">
        <w:rPr>
          <w:rStyle w:val="AERbody"/>
        </w:rPr>
        <w:t xml:space="preserve"> 333 dispatch intervals and MAR of </w:t>
      </w:r>
      <w:r w:rsidR="000E39E4">
        <w:rPr>
          <w:rStyle w:val="AERbody"/>
        </w:rPr>
        <w:t>$71</w:t>
      </w:r>
      <w:r w:rsidR="0082710E">
        <w:rPr>
          <w:rStyle w:val="AERbody"/>
        </w:rPr>
        <w:t>1 million</w:t>
      </w:r>
      <w:r w:rsidR="008717CF">
        <w:rPr>
          <w:rStyle w:val="AERbody"/>
        </w:rPr>
        <w:t xml:space="preserve">, this gives a dollar per dispatch interval of </w:t>
      </w:r>
      <w:r w:rsidR="000E39E4">
        <w:rPr>
          <w:rStyle w:val="AERbody"/>
        </w:rPr>
        <w:t>$21,344</w:t>
      </w:r>
      <w:r w:rsidR="008717CF">
        <w:rPr>
          <w:rStyle w:val="AERbody"/>
        </w:rPr>
        <w:t xml:space="preserve">. </w:t>
      </w:r>
    </w:p>
    <w:p w:rsidR="00AB7C84" w:rsidRPr="0009752B" w:rsidRDefault="00AB7C84" w:rsidP="003877A8">
      <w:pPr>
        <w:pStyle w:val="Heading3"/>
      </w:pPr>
      <w:bookmarkStart w:id="101" w:name="_Toc462752825"/>
      <w:r w:rsidRPr="0009752B">
        <w:t>Network capability component</w:t>
      </w:r>
      <w:bookmarkEnd w:id="97"/>
      <w:bookmarkEnd w:id="101"/>
    </w:p>
    <w:p w:rsidR="00487DE9" w:rsidRDefault="00487DE9" w:rsidP="00DF634F">
      <w:r>
        <w:t>We accept Powerlink</w:t>
      </w:r>
      <w:r w:rsidR="008B03D1">
        <w:t>'s</w:t>
      </w:r>
      <w:r>
        <w:t xml:space="preserve"> </w:t>
      </w:r>
      <w:r w:rsidR="006E2BD6">
        <w:t>NCIPAP project to i</w:t>
      </w:r>
      <w:r w:rsidRPr="00487DE9">
        <w:t xml:space="preserve">ncrease </w:t>
      </w:r>
      <w:r w:rsidR="006E2BD6">
        <w:t xml:space="preserve">the </w:t>
      </w:r>
      <w:r w:rsidRPr="00487DE9">
        <w:t>design temperature of two 275kV transmission lines</w:t>
      </w:r>
      <w:r>
        <w:t xml:space="preserve"> because it </w:t>
      </w:r>
      <w:r w:rsidRPr="00487DE9">
        <w:t>facilitates improvements in the capability of transmission assets</w:t>
      </w:r>
      <w:r>
        <w:t>.</w:t>
      </w:r>
    </w:p>
    <w:p w:rsidR="006E2BD6" w:rsidRDefault="006E2BD6" w:rsidP="006E2BD6">
      <w:r>
        <w:t xml:space="preserve">We </w:t>
      </w:r>
      <w:r w:rsidR="008B03D1">
        <w:t>reject</w:t>
      </w:r>
      <w:r w:rsidR="00487DE9">
        <w:t xml:space="preserve"> </w:t>
      </w:r>
      <w:r w:rsidR="00AB7C84">
        <w:t>Powerlink</w:t>
      </w:r>
      <w:r w:rsidR="00AB7C84" w:rsidRPr="00A7656F">
        <w:t>'</w:t>
      </w:r>
      <w:r w:rsidR="00AB7C84">
        <w:t>s</w:t>
      </w:r>
      <w:r w:rsidR="00AB7C84" w:rsidRPr="00A7656F">
        <w:t xml:space="preserve"> p</w:t>
      </w:r>
      <w:r w:rsidR="00AB7C84">
        <w:t>roposed</w:t>
      </w:r>
      <w:r w:rsidR="00487DE9">
        <w:t xml:space="preserve"> </w:t>
      </w:r>
      <w:r>
        <w:t>s</w:t>
      </w:r>
      <w:r w:rsidR="00487DE9" w:rsidRPr="00487DE9">
        <w:t xml:space="preserve">ystem </w:t>
      </w:r>
      <w:r>
        <w:t>i</w:t>
      </w:r>
      <w:r w:rsidR="00487DE9" w:rsidRPr="00487DE9">
        <w:t xml:space="preserve">ntegrity </w:t>
      </w:r>
      <w:r>
        <w:t>p</w:t>
      </w:r>
      <w:r w:rsidR="00487DE9" w:rsidRPr="00487DE9">
        <w:t xml:space="preserve">rotection </w:t>
      </w:r>
      <w:r>
        <w:t>s</w:t>
      </w:r>
      <w:r w:rsidR="00487DE9" w:rsidRPr="00487DE9">
        <w:t>cheme</w:t>
      </w:r>
      <w:r w:rsidR="003877A8">
        <w:t xml:space="preserve"> at Greenbank</w:t>
      </w:r>
      <w:r w:rsidR="00AB7C84">
        <w:t xml:space="preserve"> </w:t>
      </w:r>
      <w:r>
        <w:t xml:space="preserve">because </w:t>
      </w:r>
      <w:r w:rsidR="00A0529D">
        <w:t xml:space="preserve">it does </w:t>
      </w:r>
      <w:r w:rsidR="00487DE9">
        <w:t xml:space="preserve">not </w:t>
      </w:r>
      <w:r w:rsidR="00487DE9" w:rsidRPr="00487DE9">
        <w:t>facilitate improvements in the capability of transmission assets</w:t>
      </w:r>
      <w:r>
        <w:t>. We consider th</w:t>
      </w:r>
      <w:r w:rsidR="00A0529D">
        <w:t>is</w:t>
      </w:r>
      <w:r>
        <w:t xml:space="preserve"> project </w:t>
      </w:r>
      <w:r w:rsidR="001360D1">
        <w:t xml:space="preserve">relates to </w:t>
      </w:r>
      <w:r w:rsidR="00A0529D">
        <w:t xml:space="preserve">the </w:t>
      </w:r>
      <w:r w:rsidR="003877A8">
        <w:t xml:space="preserve">normal </w:t>
      </w:r>
      <w:r>
        <w:t>operation</w:t>
      </w:r>
      <w:r w:rsidR="00F20BDC" w:rsidRPr="001E3AA1">
        <w:t xml:space="preserve"> and maintenance of </w:t>
      </w:r>
      <w:r>
        <w:t xml:space="preserve">the </w:t>
      </w:r>
      <w:r w:rsidR="00F20BDC" w:rsidRPr="001E3AA1">
        <w:t>existing network capability</w:t>
      </w:r>
      <w:r w:rsidR="003877A8">
        <w:t>.</w:t>
      </w:r>
      <w:r w:rsidR="00F20BDC">
        <w:t xml:space="preserve"> </w:t>
      </w:r>
      <w:r w:rsidR="003877A8">
        <w:t>T</w:t>
      </w:r>
      <w:r w:rsidR="00F20BDC">
        <w:t>herefore</w:t>
      </w:r>
      <w:r w:rsidR="001360D1">
        <w:t>,</w:t>
      </w:r>
      <w:r w:rsidR="00F20BDC">
        <w:t xml:space="preserve"> </w:t>
      </w:r>
      <w:r w:rsidR="003877A8">
        <w:t>this project s</w:t>
      </w:r>
      <w:r w:rsidR="00F20BDC">
        <w:t xml:space="preserve">hould be funded via the efficient </w:t>
      </w:r>
      <w:r w:rsidR="00EE6835">
        <w:t xml:space="preserve">total </w:t>
      </w:r>
      <w:r w:rsidR="00F20BDC">
        <w:t>allowance</w:t>
      </w:r>
      <w:r>
        <w:t>.</w:t>
      </w:r>
      <w:r w:rsidR="008B03D1">
        <w:rPr>
          <w:rStyle w:val="FootnoteReference"/>
        </w:rPr>
        <w:footnoteReference w:id="32"/>
      </w:r>
      <w:r>
        <w:t xml:space="preserve"> </w:t>
      </w:r>
    </w:p>
    <w:p w:rsidR="00F20BDC" w:rsidRDefault="00A0529D" w:rsidP="00A0529D">
      <w:r>
        <w:t xml:space="preserve">We </w:t>
      </w:r>
      <w:r w:rsidR="008B03D1">
        <w:t>reject</w:t>
      </w:r>
      <w:r>
        <w:t xml:space="preserve"> Powerlink</w:t>
      </w:r>
      <w:r w:rsidRPr="00A7656F">
        <w:t>'</w:t>
      </w:r>
      <w:r>
        <w:t>s</w:t>
      </w:r>
      <w:r w:rsidRPr="00A7656F">
        <w:t xml:space="preserve"> p</w:t>
      </w:r>
      <w:r>
        <w:t xml:space="preserve">roposed load model enhancement and validation project because it does not result in a material benefits or </w:t>
      </w:r>
      <w:r w:rsidRPr="00487DE9">
        <w:t>facilitate improvements in the capability of transmission assets</w:t>
      </w:r>
      <w:r>
        <w:t>.</w:t>
      </w:r>
      <w:r w:rsidR="00EB3D40">
        <w:rPr>
          <w:rStyle w:val="FootnoteReference"/>
        </w:rPr>
        <w:footnoteReference w:id="33"/>
      </w:r>
      <w:r>
        <w:t xml:space="preserve"> We also consider this project </w:t>
      </w:r>
      <w:r w:rsidR="00B619E9">
        <w:t xml:space="preserve">relates to </w:t>
      </w:r>
      <w:r>
        <w:t xml:space="preserve">the </w:t>
      </w:r>
      <w:r w:rsidR="003877A8">
        <w:t xml:space="preserve">normal </w:t>
      </w:r>
      <w:r>
        <w:t>operation</w:t>
      </w:r>
      <w:r w:rsidRPr="001E3AA1">
        <w:t xml:space="preserve"> and maintenance of </w:t>
      </w:r>
      <w:r>
        <w:t xml:space="preserve">the </w:t>
      </w:r>
      <w:r w:rsidRPr="001E3AA1">
        <w:t>existing network</w:t>
      </w:r>
      <w:r w:rsidR="003877A8">
        <w:t>.</w:t>
      </w:r>
      <w:r>
        <w:t xml:space="preserve"> </w:t>
      </w:r>
      <w:r w:rsidR="003877A8">
        <w:t>T</w:t>
      </w:r>
      <w:r>
        <w:t>herefore</w:t>
      </w:r>
      <w:r w:rsidR="00B619E9">
        <w:t>,</w:t>
      </w:r>
      <w:r>
        <w:t xml:space="preserve"> </w:t>
      </w:r>
      <w:r w:rsidR="003877A8">
        <w:t xml:space="preserve">this project </w:t>
      </w:r>
      <w:r>
        <w:t xml:space="preserve">should be funded via </w:t>
      </w:r>
      <w:r w:rsidR="00AF3728">
        <w:t xml:space="preserve">the efficient total allowance. </w:t>
      </w:r>
      <w:r>
        <w:t xml:space="preserve">We agree with </w:t>
      </w:r>
      <w:r w:rsidR="00487DE9">
        <w:t xml:space="preserve">the </w:t>
      </w:r>
      <w:r w:rsidR="00AF3728">
        <w:t>submission from C</w:t>
      </w:r>
      <w:r w:rsidR="00F20BDC">
        <w:t>onsu</w:t>
      </w:r>
      <w:r w:rsidR="00487DE9">
        <w:t xml:space="preserve">mer </w:t>
      </w:r>
      <w:r w:rsidR="00AF3728">
        <w:t>C</w:t>
      </w:r>
      <w:r w:rsidR="00487DE9">
        <w:t xml:space="preserve">hallenge </w:t>
      </w:r>
      <w:r w:rsidR="00AF3728">
        <w:t>P</w:t>
      </w:r>
      <w:r w:rsidR="00487DE9">
        <w:t>anel</w:t>
      </w:r>
      <w:r w:rsidR="00AF3728">
        <w:t xml:space="preserve"> (CCP) members Hugh Grant and David Headberry </w:t>
      </w:r>
      <w:r w:rsidR="00F20BDC">
        <w:t>that the intention of the STPIS is not</w:t>
      </w:r>
      <w:r w:rsidR="00F5052F">
        <w:t xml:space="preserve"> to reward TNSPs for </w:t>
      </w:r>
      <w:r w:rsidR="00F5052F" w:rsidRPr="00F5052F">
        <w:t>doing</w:t>
      </w:r>
      <w:r w:rsidR="00F5052F">
        <w:t xml:space="preserve"> </w:t>
      </w:r>
      <w:r w:rsidR="00F5052F" w:rsidRPr="00F5052F">
        <w:t>what</w:t>
      </w:r>
      <w:r w:rsidR="00F5052F">
        <w:t xml:space="preserve"> </w:t>
      </w:r>
      <w:r w:rsidR="00F5052F" w:rsidRPr="00F5052F">
        <w:t>is</w:t>
      </w:r>
      <w:r w:rsidR="00F5052F">
        <w:t xml:space="preserve"> </w:t>
      </w:r>
      <w:r w:rsidR="00F5052F" w:rsidRPr="00F5052F">
        <w:t>essentially</w:t>
      </w:r>
      <w:r w:rsidR="00F5052F">
        <w:t xml:space="preserve"> </w:t>
      </w:r>
      <w:r w:rsidR="00F5052F" w:rsidRPr="00F5052F">
        <w:t>standard</w:t>
      </w:r>
      <w:r w:rsidR="00F5052F">
        <w:t xml:space="preserve"> </w:t>
      </w:r>
      <w:r w:rsidR="00F5052F" w:rsidRPr="00F5052F">
        <w:t>network</w:t>
      </w:r>
      <w:r w:rsidR="00F5052F">
        <w:t xml:space="preserve"> </w:t>
      </w:r>
      <w:r w:rsidR="00F5052F" w:rsidRPr="00F5052F">
        <w:t>management</w:t>
      </w:r>
      <w:r w:rsidR="00F5052F">
        <w:t xml:space="preserve"> </w:t>
      </w:r>
      <w:r w:rsidR="00F5052F" w:rsidRPr="00F5052F">
        <w:t>practice</w:t>
      </w:r>
      <w:r w:rsidR="00F5052F">
        <w:t>.</w:t>
      </w:r>
      <w:r w:rsidR="00F5052F">
        <w:rPr>
          <w:rStyle w:val="FootnoteReference"/>
        </w:rPr>
        <w:footnoteReference w:id="34"/>
      </w:r>
      <w:r w:rsidR="00D83E44">
        <w:t xml:space="preserve"> </w:t>
      </w:r>
    </w:p>
    <w:p w:rsidR="00BE34C7" w:rsidRDefault="00BE34C7" w:rsidP="00BE34C7">
      <w:pPr>
        <w:pStyle w:val="Tabletitle"/>
      </w:pPr>
      <w:r w:rsidRPr="00BE34C7">
        <w:t>Increase design temperature of two 275kV transmission lines</w:t>
      </w:r>
    </w:p>
    <w:p w:rsidR="00BE34C7" w:rsidRPr="00BE34C7" w:rsidRDefault="00BE34C7" w:rsidP="00BE34C7">
      <w:r w:rsidRPr="00BE34C7">
        <w:t>This project involves increasing conductor ground clearance on 14 spans of the 275kV lines from Bouldercombe to Calliope River. The increased ground clearance would allow for higher conductor operating temperature so that the summer emergency rating of the lines could be increased from 541MVA to 593 MVA, an increase of about 10</w:t>
      </w:r>
      <w:r>
        <w:t xml:space="preserve"> per cent</w:t>
      </w:r>
      <w:r w:rsidRPr="00BE34C7">
        <w:t>.</w:t>
      </w:r>
      <w:r>
        <w:rPr>
          <w:rStyle w:val="FootnoteReference"/>
        </w:rPr>
        <w:footnoteReference w:id="35"/>
      </w:r>
      <w:r w:rsidRPr="00BE34C7">
        <w:t xml:space="preserve">  </w:t>
      </w:r>
    </w:p>
    <w:p w:rsidR="00BE34C7" w:rsidRDefault="00BE34C7" w:rsidP="00BE34C7">
      <w:r w:rsidRPr="00BE34C7">
        <w:lastRenderedPageBreak/>
        <w:t>Powerlink stated that the annual market benefit to be $146</w:t>
      </w:r>
      <w:r w:rsidR="00640AFF">
        <w:t>,000</w:t>
      </w:r>
      <w:r w:rsidRPr="00BE34C7">
        <w:t>, resulting in a pay-back period of 3.5 years.</w:t>
      </w:r>
      <w:r w:rsidR="004A35AE">
        <w:rPr>
          <w:rStyle w:val="FootnoteReference"/>
        </w:rPr>
        <w:footnoteReference w:id="36"/>
      </w:r>
      <w:r w:rsidRPr="00BE34C7">
        <w:t xml:space="preserve"> AEMO confirmed that it has reviewed the project benefit assessment submitted by Powerlink and was satisfied.</w:t>
      </w:r>
      <w:r w:rsidR="004A35AE">
        <w:rPr>
          <w:rStyle w:val="FootnoteReference"/>
        </w:rPr>
        <w:footnoteReference w:id="37"/>
      </w:r>
      <w:r w:rsidRPr="00BE34C7">
        <w:t xml:space="preserve">  </w:t>
      </w:r>
    </w:p>
    <w:p w:rsidR="00142508" w:rsidRDefault="00142508" w:rsidP="00142508">
      <w:r>
        <w:t xml:space="preserve">We </w:t>
      </w:r>
      <w:r w:rsidR="0082710E">
        <w:t>accept</w:t>
      </w:r>
      <w:r>
        <w:t xml:space="preserve"> this priority project because it met the STPIS requirement to </w:t>
      </w:r>
      <w:r w:rsidRPr="00487DE9">
        <w:t>facilitate improvements in the capability of transmission assets</w:t>
      </w:r>
      <w:r>
        <w:t xml:space="preserve">. </w:t>
      </w:r>
      <w:r w:rsidR="00EB3D40">
        <w:rPr>
          <w:rStyle w:val="FootnoteReference"/>
        </w:rPr>
        <w:footnoteReference w:id="38"/>
      </w:r>
    </w:p>
    <w:p w:rsidR="00132D43" w:rsidRDefault="00395EAA" w:rsidP="00395EAA">
      <w:pPr>
        <w:pStyle w:val="Tabletitle"/>
      </w:pPr>
      <w:r w:rsidRPr="00395EAA">
        <w:t>Greenbank System Integrity Protection Scheme</w:t>
      </w:r>
    </w:p>
    <w:p w:rsidR="00987821" w:rsidRPr="00987821" w:rsidRDefault="008D213C" w:rsidP="001A5786">
      <w:r>
        <w:t xml:space="preserve">We reject this priority project because it is not consistent with the STPIS. </w:t>
      </w:r>
      <w:r w:rsidR="00987821">
        <w:t xml:space="preserve">Our reason </w:t>
      </w:r>
      <w:r w:rsidR="001A5786">
        <w:t>to</w:t>
      </w:r>
      <w:r w:rsidR="00987821">
        <w:t xml:space="preserve"> reject this NCIPAP project is found in confidential appendix A of this attachment. </w:t>
      </w:r>
    </w:p>
    <w:p w:rsidR="00025101" w:rsidRDefault="00137883" w:rsidP="00137883">
      <w:pPr>
        <w:pStyle w:val="Tabletitle"/>
      </w:pPr>
      <w:r w:rsidRPr="00137883">
        <w:t>Load model enhancement and validation</w:t>
      </w:r>
      <w:r w:rsidR="00025101">
        <w:t xml:space="preserve"> </w:t>
      </w:r>
      <w:r w:rsidR="00025101" w:rsidRPr="00025101">
        <w:t xml:space="preserve">  </w:t>
      </w:r>
    </w:p>
    <w:p w:rsidR="00137883" w:rsidRPr="00137883" w:rsidRDefault="00137883" w:rsidP="00137883">
      <w:r w:rsidRPr="00137883">
        <w:t>Powerlink proposed to install high speed monitoring equipment and develop new load models. The new models will supersede existing load models and will be used to understand the secure operating envelop and for prudent operation, investment and re-investment decisions.</w:t>
      </w:r>
    </w:p>
    <w:p w:rsidR="00137883" w:rsidRDefault="00137883" w:rsidP="00137883">
      <w:r w:rsidRPr="00137883">
        <w:t>Powerlink identified a range of benefit but could not quantify them. It considered this project as of exploratory nature.</w:t>
      </w:r>
      <w:r w:rsidR="007B5617">
        <w:rPr>
          <w:rStyle w:val="FootnoteReference"/>
        </w:rPr>
        <w:footnoteReference w:id="39"/>
      </w:r>
    </w:p>
    <w:p w:rsidR="00137883" w:rsidRDefault="007B5617" w:rsidP="00137883">
      <w:r>
        <w:t>L</w:t>
      </w:r>
      <w:r w:rsidR="00137883" w:rsidRPr="00137883">
        <w:t xml:space="preserve">oad models are an essential tool for Powerlink to plan and operate its transmission network. </w:t>
      </w:r>
      <w:r w:rsidR="00137883">
        <w:t>However, i</w:t>
      </w:r>
      <w:r w:rsidR="00137883" w:rsidRPr="00137883">
        <w:t>f the current model</w:t>
      </w:r>
      <w:r w:rsidR="00204FDE">
        <w:t xml:space="preserve"> (developed over 20 years ago)</w:t>
      </w:r>
      <w:r w:rsidR="00204FDE">
        <w:rPr>
          <w:rStyle w:val="FootnoteReference"/>
        </w:rPr>
        <w:footnoteReference w:id="40"/>
      </w:r>
      <w:r w:rsidR="00137883" w:rsidRPr="00137883">
        <w:t xml:space="preserve"> does not provide satisfactory accuracy and certainty of the assessed network capability, then Powerlink should update the models so that it can fulfil its obligations under the NER</w:t>
      </w:r>
      <w:r w:rsidR="00137883">
        <w:t xml:space="preserve"> with the efficient capex/opex allowance</w:t>
      </w:r>
      <w:r w:rsidR="00137883" w:rsidRPr="00137883">
        <w:t>.</w:t>
      </w:r>
    </w:p>
    <w:p w:rsidR="00137883" w:rsidRPr="00137883" w:rsidRDefault="00137883" w:rsidP="003235E6">
      <w:r w:rsidRPr="00137883">
        <w:t xml:space="preserve">Powerlink </w:t>
      </w:r>
      <w:r w:rsidR="00C960B4">
        <w:t>submitted</w:t>
      </w:r>
      <w:r>
        <w:t xml:space="preserve"> that we approved a similar project for </w:t>
      </w:r>
      <w:r w:rsidRPr="00137883">
        <w:t>ElectraNe</w:t>
      </w:r>
      <w:r>
        <w:t>t</w:t>
      </w:r>
      <w:r w:rsidR="00C960B4">
        <w:t xml:space="preserve"> in 2015</w:t>
      </w:r>
      <w:r w:rsidR="000D4945">
        <w:t>—</w:t>
      </w:r>
      <w:r w:rsidR="00C960B4">
        <w:t xml:space="preserve">that also had no quantifiable benefits. We </w:t>
      </w:r>
      <w:r w:rsidR="007B5617">
        <w:t xml:space="preserve">do not agree </w:t>
      </w:r>
      <w:r w:rsidR="000D4945">
        <w:t xml:space="preserve">with </w:t>
      </w:r>
      <w:r w:rsidR="008D213C">
        <w:t>Powerlink's</w:t>
      </w:r>
      <w:r w:rsidR="000D4945">
        <w:t xml:space="preserve"> </w:t>
      </w:r>
      <w:r w:rsidR="008D213C">
        <w:t>submission</w:t>
      </w:r>
      <w:r w:rsidR="000D4945">
        <w:t xml:space="preserve"> </w:t>
      </w:r>
      <w:r w:rsidR="007B5617">
        <w:t xml:space="preserve">because </w:t>
      </w:r>
      <w:r w:rsidR="00C960B4">
        <w:t>ElectraNet</w:t>
      </w:r>
      <w:r w:rsidR="000D4945">
        <w:t>'s</w:t>
      </w:r>
      <w:r w:rsidR="007B5617">
        <w:t xml:space="preserve"> project was approved under version 4 of the STPIS which had different</w:t>
      </w:r>
      <w:r w:rsidR="000D4945">
        <w:t xml:space="preserve"> requir</w:t>
      </w:r>
      <w:r w:rsidR="005417AB">
        <w:t>e</w:t>
      </w:r>
      <w:r w:rsidR="000D4945">
        <w:t>ments</w:t>
      </w:r>
      <w:r w:rsidR="007B5617">
        <w:t>. Additionally</w:t>
      </w:r>
      <w:r w:rsidR="003235E6">
        <w:t xml:space="preserve">, </w:t>
      </w:r>
      <w:r w:rsidR="00B619E9">
        <w:t xml:space="preserve">unlike Powerlink's proposal, </w:t>
      </w:r>
      <w:r w:rsidR="00AF3146">
        <w:t>ElectraNet</w:t>
      </w:r>
      <w:r w:rsidR="003235E6">
        <w:t>'s</w:t>
      </w:r>
      <w:r w:rsidR="00AF3146">
        <w:t xml:space="preserve"> project sought to enhance </w:t>
      </w:r>
      <w:r w:rsidR="003235E6">
        <w:t xml:space="preserve">an existing </w:t>
      </w:r>
      <w:r w:rsidR="00AF3146">
        <w:t>up-to-date load model</w:t>
      </w:r>
      <w:r w:rsidR="00DD2915" w:rsidRPr="00DD2915">
        <w:t>.</w:t>
      </w:r>
      <w:r w:rsidR="005417AB">
        <w:rPr>
          <w:rStyle w:val="FootnoteReference"/>
        </w:rPr>
        <w:footnoteReference w:id="41"/>
      </w:r>
      <w:r w:rsidR="00C960B4">
        <w:t xml:space="preserve">  </w:t>
      </w:r>
      <w:r w:rsidRPr="00137883">
        <w:t xml:space="preserve"> </w:t>
      </w:r>
    </w:p>
    <w:p w:rsidR="00137883" w:rsidRDefault="00137883" w:rsidP="00137883">
      <w:r w:rsidRPr="00137883">
        <w:t>Powerlink</w:t>
      </w:r>
      <w:r w:rsidR="00B619E9">
        <w:t>,</w:t>
      </w:r>
      <w:r w:rsidR="00DD2915">
        <w:t xml:space="preserve"> on the other hand</w:t>
      </w:r>
      <w:r w:rsidRPr="00137883">
        <w:t xml:space="preserve">, has not kept its load model up-to-date for 20 years, and it </w:t>
      </w:r>
      <w:r w:rsidR="00DD2915">
        <w:t xml:space="preserve">noted </w:t>
      </w:r>
      <w:r w:rsidRPr="00137883">
        <w:t xml:space="preserve">that the use of </w:t>
      </w:r>
      <w:r w:rsidR="00B619E9">
        <w:t xml:space="preserve">the current </w:t>
      </w:r>
      <w:r w:rsidRPr="00137883">
        <w:t xml:space="preserve">outdated model would lead to sub-optimal reinvestment decisions.  We consider that Powerlink has an obligation to maintain load </w:t>
      </w:r>
      <w:r w:rsidRPr="00137883">
        <w:lastRenderedPageBreak/>
        <w:t>model accuracy under the NER, and this obligation should be fulfilled without STIPIS incentives.</w:t>
      </w:r>
      <w:r w:rsidR="00DD2915">
        <w:rPr>
          <w:rStyle w:val="FootnoteReference"/>
        </w:rPr>
        <w:footnoteReference w:id="42"/>
      </w:r>
    </w:p>
    <w:p w:rsidR="00640AFF" w:rsidRPr="00326D7D" w:rsidRDefault="00640AFF" w:rsidP="00640AFF">
      <w:r>
        <w:t xml:space="preserve">We </w:t>
      </w:r>
      <w:r w:rsidR="00CB573D">
        <w:t>reject</w:t>
      </w:r>
      <w:r>
        <w:t xml:space="preserve"> this project because it is </w:t>
      </w:r>
      <w:r w:rsidRPr="00326D7D">
        <w:t>not fit for th</w:t>
      </w:r>
      <w:r w:rsidR="0004527E">
        <w:t>e</w:t>
      </w:r>
      <w:r w:rsidRPr="00326D7D">
        <w:t xml:space="preserve"> purpose</w:t>
      </w:r>
      <w:r>
        <w:t xml:space="preserve"> of the NCIPAP nor is the benefits known</w:t>
      </w:r>
      <w:r w:rsidR="0004527E">
        <w:t xml:space="preserve"> as required by the scheme</w:t>
      </w:r>
      <w:r w:rsidRPr="00326D7D">
        <w:t>.</w:t>
      </w:r>
      <w:r>
        <w:t xml:space="preserve"> </w:t>
      </w:r>
      <w:r w:rsidRPr="00326D7D">
        <w:t>The NCIPAP is intended to incentivise TNSPs to address capacity limit of the transmission circuits and injection points</w:t>
      </w:r>
      <w:r>
        <w:t>. Powerlink has not demonstrated that it has met th</w:t>
      </w:r>
      <w:r w:rsidR="0004527E">
        <w:t>is</w:t>
      </w:r>
      <w:r>
        <w:t xml:space="preserve"> criteri</w:t>
      </w:r>
      <w:r w:rsidR="008D213C">
        <w:t>on</w:t>
      </w:r>
      <w:r>
        <w:t>.</w:t>
      </w:r>
      <w:r w:rsidRPr="00326D7D">
        <w:t xml:space="preserve"> </w:t>
      </w:r>
    </w:p>
    <w:p w:rsidR="00640AFF" w:rsidRDefault="00640AFF" w:rsidP="00137883"/>
    <w:p w:rsidR="000D4945" w:rsidRPr="00137883" w:rsidRDefault="000D4945" w:rsidP="00137883"/>
    <w:sectPr w:rsidR="000D4945" w:rsidRPr="00137883" w:rsidSect="00CF42AA">
      <w:headerReference w:type="default" r:id="rId13"/>
      <w:footerReference w:type="even" r:id="rId14"/>
      <w:footerReference w:type="default" r:id="rId15"/>
      <w:footerReference w:type="first" r:id="rId1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0E" w:rsidRPr="00290C63" w:rsidRDefault="0082710E" w:rsidP="00290C63">
      <w:r>
        <w:separator/>
      </w:r>
    </w:p>
    <w:p w:rsidR="0082710E" w:rsidRDefault="0082710E"/>
  </w:endnote>
  <w:endnote w:type="continuationSeparator" w:id="0">
    <w:p w:rsidR="0082710E" w:rsidRPr="00290C63" w:rsidRDefault="0082710E" w:rsidP="00290C63">
      <w:r>
        <w:continuationSeparator/>
      </w:r>
    </w:p>
    <w:p w:rsidR="0082710E" w:rsidRDefault="00827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1C0547" w:rsidRPr="001C0547" w:rsidRDefault="001C0547" w:rsidP="001C0547">
        <w:pPr>
          <w:pStyle w:val="Footer"/>
        </w:pPr>
        <w:r w:rsidRPr="001C0547">
          <w:fldChar w:fldCharType="begin"/>
        </w:r>
        <w:r w:rsidRPr="001C0547">
          <w:instrText xml:space="preserve"> PAGE   \* MERGEFORMAT </w:instrText>
        </w:r>
        <w:r w:rsidRPr="001C0547">
          <w:fldChar w:fldCharType="separate"/>
        </w:r>
        <w:r w:rsidR="00E6549B">
          <w:rPr>
            <w:noProof/>
          </w:rPr>
          <w:t>11-1</w:t>
        </w:r>
        <w:r w:rsidRPr="001C0547">
          <w:fldChar w:fldCharType="end"/>
        </w:r>
        <w:r w:rsidRPr="001C0547">
          <w:t xml:space="preserve">      Attachment 1</w:t>
        </w:r>
        <w:r>
          <w:t>1</w:t>
        </w:r>
        <w:r w:rsidRPr="001C0547">
          <w:t xml:space="preserve"> – </w:t>
        </w:r>
        <w:r>
          <w:t>Service target performance incentive scheme</w:t>
        </w:r>
        <w:r w:rsidRPr="001C0547">
          <w:t xml:space="preserve"> | Powerlink transmission draft determination 2017–22</w:t>
        </w:r>
      </w:p>
    </w:sdtContent>
  </w:sdt>
  <w:p w:rsidR="0082710E" w:rsidRPr="005A171D" w:rsidRDefault="0082710E" w:rsidP="005A1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0E" w:rsidRPr="005A171D" w:rsidRDefault="0082710E" w:rsidP="005A17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39589"/>
      <w:docPartObj>
        <w:docPartGallery w:val="Page Numbers (Bottom of Page)"/>
        <w:docPartUnique/>
      </w:docPartObj>
    </w:sdtPr>
    <w:sdtEndPr/>
    <w:sdtContent>
      <w:p w:rsidR="001C0547" w:rsidRPr="001C0547" w:rsidRDefault="001C0547" w:rsidP="001C0547">
        <w:pPr>
          <w:pStyle w:val="Footer"/>
        </w:pPr>
        <w:r w:rsidRPr="001C0547">
          <w:fldChar w:fldCharType="begin"/>
        </w:r>
        <w:r w:rsidRPr="001C0547">
          <w:instrText xml:space="preserve"> PAGE   \* MERGEFORMAT </w:instrText>
        </w:r>
        <w:r w:rsidRPr="001C0547">
          <w:fldChar w:fldCharType="separate"/>
        </w:r>
        <w:r w:rsidR="00E6549B">
          <w:rPr>
            <w:noProof/>
          </w:rPr>
          <w:t>11-20</w:t>
        </w:r>
        <w:r w:rsidRPr="001C0547">
          <w:fldChar w:fldCharType="end"/>
        </w:r>
        <w:r w:rsidRPr="001C0547">
          <w:t xml:space="preserve">      Attachment 11 – Service target performance incentive scheme | Powerlink transmission draft determination 2017–22</w:t>
        </w:r>
      </w:p>
    </w:sdtContent>
  </w:sdt>
  <w:p w:rsidR="0082710E" w:rsidRPr="005A171D" w:rsidRDefault="0082710E" w:rsidP="005A17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0E" w:rsidRPr="005A171D" w:rsidRDefault="0082710E" w:rsidP="005A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0E" w:rsidRPr="00290C63" w:rsidRDefault="0082710E" w:rsidP="00290C63">
      <w:r>
        <w:separator/>
      </w:r>
    </w:p>
    <w:p w:rsidR="0082710E" w:rsidRDefault="0082710E"/>
  </w:footnote>
  <w:footnote w:type="continuationSeparator" w:id="0">
    <w:p w:rsidR="0082710E" w:rsidRPr="00290C63" w:rsidRDefault="0082710E" w:rsidP="00290C63">
      <w:r>
        <w:continuationSeparator/>
      </w:r>
    </w:p>
    <w:p w:rsidR="0082710E" w:rsidRDefault="0082710E"/>
  </w:footnote>
  <w:footnote w:id="1">
    <w:p w:rsidR="0082710E" w:rsidRDefault="0082710E" w:rsidP="005E7969">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971FB6">
        <w:rPr>
          <w:rStyle w:val="AERtextitalic"/>
        </w:rPr>
        <w:t xml:space="preserve">, </w:t>
      </w:r>
      <w:r>
        <w:t>October 2015, cl. 2.2(a)(1–3).</w:t>
      </w:r>
    </w:p>
  </w:footnote>
  <w:footnote w:id="2">
    <w:p w:rsidR="0082710E" w:rsidRDefault="0082710E" w:rsidP="005E7969">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4B645B">
        <w:t>October 2015</w:t>
      </w:r>
      <w:r>
        <w:t>, Appendix C.</w:t>
      </w:r>
      <w:r>
        <w:rPr>
          <w:rStyle w:val="AERtextitalic"/>
        </w:rPr>
        <w:t xml:space="preserve"> </w:t>
      </w:r>
    </w:p>
  </w:footnote>
  <w:footnote w:id="3">
    <w:p w:rsidR="0082710E" w:rsidRDefault="0082710E" w:rsidP="00840004">
      <w:pPr>
        <w:pStyle w:val="FootnoteText"/>
      </w:pPr>
      <w:r>
        <w:rPr>
          <w:rStyle w:val="FootnoteReference"/>
        </w:rPr>
        <w:footnoteRef/>
      </w:r>
      <w:r>
        <w:t xml:space="preserve"> </w:t>
      </w:r>
      <w:r>
        <w:tab/>
        <w:t xml:space="preserve">Powerlink, </w:t>
      </w:r>
      <w:r w:rsidRPr="00D77305">
        <w:rPr>
          <w:rStyle w:val="AERtextitalic"/>
        </w:rPr>
        <w:t>Re</w:t>
      </w:r>
      <w:r>
        <w:rPr>
          <w:rStyle w:val="AERtextitalic"/>
        </w:rPr>
        <w:t xml:space="preserve">venue </w:t>
      </w:r>
      <w:r w:rsidRPr="00D77305">
        <w:rPr>
          <w:rStyle w:val="AERtextitalic"/>
        </w:rPr>
        <w:t>proposal 201</w:t>
      </w:r>
      <w:r>
        <w:rPr>
          <w:rStyle w:val="AERtextitalic"/>
        </w:rPr>
        <w:t>8–</w:t>
      </w:r>
      <w:r w:rsidRPr="00D77305">
        <w:rPr>
          <w:rStyle w:val="AERtextitalic"/>
        </w:rPr>
        <w:t>22</w:t>
      </w:r>
      <w:r>
        <w:t>, January 2016, p. 114.</w:t>
      </w:r>
    </w:p>
  </w:footnote>
  <w:footnote w:id="4">
    <w:p w:rsidR="0082710E" w:rsidRDefault="0082710E" w:rsidP="00840004">
      <w:pPr>
        <w:pStyle w:val="FootnoteText"/>
      </w:pPr>
      <w:r>
        <w:rPr>
          <w:rStyle w:val="FootnoteReference"/>
        </w:rPr>
        <w:footnoteRef/>
      </w:r>
      <w:r>
        <w:t xml:space="preserve"> </w:t>
      </w:r>
      <w:r>
        <w:tab/>
        <w:t>NER, cl. 6A.4.2(a)(2).</w:t>
      </w:r>
    </w:p>
  </w:footnote>
  <w:footnote w:id="5">
    <w:p w:rsidR="0082710E" w:rsidRDefault="0082710E" w:rsidP="00840004">
      <w:pPr>
        <w:pStyle w:val="FootnoteText"/>
      </w:pPr>
      <w:r>
        <w:rPr>
          <w:rStyle w:val="FootnoteReference"/>
        </w:rPr>
        <w:footnoteRef/>
      </w:r>
      <w:r>
        <w:t xml:space="preserve"> </w:t>
      </w:r>
      <w:r>
        <w:tab/>
        <w:t>NER, cll. 6A.5.4(a)(5), 6A.5.4(b)(5) and 6A.7.4.</w:t>
      </w:r>
    </w:p>
  </w:footnote>
  <w:footnote w:id="6">
    <w:p w:rsidR="0082710E" w:rsidRDefault="0082710E" w:rsidP="00840004">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Pr>
          <w:rStyle w:val="AERtextitalic"/>
        </w:rPr>
        <w:t xml:space="preserve">October 2015, </w:t>
      </w:r>
      <w:r w:rsidRPr="00E16B4E">
        <w:t>clause 3.</w:t>
      </w:r>
      <w:r>
        <w:t>2</w:t>
      </w:r>
      <w:r w:rsidRPr="00E16B4E">
        <w:t>.</w:t>
      </w:r>
      <w:r>
        <w:t xml:space="preserve"> </w:t>
      </w:r>
    </w:p>
  </w:footnote>
  <w:footnote w:id="7">
    <w:p w:rsidR="0082710E" w:rsidRDefault="0082710E" w:rsidP="00840004">
      <w:pPr>
        <w:pStyle w:val="FootnoteText"/>
      </w:pPr>
      <w:r>
        <w:rPr>
          <w:rStyle w:val="FootnoteReference"/>
        </w:rPr>
        <w:footnoteRef/>
      </w:r>
      <w:r>
        <w:t xml:space="preserve"> </w:t>
      </w:r>
      <w:r>
        <w:tab/>
        <w:t xml:space="preserve">Six parameters include Line event rate–fault, </w:t>
      </w:r>
      <w:r w:rsidRPr="00D77305">
        <w:t>Reactive plant event rate – fault</w:t>
      </w:r>
      <w:r>
        <w:t xml:space="preserve">, </w:t>
      </w:r>
      <w:r w:rsidRPr="00D77305">
        <w:t>Lines event rate – forced</w:t>
      </w:r>
      <w:r>
        <w:t xml:space="preserve">, </w:t>
      </w:r>
      <w:r w:rsidRPr="00D77305">
        <w:t>Transformer event rate –forced</w:t>
      </w:r>
      <w:r>
        <w:t xml:space="preserve"> and </w:t>
      </w:r>
      <w:r w:rsidRPr="00D77305">
        <w:t>Reactive plant event rate – forced</w:t>
      </w:r>
      <w:r>
        <w:t xml:space="preserve">. </w:t>
      </w:r>
    </w:p>
  </w:footnote>
  <w:footnote w:id="8">
    <w:p w:rsidR="0082710E" w:rsidRDefault="0082710E" w:rsidP="00840004">
      <w:pPr>
        <w:pStyle w:val="FootnoteText"/>
      </w:pPr>
      <w:r>
        <w:rPr>
          <w:rStyle w:val="FootnoteReference"/>
        </w:rPr>
        <w:footnoteRef/>
      </w:r>
      <w:r>
        <w:t xml:space="preserve"> </w:t>
      </w:r>
      <w:r>
        <w:tab/>
        <w:t>They are the n</w:t>
      </w:r>
      <w:r w:rsidRPr="00145B80">
        <w:t>umber of events greater than 0.05 system minutes per annum</w:t>
      </w:r>
      <w:r>
        <w:t xml:space="preserve"> and the n</w:t>
      </w:r>
      <w:r w:rsidRPr="00145B80">
        <w:t>umber of events greater than 0.30 system minutes per annum</w:t>
      </w:r>
      <w:r>
        <w:t xml:space="preserve">. </w:t>
      </w:r>
    </w:p>
  </w:footnote>
  <w:footnote w:id="9">
    <w:p w:rsidR="0082710E" w:rsidRDefault="0082710E" w:rsidP="00840004">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10">
    <w:p w:rsidR="0082710E" w:rsidRPr="001E7D29" w:rsidRDefault="0082710E" w:rsidP="00840004">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w:t>
      </w:r>
      <w:r>
        <w:rPr>
          <w:rStyle w:val="AERtextitalic"/>
        </w:rPr>
        <w:t xml:space="preserve"> </w:t>
      </w:r>
    </w:p>
  </w:footnote>
  <w:footnote w:id="11">
    <w:p w:rsidR="0082710E" w:rsidRPr="001E3C1B" w:rsidRDefault="0082710E" w:rsidP="00840004">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3.2(d).</w:t>
      </w:r>
    </w:p>
  </w:footnote>
  <w:footnote w:id="12">
    <w:p w:rsidR="0082710E" w:rsidRDefault="0082710E" w:rsidP="00840004">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3.2(g).</w:t>
      </w:r>
    </w:p>
  </w:footnote>
  <w:footnote w:id="13">
    <w:p w:rsidR="0082710E" w:rsidRPr="001E3C1B" w:rsidRDefault="0082710E" w:rsidP="00840004">
      <w:pPr>
        <w:pStyle w:val="FootnoteText"/>
      </w:pPr>
      <w:r>
        <w:rPr>
          <w:rStyle w:val="FootnoteReference"/>
        </w:rPr>
        <w:footnoteRef/>
      </w:r>
      <w:r>
        <w:t xml:space="preserve"> </w:t>
      </w:r>
      <w:r>
        <w:tab/>
      </w:r>
      <w:r w:rsidRPr="00CE3527">
        <w:t xml:space="preserve">AER, </w:t>
      </w:r>
      <w:r w:rsidRPr="00CE3527">
        <w:rPr>
          <w:rStyle w:val="AERtextitalic"/>
        </w:rPr>
        <w:t>Final – Service Target Performance Incentive Scheme</w:t>
      </w:r>
      <w:r w:rsidRPr="00CE3527">
        <w:t>, October 2015, cl. 3.2(j).</w:t>
      </w:r>
    </w:p>
  </w:footnote>
  <w:footnote w:id="14">
    <w:p w:rsidR="0082710E" w:rsidRPr="001E3C1B" w:rsidRDefault="0082710E" w:rsidP="00840004">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5">
    <w:p w:rsidR="0082710E" w:rsidRPr="001E3C1B" w:rsidRDefault="0082710E" w:rsidP="00840004">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6">
    <w:p w:rsidR="0082710E" w:rsidRDefault="0082710E">
      <w:pPr>
        <w:pStyle w:val="FootnoteText"/>
      </w:pPr>
      <w:r>
        <w:rPr>
          <w:rStyle w:val="FootnoteReference"/>
        </w:rPr>
        <w:footnoteRef/>
      </w:r>
      <w:r>
        <w:t xml:space="preserve"> </w:t>
      </w:r>
      <w:r>
        <w:tab/>
      </w:r>
      <w:r w:rsidRPr="00EC08AF">
        <w:t xml:space="preserve">AER, </w:t>
      </w:r>
      <w:r w:rsidRPr="00EC08AF">
        <w:rPr>
          <w:rStyle w:val="AERtextitalic"/>
        </w:rPr>
        <w:t xml:space="preserve">Final – Service Target Performance Incentive Scheme, October 2015, </w:t>
      </w:r>
      <w:r w:rsidRPr="00EC08AF">
        <w:t>clause 4.2</w:t>
      </w:r>
      <w:r>
        <w:t>(c</w:t>
      </w:r>
      <w:r w:rsidRPr="00EC08AF">
        <w:t>).</w:t>
      </w:r>
    </w:p>
  </w:footnote>
  <w:footnote w:id="17">
    <w:p w:rsidR="0082710E" w:rsidRDefault="0082710E">
      <w:pPr>
        <w:pStyle w:val="FootnoteText"/>
      </w:pPr>
      <w:r>
        <w:rPr>
          <w:rStyle w:val="FootnoteReference"/>
        </w:rPr>
        <w:footnoteRef/>
      </w:r>
      <w:r>
        <w:t xml:space="preserve"> </w:t>
      </w:r>
      <w:r>
        <w:tab/>
        <w:t xml:space="preserve">Clause 4.2(f) applies as this is the first time Powerlink has applied version 5 of the STPIS. </w:t>
      </w:r>
    </w:p>
  </w:footnote>
  <w:footnote w:id="18">
    <w:p w:rsidR="0082710E" w:rsidRDefault="0082710E">
      <w:pPr>
        <w:pStyle w:val="FootnoteText"/>
      </w:pPr>
      <w:r>
        <w:rPr>
          <w:rStyle w:val="FootnoteReference"/>
        </w:rPr>
        <w:footnoteRef/>
      </w:r>
      <w:r>
        <w:t xml:space="preserve"> </w:t>
      </w:r>
      <w:r>
        <w:tab/>
        <w:t>AER,</w:t>
      </w:r>
      <w:r w:rsidRPr="00B738FA">
        <w:rPr>
          <w:rStyle w:val="AERtextitalic"/>
        </w:rPr>
        <w:t xml:space="preserve"> </w:t>
      </w:r>
      <w:r>
        <w:rPr>
          <w:rStyle w:val="AERtextitalic"/>
        </w:rPr>
        <w:t xml:space="preserve">Final – Service Target Performance Incentive Scheme, October 2015, </w:t>
      </w:r>
      <w:r>
        <w:t>cl 4.2(d).</w:t>
      </w:r>
    </w:p>
  </w:footnote>
  <w:footnote w:id="19">
    <w:p w:rsidR="0082710E" w:rsidRDefault="0082710E" w:rsidP="007F5F0D">
      <w:pPr>
        <w:pStyle w:val="FootnoteText"/>
      </w:pPr>
      <w:r>
        <w:rPr>
          <w:rStyle w:val="FootnoteReference"/>
        </w:rPr>
        <w:footnoteRef/>
      </w:r>
      <w:r>
        <w:t xml:space="preserve"> </w:t>
      </w:r>
      <w:r>
        <w:tab/>
      </w:r>
      <w:r w:rsidRPr="003D208D">
        <w:t xml:space="preserve">AER, </w:t>
      </w:r>
      <w:r w:rsidRPr="003D208D">
        <w:rPr>
          <w:rStyle w:val="AERtextitalic"/>
        </w:rPr>
        <w:t>Final – Service Target Performance Incentive Scheme</w:t>
      </w:r>
      <w:r w:rsidRPr="003D208D">
        <w:t>, October 2015, c</w:t>
      </w:r>
      <w:r>
        <w:t>l</w:t>
      </w:r>
      <w:r w:rsidRPr="003D208D">
        <w:t xml:space="preserve">l. </w:t>
      </w:r>
      <w:r>
        <w:t>5.2(l) and 5.2(m)</w:t>
      </w:r>
      <w:r w:rsidRPr="003D208D">
        <w:t xml:space="preserve">.  </w:t>
      </w:r>
    </w:p>
  </w:footnote>
  <w:footnote w:id="20">
    <w:p w:rsidR="0082710E" w:rsidRDefault="0082710E" w:rsidP="00840004">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6C64C1">
        <w:rPr>
          <w:rStyle w:val="AERtextitalic"/>
          <w:i w:val="0"/>
        </w:rPr>
        <w:t>cl. 3.2.</w:t>
      </w:r>
      <w:r>
        <w:rPr>
          <w:rStyle w:val="AERtextitalic"/>
        </w:rPr>
        <w:t xml:space="preserve"> </w:t>
      </w:r>
    </w:p>
  </w:footnote>
  <w:footnote w:id="21">
    <w:p w:rsidR="0082710E" w:rsidRDefault="0082710E" w:rsidP="00A0529D">
      <w:pPr>
        <w:pStyle w:val="FootnoteText"/>
      </w:pPr>
      <w:r>
        <w:rPr>
          <w:rStyle w:val="FootnoteReference"/>
        </w:rPr>
        <w:footnoteRef/>
      </w:r>
      <w:r>
        <w:t xml:space="preserve"> </w:t>
      </w:r>
      <w:r>
        <w:tab/>
        <w:t xml:space="preserve">Powerlink, </w:t>
      </w:r>
      <w:r w:rsidRPr="00D77305">
        <w:rPr>
          <w:rStyle w:val="AERtextitalic"/>
        </w:rPr>
        <w:t>Re</w:t>
      </w:r>
      <w:r>
        <w:rPr>
          <w:rStyle w:val="AERtextitalic"/>
        </w:rPr>
        <w:t xml:space="preserve">venue </w:t>
      </w:r>
      <w:r w:rsidRPr="00D77305">
        <w:rPr>
          <w:rStyle w:val="AERtextitalic"/>
        </w:rPr>
        <w:t>proposal 201</w:t>
      </w:r>
      <w:r>
        <w:rPr>
          <w:rStyle w:val="AERtextitalic"/>
        </w:rPr>
        <w:t>8–</w:t>
      </w:r>
      <w:r w:rsidRPr="00D77305">
        <w:rPr>
          <w:rStyle w:val="AERtextitalic"/>
        </w:rPr>
        <w:t>22</w:t>
      </w:r>
      <w:r>
        <w:t>, January 2016, p. 114.</w:t>
      </w:r>
    </w:p>
  </w:footnote>
  <w:footnote w:id="22">
    <w:p w:rsidR="0082710E" w:rsidRDefault="0082710E" w:rsidP="00840004">
      <w:pPr>
        <w:pStyle w:val="FootnoteText"/>
      </w:pPr>
      <w:r>
        <w:rPr>
          <w:rStyle w:val="FootnoteReference"/>
        </w:rPr>
        <w:footnoteRef/>
      </w:r>
      <w:r>
        <w:t xml:space="preserve"> </w:t>
      </w:r>
      <w:r>
        <w:tab/>
        <w:t xml:space="preserve">AER, </w:t>
      </w:r>
      <w:r>
        <w:rPr>
          <w:rStyle w:val="AERtextitalic"/>
        </w:rPr>
        <w:t>Final – Service Target Performance Incentive Scheme, October2015</w:t>
      </w:r>
      <w:r w:rsidRPr="00D13748">
        <w:rPr>
          <w:rStyle w:val="AERtextitalic"/>
          <w:i w:val="0"/>
        </w:rPr>
        <w:t>, cl. 3.2(e).</w:t>
      </w:r>
      <w:r>
        <w:rPr>
          <w:rStyle w:val="AERtextitalic"/>
        </w:rPr>
        <w:t xml:space="preserve"> </w:t>
      </w:r>
    </w:p>
  </w:footnote>
  <w:footnote w:id="23">
    <w:p w:rsidR="0082710E" w:rsidRDefault="0082710E" w:rsidP="00A0529D">
      <w:pPr>
        <w:pStyle w:val="FootnoteText"/>
      </w:pPr>
      <w:r>
        <w:rPr>
          <w:rStyle w:val="FootnoteReference"/>
        </w:rPr>
        <w:footnoteRef/>
      </w:r>
      <w:r>
        <w:t xml:space="preserve"> </w:t>
      </w:r>
      <w:r>
        <w:tab/>
        <w:t xml:space="preserve">Powerlink, </w:t>
      </w:r>
      <w:r w:rsidRPr="00D77305">
        <w:rPr>
          <w:rStyle w:val="AERtextitalic"/>
        </w:rPr>
        <w:t>Re</w:t>
      </w:r>
      <w:r>
        <w:rPr>
          <w:rStyle w:val="AERtextitalic"/>
        </w:rPr>
        <w:t xml:space="preserve">venue </w:t>
      </w:r>
      <w:r w:rsidRPr="00D77305">
        <w:rPr>
          <w:rStyle w:val="AERtextitalic"/>
        </w:rPr>
        <w:t>proposal 201</w:t>
      </w:r>
      <w:r>
        <w:rPr>
          <w:rStyle w:val="AERtextitalic"/>
        </w:rPr>
        <w:t>8–</w:t>
      </w:r>
      <w:r w:rsidRPr="00D77305">
        <w:rPr>
          <w:rStyle w:val="AERtextitalic"/>
        </w:rPr>
        <w:t>22</w:t>
      </w:r>
      <w:r>
        <w:t>, January 2016, p. 114.</w:t>
      </w:r>
    </w:p>
  </w:footnote>
  <w:footnote w:id="24">
    <w:p w:rsidR="0082710E" w:rsidRDefault="0082710E" w:rsidP="00187C1B">
      <w:pPr>
        <w:pStyle w:val="FootnoteText"/>
      </w:pPr>
      <w:r>
        <w:rPr>
          <w:rStyle w:val="FootnoteReference"/>
        </w:rPr>
        <w:footnoteRef/>
      </w:r>
      <w:r>
        <w:t xml:space="preserve"> </w:t>
      </w:r>
      <w:r>
        <w:tab/>
      </w:r>
      <w:r w:rsidRPr="00187C1B">
        <w:t xml:space="preserve">For example see AER, </w:t>
      </w:r>
      <w:r w:rsidRPr="003E612F">
        <w:rPr>
          <w:rStyle w:val="Emphasis"/>
        </w:rPr>
        <w:t>Final decision – early application of the market impact component of the service target performance incentive scheme for ElectraNet Performance target</w:t>
      </w:r>
      <w:r w:rsidRPr="00187C1B">
        <w:t xml:space="preserve">, </w:t>
      </w:r>
      <w:r w:rsidRPr="00825AE1">
        <w:t>1 December 2010, p.11-12. Available at</w:t>
      </w:r>
      <w:r>
        <w:t xml:space="preserve">: </w:t>
      </w:r>
      <w:r w:rsidRPr="006D00DF">
        <w:t xml:space="preserve">https://www.aer.gov.au/networks-pipelines/guidelines-schemes-models-reviews/electranet-application-for-early-implementation-of-the-market-impact-component-of-stpis-october-2010.    </w:t>
      </w:r>
      <w:r>
        <w:t xml:space="preserve"> </w:t>
      </w:r>
    </w:p>
  </w:footnote>
  <w:footnote w:id="25">
    <w:p w:rsidR="0082710E" w:rsidRDefault="0082710E">
      <w:pPr>
        <w:pStyle w:val="FootnoteText"/>
      </w:pPr>
      <w:r>
        <w:rPr>
          <w:rStyle w:val="FootnoteReference"/>
        </w:rPr>
        <w:footnoteRef/>
      </w:r>
      <w:r>
        <w:t xml:space="preserve"> </w:t>
      </w:r>
      <w:r>
        <w:tab/>
      </w:r>
      <w:r w:rsidRPr="00825AE1">
        <w:t xml:space="preserve">AEMO, </w:t>
      </w:r>
      <w:r w:rsidRPr="003E612F">
        <w:rPr>
          <w:rStyle w:val="Emphasis"/>
        </w:rPr>
        <w:t>Power system insecure in Queensland on 13 October 2015 – an AEMO power system operating incident report for the National Electricity Market</w:t>
      </w:r>
      <w:r w:rsidRPr="00825AE1">
        <w:t xml:space="preserve">, July 2016; AEMO, </w:t>
      </w:r>
      <w:r w:rsidRPr="003E612F">
        <w:rPr>
          <w:rStyle w:val="Emphasis"/>
        </w:rPr>
        <w:t>NEM event – directions to Northern Queensland Generators – 13 October 2015</w:t>
      </w:r>
      <w:r w:rsidRPr="00825AE1">
        <w:t>, 21 July 2016.</w:t>
      </w:r>
    </w:p>
  </w:footnote>
  <w:footnote w:id="26">
    <w:p w:rsidR="0082710E" w:rsidRDefault="0082710E">
      <w:pPr>
        <w:pStyle w:val="FootnoteText"/>
      </w:pPr>
      <w:r>
        <w:rPr>
          <w:rStyle w:val="FootnoteReference"/>
        </w:rPr>
        <w:footnoteRef/>
      </w:r>
      <w:r>
        <w:t xml:space="preserve"> </w:t>
      </w:r>
      <w:r>
        <w:tab/>
        <w:t xml:space="preserve">AER, </w:t>
      </w:r>
      <w:r w:rsidRPr="003E612F">
        <w:rPr>
          <w:rStyle w:val="Emphasis"/>
        </w:rPr>
        <w:t>AER information request – Powerlink - #018 – AER staff assessment of market impact component data</w:t>
      </w:r>
      <w:r>
        <w:t>, 12 August 2016</w:t>
      </w:r>
    </w:p>
  </w:footnote>
  <w:footnote w:id="27">
    <w:p w:rsidR="0082710E" w:rsidRDefault="0082710E">
      <w:pPr>
        <w:pStyle w:val="FootnoteText"/>
      </w:pPr>
      <w:r>
        <w:rPr>
          <w:rStyle w:val="FootnoteReference"/>
        </w:rPr>
        <w:footnoteRef/>
      </w:r>
      <w:r>
        <w:t xml:space="preserve"> </w:t>
      </w:r>
      <w:r>
        <w:tab/>
        <w:t xml:space="preserve">Powerlink, </w:t>
      </w:r>
      <w:r w:rsidRPr="003E612F">
        <w:rPr>
          <w:rStyle w:val="Emphasis"/>
        </w:rPr>
        <w:t>Response to AER information request – Powerlink - #018 – AER staff assessment of market impact component data</w:t>
      </w:r>
      <w:r>
        <w:t xml:space="preserve">, 19 August 2016.  </w:t>
      </w:r>
    </w:p>
  </w:footnote>
  <w:footnote w:id="28">
    <w:p w:rsidR="0082710E" w:rsidRDefault="0082710E">
      <w:pPr>
        <w:pStyle w:val="FootnoteText"/>
      </w:pPr>
      <w:r>
        <w:rPr>
          <w:rStyle w:val="FootnoteReference"/>
        </w:rPr>
        <w:footnoteRef/>
      </w:r>
      <w:r>
        <w:t xml:space="preserve"> </w:t>
      </w:r>
      <w:r>
        <w:tab/>
        <w:t xml:space="preserve">These counts were previously considered in Powerlink's STPIS compliance review for 2012 and 2015. </w:t>
      </w:r>
    </w:p>
  </w:footnote>
  <w:footnote w:id="29">
    <w:p w:rsidR="0082710E" w:rsidRDefault="0082710E">
      <w:pPr>
        <w:pStyle w:val="FootnoteText"/>
      </w:pPr>
      <w:r>
        <w:rPr>
          <w:rStyle w:val="FootnoteReference"/>
        </w:rPr>
        <w:footnoteRef/>
      </w:r>
      <w:r>
        <w:t xml:space="preserve"> </w:t>
      </w:r>
      <w:r>
        <w:tab/>
      </w:r>
      <w:r w:rsidRPr="00DA5AE3">
        <w:t xml:space="preserve">AEMO, </w:t>
      </w:r>
      <w:r w:rsidRPr="003E612F">
        <w:rPr>
          <w:rStyle w:val="Emphasis"/>
        </w:rPr>
        <w:t>Power system insecure in Queensland on 13 October 2015 – an AEMO power system operating incident report for the National Electricity Market</w:t>
      </w:r>
      <w:r w:rsidRPr="00DA5AE3">
        <w:t xml:space="preserve">, July 2016; AEMO, </w:t>
      </w:r>
      <w:r w:rsidRPr="003E612F">
        <w:rPr>
          <w:rStyle w:val="Emphasis"/>
        </w:rPr>
        <w:t>NEM event – directions to Northern Queensland Generators – 13 October 2015</w:t>
      </w:r>
      <w:r w:rsidRPr="00DA5AE3">
        <w:t>, 21 July 2016.</w:t>
      </w:r>
    </w:p>
  </w:footnote>
  <w:footnote w:id="30">
    <w:p w:rsidR="0082710E" w:rsidRDefault="0082710E">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t xml:space="preserve">cl 4.2(h). </w:t>
      </w:r>
    </w:p>
  </w:footnote>
  <w:footnote w:id="31">
    <w:p w:rsidR="0082710E" w:rsidRDefault="0082710E">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t>cl 4.2(j).</w:t>
      </w:r>
    </w:p>
  </w:footnote>
  <w:footnote w:id="32">
    <w:p w:rsidR="0082710E" w:rsidRDefault="0082710E">
      <w:pPr>
        <w:pStyle w:val="FootnoteText"/>
      </w:pPr>
      <w:r>
        <w:rPr>
          <w:rStyle w:val="FootnoteReference"/>
        </w:rPr>
        <w:footnoteRef/>
      </w:r>
      <w:r>
        <w:t xml:space="preserve"> </w:t>
      </w:r>
      <w:r>
        <w:tab/>
      </w:r>
      <w:r w:rsidRPr="008B03D1">
        <w:t xml:space="preserve">AER, Final – Service Target Performance Incentive Scheme, </w:t>
      </w:r>
      <w:r>
        <w:t>October 2015</w:t>
      </w:r>
      <w:r w:rsidRPr="008B03D1">
        <w:t xml:space="preserve">, cl. </w:t>
      </w:r>
      <w:r>
        <w:t>5.2</w:t>
      </w:r>
      <w:r w:rsidRPr="008B03D1">
        <w:t>(</w:t>
      </w:r>
      <w:r>
        <w:t>0</w:t>
      </w:r>
      <w:r w:rsidRPr="008B03D1">
        <w:t>).</w:t>
      </w:r>
    </w:p>
  </w:footnote>
  <w:footnote w:id="33">
    <w:p w:rsidR="0082710E" w:rsidRDefault="0082710E">
      <w:pPr>
        <w:pStyle w:val="FootnoteText"/>
      </w:pPr>
      <w:r>
        <w:rPr>
          <w:rStyle w:val="FootnoteReference"/>
        </w:rPr>
        <w:footnoteRef/>
      </w:r>
      <w:r>
        <w:t xml:space="preserve"> </w:t>
      </w:r>
      <w:r>
        <w:tab/>
      </w:r>
      <w:r w:rsidRPr="00EB3D40">
        <w:t>AER, Final – Service Target Performance Incentive Scheme, October 2015, cl. 5.2(0).</w:t>
      </w:r>
    </w:p>
  </w:footnote>
  <w:footnote w:id="34">
    <w:p w:rsidR="0082710E" w:rsidRDefault="0082710E" w:rsidP="00F5052F">
      <w:pPr>
        <w:pStyle w:val="FootnoteText"/>
      </w:pPr>
      <w:r>
        <w:rPr>
          <w:rStyle w:val="FootnoteReference"/>
        </w:rPr>
        <w:footnoteRef/>
      </w:r>
      <w:r>
        <w:t xml:space="preserve"> </w:t>
      </w:r>
      <w:r>
        <w:tab/>
        <w:t>CCP</w:t>
      </w:r>
      <w:r w:rsidR="00AF3728">
        <w:t xml:space="preserve"> (Hugh Grant and David Headberry)</w:t>
      </w:r>
      <w:r>
        <w:t xml:space="preserve">, </w:t>
      </w:r>
      <w:r w:rsidRPr="00AF3728">
        <w:rPr>
          <w:rStyle w:val="Emphasis"/>
        </w:rPr>
        <w:t>Submission to the AER</w:t>
      </w:r>
      <w:r w:rsidR="00AF3728" w:rsidRPr="00AF3728">
        <w:rPr>
          <w:rStyle w:val="Emphasis"/>
        </w:rPr>
        <w:t>,</w:t>
      </w:r>
      <w:r w:rsidRPr="00AF3728">
        <w:rPr>
          <w:rStyle w:val="Emphasis"/>
        </w:rPr>
        <w:t xml:space="preserve"> Powerlink Queensland 2018–22 </w:t>
      </w:r>
      <w:r w:rsidR="00AF3728" w:rsidRPr="00AF3728">
        <w:rPr>
          <w:rStyle w:val="Emphasis"/>
        </w:rPr>
        <w:t>r</w:t>
      </w:r>
      <w:r w:rsidRPr="00AF3728">
        <w:rPr>
          <w:rStyle w:val="Emphasis"/>
        </w:rPr>
        <w:t xml:space="preserve">evenue </w:t>
      </w:r>
      <w:r w:rsidR="00AF3728" w:rsidRPr="00AF3728">
        <w:rPr>
          <w:rStyle w:val="Emphasis"/>
        </w:rPr>
        <w:t>p</w:t>
      </w:r>
      <w:r w:rsidRPr="00AF3728">
        <w:rPr>
          <w:rStyle w:val="Emphasis"/>
        </w:rPr>
        <w:t>roposal</w:t>
      </w:r>
      <w:r>
        <w:t xml:space="preserve">, </w:t>
      </w:r>
      <w:r w:rsidR="00AF3728">
        <w:t>20 </w:t>
      </w:r>
      <w:r w:rsidRPr="00F5052F">
        <w:t>June</w:t>
      </w:r>
      <w:r>
        <w:t xml:space="preserve"> </w:t>
      </w:r>
      <w:r w:rsidRPr="00F5052F">
        <w:t>2016</w:t>
      </w:r>
      <w:r>
        <w:t xml:space="preserve">, p. 87. </w:t>
      </w:r>
    </w:p>
  </w:footnote>
  <w:footnote w:id="35">
    <w:p w:rsidR="0082710E" w:rsidRDefault="0082710E">
      <w:pPr>
        <w:pStyle w:val="FootnoteText"/>
      </w:pPr>
      <w:r>
        <w:rPr>
          <w:rStyle w:val="FootnoteReference"/>
        </w:rPr>
        <w:footnoteRef/>
      </w:r>
      <w:r>
        <w:t xml:space="preserve"> </w:t>
      </w:r>
      <w:r>
        <w:tab/>
        <w:t>Powerlink, 2018–22 Powerlink Queensland Revenue Proposal,</w:t>
      </w:r>
      <w:r w:rsidRPr="00BE34C7">
        <w:t xml:space="preserve"> Appendix</w:t>
      </w:r>
      <w:r>
        <w:t xml:space="preserve"> </w:t>
      </w:r>
      <w:r w:rsidRPr="00BE34C7">
        <w:t>15.03</w:t>
      </w:r>
      <w:r>
        <w:t xml:space="preserve"> Powerlink Queensland </w:t>
      </w:r>
      <w:r w:rsidRPr="00BE34C7">
        <w:t>Network Capability Incentive Param</w:t>
      </w:r>
      <w:r>
        <w:t xml:space="preserve">eter Action Plan, January 2016, pp. 9–10; Powerlink, </w:t>
      </w:r>
      <w:r w:rsidRPr="00E50CEC">
        <w:t>Project Proposal for Increase Design Temperature Bouldercombe to Raglan and Larcom Creek to Calliope River 275kV transmission lines</w:t>
      </w:r>
      <w:r>
        <w:t>, 12 October 2015.</w:t>
      </w:r>
    </w:p>
  </w:footnote>
  <w:footnote w:id="36">
    <w:p w:rsidR="0082710E" w:rsidRDefault="0082710E">
      <w:pPr>
        <w:pStyle w:val="FootnoteText"/>
      </w:pPr>
      <w:r>
        <w:rPr>
          <w:rStyle w:val="FootnoteReference"/>
        </w:rPr>
        <w:footnoteRef/>
      </w:r>
      <w:r>
        <w:t xml:space="preserve"> </w:t>
      </w:r>
      <w:r>
        <w:tab/>
      </w:r>
      <w:r w:rsidRPr="004A35AE">
        <w:t>Powerlink, 2018–22 Powerlink Queensland Revenue Proposal, Appendix 15.03 Powerlink Queensland Network Capability Incentive Parameter Action Plan, January 2016, p. 10</w:t>
      </w:r>
      <w:r>
        <w:t>.</w:t>
      </w:r>
    </w:p>
  </w:footnote>
  <w:footnote w:id="37">
    <w:p w:rsidR="0082710E" w:rsidRDefault="0082710E" w:rsidP="004A35AE">
      <w:pPr>
        <w:pStyle w:val="FootnoteText"/>
      </w:pPr>
      <w:r>
        <w:rPr>
          <w:rStyle w:val="FootnoteReference"/>
        </w:rPr>
        <w:footnoteRef/>
      </w:r>
      <w:r>
        <w:t xml:space="preserve"> </w:t>
      </w:r>
      <w:r>
        <w:tab/>
        <w:t xml:space="preserve">AEMO, Letter Re: </w:t>
      </w:r>
      <w:r w:rsidRPr="004A35AE">
        <w:t>Confirmation of Powerlink’s Network Capability</w:t>
      </w:r>
      <w:r>
        <w:t xml:space="preserve"> </w:t>
      </w:r>
      <w:r w:rsidRPr="004A35AE">
        <w:t>Incentive Parameter Action Plan (NCIPAP)</w:t>
      </w:r>
      <w:r>
        <w:t xml:space="preserve"> </w:t>
      </w:r>
      <w:r w:rsidRPr="004A35AE">
        <w:t>for Regulatory Period 2017</w:t>
      </w:r>
      <w:r>
        <w:t>–</w:t>
      </w:r>
      <w:r w:rsidRPr="004A35AE">
        <w:t>18 to 2021</w:t>
      </w:r>
      <w:r>
        <w:t>–</w:t>
      </w:r>
      <w:r w:rsidRPr="004A35AE">
        <w:t>22</w:t>
      </w:r>
      <w:r>
        <w:t>, 22, December 2015, p. 2.</w:t>
      </w:r>
    </w:p>
  </w:footnote>
  <w:footnote w:id="38">
    <w:p w:rsidR="0082710E" w:rsidRDefault="0082710E">
      <w:pPr>
        <w:pStyle w:val="FootnoteText"/>
      </w:pPr>
      <w:r>
        <w:rPr>
          <w:rStyle w:val="FootnoteReference"/>
        </w:rPr>
        <w:footnoteRef/>
      </w:r>
      <w:r>
        <w:t xml:space="preserve"> </w:t>
      </w:r>
      <w:r>
        <w:tab/>
      </w:r>
      <w:r w:rsidRPr="00EB3D40">
        <w:t>AER, Final – Service Target Performance Incentive Scheme, October 2015, cl. 5.2(</w:t>
      </w:r>
      <w:r>
        <w:t>n</w:t>
      </w:r>
      <w:r w:rsidRPr="00EB3D40">
        <w:t>).</w:t>
      </w:r>
    </w:p>
  </w:footnote>
  <w:footnote w:id="39">
    <w:p w:rsidR="0082710E" w:rsidRDefault="0082710E">
      <w:pPr>
        <w:pStyle w:val="FootnoteText"/>
      </w:pPr>
      <w:r>
        <w:rPr>
          <w:rStyle w:val="FootnoteReference"/>
        </w:rPr>
        <w:footnoteRef/>
      </w:r>
      <w:r>
        <w:t xml:space="preserve"> </w:t>
      </w:r>
      <w:r>
        <w:tab/>
      </w:r>
      <w:r w:rsidRPr="005417AB">
        <w:t>Powerlink, 2018–22 Powerlink Queensland Revenue Proposal, Appendix 15.03 Powerlink Queensland Network Capability Incentive Parameter Action Plan, January 2016, p</w:t>
      </w:r>
      <w:r>
        <w:t>p</w:t>
      </w:r>
      <w:r w:rsidRPr="005417AB">
        <w:t>. 1</w:t>
      </w:r>
      <w:r>
        <w:t>3–15.</w:t>
      </w:r>
    </w:p>
  </w:footnote>
  <w:footnote w:id="40">
    <w:p w:rsidR="0082710E" w:rsidRDefault="0082710E">
      <w:pPr>
        <w:pStyle w:val="FootnoteText"/>
      </w:pPr>
      <w:r>
        <w:rPr>
          <w:rStyle w:val="FootnoteReference"/>
        </w:rPr>
        <w:footnoteRef/>
      </w:r>
      <w:r>
        <w:t xml:space="preserve"> </w:t>
      </w:r>
      <w:r>
        <w:tab/>
      </w:r>
      <w:r w:rsidRPr="00204FDE">
        <w:t>Powerlink, 2018–22 Powerlink Queensland Revenue Proposal, Appendix 15.03 Powerlink Queensland Network Capability Incentive Parameter Action Plan, January 2016, p. 1</w:t>
      </w:r>
      <w:r>
        <w:t>4.</w:t>
      </w:r>
    </w:p>
  </w:footnote>
  <w:footnote w:id="41">
    <w:p w:rsidR="0082710E" w:rsidRDefault="0082710E" w:rsidP="005417AB">
      <w:pPr>
        <w:pStyle w:val="FootnoteText"/>
      </w:pPr>
      <w:r>
        <w:rPr>
          <w:rStyle w:val="FootnoteReference"/>
        </w:rPr>
        <w:footnoteRef/>
      </w:r>
      <w:r>
        <w:t xml:space="preserve"> </w:t>
      </w:r>
      <w:r>
        <w:tab/>
        <w:t xml:space="preserve">AER, </w:t>
      </w:r>
      <w:r w:rsidRPr="003E612F">
        <w:rPr>
          <w:rStyle w:val="AERtextitalic"/>
        </w:rPr>
        <w:t>Final Decision Early application of the network capability component of the service target performance incentive scheme for ElectraNet</w:t>
      </w:r>
      <w:r>
        <w:t xml:space="preserve">, May 2015, p. 4.  </w:t>
      </w:r>
    </w:p>
  </w:footnote>
  <w:footnote w:id="42">
    <w:p w:rsidR="0082710E" w:rsidRDefault="0082710E">
      <w:pPr>
        <w:pStyle w:val="FootnoteText"/>
      </w:pPr>
      <w:r>
        <w:rPr>
          <w:rStyle w:val="FootnoteReference"/>
        </w:rPr>
        <w:footnoteRef/>
      </w:r>
      <w:r>
        <w:t xml:space="preserve"> </w:t>
      </w:r>
      <w:r>
        <w:tab/>
        <w:t xml:space="preserve">NER, cl. </w:t>
      </w:r>
      <w:r w:rsidRPr="00DD2915">
        <w:t>6A.6.7(c)(1).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0E" w:rsidRDefault="00827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BEC293F"/>
    <w:multiLevelType w:val="hybridMultilevel"/>
    <w:tmpl w:val="2BBC2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147075E4"/>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1"/>
  </w:num>
  <w:num w:numId="15">
    <w:abstractNumId w:val="14"/>
  </w:num>
  <w:num w:numId="16">
    <w:abstractNumId w:val="23"/>
  </w:num>
  <w:num w:numId="17">
    <w:abstractNumId w:val="10"/>
  </w:num>
  <w:num w:numId="18">
    <w:abstractNumId w:val="16"/>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19"/>
  </w:num>
  <w:num w:numId="27">
    <w:abstractNumId w:val="15"/>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7"/>
  </w:num>
  <w:num w:numId="37">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sXO1vwMWMQSviR5bkl24IXIOtHlXI6JxP8r3CW1kJ4=" w:saltValue="q0LtIYUTUWHVg3fXSSvGRw==" w:algorithmName="SHA-256"/>
  <w:defaultTabStop w:val="34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11 - stpis - september 2016 (D2015-00169026).docx"/>
  </w:docVars>
  <w:rsids>
    <w:rsidRoot w:val="00961A4A"/>
    <w:rsid w:val="000051DC"/>
    <w:rsid w:val="0000658F"/>
    <w:rsid w:val="000114FD"/>
    <w:rsid w:val="0001507B"/>
    <w:rsid w:val="00020016"/>
    <w:rsid w:val="00021202"/>
    <w:rsid w:val="00021C2B"/>
    <w:rsid w:val="0002498B"/>
    <w:rsid w:val="00025101"/>
    <w:rsid w:val="0002517F"/>
    <w:rsid w:val="00026187"/>
    <w:rsid w:val="000266FC"/>
    <w:rsid w:val="000273B3"/>
    <w:rsid w:val="00027E2D"/>
    <w:rsid w:val="0003578C"/>
    <w:rsid w:val="00044DA3"/>
    <w:rsid w:val="0004527E"/>
    <w:rsid w:val="000474DF"/>
    <w:rsid w:val="00055A67"/>
    <w:rsid w:val="00062DF9"/>
    <w:rsid w:val="00063247"/>
    <w:rsid w:val="0006624E"/>
    <w:rsid w:val="00070F9F"/>
    <w:rsid w:val="0007137B"/>
    <w:rsid w:val="00072754"/>
    <w:rsid w:val="00073B74"/>
    <w:rsid w:val="00076416"/>
    <w:rsid w:val="000805A8"/>
    <w:rsid w:val="0008190B"/>
    <w:rsid w:val="000836D9"/>
    <w:rsid w:val="00085663"/>
    <w:rsid w:val="00085EBF"/>
    <w:rsid w:val="00091B15"/>
    <w:rsid w:val="00095186"/>
    <w:rsid w:val="000A08DB"/>
    <w:rsid w:val="000A0E71"/>
    <w:rsid w:val="000A1C0C"/>
    <w:rsid w:val="000A3020"/>
    <w:rsid w:val="000A4840"/>
    <w:rsid w:val="000A62C1"/>
    <w:rsid w:val="000A6A79"/>
    <w:rsid w:val="000A6C7B"/>
    <w:rsid w:val="000B0A7B"/>
    <w:rsid w:val="000B1173"/>
    <w:rsid w:val="000B5190"/>
    <w:rsid w:val="000B5827"/>
    <w:rsid w:val="000B69C3"/>
    <w:rsid w:val="000B7037"/>
    <w:rsid w:val="000C02D1"/>
    <w:rsid w:val="000C2B40"/>
    <w:rsid w:val="000C5255"/>
    <w:rsid w:val="000D07A7"/>
    <w:rsid w:val="000D0883"/>
    <w:rsid w:val="000D122C"/>
    <w:rsid w:val="000D4945"/>
    <w:rsid w:val="000D658A"/>
    <w:rsid w:val="000D75B0"/>
    <w:rsid w:val="000E1819"/>
    <w:rsid w:val="000E39E4"/>
    <w:rsid w:val="000E3F3F"/>
    <w:rsid w:val="000E4821"/>
    <w:rsid w:val="000E4AA9"/>
    <w:rsid w:val="000E6C72"/>
    <w:rsid w:val="000E7F39"/>
    <w:rsid w:val="00100EA2"/>
    <w:rsid w:val="00101AA1"/>
    <w:rsid w:val="00102338"/>
    <w:rsid w:val="00104566"/>
    <w:rsid w:val="00104FF6"/>
    <w:rsid w:val="00105C82"/>
    <w:rsid w:val="001114AA"/>
    <w:rsid w:val="00113485"/>
    <w:rsid w:val="00115743"/>
    <w:rsid w:val="00116EB2"/>
    <w:rsid w:val="0012132C"/>
    <w:rsid w:val="00124609"/>
    <w:rsid w:val="00125EEB"/>
    <w:rsid w:val="00126A4C"/>
    <w:rsid w:val="001270E3"/>
    <w:rsid w:val="00132D43"/>
    <w:rsid w:val="00133366"/>
    <w:rsid w:val="00133F47"/>
    <w:rsid w:val="00134029"/>
    <w:rsid w:val="001360D1"/>
    <w:rsid w:val="00137883"/>
    <w:rsid w:val="00142508"/>
    <w:rsid w:val="00142C2D"/>
    <w:rsid w:val="00144C96"/>
    <w:rsid w:val="0014573B"/>
    <w:rsid w:val="001463A3"/>
    <w:rsid w:val="0015073A"/>
    <w:rsid w:val="00156861"/>
    <w:rsid w:val="001573E4"/>
    <w:rsid w:val="00160756"/>
    <w:rsid w:val="00161DC8"/>
    <w:rsid w:val="00166760"/>
    <w:rsid w:val="0017021D"/>
    <w:rsid w:val="0017232E"/>
    <w:rsid w:val="00174102"/>
    <w:rsid w:val="001754EE"/>
    <w:rsid w:val="00175EC3"/>
    <w:rsid w:val="00180157"/>
    <w:rsid w:val="001809BC"/>
    <w:rsid w:val="00180E97"/>
    <w:rsid w:val="00180FEC"/>
    <w:rsid w:val="001820B4"/>
    <w:rsid w:val="00184351"/>
    <w:rsid w:val="00184AC8"/>
    <w:rsid w:val="00185CB9"/>
    <w:rsid w:val="00185DBE"/>
    <w:rsid w:val="00186ADC"/>
    <w:rsid w:val="00186F77"/>
    <w:rsid w:val="001877A4"/>
    <w:rsid w:val="00187C1B"/>
    <w:rsid w:val="001926A4"/>
    <w:rsid w:val="00192AD5"/>
    <w:rsid w:val="00194597"/>
    <w:rsid w:val="00194E00"/>
    <w:rsid w:val="0019745E"/>
    <w:rsid w:val="001A530D"/>
    <w:rsid w:val="001A5786"/>
    <w:rsid w:val="001A5FB3"/>
    <w:rsid w:val="001A66E0"/>
    <w:rsid w:val="001A7155"/>
    <w:rsid w:val="001B45A0"/>
    <w:rsid w:val="001B680E"/>
    <w:rsid w:val="001C0547"/>
    <w:rsid w:val="001D055E"/>
    <w:rsid w:val="001E1B3F"/>
    <w:rsid w:val="001E7161"/>
    <w:rsid w:val="001F05A4"/>
    <w:rsid w:val="001F0722"/>
    <w:rsid w:val="001F3D4A"/>
    <w:rsid w:val="001F492E"/>
    <w:rsid w:val="001F64EF"/>
    <w:rsid w:val="001F6DA3"/>
    <w:rsid w:val="002010BC"/>
    <w:rsid w:val="002016E7"/>
    <w:rsid w:val="00202E03"/>
    <w:rsid w:val="002033B9"/>
    <w:rsid w:val="002043D0"/>
    <w:rsid w:val="0020492C"/>
    <w:rsid w:val="00204EC9"/>
    <w:rsid w:val="00204FDE"/>
    <w:rsid w:val="00206505"/>
    <w:rsid w:val="0020743F"/>
    <w:rsid w:val="00212A97"/>
    <w:rsid w:val="00216C93"/>
    <w:rsid w:val="0022039A"/>
    <w:rsid w:val="0022142B"/>
    <w:rsid w:val="00223051"/>
    <w:rsid w:val="00224DB9"/>
    <w:rsid w:val="0022569A"/>
    <w:rsid w:val="00227FA5"/>
    <w:rsid w:val="0023005C"/>
    <w:rsid w:val="00231012"/>
    <w:rsid w:val="00233775"/>
    <w:rsid w:val="0023414B"/>
    <w:rsid w:val="00243635"/>
    <w:rsid w:val="00247079"/>
    <w:rsid w:val="00251745"/>
    <w:rsid w:val="002552BA"/>
    <w:rsid w:val="002577F0"/>
    <w:rsid w:val="00260016"/>
    <w:rsid w:val="00263AC0"/>
    <w:rsid w:val="00264264"/>
    <w:rsid w:val="0026689B"/>
    <w:rsid w:val="0026772D"/>
    <w:rsid w:val="002730B2"/>
    <w:rsid w:val="00274C7E"/>
    <w:rsid w:val="002777CF"/>
    <w:rsid w:val="002810F2"/>
    <w:rsid w:val="00286874"/>
    <w:rsid w:val="00290C63"/>
    <w:rsid w:val="00291A99"/>
    <w:rsid w:val="00292FDE"/>
    <w:rsid w:val="00293B6D"/>
    <w:rsid w:val="00294B08"/>
    <w:rsid w:val="0029518C"/>
    <w:rsid w:val="0029588D"/>
    <w:rsid w:val="002963DD"/>
    <w:rsid w:val="00296B65"/>
    <w:rsid w:val="002A0019"/>
    <w:rsid w:val="002A7DEF"/>
    <w:rsid w:val="002A7E84"/>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2F21"/>
    <w:rsid w:val="00314D83"/>
    <w:rsid w:val="0031571F"/>
    <w:rsid w:val="003177A2"/>
    <w:rsid w:val="003177AA"/>
    <w:rsid w:val="00317E02"/>
    <w:rsid w:val="003235E6"/>
    <w:rsid w:val="003271B5"/>
    <w:rsid w:val="0032798B"/>
    <w:rsid w:val="00327A1E"/>
    <w:rsid w:val="00327E28"/>
    <w:rsid w:val="00331264"/>
    <w:rsid w:val="00334C8D"/>
    <w:rsid w:val="003378BD"/>
    <w:rsid w:val="003424EA"/>
    <w:rsid w:val="00342C2F"/>
    <w:rsid w:val="003436EB"/>
    <w:rsid w:val="00343A18"/>
    <w:rsid w:val="00345744"/>
    <w:rsid w:val="003518B3"/>
    <w:rsid w:val="00353E79"/>
    <w:rsid w:val="00362211"/>
    <w:rsid w:val="00364EA0"/>
    <w:rsid w:val="00366981"/>
    <w:rsid w:val="00370678"/>
    <w:rsid w:val="0037214E"/>
    <w:rsid w:val="00372C85"/>
    <w:rsid w:val="00373845"/>
    <w:rsid w:val="003744E3"/>
    <w:rsid w:val="00375F71"/>
    <w:rsid w:val="00376219"/>
    <w:rsid w:val="0037663E"/>
    <w:rsid w:val="00377A29"/>
    <w:rsid w:val="00377C69"/>
    <w:rsid w:val="003806A6"/>
    <w:rsid w:val="0038415D"/>
    <w:rsid w:val="0038461C"/>
    <w:rsid w:val="003846F1"/>
    <w:rsid w:val="003877A8"/>
    <w:rsid w:val="00390E6A"/>
    <w:rsid w:val="00393ABE"/>
    <w:rsid w:val="00395DB6"/>
    <w:rsid w:val="00395EAA"/>
    <w:rsid w:val="00397398"/>
    <w:rsid w:val="003A371A"/>
    <w:rsid w:val="003A59CD"/>
    <w:rsid w:val="003A6B00"/>
    <w:rsid w:val="003B0D24"/>
    <w:rsid w:val="003B30B2"/>
    <w:rsid w:val="003B484F"/>
    <w:rsid w:val="003B504B"/>
    <w:rsid w:val="003B5179"/>
    <w:rsid w:val="003B685C"/>
    <w:rsid w:val="003B6955"/>
    <w:rsid w:val="003B7FBA"/>
    <w:rsid w:val="003C6537"/>
    <w:rsid w:val="003C6A13"/>
    <w:rsid w:val="003C764A"/>
    <w:rsid w:val="003C78BA"/>
    <w:rsid w:val="003D0949"/>
    <w:rsid w:val="003D41F1"/>
    <w:rsid w:val="003D42AB"/>
    <w:rsid w:val="003D5B94"/>
    <w:rsid w:val="003E0D3A"/>
    <w:rsid w:val="003E3AAB"/>
    <w:rsid w:val="003E612F"/>
    <w:rsid w:val="003E7FE9"/>
    <w:rsid w:val="003F07D4"/>
    <w:rsid w:val="003F174D"/>
    <w:rsid w:val="003F221C"/>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2F9F"/>
    <w:rsid w:val="0045777E"/>
    <w:rsid w:val="00457B08"/>
    <w:rsid w:val="00465258"/>
    <w:rsid w:val="004740A3"/>
    <w:rsid w:val="00474A34"/>
    <w:rsid w:val="004755FB"/>
    <w:rsid w:val="00476221"/>
    <w:rsid w:val="004766F5"/>
    <w:rsid w:val="00480B4B"/>
    <w:rsid w:val="004838D8"/>
    <w:rsid w:val="00485DC4"/>
    <w:rsid w:val="00487DE9"/>
    <w:rsid w:val="00494D04"/>
    <w:rsid w:val="004A097F"/>
    <w:rsid w:val="004A35AE"/>
    <w:rsid w:val="004A40BA"/>
    <w:rsid w:val="004A43D1"/>
    <w:rsid w:val="004B4412"/>
    <w:rsid w:val="004C348C"/>
    <w:rsid w:val="004C462E"/>
    <w:rsid w:val="004C6CA3"/>
    <w:rsid w:val="004C7F5E"/>
    <w:rsid w:val="004D343C"/>
    <w:rsid w:val="004D372A"/>
    <w:rsid w:val="004D55BA"/>
    <w:rsid w:val="004D720C"/>
    <w:rsid w:val="004E0FA7"/>
    <w:rsid w:val="004E22EC"/>
    <w:rsid w:val="004E61EF"/>
    <w:rsid w:val="004F0BFA"/>
    <w:rsid w:val="004F4D69"/>
    <w:rsid w:val="004F6883"/>
    <w:rsid w:val="004F6A0E"/>
    <w:rsid w:val="004F6BB3"/>
    <w:rsid w:val="005009CD"/>
    <w:rsid w:val="00504E5F"/>
    <w:rsid w:val="0051337E"/>
    <w:rsid w:val="00513FA7"/>
    <w:rsid w:val="00516AB4"/>
    <w:rsid w:val="0051768F"/>
    <w:rsid w:val="00522DC2"/>
    <w:rsid w:val="005243DB"/>
    <w:rsid w:val="00530128"/>
    <w:rsid w:val="00532467"/>
    <w:rsid w:val="005332A9"/>
    <w:rsid w:val="0053603C"/>
    <w:rsid w:val="00537871"/>
    <w:rsid w:val="005417AB"/>
    <w:rsid w:val="00542FE9"/>
    <w:rsid w:val="0054455A"/>
    <w:rsid w:val="00544598"/>
    <w:rsid w:val="00544C8D"/>
    <w:rsid w:val="00544DFD"/>
    <w:rsid w:val="00556B1E"/>
    <w:rsid w:val="00561DCE"/>
    <w:rsid w:val="00564A4D"/>
    <w:rsid w:val="0056598C"/>
    <w:rsid w:val="00566E0B"/>
    <w:rsid w:val="00567BA5"/>
    <w:rsid w:val="00571B35"/>
    <w:rsid w:val="00571B43"/>
    <w:rsid w:val="00571D57"/>
    <w:rsid w:val="00573A3B"/>
    <w:rsid w:val="005768BC"/>
    <w:rsid w:val="00577716"/>
    <w:rsid w:val="00577A09"/>
    <w:rsid w:val="005829C2"/>
    <w:rsid w:val="00584D8F"/>
    <w:rsid w:val="00587A18"/>
    <w:rsid w:val="00590497"/>
    <w:rsid w:val="005A0BEC"/>
    <w:rsid w:val="005A171D"/>
    <w:rsid w:val="005A404D"/>
    <w:rsid w:val="005B1E3C"/>
    <w:rsid w:val="005B6518"/>
    <w:rsid w:val="005B704A"/>
    <w:rsid w:val="005B72D7"/>
    <w:rsid w:val="005C045F"/>
    <w:rsid w:val="005C16FE"/>
    <w:rsid w:val="005C1FAB"/>
    <w:rsid w:val="005C21A4"/>
    <w:rsid w:val="005C26CC"/>
    <w:rsid w:val="005D3D88"/>
    <w:rsid w:val="005D48C4"/>
    <w:rsid w:val="005D6208"/>
    <w:rsid w:val="005D6366"/>
    <w:rsid w:val="005D7BA2"/>
    <w:rsid w:val="005E36C2"/>
    <w:rsid w:val="005E49B7"/>
    <w:rsid w:val="005E4AF4"/>
    <w:rsid w:val="005E7969"/>
    <w:rsid w:val="005F387E"/>
    <w:rsid w:val="00601E0B"/>
    <w:rsid w:val="0060258B"/>
    <w:rsid w:val="00603EEB"/>
    <w:rsid w:val="00610EF9"/>
    <w:rsid w:val="00612F4F"/>
    <w:rsid w:val="00614EA0"/>
    <w:rsid w:val="00615C6B"/>
    <w:rsid w:val="00617D4C"/>
    <w:rsid w:val="00621DCE"/>
    <w:rsid w:val="00621FC5"/>
    <w:rsid w:val="00624F2C"/>
    <w:rsid w:val="00632D6D"/>
    <w:rsid w:val="00636569"/>
    <w:rsid w:val="00636EF9"/>
    <w:rsid w:val="00640AFF"/>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B80"/>
    <w:rsid w:val="006A560C"/>
    <w:rsid w:val="006A66A1"/>
    <w:rsid w:val="006B032D"/>
    <w:rsid w:val="006B2395"/>
    <w:rsid w:val="006B40AC"/>
    <w:rsid w:val="006B4CF9"/>
    <w:rsid w:val="006B797C"/>
    <w:rsid w:val="006B7AC8"/>
    <w:rsid w:val="006C1736"/>
    <w:rsid w:val="006C329B"/>
    <w:rsid w:val="006C6303"/>
    <w:rsid w:val="006D00DF"/>
    <w:rsid w:val="006D550F"/>
    <w:rsid w:val="006D6146"/>
    <w:rsid w:val="006D7F7E"/>
    <w:rsid w:val="006E0CFF"/>
    <w:rsid w:val="006E2BD6"/>
    <w:rsid w:val="006F0D92"/>
    <w:rsid w:val="006F267D"/>
    <w:rsid w:val="0070011E"/>
    <w:rsid w:val="00701CAB"/>
    <w:rsid w:val="007023BB"/>
    <w:rsid w:val="00704DD7"/>
    <w:rsid w:val="00707563"/>
    <w:rsid w:val="00712FE4"/>
    <w:rsid w:val="00715F61"/>
    <w:rsid w:val="00717794"/>
    <w:rsid w:val="00722132"/>
    <w:rsid w:val="007228F7"/>
    <w:rsid w:val="0072348C"/>
    <w:rsid w:val="00724738"/>
    <w:rsid w:val="00724A37"/>
    <w:rsid w:val="007303C3"/>
    <w:rsid w:val="00731188"/>
    <w:rsid w:val="007324B5"/>
    <w:rsid w:val="007356CC"/>
    <w:rsid w:val="007368E6"/>
    <w:rsid w:val="007375DF"/>
    <w:rsid w:val="007429BE"/>
    <w:rsid w:val="00743223"/>
    <w:rsid w:val="00743349"/>
    <w:rsid w:val="0074403A"/>
    <w:rsid w:val="00746E01"/>
    <w:rsid w:val="00751DCD"/>
    <w:rsid w:val="00755084"/>
    <w:rsid w:val="00757335"/>
    <w:rsid w:val="00757364"/>
    <w:rsid w:val="00757BDF"/>
    <w:rsid w:val="007609D0"/>
    <w:rsid w:val="00761454"/>
    <w:rsid w:val="0076193D"/>
    <w:rsid w:val="00763E5D"/>
    <w:rsid w:val="00767740"/>
    <w:rsid w:val="00767B5E"/>
    <w:rsid w:val="00775460"/>
    <w:rsid w:val="00776FF2"/>
    <w:rsid w:val="00777EE6"/>
    <w:rsid w:val="00782EEA"/>
    <w:rsid w:val="007909B4"/>
    <w:rsid w:val="00790D4D"/>
    <w:rsid w:val="00790E86"/>
    <w:rsid w:val="007949D7"/>
    <w:rsid w:val="007A0143"/>
    <w:rsid w:val="007A2FBE"/>
    <w:rsid w:val="007A34C2"/>
    <w:rsid w:val="007A396C"/>
    <w:rsid w:val="007B0BE3"/>
    <w:rsid w:val="007B1816"/>
    <w:rsid w:val="007B186E"/>
    <w:rsid w:val="007B25DC"/>
    <w:rsid w:val="007B2C72"/>
    <w:rsid w:val="007B3789"/>
    <w:rsid w:val="007B5617"/>
    <w:rsid w:val="007B651F"/>
    <w:rsid w:val="007B7BB5"/>
    <w:rsid w:val="007C1C53"/>
    <w:rsid w:val="007C284C"/>
    <w:rsid w:val="007C4B82"/>
    <w:rsid w:val="007C74BB"/>
    <w:rsid w:val="007C7F64"/>
    <w:rsid w:val="007D05CD"/>
    <w:rsid w:val="007D0A95"/>
    <w:rsid w:val="007D0EB5"/>
    <w:rsid w:val="007D456E"/>
    <w:rsid w:val="007D4AD9"/>
    <w:rsid w:val="007D5837"/>
    <w:rsid w:val="007E4904"/>
    <w:rsid w:val="007E4CB5"/>
    <w:rsid w:val="007E4DAE"/>
    <w:rsid w:val="007F066B"/>
    <w:rsid w:val="007F4EAB"/>
    <w:rsid w:val="007F5B16"/>
    <w:rsid w:val="007F5F0D"/>
    <w:rsid w:val="007F7C9D"/>
    <w:rsid w:val="008033C4"/>
    <w:rsid w:val="00806731"/>
    <w:rsid w:val="00806C88"/>
    <w:rsid w:val="0081034E"/>
    <w:rsid w:val="00810806"/>
    <w:rsid w:val="00815882"/>
    <w:rsid w:val="00820454"/>
    <w:rsid w:val="00822AC7"/>
    <w:rsid w:val="00822E86"/>
    <w:rsid w:val="00825AE1"/>
    <w:rsid w:val="0082710E"/>
    <w:rsid w:val="008302E5"/>
    <w:rsid w:val="008344F6"/>
    <w:rsid w:val="0083510F"/>
    <w:rsid w:val="00837BF3"/>
    <w:rsid w:val="00840004"/>
    <w:rsid w:val="008415DE"/>
    <w:rsid w:val="008420DE"/>
    <w:rsid w:val="00845865"/>
    <w:rsid w:val="0084799B"/>
    <w:rsid w:val="00850C90"/>
    <w:rsid w:val="00851209"/>
    <w:rsid w:val="0085171F"/>
    <w:rsid w:val="00862CB3"/>
    <w:rsid w:val="008658A1"/>
    <w:rsid w:val="0086716A"/>
    <w:rsid w:val="00870613"/>
    <w:rsid w:val="008717CF"/>
    <w:rsid w:val="0087380F"/>
    <w:rsid w:val="0087648F"/>
    <w:rsid w:val="00876612"/>
    <w:rsid w:val="00882BB1"/>
    <w:rsid w:val="008837AC"/>
    <w:rsid w:val="008909DC"/>
    <w:rsid w:val="00894255"/>
    <w:rsid w:val="008945AD"/>
    <w:rsid w:val="008A0645"/>
    <w:rsid w:val="008A1C02"/>
    <w:rsid w:val="008A370D"/>
    <w:rsid w:val="008A587D"/>
    <w:rsid w:val="008B03D1"/>
    <w:rsid w:val="008B16B0"/>
    <w:rsid w:val="008B1BD5"/>
    <w:rsid w:val="008B2D39"/>
    <w:rsid w:val="008B35CD"/>
    <w:rsid w:val="008B4093"/>
    <w:rsid w:val="008B5FCC"/>
    <w:rsid w:val="008B7F36"/>
    <w:rsid w:val="008C1BB7"/>
    <w:rsid w:val="008C357F"/>
    <w:rsid w:val="008C5486"/>
    <w:rsid w:val="008D1661"/>
    <w:rsid w:val="008D213C"/>
    <w:rsid w:val="008D27E0"/>
    <w:rsid w:val="008D581B"/>
    <w:rsid w:val="008D5F90"/>
    <w:rsid w:val="008D6800"/>
    <w:rsid w:val="008D72F1"/>
    <w:rsid w:val="008E4089"/>
    <w:rsid w:val="008E5AFF"/>
    <w:rsid w:val="008E7031"/>
    <w:rsid w:val="008E77DE"/>
    <w:rsid w:val="008F040C"/>
    <w:rsid w:val="008F07A3"/>
    <w:rsid w:val="008F3322"/>
    <w:rsid w:val="008F3519"/>
    <w:rsid w:val="008F3A0D"/>
    <w:rsid w:val="008F5DFD"/>
    <w:rsid w:val="009001B6"/>
    <w:rsid w:val="00900E1B"/>
    <w:rsid w:val="0090131F"/>
    <w:rsid w:val="00907683"/>
    <w:rsid w:val="009132B7"/>
    <w:rsid w:val="00916A2C"/>
    <w:rsid w:val="009233EE"/>
    <w:rsid w:val="00930B1A"/>
    <w:rsid w:val="00932612"/>
    <w:rsid w:val="009327DC"/>
    <w:rsid w:val="009338D9"/>
    <w:rsid w:val="009339BD"/>
    <w:rsid w:val="00933E57"/>
    <w:rsid w:val="009356CF"/>
    <w:rsid w:val="00945E53"/>
    <w:rsid w:val="009460AA"/>
    <w:rsid w:val="00950E6F"/>
    <w:rsid w:val="00951978"/>
    <w:rsid w:val="00961A4A"/>
    <w:rsid w:val="00962978"/>
    <w:rsid w:val="009661DE"/>
    <w:rsid w:val="00972C7C"/>
    <w:rsid w:val="009776F4"/>
    <w:rsid w:val="00982AFB"/>
    <w:rsid w:val="00982DA2"/>
    <w:rsid w:val="00983C25"/>
    <w:rsid w:val="0098466D"/>
    <w:rsid w:val="009856B7"/>
    <w:rsid w:val="00985C86"/>
    <w:rsid w:val="00987821"/>
    <w:rsid w:val="009A142A"/>
    <w:rsid w:val="009A5FC3"/>
    <w:rsid w:val="009B6F84"/>
    <w:rsid w:val="009B74B0"/>
    <w:rsid w:val="009C0152"/>
    <w:rsid w:val="009C1A74"/>
    <w:rsid w:val="009C3D42"/>
    <w:rsid w:val="009C491E"/>
    <w:rsid w:val="009D0DF1"/>
    <w:rsid w:val="009D172D"/>
    <w:rsid w:val="009D1A42"/>
    <w:rsid w:val="009D22D6"/>
    <w:rsid w:val="009D2C84"/>
    <w:rsid w:val="009D3906"/>
    <w:rsid w:val="009D6B46"/>
    <w:rsid w:val="009E35B6"/>
    <w:rsid w:val="009E40C1"/>
    <w:rsid w:val="009E5ABC"/>
    <w:rsid w:val="009E5AD7"/>
    <w:rsid w:val="009F43B4"/>
    <w:rsid w:val="009F4940"/>
    <w:rsid w:val="009F5542"/>
    <w:rsid w:val="009F5BA1"/>
    <w:rsid w:val="00A02A88"/>
    <w:rsid w:val="00A04012"/>
    <w:rsid w:val="00A046FA"/>
    <w:rsid w:val="00A0529D"/>
    <w:rsid w:val="00A0562E"/>
    <w:rsid w:val="00A0726D"/>
    <w:rsid w:val="00A073AE"/>
    <w:rsid w:val="00A11491"/>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71A9A"/>
    <w:rsid w:val="00A81E16"/>
    <w:rsid w:val="00A84A99"/>
    <w:rsid w:val="00A84F46"/>
    <w:rsid w:val="00A86AEA"/>
    <w:rsid w:val="00A871F4"/>
    <w:rsid w:val="00A9431A"/>
    <w:rsid w:val="00A95988"/>
    <w:rsid w:val="00A959DF"/>
    <w:rsid w:val="00A97A1B"/>
    <w:rsid w:val="00AA2927"/>
    <w:rsid w:val="00AB2CB8"/>
    <w:rsid w:val="00AB4617"/>
    <w:rsid w:val="00AB75A6"/>
    <w:rsid w:val="00AB7C84"/>
    <w:rsid w:val="00AC11EA"/>
    <w:rsid w:val="00AC1B2C"/>
    <w:rsid w:val="00AC2399"/>
    <w:rsid w:val="00AC2D2B"/>
    <w:rsid w:val="00AC3264"/>
    <w:rsid w:val="00AC46AD"/>
    <w:rsid w:val="00AC4D2D"/>
    <w:rsid w:val="00AC58EC"/>
    <w:rsid w:val="00AC7282"/>
    <w:rsid w:val="00AC7961"/>
    <w:rsid w:val="00AD314E"/>
    <w:rsid w:val="00AD5FCD"/>
    <w:rsid w:val="00AD6B48"/>
    <w:rsid w:val="00AD7A3A"/>
    <w:rsid w:val="00AE0D8E"/>
    <w:rsid w:val="00AE1BF1"/>
    <w:rsid w:val="00AE23AB"/>
    <w:rsid w:val="00AE58FB"/>
    <w:rsid w:val="00AE5AF0"/>
    <w:rsid w:val="00AE663D"/>
    <w:rsid w:val="00AE73B3"/>
    <w:rsid w:val="00AF07E7"/>
    <w:rsid w:val="00AF0DD2"/>
    <w:rsid w:val="00AF3146"/>
    <w:rsid w:val="00AF31E1"/>
    <w:rsid w:val="00AF3728"/>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1AB0"/>
    <w:rsid w:val="00B33148"/>
    <w:rsid w:val="00B35CDF"/>
    <w:rsid w:val="00B405A1"/>
    <w:rsid w:val="00B4438A"/>
    <w:rsid w:val="00B45AA2"/>
    <w:rsid w:val="00B479CA"/>
    <w:rsid w:val="00B5084F"/>
    <w:rsid w:val="00B50955"/>
    <w:rsid w:val="00B514DD"/>
    <w:rsid w:val="00B52AF0"/>
    <w:rsid w:val="00B53D5F"/>
    <w:rsid w:val="00B54051"/>
    <w:rsid w:val="00B561BD"/>
    <w:rsid w:val="00B56E03"/>
    <w:rsid w:val="00B619E9"/>
    <w:rsid w:val="00B62765"/>
    <w:rsid w:val="00B65DF5"/>
    <w:rsid w:val="00B738FA"/>
    <w:rsid w:val="00B7679F"/>
    <w:rsid w:val="00B77159"/>
    <w:rsid w:val="00B8080B"/>
    <w:rsid w:val="00B82223"/>
    <w:rsid w:val="00B87BA5"/>
    <w:rsid w:val="00B87C39"/>
    <w:rsid w:val="00B93891"/>
    <w:rsid w:val="00B9562D"/>
    <w:rsid w:val="00BA21DA"/>
    <w:rsid w:val="00BA2B60"/>
    <w:rsid w:val="00BA3C93"/>
    <w:rsid w:val="00BA3DEB"/>
    <w:rsid w:val="00BA4665"/>
    <w:rsid w:val="00BA65D0"/>
    <w:rsid w:val="00BA7FD7"/>
    <w:rsid w:val="00BB1681"/>
    <w:rsid w:val="00BB2FB2"/>
    <w:rsid w:val="00BB3304"/>
    <w:rsid w:val="00BB6551"/>
    <w:rsid w:val="00BC4A10"/>
    <w:rsid w:val="00BD30F4"/>
    <w:rsid w:val="00BD3446"/>
    <w:rsid w:val="00BD59CF"/>
    <w:rsid w:val="00BE1312"/>
    <w:rsid w:val="00BE1F1B"/>
    <w:rsid w:val="00BE34C7"/>
    <w:rsid w:val="00BE3F89"/>
    <w:rsid w:val="00BE47B5"/>
    <w:rsid w:val="00BE5FCE"/>
    <w:rsid w:val="00C0079E"/>
    <w:rsid w:val="00C02099"/>
    <w:rsid w:val="00C0572A"/>
    <w:rsid w:val="00C13EBD"/>
    <w:rsid w:val="00C1631B"/>
    <w:rsid w:val="00C170F0"/>
    <w:rsid w:val="00C25034"/>
    <w:rsid w:val="00C25962"/>
    <w:rsid w:val="00C25FA6"/>
    <w:rsid w:val="00C3099D"/>
    <w:rsid w:val="00C33011"/>
    <w:rsid w:val="00C362C1"/>
    <w:rsid w:val="00C41950"/>
    <w:rsid w:val="00C42C3B"/>
    <w:rsid w:val="00C508A5"/>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0E79"/>
    <w:rsid w:val="00C71280"/>
    <w:rsid w:val="00C717BF"/>
    <w:rsid w:val="00C76178"/>
    <w:rsid w:val="00C83135"/>
    <w:rsid w:val="00C84560"/>
    <w:rsid w:val="00C85223"/>
    <w:rsid w:val="00C86170"/>
    <w:rsid w:val="00C86679"/>
    <w:rsid w:val="00C87926"/>
    <w:rsid w:val="00C8792F"/>
    <w:rsid w:val="00C90472"/>
    <w:rsid w:val="00C91D6E"/>
    <w:rsid w:val="00C948F9"/>
    <w:rsid w:val="00C960B4"/>
    <w:rsid w:val="00CA489E"/>
    <w:rsid w:val="00CB0279"/>
    <w:rsid w:val="00CB573D"/>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3527"/>
    <w:rsid w:val="00CE484B"/>
    <w:rsid w:val="00CE7CBA"/>
    <w:rsid w:val="00CF0DEE"/>
    <w:rsid w:val="00CF3518"/>
    <w:rsid w:val="00CF42AA"/>
    <w:rsid w:val="00CF5A86"/>
    <w:rsid w:val="00CF5EAA"/>
    <w:rsid w:val="00CF6AE3"/>
    <w:rsid w:val="00CF77BB"/>
    <w:rsid w:val="00D006AE"/>
    <w:rsid w:val="00D00905"/>
    <w:rsid w:val="00D010C1"/>
    <w:rsid w:val="00D01CF0"/>
    <w:rsid w:val="00D0442A"/>
    <w:rsid w:val="00D12A7B"/>
    <w:rsid w:val="00D12ADB"/>
    <w:rsid w:val="00D15E63"/>
    <w:rsid w:val="00D15F99"/>
    <w:rsid w:val="00D25A39"/>
    <w:rsid w:val="00D27CFA"/>
    <w:rsid w:val="00D310FA"/>
    <w:rsid w:val="00D325C6"/>
    <w:rsid w:val="00D37213"/>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5F62"/>
    <w:rsid w:val="00D7786B"/>
    <w:rsid w:val="00D80893"/>
    <w:rsid w:val="00D82519"/>
    <w:rsid w:val="00D83E44"/>
    <w:rsid w:val="00D84854"/>
    <w:rsid w:val="00D924AE"/>
    <w:rsid w:val="00D92CF1"/>
    <w:rsid w:val="00D92D38"/>
    <w:rsid w:val="00D950F5"/>
    <w:rsid w:val="00D97379"/>
    <w:rsid w:val="00DA1CEC"/>
    <w:rsid w:val="00DA4752"/>
    <w:rsid w:val="00DA4C09"/>
    <w:rsid w:val="00DA5AE3"/>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2915"/>
    <w:rsid w:val="00DD4C07"/>
    <w:rsid w:val="00DD577D"/>
    <w:rsid w:val="00DD5ADC"/>
    <w:rsid w:val="00DE1093"/>
    <w:rsid w:val="00DE38AA"/>
    <w:rsid w:val="00DE4EFA"/>
    <w:rsid w:val="00DE5520"/>
    <w:rsid w:val="00DE563D"/>
    <w:rsid w:val="00DE5698"/>
    <w:rsid w:val="00DE62B1"/>
    <w:rsid w:val="00DE7AB5"/>
    <w:rsid w:val="00DF0152"/>
    <w:rsid w:val="00DF1958"/>
    <w:rsid w:val="00DF634F"/>
    <w:rsid w:val="00DF701E"/>
    <w:rsid w:val="00E04818"/>
    <w:rsid w:val="00E06442"/>
    <w:rsid w:val="00E06952"/>
    <w:rsid w:val="00E157B2"/>
    <w:rsid w:val="00E16055"/>
    <w:rsid w:val="00E2332D"/>
    <w:rsid w:val="00E23993"/>
    <w:rsid w:val="00E2574F"/>
    <w:rsid w:val="00E25951"/>
    <w:rsid w:val="00E25B8C"/>
    <w:rsid w:val="00E31CF6"/>
    <w:rsid w:val="00E34A4A"/>
    <w:rsid w:val="00E35AFC"/>
    <w:rsid w:val="00E41D39"/>
    <w:rsid w:val="00E50A02"/>
    <w:rsid w:val="00E50CEC"/>
    <w:rsid w:val="00E54106"/>
    <w:rsid w:val="00E54697"/>
    <w:rsid w:val="00E57A08"/>
    <w:rsid w:val="00E63631"/>
    <w:rsid w:val="00E64C2A"/>
    <w:rsid w:val="00E6549B"/>
    <w:rsid w:val="00E65C85"/>
    <w:rsid w:val="00E66199"/>
    <w:rsid w:val="00E70526"/>
    <w:rsid w:val="00E754B4"/>
    <w:rsid w:val="00E755EC"/>
    <w:rsid w:val="00E7624D"/>
    <w:rsid w:val="00E81724"/>
    <w:rsid w:val="00E819A4"/>
    <w:rsid w:val="00E833FA"/>
    <w:rsid w:val="00E84B74"/>
    <w:rsid w:val="00E87066"/>
    <w:rsid w:val="00E93204"/>
    <w:rsid w:val="00E966BF"/>
    <w:rsid w:val="00EA0C04"/>
    <w:rsid w:val="00EA3D42"/>
    <w:rsid w:val="00EA6B1B"/>
    <w:rsid w:val="00EB1CBD"/>
    <w:rsid w:val="00EB3A34"/>
    <w:rsid w:val="00EB3C3F"/>
    <w:rsid w:val="00EB3D40"/>
    <w:rsid w:val="00EC04F1"/>
    <w:rsid w:val="00EC08AF"/>
    <w:rsid w:val="00EC237F"/>
    <w:rsid w:val="00EC573A"/>
    <w:rsid w:val="00ED35C8"/>
    <w:rsid w:val="00ED3968"/>
    <w:rsid w:val="00ED7323"/>
    <w:rsid w:val="00EE28F3"/>
    <w:rsid w:val="00EE50D1"/>
    <w:rsid w:val="00EE6835"/>
    <w:rsid w:val="00EE7614"/>
    <w:rsid w:val="00EF149E"/>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0BDC"/>
    <w:rsid w:val="00F322E9"/>
    <w:rsid w:val="00F3231B"/>
    <w:rsid w:val="00F33808"/>
    <w:rsid w:val="00F373A5"/>
    <w:rsid w:val="00F37864"/>
    <w:rsid w:val="00F404F9"/>
    <w:rsid w:val="00F44B0A"/>
    <w:rsid w:val="00F47559"/>
    <w:rsid w:val="00F5052F"/>
    <w:rsid w:val="00F50B30"/>
    <w:rsid w:val="00F51F5F"/>
    <w:rsid w:val="00F524DC"/>
    <w:rsid w:val="00F52D75"/>
    <w:rsid w:val="00F55582"/>
    <w:rsid w:val="00F55B43"/>
    <w:rsid w:val="00F57647"/>
    <w:rsid w:val="00F62A14"/>
    <w:rsid w:val="00F64C7B"/>
    <w:rsid w:val="00F676DD"/>
    <w:rsid w:val="00F67AB6"/>
    <w:rsid w:val="00F70028"/>
    <w:rsid w:val="00F70434"/>
    <w:rsid w:val="00F75A26"/>
    <w:rsid w:val="00F76706"/>
    <w:rsid w:val="00F77D6D"/>
    <w:rsid w:val="00F80206"/>
    <w:rsid w:val="00F83034"/>
    <w:rsid w:val="00F839D4"/>
    <w:rsid w:val="00F83FAD"/>
    <w:rsid w:val="00F844C6"/>
    <w:rsid w:val="00F92FA6"/>
    <w:rsid w:val="00F9353B"/>
    <w:rsid w:val="00F937F1"/>
    <w:rsid w:val="00F952A0"/>
    <w:rsid w:val="00F9600B"/>
    <w:rsid w:val="00FA31B1"/>
    <w:rsid w:val="00FA3320"/>
    <w:rsid w:val="00FA3C7F"/>
    <w:rsid w:val="00FA6246"/>
    <w:rsid w:val="00FA6FBB"/>
    <w:rsid w:val="00FB24ED"/>
    <w:rsid w:val="00FB3304"/>
    <w:rsid w:val="00FB5005"/>
    <w:rsid w:val="00FB60FE"/>
    <w:rsid w:val="00FB74E2"/>
    <w:rsid w:val="00FB778B"/>
    <w:rsid w:val="00FC36F2"/>
    <w:rsid w:val="00FD5614"/>
    <w:rsid w:val="00FD5E78"/>
    <w:rsid w:val="00FE0BE1"/>
    <w:rsid w:val="00FE11BB"/>
    <w:rsid w:val="00FE1DE9"/>
    <w:rsid w:val="00FE36AF"/>
    <w:rsid w:val="00FE39C2"/>
    <w:rsid w:val="00FE3C32"/>
    <w:rsid w:val="00FE64AE"/>
    <w:rsid w:val="00FE7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6175">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45391046">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0804564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90965940">
      <w:bodyDiv w:val="1"/>
      <w:marLeft w:val="0"/>
      <w:marRight w:val="0"/>
      <w:marTop w:val="0"/>
      <w:marBottom w:val="0"/>
      <w:divBdr>
        <w:top w:val="none" w:sz="0" w:space="0" w:color="auto"/>
        <w:left w:val="none" w:sz="0" w:space="0" w:color="auto"/>
        <w:bottom w:val="none" w:sz="0" w:space="0" w:color="auto"/>
        <w:right w:val="none" w:sz="0" w:space="0" w:color="auto"/>
      </w:divBdr>
    </w:div>
    <w:div w:id="922226736">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44228671">
      <w:bodyDiv w:val="1"/>
      <w:marLeft w:val="0"/>
      <w:marRight w:val="0"/>
      <w:marTop w:val="0"/>
      <w:marBottom w:val="0"/>
      <w:divBdr>
        <w:top w:val="none" w:sz="0" w:space="0" w:color="auto"/>
        <w:left w:val="none" w:sz="0" w:space="0" w:color="auto"/>
        <w:bottom w:val="none" w:sz="0" w:space="0" w:color="auto"/>
        <w:right w:val="none" w:sz="0" w:space="0" w:color="auto"/>
      </w:divBdr>
    </w:div>
    <w:div w:id="1503009015">
      <w:bodyDiv w:val="1"/>
      <w:marLeft w:val="0"/>
      <w:marRight w:val="0"/>
      <w:marTop w:val="0"/>
      <w:marBottom w:val="0"/>
      <w:divBdr>
        <w:top w:val="none" w:sz="0" w:space="0" w:color="auto"/>
        <w:left w:val="none" w:sz="0" w:space="0" w:color="auto"/>
        <w:bottom w:val="none" w:sz="0" w:space="0" w:color="auto"/>
        <w:right w:val="none" w:sz="0" w:space="0" w:color="auto"/>
      </w:divBdr>
    </w:div>
    <w:div w:id="153048579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C4FD908C.dotm</Template>
  <TotalTime>0</TotalTime>
  <Pages>21</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AER draft decision - Powerlink - Attachment 11 - STPIS</vt:lpstr>
    </vt:vector>
  </TitlesOfParts>
  <LinksUpToDate>false</LinksUpToDate>
  <CharactersWithSpaces>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11 - STPIS</dc:title>
  <dc:creator/>
  <cp:lastModifiedBy/>
  <cp:revision>1</cp:revision>
  <dcterms:created xsi:type="dcterms:W3CDTF">2016-09-27T23:48:00Z</dcterms:created>
  <dcterms:modified xsi:type="dcterms:W3CDTF">2016-09-27T23:48:00Z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11 - stpis - september 2016 (D2015-00169026).docx</vt:lpwstr>
  </property>
</Properties>
</file>