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82A48" w:rsidP="00290C63">
          <w:r w:rsidRPr="00D82A48">
            <w:rPr>
              <w:noProof/>
              <w:lang w:eastAsia="en-AU"/>
            </w:rPr>
            <w:drawing>
              <wp:anchor distT="0" distB="0" distL="114300" distR="114300" simplePos="0" relativeHeight="251661312" behindDoc="1" locked="0" layoutInCell="1" allowOverlap="1" wp14:anchorId="64EDDFA3" wp14:editId="14A96D93">
                <wp:simplePos x="0" y="0"/>
                <wp:positionH relativeFrom="column">
                  <wp:posOffset>-1116330</wp:posOffset>
                </wp:positionH>
                <wp:positionV relativeFrom="paragraph">
                  <wp:posOffset>-1084009</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5EC48AA" wp14:editId="64AC75AD">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2021</w:t>
          </w:r>
          <w:r>
            <w:rPr>
              <w:rFonts w:cs="Arial"/>
            </w:rPr>
            <w:t>−</w:t>
          </w:r>
          <w:r w:rsidR="000474DF">
            <w:t>22</w:t>
          </w:r>
        </w:p>
        <w:p w:rsidR="008F07A3" w:rsidRPr="000A6C7B" w:rsidRDefault="008F07A3" w:rsidP="008F07A3">
          <w:pPr>
            <w:pStyle w:val="ReportSubtitle"/>
          </w:pPr>
        </w:p>
        <w:p w:rsidR="000A6C7B" w:rsidRDefault="000474DF" w:rsidP="008F07A3">
          <w:pPr>
            <w:pStyle w:val="ReportSubtitle"/>
          </w:pPr>
          <w:r>
            <w:t>Attachment 1</w:t>
          </w:r>
          <w:r w:rsidR="00CF42AA">
            <w:t>2</w:t>
          </w:r>
          <w:r>
            <w:t xml:space="preserve"> </w:t>
          </w:r>
          <w:r w:rsidRPr="000474DF">
            <w:t>−</w:t>
          </w:r>
          <w:r>
            <w:t xml:space="preserve"> </w:t>
          </w:r>
          <w:r w:rsidR="00CF42AA">
            <w:t>Pricing methodology</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EC05A3">
        <w:t>1300 585 165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62752876"/>
      <w:r>
        <w:lastRenderedPageBreak/>
        <w:t>Note</w:t>
      </w:r>
      <w:bookmarkEnd w:id="2"/>
      <w:bookmarkEnd w:id="3"/>
      <w:bookmarkEnd w:id="4"/>
    </w:p>
    <w:p w:rsidR="00761454" w:rsidRDefault="00761454" w:rsidP="00761454">
      <w:pPr>
        <w:numPr>
          <w:ilvl w:val="0"/>
          <w:numId w:val="24"/>
        </w:numPr>
      </w:pPr>
      <w:r>
        <w:t xml:space="preserve">This </w:t>
      </w:r>
      <w:r w:rsidR="0067423D">
        <w:t>attachment</w:t>
      </w:r>
      <w:r>
        <w:t xml:space="preserve"> forms part of the AER's </w:t>
      </w:r>
      <w:r w:rsidR="000474DF">
        <w:t xml:space="preserve">draft </w:t>
      </w:r>
      <w:r>
        <w:t xml:space="preserve">decision on </w:t>
      </w:r>
      <w:r w:rsidR="000474DF">
        <w:t>Powerlink's</w:t>
      </w:r>
      <w:r>
        <w:t xml:space="preserve"> transmission determination for 201</w:t>
      </w:r>
      <w:r w:rsidR="000474DF">
        <w:t>7</w:t>
      </w:r>
      <w:r w:rsidRPr="00F02D30">
        <w:t>–</w:t>
      </w:r>
      <w:r w:rsidR="000474DF">
        <w:t>22</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Attachment 1 – M</w:t>
      </w:r>
      <w:r w:rsidR="00761454">
        <w:t>aximum allowed revenue</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0474DF">
        <w:t>P</w:t>
      </w:r>
      <w:r w:rsidRPr="00F02D30">
        <w:t>ricing methodology</w:t>
      </w:r>
    </w:p>
    <w:p w:rsidR="00761454" w:rsidRPr="00F02D30" w:rsidRDefault="00761454" w:rsidP="00761454">
      <w:pPr>
        <w:numPr>
          <w:ilvl w:val="0"/>
          <w:numId w:val="24"/>
        </w:numPr>
      </w:pPr>
      <w:r>
        <w:t xml:space="preserve">Attachment 13 </w:t>
      </w:r>
      <w:r w:rsidR="000474DF">
        <w:t>– P</w:t>
      </w:r>
      <w:r w:rsidRPr="00F02D30">
        <w:t>ass through events</w:t>
      </w:r>
    </w:p>
    <w:p w:rsidR="00761454" w:rsidRPr="00F02D30" w:rsidRDefault="00761454" w:rsidP="00761454">
      <w:pPr>
        <w:numPr>
          <w:ilvl w:val="0"/>
          <w:numId w:val="24"/>
        </w:numPr>
      </w:pPr>
      <w:r>
        <w:t xml:space="preserve">Attachment 14 </w:t>
      </w:r>
      <w:r w:rsidR="000474DF">
        <w:t>– N</w:t>
      </w:r>
      <w:r w:rsidRPr="00F02D30">
        <w:t>egotiated services</w:t>
      </w: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default" r:id="rId12"/>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62752877"/>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E32321"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52876" w:history="1">
            <w:r w:rsidR="00E32321" w:rsidRPr="00924B5B">
              <w:rPr>
                <w:rStyle w:val="Hyperlink"/>
              </w:rPr>
              <w:t>Note</w:t>
            </w:r>
            <w:r w:rsidR="00E32321">
              <w:rPr>
                <w:webHidden/>
              </w:rPr>
              <w:tab/>
            </w:r>
            <w:r w:rsidR="00E32321">
              <w:rPr>
                <w:webHidden/>
              </w:rPr>
              <w:fldChar w:fldCharType="begin"/>
            </w:r>
            <w:r w:rsidR="00E32321">
              <w:rPr>
                <w:webHidden/>
              </w:rPr>
              <w:instrText xml:space="preserve"> PAGEREF _Toc462752876 \h </w:instrText>
            </w:r>
            <w:r w:rsidR="00E32321">
              <w:rPr>
                <w:webHidden/>
              </w:rPr>
            </w:r>
            <w:r w:rsidR="00E32321">
              <w:rPr>
                <w:webHidden/>
              </w:rPr>
              <w:fldChar w:fldCharType="separate"/>
            </w:r>
            <w:r w:rsidR="00E32321">
              <w:rPr>
                <w:webHidden/>
              </w:rPr>
              <w:t>12-2</w:t>
            </w:r>
            <w:r w:rsidR="00E32321">
              <w:rPr>
                <w:webHidden/>
              </w:rPr>
              <w:fldChar w:fldCharType="end"/>
            </w:r>
          </w:hyperlink>
        </w:p>
        <w:p w:rsidR="00E32321" w:rsidRDefault="00E46F50">
          <w:pPr>
            <w:pStyle w:val="TOC1"/>
            <w:rPr>
              <w:rFonts w:asciiTheme="minorHAnsi" w:eastAsiaTheme="minorEastAsia" w:hAnsiTheme="minorHAnsi"/>
              <w:b w:val="0"/>
              <w:color w:val="auto"/>
              <w:sz w:val="22"/>
              <w:lang w:val="en-AU" w:eastAsia="en-AU"/>
            </w:rPr>
          </w:pPr>
          <w:hyperlink w:anchor="_Toc462752877" w:history="1">
            <w:r w:rsidR="00E32321" w:rsidRPr="00924B5B">
              <w:rPr>
                <w:rStyle w:val="Hyperlink"/>
              </w:rPr>
              <w:t>Contents</w:t>
            </w:r>
            <w:r w:rsidR="00E32321">
              <w:rPr>
                <w:webHidden/>
              </w:rPr>
              <w:tab/>
            </w:r>
            <w:r w:rsidR="00E32321">
              <w:rPr>
                <w:webHidden/>
              </w:rPr>
              <w:fldChar w:fldCharType="begin"/>
            </w:r>
            <w:r w:rsidR="00E32321">
              <w:rPr>
                <w:webHidden/>
              </w:rPr>
              <w:instrText xml:space="preserve"> PAGEREF _Toc462752877 \h </w:instrText>
            </w:r>
            <w:r w:rsidR="00E32321">
              <w:rPr>
                <w:webHidden/>
              </w:rPr>
            </w:r>
            <w:r w:rsidR="00E32321">
              <w:rPr>
                <w:webHidden/>
              </w:rPr>
              <w:fldChar w:fldCharType="separate"/>
            </w:r>
            <w:r w:rsidR="00E32321">
              <w:rPr>
                <w:webHidden/>
              </w:rPr>
              <w:t>12-3</w:t>
            </w:r>
            <w:r w:rsidR="00E32321">
              <w:rPr>
                <w:webHidden/>
              </w:rPr>
              <w:fldChar w:fldCharType="end"/>
            </w:r>
          </w:hyperlink>
        </w:p>
        <w:p w:rsidR="00E32321" w:rsidRDefault="00E46F50">
          <w:pPr>
            <w:pStyle w:val="TOC1"/>
            <w:rPr>
              <w:rFonts w:asciiTheme="minorHAnsi" w:eastAsiaTheme="minorEastAsia" w:hAnsiTheme="minorHAnsi"/>
              <w:b w:val="0"/>
              <w:color w:val="auto"/>
              <w:sz w:val="22"/>
              <w:lang w:val="en-AU" w:eastAsia="en-AU"/>
            </w:rPr>
          </w:pPr>
          <w:hyperlink w:anchor="_Toc462752878" w:history="1">
            <w:r w:rsidR="00E32321" w:rsidRPr="00924B5B">
              <w:rPr>
                <w:rStyle w:val="Hyperlink"/>
              </w:rPr>
              <w:t>Shortened forms</w:t>
            </w:r>
            <w:r w:rsidR="00E32321">
              <w:rPr>
                <w:webHidden/>
              </w:rPr>
              <w:tab/>
            </w:r>
            <w:r w:rsidR="00E32321">
              <w:rPr>
                <w:webHidden/>
              </w:rPr>
              <w:fldChar w:fldCharType="begin"/>
            </w:r>
            <w:r w:rsidR="00E32321">
              <w:rPr>
                <w:webHidden/>
              </w:rPr>
              <w:instrText xml:space="preserve"> PAGEREF _Toc462752878 \h </w:instrText>
            </w:r>
            <w:r w:rsidR="00E32321">
              <w:rPr>
                <w:webHidden/>
              </w:rPr>
            </w:r>
            <w:r w:rsidR="00E32321">
              <w:rPr>
                <w:webHidden/>
              </w:rPr>
              <w:fldChar w:fldCharType="separate"/>
            </w:r>
            <w:r w:rsidR="00E32321">
              <w:rPr>
                <w:webHidden/>
              </w:rPr>
              <w:t>12-4</w:t>
            </w:r>
            <w:r w:rsidR="00E32321">
              <w:rPr>
                <w:webHidden/>
              </w:rPr>
              <w:fldChar w:fldCharType="end"/>
            </w:r>
          </w:hyperlink>
        </w:p>
        <w:p w:rsidR="00E32321" w:rsidRDefault="00E46F50">
          <w:pPr>
            <w:pStyle w:val="TOC1"/>
            <w:rPr>
              <w:rFonts w:asciiTheme="minorHAnsi" w:eastAsiaTheme="minorEastAsia" w:hAnsiTheme="minorHAnsi"/>
              <w:b w:val="0"/>
              <w:color w:val="auto"/>
              <w:sz w:val="22"/>
              <w:lang w:val="en-AU" w:eastAsia="en-AU"/>
            </w:rPr>
          </w:pPr>
          <w:hyperlink w:anchor="_Toc462752879" w:history="1">
            <w:r w:rsidR="00E32321" w:rsidRPr="00924B5B">
              <w:rPr>
                <w:rStyle w:val="Hyperlink"/>
              </w:rPr>
              <w:t>12</w:t>
            </w:r>
            <w:r w:rsidR="00E32321">
              <w:rPr>
                <w:rFonts w:asciiTheme="minorHAnsi" w:eastAsiaTheme="minorEastAsia" w:hAnsiTheme="minorHAnsi"/>
                <w:b w:val="0"/>
                <w:color w:val="auto"/>
                <w:sz w:val="22"/>
                <w:lang w:val="en-AU" w:eastAsia="en-AU"/>
              </w:rPr>
              <w:tab/>
            </w:r>
            <w:r w:rsidR="00E32321" w:rsidRPr="00924B5B">
              <w:rPr>
                <w:rStyle w:val="Hyperlink"/>
              </w:rPr>
              <w:t>Pricing methodology</w:t>
            </w:r>
            <w:r w:rsidR="00E32321">
              <w:rPr>
                <w:webHidden/>
              </w:rPr>
              <w:tab/>
            </w:r>
            <w:r w:rsidR="00E32321">
              <w:rPr>
                <w:webHidden/>
              </w:rPr>
              <w:fldChar w:fldCharType="begin"/>
            </w:r>
            <w:r w:rsidR="00E32321">
              <w:rPr>
                <w:webHidden/>
              </w:rPr>
              <w:instrText xml:space="preserve"> PAGEREF _Toc462752879 \h </w:instrText>
            </w:r>
            <w:r w:rsidR="00E32321">
              <w:rPr>
                <w:webHidden/>
              </w:rPr>
            </w:r>
            <w:r w:rsidR="00E32321">
              <w:rPr>
                <w:webHidden/>
              </w:rPr>
              <w:fldChar w:fldCharType="separate"/>
            </w:r>
            <w:r w:rsidR="00E32321">
              <w:rPr>
                <w:webHidden/>
              </w:rPr>
              <w:t>12-6</w:t>
            </w:r>
            <w:r w:rsidR="00E32321">
              <w:rPr>
                <w:webHidden/>
              </w:rPr>
              <w:fldChar w:fldCharType="end"/>
            </w:r>
          </w:hyperlink>
        </w:p>
        <w:p w:rsidR="00E32321" w:rsidRDefault="00E46F50">
          <w:pPr>
            <w:pStyle w:val="TOC2"/>
            <w:tabs>
              <w:tab w:val="left" w:pos="1276"/>
            </w:tabs>
            <w:rPr>
              <w:rFonts w:asciiTheme="minorHAnsi" w:eastAsiaTheme="minorEastAsia" w:hAnsiTheme="minorHAnsi"/>
              <w:b w:val="0"/>
              <w:color w:val="auto"/>
              <w:sz w:val="22"/>
              <w:lang w:eastAsia="en-AU"/>
            </w:rPr>
          </w:pPr>
          <w:hyperlink w:anchor="_Toc462752880" w:history="1">
            <w:r w:rsidR="00E32321" w:rsidRPr="00924B5B">
              <w:rPr>
                <w:rStyle w:val="Hyperlink"/>
              </w:rPr>
              <w:t>12.1</w:t>
            </w:r>
            <w:r w:rsidR="00E32321">
              <w:rPr>
                <w:rFonts w:asciiTheme="minorHAnsi" w:eastAsiaTheme="minorEastAsia" w:hAnsiTheme="minorHAnsi"/>
                <w:b w:val="0"/>
                <w:color w:val="auto"/>
                <w:sz w:val="22"/>
                <w:lang w:eastAsia="en-AU"/>
              </w:rPr>
              <w:tab/>
            </w:r>
            <w:r w:rsidR="00E32321" w:rsidRPr="00924B5B">
              <w:rPr>
                <w:rStyle w:val="Hyperlink"/>
              </w:rPr>
              <w:t>Draft decision</w:t>
            </w:r>
            <w:r w:rsidR="00E32321">
              <w:rPr>
                <w:webHidden/>
              </w:rPr>
              <w:tab/>
            </w:r>
            <w:r w:rsidR="00E32321">
              <w:rPr>
                <w:webHidden/>
              </w:rPr>
              <w:fldChar w:fldCharType="begin"/>
            </w:r>
            <w:r w:rsidR="00E32321">
              <w:rPr>
                <w:webHidden/>
              </w:rPr>
              <w:instrText xml:space="preserve"> PAGEREF _Toc462752880 \h </w:instrText>
            </w:r>
            <w:r w:rsidR="00E32321">
              <w:rPr>
                <w:webHidden/>
              </w:rPr>
            </w:r>
            <w:r w:rsidR="00E32321">
              <w:rPr>
                <w:webHidden/>
              </w:rPr>
              <w:fldChar w:fldCharType="separate"/>
            </w:r>
            <w:r w:rsidR="00E32321">
              <w:rPr>
                <w:webHidden/>
              </w:rPr>
              <w:t>12-6</w:t>
            </w:r>
            <w:r w:rsidR="00E32321">
              <w:rPr>
                <w:webHidden/>
              </w:rPr>
              <w:fldChar w:fldCharType="end"/>
            </w:r>
          </w:hyperlink>
        </w:p>
        <w:p w:rsidR="00E32321" w:rsidRDefault="00E46F50">
          <w:pPr>
            <w:pStyle w:val="TOC2"/>
            <w:tabs>
              <w:tab w:val="left" w:pos="1276"/>
            </w:tabs>
            <w:rPr>
              <w:rFonts w:asciiTheme="minorHAnsi" w:eastAsiaTheme="minorEastAsia" w:hAnsiTheme="minorHAnsi"/>
              <w:b w:val="0"/>
              <w:color w:val="auto"/>
              <w:sz w:val="22"/>
              <w:lang w:eastAsia="en-AU"/>
            </w:rPr>
          </w:pPr>
          <w:hyperlink w:anchor="_Toc462752881" w:history="1">
            <w:r w:rsidR="00E32321" w:rsidRPr="00924B5B">
              <w:rPr>
                <w:rStyle w:val="Hyperlink"/>
              </w:rPr>
              <w:t>12.2</w:t>
            </w:r>
            <w:r w:rsidR="00E32321">
              <w:rPr>
                <w:rFonts w:asciiTheme="minorHAnsi" w:eastAsiaTheme="minorEastAsia" w:hAnsiTheme="minorHAnsi"/>
                <w:b w:val="0"/>
                <w:color w:val="auto"/>
                <w:sz w:val="22"/>
                <w:lang w:eastAsia="en-AU"/>
              </w:rPr>
              <w:tab/>
            </w:r>
            <w:r w:rsidR="00E32321" w:rsidRPr="00924B5B">
              <w:rPr>
                <w:rStyle w:val="Hyperlink"/>
              </w:rPr>
              <w:t>Powerlink’s proposal</w:t>
            </w:r>
            <w:r w:rsidR="00E32321">
              <w:rPr>
                <w:webHidden/>
              </w:rPr>
              <w:tab/>
            </w:r>
            <w:r w:rsidR="00E32321">
              <w:rPr>
                <w:webHidden/>
              </w:rPr>
              <w:fldChar w:fldCharType="begin"/>
            </w:r>
            <w:r w:rsidR="00E32321">
              <w:rPr>
                <w:webHidden/>
              </w:rPr>
              <w:instrText xml:space="preserve"> PAGEREF _Toc462752881 \h </w:instrText>
            </w:r>
            <w:r w:rsidR="00E32321">
              <w:rPr>
                <w:webHidden/>
              </w:rPr>
            </w:r>
            <w:r w:rsidR="00E32321">
              <w:rPr>
                <w:webHidden/>
              </w:rPr>
              <w:fldChar w:fldCharType="separate"/>
            </w:r>
            <w:r w:rsidR="00E32321">
              <w:rPr>
                <w:webHidden/>
              </w:rPr>
              <w:t>12-6</w:t>
            </w:r>
            <w:r w:rsidR="00E32321">
              <w:rPr>
                <w:webHidden/>
              </w:rPr>
              <w:fldChar w:fldCharType="end"/>
            </w:r>
          </w:hyperlink>
        </w:p>
        <w:p w:rsidR="00E32321" w:rsidRDefault="00E46F50">
          <w:pPr>
            <w:pStyle w:val="TOC2"/>
            <w:tabs>
              <w:tab w:val="left" w:pos="1276"/>
            </w:tabs>
            <w:rPr>
              <w:rFonts w:asciiTheme="minorHAnsi" w:eastAsiaTheme="minorEastAsia" w:hAnsiTheme="minorHAnsi"/>
              <w:b w:val="0"/>
              <w:color w:val="auto"/>
              <w:sz w:val="22"/>
              <w:lang w:eastAsia="en-AU"/>
            </w:rPr>
          </w:pPr>
          <w:hyperlink w:anchor="_Toc462752882" w:history="1">
            <w:r w:rsidR="00E32321" w:rsidRPr="00924B5B">
              <w:rPr>
                <w:rStyle w:val="Hyperlink"/>
              </w:rPr>
              <w:t>12.3</w:t>
            </w:r>
            <w:r w:rsidR="00E32321">
              <w:rPr>
                <w:rFonts w:asciiTheme="minorHAnsi" w:eastAsiaTheme="minorEastAsia" w:hAnsiTheme="minorHAnsi"/>
                <w:b w:val="0"/>
                <w:color w:val="auto"/>
                <w:sz w:val="22"/>
                <w:lang w:eastAsia="en-AU"/>
              </w:rPr>
              <w:tab/>
            </w:r>
            <w:r w:rsidR="00E32321" w:rsidRPr="00924B5B">
              <w:rPr>
                <w:rStyle w:val="Hyperlink"/>
              </w:rPr>
              <w:t>Assessment approach</w:t>
            </w:r>
            <w:r w:rsidR="00E32321">
              <w:rPr>
                <w:webHidden/>
              </w:rPr>
              <w:tab/>
            </w:r>
            <w:r w:rsidR="00E32321">
              <w:rPr>
                <w:webHidden/>
              </w:rPr>
              <w:fldChar w:fldCharType="begin"/>
            </w:r>
            <w:r w:rsidR="00E32321">
              <w:rPr>
                <w:webHidden/>
              </w:rPr>
              <w:instrText xml:space="preserve"> PAGEREF _Toc462752882 \h </w:instrText>
            </w:r>
            <w:r w:rsidR="00E32321">
              <w:rPr>
                <w:webHidden/>
              </w:rPr>
            </w:r>
            <w:r w:rsidR="00E32321">
              <w:rPr>
                <w:webHidden/>
              </w:rPr>
              <w:fldChar w:fldCharType="separate"/>
            </w:r>
            <w:r w:rsidR="00E32321">
              <w:rPr>
                <w:webHidden/>
              </w:rPr>
              <w:t>12-7</w:t>
            </w:r>
            <w:r w:rsidR="00E32321">
              <w:rPr>
                <w:webHidden/>
              </w:rPr>
              <w:fldChar w:fldCharType="end"/>
            </w:r>
          </w:hyperlink>
        </w:p>
        <w:p w:rsidR="00E32321" w:rsidRDefault="00E46F50">
          <w:pPr>
            <w:pStyle w:val="TOC2"/>
            <w:tabs>
              <w:tab w:val="left" w:pos="1276"/>
            </w:tabs>
            <w:rPr>
              <w:rFonts w:asciiTheme="minorHAnsi" w:eastAsiaTheme="minorEastAsia" w:hAnsiTheme="minorHAnsi"/>
              <w:b w:val="0"/>
              <w:color w:val="auto"/>
              <w:sz w:val="22"/>
              <w:lang w:eastAsia="en-AU"/>
            </w:rPr>
          </w:pPr>
          <w:hyperlink w:anchor="_Toc462752883" w:history="1">
            <w:r w:rsidR="00E32321" w:rsidRPr="00924B5B">
              <w:rPr>
                <w:rStyle w:val="Hyperlink"/>
              </w:rPr>
              <w:t>12.4</w:t>
            </w:r>
            <w:r w:rsidR="00E32321">
              <w:rPr>
                <w:rFonts w:asciiTheme="minorHAnsi" w:eastAsiaTheme="minorEastAsia" w:hAnsiTheme="minorHAnsi"/>
                <w:b w:val="0"/>
                <w:color w:val="auto"/>
                <w:sz w:val="22"/>
                <w:lang w:eastAsia="en-AU"/>
              </w:rPr>
              <w:tab/>
            </w:r>
            <w:r w:rsidR="00E32321" w:rsidRPr="00924B5B">
              <w:rPr>
                <w:rStyle w:val="Hyperlink"/>
              </w:rPr>
              <w:t>Reasons for draft decision</w:t>
            </w:r>
            <w:r w:rsidR="00E32321">
              <w:rPr>
                <w:webHidden/>
              </w:rPr>
              <w:tab/>
            </w:r>
            <w:r w:rsidR="00E32321">
              <w:rPr>
                <w:webHidden/>
              </w:rPr>
              <w:fldChar w:fldCharType="begin"/>
            </w:r>
            <w:r w:rsidR="00E32321">
              <w:rPr>
                <w:webHidden/>
              </w:rPr>
              <w:instrText xml:space="preserve"> PAGEREF _Toc462752883 \h </w:instrText>
            </w:r>
            <w:r w:rsidR="00E32321">
              <w:rPr>
                <w:webHidden/>
              </w:rPr>
            </w:r>
            <w:r w:rsidR="00E32321">
              <w:rPr>
                <w:webHidden/>
              </w:rPr>
              <w:fldChar w:fldCharType="separate"/>
            </w:r>
            <w:r w:rsidR="00E32321">
              <w:rPr>
                <w:webHidden/>
              </w:rPr>
              <w:t>12-7</w:t>
            </w:r>
            <w:r w:rsidR="00E32321">
              <w:rPr>
                <w:webHidden/>
              </w:rPr>
              <w:fldChar w:fldCharType="end"/>
            </w:r>
          </w:hyperlink>
        </w:p>
        <w:p w:rsidR="00E32321" w:rsidRDefault="00E46F50">
          <w:pPr>
            <w:pStyle w:val="TOC3"/>
            <w:rPr>
              <w:rFonts w:asciiTheme="minorHAnsi" w:eastAsiaTheme="minorEastAsia" w:hAnsiTheme="minorHAnsi"/>
              <w:lang w:eastAsia="en-AU"/>
            </w:rPr>
          </w:pPr>
          <w:hyperlink w:anchor="_Toc462752884" w:history="1">
            <w:r w:rsidR="00E32321" w:rsidRPr="00924B5B">
              <w:rPr>
                <w:rStyle w:val="Hyperlink"/>
              </w:rPr>
              <w:t>12.4.1</w:t>
            </w:r>
            <w:r w:rsidR="00E32321">
              <w:rPr>
                <w:rFonts w:asciiTheme="minorHAnsi" w:eastAsiaTheme="minorEastAsia" w:hAnsiTheme="minorHAnsi"/>
                <w:lang w:eastAsia="en-AU"/>
              </w:rPr>
              <w:tab/>
            </w:r>
            <w:r w:rsidR="00E32321" w:rsidRPr="00924B5B">
              <w:rPr>
                <w:rStyle w:val="Hyperlink"/>
              </w:rPr>
              <w:t>In the event there is more than one provider of transmission services in the region</w:t>
            </w:r>
            <w:r w:rsidR="00E32321">
              <w:rPr>
                <w:webHidden/>
              </w:rPr>
              <w:tab/>
            </w:r>
            <w:r w:rsidR="00E32321">
              <w:rPr>
                <w:webHidden/>
              </w:rPr>
              <w:fldChar w:fldCharType="begin"/>
            </w:r>
            <w:r w:rsidR="00E32321">
              <w:rPr>
                <w:webHidden/>
              </w:rPr>
              <w:instrText xml:space="preserve"> PAGEREF _Toc462752884 \h </w:instrText>
            </w:r>
            <w:r w:rsidR="00E32321">
              <w:rPr>
                <w:webHidden/>
              </w:rPr>
            </w:r>
            <w:r w:rsidR="00E32321">
              <w:rPr>
                <w:webHidden/>
              </w:rPr>
              <w:fldChar w:fldCharType="separate"/>
            </w:r>
            <w:r w:rsidR="00E32321">
              <w:rPr>
                <w:webHidden/>
              </w:rPr>
              <w:t>12-8</w:t>
            </w:r>
            <w:r w:rsidR="00E32321">
              <w:rPr>
                <w:webHidden/>
              </w:rPr>
              <w:fldChar w:fldCharType="end"/>
            </w:r>
          </w:hyperlink>
        </w:p>
        <w:p w:rsidR="00E32321" w:rsidRDefault="00E46F50">
          <w:pPr>
            <w:pStyle w:val="TOC3"/>
            <w:rPr>
              <w:rFonts w:asciiTheme="minorHAnsi" w:eastAsiaTheme="minorEastAsia" w:hAnsiTheme="minorHAnsi"/>
              <w:lang w:eastAsia="en-AU"/>
            </w:rPr>
          </w:pPr>
          <w:hyperlink w:anchor="_Toc462752885" w:history="1">
            <w:r w:rsidR="00E32321" w:rsidRPr="00924B5B">
              <w:rPr>
                <w:rStyle w:val="Hyperlink"/>
              </w:rPr>
              <w:t>12.4.2</w:t>
            </w:r>
            <w:r w:rsidR="00E32321">
              <w:rPr>
                <w:rFonts w:asciiTheme="minorHAnsi" w:eastAsiaTheme="minorEastAsia" w:hAnsiTheme="minorHAnsi"/>
                <w:lang w:eastAsia="en-AU"/>
              </w:rPr>
              <w:tab/>
            </w:r>
            <w:r w:rsidR="00E32321" w:rsidRPr="00924B5B">
              <w:rPr>
                <w:rStyle w:val="Hyperlink"/>
              </w:rPr>
              <w:t>Priority ordering examples</w:t>
            </w:r>
            <w:r w:rsidR="00E32321">
              <w:rPr>
                <w:webHidden/>
              </w:rPr>
              <w:tab/>
            </w:r>
            <w:r w:rsidR="00E32321">
              <w:rPr>
                <w:webHidden/>
              </w:rPr>
              <w:fldChar w:fldCharType="begin"/>
            </w:r>
            <w:r w:rsidR="00E32321">
              <w:rPr>
                <w:webHidden/>
              </w:rPr>
              <w:instrText xml:space="preserve"> PAGEREF _Toc462752885 \h </w:instrText>
            </w:r>
            <w:r w:rsidR="00E32321">
              <w:rPr>
                <w:webHidden/>
              </w:rPr>
            </w:r>
            <w:r w:rsidR="00E32321">
              <w:rPr>
                <w:webHidden/>
              </w:rPr>
              <w:fldChar w:fldCharType="separate"/>
            </w:r>
            <w:r w:rsidR="00E32321">
              <w:rPr>
                <w:webHidden/>
              </w:rPr>
              <w:t>12-8</w:t>
            </w:r>
            <w:r w:rsidR="00E32321">
              <w:rPr>
                <w:webHidden/>
              </w:rPr>
              <w:fldChar w:fldCharType="end"/>
            </w:r>
          </w:hyperlink>
        </w:p>
        <w:p w:rsidR="00E32321" w:rsidRDefault="00E46F50">
          <w:pPr>
            <w:pStyle w:val="TOC3"/>
            <w:rPr>
              <w:rFonts w:asciiTheme="minorHAnsi" w:eastAsiaTheme="minorEastAsia" w:hAnsiTheme="minorHAnsi"/>
              <w:lang w:eastAsia="en-AU"/>
            </w:rPr>
          </w:pPr>
          <w:hyperlink w:anchor="_Toc462752886" w:history="1">
            <w:r w:rsidR="00E32321" w:rsidRPr="00924B5B">
              <w:rPr>
                <w:rStyle w:val="Hyperlink"/>
              </w:rPr>
              <w:t>12.4.3</w:t>
            </w:r>
            <w:r w:rsidR="00E32321">
              <w:rPr>
                <w:rFonts w:asciiTheme="minorHAnsi" w:eastAsiaTheme="minorEastAsia" w:hAnsiTheme="minorHAnsi"/>
                <w:lang w:eastAsia="en-AU"/>
              </w:rPr>
              <w:tab/>
            </w:r>
            <w:r w:rsidR="00E32321" w:rsidRPr="00924B5B">
              <w:rPr>
                <w:rStyle w:val="Hyperlink"/>
              </w:rPr>
              <w:t>Setting of interim TUOS locational prices</w:t>
            </w:r>
            <w:r w:rsidR="00E32321">
              <w:rPr>
                <w:webHidden/>
              </w:rPr>
              <w:tab/>
            </w:r>
            <w:r w:rsidR="00E32321">
              <w:rPr>
                <w:webHidden/>
              </w:rPr>
              <w:fldChar w:fldCharType="begin"/>
            </w:r>
            <w:r w:rsidR="00E32321">
              <w:rPr>
                <w:webHidden/>
              </w:rPr>
              <w:instrText xml:space="preserve"> PAGEREF _Toc462752886 \h </w:instrText>
            </w:r>
            <w:r w:rsidR="00E32321">
              <w:rPr>
                <w:webHidden/>
              </w:rPr>
            </w:r>
            <w:r w:rsidR="00E32321">
              <w:rPr>
                <w:webHidden/>
              </w:rPr>
              <w:fldChar w:fldCharType="separate"/>
            </w:r>
            <w:r w:rsidR="00E32321">
              <w:rPr>
                <w:webHidden/>
              </w:rPr>
              <w:t>12-9</w:t>
            </w:r>
            <w:r w:rsidR="00E32321">
              <w:rPr>
                <w:webHidden/>
              </w:rPr>
              <w:fldChar w:fldCharType="end"/>
            </w:r>
          </w:hyperlink>
        </w:p>
        <w:p w:rsidR="00E32321" w:rsidRDefault="00E46F50">
          <w:pPr>
            <w:pStyle w:val="TOC3"/>
            <w:rPr>
              <w:rFonts w:asciiTheme="minorHAnsi" w:eastAsiaTheme="minorEastAsia" w:hAnsiTheme="minorHAnsi"/>
              <w:lang w:eastAsia="en-AU"/>
            </w:rPr>
          </w:pPr>
          <w:hyperlink w:anchor="_Toc462752887" w:history="1">
            <w:r w:rsidR="00E32321" w:rsidRPr="00924B5B">
              <w:rPr>
                <w:rStyle w:val="Hyperlink"/>
              </w:rPr>
              <w:t>12.4.4</w:t>
            </w:r>
            <w:r w:rsidR="00E32321">
              <w:rPr>
                <w:rFonts w:asciiTheme="minorHAnsi" w:eastAsiaTheme="minorEastAsia" w:hAnsiTheme="minorHAnsi"/>
                <w:lang w:eastAsia="en-AU"/>
              </w:rPr>
              <w:tab/>
            </w:r>
            <w:r w:rsidR="00E32321" w:rsidRPr="00924B5B">
              <w:rPr>
                <w:rStyle w:val="Hyperlink"/>
              </w:rPr>
              <w:t>Assessment against the pricing principles</w:t>
            </w:r>
            <w:r w:rsidR="00E32321">
              <w:rPr>
                <w:webHidden/>
              </w:rPr>
              <w:tab/>
            </w:r>
            <w:r w:rsidR="00E32321">
              <w:rPr>
                <w:webHidden/>
              </w:rPr>
              <w:fldChar w:fldCharType="begin"/>
            </w:r>
            <w:r w:rsidR="00E32321">
              <w:rPr>
                <w:webHidden/>
              </w:rPr>
              <w:instrText xml:space="preserve"> PAGEREF _Toc462752887 \h </w:instrText>
            </w:r>
            <w:r w:rsidR="00E32321">
              <w:rPr>
                <w:webHidden/>
              </w:rPr>
            </w:r>
            <w:r w:rsidR="00E32321">
              <w:rPr>
                <w:webHidden/>
              </w:rPr>
              <w:fldChar w:fldCharType="separate"/>
            </w:r>
            <w:r w:rsidR="00E32321">
              <w:rPr>
                <w:webHidden/>
              </w:rPr>
              <w:t>12-11</w:t>
            </w:r>
            <w:r w:rsidR="00E32321">
              <w:rPr>
                <w:webHidden/>
              </w:rPr>
              <w:fldChar w:fldCharType="end"/>
            </w:r>
          </w:hyperlink>
        </w:p>
        <w:p w:rsidR="00E32321" w:rsidRDefault="00E46F50">
          <w:pPr>
            <w:pStyle w:val="TOC3"/>
            <w:rPr>
              <w:rFonts w:asciiTheme="minorHAnsi" w:eastAsiaTheme="minorEastAsia" w:hAnsiTheme="minorHAnsi"/>
              <w:lang w:eastAsia="en-AU"/>
            </w:rPr>
          </w:pPr>
          <w:hyperlink w:anchor="_Toc462752888" w:history="1">
            <w:r w:rsidR="00E32321" w:rsidRPr="00924B5B">
              <w:rPr>
                <w:rStyle w:val="Hyperlink"/>
              </w:rPr>
              <w:t>12.4.5</w:t>
            </w:r>
            <w:r w:rsidR="00E32321">
              <w:rPr>
                <w:rFonts w:asciiTheme="minorHAnsi" w:eastAsiaTheme="minorEastAsia" w:hAnsiTheme="minorHAnsi"/>
                <w:lang w:eastAsia="en-AU"/>
              </w:rPr>
              <w:tab/>
            </w:r>
            <w:r w:rsidR="00E32321" w:rsidRPr="00924B5B">
              <w:rPr>
                <w:rStyle w:val="Hyperlink"/>
              </w:rPr>
              <w:t>Assessment against the pricing methodology guidelines</w:t>
            </w:r>
            <w:r w:rsidR="00E32321">
              <w:rPr>
                <w:webHidden/>
              </w:rPr>
              <w:tab/>
            </w:r>
            <w:r w:rsidR="00E32321">
              <w:rPr>
                <w:webHidden/>
              </w:rPr>
              <w:fldChar w:fldCharType="begin"/>
            </w:r>
            <w:r w:rsidR="00E32321">
              <w:rPr>
                <w:webHidden/>
              </w:rPr>
              <w:instrText xml:space="preserve"> PAGEREF _Toc462752888 \h </w:instrText>
            </w:r>
            <w:r w:rsidR="00E32321">
              <w:rPr>
                <w:webHidden/>
              </w:rPr>
            </w:r>
            <w:r w:rsidR="00E32321">
              <w:rPr>
                <w:webHidden/>
              </w:rPr>
              <w:fldChar w:fldCharType="separate"/>
            </w:r>
            <w:r w:rsidR="00E32321">
              <w:rPr>
                <w:webHidden/>
              </w:rPr>
              <w:t>12-14</w:t>
            </w:r>
            <w:r w:rsidR="00E32321">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62752878"/>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w:t>
            </w:r>
            <w:proofErr w:type="spellStart"/>
            <w:r>
              <w:t>Lintner</w:t>
            </w:r>
            <w:proofErr w:type="spellEnd"/>
            <w:r>
              <w:t xml:space="preserve">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proofErr w:type="spellStart"/>
            <w:r>
              <w:t>TUoS</w:t>
            </w:r>
            <w:proofErr w:type="spellEnd"/>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CF42AA" w:rsidP="00CF42AA">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62752879"/>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Pricing methodology</w:t>
      </w:r>
      <w:bookmarkEnd w:id="71"/>
    </w:p>
    <w:p w:rsidR="006360CE" w:rsidRPr="007D7AC7" w:rsidRDefault="006360CE" w:rsidP="006360CE">
      <w:pPr>
        <w:numPr>
          <w:ilvl w:val="0"/>
          <w:numId w:val="24"/>
        </w:numPr>
      </w:pPr>
      <w:r w:rsidRPr="007D7AC7">
        <w:t xml:space="preserve">This attachment sets out </w:t>
      </w:r>
      <w:r>
        <w:t>our</w:t>
      </w:r>
      <w:r w:rsidRPr="007D7AC7">
        <w:t xml:space="preserve"> </w:t>
      </w:r>
      <w:r>
        <w:t xml:space="preserve">draft </w:t>
      </w:r>
      <w:r w:rsidRPr="007D7AC7">
        <w:t xml:space="preserve">determination on </w:t>
      </w:r>
      <w:r>
        <w:t>Powerlink's</w:t>
      </w:r>
      <w:r w:rsidRPr="007D7AC7">
        <w:t xml:space="preserve"> proposed pricing methodology for the 201</w:t>
      </w:r>
      <w:r>
        <w:t>7</w:t>
      </w:r>
      <w:r w:rsidRPr="007D7AC7">
        <w:t>–</w:t>
      </w:r>
      <w:r>
        <w:t>22</w:t>
      </w:r>
      <w:r w:rsidRPr="007D7AC7">
        <w:t xml:space="preserve"> regulatory control </w:t>
      </w:r>
      <w:proofErr w:type="gramStart"/>
      <w:r w:rsidRPr="007D7AC7">
        <w:t>period</w:t>
      </w:r>
      <w:proofErr w:type="gramEnd"/>
      <w:r w:rsidRPr="007D7AC7">
        <w:t xml:space="preserve">.  </w:t>
      </w:r>
    </w:p>
    <w:p w:rsidR="006360CE" w:rsidRPr="0019537E" w:rsidRDefault="006360CE" w:rsidP="006360CE">
      <w:pPr>
        <w:numPr>
          <w:ilvl w:val="0"/>
          <w:numId w:val="24"/>
        </w:numPr>
      </w:pPr>
      <w:r>
        <w:t>We are required to specify a pricing methodology as part of our transmission determination.</w:t>
      </w:r>
      <w:r>
        <w:rPr>
          <w:rStyle w:val="FootnoteReference"/>
        </w:rPr>
        <w:footnoteReference w:id="1"/>
      </w:r>
      <w:r>
        <w:t xml:space="preserve"> A pricing methodology answers the question ‘who should pay how much'</w:t>
      </w:r>
      <w:r>
        <w:rPr>
          <w:rStyle w:val="FootnoteReference"/>
        </w:rPr>
        <w:footnoteReference w:id="2"/>
      </w:r>
      <w:r w:rsidRPr="0019537E">
        <w:t xml:space="preserve"> in order </w:t>
      </w:r>
      <w:r>
        <w:t>for a transmission business to recover its costs. To do this, it must provide a 'methodology, formula, process or approach'</w:t>
      </w:r>
      <w:r>
        <w:rPr>
          <w:rStyle w:val="FootnoteReference"/>
        </w:rPr>
        <w:footnoteReference w:id="3"/>
      </w:r>
      <w:r>
        <w:t xml:space="preserve"> that, when applied:</w:t>
      </w:r>
    </w:p>
    <w:p w:rsidR="006360CE" w:rsidRPr="006360CE" w:rsidRDefault="006360CE" w:rsidP="006360CE">
      <w:pPr>
        <w:pStyle w:val="AERbulletlistfirststyle"/>
      </w:pPr>
      <w:r w:rsidRPr="007D7AC7">
        <w:t>allocates the aggregate annual revenue requirement to the categories of prescribed transmission services that a transmission business provides and to the connection points of network users</w:t>
      </w:r>
      <w:r w:rsidRPr="006360CE">
        <w:rPr>
          <w:rStyle w:val="FootnoteReference"/>
        </w:rPr>
        <w:footnoteReference w:id="4"/>
      </w:r>
    </w:p>
    <w:p w:rsidR="006360CE" w:rsidRPr="006360CE" w:rsidRDefault="006360CE" w:rsidP="006360CE">
      <w:pPr>
        <w:pStyle w:val="AERbulletlistfirststyle"/>
      </w:pPr>
      <w:proofErr w:type="gramStart"/>
      <w:r w:rsidRPr="007D7AC7">
        <w:t>determines</w:t>
      </w:r>
      <w:proofErr w:type="gramEnd"/>
      <w:r w:rsidRPr="007D7AC7">
        <w:t xml:space="preserve"> the structure of prices that a transmission business may charge for each category of prescribed transmission services.</w:t>
      </w:r>
      <w:r w:rsidRPr="006360CE">
        <w:rPr>
          <w:rStyle w:val="FootnoteReference"/>
        </w:rPr>
        <w:footnoteReference w:id="5"/>
      </w:r>
      <w:r w:rsidRPr="006360CE">
        <w:t xml:space="preserve"> </w:t>
      </w:r>
    </w:p>
    <w:p w:rsidR="00132D43" w:rsidRPr="00132D43" w:rsidRDefault="006360CE" w:rsidP="006360CE">
      <w:r w:rsidRPr="007D7AC7">
        <w:t xml:space="preserve">A pricing methodology relates to prescribed transmission services only. For negotiated services, </w:t>
      </w:r>
      <w:r>
        <w:t>Powerlink</w:t>
      </w:r>
      <w:r w:rsidRPr="007D7AC7">
        <w:t xml:space="preserve"> must comply with other requirements, which are discussed in </w:t>
      </w:r>
      <w:r>
        <w:t>attachment 14</w:t>
      </w:r>
      <w:r w:rsidRPr="007D7AC7">
        <w:t xml:space="preserve"> of this draft decision.</w:t>
      </w:r>
    </w:p>
    <w:p w:rsidR="00132D43" w:rsidRDefault="00132D43" w:rsidP="00132D43">
      <w:pPr>
        <w:pStyle w:val="Heading2"/>
      </w:pPr>
      <w:bookmarkStart w:id="72" w:name="_Ref458533503"/>
      <w:bookmarkStart w:id="73" w:name="_Toc462752880"/>
      <w:r>
        <w:t>Draft decision</w:t>
      </w:r>
      <w:bookmarkEnd w:id="72"/>
      <w:bookmarkEnd w:id="73"/>
    </w:p>
    <w:p w:rsidR="00490E27" w:rsidRDefault="00490E27" w:rsidP="00132D43">
      <w:r w:rsidRPr="00490E27">
        <w:t xml:space="preserve">We do not approve </w:t>
      </w:r>
      <w:r>
        <w:t>Powerlink's</w:t>
      </w:r>
      <w:r w:rsidRPr="00490E27">
        <w:t xml:space="preserve"> proposed pricing methodology for the 201</w:t>
      </w:r>
      <w:r>
        <w:t>7</w:t>
      </w:r>
      <w:r w:rsidRPr="00490E27">
        <w:t>–</w:t>
      </w:r>
      <w:r>
        <w:t>22</w:t>
      </w:r>
      <w:r w:rsidRPr="00490E27">
        <w:t xml:space="preserve"> regulatory control </w:t>
      </w:r>
      <w:proofErr w:type="gramStart"/>
      <w:r w:rsidRPr="00490E27">
        <w:t>period</w:t>
      </w:r>
      <w:proofErr w:type="gramEnd"/>
      <w:r w:rsidRPr="00490E27">
        <w:t>.</w:t>
      </w:r>
    </w:p>
    <w:p w:rsidR="00132D43" w:rsidRDefault="00490E27" w:rsidP="00132D43">
      <w:r w:rsidRPr="00490E27">
        <w:t xml:space="preserve">We </w:t>
      </w:r>
      <w:r w:rsidR="00DA12E0">
        <w:t>consider</w:t>
      </w:r>
      <w:r w:rsidRPr="00490E27">
        <w:t xml:space="preserve"> that </w:t>
      </w:r>
      <w:r w:rsidR="00E13FD3" w:rsidRPr="00E13FD3">
        <w:t xml:space="preserve">Powerlink's proposed pricing methodology </w:t>
      </w:r>
      <w:r w:rsidR="00F2173C">
        <w:t xml:space="preserve">generally </w:t>
      </w:r>
      <w:r w:rsidR="00E13FD3">
        <w:t>complies with the requirements set out in the pricing methodology guidelines</w:t>
      </w:r>
      <w:r w:rsidR="00E36988">
        <w:t>.</w:t>
      </w:r>
      <w:r w:rsidR="002035C9">
        <w:rPr>
          <w:rStyle w:val="FootnoteReference"/>
        </w:rPr>
        <w:footnoteReference w:id="6"/>
      </w:r>
      <w:r w:rsidR="00E13FD3">
        <w:t xml:space="preserve"> </w:t>
      </w:r>
      <w:r w:rsidR="00E36988">
        <w:t xml:space="preserve">However, </w:t>
      </w:r>
      <w:r>
        <w:t xml:space="preserve">one </w:t>
      </w:r>
      <w:r w:rsidRPr="00490E27">
        <w:t xml:space="preserve">aspect of </w:t>
      </w:r>
      <w:r w:rsidR="00E13FD3">
        <w:t>its</w:t>
      </w:r>
      <w:r w:rsidR="00E13FD3" w:rsidRPr="00490E27">
        <w:t xml:space="preserve"> </w:t>
      </w:r>
      <w:r w:rsidRPr="00490E27">
        <w:t>proposed methodology do</w:t>
      </w:r>
      <w:r>
        <w:t>es</w:t>
      </w:r>
      <w:r w:rsidRPr="00490E27">
        <w:t xml:space="preserve"> not give effect to the pricing principles in the National Electricity Rules (NER)</w:t>
      </w:r>
      <w:r>
        <w:t>.</w:t>
      </w:r>
      <w:r w:rsidRPr="00490E27">
        <w:t xml:space="preserve">  </w:t>
      </w:r>
    </w:p>
    <w:p w:rsidR="00132D43" w:rsidRDefault="00132D43" w:rsidP="00132D43">
      <w:pPr>
        <w:pStyle w:val="Heading2"/>
      </w:pPr>
      <w:bookmarkStart w:id="74" w:name="_Toc462752881"/>
      <w:r>
        <w:t>Powerlink’s proposal</w:t>
      </w:r>
      <w:bookmarkEnd w:id="74"/>
    </w:p>
    <w:p w:rsidR="00D714C4" w:rsidRPr="00D714C4" w:rsidRDefault="00D714C4" w:rsidP="00D714C4">
      <w:r>
        <w:t>Powerlink's</w:t>
      </w:r>
      <w:r w:rsidRPr="00D714C4">
        <w:t xml:space="preserve"> proposed pricing methodology seeks to introduce a number of changes</w:t>
      </w:r>
      <w:r w:rsidR="005E6490">
        <w:t xml:space="preserve"> </w:t>
      </w:r>
      <w:r w:rsidRPr="00D714C4">
        <w:t>compared to the</w:t>
      </w:r>
      <w:r w:rsidR="00E457C3">
        <w:t xml:space="preserve"> </w:t>
      </w:r>
      <w:r w:rsidRPr="00D714C4">
        <w:t xml:space="preserve">pricing methodology we approved for </w:t>
      </w:r>
      <w:r>
        <w:t>Powerlink's</w:t>
      </w:r>
      <w:r w:rsidRPr="00D714C4">
        <w:t xml:space="preserve"> 20</w:t>
      </w:r>
      <w:r>
        <w:t>12</w:t>
      </w:r>
      <w:r w:rsidRPr="00D714C4">
        <w:t>–1</w:t>
      </w:r>
      <w:r>
        <w:t>7</w:t>
      </w:r>
      <w:r w:rsidRPr="00D714C4">
        <w:t xml:space="preserve"> regulatory control period.</w:t>
      </w:r>
      <w:r w:rsidR="00540D18">
        <w:rPr>
          <w:rStyle w:val="FootnoteReference"/>
        </w:rPr>
        <w:footnoteReference w:id="7"/>
      </w:r>
      <w:r w:rsidRPr="00D714C4">
        <w:t xml:space="preserve"> </w:t>
      </w:r>
    </w:p>
    <w:p w:rsidR="00C4665B" w:rsidRDefault="00D714C4" w:rsidP="00D714C4">
      <w:r w:rsidRPr="00D714C4">
        <w:t xml:space="preserve">The </w:t>
      </w:r>
      <w:r w:rsidR="00F75F8B">
        <w:t xml:space="preserve">key </w:t>
      </w:r>
      <w:r w:rsidRPr="00D714C4">
        <w:t xml:space="preserve">changes </w:t>
      </w:r>
      <w:r>
        <w:t>Powerlink</w:t>
      </w:r>
      <w:r w:rsidRPr="00D714C4">
        <w:t xml:space="preserve"> proposed </w:t>
      </w:r>
      <w:r w:rsidR="00F75F8B">
        <w:t>are</w:t>
      </w:r>
      <w:r w:rsidR="005E6490">
        <w:t>:</w:t>
      </w:r>
      <w:r w:rsidRPr="00D714C4">
        <w:t xml:space="preserve"> </w:t>
      </w:r>
    </w:p>
    <w:p w:rsidR="00C4665B" w:rsidRDefault="00E36988" w:rsidP="00454423">
      <w:pPr>
        <w:pStyle w:val="ListParagraph"/>
        <w:numPr>
          <w:ilvl w:val="0"/>
          <w:numId w:val="39"/>
        </w:numPr>
      </w:pPr>
      <w:r>
        <w:lastRenderedPageBreak/>
        <w:t xml:space="preserve">amendments to </w:t>
      </w:r>
      <w:r w:rsidR="00137287">
        <w:t>i</w:t>
      </w:r>
      <w:r w:rsidR="00C4665B">
        <w:t>mprov</w:t>
      </w:r>
      <w:r>
        <w:t>e</w:t>
      </w:r>
      <w:r w:rsidR="00C4665B">
        <w:t xml:space="preserve"> clarity in the event there would be </w:t>
      </w:r>
      <w:r>
        <w:t>more than one</w:t>
      </w:r>
      <w:r w:rsidR="00C4665B">
        <w:t xml:space="preserve"> provider of prescribed transmission services in Queensland</w:t>
      </w:r>
      <w:r w:rsidR="00137287">
        <w:rPr>
          <w:rStyle w:val="FootnoteReference"/>
        </w:rPr>
        <w:footnoteReference w:id="8"/>
      </w:r>
    </w:p>
    <w:p w:rsidR="00A00F2E" w:rsidRDefault="00137287" w:rsidP="00454423">
      <w:pPr>
        <w:pStyle w:val="ListParagraph"/>
        <w:numPr>
          <w:ilvl w:val="0"/>
          <w:numId w:val="39"/>
        </w:numPr>
      </w:pPr>
      <w:r>
        <w:t>a</w:t>
      </w:r>
      <w:r w:rsidR="00C4665B">
        <w:t>mendments in the priority ordering examples to</w:t>
      </w:r>
      <w:r w:rsidR="00A00F2E">
        <w:t xml:space="preserve"> reflect asset allocations that would apply to most network configurations</w:t>
      </w:r>
      <w:r>
        <w:rPr>
          <w:rStyle w:val="FootnoteReference"/>
        </w:rPr>
        <w:footnoteReference w:id="9"/>
      </w:r>
    </w:p>
    <w:p w:rsidR="00D714C4" w:rsidRPr="00D714C4" w:rsidRDefault="00137287" w:rsidP="00454423">
      <w:pPr>
        <w:pStyle w:val="ListParagraph"/>
        <w:numPr>
          <w:ilvl w:val="0"/>
          <w:numId w:val="39"/>
        </w:numPr>
      </w:pPr>
      <w:proofErr w:type="gramStart"/>
      <w:r>
        <w:t>changes</w:t>
      </w:r>
      <w:proofErr w:type="gramEnd"/>
      <w:r>
        <w:t xml:space="preserve"> </w:t>
      </w:r>
      <w:r w:rsidR="007D112D">
        <w:t xml:space="preserve">to </w:t>
      </w:r>
      <w:r>
        <w:t>the setting of TUOS locational prices between annual price publications.</w:t>
      </w:r>
      <w:r>
        <w:rPr>
          <w:rStyle w:val="FootnoteReference"/>
        </w:rPr>
        <w:footnoteReference w:id="10"/>
      </w:r>
      <w:r w:rsidR="00A00F2E">
        <w:t xml:space="preserve"> </w:t>
      </w:r>
    </w:p>
    <w:p w:rsidR="00132D43" w:rsidRDefault="00132D43" w:rsidP="00132D43">
      <w:pPr>
        <w:pStyle w:val="Heading2"/>
      </w:pPr>
      <w:bookmarkStart w:id="75" w:name="_Toc462752882"/>
      <w:r>
        <w:t>Assessment approach</w:t>
      </w:r>
      <w:bookmarkEnd w:id="75"/>
    </w:p>
    <w:p w:rsidR="00364AF6" w:rsidRPr="00FE19A9" w:rsidRDefault="00364AF6" w:rsidP="00364AF6">
      <w:pPr>
        <w:numPr>
          <w:ilvl w:val="0"/>
          <w:numId w:val="24"/>
        </w:numPr>
      </w:pPr>
      <w:r>
        <w:t>We</w:t>
      </w:r>
      <w:r w:rsidRPr="00FE19A9">
        <w:t xml:space="preserve"> must approve a proposed pricing methodology if we are satisfied that </w:t>
      </w:r>
      <w:r>
        <w:t>it</w:t>
      </w:r>
      <w:r w:rsidRPr="00FE19A9">
        <w:t>:</w:t>
      </w:r>
    </w:p>
    <w:p w:rsidR="00364AF6" w:rsidRPr="00364AF6" w:rsidRDefault="00364AF6" w:rsidP="00364AF6">
      <w:pPr>
        <w:pStyle w:val="AERbulletlistfirststyle"/>
      </w:pPr>
      <w:r w:rsidRPr="00FE19A9">
        <w:t xml:space="preserve">gives effect to, and complies with, the pricing principles for prescribed transmission services </w:t>
      </w:r>
    </w:p>
    <w:p w:rsidR="00364AF6" w:rsidRPr="00364AF6" w:rsidRDefault="00364AF6" w:rsidP="00364AF6">
      <w:pPr>
        <w:pStyle w:val="AERbulletlistfirststyle"/>
      </w:pPr>
      <w:proofErr w:type="gramStart"/>
      <w:r w:rsidRPr="00FE19A9">
        <w:t>complies</w:t>
      </w:r>
      <w:proofErr w:type="gramEnd"/>
      <w:r w:rsidRPr="00FE19A9">
        <w:t xml:space="preserve"> with the </w:t>
      </w:r>
      <w:r w:rsidRPr="00364AF6">
        <w:t>requirements of, and contains or is accompanied by information required by</w:t>
      </w:r>
      <w:r>
        <w:t>,</w:t>
      </w:r>
      <w:r w:rsidRPr="00364AF6">
        <w:t xml:space="preserve"> the pricing methodology guidelines.</w:t>
      </w:r>
      <w:r w:rsidRPr="00364AF6">
        <w:rPr>
          <w:rStyle w:val="FootnoteReference"/>
        </w:rPr>
        <w:footnoteReference w:id="11"/>
      </w:r>
      <w:r w:rsidRPr="00364AF6">
        <w:t xml:space="preserve">  </w:t>
      </w:r>
    </w:p>
    <w:p w:rsidR="00132D43" w:rsidRDefault="00364AF6" w:rsidP="00132D43">
      <w:pPr>
        <w:numPr>
          <w:ilvl w:val="0"/>
          <w:numId w:val="24"/>
        </w:numPr>
      </w:pPr>
      <w:r>
        <w:t>Our assessment approach was guided by these requirements. In particular, we assessed whether Powerlink's proposed changes from its 2012–17</w:t>
      </w:r>
      <w:r w:rsidR="002006A7">
        <w:t xml:space="preserve"> </w:t>
      </w:r>
      <w:r>
        <w:t>pricing methodology give effect to the pricing principles and comply with the pricing methodology guidelines.</w:t>
      </w:r>
    </w:p>
    <w:p w:rsidR="00132D43" w:rsidRDefault="00132D43" w:rsidP="00132D43">
      <w:pPr>
        <w:pStyle w:val="Heading2"/>
      </w:pPr>
      <w:bookmarkStart w:id="76" w:name="_Toc462752883"/>
      <w:r>
        <w:t>Reasons for draft decision</w:t>
      </w:r>
      <w:bookmarkEnd w:id="76"/>
    </w:p>
    <w:p w:rsidR="002006A7" w:rsidRDefault="002006A7" w:rsidP="002006A7">
      <w:pPr>
        <w:numPr>
          <w:ilvl w:val="0"/>
          <w:numId w:val="24"/>
        </w:numPr>
      </w:pPr>
      <w:r>
        <w:t xml:space="preserve">We </w:t>
      </w:r>
      <w:r w:rsidR="006E380B">
        <w:t>consider</w:t>
      </w:r>
      <w:r>
        <w:t xml:space="preserve"> that most parts of the proposed pricing methodology give effect to and comply with the pricing principles in the NER and the pricing methodology guidelines</w:t>
      </w:r>
      <w:r w:rsidR="007D112D">
        <w:t xml:space="preserve"> determined by the AER</w:t>
      </w:r>
      <w:r>
        <w:t xml:space="preserve">. However, we have determined that one </w:t>
      </w:r>
      <w:r w:rsidR="002035C9">
        <w:t xml:space="preserve">part </w:t>
      </w:r>
      <w:r>
        <w:t xml:space="preserve">does not meet </w:t>
      </w:r>
      <w:r w:rsidR="000E0E90">
        <w:t xml:space="preserve">the </w:t>
      </w:r>
      <w:r>
        <w:t>requirements</w:t>
      </w:r>
      <w:r w:rsidR="000E0E90">
        <w:t xml:space="preserve"> of the pricing principles in the NER</w:t>
      </w:r>
      <w:r>
        <w:t xml:space="preserve">. We assessed each of the </w:t>
      </w:r>
      <w:r w:rsidR="00C12E4B">
        <w:t xml:space="preserve">key </w:t>
      </w:r>
      <w:r>
        <w:t>changes Powerlink proposed</w:t>
      </w:r>
      <w:r w:rsidR="006D471D">
        <w:t xml:space="preserve"> in Table </w:t>
      </w:r>
      <w:r w:rsidR="006D471D">
        <w:fldChar w:fldCharType="begin"/>
      </w:r>
      <w:r w:rsidR="006D471D">
        <w:instrText xml:space="preserve"> REF _Ref458533503 \r \h </w:instrText>
      </w:r>
      <w:r w:rsidR="006D471D">
        <w:fldChar w:fldCharType="separate"/>
      </w:r>
      <w:r w:rsidR="00E32321">
        <w:t>12.1</w:t>
      </w:r>
      <w:r w:rsidR="006D471D">
        <w:fldChar w:fldCharType="end"/>
      </w:r>
      <w:r>
        <w:t xml:space="preserve">. </w:t>
      </w:r>
    </w:p>
    <w:p w:rsidR="002006A7" w:rsidRDefault="002006A7" w:rsidP="002006A7">
      <w:pPr>
        <w:pStyle w:val="Caption"/>
      </w:pPr>
      <w:proofErr w:type="gramStart"/>
      <w:r>
        <w:t xml:space="preserve">Table </w:t>
      </w:r>
      <w:r w:rsidRPr="002006A7">
        <w:fldChar w:fldCharType="begin"/>
      </w:r>
      <w:r>
        <w:instrText xml:space="preserve"> STYLEREF 1 \s </w:instrText>
      </w:r>
      <w:r w:rsidRPr="002006A7">
        <w:fldChar w:fldCharType="separate"/>
      </w:r>
      <w:r w:rsidR="00E32321">
        <w:rPr>
          <w:noProof/>
        </w:rPr>
        <w:t>12</w:t>
      </w:r>
      <w:r w:rsidRPr="002006A7">
        <w:fldChar w:fldCharType="end"/>
      </w:r>
      <w:r>
        <w:t>.</w:t>
      </w:r>
      <w:proofErr w:type="gramEnd"/>
      <w:r w:rsidR="00CB4522">
        <w:fldChar w:fldCharType="begin"/>
      </w:r>
      <w:r w:rsidR="00CB4522">
        <w:instrText xml:space="preserve"> SEQ Table \* ARABIC \s 1 </w:instrText>
      </w:r>
      <w:r w:rsidR="00CB4522">
        <w:fldChar w:fldCharType="separate"/>
      </w:r>
      <w:r w:rsidR="00E32321">
        <w:rPr>
          <w:noProof/>
        </w:rPr>
        <w:t>1</w:t>
      </w:r>
      <w:r w:rsidR="00CB4522">
        <w:rPr>
          <w:noProof/>
        </w:rPr>
        <w:fldChar w:fldCharType="end"/>
      </w:r>
      <w:r>
        <w:tab/>
      </w:r>
      <w:r w:rsidRPr="00454423">
        <w:t>Overview of our reviews for draft decision</w:t>
      </w:r>
    </w:p>
    <w:tbl>
      <w:tblPr>
        <w:tblStyle w:val="AERtable-text0"/>
        <w:tblW w:w="0" w:type="auto"/>
        <w:tblLook w:val="04A0" w:firstRow="1" w:lastRow="0" w:firstColumn="1" w:lastColumn="0" w:noHBand="0" w:noVBand="1"/>
      </w:tblPr>
      <w:tblGrid>
        <w:gridCol w:w="4353"/>
        <w:gridCol w:w="4340"/>
      </w:tblGrid>
      <w:tr w:rsidR="007F5446" w:rsidTr="001B71FA">
        <w:trPr>
          <w:cnfStyle w:val="100000000000" w:firstRow="1" w:lastRow="0" w:firstColumn="0" w:lastColumn="0" w:oddVBand="0" w:evenVBand="0" w:oddHBand="0" w:evenHBand="0" w:firstRowFirstColumn="0" w:firstRowLastColumn="0" w:lastRowFirstColumn="0" w:lastRowLastColumn="0"/>
        </w:trPr>
        <w:tc>
          <w:tcPr>
            <w:tcW w:w="4353" w:type="dxa"/>
          </w:tcPr>
          <w:p w:rsidR="002006A7" w:rsidRDefault="002006A7" w:rsidP="002006A7">
            <w:pPr>
              <w:numPr>
                <w:ilvl w:val="0"/>
                <w:numId w:val="24"/>
              </w:numPr>
            </w:pPr>
            <w:r>
              <w:t>Draft decision</w:t>
            </w:r>
          </w:p>
        </w:tc>
        <w:tc>
          <w:tcPr>
            <w:tcW w:w="4340" w:type="dxa"/>
          </w:tcPr>
          <w:p w:rsidR="002006A7" w:rsidRDefault="002006A7" w:rsidP="002006A7">
            <w:pPr>
              <w:numPr>
                <w:ilvl w:val="0"/>
                <w:numId w:val="24"/>
              </w:numPr>
            </w:pPr>
            <w:r>
              <w:t>Proposed change</w:t>
            </w:r>
          </w:p>
        </w:tc>
      </w:tr>
      <w:tr w:rsidR="007F5446" w:rsidTr="001B71FA">
        <w:tc>
          <w:tcPr>
            <w:tcW w:w="4353" w:type="dxa"/>
          </w:tcPr>
          <w:p w:rsidR="002006A7" w:rsidRPr="003877C2" w:rsidRDefault="002006A7" w:rsidP="002006A7">
            <w:pPr>
              <w:numPr>
                <w:ilvl w:val="0"/>
                <w:numId w:val="24"/>
              </w:numPr>
            </w:pPr>
            <w:r>
              <w:t>Accept</w:t>
            </w:r>
          </w:p>
        </w:tc>
        <w:tc>
          <w:tcPr>
            <w:tcW w:w="4340" w:type="dxa"/>
          </w:tcPr>
          <w:p w:rsidR="002006A7" w:rsidRPr="003877C2" w:rsidRDefault="007F5446" w:rsidP="007F5446">
            <w:pPr>
              <w:numPr>
                <w:ilvl w:val="0"/>
                <w:numId w:val="24"/>
              </w:numPr>
            </w:pPr>
            <w:r>
              <w:t>Clarifying the allocation of the AARR in the event there is more than one TNSP in the Queensland region (section 6.2 and Appendix D)</w:t>
            </w:r>
            <w:r w:rsidR="001B71FA">
              <w:rPr>
                <w:rStyle w:val="FootnoteReference"/>
              </w:rPr>
              <w:footnoteReference w:id="12"/>
            </w:r>
            <w:r>
              <w:t xml:space="preserve"> </w:t>
            </w:r>
          </w:p>
        </w:tc>
      </w:tr>
      <w:tr w:rsidR="001B71FA" w:rsidTr="00454423">
        <w:trPr>
          <w:cnfStyle w:val="000000010000" w:firstRow="0" w:lastRow="0" w:firstColumn="0" w:lastColumn="0" w:oddVBand="0" w:evenVBand="0" w:oddHBand="0" w:evenHBand="1" w:firstRowFirstColumn="0" w:firstRowLastColumn="0" w:lastRowFirstColumn="0" w:lastRowLastColumn="0"/>
        </w:trPr>
        <w:tc>
          <w:tcPr>
            <w:tcW w:w="4353" w:type="dxa"/>
            <w:tcBorders>
              <w:bottom w:val="nil"/>
            </w:tcBorders>
          </w:tcPr>
          <w:p w:rsidR="001B71FA" w:rsidRDefault="00E17BE5" w:rsidP="002006A7">
            <w:pPr>
              <w:numPr>
                <w:ilvl w:val="0"/>
                <w:numId w:val="24"/>
              </w:numPr>
            </w:pPr>
            <w:r>
              <w:t>Accept</w:t>
            </w:r>
          </w:p>
        </w:tc>
        <w:tc>
          <w:tcPr>
            <w:tcW w:w="4340" w:type="dxa"/>
            <w:tcBorders>
              <w:bottom w:val="nil"/>
            </w:tcBorders>
            <w:shd w:val="clear" w:color="auto" w:fill="D4E2FF" w:themeFill="accent3" w:themeFillTint="1A"/>
            <w:vAlign w:val="top"/>
          </w:tcPr>
          <w:p w:rsidR="001B71FA" w:rsidRPr="002006A7" w:rsidRDefault="001B71FA" w:rsidP="001B71FA">
            <w:pPr>
              <w:numPr>
                <w:ilvl w:val="0"/>
                <w:numId w:val="24"/>
              </w:numPr>
            </w:pPr>
            <w:r>
              <w:t>A</w:t>
            </w:r>
            <w:r w:rsidRPr="003508A2">
              <w:t>mendments in the priority ordering examples to reflect asset allocations that would apply to most network configurations</w:t>
            </w:r>
            <w:r>
              <w:rPr>
                <w:rStyle w:val="FootnoteReference"/>
              </w:rPr>
              <w:footnoteReference w:id="13"/>
            </w:r>
          </w:p>
        </w:tc>
      </w:tr>
      <w:tr w:rsidR="007F5446" w:rsidTr="001B71FA">
        <w:tc>
          <w:tcPr>
            <w:tcW w:w="4353" w:type="dxa"/>
            <w:tcBorders>
              <w:bottom w:val="nil"/>
            </w:tcBorders>
            <w:shd w:val="clear" w:color="auto" w:fill="FFFFFF" w:themeFill="background1"/>
          </w:tcPr>
          <w:p w:rsidR="002006A7" w:rsidRDefault="002006A7" w:rsidP="002006A7">
            <w:pPr>
              <w:numPr>
                <w:ilvl w:val="0"/>
                <w:numId w:val="24"/>
              </w:numPr>
            </w:pPr>
            <w:r>
              <w:lastRenderedPageBreak/>
              <w:t>Not accept</w:t>
            </w:r>
          </w:p>
        </w:tc>
        <w:tc>
          <w:tcPr>
            <w:tcW w:w="4340" w:type="dxa"/>
            <w:tcBorders>
              <w:top w:val="nil"/>
              <w:bottom w:val="nil"/>
            </w:tcBorders>
            <w:shd w:val="clear" w:color="auto" w:fill="FFFFFF" w:themeFill="background1"/>
          </w:tcPr>
          <w:p w:rsidR="002006A7" w:rsidRPr="002006A7" w:rsidRDefault="00454423" w:rsidP="00454423">
            <w:pPr>
              <w:pStyle w:val="AERbulletlistfirststyle"/>
              <w:numPr>
                <w:ilvl w:val="0"/>
                <w:numId w:val="0"/>
              </w:numPr>
            </w:pPr>
            <w:r w:rsidRPr="00454423">
              <w:t>Setting of TUOS locational prices between annual price publications – In the event Powerlink is required to set a TUOS locational price at a new connection point, an interim price not subject to the side constraints of clause 6A.23.4(b)(2) will be determined.</w:t>
            </w:r>
            <w:r w:rsidRPr="00454423">
              <w:rPr>
                <w:vertAlign w:val="superscript"/>
              </w:rPr>
              <w:footnoteReference w:id="14"/>
            </w:r>
          </w:p>
        </w:tc>
      </w:tr>
    </w:tbl>
    <w:p w:rsidR="00E17BE5" w:rsidRDefault="00E17BE5" w:rsidP="002006A7">
      <w:pPr>
        <w:pStyle w:val="AERbulletlistfirststyle"/>
        <w:numPr>
          <w:ilvl w:val="0"/>
          <w:numId w:val="0"/>
        </w:numPr>
      </w:pPr>
    </w:p>
    <w:p w:rsidR="002006A7" w:rsidRPr="002006A7" w:rsidRDefault="002006A7" w:rsidP="002006A7">
      <w:pPr>
        <w:pStyle w:val="AERbulletlistfirststyle"/>
        <w:numPr>
          <w:ilvl w:val="0"/>
          <w:numId w:val="0"/>
        </w:numPr>
      </w:pPr>
      <w:r>
        <w:t xml:space="preserve">Additionally, we assessed </w:t>
      </w:r>
      <w:r w:rsidRPr="002006A7">
        <w:t xml:space="preserve">other aspects of </w:t>
      </w:r>
      <w:r>
        <w:t>Powerlink’s</w:t>
      </w:r>
      <w:r w:rsidRPr="002006A7">
        <w:t xml:space="preserve"> proposed pricing methodology more generally against the requirements in the pricing principles (section</w:t>
      </w:r>
      <w:r w:rsidR="006D471D">
        <w:fldChar w:fldCharType="begin"/>
      </w:r>
      <w:r w:rsidR="006D471D">
        <w:instrText xml:space="preserve"> REF _Ref398044701 \r \h </w:instrText>
      </w:r>
      <w:r w:rsidR="006D471D">
        <w:fldChar w:fldCharType="separate"/>
      </w:r>
      <w:r w:rsidR="00E32321">
        <w:t>12.4.4</w:t>
      </w:r>
      <w:r w:rsidR="006D471D">
        <w:fldChar w:fldCharType="end"/>
      </w:r>
      <w:r w:rsidR="006F2547">
        <w:t>)</w:t>
      </w:r>
      <w:r w:rsidRPr="002006A7">
        <w:t xml:space="preserve"> and the pricing methodology guidelines (section</w:t>
      </w:r>
      <w:r w:rsidR="006F2547">
        <w:t xml:space="preserve"> </w:t>
      </w:r>
      <w:r w:rsidR="006F2547">
        <w:fldChar w:fldCharType="begin"/>
      </w:r>
      <w:r w:rsidR="006F2547">
        <w:instrText xml:space="preserve"> REF _Ref398652487 \r \h </w:instrText>
      </w:r>
      <w:r w:rsidR="006F2547">
        <w:fldChar w:fldCharType="separate"/>
      </w:r>
      <w:r w:rsidR="00E32321">
        <w:t>12.4.5</w:t>
      </w:r>
      <w:r w:rsidR="006F2547">
        <w:fldChar w:fldCharType="end"/>
      </w:r>
      <w:r w:rsidRPr="002006A7">
        <w:t>).</w:t>
      </w:r>
    </w:p>
    <w:p w:rsidR="00230D1B" w:rsidRPr="00085C1E" w:rsidRDefault="00A63989" w:rsidP="00085C1E">
      <w:pPr>
        <w:pStyle w:val="Heading3"/>
        <w:ind w:left="720"/>
        <w:rPr>
          <w:color w:val="FF8D40" w:themeColor="accent2" w:themeTint="99"/>
        </w:rPr>
      </w:pPr>
      <w:bookmarkStart w:id="77" w:name="_Toc462752884"/>
      <w:r>
        <w:rPr>
          <w:color w:val="FF8D40" w:themeColor="accent2" w:themeTint="99"/>
        </w:rPr>
        <w:t xml:space="preserve">In the event </w:t>
      </w:r>
      <w:r w:rsidR="00580D3C">
        <w:rPr>
          <w:color w:val="FF8D40" w:themeColor="accent2" w:themeTint="99"/>
        </w:rPr>
        <w:t>there is</w:t>
      </w:r>
      <w:r>
        <w:rPr>
          <w:color w:val="FF8D40" w:themeColor="accent2" w:themeTint="99"/>
        </w:rPr>
        <w:t xml:space="preserve"> m</w:t>
      </w:r>
      <w:r w:rsidR="00454423">
        <w:rPr>
          <w:color w:val="FF8D40" w:themeColor="accent2" w:themeTint="99"/>
        </w:rPr>
        <w:t>ore than one provider of transmission services</w:t>
      </w:r>
      <w:r>
        <w:rPr>
          <w:color w:val="FF8D40" w:themeColor="accent2" w:themeTint="99"/>
        </w:rPr>
        <w:t xml:space="preserve"> in the region</w:t>
      </w:r>
      <w:bookmarkEnd w:id="77"/>
    </w:p>
    <w:p w:rsidR="00AF193B" w:rsidRDefault="00AF193B" w:rsidP="005F4B39">
      <w:pPr>
        <w:spacing w:before="0" w:line="288" w:lineRule="auto"/>
        <w:jc w:val="both"/>
      </w:pPr>
    </w:p>
    <w:p w:rsidR="00BF3686" w:rsidRDefault="00BF3686" w:rsidP="00AF193B">
      <w:pPr>
        <w:spacing w:before="0" w:after="240" w:line="288" w:lineRule="auto"/>
        <w:jc w:val="both"/>
      </w:pPr>
      <w:r>
        <w:t>At present, Powerlink is the sole provider of prescribed transmission services in Queensland</w:t>
      </w:r>
      <w:r w:rsidR="0048176D">
        <w:t xml:space="preserve"> and is responsible for allocating the AARR within Queensland</w:t>
      </w:r>
      <w:r>
        <w:t xml:space="preserve">. The NER provides for possible situations where there are multiple transmission network service providers within a region. If this occurs, </w:t>
      </w:r>
      <w:r w:rsidR="0048176D">
        <w:t xml:space="preserve">a question arises as to who is assigned the responsibility and role </w:t>
      </w:r>
      <w:r w:rsidR="005F4B39">
        <w:t xml:space="preserve">(called the co-ordinating network service provider) </w:t>
      </w:r>
      <w:r w:rsidR="0048176D">
        <w:t xml:space="preserve">to </w:t>
      </w:r>
      <w:r w:rsidR="005F4B39">
        <w:t>allocat</w:t>
      </w:r>
      <w:r w:rsidR="00BE0791">
        <w:t>e</w:t>
      </w:r>
      <w:r w:rsidR="005F4B39">
        <w:t xml:space="preserve"> all relevant AARR within the region, calculat</w:t>
      </w:r>
      <w:r w:rsidR="00BE0791">
        <w:t>e</w:t>
      </w:r>
      <w:r w:rsidR="005F4B39">
        <w:t xml:space="preserve"> the modified load export charges</w:t>
      </w:r>
      <w:r w:rsidR="0048176D">
        <w:t xml:space="preserve"> (MLEC)</w:t>
      </w:r>
      <w:r w:rsidR="005F4B39">
        <w:t xml:space="preserve">, </w:t>
      </w:r>
      <w:r w:rsidR="0048176D">
        <w:t xml:space="preserve">and allocate MLEC, </w:t>
      </w:r>
      <w:r w:rsidR="005F4B39">
        <w:t>among other</w:t>
      </w:r>
      <w:r w:rsidR="007300C6">
        <w:t xml:space="preserve"> respon</w:t>
      </w:r>
      <w:r w:rsidR="005F4B39">
        <w:t>s</w:t>
      </w:r>
      <w:r w:rsidR="007300C6">
        <w:t>ibilities</w:t>
      </w:r>
      <w:r w:rsidR="005F4B39">
        <w:t>.</w:t>
      </w:r>
      <w:r w:rsidR="00A63989">
        <w:t xml:space="preserve"> Th</w:t>
      </w:r>
      <w:r w:rsidR="008E02ED">
        <w:t>ese are set out</w:t>
      </w:r>
      <w:r w:rsidR="00A63989">
        <w:t xml:space="preserve"> in clause 6A.29 of the NER.</w:t>
      </w:r>
    </w:p>
    <w:p w:rsidR="00BF3686" w:rsidRDefault="00A63989" w:rsidP="00AF193B">
      <w:pPr>
        <w:spacing w:before="0" w:after="240" w:line="288" w:lineRule="auto"/>
        <w:jc w:val="both"/>
      </w:pPr>
      <w:r>
        <w:t>Powerlink proposed additional clauses in its pricing methodology to refer to clause 6A.29 of the NER in the event prescribed transmission services are provided by more than one TNSP in Queensland. Powerlink states that this improves clarity in the event there is more than one TNSP in Queensland and Powerlink is appointed as the co-ordinating TNSP.</w:t>
      </w:r>
      <w:r w:rsidR="00254C89">
        <w:rPr>
          <w:rStyle w:val="FootnoteReference"/>
        </w:rPr>
        <w:footnoteReference w:id="15"/>
      </w:r>
      <w:r>
        <w:t xml:space="preserve"> </w:t>
      </w:r>
      <w:r w:rsidR="005F07CD">
        <w:t>These additional clauses are within section 6.2 and App</w:t>
      </w:r>
      <w:r w:rsidR="00F10C50">
        <w:t>endix D of Powerlink’s proposed pricing methodology.</w:t>
      </w:r>
      <w:r w:rsidR="00254C89">
        <w:rPr>
          <w:rStyle w:val="FootnoteReference"/>
        </w:rPr>
        <w:footnoteReference w:id="16"/>
      </w:r>
    </w:p>
    <w:p w:rsidR="00DA73D5" w:rsidRDefault="00FA506B" w:rsidP="00AF193B">
      <w:pPr>
        <w:spacing w:before="0" w:after="240" w:line="288" w:lineRule="auto"/>
        <w:jc w:val="both"/>
      </w:pPr>
      <w:r>
        <w:t>We have reviewed Powerlink’s proposed amendment</w:t>
      </w:r>
      <w:r w:rsidR="00F10C50">
        <w:t>s</w:t>
      </w:r>
      <w:r>
        <w:t xml:space="preserve"> and we consider th</w:t>
      </w:r>
      <w:r w:rsidR="00F10C50">
        <w:t>ese</w:t>
      </w:r>
      <w:r>
        <w:t xml:space="preserve"> meet the requirements of the NER and provide more clarity and certainty to Powerlink’s methodology.</w:t>
      </w:r>
    </w:p>
    <w:p w:rsidR="00EE105B" w:rsidRDefault="00EE105B" w:rsidP="00580D3C">
      <w:pPr>
        <w:pStyle w:val="Heading3"/>
        <w:keepNext/>
        <w:ind w:left="720"/>
        <w:rPr>
          <w:color w:val="FF8D40" w:themeColor="accent2" w:themeTint="99"/>
        </w:rPr>
      </w:pPr>
      <w:bookmarkStart w:id="78" w:name="_Toc462752885"/>
      <w:r>
        <w:rPr>
          <w:color w:val="FF8D40" w:themeColor="accent2" w:themeTint="99"/>
        </w:rPr>
        <w:t>Priority ordering examples</w:t>
      </w:r>
      <w:bookmarkEnd w:id="78"/>
    </w:p>
    <w:p w:rsidR="007B3E85" w:rsidRDefault="007B3E85" w:rsidP="00580D3C">
      <w:pPr>
        <w:keepNext/>
      </w:pPr>
      <w:r>
        <w:t xml:space="preserve">Powerlink’s current pricing methodology for the 2012–17 regulatory period includes Appendix E – Priority Ordering Methodology which sets out how the priority ordering </w:t>
      </w:r>
      <w:r>
        <w:lastRenderedPageBreak/>
        <w:t xml:space="preserve">approach outlined in clause </w:t>
      </w:r>
      <w:proofErr w:type="gramStart"/>
      <w:r>
        <w:t>6A.23.2(</w:t>
      </w:r>
      <w:proofErr w:type="gramEnd"/>
      <w:r>
        <w:t>d) of the NER will be applied, including hypothetical worked examples.</w:t>
      </w:r>
    </w:p>
    <w:p w:rsidR="00254C89" w:rsidRDefault="007B3E85" w:rsidP="00FA506B">
      <w:r>
        <w:t xml:space="preserve">Priority ordering refers to the </w:t>
      </w:r>
      <w:r w:rsidR="0030253C">
        <w:t xml:space="preserve">process by which the costs of a transmission system asset are allocated to more than one category of prescribed transmission services. Powerlink reviewed its </w:t>
      </w:r>
      <w:r w:rsidR="0030253C" w:rsidRPr="0030253C">
        <w:t xml:space="preserve">hypothetical worked examples </w:t>
      </w:r>
      <w:r w:rsidR="0030253C">
        <w:t>and proposed amendments to its Appendix E to reflect allocations that would apply to most network configurations.</w:t>
      </w:r>
      <w:r w:rsidR="0030253C">
        <w:rPr>
          <w:rStyle w:val="FootnoteReference"/>
        </w:rPr>
        <w:footnoteReference w:id="17"/>
      </w:r>
    </w:p>
    <w:p w:rsidR="00FA506B" w:rsidRPr="00FA506B" w:rsidRDefault="00FA506B" w:rsidP="00FA506B">
      <w:r w:rsidRPr="00FA506B">
        <w:t>We have reviewed Powerlink’s proposed amendment</w:t>
      </w:r>
      <w:r w:rsidR="00B212A6">
        <w:t>s to Appendix E</w:t>
      </w:r>
      <w:r w:rsidR="00B212A6">
        <w:rPr>
          <w:rStyle w:val="FootnoteReference"/>
        </w:rPr>
        <w:footnoteReference w:id="18"/>
      </w:r>
      <w:r w:rsidRPr="00FA506B">
        <w:t xml:space="preserve"> and we consider th</w:t>
      </w:r>
      <w:r w:rsidR="00B212A6">
        <w:t>ese</w:t>
      </w:r>
      <w:r w:rsidRPr="00FA506B">
        <w:t xml:space="preserve"> meet the requirements of the NER and provide more clarity and certainty to Powerlink’s methodology.</w:t>
      </w:r>
    </w:p>
    <w:p w:rsidR="00EE105B" w:rsidRDefault="00EE105B" w:rsidP="00EE105B">
      <w:pPr>
        <w:pStyle w:val="Heading3"/>
        <w:ind w:left="720"/>
        <w:rPr>
          <w:color w:val="FF8D40" w:themeColor="accent2" w:themeTint="99"/>
        </w:rPr>
      </w:pPr>
      <w:bookmarkStart w:id="79" w:name="_Toc462752886"/>
      <w:bookmarkStart w:id="80" w:name="_Ref458531255"/>
      <w:r>
        <w:rPr>
          <w:color w:val="FF8D40" w:themeColor="accent2" w:themeTint="99"/>
        </w:rPr>
        <w:t>Setting of interim TUOS locational prices</w:t>
      </w:r>
      <w:bookmarkEnd w:id="79"/>
      <w:r>
        <w:rPr>
          <w:color w:val="FF8D40" w:themeColor="accent2" w:themeTint="99"/>
        </w:rPr>
        <w:t xml:space="preserve"> </w:t>
      </w:r>
      <w:bookmarkEnd w:id="80"/>
    </w:p>
    <w:p w:rsidR="004C4C05" w:rsidRDefault="004C4C05" w:rsidP="004C4C05">
      <w:pPr>
        <w:spacing w:before="0" w:line="288" w:lineRule="auto"/>
        <w:jc w:val="both"/>
        <w:rPr>
          <w:rStyle w:val="AERbody"/>
        </w:rPr>
      </w:pPr>
    </w:p>
    <w:p w:rsidR="005759A7" w:rsidRDefault="005759A7" w:rsidP="00BD49E3">
      <w:pPr>
        <w:spacing w:before="0" w:after="240" w:line="288" w:lineRule="auto"/>
        <w:jc w:val="both"/>
        <w:rPr>
          <w:rStyle w:val="AERbody"/>
        </w:rPr>
      </w:pPr>
      <w:r>
        <w:rPr>
          <w:rStyle w:val="AERbody"/>
        </w:rPr>
        <w:t>We do not accept Powerlink’s proposal to set an interim TUOS locational price.</w:t>
      </w:r>
    </w:p>
    <w:p w:rsidR="00BD49E3" w:rsidRDefault="005759A7" w:rsidP="00BD49E3">
      <w:pPr>
        <w:spacing w:before="0" w:after="240" w:line="288" w:lineRule="auto"/>
        <w:jc w:val="both"/>
        <w:rPr>
          <w:rStyle w:val="AERbody"/>
        </w:rPr>
      </w:pPr>
      <w:r>
        <w:rPr>
          <w:rStyle w:val="AERbody"/>
        </w:rPr>
        <w:t xml:space="preserve">To give effect to an interim location price, </w:t>
      </w:r>
      <w:r w:rsidR="00BD49E3">
        <w:rPr>
          <w:rStyle w:val="AERbody"/>
        </w:rPr>
        <w:t xml:space="preserve">Powerlink proposed </w:t>
      </w:r>
      <w:r w:rsidR="00FF1CAA">
        <w:rPr>
          <w:rStyle w:val="AERbody"/>
        </w:rPr>
        <w:t>an</w:t>
      </w:r>
      <w:r w:rsidR="00BD49E3">
        <w:rPr>
          <w:rStyle w:val="AERbody"/>
        </w:rPr>
        <w:t xml:space="preserve"> </w:t>
      </w:r>
      <w:r w:rsidR="00FF1CAA">
        <w:rPr>
          <w:rStyle w:val="AERbody"/>
        </w:rPr>
        <w:t>amended</w:t>
      </w:r>
      <w:r w:rsidR="00BD49E3">
        <w:rPr>
          <w:rStyle w:val="AERbody"/>
        </w:rPr>
        <w:t xml:space="preserve"> section 6.12 of its proposed pricing methodology:</w:t>
      </w:r>
    </w:p>
    <w:p w:rsidR="00BD49E3" w:rsidRPr="002D7F16" w:rsidRDefault="00EF7B5A" w:rsidP="00CB7BA2">
      <w:pPr>
        <w:pStyle w:val="AERquote"/>
        <w:rPr>
          <w:rStyle w:val="AERbody"/>
          <w:b/>
          <w:sz w:val="20"/>
          <w:szCs w:val="20"/>
        </w:rPr>
      </w:pPr>
      <w:r w:rsidRPr="002D7F16">
        <w:rPr>
          <w:rStyle w:val="AERbody"/>
          <w:b/>
          <w:sz w:val="20"/>
          <w:szCs w:val="20"/>
        </w:rPr>
        <w:t>6.12 Setting of TUOS locational prices between annual price publications</w:t>
      </w:r>
    </w:p>
    <w:p w:rsidR="00EF7B5A" w:rsidRPr="002D7F16" w:rsidRDefault="00EF7B5A" w:rsidP="00CB7BA2">
      <w:pPr>
        <w:pStyle w:val="AERquote"/>
        <w:rPr>
          <w:rStyle w:val="AERbody"/>
          <w:sz w:val="20"/>
          <w:szCs w:val="20"/>
        </w:rPr>
      </w:pPr>
      <w:r w:rsidRPr="002D7F16">
        <w:rPr>
          <w:rStyle w:val="AERbody"/>
          <w:sz w:val="20"/>
          <w:szCs w:val="20"/>
        </w:rPr>
        <w:t>In the event that Powerlink is required to set a TUOS locational price at a new connection point, an interim price not subject to the side constraints of clause 6A.23.4(b)(2)</w:t>
      </w:r>
      <w:r w:rsidR="004C4C05" w:rsidRPr="002D7F16">
        <w:rPr>
          <w:rStyle w:val="AERbody"/>
          <w:sz w:val="20"/>
          <w:szCs w:val="20"/>
        </w:rPr>
        <w:t xml:space="preserve"> will be determined. At an existing connection point where the load has changed significantly after prescribed TUOS service locational prices have been determined and published an interim price will be calculated subject to clause 6A.23.4(b)(3). This will be calculated using the prevailing pricing models with demands estimated in a manner consistent with clause 2.2(f) of the pricing methodology guidelines. </w:t>
      </w:r>
    </w:p>
    <w:p w:rsidR="004C4C05" w:rsidRPr="002D7F16" w:rsidRDefault="004C4C05" w:rsidP="00CB7BA2">
      <w:pPr>
        <w:pStyle w:val="AERquote"/>
        <w:rPr>
          <w:rStyle w:val="AERbody"/>
          <w:sz w:val="20"/>
          <w:szCs w:val="20"/>
        </w:rPr>
      </w:pPr>
      <w:r w:rsidRPr="002D7F16">
        <w:rPr>
          <w:rStyle w:val="AERbody"/>
          <w:sz w:val="20"/>
          <w:szCs w:val="20"/>
        </w:rPr>
        <w:t xml:space="preserve">A price subject to the side constraints of clause </w:t>
      </w:r>
      <w:proofErr w:type="gramStart"/>
      <w:r w:rsidRPr="002D7F16">
        <w:rPr>
          <w:rStyle w:val="AERbody"/>
          <w:sz w:val="20"/>
          <w:szCs w:val="20"/>
        </w:rPr>
        <w:t>6A.23.4(</w:t>
      </w:r>
      <w:proofErr w:type="gramEnd"/>
      <w:r w:rsidRPr="002D7F16">
        <w:rPr>
          <w:rStyle w:val="AERbody"/>
          <w:sz w:val="20"/>
          <w:szCs w:val="20"/>
        </w:rPr>
        <w:t>b)(2) will be determined and published at the next annual price determination.</w:t>
      </w:r>
    </w:p>
    <w:p w:rsidR="005E2262" w:rsidRDefault="005E2262" w:rsidP="00BD49E3">
      <w:pPr>
        <w:spacing w:before="0" w:after="240" w:line="288" w:lineRule="auto"/>
        <w:jc w:val="both"/>
        <w:rPr>
          <w:rStyle w:val="AERbody"/>
        </w:rPr>
      </w:pPr>
      <w:r>
        <w:rPr>
          <w:rStyle w:val="AERbody"/>
        </w:rPr>
        <w:t xml:space="preserve">We do not consider this aspect of Powerlink’s proposed pricing methodology complies with the NER. The proposal to set an interim price not subject to the </w:t>
      </w:r>
      <w:r w:rsidR="00A5343B">
        <w:rPr>
          <w:rStyle w:val="AERbody"/>
        </w:rPr>
        <w:t xml:space="preserve">2 percent </w:t>
      </w:r>
      <w:r>
        <w:rPr>
          <w:rStyle w:val="AERbody"/>
        </w:rPr>
        <w:t>side constraint in clause 6A.23.4(b)(2) of the NER is not permissible</w:t>
      </w:r>
      <w:r w:rsidR="00F37718">
        <w:rPr>
          <w:rStyle w:val="AERbody"/>
        </w:rPr>
        <w:t>, even if this is on an interim basis (until the next annual price determination)</w:t>
      </w:r>
      <w:r>
        <w:rPr>
          <w:rStyle w:val="AERbody"/>
        </w:rPr>
        <w:t xml:space="preserve">. </w:t>
      </w:r>
    </w:p>
    <w:p w:rsidR="00B55EE9" w:rsidRDefault="00A5343B" w:rsidP="00BD49E3">
      <w:pPr>
        <w:spacing w:before="0" w:after="240" w:line="288" w:lineRule="auto"/>
        <w:jc w:val="both"/>
        <w:rPr>
          <w:rStyle w:val="AERbody"/>
        </w:rPr>
      </w:pPr>
      <w:r>
        <w:rPr>
          <w:rStyle w:val="AERbody"/>
        </w:rPr>
        <w:t>T</w:t>
      </w:r>
      <w:r w:rsidR="00341264">
        <w:rPr>
          <w:rStyle w:val="AERbody"/>
        </w:rPr>
        <w:t xml:space="preserve">he NER includes a process </w:t>
      </w:r>
      <w:r w:rsidR="005E2262">
        <w:rPr>
          <w:rStyle w:val="AERbody"/>
        </w:rPr>
        <w:t xml:space="preserve">for the </w:t>
      </w:r>
      <w:r w:rsidR="00341264">
        <w:rPr>
          <w:rStyle w:val="AERbody"/>
        </w:rPr>
        <w:t xml:space="preserve">side constraint in question </w:t>
      </w:r>
      <w:r w:rsidR="005E2262">
        <w:rPr>
          <w:rStyle w:val="AERbody"/>
        </w:rPr>
        <w:t>to not appl</w:t>
      </w:r>
      <w:r>
        <w:rPr>
          <w:rStyle w:val="AERbody"/>
        </w:rPr>
        <w:t>y where specific criteria are met</w:t>
      </w:r>
      <w:r w:rsidR="005E2262">
        <w:rPr>
          <w:rStyle w:val="AERbody"/>
        </w:rPr>
        <w:t xml:space="preserve">. </w:t>
      </w:r>
      <w:r w:rsidR="00341264">
        <w:rPr>
          <w:rStyle w:val="AERbody"/>
        </w:rPr>
        <w:t xml:space="preserve">Clause </w:t>
      </w:r>
      <w:proofErr w:type="gramStart"/>
      <w:r w:rsidR="00341264" w:rsidRPr="005D0B29">
        <w:t>6A.23.4</w:t>
      </w:r>
      <w:r w:rsidR="00341264">
        <w:rPr>
          <w:rStyle w:val="AERbody"/>
        </w:rPr>
        <w:t>(</w:t>
      </w:r>
      <w:proofErr w:type="gramEnd"/>
      <w:r w:rsidR="00341264">
        <w:rPr>
          <w:rStyle w:val="AERbody"/>
        </w:rPr>
        <w:t>b)(3)(i</w:t>
      </w:r>
      <w:r w:rsidR="00B55EE9">
        <w:rPr>
          <w:rStyle w:val="AERbody"/>
        </w:rPr>
        <w:t>i</w:t>
      </w:r>
      <w:r w:rsidR="00341264">
        <w:rPr>
          <w:rStyle w:val="AERbody"/>
        </w:rPr>
        <w:t xml:space="preserve">) provides that </w:t>
      </w:r>
      <w:r w:rsidR="00FB7B57">
        <w:rPr>
          <w:rStyle w:val="AERbody"/>
        </w:rPr>
        <w:t xml:space="preserve">the TNSP </w:t>
      </w:r>
      <w:r w:rsidR="00A96715">
        <w:rPr>
          <w:rStyle w:val="AERbody"/>
        </w:rPr>
        <w:t xml:space="preserve">may charge </w:t>
      </w:r>
      <w:r w:rsidR="00FB7B57">
        <w:rPr>
          <w:rStyle w:val="AERbody"/>
        </w:rPr>
        <w:t xml:space="preserve">a customer more than the 2 percent </w:t>
      </w:r>
      <w:r w:rsidR="00341264">
        <w:rPr>
          <w:rStyle w:val="AERbody"/>
        </w:rPr>
        <w:t>side constraint when:</w:t>
      </w:r>
    </w:p>
    <w:p w:rsidR="00B55EE9" w:rsidRDefault="00B55EE9" w:rsidP="00E457C3">
      <w:pPr>
        <w:pStyle w:val="AERbulletlistfirststyle"/>
        <w:rPr>
          <w:rStyle w:val="AERbody"/>
        </w:rPr>
      </w:pPr>
      <w:r w:rsidRPr="00B55EE9">
        <w:rPr>
          <w:rStyle w:val="AERbody"/>
        </w:rPr>
        <w:t>the load at the connection point has materially altered</w:t>
      </w:r>
    </w:p>
    <w:p w:rsidR="00B55EE9" w:rsidRDefault="00B55EE9" w:rsidP="00E457C3">
      <w:pPr>
        <w:pStyle w:val="AERbulletlistfirststyle"/>
        <w:rPr>
          <w:rStyle w:val="AERbody"/>
        </w:rPr>
      </w:pPr>
      <w:r w:rsidRPr="00B55EE9">
        <w:rPr>
          <w:rStyle w:val="AERbody"/>
        </w:rPr>
        <w:lastRenderedPageBreak/>
        <w:t>in connection with that alteration, the Transmission Customer requested a renegotiation of its connection agreement with the Transmission Network Service Provider;</w:t>
      </w:r>
      <w:r>
        <w:rPr>
          <w:rStyle w:val="AERbody"/>
        </w:rPr>
        <w:t xml:space="preserve"> and</w:t>
      </w:r>
    </w:p>
    <w:p w:rsidR="00B55EE9" w:rsidRDefault="00B55EE9" w:rsidP="00E457C3">
      <w:pPr>
        <w:pStyle w:val="AERbulletlistfirststyle"/>
        <w:rPr>
          <w:rStyle w:val="AERbody"/>
        </w:rPr>
      </w:pPr>
      <w:proofErr w:type="gramStart"/>
      <w:r w:rsidRPr="00B55EE9">
        <w:rPr>
          <w:rStyle w:val="AERbody"/>
        </w:rPr>
        <w:t>the</w:t>
      </w:r>
      <w:proofErr w:type="gramEnd"/>
      <w:r w:rsidRPr="00B55EE9">
        <w:rPr>
          <w:rStyle w:val="AERbody"/>
        </w:rPr>
        <w:t xml:space="preserve"> AER approved the change.</w:t>
      </w:r>
    </w:p>
    <w:p w:rsidR="00E457C3" w:rsidRDefault="00E457C3" w:rsidP="00E457C3">
      <w:pPr>
        <w:spacing w:before="0" w:line="288" w:lineRule="auto"/>
        <w:jc w:val="both"/>
        <w:rPr>
          <w:rStyle w:val="AERbody"/>
        </w:rPr>
      </w:pPr>
    </w:p>
    <w:p w:rsidR="00927CE5" w:rsidRDefault="00927CE5" w:rsidP="00BD49E3">
      <w:pPr>
        <w:spacing w:before="0" w:after="240" w:line="288" w:lineRule="auto"/>
        <w:jc w:val="both"/>
        <w:rPr>
          <w:rStyle w:val="AERbody"/>
        </w:rPr>
      </w:pPr>
      <w:r>
        <w:rPr>
          <w:rStyle w:val="AERbody"/>
        </w:rPr>
        <w:t>We have reviewed</w:t>
      </w:r>
      <w:r w:rsidR="0094672A">
        <w:rPr>
          <w:rStyle w:val="AERbody"/>
        </w:rPr>
        <w:t xml:space="preserve"> the amended</w:t>
      </w:r>
      <w:r>
        <w:rPr>
          <w:rStyle w:val="AERbody"/>
        </w:rPr>
        <w:t xml:space="preserve"> section 6.12 </w:t>
      </w:r>
      <w:r w:rsidR="006E25F7">
        <w:rPr>
          <w:rStyle w:val="AERbody"/>
        </w:rPr>
        <w:t xml:space="preserve">of the proposed pricing methodology </w:t>
      </w:r>
      <w:r>
        <w:rPr>
          <w:rStyle w:val="AERbody"/>
        </w:rPr>
        <w:t xml:space="preserve">and in our </w:t>
      </w:r>
      <w:proofErr w:type="gramStart"/>
      <w:r>
        <w:rPr>
          <w:rStyle w:val="AERbody"/>
        </w:rPr>
        <w:t>view,</w:t>
      </w:r>
      <w:proofErr w:type="gramEnd"/>
      <w:r>
        <w:rPr>
          <w:rStyle w:val="AERbody"/>
        </w:rPr>
        <w:t xml:space="preserve"> </w:t>
      </w:r>
      <w:r w:rsidR="0094672A">
        <w:rPr>
          <w:rStyle w:val="AERbody"/>
        </w:rPr>
        <w:t>this</w:t>
      </w:r>
      <w:r>
        <w:rPr>
          <w:rStyle w:val="AERbody"/>
        </w:rPr>
        <w:t xml:space="preserve"> propos</w:t>
      </w:r>
      <w:r w:rsidR="0094672A">
        <w:rPr>
          <w:rStyle w:val="AERbody"/>
        </w:rPr>
        <w:t xml:space="preserve">ed amended section </w:t>
      </w:r>
      <w:r>
        <w:rPr>
          <w:rStyle w:val="AERbody"/>
        </w:rPr>
        <w:t>is not permissible under the NER.</w:t>
      </w:r>
    </w:p>
    <w:p w:rsidR="006E25F7" w:rsidRPr="006E25F7" w:rsidRDefault="006E25F7" w:rsidP="006E25F7">
      <w:pPr>
        <w:spacing w:before="0" w:line="288" w:lineRule="auto"/>
        <w:jc w:val="both"/>
        <w:rPr>
          <w:rStyle w:val="AERbody"/>
        </w:rPr>
      </w:pPr>
      <w:r w:rsidRPr="006E25F7">
        <w:rPr>
          <w:rStyle w:val="AERbody"/>
        </w:rPr>
        <w:t xml:space="preserve">Clause </w:t>
      </w:r>
      <w:proofErr w:type="gramStart"/>
      <w:r w:rsidRPr="006E25F7">
        <w:rPr>
          <w:rStyle w:val="AERbody"/>
        </w:rPr>
        <w:t>6</w:t>
      </w:r>
      <w:r>
        <w:rPr>
          <w:rStyle w:val="AERbody"/>
        </w:rPr>
        <w:t>A</w:t>
      </w:r>
      <w:r w:rsidRPr="006E25F7">
        <w:rPr>
          <w:rStyle w:val="AERbody"/>
        </w:rPr>
        <w:t>.23.4(</w:t>
      </w:r>
      <w:proofErr w:type="gramEnd"/>
      <w:r w:rsidRPr="006E25F7">
        <w:rPr>
          <w:rStyle w:val="AERbody"/>
        </w:rPr>
        <w:t xml:space="preserve">b) </w:t>
      </w:r>
      <w:r>
        <w:rPr>
          <w:rStyle w:val="AERbody"/>
        </w:rPr>
        <w:t xml:space="preserve">of the NER </w:t>
      </w:r>
      <w:r w:rsidRPr="006E25F7">
        <w:rPr>
          <w:rStyle w:val="AERbody"/>
        </w:rPr>
        <w:t>provides:</w:t>
      </w:r>
    </w:p>
    <w:p w:rsidR="006E25F7" w:rsidRPr="00BD216E" w:rsidRDefault="006E25F7" w:rsidP="00CB7BA2">
      <w:pPr>
        <w:pStyle w:val="AERquote"/>
        <w:rPr>
          <w:rStyle w:val="AERbody"/>
          <w:sz w:val="20"/>
          <w:szCs w:val="20"/>
        </w:rPr>
      </w:pPr>
      <w:r w:rsidRPr="00BD216E">
        <w:rPr>
          <w:rStyle w:val="AERbody"/>
          <w:sz w:val="20"/>
          <w:szCs w:val="20"/>
        </w:rPr>
        <w:t>(b) Prices for recovering the prescribed TUOS services - adjusted locational component:</w:t>
      </w:r>
    </w:p>
    <w:p w:rsidR="006E25F7" w:rsidRPr="00BD216E" w:rsidRDefault="006E25F7" w:rsidP="003E496E">
      <w:pPr>
        <w:pStyle w:val="AERquote"/>
        <w:tabs>
          <w:tab w:val="clear" w:pos="709"/>
          <w:tab w:val="num" w:pos="1134"/>
        </w:tabs>
        <w:ind w:left="1134"/>
        <w:rPr>
          <w:rStyle w:val="AERbody"/>
          <w:sz w:val="20"/>
          <w:szCs w:val="20"/>
        </w:rPr>
      </w:pPr>
      <w:r w:rsidRPr="00BD216E">
        <w:rPr>
          <w:rStyle w:val="AERbody"/>
          <w:sz w:val="20"/>
          <w:szCs w:val="20"/>
        </w:rPr>
        <w:t xml:space="preserve">(1) </w:t>
      </w:r>
      <w:proofErr w:type="gramStart"/>
      <w:r w:rsidRPr="00BD216E">
        <w:rPr>
          <w:rStyle w:val="AERbody"/>
          <w:sz w:val="20"/>
          <w:szCs w:val="20"/>
        </w:rPr>
        <w:t>must</w:t>
      </w:r>
      <w:proofErr w:type="gramEnd"/>
      <w:r w:rsidRPr="00BD216E">
        <w:rPr>
          <w:rStyle w:val="AERbody"/>
          <w:sz w:val="20"/>
          <w:szCs w:val="20"/>
        </w:rPr>
        <w:t xml:space="preserve"> be based on demand at times of greatest utilisation of the transmission network by Transmission Customers and for which network investment is most likely to be contemplated;</w:t>
      </w:r>
    </w:p>
    <w:p w:rsidR="006E25F7" w:rsidRPr="00BD216E" w:rsidRDefault="006E25F7" w:rsidP="003E496E">
      <w:pPr>
        <w:pStyle w:val="AERquote"/>
        <w:tabs>
          <w:tab w:val="clear" w:pos="709"/>
          <w:tab w:val="num" w:pos="1134"/>
        </w:tabs>
        <w:ind w:left="1134"/>
        <w:rPr>
          <w:rStyle w:val="AERbody"/>
          <w:sz w:val="20"/>
          <w:szCs w:val="20"/>
        </w:rPr>
      </w:pPr>
      <w:r w:rsidRPr="00BD216E">
        <w:rPr>
          <w:rStyle w:val="AERbody"/>
          <w:sz w:val="20"/>
          <w:szCs w:val="20"/>
        </w:rPr>
        <w:t xml:space="preserve">(2) </w:t>
      </w:r>
      <w:proofErr w:type="gramStart"/>
      <w:r w:rsidRPr="00BD216E">
        <w:rPr>
          <w:rStyle w:val="AERbody"/>
          <w:sz w:val="20"/>
          <w:szCs w:val="20"/>
        </w:rPr>
        <w:t>subject</w:t>
      </w:r>
      <w:proofErr w:type="gramEnd"/>
      <w:r w:rsidRPr="00BD216E">
        <w:rPr>
          <w:rStyle w:val="AERbody"/>
          <w:sz w:val="20"/>
          <w:szCs w:val="20"/>
        </w:rPr>
        <w:t xml:space="preserve"> to subparagraph (3) below, must not change by more than 2% on a load weighted average basis for the relevant region compared with the previous regulatory year; and</w:t>
      </w:r>
    </w:p>
    <w:p w:rsidR="006E25F7" w:rsidRPr="00BD216E" w:rsidRDefault="006E25F7" w:rsidP="003E496E">
      <w:pPr>
        <w:pStyle w:val="AERquote"/>
        <w:tabs>
          <w:tab w:val="clear" w:pos="709"/>
          <w:tab w:val="num" w:pos="1134"/>
        </w:tabs>
        <w:ind w:left="1134"/>
        <w:rPr>
          <w:rStyle w:val="AERbody"/>
          <w:sz w:val="20"/>
          <w:szCs w:val="20"/>
        </w:rPr>
      </w:pPr>
      <w:r w:rsidRPr="00BD216E">
        <w:rPr>
          <w:rStyle w:val="AERbody"/>
          <w:sz w:val="20"/>
          <w:szCs w:val="20"/>
        </w:rPr>
        <w:t xml:space="preserve">(3) </w:t>
      </w:r>
      <w:proofErr w:type="gramStart"/>
      <w:r w:rsidRPr="00BD216E">
        <w:rPr>
          <w:rStyle w:val="AERbody"/>
          <w:sz w:val="20"/>
          <w:szCs w:val="20"/>
        </w:rPr>
        <w:t>are</w:t>
      </w:r>
      <w:proofErr w:type="gramEnd"/>
      <w:r w:rsidRPr="00BD216E">
        <w:rPr>
          <w:rStyle w:val="AERbody"/>
          <w:sz w:val="20"/>
          <w:szCs w:val="20"/>
        </w:rPr>
        <w:t xml:space="preserve"> not subject to the limitation in subparagraph (2):</w:t>
      </w:r>
    </w:p>
    <w:p w:rsidR="006E25F7" w:rsidRPr="00BD216E" w:rsidRDefault="006E25F7" w:rsidP="00B26A07">
      <w:pPr>
        <w:pStyle w:val="AERquote"/>
        <w:tabs>
          <w:tab w:val="clear" w:pos="709"/>
          <w:tab w:val="num" w:pos="1560"/>
        </w:tabs>
        <w:ind w:left="1560"/>
        <w:rPr>
          <w:rStyle w:val="AERbody"/>
          <w:sz w:val="20"/>
          <w:szCs w:val="20"/>
        </w:rPr>
      </w:pPr>
      <w:r w:rsidRPr="00BD216E">
        <w:rPr>
          <w:rStyle w:val="AERbody"/>
          <w:sz w:val="20"/>
          <w:szCs w:val="20"/>
        </w:rPr>
        <w:t>(</w:t>
      </w:r>
      <w:proofErr w:type="spellStart"/>
      <w:r w:rsidRPr="00BD216E">
        <w:rPr>
          <w:rStyle w:val="AERbody"/>
          <w:sz w:val="20"/>
          <w:szCs w:val="20"/>
        </w:rPr>
        <w:t>i</w:t>
      </w:r>
      <w:proofErr w:type="spellEnd"/>
      <w:r w:rsidRPr="00BD216E">
        <w:rPr>
          <w:rStyle w:val="AERbody"/>
          <w:sz w:val="20"/>
          <w:szCs w:val="20"/>
        </w:rPr>
        <w:t>) to the extent that the change in prices relate to the adjusted modified load export charge as referred to in clause 6A.23.3(b)(2); or</w:t>
      </w:r>
    </w:p>
    <w:p w:rsidR="006E25F7" w:rsidRPr="00BD216E" w:rsidRDefault="006E25F7" w:rsidP="00B26A07">
      <w:pPr>
        <w:pStyle w:val="AERquote"/>
        <w:tabs>
          <w:tab w:val="clear" w:pos="709"/>
          <w:tab w:val="num" w:pos="1560"/>
        </w:tabs>
        <w:ind w:left="1560"/>
        <w:rPr>
          <w:rStyle w:val="AERbody"/>
          <w:sz w:val="20"/>
          <w:szCs w:val="20"/>
        </w:rPr>
      </w:pPr>
      <w:r w:rsidRPr="00BD216E">
        <w:rPr>
          <w:rStyle w:val="AERbody"/>
          <w:sz w:val="20"/>
          <w:szCs w:val="20"/>
        </w:rPr>
        <w:t xml:space="preserve">(ii) </w:t>
      </w:r>
      <w:proofErr w:type="gramStart"/>
      <w:r w:rsidRPr="00BD216E">
        <w:rPr>
          <w:rStyle w:val="AERbody"/>
          <w:sz w:val="20"/>
          <w:szCs w:val="20"/>
        </w:rPr>
        <w:t>if</w:t>
      </w:r>
      <w:proofErr w:type="gramEnd"/>
      <w:r w:rsidRPr="00BD216E">
        <w:rPr>
          <w:rStyle w:val="AERbody"/>
          <w:sz w:val="20"/>
          <w:szCs w:val="20"/>
        </w:rPr>
        <w:t>, since the commencement of the previous regulatory year:</w:t>
      </w:r>
    </w:p>
    <w:p w:rsidR="006E25F7" w:rsidRPr="00BD216E" w:rsidRDefault="006E25F7" w:rsidP="00B26A07">
      <w:pPr>
        <w:pStyle w:val="AERquote"/>
        <w:tabs>
          <w:tab w:val="clear" w:pos="709"/>
          <w:tab w:val="num" w:pos="1843"/>
        </w:tabs>
        <w:ind w:left="1985"/>
        <w:rPr>
          <w:rStyle w:val="AERbody"/>
          <w:sz w:val="20"/>
          <w:szCs w:val="20"/>
        </w:rPr>
      </w:pPr>
      <w:r w:rsidRPr="00BD216E">
        <w:rPr>
          <w:rStyle w:val="AERbody"/>
          <w:sz w:val="20"/>
          <w:szCs w:val="20"/>
        </w:rPr>
        <w:t xml:space="preserve">(A) </w:t>
      </w:r>
      <w:proofErr w:type="gramStart"/>
      <w:r w:rsidRPr="00BD216E">
        <w:rPr>
          <w:rStyle w:val="AERbody"/>
          <w:sz w:val="20"/>
          <w:szCs w:val="20"/>
        </w:rPr>
        <w:t>the</w:t>
      </w:r>
      <w:proofErr w:type="gramEnd"/>
      <w:r w:rsidRPr="00BD216E">
        <w:rPr>
          <w:rStyle w:val="AERbody"/>
          <w:sz w:val="20"/>
          <w:szCs w:val="20"/>
        </w:rPr>
        <w:t xml:space="preserve"> load at the connection point has materially altered;</w:t>
      </w:r>
    </w:p>
    <w:p w:rsidR="006E25F7" w:rsidRPr="00BD216E" w:rsidRDefault="006E25F7" w:rsidP="00B26A07">
      <w:pPr>
        <w:pStyle w:val="AERquote"/>
        <w:tabs>
          <w:tab w:val="clear" w:pos="709"/>
          <w:tab w:val="num" w:pos="1843"/>
        </w:tabs>
        <w:ind w:left="1985"/>
        <w:rPr>
          <w:rStyle w:val="AERbody"/>
          <w:sz w:val="20"/>
          <w:szCs w:val="20"/>
        </w:rPr>
      </w:pPr>
      <w:r w:rsidRPr="00BD216E">
        <w:rPr>
          <w:rStyle w:val="AERbody"/>
          <w:sz w:val="20"/>
          <w:szCs w:val="20"/>
        </w:rPr>
        <w:t xml:space="preserve">(B) </w:t>
      </w:r>
      <w:proofErr w:type="gramStart"/>
      <w:r w:rsidRPr="00BD216E">
        <w:rPr>
          <w:rStyle w:val="AERbody"/>
          <w:sz w:val="20"/>
          <w:szCs w:val="20"/>
        </w:rPr>
        <w:t>in</w:t>
      </w:r>
      <w:proofErr w:type="gramEnd"/>
      <w:r w:rsidRPr="00BD216E">
        <w:rPr>
          <w:rStyle w:val="AERbody"/>
          <w:sz w:val="20"/>
          <w:szCs w:val="20"/>
        </w:rPr>
        <w:t xml:space="preserve"> connection with that alteration, the Transmission Customer requested a renegotiation of its connection agreement with the Transmission Network Service Provider; and</w:t>
      </w:r>
    </w:p>
    <w:p w:rsidR="006E25F7" w:rsidRPr="00BD216E" w:rsidRDefault="006E25F7" w:rsidP="00B26A07">
      <w:pPr>
        <w:pStyle w:val="AERquote"/>
        <w:tabs>
          <w:tab w:val="clear" w:pos="709"/>
          <w:tab w:val="num" w:pos="1843"/>
        </w:tabs>
        <w:ind w:left="1985"/>
        <w:rPr>
          <w:rStyle w:val="AERbody"/>
          <w:sz w:val="20"/>
          <w:szCs w:val="20"/>
        </w:rPr>
      </w:pPr>
      <w:r w:rsidRPr="00BD216E">
        <w:rPr>
          <w:rStyle w:val="AERbody"/>
          <w:sz w:val="20"/>
          <w:szCs w:val="20"/>
        </w:rPr>
        <w:t xml:space="preserve">(C) </w:t>
      </w:r>
      <w:proofErr w:type="gramStart"/>
      <w:r w:rsidRPr="00BD216E">
        <w:rPr>
          <w:rStyle w:val="AERbody"/>
          <w:sz w:val="20"/>
          <w:szCs w:val="20"/>
        </w:rPr>
        <w:t>the</w:t>
      </w:r>
      <w:proofErr w:type="gramEnd"/>
      <w:r w:rsidRPr="00BD216E">
        <w:rPr>
          <w:rStyle w:val="AERbody"/>
          <w:sz w:val="20"/>
          <w:szCs w:val="20"/>
        </w:rPr>
        <w:t xml:space="preserve"> AER approved the change.</w:t>
      </w:r>
    </w:p>
    <w:p w:rsidR="006E25F7" w:rsidRPr="006E25F7" w:rsidRDefault="006E25F7" w:rsidP="006E25F7">
      <w:pPr>
        <w:spacing w:before="0" w:line="288" w:lineRule="auto"/>
        <w:jc w:val="both"/>
        <w:rPr>
          <w:rStyle w:val="AERbody"/>
        </w:rPr>
      </w:pPr>
    </w:p>
    <w:p w:rsidR="006E25F7" w:rsidRPr="006E25F7" w:rsidRDefault="006E25F7" w:rsidP="006E25F7">
      <w:pPr>
        <w:spacing w:before="0" w:line="288" w:lineRule="auto"/>
        <w:jc w:val="both"/>
        <w:rPr>
          <w:rStyle w:val="AERbody"/>
        </w:rPr>
      </w:pPr>
      <w:r w:rsidRPr="006E25F7">
        <w:rPr>
          <w:rStyle w:val="AERbody"/>
        </w:rPr>
        <w:t xml:space="preserve">The side constraint set out in </w:t>
      </w:r>
      <w:r>
        <w:rPr>
          <w:rStyle w:val="AERbody"/>
        </w:rPr>
        <w:t xml:space="preserve">clause </w:t>
      </w:r>
      <w:proofErr w:type="gramStart"/>
      <w:r>
        <w:rPr>
          <w:rStyle w:val="AERbody"/>
        </w:rPr>
        <w:t>6A.23.4</w:t>
      </w:r>
      <w:r w:rsidRPr="006E25F7">
        <w:rPr>
          <w:rStyle w:val="AERbody"/>
        </w:rPr>
        <w:t>(</w:t>
      </w:r>
      <w:proofErr w:type="gramEnd"/>
      <w:r w:rsidRPr="006E25F7">
        <w:rPr>
          <w:rStyle w:val="AERbody"/>
        </w:rPr>
        <w:t>b)(2) automatically appl</w:t>
      </w:r>
      <w:r>
        <w:rPr>
          <w:rStyle w:val="AERbody"/>
        </w:rPr>
        <w:t>ies</w:t>
      </w:r>
      <w:r w:rsidRPr="006E25F7">
        <w:rPr>
          <w:rStyle w:val="AERbody"/>
        </w:rPr>
        <w:t xml:space="preserve"> unless the conditions in </w:t>
      </w:r>
      <w:r w:rsidRPr="006E25F7">
        <w:t>clause 6A.23.4(b)(</w:t>
      </w:r>
      <w:r w:rsidR="00DF05D4">
        <w:t>3</w:t>
      </w:r>
      <w:r w:rsidRPr="006E25F7">
        <w:t xml:space="preserve">) </w:t>
      </w:r>
      <w:r w:rsidRPr="006E25F7">
        <w:rPr>
          <w:rStyle w:val="AERbody"/>
        </w:rPr>
        <w:t xml:space="preserve">are met.  </w:t>
      </w:r>
    </w:p>
    <w:p w:rsidR="006E25F7" w:rsidRPr="006E25F7" w:rsidRDefault="006E25F7" w:rsidP="006E25F7">
      <w:pPr>
        <w:spacing w:before="0" w:line="288" w:lineRule="auto"/>
        <w:jc w:val="both"/>
        <w:rPr>
          <w:rStyle w:val="AERbody"/>
        </w:rPr>
      </w:pPr>
    </w:p>
    <w:p w:rsidR="006E25F7" w:rsidRPr="006E25F7" w:rsidRDefault="006E25F7" w:rsidP="006E25F7">
      <w:pPr>
        <w:spacing w:before="0" w:line="288" w:lineRule="auto"/>
        <w:jc w:val="both"/>
        <w:rPr>
          <w:rStyle w:val="AERbody"/>
        </w:rPr>
      </w:pPr>
      <w:r w:rsidRPr="006E25F7">
        <w:rPr>
          <w:rStyle w:val="AERbody"/>
        </w:rPr>
        <w:t xml:space="preserve">In this particular case, a change in the proposed price will not relate to the adjusted modified load export charge under </w:t>
      </w:r>
      <w:r w:rsidR="005D0B29">
        <w:rPr>
          <w:rStyle w:val="AERbody"/>
        </w:rPr>
        <w:t xml:space="preserve">clause </w:t>
      </w:r>
      <w:proofErr w:type="gramStart"/>
      <w:r w:rsidR="005D0B29" w:rsidRPr="005D0B29">
        <w:t>6A.23.4</w:t>
      </w:r>
      <w:r w:rsidRPr="006E25F7">
        <w:rPr>
          <w:rStyle w:val="AERbody"/>
        </w:rPr>
        <w:t>(</w:t>
      </w:r>
      <w:proofErr w:type="gramEnd"/>
      <w:r w:rsidRPr="006E25F7">
        <w:rPr>
          <w:rStyle w:val="AERbody"/>
        </w:rPr>
        <w:t>b)(3)(</w:t>
      </w:r>
      <w:proofErr w:type="spellStart"/>
      <w:r w:rsidRPr="006E25F7">
        <w:rPr>
          <w:rStyle w:val="AERbody"/>
        </w:rPr>
        <w:t>i</w:t>
      </w:r>
      <w:proofErr w:type="spellEnd"/>
      <w:r w:rsidRPr="006E25F7">
        <w:rPr>
          <w:rStyle w:val="AERbody"/>
        </w:rPr>
        <w:t xml:space="preserve">). </w:t>
      </w:r>
    </w:p>
    <w:p w:rsidR="006E25F7" w:rsidRPr="006E25F7" w:rsidRDefault="006E25F7" w:rsidP="006E25F7">
      <w:pPr>
        <w:spacing w:before="0" w:line="288" w:lineRule="auto"/>
        <w:jc w:val="both"/>
        <w:rPr>
          <w:rStyle w:val="AERbody"/>
        </w:rPr>
      </w:pPr>
    </w:p>
    <w:p w:rsidR="006E25F7" w:rsidRPr="006E25F7" w:rsidRDefault="006E25F7" w:rsidP="006E25F7">
      <w:pPr>
        <w:spacing w:before="0" w:line="288" w:lineRule="auto"/>
        <w:jc w:val="both"/>
        <w:rPr>
          <w:rStyle w:val="AERbody"/>
        </w:rPr>
      </w:pPr>
      <w:r w:rsidRPr="006E25F7">
        <w:rPr>
          <w:rStyle w:val="AERbody"/>
        </w:rPr>
        <w:t>That being the case, the only basis for modifying the price by more than 2</w:t>
      </w:r>
      <w:r w:rsidR="005D0B29">
        <w:rPr>
          <w:rStyle w:val="AERbody"/>
        </w:rPr>
        <w:t xml:space="preserve"> percent</w:t>
      </w:r>
      <w:r w:rsidRPr="006E25F7">
        <w:rPr>
          <w:rStyle w:val="AERbody"/>
        </w:rPr>
        <w:t xml:space="preserve"> from the previous year for an existing connection point is where the terms of </w:t>
      </w:r>
      <w:r w:rsidR="005D0B29" w:rsidRPr="005D0B29">
        <w:t>clause 6A.23.4</w:t>
      </w:r>
      <w:r w:rsidRPr="006E25F7">
        <w:rPr>
          <w:rStyle w:val="AERbody"/>
        </w:rPr>
        <w:t>(b)(3)(ii) are satisfied. In other words, there must be a change to the connection agreement negotiated by the parties and the AER must approve that change.</w:t>
      </w:r>
    </w:p>
    <w:p w:rsidR="006E25F7" w:rsidRPr="006E25F7" w:rsidRDefault="006E25F7" w:rsidP="006E25F7">
      <w:pPr>
        <w:spacing w:before="0" w:line="288" w:lineRule="auto"/>
        <w:jc w:val="both"/>
        <w:rPr>
          <w:rStyle w:val="AERbody"/>
        </w:rPr>
      </w:pPr>
    </w:p>
    <w:p w:rsidR="00927CE5" w:rsidRDefault="006E25F7" w:rsidP="006E25F7">
      <w:pPr>
        <w:spacing w:before="0" w:line="288" w:lineRule="auto"/>
        <w:jc w:val="both"/>
        <w:rPr>
          <w:rStyle w:val="AERbody"/>
        </w:rPr>
      </w:pPr>
      <w:r w:rsidRPr="006E25F7">
        <w:rPr>
          <w:rStyle w:val="AERbody"/>
        </w:rPr>
        <w:t xml:space="preserve">In our view, the effect of Powerlink’s proposed pricing methodology provision would be to effect a change, albeit on an interim basis, without meeting the requirements of </w:t>
      </w:r>
      <w:r w:rsidR="005D0B29" w:rsidRPr="005D0B29">
        <w:lastRenderedPageBreak/>
        <w:t xml:space="preserve">clause </w:t>
      </w:r>
      <w:proofErr w:type="gramStart"/>
      <w:r w:rsidR="005D0B29" w:rsidRPr="005D0B29">
        <w:t>6A.23.4</w:t>
      </w:r>
      <w:r w:rsidRPr="006E25F7">
        <w:rPr>
          <w:rStyle w:val="AERbody"/>
        </w:rPr>
        <w:t>(</w:t>
      </w:r>
      <w:proofErr w:type="gramEnd"/>
      <w:r w:rsidRPr="006E25F7">
        <w:rPr>
          <w:rStyle w:val="AERbody"/>
        </w:rPr>
        <w:t>b)(3)(ii).  While it might be said that the AER would be, via the terms of the proposed pricing methodology, effectively approving changes in advance, the AER has no power to approve a change in a connection agreement in advance of such an agreement being reached.</w:t>
      </w:r>
    </w:p>
    <w:p w:rsidR="005D0B29" w:rsidRDefault="005D0B29" w:rsidP="005D0B29">
      <w:pPr>
        <w:numPr>
          <w:ilvl w:val="0"/>
          <w:numId w:val="24"/>
        </w:numPr>
        <w:spacing w:before="0" w:line="288" w:lineRule="auto"/>
        <w:jc w:val="both"/>
      </w:pPr>
    </w:p>
    <w:p w:rsidR="00FA506B" w:rsidRPr="009F221E" w:rsidRDefault="00FA506B" w:rsidP="00230D1B">
      <w:pPr>
        <w:numPr>
          <w:ilvl w:val="0"/>
          <w:numId w:val="24"/>
        </w:numPr>
        <w:spacing w:before="0" w:after="240" w:line="288" w:lineRule="auto"/>
        <w:jc w:val="both"/>
        <w:rPr>
          <w:rStyle w:val="AERbody"/>
        </w:rPr>
      </w:pPr>
      <w:r w:rsidRPr="00FA506B">
        <w:t xml:space="preserve">We have </w:t>
      </w:r>
      <w:r w:rsidR="00E44BBA">
        <w:t xml:space="preserve">therefore </w:t>
      </w:r>
      <w:r w:rsidRPr="00FA506B">
        <w:t>reviewed Powerlink’s proposed amend</w:t>
      </w:r>
      <w:r w:rsidR="00927CE5">
        <w:t xml:space="preserve">ed section 6.12 </w:t>
      </w:r>
      <w:r w:rsidRPr="00FA506B">
        <w:t xml:space="preserve">and we consider this </w:t>
      </w:r>
      <w:r>
        <w:t xml:space="preserve">does not </w:t>
      </w:r>
      <w:r w:rsidRPr="00FA506B">
        <w:t xml:space="preserve">meet the requirements of </w:t>
      </w:r>
      <w:r>
        <w:t xml:space="preserve">clause </w:t>
      </w:r>
      <w:proofErr w:type="gramStart"/>
      <w:r>
        <w:t>6A.23.4(</w:t>
      </w:r>
      <w:proofErr w:type="gramEnd"/>
      <w:r>
        <w:t xml:space="preserve">b) of </w:t>
      </w:r>
      <w:r w:rsidRPr="00FA506B">
        <w:t>the NER</w:t>
      </w:r>
      <w:r>
        <w:t>.</w:t>
      </w:r>
    </w:p>
    <w:p w:rsidR="00230D1B" w:rsidRPr="00085C1E" w:rsidRDefault="00230D1B" w:rsidP="004A05A8">
      <w:pPr>
        <w:pStyle w:val="Heading3"/>
        <w:keepNext/>
        <w:ind w:left="720"/>
        <w:rPr>
          <w:color w:val="FF8D40" w:themeColor="accent2" w:themeTint="99"/>
        </w:rPr>
      </w:pPr>
      <w:bookmarkStart w:id="81" w:name="_Ref398044701"/>
      <w:bookmarkStart w:id="82" w:name="_Toc404161051"/>
      <w:bookmarkStart w:id="83" w:name="_Toc462752887"/>
      <w:r w:rsidRPr="00085C1E">
        <w:rPr>
          <w:color w:val="FF8D40" w:themeColor="accent2" w:themeTint="99"/>
        </w:rPr>
        <w:t>Assessment against the pricing principles</w:t>
      </w:r>
      <w:bookmarkEnd w:id="81"/>
      <w:bookmarkEnd w:id="82"/>
      <w:bookmarkEnd w:id="83"/>
    </w:p>
    <w:p w:rsidR="006F2547" w:rsidRDefault="006F2547" w:rsidP="004A05A8">
      <w:pPr>
        <w:keepNext/>
        <w:numPr>
          <w:ilvl w:val="0"/>
          <w:numId w:val="24"/>
        </w:numPr>
        <w:spacing w:before="0" w:line="288" w:lineRule="auto"/>
        <w:jc w:val="both"/>
      </w:pPr>
    </w:p>
    <w:p w:rsidR="00230D1B" w:rsidRPr="009120EF" w:rsidRDefault="00230D1B" w:rsidP="004A05A8">
      <w:pPr>
        <w:keepNext/>
        <w:numPr>
          <w:ilvl w:val="0"/>
          <w:numId w:val="24"/>
        </w:numPr>
        <w:spacing w:before="0" w:after="240" w:line="288" w:lineRule="auto"/>
        <w:jc w:val="both"/>
      </w:pPr>
      <w:r>
        <w:t>With the exception of th</w:t>
      </w:r>
      <w:r w:rsidR="00EE105B">
        <w:t>e</w:t>
      </w:r>
      <w:r w:rsidR="00E17BE5">
        <w:t xml:space="preserve"> element</w:t>
      </w:r>
      <w:r>
        <w:t xml:space="preserve"> which we do not accept (as outlined above), we consider</w:t>
      </w:r>
      <w:r w:rsidRPr="009120EF">
        <w:t xml:space="preserve"> </w:t>
      </w:r>
      <w:r>
        <w:t xml:space="preserve">that the other aspects of </w:t>
      </w:r>
      <w:r w:rsidR="00E94D27">
        <w:t>Powerlink’s</w:t>
      </w:r>
      <w:r w:rsidRPr="009120EF">
        <w:t xml:space="preserve"> proposed pricing methodology </w:t>
      </w:r>
      <w:r>
        <w:t>otherwise meet</w:t>
      </w:r>
      <w:r w:rsidRPr="009120EF">
        <w:t xml:space="preserve"> the requirements of the pricing principles in the NER. The pricing principles are intended to provide scope for transmission businesses to develop pricing arrangements that address the circumstances in which they operate their network.</w:t>
      </w:r>
      <w:r w:rsidRPr="009120EF">
        <w:rPr>
          <w:rStyle w:val="FootnoteReference"/>
        </w:rPr>
        <w:footnoteReference w:id="19"/>
      </w:r>
      <w:r w:rsidRPr="009120EF">
        <w:t xml:space="preserve"> This limits our review to a high</w:t>
      </w:r>
      <w:r w:rsidR="00E94D27">
        <w:t>-</w:t>
      </w:r>
      <w:r w:rsidRPr="009120EF">
        <w:t xml:space="preserve">level assessment. </w:t>
      </w:r>
    </w:p>
    <w:p w:rsidR="00230D1B" w:rsidRPr="00B411FD" w:rsidRDefault="00230D1B" w:rsidP="00230D1B">
      <w:pPr>
        <w:pStyle w:val="HeadingBoldBlue"/>
        <w:keepNext/>
        <w:numPr>
          <w:ilvl w:val="0"/>
          <w:numId w:val="24"/>
        </w:numPr>
        <w:tabs>
          <w:tab w:val="clear" w:pos="1021"/>
        </w:tabs>
        <w:spacing w:before="120" w:after="120" w:line="288" w:lineRule="auto"/>
        <w:outlineLvl w:val="9"/>
      </w:pPr>
      <w:r w:rsidRPr="00B411FD">
        <w:t>Calculation</w:t>
      </w:r>
      <w:r>
        <w:t xml:space="preserve"> and allocation</w:t>
      </w:r>
      <w:r w:rsidRPr="00B411FD">
        <w:t xml:space="preserve"> of </w:t>
      </w:r>
      <w:r>
        <w:t>the aggregate annual revenue requirement</w:t>
      </w:r>
    </w:p>
    <w:p w:rsidR="00230D1B" w:rsidRDefault="00230D1B" w:rsidP="00230D1B">
      <w:pPr>
        <w:numPr>
          <w:ilvl w:val="0"/>
          <w:numId w:val="24"/>
        </w:numPr>
        <w:spacing w:before="0" w:after="240" w:line="288" w:lineRule="auto"/>
        <w:jc w:val="both"/>
      </w:pPr>
      <w:r>
        <w:t>We</w:t>
      </w:r>
      <w:r w:rsidRPr="00B411FD">
        <w:t xml:space="preserve"> assessed </w:t>
      </w:r>
      <w:r w:rsidR="00E94D27">
        <w:t>Powerlink’s</w:t>
      </w:r>
      <w:r w:rsidRPr="00B411FD">
        <w:t xml:space="preserve"> </w:t>
      </w:r>
      <w:r>
        <w:t>method for calculating and allocating its aggregate annual revenue requirement, and consider</w:t>
      </w:r>
      <w:r w:rsidRPr="00B411FD">
        <w:t xml:space="preserve"> that th</w:t>
      </w:r>
      <w:r>
        <w:t xml:space="preserve">is aspect of </w:t>
      </w:r>
      <w:r w:rsidR="00E94D27">
        <w:t>Powerlink’s</w:t>
      </w:r>
      <w:r w:rsidRPr="00B411FD">
        <w:t xml:space="preserve"> </w:t>
      </w:r>
      <w:r>
        <w:t>proposed pricing methodology</w:t>
      </w:r>
      <w:r w:rsidRPr="00B411FD">
        <w:t xml:space="preserve"> meets the NER requirements. </w:t>
      </w:r>
    </w:p>
    <w:p w:rsidR="00230D1B" w:rsidRDefault="00230D1B" w:rsidP="00230D1B">
      <w:pPr>
        <w:numPr>
          <w:ilvl w:val="0"/>
          <w:numId w:val="24"/>
        </w:numPr>
        <w:spacing w:before="0" w:after="240" w:line="288" w:lineRule="auto"/>
        <w:jc w:val="both"/>
      </w:pPr>
      <w:r>
        <w:t xml:space="preserve">The aggregate annual revenue requirement </w:t>
      </w:r>
      <w:r w:rsidR="00EE105B">
        <w:t xml:space="preserve">(AARR) </w:t>
      </w:r>
      <w:r>
        <w:t>is the 'maximum allowed revenue' adjusted:</w:t>
      </w:r>
    </w:p>
    <w:p w:rsidR="00230D1B" w:rsidRDefault="00230D1B" w:rsidP="00230D1B">
      <w:pPr>
        <w:pStyle w:val="AERbulletlistfirststyle"/>
        <w:numPr>
          <w:ilvl w:val="0"/>
          <w:numId w:val="29"/>
        </w:numPr>
        <w:spacing w:before="0" w:after="200" w:line="288" w:lineRule="auto"/>
        <w:ind w:left="357" w:hanging="357"/>
        <w:jc w:val="both"/>
      </w:pPr>
      <w:r>
        <w:t>in accordance with clause 6A.3.2 of the NER, for a number of factors such as cost pass throughs, service target performance incentive scheme outcomes, and contingent projects</w:t>
      </w:r>
      <w:r w:rsidR="00EE105B">
        <w:t>, and</w:t>
      </w:r>
    </w:p>
    <w:p w:rsidR="00230D1B" w:rsidRDefault="00230D1B" w:rsidP="00230D1B">
      <w:pPr>
        <w:pStyle w:val="AERbulletlistfirststyle"/>
        <w:numPr>
          <w:ilvl w:val="0"/>
          <w:numId w:val="29"/>
        </w:numPr>
        <w:spacing w:before="0" w:after="200" w:line="288" w:lineRule="auto"/>
        <w:ind w:left="357" w:hanging="357"/>
        <w:jc w:val="both"/>
      </w:pPr>
      <w:proofErr w:type="gramStart"/>
      <w:r>
        <w:t>by</w:t>
      </w:r>
      <w:proofErr w:type="gramEnd"/>
      <w:r>
        <w:t xml:space="preserve"> subtracting the operating and maintenance costs expected to be incurred in the provision of prescribed common transmission services</w:t>
      </w:r>
      <w:r w:rsidR="00EE105B">
        <w:t>.</w:t>
      </w:r>
      <w:r>
        <w:t xml:space="preserve"> </w:t>
      </w:r>
    </w:p>
    <w:p w:rsidR="00230D1B" w:rsidRPr="009120EF" w:rsidRDefault="00230D1B" w:rsidP="00230D1B">
      <w:pPr>
        <w:pStyle w:val="AERbulletlistfirststyle"/>
        <w:numPr>
          <w:ilvl w:val="0"/>
          <w:numId w:val="0"/>
        </w:numPr>
      </w:pPr>
      <w:r>
        <w:fldChar w:fldCharType="begin"/>
      </w:r>
      <w:r>
        <w:instrText xml:space="preserve"> REF _Ref400711417 \h </w:instrText>
      </w:r>
      <w:r>
        <w:fldChar w:fldCharType="separate"/>
      </w:r>
      <w:r w:rsidR="00E32321">
        <w:t xml:space="preserve">Table </w:t>
      </w:r>
      <w:r w:rsidR="00E32321">
        <w:rPr>
          <w:noProof/>
        </w:rPr>
        <w:t>12</w:t>
      </w:r>
      <w:r w:rsidR="00E32321">
        <w:t>.</w:t>
      </w:r>
      <w:r w:rsidR="00E32321">
        <w:rPr>
          <w:noProof/>
        </w:rPr>
        <w:t>2</w:t>
      </w:r>
      <w:r>
        <w:fldChar w:fldCharType="end"/>
      </w:r>
      <w:r>
        <w:t xml:space="preserve"> </w:t>
      </w:r>
      <w:r w:rsidRPr="009120EF">
        <w:t xml:space="preserve">summarises our review of how </w:t>
      </w:r>
      <w:r w:rsidR="00E94D27">
        <w:t>Powerlink’s</w:t>
      </w:r>
      <w:r w:rsidRPr="009120EF">
        <w:t xml:space="preserve"> proposed pricing methodology calculates and allocates the business's aggregate annual revenue requirement. </w:t>
      </w:r>
    </w:p>
    <w:p w:rsidR="00230D1B" w:rsidRDefault="00230D1B" w:rsidP="00230D1B">
      <w:pPr>
        <w:pStyle w:val="Caption"/>
      </w:pPr>
      <w:bookmarkStart w:id="84" w:name="_Ref400711417"/>
      <w:proofErr w:type="gramStart"/>
      <w:r>
        <w:t xml:space="preserve">Table </w:t>
      </w:r>
      <w:fldSimple w:instr=" STYLEREF 1 \s ">
        <w:r w:rsidR="00E32321">
          <w:rPr>
            <w:noProof/>
          </w:rPr>
          <w:t>12</w:t>
        </w:r>
      </w:fldSimple>
      <w:r>
        <w:t>.</w:t>
      </w:r>
      <w:proofErr w:type="gramEnd"/>
      <w:r w:rsidR="00CB4522">
        <w:fldChar w:fldCharType="begin"/>
      </w:r>
      <w:r w:rsidR="00CB4522">
        <w:instrText xml:space="preserve"> SEQ Table \* ARABIC \s 1 </w:instrText>
      </w:r>
      <w:r w:rsidR="00CB4522">
        <w:fldChar w:fldCharType="separate"/>
      </w:r>
      <w:r w:rsidR="00E32321">
        <w:rPr>
          <w:noProof/>
        </w:rPr>
        <w:t>2</w:t>
      </w:r>
      <w:r w:rsidR="00CB4522">
        <w:rPr>
          <w:noProof/>
        </w:rPr>
        <w:fldChar w:fldCharType="end"/>
      </w:r>
      <w:bookmarkEnd w:id="84"/>
      <w:r>
        <w:tab/>
      </w:r>
      <w:r w:rsidR="00E94D27" w:rsidRPr="001546FB">
        <w:t>Powerlink’s</w:t>
      </w:r>
      <w:r w:rsidRPr="001546FB">
        <w:t xml:space="preserve"> proposed calculation and allocation of the AARR, and the NER requirements</w:t>
      </w:r>
    </w:p>
    <w:tbl>
      <w:tblPr>
        <w:tblStyle w:val="AERtable-text0"/>
        <w:tblW w:w="0" w:type="auto"/>
        <w:tblLook w:val="04A0" w:firstRow="1" w:lastRow="0" w:firstColumn="1" w:lastColumn="0" w:noHBand="0" w:noVBand="1"/>
      </w:tblPr>
      <w:tblGrid>
        <w:gridCol w:w="4350"/>
        <w:gridCol w:w="4343"/>
      </w:tblGrid>
      <w:tr w:rsidR="00230D1B" w:rsidTr="00137287">
        <w:trPr>
          <w:cnfStyle w:val="100000000000" w:firstRow="1" w:lastRow="0" w:firstColumn="0" w:lastColumn="0" w:oddVBand="0" w:evenVBand="0" w:oddHBand="0" w:evenHBand="0" w:firstRowFirstColumn="0" w:firstRowLastColumn="0" w:lastRowFirstColumn="0" w:lastRowLastColumn="0"/>
        </w:trPr>
        <w:tc>
          <w:tcPr>
            <w:tcW w:w="4621" w:type="dxa"/>
          </w:tcPr>
          <w:p w:rsidR="00230D1B" w:rsidRPr="009120EF" w:rsidRDefault="00230D1B" w:rsidP="00137287">
            <w:pPr>
              <w:pStyle w:val="AERtabletextleft"/>
            </w:pPr>
            <w:r>
              <w:t>NER requirements</w:t>
            </w:r>
          </w:p>
        </w:tc>
        <w:tc>
          <w:tcPr>
            <w:tcW w:w="4621" w:type="dxa"/>
          </w:tcPr>
          <w:p w:rsidR="00230D1B" w:rsidRPr="009120EF" w:rsidRDefault="00230D1B" w:rsidP="00137287">
            <w:pPr>
              <w:pStyle w:val="AERtabletextleft"/>
            </w:pPr>
            <w:r>
              <w:t>Assessment</w:t>
            </w:r>
          </w:p>
        </w:tc>
      </w:tr>
      <w:tr w:rsidR="00230D1B" w:rsidTr="00137287">
        <w:tc>
          <w:tcPr>
            <w:tcW w:w="4621" w:type="dxa"/>
          </w:tcPr>
          <w:p w:rsidR="00230D1B" w:rsidRPr="009120EF" w:rsidRDefault="00230D1B" w:rsidP="00137287">
            <w:pPr>
              <w:pStyle w:val="AERtabletextleft"/>
            </w:pPr>
            <w:r w:rsidRPr="00A40CAF">
              <w:t xml:space="preserve">Requirement for the AARR to be calculated as </w:t>
            </w:r>
            <w:r w:rsidRPr="00A40CAF">
              <w:lastRenderedPageBreak/>
              <w:t xml:space="preserve">defined in </w:t>
            </w:r>
            <w:r w:rsidRPr="009120EF">
              <w:t>the NER—clause 6A.22.1</w:t>
            </w:r>
          </w:p>
        </w:tc>
        <w:tc>
          <w:tcPr>
            <w:tcW w:w="4621" w:type="dxa"/>
          </w:tcPr>
          <w:p w:rsidR="00230D1B" w:rsidRPr="009120EF" w:rsidRDefault="00230D1B" w:rsidP="00142054">
            <w:pPr>
              <w:pStyle w:val="AERtabletextleft"/>
            </w:pPr>
            <w:r>
              <w:lastRenderedPageBreak/>
              <w:t>Section</w:t>
            </w:r>
            <w:r w:rsidR="00EE105B">
              <w:t xml:space="preserve">s 6.3 and 6.9.4 </w:t>
            </w:r>
            <w:r w:rsidR="001546FB">
              <w:t xml:space="preserve">and Appendix A </w:t>
            </w:r>
            <w:r>
              <w:t xml:space="preserve">of </w:t>
            </w:r>
            <w:r w:rsidR="001546FB">
              <w:lastRenderedPageBreak/>
              <w:t>Powerlink’s</w:t>
            </w:r>
            <w:r>
              <w:t xml:space="preserve"> proposed pricing methodology compl</w:t>
            </w:r>
            <w:r w:rsidR="00142054">
              <w:t>y</w:t>
            </w:r>
            <w:r>
              <w:t xml:space="preserve"> with this requirement. </w:t>
            </w:r>
          </w:p>
        </w:tc>
      </w:tr>
      <w:tr w:rsidR="00230D1B" w:rsidTr="00137287">
        <w:trPr>
          <w:cnfStyle w:val="000000010000" w:firstRow="0" w:lastRow="0" w:firstColumn="0" w:lastColumn="0" w:oddVBand="0" w:evenVBand="0" w:oddHBand="0" w:evenHBand="1" w:firstRowFirstColumn="0" w:firstRowLastColumn="0" w:lastRowFirstColumn="0" w:lastRowLastColumn="0"/>
        </w:trPr>
        <w:tc>
          <w:tcPr>
            <w:tcW w:w="4621" w:type="dxa"/>
          </w:tcPr>
          <w:p w:rsidR="00230D1B" w:rsidRPr="009120EF" w:rsidRDefault="00230D1B" w:rsidP="00137287">
            <w:pPr>
              <w:pStyle w:val="AERtabletextleft"/>
            </w:pPr>
            <w:r w:rsidRPr="00A40CAF">
              <w:lastRenderedPageBreak/>
              <w:t>Requirement for the AARR to be allocated to each category of prescribed transmission services in accordance with attributable cost share for each such category of service—clause 6A.23.2(a)</w:t>
            </w:r>
          </w:p>
        </w:tc>
        <w:tc>
          <w:tcPr>
            <w:tcW w:w="4621" w:type="dxa"/>
          </w:tcPr>
          <w:p w:rsidR="00230D1B" w:rsidRPr="009120EF" w:rsidRDefault="001546FB" w:rsidP="00142054">
            <w:pPr>
              <w:pStyle w:val="AERtabletextleft"/>
            </w:pPr>
            <w:r>
              <w:t xml:space="preserve">Sections 6.5 and 6.6 and </w:t>
            </w:r>
            <w:r w:rsidR="00230D1B">
              <w:t xml:space="preserve">Appendix </w:t>
            </w:r>
            <w:r>
              <w:t>B</w:t>
            </w:r>
            <w:r w:rsidR="00230D1B">
              <w:t xml:space="preserve"> of </w:t>
            </w:r>
            <w:r>
              <w:t>Powerlink’s</w:t>
            </w:r>
            <w:r w:rsidR="00230D1B">
              <w:t xml:space="preserve"> proposed pricing methodology compl</w:t>
            </w:r>
            <w:r w:rsidR="00142054">
              <w:t>y</w:t>
            </w:r>
            <w:r w:rsidR="00230D1B">
              <w:t xml:space="preserve"> with this requirement.</w:t>
            </w:r>
          </w:p>
        </w:tc>
      </w:tr>
      <w:tr w:rsidR="00230D1B" w:rsidTr="00137287">
        <w:tc>
          <w:tcPr>
            <w:tcW w:w="4621" w:type="dxa"/>
          </w:tcPr>
          <w:p w:rsidR="00230D1B" w:rsidRPr="009120EF" w:rsidRDefault="00230D1B" w:rsidP="00137287">
            <w:pPr>
              <w:pStyle w:val="AERtabletextleft"/>
            </w:pPr>
            <w:r w:rsidRPr="00A40CAF">
              <w:t>Requirement for every portion of the AARR to be allocated and for the same portion of AARR not to be allocated more than once—clause 6A.23.2(c)</w:t>
            </w:r>
          </w:p>
        </w:tc>
        <w:tc>
          <w:tcPr>
            <w:tcW w:w="4621" w:type="dxa"/>
          </w:tcPr>
          <w:p w:rsidR="00230D1B" w:rsidRPr="009120EF" w:rsidRDefault="00230D1B" w:rsidP="007703B0">
            <w:pPr>
              <w:pStyle w:val="AERtabletextleft"/>
            </w:pPr>
            <w:r>
              <w:t xml:space="preserve">Section </w:t>
            </w:r>
            <w:r w:rsidR="007703B0">
              <w:t>6.8</w:t>
            </w:r>
            <w:r>
              <w:t xml:space="preserve"> of </w:t>
            </w:r>
            <w:r w:rsidR="00E80A0F">
              <w:t>Powerlink</w:t>
            </w:r>
            <w:r>
              <w:t>'s proposed pricing methodology complies</w:t>
            </w:r>
            <w:r w:rsidRPr="00F6603E">
              <w:t xml:space="preserve"> with this requirement.</w:t>
            </w:r>
          </w:p>
        </w:tc>
      </w:tr>
      <w:tr w:rsidR="00230D1B" w:rsidTr="00137287">
        <w:trPr>
          <w:cnfStyle w:val="000000010000" w:firstRow="0" w:lastRow="0" w:firstColumn="0" w:lastColumn="0" w:oddVBand="0" w:evenVBand="0" w:oddHBand="0" w:evenHBand="1" w:firstRowFirstColumn="0" w:firstRowLastColumn="0" w:lastRowFirstColumn="0" w:lastRowLastColumn="0"/>
        </w:trPr>
        <w:tc>
          <w:tcPr>
            <w:tcW w:w="4621" w:type="dxa"/>
          </w:tcPr>
          <w:p w:rsidR="00230D1B" w:rsidRPr="009120EF" w:rsidRDefault="00230D1B" w:rsidP="00137287">
            <w:pPr>
              <w:pStyle w:val="AERtabletextleft"/>
            </w:pPr>
            <w:r w:rsidRPr="00A40CAF">
              <w:t>Subject to clause 11.6.11 of the NER, requirement for adjusting attributable cost share and priority ordering approach to asset costs that would otherwise be attributed to the provision of more than one category of prescribed transmission services—clause 6A.23.2(d)</w:t>
            </w:r>
          </w:p>
        </w:tc>
        <w:tc>
          <w:tcPr>
            <w:tcW w:w="4621" w:type="dxa"/>
          </w:tcPr>
          <w:p w:rsidR="00230D1B" w:rsidRPr="009120EF" w:rsidRDefault="00230D1B" w:rsidP="00142054">
            <w:pPr>
              <w:pStyle w:val="AERtabletextleft"/>
            </w:pPr>
            <w:r>
              <w:t>Appendi</w:t>
            </w:r>
            <w:r w:rsidR="00142054">
              <w:t>c</w:t>
            </w:r>
            <w:r w:rsidR="001546FB">
              <w:t>es B and E</w:t>
            </w:r>
            <w:r>
              <w:t xml:space="preserve"> of </w:t>
            </w:r>
            <w:r w:rsidR="001546FB">
              <w:t>Powerlink’s</w:t>
            </w:r>
            <w:r>
              <w:t xml:space="preserve"> proposed pricing methodology compl</w:t>
            </w:r>
            <w:r w:rsidR="00142054">
              <w:t>y</w:t>
            </w:r>
            <w:r w:rsidRPr="00F6603E">
              <w:t xml:space="preserve"> with this requirement.</w:t>
            </w:r>
          </w:p>
        </w:tc>
      </w:tr>
    </w:tbl>
    <w:p w:rsidR="00230D1B" w:rsidRDefault="00230D1B" w:rsidP="00230D1B">
      <w:pPr>
        <w:pStyle w:val="AERbulletlistfirststyle"/>
        <w:numPr>
          <w:ilvl w:val="0"/>
          <w:numId w:val="0"/>
        </w:numPr>
        <w:ind w:left="357"/>
      </w:pPr>
    </w:p>
    <w:p w:rsidR="00230D1B" w:rsidRPr="00BA2F2D" w:rsidRDefault="00230D1B" w:rsidP="00230D1B">
      <w:pPr>
        <w:pStyle w:val="HeadingBoldBlue"/>
        <w:keepNext/>
        <w:numPr>
          <w:ilvl w:val="0"/>
          <w:numId w:val="24"/>
        </w:numPr>
        <w:tabs>
          <w:tab w:val="clear" w:pos="1021"/>
        </w:tabs>
        <w:spacing w:before="120" w:after="120" w:line="288" w:lineRule="auto"/>
        <w:outlineLvl w:val="9"/>
      </w:pPr>
      <w:r w:rsidRPr="00BA2F2D">
        <w:t>Allocation of the ASRR to transmission network connection points</w:t>
      </w:r>
    </w:p>
    <w:p w:rsidR="00230D1B" w:rsidRPr="00BA2F2D" w:rsidRDefault="00230D1B" w:rsidP="00230D1B">
      <w:pPr>
        <w:numPr>
          <w:ilvl w:val="0"/>
          <w:numId w:val="24"/>
        </w:numPr>
        <w:spacing w:before="0" w:after="240" w:line="288" w:lineRule="auto"/>
        <w:jc w:val="both"/>
      </w:pPr>
      <w:r>
        <w:t>We</w:t>
      </w:r>
      <w:r w:rsidRPr="00BA2F2D">
        <w:t xml:space="preserve"> assessed </w:t>
      </w:r>
      <w:r w:rsidR="00E94D27">
        <w:t>Powerlink’s</w:t>
      </w:r>
      <w:r w:rsidRPr="00BA2F2D">
        <w:t xml:space="preserve"> proposed pricing methodology for allocating the ASRR, and consider </w:t>
      </w:r>
      <w:r>
        <w:t xml:space="preserve">this aspect of </w:t>
      </w:r>
      <w:r w:rsidR="00E94D27">
        <w:t>Powerlink’s</w:t>
      </w:r>
      <w:r>
        <w:t xml:space="preserve"> proposal</w:t>
      </w:r>
      <w:r w:rsidRPr="00BA2F2D">
        <w:t xml:space="preserve"> meets the NER requirements. </w:t>
      </w:r>
      <w:r w:rsidRPr="00BA2F2D">
        <w:fldChar w:fldCharType="begin"/>
      </w:r>
      <w:r w:rsidRPr="00BA2F2D">
        <w:instrText xml:space="preserve"> REF _Ref332705604 \h </w:instrText>
      </w:r>
      <w:r w:rsidRPr="00BA2F2D">
        <w:fldChar w:fldCharType="separate"/>
      </w:r>
      <w:r w:rsidR="00E32321" w:rsidRPr="00BA2F2D">
        <w:t xml:space="preserve">Table </w:t>
      </w:r>
      <w:r w:rsidR="00E32321">
        <w:rPr>
          <w:noProof/>
        </w:rPr>
        <w:t>12</w:t>
      </w:r>
      <w:r w:rsidR="00E32321">
        <w:t>.</w:t>
      </w:r>
      <w:r w:rsidR="00E32321">
        <w:rPr>
          <w:noProof/>
        </w:rPr>
        <w:t>3</w:t>
      </w:r>
      <w:r w:rsidRPr="00BA2F2D">
        <w:fldChar w:fldCharType="end"/>
      </w:r>
      <w:r w:rsidRPr="00BA2F2D">
        <w:t xml:space="preserve"> summarises </w:t>
      </w:r>
      <w:r>
        <w:t>our</w:t>
      </w:r>
      <w:r w:rsidRPr="00BA2F2D">
        <w:t xml:space="preserve"> assessment. </w:t>
      </w:r>
    </w:p>
    <w:p w:rsidR="00230D1B" w:rsidRDefault="00230D1B" w:rsidP="00230D1B">
      <w:pPr>
        <w:pStyle w:val="Caption"/>
      </w:pPr>
      <w:bookmarkStart w:id="85" w:name="_Ref332705604"/>
      <w:proofErr w:type="gramStart"/>
      <w:r w:rsidRPr="00BA2F2D">
        <w:t xml:space="preserve">Table </w:t>
      </w:r>
      <w:fldSimple w:instr=" STYLEREF 1 \s ">
        <w:r w:rsidR="00E32321">
          <w:rPr>
            <w:noProof/>
          </w:rPr>
          <w:t>12</w:t>
        </w:r>
      </w:fldSimple>
      <w:r>
        <w:t>.</w:t>
      </w:r>
      <w:proofErr w:type="gramEnd"/>
      <w:r w:rsidR="00CB4522">
        <w:fldChar w:fldCharType="begin"/>
      </w:r>
      <w:r w:rsidR="00CB4522">
        <w:instrText xml:space="preserve"> SEQ Table \* ARABIC \s 1 </w:instrText>
      </w:r>
      <w:r w:rsidR="00CB4522">
        <w:fldChar w:fldCharType="separate"/>
      </w:r>
      <w:r w:rsidR="00E32321">
        <w:rPr>
          <w:noProof/>
        </w:rPr>
        <w:t>3</w:t>
      </w:r>
      <w:r w:rsidR="00CB4522">
        <w:rPr>
          <w:noProof/>
        </w:rPr>
        <w:fldChar w:fldCharType="end"/>
      </w:r>
      <w:bookmarkEnd w:id="85"/>
      <w:r>
        <w:tab/>
      </w:r>
      <w:r w:rsidR="00E94D27" w:rsidRPr="001055E2">
        <w:t>Powerlink’s</w:t>
      </w:r>
      <w:r w:rsidRPr="001055E2">
        <w:t xml:space="preserve"> proposed allocation of the ASRR, and the NER requirements</w:t>
      </w:r>
    </w:p>
    <w:tbl>
      <w:tblPr>
        <w:tblStyle w:val="AERtable-text0"/>
        <w:tblW w:w="0" w:type="auto"/>
        <w:tblLook w:val="04A0" w:firstRow="1" w:lastRow="0" w:firstColumn="1" w:lastColumn="0" w:noHBand="0" w:noVBand="1"/>
      </w:tblPr>
      <w:tblGrid>
        <w:gridCol w:w="4352"/>
        <w:gridCol w:w="4341"/>
      </w:tblGrid>
      <w:tr w:rsidR="00230D1B" w:rsidTr="00137287">
        <w:trPr>
          <w:cnfStyle w:val="100000000000" w:firstRow="1" w:lastRow="0" w:firstColumn="0" w:lastColumn="0" w:oddVBand="0" w:evenVBand="0" w:oddHBand="0" w:evenHBand="0" w:firstRowFirstColumn="0" w:firstRowLastColumn="0" w:lastRowFirstColumn="0" w:lastRowLastColumn="0"/>
          <w:tblHeader/>
        </w:trPr>
        <w:tc>
          <w:tcPr>
            <w:tcW w:w="4621" w:type="dxa"/>
          </w:tcPr>
          <w:p w:rsidR="00230D1B" w:rsidRPr="009120EF" w:rsidRDefault="00230D1B" w:rsidP="00137287">
            <w:pPr>
              <w:pStyle w:val="AERtabletextleft"/>
            </w:pPr>
            <w:r>
              <w:t>NER requirements</w:t>
            </w:r>
          </w:p>
        </w:tc>
        <w:tc>
          <w:tcPr>
            <w:tcW w:w="4621" w:type="dxa"/>
          </w:tcPr>
          <w:p w:rsidR="00230D1B" w:rsidRPr="009120EF" w:rsidRDefault="00230D1B" w:rsidP="00137287">
            <w:pPr>
              <w:pStyle w:val="AERtabletextleft"/>
            </w:pPr>
            <w:r>
              <w:t>AER assessment</w:t>
            </w:r>
          </w:p>
        </w:tc>
      </w:tr>
      <w:tr w:rsidR="00230D1B" w:rsidTr="00137287">
        <w:tc>
          <w:tcPr>
            <w:tcW w:w="4621" w:type="dxa"/>
          </w:tcPr>
          <w:p w:rsidR="00230D1B" w:rsidRPr="009120EF" w:rsidRDefault="00230D1B" w:rsidP="001055E2">
            <w:pPr>
              <w:pStyle w:val="AERtabletextleft"/>
            </w:pPr>
            <w:r w:rsidRPr="00CB7EEF">
              <w:t xml:space="preserve">Requirement for whole ASRR for </w:t>
            </w:r>
            <w:r w:rsidRPr="009120EF">
              <w:t>prescribed entry services to be allocated to transmission network connection points in accordance with the attributable connection point cost share for prescribed entry services that are provided by the TNSP at that connection point—clause 6A.23.3(</w:t>
            </w:r>
            <w:proofErr w:type="spellStart"/>
            <w:r w:rsidR="001055E2">
              <w:t>i</w:t>
            </w:r>
            <w:proofErr w:type="spellEnd"/>
            <w:r w:rsidRPr="009120EF">
              <w:t>)</w:t>
            </w:r>
          </w:p>
        </w:tc>
        <w:tc>
          <w:tcPr>
            <w:tcW w:w="4621" w:type="dxa"/>
          </w:tcPr>
          <w:p w:rsidR="00230D1B" w:rsidRPr="009120EF" w:rsidRDefault="00230D1B" w:rsidP="003239C3">
            <w:pPr>
              <w:pStyle w:val="AERtabletextleft"/>
            </w:pPr>
            <w:r>
              <w:t xml:space="preserve">Section </w:t>
            </w:r>
            <w:r w:rsidR="001055E2">
              <w:t>6.8.</w:t>
            </w:r>
            <w:r w:rsidR="003239C3">
              <w:t xml:space="preserve">1 </w:t>
            </w:r>
            <w:r>
              <w:t xml:space="preserve">of </w:t>
            </w:r>
            <w:r w:rsidR="001055E2">
              <w:t>Powerlink</w:t>
            </w:r>
            <w:r>
              <w:t>'s proposed pricing methodology complies</w:t>
            </w:r>
            <w:r w:rsidRPr="00F6603E">
              <w:t xml:space="preserve"> with this requirement.</w:t>
            </w:r>
          </w:p>
        </w:tc>
      </w:tr>
      <w:tr w:rsidR="00230D1B" w:rsidTr="00137287">
        <w:trPr>
          <w:cnfStyle w:val="000000010000" w:firstRow="0" w:lastRow="0" w:firstColumn="0" w:lastColumn="0" w:oddVBand="0" w:evenVBand="0" w:oddHBand="0" w:evenHBand="1" w:firstRowFirstColumn="0" w:firstRowLastColumn="0" w:lastRowFirstColumn="0" w:lastRowLastColumn="0"/>
        </w:trPr>
        <w:tc>
          <w:tcPr>
            <w:tcW w:w="4621" w:type="dxa"/>
          </w:tcPr>
          <w:p w:rsidR="00230D1B" w:rsidRPr="009120EF" w:rsidRDefault="00230D1B" w:rsidP="003239C3">
            <w:pPr>
              <w:pStyle w:val="AERtabletextleft"/>
            </w:pPr>
            <w:r w:rsidRPr="00CB7EEF">
              <w:t>Requirement for the whole ASRR prescribed exit services to be allocated to transmission network connection points in accordance with the attributable connection point cost share for prescribed exit services that are provided by the TNSP at that connection point—clause 6A.23.3(</w:t>
            </w:r>
            <w:r w:rsidR="003239C3">
              <w:t>j</w:t>
            </w:r>
            <w:r w:rsidRPr="00CB7EEF">
              <w:t>)</w:t>
            </w:r>
          </w:p>
        </w:tc>
        <w:tc>
          <w:tcPr>
            <w:tcW w:w="4621" w:type="dxa"/>
          </w:tcPr>
          <w:p w:rsidR="00230D1B" w:rsidRPr="009120EF" w:rsidRDefault="00230D1B" w:rsidP="003239C3">
            <w:pPr>
              <w:pStyle w:val="AERtabletextleft"/>
            </w:pPr>
            <w:r>
              <w:t xml:space="preserve">Section </w:t>
            </w:r>
            <w:r w:rsidR="003239C3">
              <w:t xml:space="preserve">6.8.2 </w:t>
            </w:r>
            <w:r>
              <w:t xml:space="preserve">of </w:t>
            </w:r>
            <w:r w:rsidR="001055E2">
              <w:t>Powerlink</w:t>
            </w:r>
            <w:r>
              <w:t>'s proposed pricing methodology complies</w:t>
            </w:r>
            <w:r w:rsidRPr="00F6603E">
              <w:t xml:space="preserve"> with this requirement.</w:t>
            </w:r>
          </w:p>
        </w:tc>
      </w:tr>
      <w:tr w:rsidR="00230D1B" w:rsidTr="00137287">
        <w:tc>
          <w:tcPr>
            <w:tcW w:w="4621" w:type="dxa"/>
          </w:tcPr>
          <w:p w:rsidR="00230D1B" w:rsidRPr="00CB7EEF" w:rsidRDefault="00230D1B" w:rsidP="00137287">
            <w:pPr>
              <w:pStyle w:val="AERtabletextleft"/>
            </w:pPr>
            <w:r w:rsidRPr="00CB7EEF">
              <w:lastRenderedPageBreak/>
              <w:t>Requirement for the allocation of the ASRR for:</w:t>
            </w:r>
          </w:p>
          <w:p w:rsidR="00230D1B" w:rsidRPr="00CB7EEF" w:rsidRDefault="00230D1B" w:rsidP="00137287">
            <w:pPr>
              <w:pStyle w:val="AERtabletextleft"/>
            </w:pPr>
            <w:r w:rsidRPr="00CB7EEF">
              <w:t>prescribed TUOS services</w:t>
            </w:r>
          </w:p>
          <w:p w:rsidR="00230D1B" w:rsidRPr="00CB7EEF" w:rsidRDefault="00230D1B" w:rsidP="00137287">
            <w:pPr>
              <w:pStyle w:val="AERtabletextleft"/>
            </w:pPr>
            <w:r w:rsidRPr="00CB7EEF">
              <w:t>locational components</w:t>
            </w:r>
          </w:p>
          <w:p w:rsidR="00230D1B" w:rsidRPr="00CB7EEF" w:rsidRDefault="00230D1B" w:rsidP="00137287">
            <w:pPr>
              <w:pStyle w:val="AERtabletextleft"/>
            </w:pPr>
            <w:r w:rsidRPr="00CB7EEF">
              <w:t>pre-adjusted non</w:t>
            </w:r>
            <w:r>
              <w:t>-</w:t>
            </w:r>
            <w:r w:rsidRPr="00CB7EEF">
              <w:t>locational components</w:t>
            </w:r>
          </w:p>
          <w:p w:rsidR="00230D1B" w:rsidRPr="009120EF" w:rsidRDefault="00230D1B" w:rsidP="003239C3">
            <w:pPr>
              <w:pStyle w:val="AERtabletextleft"/>
            </w:pPr>
            <w:r w:rsidRPr="00CB7EEF">
              <w:t>—clause 6A.23.3(</w:t>
            </w:r>
            <w:r w:rsidR="003239C3">
              <w:t>a</w:t>
            </w:r>
            <w:r w:rsidRPr="00CB7EEF">
              <w:t>)</w:t>
            </w:r>
            <w:r w:rsidR="003239C3">
              <w:t xml:space="preserve"> to (g)</w:t>
            </w:r>
          </w:p>
        </w:tc>
        <w:tc>
          <w:tcPr>
            <w:tcW w:w="4621" w:type="dxa"/>
          </w:tcPr>
          <w:p w:rsidR="00230D1B" w:rsidRPr="009120EF" w:rsidRDefault="00230D1B" w:rsidP="003239C3">
            <w:pPr>
              <w:pStyle w:val="AERtabletextleft"/>
            </w:pPr>
            <w:r>
              <w:t xml:space="preserve">Section </w:t>
            </w:r>
            <w:r w:rsidR="003239C3">
              <w:t>6.8.3</w:t>
            </w:r>
            <w:r>
              <w:t xml:space="preserve"> of </w:t>
            </w:r>
            <w:r w:rsidR="001055E2">
              <w:t>Powerlink</w:t>
            </w:r>
            <w:r>
              <w:t>'s proposed pricing methodology complies</w:t>
            </w:r>
            <w:r w:rsidRPr="00F6603E">
              <w:t xml:space="preserve"> with this requirement.</w:t>
            </w:r>
          </w:p>
        </w:tc>
      </w:tr>
      <w:tr w:rsidR="00230D1B" w:rsidTr="00137287">
        <w:trPr>
          <w:cnfStyle w:val="000000010000" w:firstRow="0" w:lastRow="0" w:firstColumn="0" w:lastColumn="0" w:oddVBand="0" w:evenVBand="0" w:oddHBand="0" w:evenHBand="1" w:firstRowFirstColumn="0" w:firstRowLastColumn="0" w:lastRowFirstColumn="0" w:lastRowLastColumn="0"/>
        </w:trPr>
        <w:tc>
          <w:tcPr>
            <w:tcW w:w="4621" w:type="dxa"/>
          </w:tcPr>
          <w:p w:rsidR="00230D1B" w:rsidRPr="009120EF" w:rsidRDefault="00230D1B" w:rsidP="00137287">
            <w:pPr>
              <w:pStyle w:val="AERtabletextleft"/>
            </w:pPr>
            <w:r w:rsidRPr="00CB7EEF">
              <w:t xml:space="preserve">Requirement for adjusting attributable cost share and priority ordering </w:t>
            </w:r>
            <w:r w:rsidRPr="009120EF">
              <w:t>approach to asset costs that would otherwise be attributed to the provision of more than one category of prescribed transmission services—clause 6A.23.2(d)</w:t>
            </w:r>
          </w:p>
        </w:tc>
        <w:tc>
          <w:tcPr>
            <w:tcW w:w="4621" w:type="dxa"/>
          </w:tcPr>
          <w:p w:rsidR="00230D1B" w:rsidRPr="009120EF" w:rsidRDefault="00F46ACA" w:rsidP="001055E2">
            <w:pPr>
              <w:pStyle w:val="AERtabletextleft"/>
            </w:pPr>
            <w:r>
              <w:t>Appendix E</w:t>
            </w:r>
            <w:r w:rsidR="00230D1B">
              <w:t xml:space="preserve"> of </w:t>
            </w:r>
            <w:r w:rsidR="001055E2">
              <w:t>Powerlink</w:t>
            </w:r>
            <w:r w:rsidR="00230D1B">
              <w:t>'s proposed pricing methodology complies</w:t>
            </w:r>
            <w:r w:rsidR="00230D1B" w:rsidRPr="00F6603E">
              <w:t xml:space="preserve"> with this requirement.</w:t>
            </w:r>
          </w:p>
        </w:tc>
      </w:tr>
      <w:tr w:rsidR="00230D1B" w:rsidTr="00137287">
        <w:tc>
          <w:tcPr>
            <w:tcW w:w="4621" w:type="dxa"/>
          </w:tcPr>
          <w:p w:rsidR="00230D1B" w:rsidRPr="009120EF" w:rsidRDefault="00230D1B" w:rsidP="003E269C">
            <w:pPr>
              <w:pStyle w:val="AERtabletextleft"/>
            </w:pPr>
            <w:r w:rsidRPr="00CB7EEF">
              <w:t>Requirement for the recovery of the ASRR for prescribed common transmission services and the operating and maintenance costs incurred in the provision of those services to be recovered through prices charged to transmission customers and network service and network service provider transmission connection points set in accordance with price structure principles set out in clause 6A.23.4—clause 6A.23.3(</w:t>
            </w:r>
            <w:r w:rsidR="003E269C">
              <w:t>h</w:t>
            </w:r>
            <w:r w:rsidRPr="00CB7EEF">
              <w:t>)</w:t>
            </w:r>
          </w:p>
        </w:tc>
        <w:tc>
          <w:tcPr>
            <w:tcW w:w="4621" w:type="dxa"/>
          </w:tcPr>
          <w:p w:rsidR="00230D1B" w:rsidRPr="009120EF" w:rsidRDefault="00230D1B" w:rsidP="003E269C">
            <w:pPr>
              <w:pStyle w:val="AERtabletextleft"/>
            </w:pPr>
            <w:r>
              <w:t xml:space="preserve">Section </w:t>
            </w:r>
            <w:r w:rsidR="003E269C">
              <w:t xml:space="preserve">6.9 </w:t>
            </w:r>
            <w:r>
              <w:t xml:space="preserve">of </w:t>
            </w:r>
            <w:r w:rsidR="001055E2">
              <w:t>Powerlink’</w:t>
            </w:r>
            <w:r>
              <w:t>s proposed pricing methodology complies</w:t>
            </w:r>
            <w:r w:rsidRPr="00F6603E">
              <w:t xml:space="preserve"> with this requirement.</w:t>
            </w:r>
          </w:p>
        </w:tc>
      </w:tr>
    </w:tbl>
    <w:p w:rsidR="004A05A8" w:rsidRDefault="004A05A8" w:rsidP="00230D1B">
      <w:pPr>
        <w:pStyle w:val="HeadingBoldBlue"/>
        <w:keepNext/>
        <w:numPr>
          <w:ilvl w:val="0"/>
          <w:numId w:val="24"/>
        </w:numPr>
        <w:tabs>
          <w:tab w:val="clear" w:pos="1021"/>
        </w:tabs>
        <w:spacing w:before="120" w:after="120" w:line="288" w:lineRule="auto"/>
        <w:outlineLvl w:val="9"/>
      </w:pPr>
    </w:p>
    <w:p w:rsidR="00230D1B" w:rsidRPr="00E94D27" w:rsidRDefault="00230D1B" w:rsidP="00230D1B">
      <w:pPr>
        <w:pStyle w:val="HeadingBoldBlue"/>
        <w:keepNext/>
        <w:numPr>
          <w:ilvl w:val="0"/>
          <w:numId w:val="24"/>
        </w:numPr>
        <w:tabs>
          <w:tab w:val="clear" w:pos="1021"/>
        </w:tabs>
        <w:spacing w:before="120" w:after="120" w:line="288" w:lineRule="auto"/>
        <w:outlineLvl w:val="9"/>
      </w:pPr>
      <w:r w:rsidRPr="00E94D27">
        <w:t>Development of price structure</w:t>
      </w:r>
    </w:p>
    <w:p w:rsidR="00230D1B" w:rsidRPr="00BA2F2D" w:rsidRDefault="00230D1B" w:rsidP="00230D1B">
      <w:pPr>
        <w:numPr>
          <w:ilvl w:val="0"/>
          <w:numId w:val="24"/>
        </w:numPr>
        <w:spacing w:before="0" w:after="240" w:line="288" w:lineRule="auto"/>
        <w:jc w:val="both"/>
        <w:rPr>
          <w:rStyle w:val="AERbody"/>
        </w:rPr>
      </w:pPr>
      <w:r>
        <w:rPr>
          <w:rStyle w:val="AERbody"/>
        </w:rPr>
        <w:t>We</w:t>
      </w:r>
      <w:r w:rsidRPr="00BA2F2D">
        <w:rPr>
          <w:rStyle w:val="AERbody"/>
        </w:rPr>
        <w:t xml:space="preserve"> assessed </w:t>
      </w:r>
      <w:r w:rsidR="00E94D27">
        <w:rPr>
          <w:rStyle w:val="AERbody"/>
        </w:rPr>
        <w:t>Powerlink’s</w:t>
      </w:r>
      <w:r w:rsidRPr="00BA2F2D">
        <w:rPr>
          <w:rStyle w:val="AERbody"/>
        </w:rPr>
        <w:t xml:space="preserve"> proposed pricing methodology and process for developing different prices for recovering the ASRR, and consider</w:t>
      </w:r>
      <w:r>
        <w:rPr>
          <w:rStyle w:val="AERbody"/>
        </w:rPr>
        <w:t xml:space="preserve"> that </w:t>
      </w:r>
      <w:r w:rsidR="00E94D27">
        <w:rPr>
          <w:rStyle w:val="AERbody"/>
        </w:rPr>
        <w:t>one</w:t>
      </w:r>
      <w:r>
        <w:rPr>
          <w:rStyle w:val="AERbody"/>
        </w:rPr>
        <w:t xml:space="preserve"> aspect of </w:t>
      </w:r>
      <w:r w:rsidR="00E94D27">
        <w:rPr>
          <w:rStyle w:val="AERbody"/>
        </w:rPr>
        <w:t>Powerlink’s</w:t>
      </w:r>
      <w:r w:rsidRPr="00BA2F2D">
        <w:rPr>
          <w:rStyle w:val="AERbody"/>
        </w:rPr>
        <w:t xml:space="preserve"> proposal </w:t>
      </w:r>
      <w:r>
        <w:rPr>
          <w:rStyle w:val="AERbody"/>
        </w:rPr>
        <w:t>do</w:t>
      </w:r>
      <w:r w:rsidR="00E94D27">
        <w:rPr>
          <w:rStyle w:val="AERbody"/>
        </w:rPr>
        <w:t>es</w:t>
      </w:r>
      <w:r>
        <w:rPr>
          <w:rStyle w:val="AERbody"/>
        </w:rPr>
        <w:t xml:space="preserve"> not </w:t>
      </w:r>
      <w:r w:rsidRPr="00BA2F2D">
        <w:rPr>
          <w:rStyle w:val="AERbody"/>
        </w:rPr>
        <w:t>meet the NER requirements</w:t>
      </w:r>
      <w:r w:rsidR="00DD6DC7">
        <w:rPr>
          <w:rStyle w:val="AERbody"/>
        </w:rPr>
        <w:t xml:space="preserve"> (as discussed in section 12.4.3)</w:t>
      </w:r>
      <w:r w:rsidRPr="00BA2F2D">
        <w:rPr>
          <w:rStyle w:val="AERbody"/>
        </w:rPr>
        <w:t xml:space="preserve">. </w:t>
      </w:r>
      <w:r w:rsidRPr="00BA2F2D">
        <w:rPr>
          <w:rStyle w:val="AERbody"/>
        </w:rPr>
        <w:fldChar w:fldCharType="begin"/>
      </w:r>
      <w:r w:rsidRPr="00BA2F2D">
        <w:rPr>
          <w:rStyle w:val="AERbody"/>
        </w:rPr>
        <w:instrText xml:space="preserve"> REF _Ref332705008 \h </w:instrText>
      </w:r>
      <w:r w:rsidRPr="00BA2F2D">
        <w:rPr>
          <w:rStyle w:val="AERbody"/>
        </w:rPr>
      </w:r>
      <w:r w:rsidRPr="00BA2F2D">
        <w:rPr>
          <w:rStyle w:val="AERbody"/>
        </w:rPr>
        <w:fldChar w:fldCharType="separate"/>
      </w:r>
      <w:r w:rsidR="00E32321" w:rsidRPr="00BA2F2D">
        <w:t xml:space="preserve">Table </w:t>
      </w:r>
      <w:r w:rsidR="00E32321">
        <w:rPr>
          <w:noProof/>
        </w:rPr>
        <w:t>12</w:t>
      </w:r>
      <w:r w:rsidR="00E32321">
        <w:t>.</w:t>
      </w:r>
      <w:r w:rsidR="00E32321">
        <w:rPr>
          <w:noProof/>
        </w:rPr>
        <w:t>4</w:t>
      </w:r>
      <w:r w:rsidRPr="00BA2F2D">
        <w:rPr>
          <w:rStyle w:val="AERbody"/>
        </w:rPr>
        <w:fldChar w:fldCharType="end"/>
      </w:r>
      <w:r w:rsidRPr="00BA2F2D">
        <w:rPr>
          <w:rStyle w:val="AERbody"/>
        </w:rPr>
        <w:t xml:space="preserve"> sets out </w:t>
      </w:r>
      <w:r>
        <w:rPr>
          <w:rStyle w:val="AERbody"/>
        </w:rPr>
        <w:t>our</w:t>
      </w:r>
      <w:r w:rsidRPr="00BA2F2D">
        <w:rPr>
          <w:rStyle w:val="AERbody"/>
        </w:rPr>
        <w:t xml:space="preserve"> assessment.</w:t>
      </w:r>
    </w:p>
    <w:p w:rsidR="00230D1B" w:rsidRPr="00CB7EEF" w:rsidRDefault="00230D1B" w:rsidP="00230D1B">
      <w:pPr>
        <w:pStyle w:val="Caption"/>
      </w:pPr>
      <w:bookmarkStart w:id="86" w:name="_Ref332705008"/>
      <w:proofErr w:type="gramStart"/>
      <w:r w:rsidRPr="00BA2F2D">
        <w:t xml:space="preserve">Table </w:t>
      </w:r>
      <w:fldSimple w:instr=" STYLEREF 1 \s ">
        <w:r w:rsidR="00E32321">
          <w:rPr>
            <w:noProof/>
          </w:rPr>
          <w:t>12</w:t>
        </w:r>
      </w:fldSimple>
      <w:r>
        <w:t>.</w:t>
      </w:r>
      <w:proofErr w:type="gramEnd"/>
      <w:r w:rsidR="00CB4522">
        <w:fldChar w:fldCharType="begin"/>
      </w:r>
      <w:r w:rsidR="00CB4522">
        <w:instrText xml:space="preserve"> SEQ Table \* ARABIC \s 1 </w:instrText>
      </w:r>
      <w:r w:rsidR="00CB4522">
        <w:fldChar w:fldCharType="separate"/>
      </w:r>
      <w:r w:rsidR="00E32321">
        <w:rPr>
          <w:noProof/>
        </w:rPr>
        <w:t>4</w:t>
      </w:r>
      <w:r w:rsidR="00CB4522">
        <w:rPr>
          <w:noProof/>
        </w:rPr>
        <w:fldChar w:fldCharType="end"/>
      </w:r>
      <w:bookmarkEnd w:id="86"/>
      <w:r w:rsidRPr="00BA2F2D">
        <w:tab/>
      </w:r>
      <w:r w:rsidR="00E94D27" w:rsidRPr="002B3317">
        <w:t>Powerlink’s</w:t>
      </w:r>
      <w:r w:rsidRPr="002B3317">
        <w:t xml:space="preserve"> proposed pricing structure and the NER requirements</w:t>
      </w:r>
    </w:p>
    <w:tbl>
      <w:tblPr>
        <w:tblStyle w:val="AERtable-text0"/>
        <w:tblW w:w="0" w:type="auto"/>
        <w:tblLook w:val="04A0" w:firstRow="1" w:lastRow="0" w:firstColumn="1" w:lastColumn="0" w:noHBand="0" w:noVBand="1"/>
      </w:tblPr>
      <w:tblGrid>
        <w:gridCol w:w="4358"/>
        <w:gridCol w:w="4335"/>
      </w:tblGrid>
      <w:tr w:rsidR="00230D1B" w:rsidTr="00137287">
        <w:trPr>
          <w:cnfStyle w:val="100000000000" w:firstRow="1" w:lastRow="0" w:firstColumn="0" w:lastColumn="0" w:oddVBand="0" w:evenVBand="0" w:oddHBand="0" w:evenHBand="0" w:firstRowFirstColumn="0" w:firstRowLastColumn="0" w:lastRowFirstColumn="0" w:lastRowLastColumn="0"/>
        </w:trPr>
        <w:tc>
          <w:tcPr>
            <w:tcW w:w="4621" w:type="dxa"/>
          </w:tcPr>
          <w:p w:rsidR="00230D1B" w:rsidRPr="00BA2F2D" w:rsidRDefault="00230D1B" w:rsidP="00230D1B">
            <w:pPr>
              <w:numPr>
                <w:ilvl w:val="0"/>
                <w:numId w:val="24"/>
              </w:numPr>
              <w:spacing w:after="240" w:line="288" w:lineRule="auto"/>
              <w:jc w:val="both"/>
            </w:pPr>
            <w:r w:rsidRPr="00BA2F2D">
              <w:t>NER requirements</w:t>
            </w:r>
          </w:p>
        </w:tc>
        <w:tc>
          <w:tcPr>
            <w:tcW w:w="4621" w:type="dxa"/>
          </w:tcPr>
          <w:p w:rsidR="00230D1B" w:rsidRPr="00BA2F2D" w:rsidRDefault="00230D1B" w:rsidP="00230D1B">
            <w:pPr>
              <w:numPr>
                <w:ilvl w:val="0"/>
                <w:numId w:val="24"/>
              </w:numPr>
              <w:spacing w:after="240" w:line="288" w:lineRule="auto"/>
              <w:jc w:val="both"/>
            </w:pPr>
            <w:r w:rsidRPr="00BA2F2D">
              <w:t>AER assessment</w:t>
            </w:r>
          </w:p>
        </w:tc>
      </w:tr>
      <w:tr w:rsidR="00230D1B" w:rsidTr="00137287">
        <w:tc>
          <w:tcPr>
            <w:tcW w:w="4621" w:type="dxa"/>
          </w:tcPr>
          <w:p w:rsidR="00230D1B" w:rsidRPr="00BA2F2D" w:rsidRDefault="00230D1B" w:rsidP="003E269C">
            <w:pPr>
              <w:pStyle w:val="AERtabletextleft"/>
            </w:pPr>
            <w:r w:rsidRPr="00BA2F2D">
              <w:t>Requirement for separate prices for each category of prescribed transmission services—clause 6A.23.4(</w:t>
            </w:r>
            <w:r w:rsidR="003E269C">
              <w:t>a</w:t>
            </w:r>
            <w:r w:rsidRPr="00BA2F2D">
              <w:t>)</w:t>
            </w:r>
          </w:p>
        </w:tc>
        <w:tc>
          <w:tcPr>
            <w:tcW w:w="4621" w:type="dxa"/>
          </w:tcPr>
          <w:p w:rsidR="00230D1B" w:rsidRPr="00BA2F2D" w:rsidRDefault="00230D1B" w:rsidP="00FA3A8E">
            <w:pPr>
              <w:pStyle w:val="AERtabletextleft"/>
            </w:pPr>
            <w:r>
              <w:t xml:space="preserve">Section </w:t>
            </w:r>
            <w:r w:rsidR="00E936C9">
              <w:t>6.9</w:t>
            </w:r>
            <w:r>
              <w:t xml:space="preserve"> of </w:t>
            </w:r>
            <w:r w:rsidR="00FA3A8E">
              <w:t>Powerlink</w:t>
            </w:r>
            <w:r>
              <w:t>'s proposed pricing methodology complies</w:t>
            </w:r>
            <w:r w:rsidRPr="00F6603E">
              <w:t xml:space="preserve"> with this requirement.</w:t>
            </w:r>
          </w:p>
        </w:tc>
      </w:tr>
      <w:tr w:rsidR="00230D1B" w:rsidTr="00137287">
        <w:trPr>
          <w:cnfStyle w:val="000000010000" w:firstRow="0" w:lastRow="0" w:firstColumn="0" w:lastColumn="0" w:oddVBand="0" w:evenVBand="0" w:oddHBand="0" w:evenHBand="1" w:firstRowFirstColumn="0" w:firstRowLastColumn="0" w:lastRowFirstColumn="0" w:lastRowLastColumn="0"/>
        </w:trPr>
        <w:tc>
          <w:tcPr>
            <w:tcW w:w="4621" w:type="dxa"/>
          </w:tcPr>
          <w:p w:rsidR="00230D1B" w:rsidRPr="00BA2F2D" w:rsidRDefault="00230D1B" w:rsidP="003E269C">
            <w:pPr>
              <w:pStyle w:val="AERtabletextleft"/>
            </w:pPr>
            <w:r w:rsidRPr="00BA2F2D">
              <w:t>Requirement for fixed annual amount prices for prescribed entry services and prescribed exit services—clause 6A.23.4(</w:t>
            </w:r>
            <w:r w:rsidR="003E269C">
              <w:t>g</w:t>
            </w:r>
            <w:r w:rsidRPr="00BA2F2D">
              <w:t>)</w:t>
            </w:r>
          </w:p>
        </w:tc>
        <w:tc>
          <w:tcPr>
            <w:tcW w:w="4621" w:type="dxa"/>
          </w:tcPr>
          <w:p w:rsidR="00230D1B" w:rsidRPr="00BA2F2D" w:rsidRDefault="00230D1B" w:rsidP="00FA3A8E">
            <w:pPr>
              <w:pStyle w:val="AERtabletextleft"/>
            </w:pPr>
            <w:r>
              <w:t xml:space="preserve">Section </w:t>
            </w:r>
            <w:r w:rsidR="0028436C">
              <w:t>6.9.1</w:t>
            </w:r>
            <w:r>
              <w:t xml:space="preserve"> of </w:t>
            </w:r>
            <w:r w:rsidR="00FA3A8E">
              <w:t>Powerlink</w:t>
            </w:r>
            <w:r>
              <w:t>'s proposed pricing methodology complies</w:t>
            </w:r>
            <w:r w:rsidRPr="00F6603E">
              <w:t xml:space="preserve"> with this requirement.</w:t>
            </w:r>
          </w:p>
        </w:tc>
      </w:tr>
      <w:tr w:rsidR="00230D1B" w:rsidTr="00137287">
        <w:tc>
          <w:tcPr>
            <w:tcW w:w="4621" w:type="dxa"/>
          </w:tcPr>
          <w:p w:rsidR="00230D1B" w:rsidRPr="00BA2F2D" w:rsidRDefault="00230D1B" w:rsidP="003E269C">
            <w:pPr>
              <w:pStyle w:val="AERtabletextleft"/>
            </w:pPr>
            <w:r w:rsidRPr="00BA2F2D">
              <w:lastRenderedPageBreak/>
              <w:t>Requirement for postage stamped prices for prescribed common transmission services—clause 6A.23.4(</w:t>
            </w:r>
            <w:r w:rsidR="003E269C">
              <w:t>f</w:t>
            </w:r>
            <w:r w:rsidRPr="00BA2F2D">
              <w:t>)</w:t>
            </w:r>
          </w:p>
        </w:tc>
        <w:tc>
          <w:tcPr>
            <w:tcW w:w="4621" w:type="dxa"/>
          </w:tcPr>
          <w:p w:rsidR="00230D1B" w:rsidRPr="00BA2F2D" w:rsidRDefault="0028436C" w:rsidP="00FA3A8E">
            <w:pPr>
              <w:pStyle w:val="AERtabletextleft"/>
            </w:pPr>
            <w:r w:rsidRPr="0028436C">
              <w:t>Section 6</w:t>
            </w:r>
            <w:r>
              <w:t>.9.4</w:t>
            </w:r>
            <w:r w:rsidRPr="0028436C">
              <w:t xml:space="preserve"> of </w:t>
            </w:r>
            <w:r w:rsidR="00FA3A8E">
              <w:t>Powerlink</w:t>
            </w:r>
            <w:r w:rsidRPr="0028436C">
              <w:t>'s proposed pricing methodology complies with this requirement.</w:t>
            </w:r>
          </w:p>
        </w:tc>
      </w:tr>
      <w:tr w:rsidR="00230D1B" w:rsidTr="00137287">
        <w:trPr>
          <w:cnfStyle w:val="000000010000" w:firstRow="0" w:lastRow="0" w:firstColumn="0" w:lastColumn="0" w:oddVBand="0" w:evenVBand="0" w:oddHBand="0" w:evenHBand="1" w:firstRowFirstColumn="0" w:firstRowLastColumn="0" w:lastRowFirstColumn="0" w:lastRowLastColumn="0"/>
        </w:trPr>
        <w:tc>
          <w:tcPr>
            <w:tcW w:w="4621" w:type="dxa"/>
          </w:tcPr>
          <w:p w:rsidR="00230D1B" w:rsidRPr="00BA2F2D" w:rsidRDefault="00230D1B" w:rsidP="003E269C">
            <w:pPr>
              <w:pStyle w:val="AERtabletextleft"/>
            </w:pPr>
            <w:r w:rsidRPr="00BA2F2D">
              <w:t>Requirement for prices for locational component of prescribed TUOS services to be based on demand at times of greatest use of the transmission network and for which network investment is most likely to be contemplated—clause 6A.23.4(</w:t>
            </w:r>
            <w:r w:rsidR="003E269C">
              <w:t>b</w:t>
            </w:r>
            <w:r w:rsidRPr="00BA2F2D">
              <w:t>)</w:t>
            </w:r>
            <w:r w:rsidR="003E269C">
              <w:t>(1)</w:t>
            </w:r>
          </w:p>
        </w:tc>
        <w:tc>
          <w:tcPr>
            <w:tcW w:w="4621" w:type="dxa"/>
          </w:tcPr>
          <w:p w:rsidR="00230D1B" w:rsidRPr="00BA2F2D" w:rsidRDefault="0028436C" w:rsidP="00FA3A8E">
            <w:pPr>
              <w:pStyle w:val="AERtabletextleft"/>
            </w:pPr>
            <w:r w:rsidRPr="0028436C">
              <w:t>Section 6.9.</w:t>
            </w:r>
            <w:r>
              <w:t>2</w:t>
            </w:r>
            <w:r w:rsidRPr="0028436C">
              <w:t xml:space="preserve"> of </w:t>
            </w:r>
            <w:r w:rsidR="00FA3A8E">
              <w:t>Powerlink</w:t>
            </w:r>
            <w:r w:rsidRPr="0028436C">
              <w:t>'s proposed pricing methodology complies with this requirement.</w:t>
            </w:r>
          </w:p>
        </w:tc>
      </w:tr>
      <w:tr w:rsidR="00230D1B" w:rsidTr="00137287">
        <w:tc>
          <w:tcPr>
            <w:tcW w:w="4621" w:type="dxa"/>
          </w:tcPr>
          <w:p w:rsidR="00230D1B" w:rsidRPr="00BA2F2D" w:rsidRDefault="00230D1B" w:rsidP="003E269C">
            <w:pPr>
              <w:pStyle w:val="AERtabletextleft"/>
            </w:pPr>
            <w:r w:rsidRPr="00BA2F2D">
              <w:t>Requirement for prices for the locational component of ASRR for prescribed TUOS services not to change by more than 2 per cent per year compared with the load weighted average prices for this component for the relevant region—clause 6A.23.4</w:t>
            </w:r>
            <w:r w:rsidR="003E269C">
              <w:t>(b)(2)</w:t>
            </w:r>
            <w:r w:rsidRPr="00BA2F2D">
              <w:t xml:space="preserve"> </w:t>
            </w:r>
          </w:p>
        </w:tc>
        <w:tc>
          <w:tcPr>
            <w:tcW w:w="4621" w:type="dxa"/>
          </w:tcPr>
          <w:p w:rsidR="00230D1B" w:rsidRPr="00BA2F2D" w:rsidRDefault="00544D8F" w:rsidP="00FA3A8E">
            <w:pPr>
              <w:pStyle w:val="AERtabletextleft"/>
            </w:pPr>
            <w:r w:rsidRPr="00544D8F">
              <w:t xml:space="preserve">Section 6.9.2 of </w:t>
            </w:r>
            <w:r w:rsidR="00FA3A8E">
              <w:t>Powerlink</w:t>
            </w:r>
            <w:r w:rsidRPr="00544D8F">
              <w:t>'s proposed pricing methodology complies with this requirement.</w:t>
            </w:r>
          </w:p>
        </w:tc>
      </w:tr>
      <w:tr w:rsidR="00230D1B" w:rsidTr="00137287">
        <w:trPr>
          <w:cnfStyle w:val="000000010000" w:firstRow="0" w:lastRow="0" w:firstColumn="0" w:lastColumn="0" w:oddVBand="0" w:evenVBand="0" w:oddHBand="0" w:evenHBand="1" w:firstRowFirstColumn="0" w:firstRowLastColumn="0" w:lastRowFirstColumn="0" w:lastRowLastColumn="0"/>
        </w:trPr>
        <w:tc>
          <w:tcPr>
            <w:tcW w:w="4621" w:type="dxa"/>
          </w:tcPr>
          <w:p w:rsidR="00230D1B" w:rsidRPr="00BA2F2D" w:rsidRDefault="00230D1B" w:rsidP="003E269C">
            <w:pPr>
              <w:pStyle w:val="AERtabletextleft"/>
            </w:pPr>
            <w:r w:rsidRPr="00BA2F2D">
              <w:t>Requirement for prices for the adjusted non</w:t>
            </w:r>
            <w:r>
              <w:t>-</w:t>
            </w:r>
            <w:r w:rsidRPr="00BA2F2D">
              <w:t>locational component of prescribed TUOS services to be on a postage stamp basis—clause 6A.23.4(</w:t>
            </w:r>
            <w:r w:rsidR="003E269C">
              <w:t>e</w:t>
            </w:r>
            <w:r w:rsidRPr="00BA2F2D">
              <w:t>)</w:t>
            </w:r>
          </w:p>
        </w:tc>
        <w:tc>
          <w:tcPr>
            <w:tcW w:w="4621" w:type="dxa"/>
          </w:tcPr>
          <w:p w:rsidR="00230D1B" w:rsidRPr="00BA2F2D" w:rsidRDefault="0028436C" w:rsidP="00FA3A8E">
            <w:pPr>
              <w:pStyle w:val="AERtabletextleft"/>
            </w:pPr>
            <w:r w:rsidRPr="0028436C">
              <w:t>Section 6.9.</w:t>
            </w:r>
            <w:r>
              <w:t>3</w:t>
            </w:r>
            <w:r w:rsidRPr="0028436C">
              <w:t xml:space="preserve"> of </w:t>
            </w:r>
            <w:r w:rsidR="00FA3A8E">
              <w:t>Powerlink</w:t>
            </w:r>
            <w:r w:rsidRPr="0028436C">
              <w:t>'s proposed pricing methodology complies with this requirement.</w:t>
            </w:r>
          </w:p>
        </w:tc>
      </w:tr>
      <w:tr w:rsidR="00544D8F" w:rsidTr="00137287">
        <w:tc>
          <w:tcPr>
            <w:tcW w:w="4621" w:type="dxa"/>
          </w:tcPr>
          <w:p w:rsidR="00544D8F" w:rsidRPr="00BA2F2D" w:rsidRDefault="00064200" w:rsidP="003E269C">
            <w:pPr>
              <w:pStyle w:val="AERtabletextleft"/>
            </w:pPr>
            <w:r>
              <w:t>Setting of TUOS locational prices between annual price publications–clause 6A.23.4(b)</w:t>
            </w:r>
          </w:p>
        </w:tc>
        <w:tc>
          <w:tcPr>
            <w:tcW w:w="4621" w:type="dxa"/>
          </w:tcPr>
          <w:p w:rsidR="00544D8F" w:rsidRPr="0028436C" w:rsidRDefault="00544D8F" w:rsidP="00A8690D">
            <w:pPr>
              <w:pStyle w:val="AERtabletextleft"/>
            </w:pPr>
            <w:r w:rsidRPr="00544D8F">
              <w:t xml:space="preserve">We do not accept that </w:t>
            </w:r>
            <w:r w:rsidR="00A8690D">
              <w:t>s</w:t>
            </w:r>
            <w:r w:rsidR="00064200">
              <w:t>ection 6.12 of Powerlink</w:t>
            </w:r>
            <w:r w:rsidRPr="00544D8F">
              <w:t xml:space="preserve">'s proposed pricing methodology complies with aspects of this requirement for the reasons given in section </w:t>
            </w:r>
            <w:r w:rsidR="00064200">
              <w:fldChar w:fldCharType="begin"/>
            </w:r>
            <w:r w:rsidR="00064200">
              <w:instrText xml:space="preserve"> REF _Ref458531255 \r \h </w:instrText>
            </w:r>
            <w:r w:rsidR="00064200">
              <w:fldChar w:fldCharType="separate"/>
            </w:r>
            <w:r w:rsidR="00E32321">
              <w:t>12.4.3</w:t>
            </w:r>
            <w:r w:rsidR="00064200">
              <w:fldChar w:fldCharType="end"/>
            </w:r>
            <w:r w:rsidR="00A8690D">
              <w:t xml:space="preserve"> of this attachment</w:t>
            </w:r>
            <w:r w:rsidR="00064200">
              <w:t>.</w:t>
            </w:r>
          </w:p>
        </w:tc>
      </w:tr>
    </w:tbl>
    <w:p w:rsidR="00230D1B" w:rsidRPr="00BA2F2D" w:rsidRDefault="00230D1B" w:rsidP="00230D1B">
      <w:pPr>
        <w:numPr>
          <w:ilvl w:val="0"/>
          <w:numId w:val="24"/>
        </w:numPr>
        <w:spacing w:before="0" w:after="240" w:line="288" w:lineRule="auto"/>
        <w:jc w:val="both"/>
        <w:rPr>
          <w:rStyle w:val="AERbody"/>
        </w:rPr>
      </w:pPr>
    </w:p>
    <w:p w:rsidR="00230D1B" w:rsidRPr="00085C1E" w:rsidRDefault="00230D1B" w:rsidP="00085C1E">
      <w:pPr>
        <w:pStyle w:val="Heading3"/>
        <w:ind w:left="720"/>
        <w:rPr>
          <w:color w:val="FF8D40" w:themeColor="accent2" w:themeTint="99"/>
        </w:rPr>
      </w:pPr>
      <w:bookmarkStart w:id="87" w:name="_Ref398652487"/>
      <w:bookmarkStart w:id="88" w:name="_Toc404161052"/>
      <w:bookmarkStart w:id="89" w:name="_Toc462752888"/>
      <w:r w:rsidRPr="00085C1E">
        <w:rPr>
          <w:color w:val="FF8D40" w:themeColor="accent2" w:themeTint="99"/>
        </w:rPr>
        <w:t>Assessment against the pricing methodology guidelines</w:t>
      </w:r>
      <w:bookmarkEnd w:id="87"/>
      <w:bookmarkEnd w:id="88"/>
      <w:bookmarkEnd w:id="89"/>
    </w:p>
    <w:p w:rsidR="00E94D27" w:rsidRDefault="00E94D27" w:rsidP="0061697E">
      <w:pPr>
        <w:numPr>
          <w:ilvl w:val="0"/>
          <w:numId w:val="24"/>
        </w:numPr>
        <w:spacing w:before="0" w:line="288" w:lineRule="auto"/>
        <w:jc w:val="both"/>
        <w:rPr>
          <w:rStyle w:val="AERbody"/>
        </w:rPr>
      </w:pPr>
    </w:p>
    <w:p w:rsidR="00230D1B" w:rsidRPr="00E94D27" w:rsidRDefault="00230D1B" w:rsidP="00230D1B">
      <w:pPr>
        <w:numPr>
          <w:ilvl w:val="0"/>
          <w:numId w:val="24"/>
        </w:numPr>
        <w:spacing w:before="0" w:after="240" w:line="288" w:lineRule="auto"/>
        <w:jc w:val="both"/>
        <w:rPr>
          <w:rStyle w:val="AERbody"/>
          <w:highlight w:val="yellow"/>
        </w:rPr>
      </w:pPr>
      <w:r>
        <w:rPr>
          <w:rStyle w:val="AERbody"/>
        </w:rPr>
        <w:t>We are</w:t>
      </w:r>
      <w:r w:rsidRPr="00BA2F2D">
        <w:rPr>
          <w:rStyle w:val="AERbody"/>
        </w:rPr>
        <w:t xml:space="preserve"> satisfied that </w:t>
      </w:r>
      <w:r w:rsidR="00E94D27">
        <w:rPr>
          <w:rStyle w:val="AERbody"/>
        </w:rPr>
        <w:t>Powerlink’s</w:t>
      </w:r>
      <w:r w:rsidRPr="00BA2F2D">
        <w:rPr>
          <w:rStyle w:val="AERbody"/>
        </w:rPr>
        <w:t xml:space="preserve"> proposed pricing methodology complies with the information requirements of the pricing methodology guidelines. </w:t>
      </w:r>
      <w:r w:rsidRPr="002B3317">
        <w:rPr>
          <w:rStyle w:val="AERbody"/>
        </w:rPr>
        <w:t>Key features of the proposal include:</w:t>
      </w:r>
    </w:p>
    <w:p w:rsidR="00230D1B" w:rsidRPr="00BA2F2D" w:rsidRDefault="00230D1B" w:rsidP="00230D1B">
      <w:pPr>
        <w:pStyle w:val="AERbulletlistfirststyle"/>
        <w:numPr>
          <w:ilvl w:val="0"/>
          <w:numId w:val="29"/>
        </w:numPr>
        <w:spacing w:before="0" w:after="200" w:line="288" w:lineRule="auto"/>
        <w:ind w:left="357" w:hanging="357"/>
        <w:jc w:val="both"/>
        <w:rPr>
          <w:rStyle w:val="AERbody"/>
        </w:rPr>
      </w:pPr>
      <w:r w:rsidRPr="00BA2F2D">
        <w:rPr>
          <w:rStyle w:val="AERbody"/>
        </w:rPr>
        <w:t xml:space="preserve">acknowledging that </w:t>
      </w:r>
      <w:r w:rsidR="00E971E1">
        <w:rPr>
          <w:rStyle w:val="AERbody"/>
        </w:rPr>
        <w:t>Powerlink</w:t>
      </w:r>
      <w:r w:rsidR="00E971E1" w:rsidRPr="00BA2F2D">
        <w:rPr>
          <w:rStyle w:val="AERbody"/>
        </w:rPr>
        <w:t xml:space="preserve"> </w:t>
      </w:r>
      <w:r w:rsidRPr="00BA2F2D">
        <w:rPr>
          <w:rStyle w:val="AERbody"/>
        </w:rPr>
        <w:t xml:space="preserve">is the </w:t>
      </w:r>
      <w:r w:rsidR="00E971E1">
        <w:rPr>
          <w:rStyle w:val="AERbody"/>
        </w:rPr>
        <w:t>sole provider of prescribed transmission services in its region (Queensland)</w:t>
      </w:r>
      <w:r w:rsidR="00464ECC">
        <w:rPr>
          <w:rStyle w:val="AERbody"/>
        </w:rPr>
        <w:t>, but in the even</w:t>
      </w:r>
      <w:r w:rsidR="008D4A51">
        <w:rPr>
          <w:rStyle w:val="AERbody"/>
        </w:rPr>
        <w:t>t</w:t>
      </w:r>
      <w:r w:rsidR="00464ECC">
        <w:rPr>
          <w:rStyle w:val="AERbody"/>
        </w:rPr>
        <w:t xml:space="preserve"> the services are provided by more than one provider, the proposed methodology provides more clarity</w:t>
      </w:r>
      <w:r>
        <w:rPr>
          <w:rStyle w:val="AERbody"/>
        </w:rPr>
        <w:t xml:space="preserve"> </w:t>
      </w:r>
    </w:p>
    <w:p w:rsidR="00230D1B" w:rsidRPr="00BA2F2D" w:rsidRDefault="00230D1B" w:rsidP="00230D1B">
      <w:pPr>
        <w:pStyle w:val="AERbulletlistfirststyle"/>
        <w:numPr>
          <w:ilvl w:val="0"/>
          <w:numId w:val="29"/>
        </w:numPr>
        <w:spacing w:before="0" w:after="200" w:line="288" w:lineRule="auto"/>
        <w:ind w:left="357" w:hanging="357"/>
        <w:jc w:val="both"/>
        <w:rPr>
          <w:rStyle w:val="AERbody"/>
        </w:rPr>
      </w:pPr>
      <w:r w:rsidRPr="00BA2F2D">
        <w:rPr>
          <w:rStyle w:val="AERbody"/>
        </w:rPr>
        <w:t>calculating the locational component of prescribed TUOS services costs using a cost reflective network pricing methodology</w:t>
      </w:r>
    </w:p>
    <w:p w:rsidR="00230D1B" w:rsidRPr="00BA2F2D" w:rsidRDefault="00230D1B" w:rsidP="00230D1B">
      <w:pPr>
        <w:pStyle w:val="AERbulletlistfirststyle"/>
        <w:numPr>
          <w:ilvl w:val="0"/>
          <w:numId w:val="29"/>
        </w:numPr>
        <w:spacing w:before="0" w:after="200" w:line="288" w:lineRule="auto"/>
        <w:ind w:left="357" w:hanging="357"/>
        <w:jc w:val="both"/>
        <w:rPr>
          <w:rStyle w:val="AERbody"/>
        </w:rPr>
      </w:pPr>
      <w:r w:rsidRPr="00BA2F2D">
        <w:rPr>
          <w:rStyle w:val="AERbody"/>
        </w:rPr>
        <w:t>basing the locational prescribed TUOS services price on an agreed nominated demand and the average half</w:t>
      </w:r>
      <w:r w:rsidR="00E971E1">
        <w:rPr>
          <w:rStyle w:val="AERbody"/>
        </w:rPr>
        <w:t>-</w:t>
      </w:r>
      <w:r w:rsidRPr="00BA2F2D">
        <w:rPr>
          <w:rStyle w:val="AERbody"/>
        </w:rPr>
        <w:t>hourly demand</w:t>
      </w:r>
    </w:p>
    <w:p w:rsidR="00230D1B" w:rsidRPr="00BA2F2D" w:rsidRDefault="00230D1B" w:rsidP="00230D1B">
      <w:pPr>
        <w:pStyle w:val="AERbulletlistfirststyle"/>
        <w:numPr>
          <w:ilvl w:val="0"/>
          <w:numId w:val="29"/>
        </w:numPr>
        <w:spacing w:before="0" w:after="200" w:line="288" w:lineRule="auto"/>
        <w:ind w:left="357" w:hanging="357"/>
        <w:jc w:val="both"/>
        <w:rPr>
          <w:rStyle w:val="AERbody"/>
        </w:rPr>
      </w:pPr>
      <w:r w:rsidRPr="00BA2F2D">
        <w:rPr>
          <w:rStyle w:val="AERbody"/>
        </w:rPr>
        <w:t xml:space="preserve">basing the postage stamp pricing structure for the non-locational component of prescribed TUOS services and prescribed common transmission </w:t>
      </w:r>
    </w:p>
    <w:p w:rsidR="00230D1B" w:rsidRPr="00BA2F2D" w:rsidRDefault="00230D1B" w:rsidP="00230D1B">
      <w:pPr>
        <w:pStyle w:val="AERbulletlistfirststyle"/>
        <w:numPr>
          <w:ilvl w:val="0"/>
          <w:numId w:val="29"/>
        </w:numPr>
        <w:spacing w:before="0" w:after="200" w:line="288" w:lineRule="auto"/>
        <w:ind w:left="357" w:hanging="357"/>
        <w:jc w:val="both"/>
        <w:rPr>
          <w:rStyle w:val="AERbody"/>
        </w:rPr>
      </w:pPr>
      <w:r w:rsidRPr="00BA2F2D">
        <w:rPr>
          <w:rStyle w:val="AERbody"/>
        </w:rPr>
        <w:lastRenderedPageBreak/>
        <w:t>using the priority ordering approach under clause 6A.23.3(d) of the NER to implement priority ordering</w:t>
      </w:r>
    </w:p>
    <w:p w:rsidR="00230D1B" w:rsidRPr="00BA2F2D" w:rsidRDefault="00230D1B" w:rsidP="00230D1B">
      <w:pPr>
        <w:pStyle w:val="AERbulletlistfirststyle"/>
        <w:numPr>
          <w:ilvl w:val="0"/>
          <w:numId w:val="29"/>
        </w:numPr>
        <w:spacing w:before="0" w:after="200" w:line="288" w:lineRule="auto"/>
        <w:ind w:left="357" w:hanging="357"/>
        <w:jc w:val="both"/>
        <w:rPr>
          <w:rStyle w:val="AERbody"/>
        </w:rPr>
      </w:pPr>
      <w:r w:rsidRPr="00BA2F2D">
        <w:rPr>
          <w:rStyle w:val="AERbody"/>
        </w:rPr>
        <w:t>describing how asset costs that may be attributable to both prescribed entry services and prescribed exit services will be allocated at a connection point</w:t>
      </w:r>
    </w:p>
    <w:p w:rsidR="00230D1B" w:rsidRPr="00BA2F2D" w:rsidRDefault="00230D1B" w:rsidP="00230D1B">
      <w:pPr>
        <w:pStyle w:val="AERbulletlistfirststyle"/>
        <w:numPr>
          <w:ilvl w:val="0"/>
          <w:numId w:val="29"/>
        </w:numPr>
        <w:spacing w:before="0" w:after="200" w:line="288" w:lineRule="auto"/>
        <w:ind w:left="357" w:hanging="357"/>
        <w:jc w:val="both"/>
        <w:rPr>
          <w:rStyle w:val="AERbody"/>
        </w:rPr>
      </w:pPr>
      <w:r w:rsidRPr="00BA2F2D">
        <w:rPr>
          <w:rStyle w:val="AERbody"/>
        </w:rPr>
        <w:t>describing billing arrangements as in clause 6A.27 of the NER</w:t>
      </w:r>
    </w:p>
    <w:p w:rsidR="00230D1B" w:rsidRPr="00BA2F2D" w:rsidRDefault="00230D1B" w:rsidP="00230D1B">
      <w:pPr>
        <w:pStyle w:val="AERbulletlistfirststyle"/>
        <w:numPr>
          <w:ilvl w:val="0"/>
          <w:numId w:val="29"/>
        </w:numPr>
        <w:spacing w:before="0" w:after="200" w:line="288" w:lineRule="auto"/>
        <w:ind w:left="357" w:hanging="357"/>
        <w:jc w:val="both"/>
        <w:rPr>
          <w:rStyle w:val="AERbody"/>
        </w:rPr>
      </w:pPr>
      <w:r w:rsidRPr="00BA2F2D">
        <w:rPr>
          <w:rStyle w:val="AERbody"/>
        </w:rPr>
        <w:t>describing prudential requirements as in clause 6A.28 of the NER</w:t>
      </w:r>
    </w:p>
    <w:p w:rsidR="00230D1B" w:rsidRPr="00BA2F2D" w:rsidRDefault="00230D1B" w:rsidP="00230D1B">
      <w:pPr>
        <w:pStyle w:val="AERbulletlistfirststyle"/>
        <w:numPr>
          <w:ilvl w:val="0"/>
          <w:numId w:val="29"/>
        </w:numPr>
        <w:spacing w:before="0" w:after="200" w:line="288" w:lineRule="auto"/>
        <w:ind w:left="357" w:hanging="357"/>
        <w:jc w:val="both"/>
        <w:rPr>
          <w:rStyle w:val="AERbody"/>
        </w:rPr>
      </w:pPr>
      <w:r w:rsidRPr="00BA2F2D">
        <w:rPr>
          <w:rStyle w:val="AERbody"/>
        </w:rPr>
        <w:t xml:space="preserve">including hypothetical </w:t>
      </w:r>
      <w:r w:rsidR="00024B7D">
        <w:rPr>
          <w:rStyle w:val="AERbody"/>
        </w:rPr>
        <w:t xml:space="preserve">worked </w:t>
      </w:r>
      <w:r w:rsidRPr="00BA2F2D">
        <w:rPr>
          <w:rStyle w:val="AERbody"/>
        </w:rPr>
        <w:t>examples</w:t>
      </w:r>
    </w:p>
    <w:p w:rsidR="00230D1B" w:rsidRDefault="00230D1B" w:rsidP="00230D1B">
      <w:pPr>
        <w:pStyle w:val="AERbulletlistfirststyle"/>
        <w:numPr>
          <w:ilvl w:val="0"/>
          <w:numId w:val="29"/>
        </w:numPr>
        <w:spacing w:before="0" w:after="200" w:line="288" w:lineRule="auto"/>
        <w:ind w:left="357" w:hanging="357"/>
        <w:jc w:val="both"/>
      </w:pPr>
      <w:proofErr w:type="gramStart"/>
      <w:r w:rsidRPr="00BA2F2D">
        <w:rPr>
          <w:rStyle w:val="AERbody"/>
        </w:rPr>
        <w:t>describing</w:t>
      </w:r>
      <w:proofErr w:type="gramEnd"/>
      <w:r w:rsidRPr="00BA2F2D">
        <w:rPr>
          <w:rStyle w:val="AERbody"/>
        </w:rPr>
        <w:t xml:space="preserve"> how </w:t>
      </w:r>
      <w:r w:rsidR="00E971E1">
        <w:rPr>
          <w:rStyle w:val="AERbody"/>
        </w:rPr>
        <w:t>Powerlink</w:t>
      </w:r>
      <w:r w:rsidR="00E971E1" w:rsidRPr="00BA2F2D">
        <w:rPr>
          <w:rStyle w:val="AERbody"/>
        </w:rPr>
        <w:t xml:space="preserve"> </w:t>
      </w:r>
      <w:r w:rsidRPr="00BA2F2D">
        <w:rPr>
          <w:rStyle w:val="AERbody"/>
        </w:rPr>
        <w:t>intends to monitor and develop records of its compliance with it</w:t>
      </w:r>
      <w:r>
        <w:rPr>
          <w:rStyle w:val="AERbody"/>
        </w:rPr>
        <w:t>s approved pricing methodology.</w:t>
      </w:r>
    </w:p>
    <w:p w:rsidR="00132D43" w:rsidRDefault="00132D43" w:rsidP="00132D43"/>
    <w:sectPr w:rsidR="00132D43" w:rsidSect="00CF42AA">
      <w:headerReference w:type="default" r:id="rId13"/>
      <w:footerReference w:type="even" r:id="rId14"/>
      <w:footerReference w:type="default" r:id="rId15"/>
      <w:footerReference w:type="first" r:id="rId16"/>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43B" w:rsidRPr="00290C63" w:rsidRDefault="00A5343B" w:rsidP="00290C63">
      <w:r>
        <w:separator/>
      </w:r>
    </w:p>
    <w:p w:rsidR="00A5343B" w:rsidRDefault="00A5343B"/>
  </w:endnote>
  <w:endnote w:type="continuationSeparator" w:id="0">
    <w:p w:rsidR="00A5343B" w:rsidRPr="00290C63" w:rsidRDefault="00A5343B" w:rsidP="00290C63">
      <w:r>
        <w:continuationSeparator/>
      </w:r>
    </w:p>
    <w:p w:rsidR="00A5343B" w:rsidRDefault="00A53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88892"/>
      <w:docPartObj>
        <w:docPartGallery w:val="Page Numbers (Bottom of Page)"/>
        <w:docPartUnique/>
      </w:docPartObj>
    </w:sdtPr>
    <w:sdtEndPr/>
    <w:sdtContent>
      <w:p w:rsidR="00E32321" w:rsidRDefault="00E32321" w:rsidP="00E32321">
        <w:pPr>
          <w:pStyle w:val="Footer"/>
        </w:pPr>
        <w:r w:rsidRPr="001C0547">
          <w:fldChar w:fldCharType="begin"/>
        </w:r>
        <w:r w:rsidRPr="001C0547">
          <w:instrText xml:space="preserve"> PAGE   \* MERGEFORMAT </w:instrText>
        </w:r>
        <w:r w:rsidRPr="001C0547">
          <w:fldChar w:fldCharType="separate"/>
        </w:r>
        <w:r w:rsidR="00E46F50">
          <w:rPr>
            <w:noProof/>
          </w:rPr>
          <w:t>12-0</w:t>
        </w:r>
        <w:r w:rsidRPr="001C0547">
          <w:fldChar w:fldCharType="end"/>
        </w:r>
        <w:r w:rsidRPr="001C0547">
          <w:t xml:space="preserve">      Attachment 1</w:t>
        </w:r>
        <w:r>
          <w:t>2</w:t>
        </w:r>
        <w:r w:rsidRPr="001C0547">
          <w:t xml:space="preserve"> – </w:t>
        </w:r>
        <w:r>
          <w:t>Pricing methodology</w:t>
        </w:r>
        <w:r w:rsidRPr="001C0547">
          <w:t xml:space="preserve"> | Powerlink transmission draft determination 2017–22</w:t>
        </w:r>
      </w:p>
    </w:sdtContent>
  </w:sdt>
  <w:p w:rsidR="00A5343B" w:rsidRPr="00244223" w:rsidRDefault="00A5343B" w:rsidP="00244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3B" w:rsidRPr="00244223" w:rsidRDefault="00A5343B" w:rsidP="002442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35799"/>
      <w:docPartObj>
        <w:docPartGallery w:val="Page Numbers (Bottom of Page)"/>
        <w:docPartUnique/>
      </w:docPartObj>
    </w:sdtPr>
    <w:sdtEndPr/>
    <w:sdtContent>
      <w:p w:rsidR="00E32321" w:rsidRDefault="00E32321" w:rsidP="00E32321">
        <w:pPr>
          <w:pStyle w:val="Footer"/>
        </w:pPr>
        <w:r w:rsidRPr="001C0547">
          <w:fldChar w:fldCharType="begin"/>
        </w:r>
        <w:r w:rsidRPr="001C0547">
          <w:instrText xml:space="preserve"> PAGE   \* MERGEFORMAT </w:instrText>
        </w:r>
        <w:r w:rsidRPr="001C0547">
          <w:fldChar w:fldCharType="separate"/>
        </w:r>
        <w:r w:rsidR="00E46F50">
          <w:rPr>
            <w:noProof/>
          </w:rPr>
          <w:t>12-3</w:t>
        </w:r>
        <w:r w:rsidRPr="001C0547">
          <w:fldChar w:fldCharType="end"/>
        </w:r>
        <w:r w:rsidRPr="001C0547">
          <w:t xml:space="preserve">      Attachment 1</w:t>
        </w:r>
        <w:r>
          <w:t>2</w:t>
        </w:r>
        <w:r w:rsidRPr="001C0547">
          <w:t xml:space="preserve"> – </w:t>
        </w:r>
        <w:r>
          <w:t>Pricing methodology</w:t>
        </w:r>
        <w:r w:rsidRPr="001C0547">
          <w:t xml:space="preserve"> | Powerlink transmission draft determination 2017–22</w:t>
        </w:r>
      </w:p>
    </w:sdtContent>
  </w:sdt>
  <w:p w:rsidR="00A5343B" w:rsidRPr="00244223" w:rsidRDefault="00A5343B" w:rsidP="002442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3B" w:rsidRPr="00244223" w:rsidRDefault="00A5343B" w:rsidP="00244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43B" w:rsidRPr="00290C63" w:rsidRDefault="00A5343B" w:rsidP="00290C63">
      <w:r>
        <w:separator/>
      </w:r>
    </w:p>
    <w:p w:rsidR="00A5343B" w:rsidRDefault="00A5343B"/>
  </w:footnote>
  <w:footnote w:type="continuationSeparator" w:id="0">
    <w:p w:rsidR="00A5343B" w:rsidRPr="00290C63" w:rsidRDefault="00A5343B" w:rsidP="00290C63">
      <w:r>
        <w:continuationSeparator/>
      </w:r>
    </w:p>
    <w:p w:rsidR="00A5343B" w:rsidRDefault="00A5343B"/>
  </w:footnote>
  <w:footnote w:id="1">
    <w:p w:rsidR="00A5343B" w:rsidRDefault="00A5343B" w:rsidP="006360CE">
      <w:pPr>
        <w:pStyle w:val="FootnoteText"/>
      </w:pPr>
      <w:r>
        <w:rPr>
          <w:rStyle w:val="FootnoteReference"/>
        </w:rPr>
        <w:footnoteRef/>
      </w:r>
      <w:r>
        <w:t xml:space="preserve"> </w:t>
      </w:r>
      <w:r>
        <w:tab/>
        <w:t xml:space="preserve">NER, cl. </w:t>
      </w:r>
      <w:proofErr w:type="gramStart"/>
      <w:r>
        <w:t>6A.2.2(</w:t>
      </w:r>
      <w:proofErr w:type="gramEnd"/>
      <w:r>
        <w:t>4).</w:t>
      </w:r>
    </w:p>
  </w:footnote>
  <w:footnote w:id="2">
    <w:p w:rsidR="00A5343B" w:rsidRDefault="00A5343B" w:rsidP="006360CE">
      <w:pPr>
        <w:pStyle w:val="FootnoteText"/>
      </w:pPr>
      <w:r>
        <w:rPr>
          <w:rStyle w:val="FootnoteReference"/>
        </w:rPr>
        <w:footnoteRef/>
      </w:r>
      <w:r>
        <w:t xml:space="preserve"> </w:t>
      </w:r>
      <w:r>
        <w:tab/>
        <w:t xml:space="preserve">AEMC, </w:t>
      </w:r>
      <w:r w:rsidRPr="00C97CE9">
        <w:rPr>
          <w:rStyle w:val="AERtextitalic"/>
        </w:rPr>
        <w:t>Rule determination: National Electricity Amendment (Pricing of Prescribed Transmission Services) Rule 2006 No. 22</w:t>
      </w:r>
      <w:r>
        <w:t>, 21 December 2006, p. 1.</w:t>
      </w:r>
    </w:p>
  </w:footnote>
  <w:footnote w:id="3">
    <w:p w:rsidR="00A5343B" w:rsidRDefault="00A5343B" w:rsidP="006360CE">
      <w:pPr>
        <w:pStyle w:val="FootnoteText"/>
      </w:pPr>
      <w:r>
        <w:rPr>
          <w:rStyle w:val="FootnoteReference"/>
        </w:rPr>
        <w:footnoteRef/>
      </w:r>
      <w:r>
        <w:t xml:space="preserve"> </w:t>
      </w:r>
      <w:r>
        <w:tab/>
        <w:t xml:space="preserve">NER, cl. </w:t>
      </w:r>
      <w:proofErr w:type="gramStart"/>
      <w:r>
        <w:t>6A.24.1(</w:t>
      </w:r>
      <w:proofErr w:type="gramEnd"/>
      <w:r>
        <w:t>b).</w:t>
      </w:r>
    </w:p>
  </w:footnote>
  <w:footnote w:id="4">
    <w:p w:rsidR="00A5343B" w:rsidRDefault="00A5343B" w:rsidP="006360CE">
      <w:pPr>
        <w:pStyle w:val="FootnoteText"/>
      </w:pPr>
      <w:r>
        <w:rPr>
          <w:rStyle w:val="FootnoteReference"/>
        </w:rPr>
        <w:footnoteRef/>
      </w:r>
      <w:r>
        <w:t xml:space="preserve"> </w:t>
      </w:r>
      <w:r>
        <w:tab/>
        <w:t xml:space="preserve">NER, cl. </w:t>
      </w:r>
      <w:proofErr w:type="gramStart"/>
      <w:r>
        <w:t>6A.24.1(</w:t>
      </w:r>
      <w:proofErr w:type="gramEnd"/>
      <w:r>
        <w:t>b)(1).</w:t>
      </w:r>
    </w:p>
  </w:footnote>
  <w:footnote w:id="5">
    <w:p w:rsidR="00A5343B" w:rsidRDefault="00A5343B" w:rsidP="006360CE">
      <w:pPr>
        <w:pStyle w:val="FootnoteText"/>
      </w:pPr>
      <w:r>
        <w:rPr>
          <w:rStyle w:val="FootnoteReference"/>
        </w:rPr>
        <w:footnoteRef/>
      </w:r>
      <w:r>
        <w:t xml:space="preserve"> </w:t>
      </w:r>
      <w:r>
        <w:tab/>
        <w:t xml:space="preserve">NER, cl. </w:t>
      </w:r>
      <w:proofErr w:type="gramStart"/>
      <w:r>
        <w:t>6A.24.1(</w:t>
      </w:r>
      <w:proofErr w:type="gramEnd"/>
      <w:r>
        <w:t>b)(2).</w:t>
      </w:r>
    </w:p>
  </w:footnote>
  <w:footnote w:id="6">
    <w:p w:rsidR="00A5343B" w:rsidRDefault="00A5343B">
      <w:pPr>
        <w:pStyle w:val="FootnoteText"/>
      </w:pPr>
      <w:r>
        <w:rPr>
          <w:rStyle w:val="FootnoteReference"/>
        </w:rPr>
        <w:footnoteRef/>
      </w:r>
      <w:r>
        <w:t xml:space="preserve"> </w:t>
      </w:r>
      <w:r>
        <w:tab/>
      </w:r>
      <w:proofErr w:type="gramStart"/>
      <w:r>
        <w:t xml:space="preserve">AER, </w:t>
      </w:r>
      <w:r w:rsidRPr="00E36988">
        <w:rPr>
          <w:i/>
        </w:rPr>
        <w:t>Electricity transmission network service providers – Pricing methodology guidelines</w:t>
      </w:r>
      <w:r>
        <w:t>, July 2014.</w:t>
      </w:r>
      <w:proofErr w:type="gramEnd"/>
    </w:p>
  </w:footnote>
  <w:footnote w:id="7">
    <w:p w:rsidR="00A5343B" w:rsidRDefault="00A5343B">
      <w:pPr>
        <w:pStyle w:val="FootnoteText"/>
      </w:pPr>
      <w:r>
        <w:rPr>
          <w:rStyle w:val="FootnoteReference"/>
        </w:rPr>
        <w:footnoteRef/>
      </w:r>
      <w:r>
        <w:t xml:space="preserve"> </w:t>
      </w:r>
      <w:r>
        <w:tab/>
        <w:t xml:space="preserve">Powerlink, </w:t>
      </w:r>
      <w:r w:rsidRPr="00E36988">
        <w:rPr>
          <w:i/>
        </w:rPr>
        <w:t>AER Approved Amended Pricing Methodology 1 July 2015 to 30 June 2017</w:t>
      </w:r>
      <w:r>
        <w:t xml:space="preserve">, 18 May 2015. </w:t>
      </w:r>
    </w:p>
  </w:footnote>
  <w:footnote w:id="8">
    <w:p w:rsidR="00A5343B" w:rsidRDefault="00A5343B">
      <w:pPr>
        <w:pStyle w:val="FootnoteText"/>
      </w:pPr>
      <w:r>
        <w:rPr>
          <w:rStyle w:val="FootnoteReference"/>
        </w:rPr>
        <w:footnoteRef/>
      </w:r>
      <w:r>
        <w:t xml:space="preserve"> </w:t>
      </w:r>
      <w:r>
        <w:tab/>
        <w:t xml:space="preserve">Powerlink, </w:t>
      </w:r>
      <w:r w:rsidRPr="00454423">
        <w:rPr>
          <w:i/>
        </w:rPr>
        <w:t>Revenue Proposal 2017–22</w:t>
      </w:r>
      <w:r>
        <w:t xml:space="preserve">, p. 123. </w:t>
      </w:r>
    </w:p>
  </w:footnote>
  <w:footnote w:id="9">
    <w:p w:rsidR="00A5343B" w:rsidRPr="00E17BE5" w:rsidRDefault="00A5343B">
      <w:pPr>
        <w:pStyle w:val="FootnoteText"/>
      </w:pPr>
      <w:r w:rsidRPr="00E17BE5">
        <w:rPr>
          <w:rStyle w:val="FootnoteReference"/>
        </w:rPr>
        <w:footnoteRef/>
      </w:r>
      <w:r w:rsidRPr="00E17BE5">
        <w:t xml:space="preserve"> </w:t>
      </w:r>
      <w:r w:rsidRPr="00E17BE5">
        <w:tab/>
        <w:t xml:space="preserve">Powerlink, </w:t>
      </w:r>
      <w:r w:rsidRPr="00E17BE5">
        <w:rPr>
          <w:i/>
        </w:rPr>
        <w:t>Revenue Proposal 2017–22</w:t>
      </w:r>
      <w:r w:rsidRPr="00E17BE5">
        <w:t>, p. 124.</w:t>
      </w:r>
    </w:p>
  </w:footnote>
  <w:footnote w:id="10">
    <w:p w:rsidR="00A5343B" w:rsidRDefault="00A5343B">
      <w:pPr>
        <w:pStyle w:val="FootnoteText"/>
      </w:pPr>
      <w:r>
        <w:rPr>
          <w:rStyle w:val="FootnoteReference"/>
        </w:rPr>
        <w:footnoteRef/>
      </w:r>
      <w:r>
        <w:t xml:space="preserve"> </w:t>
      </w:r>
      <w:r>
        <w:tab/>
      </w:r>
      <w:proofErr w:type="gramStart"/>
      <w:r w:rsidRPr="00137287">
        <w:t xml:space="preserve">Powerlink, </w:t>
      </w:r>
      <w:r w:rsidRPr="00454423">
        <w:rPr>
          <w:i/>
        </w:rPr>
        <w:t>Revenue Proposal 2017–22, Appendix 16.01 Proposed Pricing Methodology (tracked changes)</w:t>
      </w:r>
      <w:r>
        <w:t xml:space="preserve">, section 6.12, </w:t>
      </w:r>
      <w:r w:rsidRPr="00137287">
        <w:t xml:space="preserve">p. </w:t>
      </w:r>
      <w:r>
        <w:t>20</w:t>
      </w:r>
      <w:r w:rsidRPr="00137287">
        <w:t>.</w:t>
      </w:r>
      <w:proofErr w:type="gramEnd"/>
    </w:p>
  </w:footnote>
  <w:footnote w:id="11">
    <w:p w:rsidR="00A5343B" w:rsidRDefault="00A5343B" w:rsidP="00364AF6">
      <w:pPr>
        <w:pStyle w:val="FootnoteText"/>
      </w:pPr>
      <w:r>
        <w:rPr>
          <w:rStyle w:val="FootnoteReference"/>
        </w:rPr>
        <w:footnoteRef/>
      </w:r>
      <w:r>
        <w:t xml:space="preserve"> </w:t>
      </w:r>
      <w:r>
        <w:tab/>
      </w:r>
      <w:proofErr w:type="gramStart"/>
      <w:r>
        <w:t>NER, cl. 6A.24.1(c).</w:t>
      </w:r>
      <w:proofErr w:type="gramEnd"/>
    </w:p>
  </w:footnote>
  <w:footnote w:id="12">
    <w:p w:rsidR="00A5343B" w:rsidRDefault="00A5343B">
      <w:pPr>
        <w:pStyle w:val="FootnoteText"/>
      </w:pPr>
      <w:r>
        <w:rPr>
          <w:rStyle w:val="FootnoteReference"/>
        </w:rPr>
        <w:footnoteRef/>
      </w:r>
      <w:r>
        <w:t xml:space="preserve"> </w:t>
      </w:r>
      <w:r>
        <w:tab/>
      </w:r>
      <w:proofErr w:type="gramStart"/>
      <w:r w:rsidRPr="001B71FA">
        <w:t xml:space="preserve">Powerlink, </w:t>
      </w:r>
      <w:r w:rsidRPr="001B71FA">
        <w:rPr>
          <w:i/>
        </w:rPr>
        <w:t>Revenue Proposal 2017–22, Appendix 16.01 Proposed Pricing Methodology (tracked changes)</w:t>
      </w:r>
      <w:r w:rsidRPr="001B71FA">
        <w:t>, section 6.</w:t>
      </w:r>
      <w:r>
        <w:t>2 and Appendix D, pp. 6, 33 and 37.</w:t>
      </w:r>
      <w:proofErr w:type="gramEnd"/>
      <w:r>
        <w:t xml:space="preserve"> </w:t>
      </w:r>
    </w:p>
  </w:footnote>
  <w:footnote w:id="13">
    <w:p w:rsidR="00A5343B" w:rsidRDefault="00A5343B">
      <w:pPr>
        <w:pStyle w:val="FootnoteText"/>
      </w:pPr>
      <w:r>
        <w:rPr>
          <w:rStyle w:val="FootnoteReference"/>
        </w:rPr>
        <w:footnoteRef/>
      </w:r>
      <w:r>
        <w:t xml:space="preserve"> </w:t>
      </w:r>
      <w:r>
        <w:tab/>
      </w:r>
      <w:r w:rsidRPr="001B71FA">
        <w:t xml:space="preserve">Powerlink, </w:t>
      </w:r>
      <w:r w:rsidRPr="001B71FA">
        <w:rPr>
          <w:i/>
        </w:rPr>
        <w:t>Revenue Proposal 2017–22, Appendix 16.01 Proposed Pricing Methodology (tracked changes)</w:t>
      </w:r>
      <w:r w:rsidRPr="001B71FA">
        <w:t xml:space="preserve">, </w:t>
      </w:r>
      <w:r>
        <w:t>A</w:t>
      </w:r>
      <w:r w:rsidRPr="001B71FA">
        <w:t xml:space="preserve">ppendix </w:t>
      </w:r>
      <w:r>
        <w:t>E</w:t>
      </w:r>
      <w:r w:rsidRPr="001B71FA">
        <w:t xml:space="preserve">, pp. </w:t>
      </w:r>
      <w:r>
        <w:t>38–50.</w:t>
      </w:r>
    </w:p>
  </w:footnote>
  <w:footnote w:id="14">
    <w:p w:rsidR="00A5343B" w:rsidRDefault="00A5343B" w:rsidP="00454423">
      <w:pPr>
        <w:pStyle w:val="FootnoteText"/>
      </w:pPr>
      <w:r>
        <w:rPr>
          <w:rStyle w:val="FootnoteReference"/>
        </w:rPr>
        <w:footnoteRef/>
      </w:r>
      <w:r>
        <w:t xml:space="preserve"> </w:t>
      </w:r>
      <w:r>
        <w:tab/>
      </w:r>
      <w:proofErr w:type="gramStart"/>
      <w:r w:rsidRPr="000E0E90">
        <w:t xml:space="preserve">Powerlink, </w:t>
      </w:r>
      <w:r w:rsidRPr="000E0E90">
        <w:rPr>
          <w:i/>
        </w:rPr>
        <w:t>Revenue Proposal 2017–22, Appendix 16.01 Proposed Pricing Methodology (tracked changes)</w:t>
      </w:r>
      <w:r w:rsidRPr="000E0E90">
        <w:t xml:space="preserve">, </w:t>
      </w:r>
      <w:r>
        <w:t>section 6.12, p. 20.</w:t>
      </w:r>
      <w:proofErr w:type="gramEnd"/>
    </w:p>
  </w:footnote>
  <w:footnote w:id="15">
    <w:p w:rsidR="00A5343B" w:rsidRDefault="00A5343B">
      <w:pPr>
        <w:pStyle w:val="FootnoteText"/>
      </w:pPr>
      <w:r>
        <w:rPr>
          <w:rStyle w:val="FootnoteReference"/>
        </w:rPr>
        <w:footnoteRef/>
      </w:r>
      <w:r>
        <w:t xml:space="preserve"> </w:t>
      </w:r>
      <w:r>
        <w:tab/>
      </w:r>
      <w:r w:rsidRPr="00254C89">
        <w:t xml:space="preserve">Powerlink, </w:t>
      </w:r>
      <w:r w:rsidRPr="00254C89">
        <w:rPr>
          <w:i/>
        </w:rPr>
        <w:t>Revenue Proposal 2017–22</w:t>
      </w:r>
      <w:r w:rsidRPr="00254C89">
        <w:t>, p. 123.</w:t>
      </w:r>
    </w:p>
  </w:footnote>
  <w:footnote w:id="16">
    <w:p w:rsidR="00A5343B" w:rsidRDefault="00A5343B">
      <w:pPr>
        <w:pStyle w:val="FootnoteText"/>
      </w:pPr>
      <w:r>
        <w:rPr>
          <w:rStyle w:val="FootnoteReference"/>
        </w:rPr>
        <w:footnoteRef/>
      </w:r>
      <w:r>
        <w:t xml:space="preserve"> </w:t>
      </w:r>
      <w:r>
        <w:tab/>
      </w:r>
      <w:r w:rsidRPr="00254C89">
        <w:t xml:space="preserve">Powerlink, </w:t>
      </w:r>
      <w:r w:rsidRPr="00254C89">
        <w:rPr>
          <w:i/>
        </w:rPr>
        <w:t>Revenue Proposal 2017–22, Appendix 16.01 Proposed Pricing Methodology (tracked changes)</w:t>
      </w:r>
      <w:r w:rsidRPr="00254C89">
        <w:t>, section 6.2 and appendix D, pp. 6, 33 and 37.</w:t>
      </w:r>
    </w:p>
  </w:footnote>
  <w:footnote w:id="17">
    <w:p w:rsidR="00A5343B" w:rsidRDefault="00A5343B">
      <w:pPr>
        <w:pStyle w:val="FootnoteText"/>
      </w:pPr>
      <w:r>
        <w:rPr>
          <w:rStyle w:val="FootnoteReference"/>
        </w:rPr>
        <w:footnoteRef/>
      </w:r>
      <w:r>
        <w:t xml:space="preserve"> </w:t>
      </w:r>
      <w:r>
        <w:tab/>
      </w:r>
      <w:r w:rsidRPr="0030253C">
        <w:t xml:space="preserve">Powerlink, </w:t>
      </w:r>
      <w:r w:rsidRPr="0030253C">
        <w:rPr>
          <w:i/>
        </w:rPr>
        <w:t>Revenue Proposal 2017–22</w:t>
      </w:r>
      <w:r>
        <w:t>, p. 124.</w:t>
      </w:r>
    </w:p>
  </w:footnote>
  <w:footnote w:id="18">
    <w:p w:rsidR="00A5343B" w:rsidRDefault="00A5343B">
      <w:pPr>
        <w:pStyle w:val="FootnoteText"/>
      </w:pPr>
      <w:r>
        <w:rPr>
          <w:rStyle w:val="FootnoteReference"/>
        </w:rPr>
        <w:footnoteRef/>
      </w:r>
      <w:r>
        <w:t xml:space="preserve"> </w:t>
      </w:r>
      <w:r>
        <w:tab/>
      </w:r>
      <w:r w:rsidRPr="00B212A6">
        <w:t xml:space="preserve">Powerlink, </w:t>
      </w:r>
      <w:r w:rsidRPr="00B212A6">
        <w:rPr>
          <w:i/>
        </w:rPr>
        <w:t>Revenue Proposal 2017–22, Appendix 16.01 Proposed Pricing Methodology (tracked changes)</w:t>
      </w:r>
      <w:r w:rsidRPr="00B212A6">
        <w:t xml:space="preserve">, </w:t>
      </w:r>
      <w:r>
        <w:t>A</w:t>
      </w:r>
      <w:r w:rsidRPr="00B212A6">
        <w:t xml:space="preserve">ppendix </w:t>
      </w:r>
      <w:r>
        <w:t>E – Priority Ordering Methodology</w:t>
      </w:r>
      <w:r w:rsidRPr="00B212A6">
        <w:t xml:space="preserve">, pp. </w:t>
      </w:r>
      <w:r>
        <w:t xml:space="preserve">38–50. </w:t>
      </w:r>
    </w:p>
  </w:footnote>
  <w:footnote w:id="19">
    <w:p w:rsidR="00A5343B" w:rsidRDefault="00A5343B" w:rsidP="00230D1B">
      <w:pPr>
        <w:pStyle w:val="FootnoteText"/>
      </w:pPr>
      <w:r>
        <w:rPr>
          <w:rStyle w:val="FootnoteReference"/>
        </w:rPr>
        <w:footnoteRef/>
      </w:r>
      <w:r>
        <w:t xml:space="preserve"> </w:t>
      </w:r>
      <w:r>
        <w:tab/>
      </w:r>
      <w:r w:rsidRPr="00B411FD">
        <w:t xml:space="preserve">AEMC, </w:t>
      </w:r>
      <w:r w:rsidRPr="00B411FD">
        <w:rPr>
          <w:rStyle w:val="AERtextitalic"/>
        </w:rPr>
        <w:t>Rule Determination: National Electricity Amendment (Pricing of Prescribed Transmission Services) Rule 2006 No 22</w:t>
      </w:r>
      <w:r w:rsidRPr="00B411FD">
        <w:t>, 21 December 2006, pp. 27–8.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3B" w:rsidRDefault="00A534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D7521DC"/>
    <w:multiLevelType w:val="hybridMultilevel"/>
    <w:tmpl w:val="79E26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00C4B9E4"/>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1"/>
  </w:num>
  <w:num w:numId="15">
    <w:abstractNumId w:val="14"/>
  </w:num>
  <w:num w:numId="16">
    <w:abstractNumId w:val="23"/>
  </w:num>
  <w:num w:numId="17">
    <w:abstractNumId w:val="10"/>
  </w:num>
  <w:num w:numId="18">
    <w:abstractNumId w:val="16"/>
  </w:num>
  <w:num w:numId="19">
    <w:abstractNumId w:val="24"/>
  </w:num>
  <w:num w:numId="20">
    <w:abstractNumId w:val="30"/>
  </w:num>
  <w:num w:numId="21">
    <w:abstractNumId w:val="27"/>
  </w:num>
  <w:num w:numId="22">
    <w:abstractNumId w:val="25"/>
  </w:num>
  <w:num w:numId="23">
    <w:abstractNumId w:val="18"/>
  </w:num>
  <w:num w:numId="24">
    <w:abstractNumId w:val="26"/>
  </w:num>
  <w:num w:numId="25">
    <w:abstractNumId w:val="28"/>
  </w:num>
  <w:num w:numId="26">
    <w:abstractNumId w:val="20"/>
  </w:num>
  <w:num w:numId="27">
    <w:abstractNumId w:val="15"/>
  </w:num>
  <w:num w:numId="28">
    <w:abstractNumId w:val="32"/>
  </w:num>
  <w:num w:numId="29">
    <w:abstractNumId w:val="22"/>
  </w:num>
  <w:num w:numId="30">
    <w:abstractNumId w:val="9"/>
  </w:num>
  <w:num w:numId="31">
    <w:abstractNumId w:val="31"/>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8"/>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9"/>
  </w:num>
  <w:num w:numId="37">
    <w:abstractNumId w:val="28"/>
  </w:num>
  <w:num w:numId="38">
    <w:abstractNumId w:val="28"/>
  </w:num>
  <w:num w:numId="3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powerlink transmission determination - attachment 12 - pricing methodology - september 2016 (D2015-00167299).docx"/>
  </w:docVars>
  <w:rsids>
    <w:rsidRoot w:val="00961A4A"/>
    <w:rsid w:val="000051DC"/>
    <w:rsid w:val="0000658F"/>
    <w:rsid w:val="0001507B"/>
    <w:rsid w:val="00020016"/>
    <w:rsid w:val="00021202"/>
    <w:rsid w:val="00021C2B"/>
    <w:rsid w:val="0002498B"/>
    <w:rsid w:val="00024B7D"/>
    <w:rsid w:val="0002517F"/>
    <w:rsid w:val="00026187"/>
    <w:rsid w:val="000266FC"/>
    <w:rsid w:val="000273B3"/>
    <w:rsid w:val="00027E2D"/>
    <w:rsid w:val="0003578C"/>
    <w:rsid w:val="00044DA3"/>
    <w:rsid w:val="000474DF"/>
    <w:rsid w:val="00051CA2"/>
    <w:rsid w:val="00055A67"/>
    <w:rsid w:val="00063247"/>
    <w:rsid w:val="00064200"/>
    <w:rsid w:val="0006624E"/>
    <w:rsid w:val="00070F9F"/>
    <w:rsid w:val="0007137B"/>
    <w:rsid w:val="00073B74"/>
    <w:rsid w:val="00076416"/>
    <w:rsid w:val="000805A8"/>
    <w:rsid w:val="0008190B"/>
    <w:rsid w:val="000836D9"/>
    <w:rsid w:val="00085663"/>
    <w:rsid w:val="00085C1E"/>
    <w:rsid w:val="00085EBF"/>
    <w:rsid w:val="00091B15"/>
    <w:rsid w:val="00091DB1"/>
    <w:rsid w:val="00095186"/>
    <w:rsid w:val="000A0E71"/>
    <w:rsid w:val="000A1C0C"/>
    <w:rsid w:val="000A3020"/>
    <w:rsid w:val="000A4840"/>
    <w:rsid w:val="000A62C1"/>
    <w:rsid w:val="000A6A79"/>
    <w:rsid w:val="000A6C7B"/>
    <w:rsid w:val="000B0A7B"/>
    <w:rsid w:val="000B1173"/>
    <w:rsid w:val="000B5827"/>
    <w:rsid w:val="000B7037"/>
    <w:rsid w:val="000C02D1"/>
    <w:rsid w:val="000C2B40"/>
    <w:rsid w:val="000C3B82"/>
    <w:rsid w:val="000C5255"/>
    <w:rsid w:val="000D07A7"/>
    <w:rsid w:val="000D122C"/>
    <w:rsid w:val="000D75B0"/>
    <w:rsid w:val="000E0E90"/>
    <w:rsid w:val="000E1819"/>
    <w:rsid w:val="000E4821"/>
    <w:rsid w:val="000E4AA9"/>
    <w:rsid w:val="000E6C72"/>
    <w:rsid w:val="000E7F39"/>
    <w:rsid w:val="00100EA2"/>
    <w:rsid w:val="00101AA1"/>
    <w:rsid w:val="00102338"/>
    <w:rsid w:val="00104566"/>
    <w:rsid w:val="00104FF6"/>
    <w:rsid w:val="001055E2"/>
    <w:rsid w:val="001114AA"/>
    <w:rsid w:val="00116EB2"/>
    <w:rsid w:val="0012132C"/>
    <w:rsid w:val="00124609"/>
    <w:rsid w:val="00126A4C"/>
    <w:rsid w:val="001270E3"/>
    <w:rsid w:val="00132D43"/>
    <w:rsid w:val="00133366"/>
    <w:rsid w:val="00133F47"/>
    <w:rsid w:val="00134029"/>
    <w:rsid w:val="00137287"/>
    <w:rsid w:val="00142054"/>
    <w:rsid w:val="00142C2D"/>
    <w:rsid w:val="00144C96"/>
    <w:rsid w:val="0014573B"/>
    <w:rsid w:val="001463A3"/>
    <w:rsid w:val="0015073A"/>
    <w:rsid w:val="001546FB"/>
    <w:rsid w:val="001573E4"/>
    <w:rsid w:val="00160756"/>
    <w:rsid w:val="00161DC8"/>
    <w:rsid w:val="00166760"/>
    <w:rsid w:val="0017232E"/>
    <w:rsid w:val="00174102"/>
    <w:rsid w:val="001754EE"/>
    <w:rsid w:val="00180157"/>
    <w:rsid w:val="001809BC"/>
    <w:rsid w:val="00180E97"/>
    <w:rsid w:val="001820B4"/>
    <w:rsid w:val="00184351"/>
    <w:rsid w:val="00184AC8"/>
    <w:rsid w:val="00185CB9"/>
    <w:rsid w:val="00185DBE"/>
    <w:rsid w:val="00186ADC"/>
    <w:rsid w:val="00186F77"/>
    <w:rsid w:val="001877A4"/>
    <w:rsid w:val="001926A4"/>
    <w:rsid w:val="00192AD5"/>
    <w:rsid w:val="00194597"/>
    <w:rsid w:val="00194E00"/>
    <w:rsid w:val="0019745E"/>
    <w:rsid w:val="001A530D"/>
    <w:rsid w:val="001A5FB3"/>
    <w:rsid w:val="001A7155"/>
    <w:rsid w:val="001B45A0"/>
    <w:rsid w:val="001B680E"/>
    <w:rsid w:val="001B71FA"/>
    <w:rsid w:val="001D055E"/>
    <w:rsid w:val="001D0A35"/>
    <w:rsid w:val="001E1B3F"/>
    <w:rsid w:val="001E7161"/>
    <w:rsid w:val="001F05A4"/>
    <w:rsid w:val="001F3D4A"/>
    <w:rsid w:val="001F492E"/>
    <w:rsid w:val="001F64EF"/>
    <w:rsid w:val="001F6DA3"/>
    <w:rsid w:val="002006A7"/>
    <w:rsid w:val="002010BC"/>
    <w:rsid w:val="002016E7"/>
    <w:rsid w:val="00202E03"/>
    <w:rsid w:val="002033B9"/>
    <w:rsid w:val="002035C9"/>
    <w:rsid w:val="002043D0"/>
    <w:rsid w:val="0020492C"/>
    <w:rsid w:val="00204EC9"/>
    <w:rsid w:val="00206505"/>
    <w:rsid w:val="0020743F"/>
    <w:rsid w:val="00216C93"/>
    <w:rsid w:val="00223051"/>
    <w:rsid w:val="00224DB9"/>
    <w:rsid w:val="0022569A"/>
    <w:rsid w:val="00230D1B"/>
    <w:rsid w:val="00231012"/>
    <w:rsid w:val="00233775"/>
    <w:rsid w:val="0023414B"/>
    <w:rsid w:val="00243635"/>
    <w:rsid w:val="00244223"/>
    <w:rsid w:val="00247079"/>
    <w:rsid w:val="00251745"/>
    <w:rsid w:val="00254C89"/>
    <w:rsid w:val="002552BA"/>
    <w:rsid w:val="00260016"/>
    <w:rsid w:val="00263AC0"/>
    <w:rsid w:val="00264264"/>
    <w:rsid w:val="0026689B"/>
    <w:rsid w:val="0026772D"/>
    <w:rsid w:val="002730B2"/>
    <w:rsid w:val="00274C7E"/>
    <w:rsid w:val="002777CF"/>
    <w:rsid w:val="002810F2"/>
    <w:rsid w:val="0028436C"/>
    <w:rsid w:val="00286874"/>
    <w:rsid w:val="00290C63"/>
    <w:rsid w:val="00291A99"/>
    <w:rsid w:val="00293B6D"/>
    <w:rsid w:val="00294B08"/>
    <w:rsid w:val="0029518C"/>
    <w:rsid w:val="002963DD"/>
    <w:rsid w:val="00296B65"/>
    <w:rsid w:val="002A7DEF"/>
    <w:rsid w:val="002B0696"/>
    <w:rsid w:val="002B3317"/>
    <w:rsid w:val="002C0222"/>
    <w:rsid w:val="002C1499"/>
    <w:rsid w:val="002C233C"/>
    <w:rsid w:val="002C517B"/>
    <w:rsid w:val="002D3509"/>
    <w:rsid w:val="002D5457"/>
    <w:rsid w:val="002D72E8"/>
    <w:rsid w:val="002D79AD"/>
    <w:rsid w:val="002D7F16"/>
    <w:rsid w:val="002E268F"/>
    <w:rsid w:val="002E78DD"/>
    <w:rsid w:val="002E7B22"/>
    <w:rsid w:val="002F12EC"/>
    <w:rsid w:val="002F7986"/>
    <w:rsid w:val="00301B40"/>
    <w:rsid w:val="00301C82"/>
    <w:rsid w:val="0030253C"/>
    <w:rsid w:val="003029EE"/>
    <w:rsid w:val="00304D38"/>
    <w:rsid w:val="00305CC8"/>
    <w:rsid w:val="00307F6D"/>
    <w:rsid w:val="00314D83"/>
    <w:rsid w:val="0031571F"/>
    <w:rsid w:val="003177A2"/>
    <w:rsid w:val="00317E02"/>
    <w:rsid w:val="003239C3"/>
    <w:rsid w:val="003271B5"/>
    <w:rsid w:val="00327A1E"/>
    <w:rsid w:val="00327E28"/>
    <w:rsid w:val="00331264"/>
    <w:rsid w:val="00334C8D"/>
    <w:rsid w:val="003378BD"/>
    <w:rsid w:val="00341264"/>
    <w:rsid w:val="003424EA"/>
    <w:rsid w:val="00342C2F"/>
    <w:rsid w:val="003436EB"/>
    <w:rsid w:val="00343A18"/>
    <w:rsid w:val="00345744"/>
    <w:rsid w:val="003518B3"/>
    <w:rsid w:val="00353E79"/>
    <w:rsid w:val="00364AF6"/>
    <w:rsid w:val="00364EA0"/>
    <w:rsid w:val="00366981"/>
    <w:rsid w:val="00370678"/>
    <w:rsid w:val="0037214E"/>
    <w:rsid w:val="00372C85"/>
    <w:rsid w:val="00373845"/>
    <w:rsid w:val="003744E3"/>
    <w:rsid w:val="00375F71"/>
    <w:rsid w:val="00376219"/>
    <w:rsid w:val="0037663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A13"/>
    <w:rsid w:val="003C764A"/>
    <w:rsid w:val="003C78BA"/>
    <w:rsid w:val="003D3D14"/>
    <w:rsid w:val="003D41F1"/>
    <w:rsid w:val="003D42AB"/>
    <w:rsid w:val="003D5B94"/>
    <w:rsid w:val="003E0D3A"/>
    <w:rsid w:val="003E269C"/>
    <w:rsid w:val="003E3AAB"/>
    <w:rsid w:val="003E496E"/>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3597B"/>
    <w:rsid w:val="00445D43"/>
    <w:rsid w:val="00446CD2"/>
    <w:rsid w:val="00454423"/>
    <w:rsid w:val="004576C3"/>
    <w:rsid w:val="0045777E"/>
    <w:rsid w:val="00464ECC"/>
    <w:rsid w:val="00465258"/>
    <w:rsid w:val="00476221"/>
    <w:rsid w:val="004766F5"/>
    <w:rsid w:val="00480B4B"/>
    <w:rsid w:val="0048176D"/>
    <w:rsid w:val="004838D8"/>
    <w:rsid w:val="00485DC4"/>
    <w:rsid w:val="00490E27"/>
    <w:rsid w:val="00494D04"/>
    <w:rsid w:val="004A05A8"/>
    <w:rsid w:val="004A40BA"/>
    <w:rsid w:val="004A43D1"/>
    <w:rsid w:val="004B41C9"/>
    <w:rsid w:val="004B4412"/>
    <w:rsid w:val="004C348C"/>
    <w:rsid w:val="004C462E"/>
    <w:rsid w:val="004C4C05"/>
    <w:rsid w:val="004C6CA3"/>
    <w:rsid w:val="004C7F5E"/>
    <w:rsid w:val="004D343C"/>
    <w:rsid w:val="004D372A"/>
    <w:rsid w:val="004D55BA"/>
    <w:rsid w:val="004D720C"/>
    <w:rsid w:val="004E0FA7"/>
    <w:rsid w:val="004E22EC"/>
    <w:rsid w:val="004F0BF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0D18"/>
    <w:rsid w:val="00542FE9"/>
    <w:rsid w:val="00544598"/>
    <w:rsid w:val="00544C8D"/>
    <w:rsid w:val="00544D8F"/>
    <w:rsid w:val="00544DFD"/>
    <w:rsid w:val="00556B1E"/>
    <w:rsid w:val="00564A4D"/>
    <w:rsid w:val="0056598C"/>
    <w:rsid w:val="00566501"/>
    <w:rsid w:val="00566E0B"/>
    <w:rsid w:val="00567BA5"/>
    <w:rsid w:val="00571B35"/>
    <w:rsid w:val="00571B43"/>
    <w:rsid w:val="00571D57"/>
    <w:rsid w:val="00573A3B"/>
    <w:rsid w:val="005759A7"/>
    <w:rsid w:val="00577716"/>
    <w:rsid w:val="00577A09"/>
    <w:rsid w:val="00580D3C"/>
    <w:rsid w:val="005829C2"/>
    <w:rsid w:val="00584D8F"/>
    <w:rsid w:val="00587A18"/>
    <w:rsid w:val="005A0BEC"/>
    <w:rsid w:val="005A404D"/>
    <w:rsid w:val="005B1E3C"/>
    <w:rsid w:val="005B6518"/>
    <w:rsid w:val="005B704A"/>
    <w:rsid w:val="005B72D7"/>
    <w:rsid w:val="005C045F"/>
    <w:rsid w:val="005C16FE"/>
    <w:rsid w:val="005C1FAB"/>
    <w:rsid w:val="005C21A4"/>
    <w:rsid w:val="005C26CC"/>
    <w:rsid w:val="005C3F2E"/>
    <w:rsid w:val="005D0B29"/>
    <w:rsid w:val="005D3D88"/>
    <w:rsid w:val="005D48C4"/>
    <w:rsid w:val="005D6208"/>
    <w:rsid w:val="005D6366"/>
    <w:rsid w:val="005D7BA2"/>
    <w:rsid w:val="005E2262"/>
    <w:rsid w:val="005E36C2"/>
    <w:rsid w:val="005E4AF4"/>
    <w:rsid w:val="005E6490"/>
    <w:rsid w:val="005F07CD"/>
    <w:rsid w:val="005F387E"/>
    <w:rsid w:val="005F4B39"/>
    <w:rsid w:val="00601E0B"/>
    <w:rsid w:val="0060258B"/>
    <w:rsid w:val="00610EF9"/>
    <w:rsid w:val="00612F4F"/>
    <w:rsid w:val="00614EA0"/>
    <w:rsid w:val="00615C6B"/>
    <w:rsid w:val="0061697E"/>
    <w:rsid w:val="00617D4C"/>
    <w:rsid w:val="00621DCE"/>
    <w:rsid w:val="00621FC5"/>
    <w:rsid w:val="00624D73"/>
    <w:rsid w:val="00624F2C"/>
    <w:rsid w:val="00632D6D"/>
    <w:rsid w:val="006360CE"/>
    <w:rsid w:val="00636569"/>
    <w:rsid w:val="00636EF9"/>
    <w:rsid w:val="00642C3E"/>
    <w:rsid w:val="00644A01"/>
    <w:rsid w:val="00651E2D"/>
    <w:rsid w:val="00652324"/>
    <w:rsid w:val="006577FB"/>
    <w:rsid w:val="00657BBE"/>
    <w:rsid w:val="0066104A"/>
    <w:rsid w:val="00663066"/>
    <w:rsid w:val="00663DAD"/>
    <w:rsid w:val="00664206"/>
    <w:rsid w:val="006649E7"/>
    <w:rsid w:val="00665F85"/>
    <w:rsid w:val="00666634"/>
    <w:rsid w:val="00671692"/>
    <w:rsid w:val="0067423D"/>
    <w:rsid w:val="00675E20"/>
    <w:rsid w:val="00676679"/>
    <w:rsid w:val="00683C89"/>
    <w:rsid w:val="00691B53"/>
    <w:rsid w:val="00697D0B"/>
    <w:rsid w:val="006A12BA"/>
    <w:rsid w:val="006A66A1"/>
    <w:rsid w:val="006B032D"/>
    <w:rsid w:val="006B2395"/>
    <w:rsid w:val="006B40AC"/>
    <w:rsid w:val="006B4CF9"/>
    <w:rsid w:val="006B797C"/>
    <w:rsid w:val="006B7AC8"/>
    <w:rsid w:val="006C1736"/>
    <w:rsid w:val="006C329B"/>
    <w:rsid w:val="006C6303"/>
    <w:rsid w:val="006D471D"/>
    <w:rsid w:val="006D550F"/>
    <w:rsid w:val="006D6146"/>
    <w:rsid w:val="006D7F7E"/>
    <w:rsid w:val="006E0CFF"/>
    <w:rsid w:val="006E25F7"/>
    <w:rsid w:val="006E380B"/>
    <w:rsid w:val="006F0D92"/>
    <w:rsid w:val="006F2547"/>
    <w:rsid w:val="006F267D"/>
    <w:rsid w:val="0070011E"/>
    <w:rsid w:val="00701CAB"/>
    <w:rsid w:val="007023BB"/>
    <w:rsid w:val="00704DD7"/>
    <w:rsid w:val="00707563"/>
    <w:rsid w:val="00715F61"/>
    <w:rsid w:val="00722132"/>
    <w:rsid w:val="007228F7"/>
    <w:rsid w:val="0072348C"/>
    <w:rsid w:val="00724A37"/>
    <w:rsid w:val="007300C6"/>
    <w:rsid w:val="007303C3"/>
    <w:rsid w:val="00731188"/>
    <w:rsid w:val="007356CC"/>
    <w:rsid w:val="007368E6"/>
    <w:rsid w:val="007375DF"/>
    <w:rsid w:val="007429BE"/>
    <w:rsid w:val="00743223"/>
    <w:rsid w:val="00743349"/>
    <w:rsid w:val="0074403A"/>
    <w:rsid w:val="00746E01"/>
    <w:rsid w:val="00751DCD"/>
    <w:rsid w:val="0075449F"/>
    <w:rsid w:val="00755084"/>
    <w:rsid w:val="00757364"/>
    <w:rsid w:val="00757BDF"/>
    <w:rsid w:val="007609D0"/>
    <w:rsid w:val="00761454"/>
    <w:rsid w:val="0076193D"/>
    <w:rsid w:val="00763E5D"/>
    <w:rsid w:val="00767740"/>
    <w:rsid w:val="00767B5E"/>
    <w:rsid w:val="007703B0"/>
    <w:rsid w:val="00775460"/>
    <w:rsid w:val="00777EE6"/>
    <w:rsid w:val="00782EEA"/>
    <w:rsid w:val="007909B4"/>
    <w:rsid w:val="00790E86"/>
    <w:rsid w:val="007949D7"/>
    <w:rsid w:val="007A0143"/>
    <w:rsid w:val="007A34C2"/>
    <w:rsid w:val="007A396C"/>
    <w:rsid w:val="007B0BE3"/>
    <w:rsid w:val="007B1816"/>
    <w:rsid w:val="007B186E"/>
    <w:rsid w:val="007B25DC"/>
    <w:rsid w:val="007B2C72"/>
    <w:rsid w:val="007B3789"/>
    <w:rsid w:val="007B3E85"/>
    <w:rsid w:val="007B651F"/>
    <w:rsid w:val="007B7BB5"/>
    <w:rsid w:val="007C1C53"/>
    <w:rsid w:val="007C284C"/>
    <w:rsid w:val="007C4B82"/>
    <w:rsid w:val="007C74BB"/>
    <w:rsid w:val="007C7F64"/>
    <w:rsid w:val="007D0A95"/>
    <w:rsid w:val="007D0EB5"/>
    <w:rsid w:val="007D112D"/>
    <w:rsid w:val="007D456E"/>
    <w:rsid w:val="007D5837"/>
    <w:rsid w:val="007E4904"/>
    <w:rsid w:val="007E4CB5"/>
    <w:rsid w:val="007E4DAE"/>
    <w:rsid w:val="007E73F7"/>
    <w:rsid w:val="007F066B"/>
    <w:rsid w:val="007F264A"/>
    <w:rsid w:val="007F4EAB"/>
    <w:rsid w:val="007F5446"/>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658A1"/>
    <w:rsid w:val="0086716A"/>
    <w:rsid w:val="00870613"/>
    <w:rsid w:val="0087380F"/>
    <w:rsid w:val="0087648F"/>
    <w:rsid w:val="00876612"/>
    <w:rsid w:val="00882BB1"/>
    <w:rsid w:val="008837AC"/>
    <w:rsid w:val="00883F4A"/>
    <w:rsid w:val="008909DC"/>
    <w:rsid w:val="00894255"/>
    <w:rsid w:val="008945AD"/>
    <w:rsid w:val="008A0645"/>
    <w:rsid w:val="008A1C02"/>
    <w:rsid w:val="008A370D"/>
    <w:rsid w:val="008A587D"/>
    <w:rsid w:val="008B16B0"/>
    <w:rsid w:val="008B1BD5"/>
    <w:rsid w:val="008B297D"/>
    <w:rsid w:val="008B35CD"/>
    <w:rsid w:val="008B4093"/>
    <w:rsid w:val="008B5FCC"/>
    <w:rsid w:val="008B7F36"/>
    <w:rsid w:val="008C357F"/>
    <w:rsid w:val="008C5486"/>
    <w:rsid w:val="008C751F"/>
    <w:rsid w:val="008D1661"/>
    <w:rsid w:val="008D27E0"/>
    <w:rsid w:val="008D4A51"/>
    <w:rsid w:val="008D5F90"/>
    <w:rsid w:val="008D6800"/>
    <w:rsid w:val="008D72F1"/>
    <w:rsid w:val="008E02ED"/>
    <w:rsid w:val="008E31BB"/>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27CE5"/>
    <w:rsid w:val="00930B1A"/>
    <w:rsid w:val="00932612"/>
    <w:rsid w:val="009327DC"/>
    <w:rsid w:val="009338D9"/>
    <w:rsid w:val="009339BD"/>
    <w:rsid w:val="009356CF"/>
    <w:rsid w:val="00945E53"/>
    <w:rsid w:val="009460AA"/>
    <w:rsid w:val="0094672A"/>
    <w:rsid w:val="00951978"/>
    <w:rsid w:val="00961A4A"/>
    <w:rsid w:val="009661DE"/>
    <w:rsid w:val="00972C7C"/>
    <w:rsid w:val="009776F4"/>
    <w:rsid w:val="009826CA"/>
    <w:rsid w:val="00982DA2"/>
    <w:rsid w:val="00983C25"/>
    <w:rsid w:val="0098466D"/>
    <w:rsid w:val="009856B7"/>
    <w:rsid w:val="00985859"/>
    <w:rsid w:val="00985C86"/>
    <w:rsid w:val="009A5FC3"/>
    <w:rsid w:val="009B6F84"/>
    <w:rsid w:val="009B74B0"/>
    <w:rsid w:val="009C0152"/>
    <w:rsid w:val="009C1A74"/>
    <w:rsid w:val="009C3D42"/>
    <w:rsid w:val="009C491E"/>
    <w:rsid w:val="009C5BF7"/>
    <w:rsid w:val="009D0DF1"/>
    <w:rsid w:val="009D22D6"/>
    <w:rsid w:val="009D2C84"/>
    <w:rsid w:val="009D3906"/>
    <w:rsid w:val="009D6B46"/>
    <w:rsid w:val="009E35B6"/>
    <w:rsid w:val="009E5ABC"/>
    <w:rsid w:val="009F43B4"/>
    <w:rsid w:val="009F4940"/>
    <w:rsid w:val="009F5BA1"/>
    <w:rsid w:val="00A00F2E"/>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3409"/>
    <w:rsid w:val="00A5343B"/>
    <w:rsid w:val="00A53796"/>
    <w:rsid w:val="00A53848"/>
    <w:rsid w:val="00A56945"/>
    <w:rsid w:val="00A56A6E"/>
    <w:rsid w:val="00A57D04"/>
    <w:rsid w:val="00A60A26"/>
    <w:rsid w:val="00A61598"/>
    <w:rsid w:val="00A61777"/>
    <w:rsid w:val="00A63646"/>
    <w:rsid w:val="00A63914"/>
    <w:rsid w:val="00A63989"/>
    <w:rsid w:val="00A84A99"/>
    <w:rsid w:val="00A84F46"/>
    <w:rsid w:val="00A8690D"/>
    <w:rsid w:val="00A86AEA"/>
    <w:rsid w:val="00A871F4"/>
    <w:rsid w:val="00A9431A"/>
    <w:rsid w:val="00A95988"/>
    <w:rsid w:val="00A959DF"/>
    <w:rsid w:val="00A96715"/>
    <w:rsid w:val="00A97A1B"/>
    <w:rsid w:val="00AA2927"/>
    <w:rsid w:val="00AB2CB8"/>
    <w:rsid w:val="00AB4617"/>
    <w:rsid w:val="00AB745A"/>
    <w:rsid w:val="00AC1B2C"/>
    <w:rsid w:val="00AC3264"/>
    <w:rsid w:val="00AC46AD"/>
    <w:rsid w:val="00AC4D2D"/>
    <w:rsid w:val="00AC58EC"/>
    <w:rsid w:val="00AC7282"/>
    <w:rsid w:val="00AC7961"/>
    <w:rsid w:val="00AD1D13"/>
    <w:rsid w:val="00AD314E"/>
    <w:rsid w:val="00AD5FCD"/>
    <w:rsid w:val="00AD6B48"/>
    <w:rsid w:val="00AD7A3A"/>
    <w:rsid w:val="00AE1BF1"/>
    <w:rsid w:val="00AE23AB"/>
    <w:rsid w:val="00AE58FB"/>
    <w:rsid w:val="00AE5AF0"/>
    <w:rsid w:val="00AE663D"/>
    <w:rsid w:val="00AE73B3"/>
    <w:rsid w:val="00AF07E7"/>
    <w:rsid w:val="00AF0DD2"/>
    <w:rsid w:val="00AF193B"/>
    <w:rsid w:val="00AF31E1"/>
    <w:rsid w:val="00AF3BBA"/>
    <w:rsid w:val="00AF4231"/>
    <w:rsid w:val="00B00B0E"/>
    <w:rsid w:val="00B00B26"/>
    <w:rsid w:val="00B02385"/>
    <w:rsid w:val="00B02F9D"/>
    <w:rsid w:val="00B05766"/>
    <w:rsid w:val="00B13048"/>
    <w:rsid w:val="00B13883"/>
    <w:rsid w:val="00B15B0C"/>
    <w:rsid w:val="00B1716D"/>
    <w:rsid w:val="00B17A1D"/>
    <w:rsid w:val="00B207A0"/>
    <w:rsid w:val="00B212A6"/>
    <w:rsid w:val="00B21C21"/>
    <w:rsid w:val="00B22F54"/>
    <w:rsid w:val="00B24A7E"/>
    <w:rsid w:val="00B25C0C"/>
    <w:rsid w:val="00B26A07"/>
    <w:rsid w:val="00B304B5"/>
    <w:rsid w:val="00B308A9"/>
    <w:rsid w:val="00B31047"/>
    <w:rsid w:val="00B33148"/>
    <w:rsid w:val="00B35CDF"/>
    <w:rsid w:val="00B405A1"/>
    <w:rsid w:val="00B4438A"/>
    <w:rsid w:val="00B45AA2"/>
    <w:rsid w:val="00B479CA"/>
    <w:rsid w:val="00B5084F"/>
    <w:rsid w:val="00B514DD"/>
    <w:rsid w:val="00B52AF0"/>
    <w:rsid w:val="00B53D5F"/>
    <w:rsid w:val="00B54051"/>
    <w:rsid w:val="00B55EE9"/>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2365"/>
    <w:rsid w:val="00BC416B"/>
    <w:rsid w:val="00BC4A10"/>
    <w:rsid w:val="00BD216E"/>
    <w:rsid w:val="00BD30F4"/>
    <w:rsid w:val="00BD3446"/>
    <w:rsid w:val="00BD49E3"/>
    <w:rsid w:val="00BD59CF"/>
    <w:rsid w:val="00BE0791"/>
    <w:rsid w:val="00BE1312"/>
    <w:rsid w:val="00BE1F1B"/>
    <w:rsid w:val="00BE3F89"/>
    <w:rsid w:val="00BE47B5"/>
    <w:rsid w:val="00BE5FCE"/>
    <w:rsid w:val="00BF3686"/>
    <w:rsid w:val="00C0079E"/>
    <w:rsid w:val="00C0572A"/>
    <w:rsid w:val="00C12E4B"/>
    <w:rsid w:val="00C13EBD"/>
    <w:rsid w:val="00C1631B"/>
    <w:rsid w:val="00C170F0"/>
    <w:rsid w:val="00C25962"/>
    <w:rsid w:val="00C25FA6"/>
    <w:rsid w:val="00C3099D"/>
    <w:rsid w:val="00C33011"/>
    <w:rsid w:val="00C362C1"/>
    <w:rsid w:val="00C41950"/>
    <w:rsid w:val="00C42C3B"/>
    <w:rsid w:val="00C4665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89E"/>
    <w:rsid w:val="00CA6F0F"/>
    <w:rsid w:val="00CB0279"/>
    <w:rsid w:val="00CB4522"/>
    <w:rsid w:val="00CB666B"/>
    <w:rsid w:val="00CB734B"/>
    <w:rsid w:val="00CB7BA2"/>
    <w:rsid w:val="00CC41B6"/>
    <w:rsid w:val="00CC7ADA"/>
    <w:rsid w:val="00CC7F1D"/>
    <w:rsid w:val="00CD0A88"/>
    <w:rsid w:val="00CD125D"/>
    <w:rsid w:val="00CD283C"/>
    <w:rsid w:val="00CD3641"/>
    <w:rsid w:val="00CD5A7E"/>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5607F"/>
    <w:rsid w:val="00D575BE"/>
    <w:rsid w:val="00D61388"/>
    <w:rsid w:val="00D61A54"/>
    <w:rsid w:val="00D62108"/>
    <w:rsid w:val="00D64AA4"/>
    <w:rsid w:val="00D64DEA"/>
    <w:rsid w:val="00D64F84"/>
    <w:rsid w:val="00D663CD"/>
    <w:rsid w:val="00D6726A"/>
    <w:rsid w:val="00D7001B"/>
    <w:rsid w:val="00D714C4"/>
    <w:rsid w:val="00D7160D"/>
    <w:rsid w:val="00D7168E"/>
    <w:rsid w:val="00D71E57"/>
    <w:rsid w:val="00D72D27"/>
    <w:rsid w:val="00D7786B"/>
    <w:rsid w:val="00D80893"/>
    <w:rsid w:val="00D82519"/>
    <w:rsid w:val="00D82A48"/>
    <w:rsid w:val="00D84854"/>
    <w:rsid w:val="00D924AE"/>
    <w:rsid w:val="00D92CF1"/>
    <w:rsid w:val="00D92D38"/>
    <w:rsid w:val="00D950F5"/>
    <w:rsid w:val="00D97379"/>
    <w:rsid w:val="00DA12E0"/>
    <w:rsid w:val="00DA4752"/>
    <w:rsid w:val="00DA4C09"/>
    <w:rsid w:val="00DA5BCE"/>
    <w:rsid w:val="00DA61F3"/>
    <w:rsid w:val="00DA73D5"/>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D6DC7"/>
    <w:rsid w:val="00DE1093"/>
    <w:rsid w:val="00DE4EFA"/>
    <w:rsid w:val="00DE5520"/>
    <w:rsid w:val="00DE563D"/>
    <w:rsid w:val="00DF0152"/>
    <w:rsid w:val="00DF05D4"/>
    <w:rsid w:val="00DF1958"/>
    <w:rsid w:val="00E04818"/>
    <w:rsid w:val="00E06442"/>
    <w:rsid w:val="00E06952"/>
    <w:rsid w:val="00E13FD3"/>
    <w:rsid w:val="00E157B2"/>
    <w:rsid w:val="00E16055"/>
    <w:rsid w:val="00E16E91"/>
    <w:rsid w:val="00E17BE5"/>
    <w:rsid w:val="00E22E52"/>
    <w:rsid w:val="00E2332D"/>
    <w:rsid w:val="00E23993"/>
    <w:rsid w:val="00E2574F"/>
    <w:rsid w:val="00E25951"/>
    <w:rsid w:val="00E25B8C"/>
    <w:rsid w:val="00E31CF6"/>
    <w:rsid w:val="00E32321"/>
    <w:rsid w:val="00E34A4A"/>
    <w:rsid w:val="00E35AFC"/>
    <w:rsid w:val="00E36988"/>
    <w:rsid w:val="00E41D39"/>
    <w:rsid w:val="00E44BBA"/>
    <w:rsid w:val="00E457C3"/>
    <w:rsid w:val="00E46F50"/>
    <w:rsid w:val="00E50A02"/>
    <w:rsid w:val="00E54106"/>
    <w:rsid w:val="00E54697"/>
    <w:rsid w:val="00E57A08"/>
    <w:rsid w:val="00E63631"/>
    <w:rsid w:val="00E64C2A"/>
    <w:rsid w:val="00E65C85"/>
    <w:rsid w:val="00E66199"/>
    <w:rsid w:val="00E70526"/>
    <w:rsid w:val="00E71FA3"/>
    <w:rsid w:val="00E754B4"/>
    <w:rsid w:val="00E755EC"/>
    <w:rsid w:val="00E7624D"/>
    <w:rsid w:val="00E80A0F"/>
    <w:rsid w:val="00E81724"/>
    <w:rsid w:val="00E819A4"/>
    <w:rsid w:val="00E833FA"/>
    <w:rsid w:val="00E84B74"/>
    <w:rsid w:val="00E87066"/>
    <w:rsid w:val="00E936C9"/>
    <w:rsid w:val="00E94D27"/>
    <w:rsid w:val="00E966BF"/>
    <w:rsid w:val="00E971E1"/>
    <w:rsid w:val="00EA0C04"/>
    <w:rsid w:val="00EA3D42"/>
    <w:rsid w:val="00EA5EB5"/>
    <w:rsid w:val="00EA6B1B"/>
    <w:rsid w:val="00EB1CBD"/>
    <w:rsid w:val="00EB3A34"/>
    <w:rsid w:val="00EB3C3F"/>
    <w:rsid w:val="00EC04F1"/>
    <w:rsid w:val="00EC05A3"/>
    <w:rsid w:val="00EC237F"/>
    <w:rsid w:val="00EC573A"/>
    <w:rsid w:val="00ED35C8"/>
    <w:rsid w:val="00ED3968"/>
    <w:rsid w:val="00ED7323"/>
    <w:rsid w:val="00EE105B"/>
    <w:rsid w:val="00EE28F3"/>
    <w:rsid w:val="00EE50D1"/>
    <w:rsid w:val="00EE7614"/>
    <w:rsid w:val="00EF5110"/>
    <w:rsid w:val="00EF5890"/>
    <w:rsid w:val="00EF76BA"/>
    <w:rsid w:val="00EF7B5A"/>
    <w:rsid w:val="00F0231A"/>
    <w:rsid w:val="00F03463"/>
    <w:rsid w:val="00F036B7"/>
    <w:rsid w:val="00F0700F"/>
    <w:rsid w:val="00F07F1F"/>
    <w:rsid w:val="00F10411"/>
    <w:rsid w:val="00F10A9A"/>
    <w:rsid w:val="00F10C50"/>
    <w:rsid w:val="00F11B2D"/>
    <w:rsid w:val="00F121C2"/>
    <w:rsid w:val="00F1485B"/>
    <w:rsid w:val="00F15882"/>
    <w:rsid w:val="00F170C7"/>
    <w:rsid w:val="00F171E0"/>
    <w:rsid w:val="00F20BD3"/>
    <w:rsid w:val="00F2173C"/>
    <w:rsid w:val="00F322E9"/>
    <w:rsid w:val="00F3231B"/>
    <w:rsid w:val="00F33808"/>
    <w:rsid w:val="00F373A5"/>
    <w:rsid w:val="00F37718"/>
    <w:rsid w:val="00F37864"/>
    <w:rsid w:val="00F404F9"/>
    <w:rsid w:val="00F44B0A"/>
    <w:rsid w:val="00F46ACA"/>
    <w:rsid w:val="00F47559"/>
    <w:rsid w:val="00F50B30"/>
    <w:rsid w:val="00F51F5F"/>
    <w:rsid w:val="00F52D75"/>
    <w:rsid w:val="00F55582"/>
    <w:rsid w:val="00F57647"/>
    <w:rsid w:val="00F62A14"/>
    <w:rsid w:val="00F64C7B"/>
    <w:rsid w:val="00F676DD"/>
    <w:rsid w:val="00F67AB6"/>
    <w:rsid w:val="00F70028"/>
    <w:rsid w:val="00F70434"/>
    <w:rsid w:val="00F75A26"/>
    <w:rsid w:val="00F75F8B"/>
    <w:rsid w:val="00F76706"/>
    <w:rsid w:val="00F77D6D"/>
    <w:rsid w:val="00F80206"/>
    <w:rsid w:val="00F83034"/>
    <w:rsid w:val="00F83FAD"/>
    <w:rsid w:val="00F844C6"/>
    <w:rsid w:val="00F92FA6"/>
    <w:rsid w:val="00F9353B"/>
    <w:rsid w:val="00F937F1"/>
    <w:rsid w:val="00F952A0"/>
    <w:rsid w:val="00FA31B1"/>
    <w:rsid w:val="00FA3320"/>
    <w:rsid w:val="00FA3A8E"/>
    <w:rsid w:val="00FA3C7F"/>
    <w:rsid w:val="00FA506B"/>
    <w:rsid w:val="00FA6246"/>
    <w:rsid w:val="00FB24ED"/>
    <w:rsid w:val="00FB3304"/>
    <w:rsid w:val="00FB5005"/>
    <w:rsid w:val="00FB60FE"/>
    <w:rsid w:val="00FB74E2"/>
    <w:rsid w:val="00FB778B"/>
    <w:rsid w:val="00FB7B57"/>
    <w:rsid w:val="00FD5614"/>
    <w:rsid w:val="00FD5E78"/>
    <w:rsid w:val="00FE0BE1"/>
    <w:rsid w:val="00FE11BB"/>
    <w:rsid w:val="00FE1DE9"/>
    <w:rsid w:val="00FE36AF"/>
    <w:rsid w:val="00FE39C2"/>
    <w:rsid w:val="00FE3C32"/>
    <w:rsid w:val="00FE64AE"/>
    <w:rsid w:val="00FF1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03796433">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10753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F4164522.dotm</Template>
  <TotalTime>0</TotalTime>
  <Pages>16</Pages>
  <Words>3532</Words>
  <Characters>20134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AER draft decision - Powerlink - Attachment 12 - Pricing methodology</vt:lpstr>
    </vt:vector>
  </TitlesOfParts>
  <LinksUpToDate>false</LinksUpToDate>
  <CharactersWithSpaces>23619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Powerlink - Attachment 12 - Pricing methodology</dc:title>
  <dc:creator/>
  <cp:lastModifiedBy/>
  <cp:revision>1</cp:revision>
  <dcterms:created xsi:type="dcterms:W3CDTF">2016-09-28T00:14:00Z</dcterms:created>
  <dcterms:modified xsi:type="dcterms:W3CDTF">2016-09-28T00:14:00Z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powerlink transmission determination - attachment 12 - pricing methodology - september 2016 (D2015-00167299).docx</vt:lpwstr>
  </property>
</Properties>
</file>