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5A6010" w:rsidP="00290C63">
          <w:r w:rsidRPr="005A6010">
            <w:rPr>
              <w:noProof/>
              <w:lang w:eastAsia="en-AU"/>
            </w:rPr>
            <w:drawing>
              <wp:anchor distT="0" distB="0" distL="114300" distR="114300" simplePos="0" relativeHeight="251661312" behindDoc="1" locked="0" layoutInCell="1" allowOverlap="1" wp14:anchorId="37193DAF" wp14:editId="5E603358">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2B9EAFD4" wp14:editId="01CC3156">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0474DF">
            <w:t>DRAFT</w:t>
          </w:r>
          <w:r w:rsidR="00DA4752">
            <w:t xml:space="preserve"> DECISION</w:t>
          </w:r>
        </w:p>
        <w:p w:rsidR="00415F31" w:rsidRDefault="000474DF" w:rsidP="008F07A3">
          <w:pPr>
            <w:pStyle w:val="ReportSubtitle"/>
          </w:pPr>
          <w:r>
            <w:t>Powerlink</w:t>
          </w:r>
          <w:r w:rsidR="006A66A1">
            <w:t xml:space="preserve"> transmission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t>1</w:t>
          </w:r>
          <w:r w:rsidR="000474DF">
            <w:t>8 to 2021</w:t>
          </w:r>
          <w:r>
            <w:rPr>
              <w:rFonts w:cs="Arial"/>
            </w:rPr>
            <w:t>−</w:t>
          </w:r>
          <w:r w:rsidR="000474DF">
            <w:t>22</w:t>
          </w:r>
        </w:p>
        <w:p w:rsidR="008F07A3" w:rsidRPr="000A6C7B" w:rsidRDefault="008F07A3" w:rsidP="008F07A3">
          <w:pPr>
            <w:pStyle w:val="ReportSubtitle"/>
          </w:pPr>
        </w:p>
        <w:p w:rsidR="000A6C7B" w:rsidRDefault="000474DF" w:rsidP="008F07A3">
          <w:pPr>
            <w:pStyle w:val="ReportSubtitle"/>
          </w:pPr>
          <w:r>
            <w:t xml:space="preserve">Attachment 14 </w:t>
          </w:r>
          <w:r w:rsidR="008A569E">
            <w:t>–</w:t>
          </w:r>
          <w:r>
            <w:t xml:space="preserve"> Negotiated services</w:t>
          </w:r>
        </w:p>
        <w:p w:rsidR="000A6C7B" w:rsidRPr="00327A1E" w:rsidRDefault="000474DF" w:rsidP="00327A1E">
          <w:pPr>
            <w:pStyle w:val="ReportDate"/>
          </w:pPr>
          <w:r>
            <w:t>September 2016</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3E1564">
        <w:t>1</w:t>
      </w:r>
      <w:r w:rsidR="00BA4926">
        <w:t>3</w:t>
      </w:r>
      <w:bookmarkStart w:id="1" w:name="_GoBack"/>
      <w:bookmarkEnd w:id="1"/>
      <w:r w:rsidR="003E1564">
        <w:t>00 585 165</w:t>
      </w:r>
      <w:r>
        <w:b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62753012"/>
      <w:r>
        <w:lastRenderedPageBreak/>
        <w:t>Note</w:t>
      </w:r>
      <w:bookmarkEnd w:id="2"/>
      <w:bookmarkEnd w:id="3"/>
      <w:bookmarkEnd w:id="4"/>
    </w:p>
    <w:p w:rsidR="00761454" w:rsidRDefault="00761454" w:rsidP="00761454">
      <w:pPr>
        <w:numPr>
          <w:ilvl w:val="0"/>
          <w:numId w:val="24"/>
        </w:numPr>
      </w:pPr>
      <w:r>
        <w:t xml:space="preserve">This </w:t>
      </w:r>
      <w:r w:rsidR="00043F0A">
        <w:t xml:space="preserve">attachment </w:t>
      </w:r>
      <w:r>
        <w:t xml:space="preserve">forms part of the AER's </w:t>
      </w:r>
      <w:r w:rsidR="000474DF">
        <w:t xml:space="preserve">draft </w:t>
      </w:r>
      <w:r>
        <w:t xml:space="preserve">decision on </w:t>
      </w:r>
      <w:r w:rsidR="000474DF">
        <w:t>Powerlink's</w:t>
      </w:r>
      <w:r>
        <w:t xml:space="preserve"> transmission determination for 201</w:t>
      </w:r>
      <w:r w:rsidR="000474DF">
        <w:t>7</w:t>
      </w:r>
      <w:r w:rsidRPr="00F02D30">
        <w:t>–</w:t>
      </w:r>
      <w:r w:rsidR="000474DF">
        <w:t>22</w:t>
      </w:r>
      <w:r>
        <w:t xml:space="preserve">. It should be read with </w:t>
      </w:r>
      <w:r w:rsidR="000474DF">
        <w:t xml:space="preserve">all </w:t>
      </w:r>
      <w:r>
        <w:t xml:space="preserve">other parts of the </w:t>
      </w:r>
      <w:r w:rsidR="000474DF">
        <w:t>draft</w:t>
      </w:r>
      <w:r>
        <w:t xml:space="preserve"> decision.</w:t>
      </w:r>
    </w:p>
    <w:p w:rsidR="00761454" w:rsidRDefault="00761454" w:rsidP="00761454">
      <w:pPr>
        <w:numPr>
          <w:ilvl w:val="0"/>
          <w:numId w:val="24"/>
        </w:numPr>
      </w:pPr>
      <w:r>
        <w:t xml:space="preserve">The </w:t>
      </w:r>
      <w:r w:rsidR="000474DF">
        <w:t>draft</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Attachment 1 – M</w:t>
      </w:r>
      <w:r w:rsidR="00761454">
        <w:t>aximum allowed revenue</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0474DF">
        <w:t>P</w:t>
      </w:r>
      <w:r w:rsidRPr="00F02D30">
        <w:t>ricing methodology</w:t>
      </w:r>
    </w:p>
    <w:p w:rsidR="00761454" w:rsidRPr="00F02D30" w:rsidRDefault="00761454" w:rsidP="00761454">
      <w:pPr>
        <w:numPr>
          <w:ilvl w:val="0"/>
          <w:numId w:val="24"/>
        </w:numPr>
      </w:pPr>
      <w:r>
        <w:t xml:space="preserve">Attachment 13 </w:t>
      </w:r>
      <w:r w:rsidR="000474DF">
        <w:t>– P</w:t>
      </w:r>
      <w:r w:rsidRPr="00F02D30">
        <w:t>ass through events</w:t>
      </w:r>
    </w:p>
    <w:p w:rsidR="00761454" w:rsidRPr="00F02D30" w:rsidRDefault="00761454" w:rsidP="00761454">
      <w:pPr>
        <w:numPr>
          <w:ilvl w:val="0"/>
          <w:numId w:val="24"/>
        </w:numPr>
      </w:pPr>
      <w:r>
        <w:t xml:space="preserve">Attachment 14 </w:t>
      </w:r>
      <w:r w:rsidR="000474DF">
        <w:t>– N</w:t>
      </w:r>
      <w:r w:rsidRPr="00F02D30">
        <w:t>egotiated services</w:t>
      </w: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D71C5E">
          <w:footerReference w:type="default" r:id="rId12"/>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62753013"/>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2417D2"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62753012" w:history="1">
            <w:r w:rsidR="002417D2" w:rsidRPr="001A1BB7">
              <w:rPr>
                <w:rStyle w:val="Hyperlink"/>
              </w:rPr>
              <w:t>Note</w:t>
            </w:r>
            <w:r w:rsidR="002417D2">
              <w:rPr>
                <w:webHidden/>
              </w:rPr>
              <w:tab/>
            </w:r>
            <w:r w:rsidR="002417D2">
              <w:rPr>
                <w:webHidden/>
              </w:rPr>
              <w:fldChar w:fldCharType="begin"/>
            </w:r>
            <w:r w:rsidR="002417D2">
              <w:rPr>
                <w:webHidden/>
              </w:rPr>
              <w:instrText xml:space="preserve"> PAGEREF _Toc462753012 \h </w:instrText>
            </w:r>
            <w:r w:rsidR="002417D2">
              <w:rPr>
                <w:webHidden/>
              </w:rPr>
            </w:r>
            <w:r w:rsidR="002417D2">
              <w:rPr>
                <w:webHidden/>
              </w:rPr>
              <w:fldChar w:fldCharType="separate"/>
            </w:r>
            <w:r w:rsidR="002417D2">
              <w:rPr>
                <w:webHidden/>
              </w:rPr>
              <w:t>14-2</w:t>
            </w:r>
            <w:r w:rsidR="002417D2">
              <w:rPr>
                <w:webHidden/>
              </w:rPr>
              <w:fldChar w:fldCharType="end"/>
            </w:r>
          </w:hyperlink>
        </w:p>
        <w:p w:rsidR="002417D2" w:rsidRDefault="00577B04">
          <w:pPr>
            <w:pStyle w:val="TOC1"/>
            <w:rPr>
              <w:rFonts w:asciiTheme="minorHAnsi" w:eastAsiaTheme="minorEastAsia" w:hAnsiTheme="minorHAnsi"/>
              <w:b w:val="0"/>
              <w:color w:val="auto"/>
              <w:sz w:val="22"/>
              <w:lang w:val="en-AU" w:eastAsia="en-AU"/>
            </w:rPr>
          </w:pPr>
          <w:hyperlink w:anchor="_Toc462753013" w:history="1">
            <w:r w:rsidR="002417D2" w:rsidRPr="001A1BB7">
              <w:rPr>
                <w:rStyle w:val="Hyperlink"/>
              </w:rPr>
              <w:t>Contents</w:t>
            </w:r>
            <w:r w:rsidR="002417D2">
              <w:rPr>
                <w:webHidden/>
              </w:rPr>
              <w:tab/>
            </w:r>
            <w:r w:rsidR="002417D2">
              <w:rPr>
                <w:webHidden/>
              </w:rPr>
              <w:fldChar w:fldCharType="begin"/>
            </w:r>
            <w:r w:rsidR="002417D2">
              <w:rPr>
                <w:webHidden/>
              </w:rPr>
              <w:instrText xml:space="preserve"> PAGEREF _Toc462753013 \h </w:instrText>
            </w:r>
            <w:r w:rsidR="002417D2">
              <w:rPr>
                <w:webHidden/>
              </w:rPr>
            </w:r>
            <w:r w:rsidR="002417D2">
              <w:rPr>
                <w:webHidden/>
              </w:rPr>
              <w:fldChar w:fldCharType="separate"/>
            </w:r>
            <w:r w:rsidR="002417D2">
              <w:rPr>
                <w:webHidden/>
              </w:rPr>
              <w:t>14-3</w:t>
            </w:r>
            <w:r w:rsidR="002417D2">
              <w:rPr>
                <w:webHidden/>
              </w:rPr>
              <w:fldChar w:fldCharType="end"/>
            </w:r>
          </w:hyperlink>
        </w:p>
        <w:p w:rsidR="002417D2" w:rsidRDefault="00577B04">
          <w:pPr>
            <w:pStyle w:val="TOC1"/>
            <w:rPr>
              <w:rFonts w:asciiTheme="minorHAnsi" w:eastAsiaTheme="minorEastAsia" w:hAnsiTheme="minorHAnsi"/>
              <w:b w:val="0"/>
              <w:color w:val="auto"/>
              <w:sz w:val="22"/>
              <w:lang w:val="en-AU" w:eastAsia="en-AU"/>
            </w:rPr>
          </w:pPr>
          <w:hyperlink w:anchor="_Toc462753014" w:history="1">
            <w:r w:rsidR="002417D2" w:rsidRPr="001A1BB7">
              <w:rPr>
                <w:rStyle w:val="Hyperlink"/>
              </w:rPr>
              <w:t>Shortened forms</w:t>
            </w:r>
            <w:r w:rsidR="002417D2">
              <w:rPr>
                <w:webHidden/>
              </w:rPr>
              <w:tab/>
            </w:r>
            <w:r w:rsidR="002417D2">
              <w:rPr>
                <w:webHidden/>
              </w:rPr>
              <w:fldChar w:fldCharType="begin"/>
            </w:r>
            <w:r w:rsidR="002417D2">
              <w:rPr>
                <w:webHidden/>
              </w:rPr>
              <w:instrText xml:space="preserve"> PAGEREF _Toc462753014 \h </w:instrText>
            </w:r>
            <w:r w:rsidR="002417D2">
              <w:rPr>
                <w:webHidden/>
              </w:rPr>
            </w:r>
            <w:r w:rsidR="002417D2">
              <w:rPr>
                <w:webHidden/>
              </w:rPr>
              <w:fldChar w:fldCharType="separate"/>
            </w:r>
            <w:r w:rsidR="002417D2">
              <w:rPr>
                <w:webHidden/>
              </w:rPr>
              <w:t>14-4</w:t>
            </w:r>
            <w:r w:rsidR="002417D2">
              <w:rPr>
                <w:webHidden/>
              </w:rPr>
              <w:fldChar w:fldCharType="end"/>
            </w:r>
          </w:hyperlink>
        </w:p>
        <w:p w:rsidR="002417D2" w:rsidRDefault="00577B04">
          <w:pPr>
            <w:pStyle w:val="TOC1"/>
            <w:rPr>
              <w:rFonts w:asciiTheme="minorHAnsi" w:eastAsiaTheme="minorEastAsia" w:hAnsiTheme="minorHAnsi"/>
              <w:b w:val="0"/>
              <w:color w:val="auto"/>
              <w:sz w:val="22"/>
              <w:lang w:val="en-AU" w:eastAsia="en-AU"/>
            </w:rPr>
          </w:pPr>
          <w:hyperlink w:anchor="_Toc462753015" w:history="1">
            <w:r w:rsidR="002417D2" w:rsidRPr="001A1BB7">
              <w:rPr>
                <w:rStyle w:val="Hyperlink"/>
              </w:rPr>
              <w:t>14</w:t>
            </w:r>
            <w:r w:rsidR="002417D2">
              <w:rPr>
                <w:rFonts w:asciiTheme="minorHAnsi" w:eastAsiaTheme="minorEastAsia" w:hAnsiTheme="minorHAnsi"/>
                <w:b w:val="0"/>
                <w:color w:val="auto"/>
                <w:sz w:val="22"/>
                <w:lang w:val="en-AU" w:eastAsia="en-AU"/>
              </w:rPr>
              <w:tab/>
            </w:r>
            <w:r w:rsidR="002417D2" w:rsidRPr="001A1BB7">
              <w:rPr>
                <w:rStyle w:val="Hyperlink"/>
              </w:rPr>
              <w:t>Negotiated services</w:t>
            </w:r>
            <w:r w:rsidR="002417D2">
              <w:rPr>
                <w:webHidden/>
              </w:rPr>
              <w:tab/>
            </w:r>
            <w:r w:rsidR="002417D2">
              <w:rPr>
                <w:webHidden/>
              </w:rPr>
              <w:fldChar w:fldCharType="begin"/>
            </w:r>
            <w:r w:rsidR="002417D2">
              <w:rPr>
                <w:webHidden/>
              </w:rPr>
              <w:instrText xml:space="preserve"> PAGEREF _Toc462753015 \h </w:instrText>
            </w:r>
            <w:r w:rsidR="002417D2">
              <w:rPr>
                <w:webHidden/>
              </w:rPr>
            </w:r>
            <w:r w:rsidR="002417D2">
              <w:rPr>
                <w:webHidden/>
              </w:rPr>
              <w:fldChar w:fldCharType="separate"/>
            </w:r>
            <w:r w:rsidR="002417D2">
              <w:rPr>
                <w:webHidden/>
              </w:rPr>
              <w:t>14-6</w:t>
            </w:r>
            <w:r w:rsidR="002417D2">
              <w:rPr>
                <w:webHidden/>
              </w:rPr>
              <w:fldChar w:fldCharType="end"/>
            </w:r>
          </w:hyperlink>
        </w:p>
        <w:p w:rsidR="002417D2" w:rsidRDefault="00577B04">
          <w:pPr>
            <w:pStyle w:val="TOC2"/>
            <w:tabs>
              <w:tab w:val="left" w:pos="1276"/>
            </w:tabs>
            <w:rPr>
              <w:rFonts w:asciiTheme="minorHAnsi" w:eastAsiaTheme="minorEastAsia" w:hAnsiTheme="minorHAnsi"/>
              <w:b w:val="0"/>
              <w:color w:val="auto"/>
              <w:sz w:val="22"/>
              <w:lang w:eastAsia="en-AU"/>
            </w:rPr>
          </w:pPr>
          <w:hyperlink w:anchor="_Toc462753016" w:history="1">
            <w:r w:rsidR="002417D2" w:rsidRPr="001A1BB7">
              <w:rPr>
                <w:rStyle w:val="Hyperlink"/>
              </w:rPr>
              <w:t>14.1</w:t>
            </w:r>
            <w:r w:rsidR="002417D2">
              <w:rPr>
                <w:rFonts w:asciiTheme="minorHAnsi" w:eastAsiaTheme="minorEastAsia" w:hAnsiTheme="minorHAnsi"/>
                <w:b w:val="0"/>
                <w:color w:val="auto"/>
                <w:sz w:val="22"/>
                <w:lang w:eastAsia="en-AU"/>
              </w:rPr>
              <w:tab/>
            </w:r>
            <w:r w:rsidR="002417D2" w:rsidRPr="001A1BB7">
              <w:rPr>
                <w:rStyle w:val="Hyperlink"/>
              </w:rPr>
              <w:t>Draft decision</w:t>
            </w:r>
            <w:r w:rsidR="002417D2">
              <w:rPr>
                <w:webHidden/>
              </w:rPr>
              <w:tab/>
            </w:r>
            <w:r w:rsidR="002417D2">
              <w:rPr>
                <w:webHidden/>
              </w:rPr>
              <w:fldChar w:fldCharType="begin"/>
            </w:r>
            <w:r w:rsidR="002417D2">
              <w:rPr>
                <w:webHidden/>
              </w:rPr>
              <w:instrText xml:space="preserve"> PAGEREF _Toc462753016 \h </w:instrText>
            </w:r>
            <w:r w:rsidR="002417D2">
              <w:rPr>
                <w:webHidden/>
              </w:rPr>
            </w:r>
            <w:r w:rsidR="002417D2">
              <w:rPr>
                <w:webHidden/>
              </w:rPr>
              <w:fldChar w:fldCharType="separate"/>
            </w:r>
            <w:r w:rsidR="002417D2">
              <w:rPr>
                <w:webHidden/>
              </w:rPr>
              <w:t>14-6</w:t>
            </w:r>
            <w:r w:rsidR="002417D2">
              <w:rPr>
                <w:webHidden/>
              </w:rPr>
              <w:fldChar w:fldCharType="end"/>
            </w:r>
          </w:hyperlink>
        </w:p>
        <w:p w:rsidR="002417D2" w:rsidRDefault="00577B04">
          <w:pPr>
            <w:pStyle w:val="TOC2"/>
            <w:tabs>
              <w:tab w:val="left" w:pos="1276"/>
            </w:tabs>
            <w:rPr>
              <w:rFonts w:asciiTheme="minorHAnsi" w:eastAsiaTheme="minorEastAsia" w:hAnsiTheme="minorHAnsi"/>
              <w:b w:val="0"/>
              <w:color w:val="auto"/>
              <w:sz w:val="22"/>
              <w:lang w:eastAsia="en-AU"/>
            </w:rPr>
          </w:pPr>
          <w:hyperlink w:anchor="_Toc462753017" w:history="1">
            <w:r w:rsidR="002417D2" w:rsidRPr="001A1BB7">
              <w:rPr>
                <w:rStyle w:val="Hyperlink"/>
              </w:rPr>
              <w:t>14.2</w:t>
            </w:r>
            <w:r w:rsidR="002417D2">
              <w:rPr>
                <w:rFonts w:asciiTheme="minorHAnsi" w:eastAsiaTheme="minorEastAsia" w:hAnsiTheme="minorHAnsi"/>
                <w:b w:val="0"/>
                <w:color w:val="auto"/>
                <w:sz w:val="22"/>
                <w:lang w:eastAsia="en-AU"/>
              </w:rPr>
              <w:tab/>
            </w:r>
            <w:r w:rsidR="002417D2" w:rsidRPr="001A1BB7">
              <w:rPr>
                <w:rStyle w:val="Hyperlink"/>
              </w:rPr>
              <w:t>Powerlink’s proposal</w:t>
            </w:r>
            <w:r w:rsidR="002417D2">
              <w:rPr>
                <w:webHidden/>
              </w:rPr>
              <w:tab/>
            </w:r>
            <w:r w:rsidR="002417D2">
              <w:rPr>
                <w:webHidden/>
              </w:rPr>
              <w:fldChar w:fldCharType="begin"/>
            </w:r>
            <w:r w:rsidR="002417D2">
              <w:rPr>
                <w:webHidden/>
              </w:rPr>
              <w:instrText xml:space="preserve"> PAGEREF _Toc462753017 \h </w:instrText>
            </w:r>
            <w:r w:rsidR="002417D2">
              <w:rPr>
                <w:webHidden/>
              </w:rPr>
            </w:r>
            <w:r w:rsidR="002417D2">
              <w:rPr>
                <w:webHidden/>
              </w:rPr>
              <w:fldChar w:fldCharType="separate"/>
            </w:r>
            <w:r w:rsidR="002417D2">
              <w:rPr>
                <w:webHidden/>
              </w:rPr>
              <w:t>14-6</w:t>
            </w:r>
            <w:r w:rsidR="002417D2">
              <w:rPr>
                <w:webHidden/>
              </w:rPr>
              <w:fldChar w:fldCharType="end"/>
            </w:r>
          </w:hyperlink>
        </w:p>
        <w:p w:rsidR="002417D2" w:rsidRDefault="00577B04">
          <w:pPr>
            <w:pStyle w:val="TOC2"/>
            <w:tabs>
              <w:tab w:val="left" w:pos="1276"/>
            </w:tabs>
            <w:rPr>
              <w:rFonts w:asciiTheme="minorHAnsi" w:eastAsiaTheme="minorEastAsia" w:hAnsiTheme="minorHAnsi"/>
              <w:b w:val="0"/>
              <w:color w:val="auto"/>
              <w:sz w:val="22"/>
              <w:lang w:eastAsia="en-AU"/>
            </w:rPr>
          </w:pPr>
          <w:hyperlink w:anchor="_Toc462753018" w:history="1">
            <w:r w:rsidR="002417D2" w:rsidRPr="001A1BB7">
              <w:rPr>
                <w:rStyle w:val="Hyperlink"/>
              </w:rPr>
              <w:t>14.3</w:t>
            </w:r>
            <w:r w:rsidR="002417D2">
              <w:rPr>
                <w:rFonts w:asciiTheme="minorHAnsi" w:eastAsiaTheme="minorEastAsia" w:hAnsiTheme="minorHAnsi"/>
                <w:b w:val="0"/>
                <w:color w:val="auto"/>
                <w:sz w:val="22"/>
                <w:lang w:eastAsia="en-AU"/>
              </w:rPr>
              <w:tab/>
            </w:r>
            <w:r w:rsidR="002417D2" w:rsidRPr="001A1BB7">
              <w:rPr>
                <w:rStyle w:val="Hyperlink"/>
              </w:rPr>
              <w:t>Assessment approach</w:t>
            </w:r>
            <w:r w:rsidR="002417D2">
              <w:rPr>
                <w:webHidden/>
              </w:rPr>
              <w:tab/>
            </w:r>
            <w:r w:rsidR="002417D2">
              <w:rPr>
                <w:webHidden/>
              </w:rPr>
              <w:fldChar w:fldCharType="begin"/>
            </w:r>
            <w:r w:rsidR="002417D2">
              <w:rPr>
                <w:webHidden/>
              </w:rPr>
              <w:instrText xml:space="preserve"> PAGEREF _Toc462753018 \h </w:instrText>
            </w:r>
            <w:r w:rsidR="002417D2">
              <w:rPr>
                <w:webHidden/>
              </w:rPr>
            </w:r>
            <w:r w:rsidR="002417D2">
              <w:rPr>
                <w:webHidden/>
              </w:rPr>
              <w:fldChar w:fldCharType="separate"/>
            </w:r>
            <w:r w:rsidR="002417D2">
              <w:rPr>
                <w:webHidden/>
              </w:rPr>
              <w:t>14-7</w:t>
            </w:r>
            <w:r w:rsidR="002417D2">
              <w:rPr>
                <w:webHidden/>
              </w:rPr>
              <w:fldChar w:fldCharType="end"/>
            </w:r>
          </w:hyperlink>
        </w:p>
        <w:p w:rsidR="002417D2" w:rsidRDefault="00577B04">
          <w:pPr>
            <w:pStyle w:val="TOC2"/>
            <w:tabs>
              <w:tab w:val="left" w:pos="1276"/>
            </w:tabs>
            <w:rPr>
              <w:rFonts w:asciiTheme="minorHAnsi" w:eastAsiaTheme="minorEastAsia" w:hAnsiTheme="minorHAnsi"/>
              <w:b w:val="0"/>
              <w:color w:val="auto"/>
              <w:sz w:val="22"/>
              <w:lang w:eastAsia="en-AU"/>
            </w:rPr>
          </w:pPr>
          <w:hyperlink w:anchor="_Toc462753019" w:history="1">
            <w:r w:rsidR="002417D2" w:rsidRPr="001A1BB7">
              <w:rPr>
                <w:rStyle w:val="Hyperlink"/>
              </w:rPr>
              <w:t>14.4</w:t>
            </w:r>
            <w:r w:rsidR="002417D2">
              <w:rPr>
                <w:rFonts w:asciiTheme="minorHAnsi" w:eastAsiaTheme="minorEastAsia" w:hAnsiTheme="minorHAnsi"/>
                <w:b w:val="0"/>
                <w:color w:val="auto"/>
                <w:sz w:val="22"/>
                <w:lang w:eastAsia="en-AU"/>
              </w:rPr>
              <w:tab/>
            </w:r>
            <w:r w:rsidR="002417D2" w:rsidRPr="001A1BB7">
              <w:rPr>
                <w:rStyle w:val="Hyperlink"/>
              </w:rPr>
              <w:t>Reasons for draft decision</w:t>
            </w:r>
            <w:r w:rsidR="002417D2">
              <w:rPr>
                <w:webHidden/>
              </w:rPr>
              <w:tab/>
            </w:r>
            <w:r w:rsidR="002417D2">
              <w:rPr>
                <w:webHidden/>
              </w:rPr>
              <w:fldChar w:fldCharType="begin"/>
            </w:r>
            <w:r w:rsidR="002417D2">
              <w:rPr>
                <w:webHidden/>
              </w:rPr>
              <w:instrText xml:space="preserve"> PAGEREF _Toc462753019 \h </w:instrText>
            </w:r>
            <w:r w:rsidR="002417D2">
              <w:rPr>
                <w:webHidden/>
              </w:rPr>
            </w:r>
            <w:r w:rsidR="002417D2">
              <w:rPr>
                <w:webHidden/>
              </w:rPr>
              <w:fldChar w:fldCharType="separate"/>
            </w:r>
            <w:r w:rsidR="002417D2">
              <w:rPr>
                <w:webHidden/>
              </w:rPr>
              <w:t>14-7</w:t>
            </w:r>
            <w:r w:rsidR="002417D2">
              <w:rPr>
                <w:webHidden/>
              </w:rPr>
              <w:fldChar w:fldCharType="end"/>
            </w:r>
          </w:hyperlink>
        </w:p>
        <w:p w:rsidR="002417D2" w:rsidRDefault="00577B04">
          <w:pPr>
            <w:pStyle w:val="TOC2"/>
            <w:tabs>
              <w:tab w:val="left" w:pos="1276"/>
            </w:tabs>
            <w:rPr>
              <w:rFonts w:asciiTheme="minorHAnsi" w:eastAsiaTheme="minorEastAsia" w:hAnsiTheme="minorHAnsi"/>
              <w:b w:val="0"/>
              <w:color w:val="auto"/>
              <w:sz w:val="22"/>
              <w:lang w:eastAsia="en-AU"/>
            </w:rPr>
          </w:pPr>
          <w:hyperlink w:anchor="_Toc462753020" w:history="1">
            <w:r w:rsidR="002417D2" w:rsidRPr="001A1BB7">
              <w:rPr>
                <w:rStyle w:val="Hyperlink"/>
              </w:rPr>
              <w:t>14.5</w:t>
            </w:r>
            <w:r w:rsidR="002417D2">
              <w:rPr>
                <w:rFonts w:asciiTheme="minorHAnsi" w:eastAsiaTheme="minorEastAsia" w:hAnsiTheme="minorHAnsi"/>
                <w:b w:val="0"/>
                <w:color w:val="auto"/>
                <w:sz w:val="22"/>
                <w:lang w:eastAsia="en-AU"/>
              </w:rPr>
              <w:tab/>
            </w:r>
            <w:r w:rsidR="002417D2" w:rsidRPr="001A1BB7">
              <w:rPr>
                <w:rStyle w:val="Hyperlink"/>
              </w:rPr>
              <w:t>Negotiated transmission service criteria</w:t>
            </w:r>
            <w:r w:rsidR="002417D2">
              <w:rPr>
                <w:webHidden/>
              </w:rPr>
              <w:tab/>
            </w:r>
            <w:r w:rsidR="002417D2">
              <w:rPr>
                <w:webHidden/>
              </w:rPr>
              <w:fldChar w:fldCharType="begin"/>
            </w:r>
            <w:r w:rsidR="002417D2">
              <w:rPr>
                <w:webHidden/>
              </w:rPr>
              <w:instrText xml:space="preserve"> PAGEREF _Toc462753020 \h </w:instrText>
            </w:r>
            <w:r w:rsidR="002417D2">
              <w:rPr>
                <w:webHidden/>
              </w:rPr>
            </w:r>
            <w:r w:rsidR="002417D2">
              <w:rPr>
                <w:webHidden/>
              </w:rPr>
              <w:fldChar w:fldCharType="separate"/>
            </w:r>
            <w:r w:rsidR="002417D2">
              <w:rPr>
                <w:webHidden/>
              </w:rPr>
              <w:t>14-9</w:t>
            </w:r>
            <w:r w:rsidR="002417D2">
              <w:rPr>
                <w:webHidden/>
              </w:rPr>
              <w:fldChar w:fldCharType="end"/>
            </w:r>
          </w:hyperlink>
        </w:p>
        <w:p w:rsidR="002417D2" w:rsidRDefault="00577B04">
          <w:pPr>
            <w:pStyle w:val="TOC3"/>
            <w:rPr>
              <w:rFonts w:asciiTheme="minorHAnsi" w:eastAsiaTheme="minorEastAsia" w:hAnsiTheme="minorHAnsi"/>
              <w:lang w:eastAsia="en-AU"/>
            </w:rPr>
          </w:pPr>
          <w:hyperlink w:anchor="_Toc462753021" w:history="1">
            <w:r w:rsidR="002417D2" w:rsidRPr="001A1BB7">
              <w:rPr>
                <w:rStyle w:val="Hyperlink"/>
              </w:rPr>
              <w:t>14.5.1</w:t>
            </w:r>
            <w:r w:rsidR="002417D2">
              <w:rPr>
                <w:rFonts w:asciiTheme="minorHAnsi" w:eastAsiaTheme="minorEastAsia" w:hAnsiTheme="minorHAnsi"/>
                <w:lang w:eastAsia="en-AU"/>
              </w:rPr>
              <w:tab/>
            </w:r>
            <w:r w:rsidR="002417D2" w:rsidRPr="001A1BB7">
              <w:rPr>
                <w:rStyle w:val="Hyperlink"/>
              </w:rPr>
              <w:t>Background</w:t>
            </w:r>
            <w:r w:rsidR="002417D2">
              <w:rPr>
                <w:webHidden/>
              </w:rPr>
              <w:tab/>
            </w:r>
            <w:r w:rsidR="002417D2">
              <w:rPr>
                <w:webHidden/>
              </w:rPr>
              <w:fldChar w:fldCharType="begin"/>
            </w:r>
            <w:r w:rsidR="002417D2">
              <w:rPr>
                <w:webHidden/>
              </w:rPr>
              <w:instrText xml:space="preserve"> PAGEREF _Toc462753021 \h </w:instrText>
            </w:r>
            <w:r w:rsidR="002417D2">
              <w:rPr>
                <w:webHidden/>
              </w:rPr>
            </w:r>
            <w:r w:rsidR="002417D2">
              <w:rPr>
                <w:webHidden/>
              </w:rPr>
              <w:fldChar w:fldCharType="separate"/>
            </w:r>
            <w:r w:rsidR="002417D2">
              <w:rPr>
                <w:webHidden/>
              </w:rPr>
              <w:t>14-9</w:t>
            </w:r>
            <w:r w:rsidR="002417D2">
              <w:rPr>
                <w:webHidden/>
              </w:rPr>
              <w:fldChar w:fldCharType="end"/>
            </w:r>
          </w:hyperlink>
        </w:p>
        <w:p w:rsidR="002417D2" w:rsidRDefault="00577B04">
          <w:pPr>
            <w:pStyle w:val="TOC3"/>
            <w:rPr>
              <w:rFonts w:asciiTheme="minorHAnsi" w:eastAsiaTheme="minorEastAsia" w:hAnsiTheme="minorHAnsi"/>
              <w:lang w:eastAsia="en-AU"/>
            </w:rPr>
          </w:pPr>
          <w:hyperlink w:anchor="_Toc462753022" w:history="1">
            <w:r w:rsidR="002417D2" w:rsidRPr="001A1BB7">
              <w:rPr>
                <w:rStyle w:val="Hyperlink"/>
              </w:rPr>
              <w:t>14.5.2</w:t>
            </w:r>
            <w:r w:rsidR="002417D2">
              <w:rPr>
                <w:rFonts w:asciiTheme="minorHAnsi" w:eastAsiaTheme="minorEastAsia" w:hAnsiTheme="minorHAnsi"/>
                <w:lang w:eastAsia="en-AU"/>
              </w:rPr>
              <w:tab/>
            </w:r>
            <w:r w:rsidR="002417D2" w:rsidRPr="001A1BB7">
              <w:rPr>
                <w:rStyle w:val="Hyperlink"/>
              </w:rPr>
              <w:t>Submission: proposed amended criteria</w:t>
            </w:r>
            <w:r w:rsidR="002417D2">
              <w:rPr>
                <w:webHidden/>
              </w:rPr>
              <w:tab/>
            </w:r>
            <w:r w:rsidR="002417D2">
              <w:rPr>
                <w:webHidden/>
              </w:rPr>
              <w:fldChar w:fldCharType="begin"/>
            </w:r>
            <w:r w:rsidR="002417D2">
              <w:rPr>
                <w:webHidden/>
              </w:rPr>
              <w:instrText xml:space="preserve"> PAGEREF _Toc462753022 \h </w:instrText>
            </w:r>
            <w:r w:rsidR="002417D2">
              <w:rPr>
                <w:webHidden/>
              </w:rPr>
            </w:r>
            <w:r w:rsidR="002417D2">
              <w:rPr>
                <w:webHidden/>
              </w:rPr>
              <w:fldChar w:fldCharType="separate"/>
            </w:r>
            <w:r w:rsidR="002417D2">
              <w:rPr>
                <w:webHidden/>
              </w:rPr>
              <w:t>14-9</w:t>
            </w:r>
            <w:r w:rsidR="002417D2">
              <w:rPr>
                <w:webHidden/>
              </w:rPr>
              <w:fldChar w:fldCharType="end"/>
            </w:r>
          </w:hyperlink>
        </w:p>
        <w:p w:rsidR="002417D2" w:rsidRDefault="00577B04">
          <w:pPr>
            <w:pStyle w:val="TOC1"/>
            <w:rPr>
              <w:rFonts w:asciiTheme="minorHAnsi" w:eastAsiaTheme="minorEastAsia" w:hAnsiTheme="minorHAnsi"/>
              <w:b w:val="0"/>
              <w:color w:val="auto"/>
              <w:sz w:val="22"/>
              <w:lang w:val="en-AU" w:eastAsia="en-AU"/>
            </w:rPr>
          </w:pPr>
          <w:hyperlink w:anchor="_Toc462753023" w:history="1">
            <w:r w:rsidR="002417D2" w:rsidRPr="001A1BB7">
              <w:rPr>
                <w:rStyle w:val="Hyperlink"/>
              </w:rPr>
              <w:t>A</w:t>
            </w:r>
            <w:r w:rsidR="002417D2">
              <w:rPr>
                <w:rFonts w:asciiTheme="minorHAnsi" w:eastAsiaTheme="minorEastAsia" w:hAnsiTheme="minorHAnsi"/>
                <w:b w:val="0"/>
                <w:color w:val="auto"/>
                <w:sz w:val="22"/>
                <w:lang w:val="en-AU" w:eastAsia="en-AU"/>
              </w:rPr>
              <w:tab/>
            </w:r>
            <w:r w:rsidR="002417D2" w:rsidRPr="001A1BB7">
              <w:rPr>
                <w:rStyle w:val="Hyperlink"/>
              </w:rPr>
              <w:t>Negotiated transmission service criteria</w:t>
            </w:r>
            <w:r w:rsidR="002417D2">
              <w:rPr>
                <w:webHidden/>
              </w:rPr>
              <w:tab/>
            </w:r>
            <w:r w:rsidR="002417D2">
              <w:rPr>
                <w:webHidden/>
              </w:rPr>
              <w:fldChar w:fldCharType="begin"/>
            </w:r>
            <w:r w:rsidR="002417D2">
              <w:rPr>
                <w:webHidden/>
              </w:rPr>
              <w:instrText xml:space="preserve"> PAGEREF _Toc462753023 \h </w:instrText>
            </w:r>
            <w:r w:rsidR="002417D2">
              <w:rPr>
                <w:webHidden/>
              </w:rPr>
            </w:r>
            <w:r w:rsidR="002417D2">
              <w:rPr>
                <w:webHidden/>
              </w:rPr>
              <w:fldChar w:fldCharType="separate"/>
            </w:r>
            <w:r w:rsidR="002417D2">
              <w:rPr>
                <w:webHidden/>
              </w:rPr>
              <w:t>14-13</w:t>
            </w:r>
            <w:r w:rsidR="002417D2">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62753014"/>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87648F" w:rsidTr="000474DF">
        <w:tc>
          <w:tcPr>
            <w:tcW w:w="4340" w:type="dxa"/>
          </w:tcPr>
          <w:p w:rsidR="0087648F" w:rsidRDefault="0087648F" w:rsidP="0053603C">
            <w:pPr>
              <w:numPr>
                <w:ilvl w:val="0"/>
                <w:numId w:val="24"/>
              </w:numPr>
            </w:pPr>
            <w:r>
              <w:t>AARR</w:t>
            </w:r>
          </w:p>
        </w:tc>
        <w:tc>
          <w:tcPr>
            <w:tcW w:w="4353" w:type="dxa"/>
          </w:tcPr>
          <w:p w:rsidR="0087648F" w:rsidRDefault="0087648F" w:rsidP="0053603C">
            <w:pPr>
              <w:numPr>
                <w:ilvl w:val="0"/>
                <w:numId w:val="24"/>
              </w:numPr>
            </w:pPr>
            <w:r>
              <w:t>aggregate annual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AEMC</w:t>
            </w:r>
          </w:p>
        </w:tc>
        <w:tc>
          <w:tcPr>
            <w:tcW w:w="4353" w:type="dxa"/>
          </w:tcPr>
          <w:p w:rsidR="0053603C" w:rsidRDefault="0053603C" w:rsidP="0053603C">
            <w:pPr>
              <w:numPr>
                <w:ilvl w:val="0"/>
                <w:numId w:val="24"/>
              </w:numPr>
            </w:pPr>
            <w:r>
              <w:t>Australian Energy Market Commission</w:t>
            </w:r>
          </w:p>
        </w:tc>
      </w:tr>
      <w:tr w:rsidR="0053603C" w:rsidTr="000474DF">
        <w:tc>
          <w:tcPr>
            <w:tcW w:w="4340" w:type="dxa"/>
          </w:tcPr>
          <w:p w:rsidR="0053603C" w:rsidRDefault="0053603C" w:rsidP="0053603C">
            <w:pPr>
              <w:numPr>
                <w:ilvl w:val="0"/>
                <w:numId w:val="24"/>
              </w:numPr>
            </w:pPr>
            <w:r>
              <w:t>AEMO</w:t>
            </w:r>
          </w:p>
        </w:tc>
        <w:tc>
          <w:tcPr>
            <w:tcW w:w="4353" w:type="dxa"/>
          </w:tcPr>
          <w:p w:rsidR="0053603C" w:rsidRDefault="0053603C" w:rsidP="0053603C">
            <w:pPr>
              <w:numPr>
                <w:ilvl w:val="0"/>
                <w:numId w:val="24"/>
              </w:numPr>
            </w:pPr>
            <w:r>
              <w:t>Australian Energy Market Operator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AER</w:t>
            </w:r>
          </w:p>
        </w:tc>
        <w:tc>
          <w:tcPr>
            <w:tcW w:w="4353" w:type="dxa"/>
          </w:tcPr>
          <w:p w:rsidR="0053603C" w:rsidRDefault="0053603C" w:rsidP="0053603C">
            <w:pPr>
              <w:numPr>
                <w:ilvl w:val="0"/>
                <w:numId w:val="24"/>
              </w:numPr>
            </w:pPr>
            <w:r>
              <w:t>Australian Energy Regulator</w:t>
            </w:r>
          </w:p>
        </w:tc>
      </w:tr>
      <w:tr w:rsidR="0053603C" w:rsidTr="000474DF">
        <w:tc>
          <w:tcPr>
            <w:tcW w:w="4340" w:type="dxa"/>
          </w:tcPr>
          <w:p w:rsidR="0053603C" w:rsidRDefault="0053603C" w:rsidP="0053603C">
            <w:pPr>
              <w:numPr>
                <w:ilvl w:val="0"/>
                <w:numId w:val="24"/>
              </w:numPr>
            </w:pPr>
            <w:r>
              <w:t>ASRR</w:t>
            </w:r>
          </w:p>
        </w:tc>
        <w:tc>
          <w:tcPr>
            <w:tcW w:w="4353" w:type="dxa"/>
          </w:tcPr>
          <w:p w:rsidR="0053603C" w:rsidRDefault="0053603C" w:rsidP="0053603C">
            <w:pPr>
              <w:numPr>
                <w:ilvl w:val="0"/>
                <w:numId w:val="24"/>
              </w:numPr>
            </w:pPr>
            <w:r>
              <w:t>annual service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augex</w:t>
            </w:r>
          </w:p>
        </w:tc>
        <w:tc>
          <w:tcPr>
            <w:tcW w:w="4353" w:type="dxa"/>
          </w:tcPr>
          <w:p w:rsidR="0053603C" w:rsidRDefault="0053603C" w:rsidP="0053603C">
            <w:pPr>
              <w:numPr>
                <w:ilvl w:val="0"/>
                <w:numId w:val="24"/>
              </w:numPr>
            </w:pPr>
            <w:r>
              <w:t>augmentation expenditure</w:t>
            </w:r>
          </w:p>
        </w:tc>
      </w:tr>
      <w:tr w:rsidR="0053603C" w:rsidTr="000474DF">
        <w:tc>
          <w:tcPr>
            <w:tcW w:w="4340" w:type="dxa"/>
          </w:tcPr>
          <w:p w:rsidR="0053603C" w:rsidRDefault="0053603C" w:rsidP="0053603C">
            <w:pPr>
              <w:numPr>
                <w:ilvl w:val="0"/>
                <w:numId w:val="24"/>
              </w:numPr>
            </w:pPr>
            <w:r>
              <w:t>capex</w:t>
            </w:r>
          </w:p>
        </w:tc>
        <w:tc>
          <w:tcPr>
            <w:tcW w:w="4353" w:type="dxa"/>
          </w:tcPr>
          <w:p w:rsidR="0053603C" w:rsidRDefault="0053603C" w:rsidP="0053603C">
            <w:pPr>
              <w:numPr>
                <w:ilvl w:val="0"/>
                <w:numId w:val="24"/>
              </w:numPr>
            </w:pPr>
            <w:r>
              <w:t>capital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CCP</w:t>
            </w:r>
          </w:p>
        </w:tc>
        <w:tc>
          <w:tcPr>
            <w:tcW w:w="4353" w:type="dxa"/>
          </w:tcPr>
          <w:p w:rsidR="0053603C" w:rsidRDefault="0053603C" w:rsidP="0053603C">
            <w:pPr>
              <w:numPr>
                <w:ilvl w:val="0"/>
                <w:numId w:val="24"/>
              </w:numPr>
            </w:pPr>
            <w:r>
              <w:t>Consumer Challenge Panel</w:t>
            </w:r>
          </w:p>
        </w:tc>
      </w:tr>
      <w:tr w:rsidR="0053603C" w:rsidTr="000474DF">
        <w:tc>
          <w:tcPr>
            <w:tcW w:w="4340" w:type="dxa"/>
          </w:tcPr>
          <w:p w:rsidR="0053603C" w:rsidRDefault="0053603C" w:rsidP="0053603C">
            <w:pPr>
              <w:numPr>
                <w:ilvl w:val="0"/>
                <w:numId w:val="24"/>
              </w:numPr>
            </w:pPr>
            <w:r>
              <w:t>CESS</w:t>
            </w:r>
          </w:p>
        </w:tc>
        <w:tc>
          <w:tcPr>
            <w:tcW w:w="4353" w:type="dxa"/>
          </w:tcPr>
          <w:p w:rsidR="0053603C" w:rsidRDefault="0053603C" w:rsidP="0053603C">
            <w:pPr>
              <w:numPr>
                <w:ilvl w:val="0"/>
                <w:numId w:val="24"/>
              </w:numPr>
            </w:pPr>
            <w:r>
              <w:t>capital expenditure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CPI</w:t>
            </w:r>
          </w:p>
        </w:tc>
        <w:tc>
          <w:tcPr>
            <w:tcW w:w="4353" w:type="dxa"/>
          </w:tcPr>
          <w:p w:rsidR="0053603C" w:rsidRDefault="0053603C" w:rsidP="0053603C">
            <w:pPr>
              <w:numPr>
                <w:ilvl w:val="0"/>
                <w:numId w:val="24"/>
              </w:numPr>
            </w:pPr>
            <w:r>
              <w:t>consumer price index</w:t>
            </w:r>
          </w:p>
        </w:tc>
      </w:tr>
      <w:tr w:rsidR="00F62A14" w:rsidTr="000474DF">
        <w:tc>
          <w:tcPr>
            <w:tcW w:w="4340" w:type="dxa"/>
          </w:tcPr>
          <w:p w:rsidR="00F62A14" w:rsidRDefault="00F62A14" w:rsidP="0053603C">
            <w:pPr>
              <w:numPr>
                <w:ilvl w:val="0"/>
                <w:numId w:val="24"/>
              </w:numPr>
            </w:pPr>
            <w:r>
              <w:t>DMIA</w:t>
            </w:r>
          </w:p>
        </w:tc>
        <w:tc>
          <w:tcPr>
            <w:tcW w:w="4353" w:type="dxa"/>
          </w:tcPr>
          <w:p w:rsidR="00F62A14" w:rsidRDefault="00F62A14" w:rsidP="0053603C">
            <w:pPr>
              <w:numPr>
                <w:ilvl w:val="0"/>
                <w:numId w:val="24"/>
              </w:numPr>
            </w:pPr>
            <w:r>
              <w:t>demand management innovation allowance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DRP</w:t>
            </w:r>
          </w:p>
        </w:tc>
        <w:tc>
          <w:tcPr>
            <w:tcW w:w="4353" w:type="dxa"/>
          </w:tcPr>
          <w:p w:rsidR="0053603C" w:rsidRDefault="0053603C" w:rsidP="0053603C">
            <w:pPr>
              <w:numPr>
                <w:ilvl w:val="0"/>
                <w:numId w:val="24"/>
              </w:numPr>
            </w:pPr>
            <w:r>
              <w:t>debt risk premium</w:t>
            </w:r>
          </w:p>
        </w:tc>
      </w:tr>
      <w:tr w:rsidR="0053603C" w:rsidTr="000474DF">
        <w:tc>
          <w:tcPr>
            <w:tcW w:w="4340" w:type="dxa"/>
          </w:tcPr>
          <w:p w:rsidR="0053603C" w:rsidRDefault="0053603C" w:rsidP="0053603C">
            <w:pPr>
              <w:numPr>
                <w:ilvl w:val="0"/>
                <w:numId w:val="24"/>
              </w:numPr>
            </w:pPr>
            <w:r>
              <w:t>EBSS</w:t>
            </w:r>
          </w:p>
        </w:tc>
        <w:tc>
          <w:tcPr>
            <w:tcW w:w="4353" w:type="dxa"/>
          </w:tcPr>
          <w:p w:rsidR="0053603C" w:rsidRDefault="0053603C" w:rsidP="0053603C">
            <w:pPr>
              <w:numPr>
                <w:ilvl w:val="0"/>
                <w:numId w:val="24"/>
              </w:numPr>
            </w:pPr>
            <w:r>
              <w:t>efficiency benefit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ERP</w:t>
            </w:r>
          </w:p>
        </w:tc>
        <w:tc>
          <w:tcPr>
            <w:tcW w:w="4353" w:type="dxa"/>
          </w:tcPr>
          <w:p w:rsidR="0053603C" w:rsidRDefault="0053603C" w:rsidP="0053603C">
            <w:pPr>
              <w:numPr>
                <w:ilvl w:val="0"/>
                <w:numId w:val="24"/>
              </w:numPr>
            </w:pPr>
            <w:r>
              <w:t>equity risk premium</w:t>
            </w:r>
          </w:p>
        </w:tc>
      </w:tr>
      <w:tr w:rsidR="0053603C" w:rsidTr="000474DF">
        <w:tc>
          <w:tcPr>
            <w:tcW w:w="4340" w:type="dxa"/>
          </w:tcPr>
          <w:p w:rsidR="0053603C" w:rsidRDefault="0053603C" w:rsidP="0053603C">
            <w:pPr>
              <w:numPr>
                <w:ilvl w:val="0"/>
                <w:numId w:val="24"/>
              </w:numPr>
            </w:pPr>
            <w:r>
              <w:t>MAR</w:t>
            </w:r>
          </w:p>
        </w:tc>
        <w:tc>
          <w:tcPr>
            <w:tcW w:w="4353" w:type="dxa"/>
          </w:tcPr>
          <w:p w:rsidR="0053603C" w:rsidRDefault="0053603C" w:rsidP="0053603C">
            <w:pPr>
              <w:numPr>
                <w:ilvl w:val="0"/>
                <w:numId w:val="24"/>
              </w:numPr>
            </w:pPr>
            <w:r>
              <w:t>maximum allowed revenue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MRP</w:t>
            </w:r>
          </w:p>
        </w:tc>
        <w:tc>
          <w:tcPr>
            <w:tcW w:w="4353" w:type="dxa"/>
          </w:tcPr>
          <w:p w:rsidR="0053603C" w:rsidRDefault="0053603C" w:rsidP="0053603C">
            <w:pPr>
              <w:numPr>
                <w:ilvl w:val="0"/>
                <w:numId w:val="24"/>
              </w:numPr>
            </w:pPr>
            <w:r>
              <w:t>market risk premium</w:t>
            </w:r>
          </w:p>
        </w:tc>
      </w:tr>
      <w:tr w:rsidR="0053603C" w:rsidTr="000474DF">
        <w:tc>
          <w:tcPr>
            <w:tcW w:w="4340" w:type="dxa"/>
          </w:tcPr>
          <w:p w:rsidR="0053603C" w:rsidRDefault="0053603C" w:rsidP="0053603C">
            <w:pPr>
              <w:numPr>
                <w:ilvl w:val="0"/>
                <w:numId w:val="24"/>
              </w:numPr>
            </w:pPr>
            <w:r>
              <w:t>NEL</w:t>
            </w:r>
          </w:p>
        </w:tc>
        <w:tc>
          <w:tcPr>
            <w:tcW w:w="4353" w:type="dxa"/>
          </w:tcPr>
          <w:p w:rsidR="0053603C" w:rsidRDefault="0053603C" w:rsidP="0053603C">
            <w:pPr>
              <w:numPr>
                <w:ilvl w:val="0"/>
                <w:numId w:val="24"/>
              </w:numPr>
            </w:pPr>
            <w:r>
              <w:t>national electricity law</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NEM</w:t>
            </w:r>
          </w:p>
        </w:tc>
        <w:tc>
          <w:tcPr>
            <w:tcW w:w="4353" w:type="dxa"/>
          </w:tcPr>
          <w:p w:rsidR="0053603C" w:rsidRDefault="0053603C" w:rsidP="0053603C">
            <w:pPr>
              <w:numPr>
                <w:ilvl w:val="0"/>
                <w:numId w:val="24"/>
              </w:numPr>
            </w:pPr>
            <w:r>
              <w:t>national electricity market</w:t>
            </w:r>
          </w:p>
        </w:tc>
      </w:tr>
      <w:tr w:rsidR="0053603C" w:rsidTr="000474DF">
        <w:tc>
          <w:tcPr>
            <w:tcW w:w="4340" w:type="dxa"/>
          </w:tcPr>
          <w:p w:rsidR="0053603C" w:rsidRDefault="0053603C" w:rsidP="0053603C">
            <w:pPr>
              <w:numPr>
                <w:ilvl w:val="0"/>
                <w:numId w:val="24"/>
              </w:numPr>
            </w:pPr>
            <w:r>
              <w:t>NEO</w:t>
            </w:r>
          </w:p>
        </w:tc>
        <w:tc>
          <w:tcPr>
            <w:tcW w:w="4353" w:type="dxa"/>
          </w:tcPr>
          <w:p w:rsidR="0053603C" w:rsidRDefault="0053603C" w:rsidP="0053603C">
            <w:pPr>
              <w:numPr>
                <w:ilvl w:val="0"/>
                <w:numId w:val="24"/>
              </w:numPr>
            </w:pPr>
            <w:r>
              <w:t>national electricity objective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NER</w:t>
            </w:r>
          </w:p>
        </w:tc>
        <w:tc>
          <w:tcPr>
            <w:tcW w:w="4353" w:type="dxa"/>
          </w:tcPr>
          <w:p w:rsidR="0053603C" w:rsidRDefault="0053603C" w:rsidP="0053603C">
            <w:pPr>
              <w:numPr>
                <w:ilvl w:val="0"/>
                <w:numId w:val="24"/>
              </w:numPr>
            </w:pPr>
            <w:r>
              <w:t>national electricity rules</w:t>
            </w:r>
          </w:p>
        </w:tc>
      </w:tr>
      <w:tr w:rsidR="0053603C" w:rsidTr="000474DF">
        <w:tc>
          <w:tcPr>
            <w:tcW w:w="4340" w:type="dxa"/>
          </w:tcPr>
          <w:p w:rsidR="0053603C" w:rsidRDefault="0053603C" w:rsidP="0053603C">
            <w:pPr>
              <w:numPr>
                <w:ilvl w:val="0"/>
                <w:numId w:val="24"/>
              </w:numPr>
            </w:pPr>
            <w:r>
              <w:t>NSP</w:t>
            </w:r>
          </w:p>
        </w:tc>
        <w:tc>
          <w:tcPr>
            <w:tcW w:w="4353" w:type="dxa"/>
          </w:tcPr>
          <w:p w:rsidR="0053603C" w:rsidRDefault="0053603C" w:rsidP="0053603C">
            <w:pPr>
              <w:numPr>
                <w:ilvl w:val="0"/>
                <w:numId w:val="24"/>
              </w:numPr>
            </w:pPr>
            <w:r>
              <w:t>network service provider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NTSC</w:t>
            </w:r>
          </w:p>
        </w:tc>
        <w:tc>
          <w:tcPr>
            <w:tcW w:w="4353" w:type="dxa"/>
          </w:tcPr>
          <w:p w:rsidR="0053603C" w:rsidRDefault="0053603C" w:rsidP="0053603C">
            <w:pPr>
              <w:numPr>
                <w:ilvl w:val="0"/>
                <w:numId w:val="24"/>
              </w:numPr>
            </w:pPr>
            <w:r>
              <w:t>negotiated transmission service criteria</w:t>
            </w:r>
          </w:p>
        </w:tc>
      </w:tr>
      <w:tr w:rsidR="0053603C" w:rsidTr="000474DF">
        <w:tc>
          <w:tcPr>
            <w:tcW w:w="4340" w:type="dxa"/>
          </w:tcPr>
          <w:p w:rsidR="0053603C" w:rsidRDefault="0053603C" w:rsidP="0053603C">
            <w:pPr>
              <w:numPr>
                <w:ilvl w:val="0"/>
                <w:numId w:val="24"/>
              </w:numPr>
            </w:pPr>
            <w:r>
              <w:t>opex</w:t>
            </w:r>
          </w:p>
        </w:tc>
        <w:tc>
          <w:tcPr>
            <w:tcW w:w="4353" w:type="dxa"/>
          </w:tcPr>
          <w:p w:rsidR="0053603C" w:rsidRDefault="0053603C" w:rsidP="0053603C">
            <w:pPr>
              <w:numPr>
                <w:ilvl w:val="0"/>
                <w:numId w:val="24"/>
              </w:numPr>
            </w:pPr>
            <w:r>
              <w:t>operating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PPI</w:t>
            </w:r>
          </w:p>
        </w:tc>
        <w:tc>
          <w:tcPr>
            <w:tcW w:w="4353" w:type="dxa"/>
          </w:tcPr>
          <w:p w:rsidR="0053603C" w:rsidRDefault="0053603C" w:rsidP="0053603C">
            <w:pPr>
              <w:numPr>
                <w:ilvl w:val="0"/>
                <w:numId w:val="24"/>
              </w:numPr>
            </w:pPr>
            <w:r>
              <w:t>partial performance indicators</w:t>
            </w:r>
          </w:p>
        </w:tc>
      </w:tr>
      <w:tr w:rsidR="0053603C" w:rsidTr="000474DF">
        <w:tc>
          <w:tcPr>
            <w:tcW w:w="4340" w:type="dxa"/>
          </w:tcPr>
          <w:p w:rsidR="0053603C" w:rsidRDefault="0053603C" w:rsidP="0053603C">
            <w:pPr>
              <w:numPr>
                <w:ilvl w:val="0"/>
                <w:numId w:val="24"/>
              </w:numPr>
            </w:pPr>
            <w:r>
              <w:t>PTRM</w:t>
            </w:r>
          </w:p>
        </w:tc>
        <w:tc>
          <w:tcPr>
            <w:tcW w:w="4353" w:type="dxa"/>
          </w:tcPr>
          <w:p w:rsidR="0053603C" w:rsidRDefault="0053603C" w:rsidP="0053603C">
            <w:pPr>
              <w:numPr>
                <w:ilvl w:val="0"/>
                <w:numId w:val="24"/>
              </w:numPr>
            </w:pPr>
            <w:r>
              <w:t>post-tax revenue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RAB</w:t>
            </w:r>
          </w:p>
        </w:tc>
        <w:tc>
          <w:tcPr>
            <w:tcW w:w="4353" w:type="dxa"/>
          </w:tcPr>
          <w:p w:rsidR="0053603C" w:rsidRDefault="0053603C" w:rsidP="0053603C">
            <w:pPr>
              <w:numPr>
                <w:ilvl w:val="0"/>
                <w:numId w:val="24"/>
              </w:numPr>
            </w:pPr>
            <w:r>
              <w:t>regulatory asset base</w:t>
            </w:r>
          </w:p>
        </w:tc>
      </w:tr>
      <w:tr w:rsidR="0053603C" w:rsidTr="000474DF">
        <w:tc>
          <w:tcPr>
            <w:tcW w:w="4340" w:type="dxa"/>
          </w:tcPr>
          <w:p w:rsidR="0053603C" w:rsidRDefault="0053603C" w:rsidP="0053603C">
            <w:pPr>
              <w:numPr>
                <w:ilvl w:val="0"/>
                <w:numId w:val="24"/>
              </w:numPr>
            </w:pPr>
            <w:r>
              <w:t>RBA</w:t>
            </w:r>
          </w:p>
        </w:tc>
        <w:tc>
          <w:tcPr>
            <w:tcW w:w="4353" w:type="dxa"/>
          </w:tcPr>
          <w:p w:rsidR="0053603C" w:rsidRDefault="0053603C" w:rsidP="0053603C">
            <w:pPr>
              <w:numPr>
                <w:ilvl w:val="0"/>
                <w:numId w:val="24"/>
              </w:numPr>
            </w:pPr>
            <w:r>
              <w:t>Reserve Bank of Australia</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repex</w:t>
            </w:r>
          </w:p>
        </w:tc>
        <w:tc>
          <w:tcPr>
            <w:tcW w:w="4353" w:type="dxa"/>
          </w:tcPr>
          <w:p w:rsidR="0053603C" w:rsidRDefault="0053603C" w:rsidP="0053603C">
            <w:pPr>
              <w:numPr>
                <w:ilvl w:val="0"/>
                <w:numId w:val="24"/>
              </w:numPr>
            </w:pPr>
            <w:r>
              <w:t>replacement expenditure</w:t>
            </w:r>
          </w:p>
        </w:tc>
      </w:tr>
      <w:tr w:rsidR="0053603C" w:rsidTr="000474DF">
        <w:tc>
          <w:tcPr>
            <w:tcW w:w="4340" w:type="dxa"/>
          </w:tcPr>
          <w:p w:rsidR="0053603C" w:rsidRDefault="0053603C" w:rsidP="0053603C">
            <w:pPr>
              <w:numPr>
                <w:ilvl w:val="0"/>
                <w:numId w:val="24"/>
              </w:numPr>
            </w:pPr>
            <w:r>
              <w:t>RFM</w:t>
            </w:r>
          </w:p>
        </w:tc>
        <w:tc>
          <w:tcPr>
            <w:tcW w:w="4353" w:type="dxa"/>
          </w:tcPr>
          <w:p w:rsidR="0053603C" w:rsidRDefault="0053603C" w:rsidP="0053603C">
            <w:pPr>
              <w:numPr>
                <w:ilvl w:val="0"/>
                <w:numId w:val="24"/>
              </w:numPr>
            </w:pPr>
            <w:r>
              <w:t>roll forward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RIN</w:t>
            </w:r>
          </w:p>
        </w:tc>
        <w:tc>
          <w:tcPr>
            <w:tcW w:w="4353" w:type="dxa"/>
          </w:tcPr>
          <w:p w:rsidR="0053603C" w:rsidRDefault="0053603C" w:rsidP="0053603C">
            <w:pPr>
              <w:numPr>
                <w:ilvl w:val="0"/>
                <w:numId w:val="24"/>
              </w:numPr>
            </w:pPr>
            <w:r>
              <w:t>regulatory information notice</w:t>
            </w:r>
          </w:p>
        </w:tc>
      </w:tr>
      <w:tr w:rsidR="0053603C" w:rsidTr="000474DF">
        <w:tc>
          <w:tcPr>
            <w:tcW w:w="4340" w:type="dxa"/>
          </w:tcPr>
          <w:p w:rsidR="0053603C" w:rsidRDefault="0053603C" w:rsidP="0053603C">
            <w:pPr>
              <w:numPr>
                <w:ilvl w:val="0"/>
                <w:numId w:val="24"/>
              </w:numPr>
            </w:pPr>
            <w:r>
              <w:lastRenderedPageBreak/>
              <w:t>RPP</w:t>
            </w:r>
          </w:p>
        </w:tc>
        <w:tc>
          <w:tcPr>
            <w:tcW w:w="4353" w:type="dxa"/>
          </w:tcPr>
          <w:p w:rsidR="0053603C" w:rsidRDefault="0053603C" w:rsidP="0053603C">
            <w:pPr>
              <w:numPr>
                <w:ilvl w:val="0"/>
                <w:numId w:val="24"/>
              </w:numPr>
            </w:pPr>
            <w:r>
              <w:t>revenue and pricing principles</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SLCAPM</w:t>
            </w:r>
          </w:p>
        </w:tc>
        <w:tc>
          <w:tcPr>
            <w:tcW w:w="4353" w:type="dxa"/>
          </w:tcPr>
          <w:p w:rsidR="0053603C" w:rsidRDefault="0053603C" w:rsidP="0053603C">
            <w:pPr>
              <w:numPr>
                <w:ilvl w:val="0"/>
                <w:numId w:val="24"/>
              </w:numPr>
            </w:pPr>
            <w:r>
              <w:t>Sharpe-Lintner capital asset pricing model</w:t>
            </w:r>
          </w:p>
        </w:tc>
      </w:tr>
      <w:tr w:rsidR="0053603C" w:rsidTr="000474DF">
        <w:tc>
          <w:tcPr>
            <w:tcW w:w="4340" w:type="dxa"/>
          </w:tcPr>
          <w:p w:rsidR="0053603C" w:rsidRDefault="0053603C" w:rsidP="0053603C">
            <w:pPr>
              <w:numPr>
                <w:ilvl w:val="0"/>
                <w:numId w:val="24"/>
              </w:numPr>
            </w:pPr>
            <w:r>
              <w:t>STPIS</w:t>
            </w:r>
          </w:p>
        </w:tc>
        <w:tc>
          <w:tcPr>
            <w:tcW w:w="4353" w:type="dxa"/>
          </w:tcPr>
          <w:p w:rsidR="0053603C" w:rsidRDefault="0053603C" w:rsidP="0053603C">
            <w:pPr>
              <w:numPr>
                <w:ilvl w:val="0"/>
                <w:numId w:val="24"/>
              </w:numPr>
            </w:pPr>
            <w:r>
              <w:t>service target performance incentive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TNSP</w:t>
            </w:r>
          </w:p>
        </w:tc>
        <w:tc>
          <w:tcPr>
            <w:tcW w:w="4353" w:type="dxa"/>
          </w:tcPr>
          <w:p w:rsidR="0053603C" w:rsidRDefault="0053603C" w:rsidP="0053603C">
            <w:pPr>
              <w:numPr>
                <w:ilvl w:val="0"/>
                <w:numId w:val="24"/>
              </w:numPr>
            </w:pPr>
            <w:r>
              <w:t>transmission network service provider</w:t>
            </w:r>
          </w:p>
        </w:tc>
      </w:tr>
      <w:tr w:rsidR="0053603C" w:rsidTr="000474DF">
        <w:tc>
          <w:tcPr>
            <w:tcW w:w="4340" w:type="dxa"/>
          </w:tcPr>
          <w:p w:rsidR="0053603C" w:rsidRDefault="0053603C" w:rsidP="0053603C">
            <w:pPr>
              <w:numPr>
                <w:ilvl w:val="0"/>
                <w:numId w:val="24"/>
              </w:numPr>
            </w:pPr>
            <w:r>
              <w:t>TUoS</w:t>
            </w:r>
          </w:p>
        </w:tc>
        <w:tc>
          <w:tcPr>
            <w:tcW w:w="4353" w:type="dxa"/>
          </w:tcPr>
          <w:p w:rsidR="0053603C" w:rsidRDefault="0053603C" w:rsidP="0053603C">
            <w:pPr>
              <w:numPr>
                <w:ilvl w:val="0"/>
                <w:numId w:val="24"/>
              </w:numPr>
            </w:pPr>
            <w:r>
              <w:t>transmission use of system</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WACC</w:t>
            </w:r>
          </w:p>
        </w:tc>
        <w:tc>
          <w:tcPr>
            <w:tcW w:w="4353" w:type="dxa"/>
          </w:tcPr>
          <w:p w:rsidR="0053603C" w:rsidRDefault="0053603C" w:rsidP="0053603C">
            <w:pPr>
              <w:numPr>
                <w:ilvl w:val="0"/>
                <w:numId w:val="24"/>
              </w:numPr>
            </w:pPr>
            <w:r>
              <w:t>weighted average cost of capital</w:t>
            </w:r>
          </w:p>
        </w:tc>
      </w:tr>
    </w:tbl>
    <w:p w:rsidR="00DE563D" w:rsidRDefault="00132D43" w:rsidP="00132D43">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62753015"/>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Negotiated services</w:t>
      </w:r>
      <w:bookmarkEnd w:id="71"/>
    </w:p>
    <w:p w:rsidR="00043F0A" w:rsidRPr="00043F0A" w:rsidRDefault="00043F0A" w:rsidP="00043F0A">
      <w:pPr>
        <w:numPr>
          <w:ilvl w:val="0"/>
          <w:numId w:val="24"/>
        </w:numPr>
      </w:pPr>
      <w:r w:rsidRPr="00043F0A">
        <w:t>This attachment set</w:t>
      </w:r>
      <w:r>
        <w:t>s</w:t>
      </w:r>
      <w:r w:rsidRPr="00043F0A">
        <w:t xml:space="preserve"> out our determination on </w:t>
      </w:r>
      <w:r>
        <w:t>Powerlink</w:t>
      </w:r>
      <w:r w:rsidRPr="00043F0A">
        <w:t>'s negotiating framework for the 201</w:t>
      </w:r>
      <w:r>
        <w:t>7</w:t>
      </w:r>
      <w:r w:rsidRPr="00043F0A">
        <w:t>–</w:t>
      </w:r>
      <w:r>
        <w:t>22</w:t>
      </w:r>
      <w:r w:rsidRPr="00043F0A">
        <w:t xml:space="preserve"> regulatory control period.</w:t>
      </w:r>
      <w:r w:rsidRPr="00043F0A">
        <w:rPr>
          <w:rStyle w:val="FootnoteReference"/>
        </w:rPr>
        <w:footnoteReference w:id="1"/>
      </w:r>
      <w:r w:rsidRPr="00043F0A">
        <w:t xml:space="preserve"> We also specify the negotiated transmission service criteria (NTSC) that are to apply to </w:t>
      </w:r>
      <w:r>
        <w:t>Powerlink</w:t>
      </w:r>
      <w:r w:rsidRPr="00043F0A">
        <w:t>.</w:t>
      </w:r>
      <w:r w:rsidRPr="00043F0A">
        <w:rPr>
          <w:rStyle w:val="FootnoteReference"/>
        </w:rPr>
        <w:footnoteReference w:id="2"/>
      </w:r>
      <w:r w:rsidRPr="00043F0A">
        <w:t xml:space="preserve"> </w:t>
      </w:r>
    </w:p>
    <w:p w:rsidR="00043F0A" w:rsidRPr="00043F0A" w:rsidRDefault="00043F0A" w:rsidP="00043F0A">
      <w:r w:rsidRPr="00043F0A">
        <w:t xml:space="preserve">In contrast to our regulation of prescribed transmission services, the provision of negotiated transmission services is less directly regulated by the AER. Instead, under the National Electricity Rules (NER), </w:t>
      </w:r>
      <w:r>
        <w:t>negotiated transmission</w:t>
      </w:r>
      <w:r w:rsidRPr="00043F0A">
        <w:t xml:space="preserve"> services are subject to negotiation between parties or</w:t>
      </w:r>
      <w:r>
        <w:t>,</w:t>
      </w:r>
      <w:r w:rsidRPr="00043F0A">
        <w:t xml:space="preserve"> alternatively</w:t>
      </w:r>
      <w:r>
        <w:t>,</w:t>
      </w:r>
      <w:r w:rsidRPr="00043F0A">
        <w:t xml:space="preserve"> arbitration and dispute resolution by a commercial arbitrator. </w:t>
      </w:r>
    </w:p>
    <w:p w:rsidR="00043F0A" w:rsidRPr="00043F0A" w:rsidRDefault="00043F0A" w:rsidP="00043F0A">
      <w:r w:rsidRPr="00043F0A">
        <w:t>For the purpose of facilitating such negotiation and arbitration, a transmission business must prepare, for our approval, a negotiating framework which sets out procedures for negotiating the terms and conditions of access to a negotiated transmission service.</w:t>
      </w:r>
      <w:r w:rsidRPr="00043F0A">
        <w:rPr>
          <w:rStyle w:val="FootnoteReference"/>
        </w:rPr>
        <w:footnoteReference w:id="3"/>
      </w:r>
      <w:r w:rsidRPr="00043F0A">
        <w:t xml:space="preserve"> In addition, we specify for each transmission business the negotiated transmission service criteria (NTSC) that it must apply in negotiating terms and conditions of access, including the prices and access charges for negotiated transmission services.</w:t>
      </w:r>
      <w:r w:rsidRPr="00043F0A">
        <w:rPr>
          <w:rStyle w:val="FootnoteReference"/>
        </w:rPr>
        <w:footnoteReference w:id="4"/>
      </w:r>
      <w:r w:rsidRPr="00043F0A">
        <w:t xml:space="preserve"> The</w:t>
      </w:r>
      <w:r>
        <w:t xml:space="preserve"> NTSC</w:t>
      </w:r>
      <w:r w:rsidRPr="00043F0A">
        <w:t xml:space="preserve"> also contain</w:t>
      </w:r>
      <w:r w:rsidR="007D0035">
        <w:t>s</w:t>
      </w:r>
      <w:r w:rsidRPr="00043F0A">
        <w:t xml:space="preserve"> the criteria that a commercial arbitrator must apply to resolve disputes about such terms and conditions and/or access charges.</w:t>
      </w:r>
      <w:r w:rsidRPr="00043F0A">
        <w:rPr>
          <w:rStyle w:val="FootnoteReference"/>
        </w:rPr>
        <w:footnoteReference w:id="5"/>
      </w:r>
      <w:r w:rsidRPr="00043F0A">
        <w:t xml:space="preserve"> </w:t>
      </w:r>
      <w:r w:rsidR="006548F9">
        <w:t>The NTSC for Powerlink is identical to the criteria we developed and applied for other TNSPs.</w:t>
      </w:r>
    </w:p>
    <w:p w:rsidR="00132D43" w:rsidRDefault="00132D43" w:rsidP="00132D43">
      <w:pPr>
        <w:pStyle w:val="Heading2"/>
      </w:pPr>
      <w:bookmarkStart w:id="72" w:name="_Toc462753016"/>
      <w:r>
        <w:t>Draft decision</w:t>
      </w:r>
      <w:bookmarkEnd w:id="72"/>
    </w:p>
    <w:p w:rsidR="00134DD1" w:rsidRPr="00134DD1" w:rsidRDefault="00134DD1" w:rsidP="00134DD1">
      <w:pPr>
        <w:numPr>
          <w:ilvl w:val="0"/>
          <w:numId w:val="24"/>
        </w:numPr>
      </w:pPr>
      <w:r w:rsidRPr="00134DD1">
        <w:t xml:space="preserve">We approve </w:t>
      </w:r>
      <w:r>
        <w:t>Powerlink's</w:t>
      </w:r>
      <w:r w:rsidRPr="00134DD1">
        <w:t xml:space="preserve"> proposed negotiating framework.</w:t>
      </w:r>
      <w:r>
        <w:rPr>
          <w:rStyle w:val="FootnoteReference"/>
        </w:rPr>
        <w:footnoteReference w:id="6"/>
      </w:r>
      <w:r w:rsidRPr="00134DD1">
        <w:t xml:space="preserve"> </w:t>
      </w:r>
    </w:p>
    <w:p w:rsidR="00134DD1" w:rsidRPr="00134DD1" w:rsidRDefault="00134DD1" w:rsidP="00134DD1">
      <w:pPr>
        <w:numPr>
          <w:ilvl w:val="0"/>
          <w:numId w:val="24"/>
        </w:numPr>
      </w:pPr>
      <w:r w:rsidRPr="00134DD1">
        <w:t xml:space="preserve">We will </w:t>
      </w:r>
      <w:r w:rsidR="00343EB6">
        <w:t xml:space="preserve">also </w:t>
      </w:r>
      <w:r w:rsidRPr="00134DD1">
        <w:t xml:space="preserve">apply to </w:t>
      </w:r>
      <w:r>
        <w:t>Powerlink</w:t>
      </w:r>
      <w:r w:rsidRPr="00134DD1">
        <w:t xml:space="preserve"> the NTSC we published in </w:t>
      </w:r>
      <w:r w:rsidR="00341AA4">
        <w:t>February 2016</w:t>
      </w:r>
      <w:r w:rsidR="00C62B77">
        <w:t>.</w:t>
      </w:r>
      <w:r w:rsidRPr="00134DD1">
        <w:rPr>
          <w:rStyle w:val="FootnoteReference"/>
        </w:rPr>
        <w:footnoteReference w:id="7"/>
      </w:r>
      <w:r w:rsidRPr="00134DD1">
        <w:t xml:space="preserve">  </w:t>
      </w:r>
    </w:p>
    <w:p w:rsidR="00132D43" w:rsidRDefault="00132D43" w:rsidP="00132D43">
      <w:pPr>
        <w:pStyle w:val="Heading2"/>
      </w:pPr>
      <w:bookmarkStart w:id="73" w:name="_Toc462753017"/>
      <w:r>
        <w:t>Powerlink’s proposal</w:t>
      </w:r>
      <w:bookmarkEnd w:id="73"/>
    </w:p>
    <w:p w:rsidR="00706BBF" w:rsidRPr="00706BBF" w:rsidRDefault="00706BBF" w:rsidP="00706BBF">
      <w:r w:rsidRPr="00706BBF">
        <w:t>Powerlink</w:t>
      </w:r>
      <w:r>
        <w:t xml:space="preserve"> stated that its</w:t>
      </w:r>
      <w:r w:rsidRPr="00706BBF">
        <w:t xml:space="preserve"> proposed </w:t>
      </w:r>
      <w:r w:rsidR="004D20E6">
        <w:t>n</w:t>
      </w:r>
      <w:r w:rsidRPr="00706BBF">
        <w:t xml:space="preserve">egotiating </w:t>
      </w:r>
      <w:r w:rsidR="004D20E6">
        <w:t>f</w:t>
      </w:r>
      <w:r w:rsidRPr="00706BBF">
        <w:t>ramework for the 2018-22 regulatory period is largely consistent</w:t>
      </w:r>
      <w:r>
        <w:t xml:space="preserve"> with, or fundamentally the same as,</w:t>
      </w:r>
      <w:r w:rsidRPr="00706BBF">
        <w:t xml:space="preserve"> its</w:t>
      </w:r>
      <w:r>
        <w:t xml:space="preserve"> </w:t>
      </w:r>
      <w:r w:rsidRPr="00706BBF">
        <w:t>current AER</w:t>
      </w:r>
      <w:r w:rsidR="002535AD">
        <w:t xml:space="preserve"> </w:t>
      </w:r>
      <w:r w:rsidRPr="00706BBF">
        <w:t xml:space="preserve">approved </w:t>
      </w:r>
      <w:r w:rsidR="004D20E6">
        <w:t>n</w:t>
      </w:r>
      <w:r w:rsidRPr="00706BBF">
        <w:t xml:space="preserve">egotiating </w:t>
      </w:r>
      <w:r w:rsidR="004D20E6">
        <w:t>f</w:t>
      </w:r>
      <w:r w:rsidRPr="00706BBF">
        <w:t>ramework.</w:t>
      </w:r>
      <w:r w:rsidR="0049239E">
        <w:rPr>
          <w:rStyle w:val="FootnoteReference"/>
        </w:rPr>
        <w:footnoteReference w:id="8"/>
      </w:r>
    </w:p>
    <w:p w:rsidR="00132D43" w:rsidRDefault="00706BBF" w:rsidP="00706BBF">
      <w:r w:rsidRPr="00706BBF">
        <w:t xml:space="preserve">Powerlink </w:t>
      </w:r>
      <w:r>
        <w:t xml:space="preserve">stated that it </w:t>
      </w:r>
      <w:r w:rsidRPr="00706BBF">
        <w:t>has proposed an amendment to one phrase in the document. Specifically, in relation to the termination</w:t>
      </w:r>
      <w:r>
        <w:t xml:space="preserve"> </w:t>
      </w:r>
      <w:r w:rsidR="004D20E6">
        <w:t xml:space="preserve">(if any) </w:t>
      </w:r>
      <w:r w:rsidRPr="00706BBF">
        <w:t>of negotiations</w:t>
      </w:r>
      <w:r>
        <w:t xml:space="preserve"> between Powerlink and a service applicant</w:t>
      </w:r>
      <w:r w:rsidRPr="00706BBF">
        <w:t xml:space="preserve">, </w:t>
      </w:r>
      <w:r>
        <w:t xml:space="preserve">Powerlink has replaced </w:t>
      </w:r>
      <w:r w:rsidRPr="00706BBF">
        <w:t>the phrase “believes on reasonable</w:t>
      </w:r>
      <w:r>
        <w:t xml:space="preserve"> </w:t>
      </w:r>
      <w:r w:rsidRPr="00706BBF">
        <w:lastRenderedPageBreak/>
        <w:t xml:space="preserve">grounds” with the phrase “is of the reasonable opinion.” Powerlink </w:t>
      </w:r>
      <w:r>
        <w:t xml:space="preserve">stated that it </w:t>
      </w:r>
      <w:r w:rsidRPr="00706BBF">
        <w:t xml:space="preserve">considers that </w:t>
      </w:r>
      <w:r w:rsidR="004D20E6">
        <w:t>the amendment</w:t>
      </w:r>
      <w:r>
        <w:t xml:space="preserve"> </w:t>
      </w:r>
      <w:r w:rsidRPr="00706BBF">
        <w:t>more appropriately reflects that in these circumstances, it would be providing an opinion.</w:t>
      </w:r>
      <w:r w:rsidR="0049239E">
        <w:rPr>
          <w:rStyle w:val="FootnoteReference"/>
        </w:rPr>
        <w:footnoteReference w:id="9"/>
      </w:r>
    </w:p>
    <w:p w:rsidR="004D20E6" w:rsidRDefault="0088697C" w:rsidP="0088697C">
      <w:pPr>
        <w:pStyle w:val="AERquote"/>
      </w:pPr>
      <w:r>
        <w:t xml:space="preserve">11.2.1 Powerlink </w:t>
      </w:r>
      <w:r w:rsidRPr="0088697C">
        <w:rPr>
          <w:rStyle w:val="AERtextunderline"/>
        </w:rPr>
        <w:t>is of the reasonable opinion</w:t>
      </w:r>
      <w:r>
        <w:t xml:space="preserve"> </w:t>
      </w:r>
      <w:r w:rsidRPr="0049239E">
        <w:rPr>
          <w:strike/>
        </w:rPr>
        <w:t>believes on reasonable grounds</w:t>
      </w:r>
      <w:r>
        <w:t xml:space="preserve"> that the Service Applicant is not conducting the negotiation under this negotiating framework in good faith;</w:t>
      </w:r>
      <w:r w:rsidR="0049239E">
        <w:rPr>
          <w:rStyle w:val="FootnoteReference"/>
        </w:rPr>
        <w:footnoteReference w:id="10"/>
      </w:r>
    </w:p>
    <w:p w:rsidR="004D20E6" w:rsidRDefault="004D20E6" w:rsidP="00706BBF">
      <w:r>
        <w:t xml:space="preserve">Further, </w:t>
      </w:r>
      <w:r w:rsidRPr="004D20E6">
        <w:t xml:space="preserve">Powerlink has proposed a small number of </w:t>
      </w:r>
      <w:r>
        <w:t xml:space="preserve">typographical </w:t>
      </w:r>
      <w:r w:rsidRPr="004D20E6">
        <w:t>changes</w:t>
      </w:r>
      <w:r>
        <w:t xml:space="preserve"> to its current negotiating framework document.</w:t>
      </w:r>
    </w:p>
    <w:p w:rsidR="004D20E6" w:rsidRDefault="004D20E6" w:rsidP="004D20E6">
      <w:r w:rsidRPr="004D20E6">
        <w:t xml:space="preserve">Powerlink </w:t>
      </w:r>
      <w:r>
        <w:t xml:space="preserve">stated it </w:t>
      </w:r>
      <w:r w:rsidRPr="004D20E6">
        <w:t xml:space="preserve">considers that its </w:t>
      </w:r>
      <w:r>
        <w:t>n</w:t>
      </w:r>
      <w:r w:rsidRPr="004D20E6">
        <w:t xml:space="preserve">egotiating </w:t>
      </w:r>
      <w:r>
        <w:t>f</w:t>
      </w:r>
      <w:r w:rsidRPr="004D20E6">
        <w:t>ramework meets all regulatory requirements, given that it includes all</w:t>
      </w:r>
      <w:r>
        <w:t xml:space="preserve"> </w:t>
      </w:r>
      <w:r w:rsidRPr="004D20E6">
        <w:t xml:space="preserve">relevant information prescribed under the </w:t>
      </w:r>
      <w:r>
        <w:t>NER</w:t>
      </w:r>
      <w:r w:rsidRPr="004D20E6">
        <w:t xml:space="preserve"> and </w:t>
      </w:r>
      <w:r w:rsidR="009A04EA">
        <w:t>the r</w:t>
      </w:r>
      <w:r w:rsidRPr="004D20E6">
        <w:t>eset RIN.</w:t>
      </w:r>
      <w:r w:rsidR="0049239E">
        <w:rPr>
          <w:rStyle w:val="FootnoteReference"/>
        </w:rPr>
        <w:footnoteReference w:id="11"/>
      </w:r>
    </w:p>
    <w:p w:rsidR="00132D43" w:rsidRDefault="00132D43" w:rsidP="00132D43">
      <w:pPr>
        <w:pStyle w:val="Heading2"/>
      </w:pPr>
      <w:bookmarkStart w:id="74" w:name="_Toc462753018"/>
      <w:r>
        <w:t>Assessment approach</w:t>
      </w:r>
      <w:bookmarkEnd w:id="74"/>
    </w:p>
    <w:p w:rsidR="00C05038" w:rsidRDefault="00C05038" w:rsidP="00C05038">
      <w:r>
        <w:t>In reaching our draft decision, we considered whether:</w:t>
      </w:r>
    </w:p>
    <w:p w:rsidR="00C05038" w:rsidRDefault="00C05038" w:rsidP="00C05038">
      <w:pPr>
        <w:pStyle w:val="AERbulletlistfirststyle"/>
      </w:pPr>
      <w:r>
        <w:t>Powerlink’s proposed negotiating framework specified the minimum requirements in clause 6A.9.5(c) of the NER</w:t>
      </w:r>
      <w:r>
        <w:rPr>
          <w:rStyle w:val="FootnoteReference"/>
        </w:rPr>
        <w:footnoteReference w:id="12"/>
      </w:r>
      <w:r>
        <w:t xml:space="preserve">  </w:t>
      </w:r>
    </w:p>
    <w:p w:rsidR="00132D43" w:rsidRDefault="00C05038" w:rsidP="00C05038">
      <w:pPr>
        <w:pStyle w:val="AERbulletlistfirststyle"/>
      </w:pPr>
      <w:r>
        <w:t>the NTSC reflect</w:t>
      </w:r>
      <w:r w:rsidR="000E7B8D">
        <w:t>s</w:t>
      </w:r>
      <w:r>
        <w:t xml:space="preserve"> the negotiated transmission service principles in clause 6A.9.1 of the NER.</w:t>
      </w:r>
      <w:r>
        <w:rPr>
          <w:rStyle w:val="FootnoteReference"/>
        </w:rPr>
        <w:footnoteReference w:id="13"/>
      </w:r>
    </w:p>
    <w:p w:rsidR="008775A5" w:rsidRDefault="00132D43" w:rsidP="000D2F3B">
      <w:pPr>
        <w:pStyle w:val="Heading2"/>
      </w:pPr>
      <w:bookmarkStart w:id="75" w:name="_Toc462753019"/>
      <w:r>
        <w:t>Reasons for draft decision</w:t>
      </w:r>
      <w:bookmarkEnd w:id="75"/>
    </w:p>
    <w:p w:rsidR="000D2F3B" w:rsidRPr="000D2F3B" w:rsidRDefault="000D2F3B" w:rsidP="000D2F3B"/>
    <w:p w:rsidR="008775A5" w:rsidRDefault="008775A5" w:rsidP="008775A5">
      <w:pPr>
        <w:numPr>
          <w:ilvl w:val="0"/>
          <w:numId w:val="24"/>
        </w:numPr>
        <w:spacing w:before="0" w:after="240" w:line="288" w:lineRule="auto"/>
        <w:jc w:val="both"/>
      </w:pPr>
      <w:r w:rsidRPr="007318BF">
        <w:t xml:space="preserve">We approve </w:t>
      </w:r>
      <w:r w:rsidR="00121E4E">
        <w:t>Powerlink’s</w:t>
      </w:r>
      <w:r w:rsidRPr="007318BF">
        <w:t xml:space="preserve"> proposed negotiating framework because it specifies</w:t>
      </w:r>
      <w:r>
        <w:t xml:space="preserve"> and meets</w:t>
      </w:r>
      <w:r w:rsidRPr="007318BF">
        <w:t xml:space="preserve"> the minimum NER requirements</w:t>
      </w:r>
      <w:r>
        <w:t>.</w:t>
      </w:r>
      <w:r>
        <w:rPr>
          <w:rStyle w:val="FootnoteReference"/>
        </w:rPr>
        <w:footnoteReference w:id="14"/>
      </w:r>
      <w:r w:rsidRPr="007318BF">
        <w:t xml:space="preserve">  Th</w:t>
      </w:r>
      <w:r>
        <w:t>e</w:t>
      </w:r>
      <w:r w:rsidRPr="007318BF">
        <w:t xml:space="preserve">se include, among other things, </w:t>
      </w:r>
      <w:r w:rsidR="00121E4E">
        <w:t>a requirement for</w:t>
      </w:r>
      <w:r w:rsidRPr="007318BF">
        <w:t xml:space="preserve"> </w:t>
      </w:r>
      <w:r w:rsidR="00121E4E">
        <w:t xml:space="preserve">Powerlink (and the service applicant) to </w:t>
      </w:r>
      <w:r w:rsidRPr="007318BF">
        <w:t>negotiate in good faith</w:t>
      </w:r>
      <w:r w:rsidR="00121E4E">
        <w:t>,</w:t>
      </w:r>
      <w:r w:rsidRPr="007318BF">
        <w:t xml:space="preserve"> and </w:t>
      </w:r>
      <w:r w:rsidR="00121E4E">
        <w:t>that all disputes between the parties will be dealt with in accordance with the NER.</w:t>
      </w:r>
      <w:r w:rsidR="00121E4E">
        <w:rPr>
          <w:rStyle w:val="FootnoteReference"/>
        </w:rPr>
        <w:footnoteReference w:id="15"/>
      </w:r>
    </w:p>
    <w:p w:rsidR="008775A5" w:rsidRDefault="00D23389" w:rsidP="008775A5">
      <w:pPr>
        <w:numPr>
          <w:ilvl w:val="0"/>
          <w:numId w:val="24"/>
        </w:numPr>
        <w:spacing w:before="0" w:after="240" w:line="288" w:lineRule="auto"/>
        <w:jc w:val="both"/>
      </w:pPr>
      <w:r>
        <w:rPr>
          <w:rStyle w:val="AERbody"/>
        </w:rPr>
        <w:fldChar w:fldCharType="begin"/>
      </w:r>
      <w:r>
        <w:rPr>
          <w:rStyle w:val="AERbody"/>
        </w:rPr>
        <w:instrText xml:space="preserve"> REF _Ref400699309 \h </w:instrText>
      </w:r>
      <w:r>
        <w:rPr>
          <w:rStyle w:val="AERbody"/>
        </w:rPr>
      </w:r>
      <w:r>
        <w:rPr>
          <w:rStyle w:val="AERbody"/>
        </w:rPr>
        <w:fldChar w:fldCharType="separate"/>
      </w:r>
      <w:r w:rsidR="002417D2">
        <w:t xml:space="preserve">Table </w:t>
      </w:r>
      <w:r w:rsidR="002417D2">
        <w:rPr>
          <w:noProof/>
        </w:rPr>
        <w:t>14.1</w:t>
      </w:r>
      <w:r>
        <w:rPr>
          <w:rStyle w:val="AERbody"/>
        </w:rPr>
        <w:fldChar w:fldCharType="end"/>
      </w:r>
      <w:r>
        <w:rPr>
          <w:rStyle w:val="AERbody"/>
        </w:rPr>
        <w:t xml:space="preserve"> </w:t>
      </w:r>
      <w:r w:rsidR="008775A5" w:rsidRPr="00CF4568">
        <w:rPr>
          <w:rStyle w:val="AERbody"/>
        </w:rPr>
        <w:t>s</w:t>
      </w:r>
      <w:r w:rsidR="008775A5">
        <w:t xml:space="preserve">ummarises </w:t>
      </w:r>
      <w:r w:rsidR="008775A5" w:rsidRPr="007318BF">
        <w:t xml:space="preserve">our </w:t>
      </w:r>
      <w:r w:rsidR="008775A5">
        <w:t>assessment of</w:t>
      </w:r>
      <w:r w:rsidR="008775A5" w:rsidRPr="007318BF">
        <w:t xml:space="preserve"> </w:t>
      </w:r>
      <w:r w:rsidR="000F4C4C">
        <w:t xml:space="preserve">Powerlink’s </w:t>
      </w:r>
      <w:r w:rsidR="008775A5" w:rsidRPr="007318BF">
        <w:t>proposed negotiating framework. It shows that each of the requirements under the NER for a negotiating framework is satisfactorily addressed.</w:t>
      </w:r>
    </w:p>
    <w:p w:rsidR="008775A5" w:rsidRPr="00ED09CD" w:rsidRDefault="008775A5" w:rsidP="008775A5">
      <w:pPr>
        <w:pStyle w:val="Caption"/>
      </w:pPr>
      <w:bookmarkStart w:id="76" w:name="_Ref400699309"/>
      <w:r>
        <w:lastRenderedPageBreak/>
        <w:t xml:space="preserve">Table </w:t>
      </w:r>
      <w:r w:rsidR="002C77E9">
        <w:rPr>
          <w:noProof/>
        </w:rPr>
        <w:fldChar w:fldCharType="begin"/>
      </w:r>
      <w:r w:rsidR="002C77E9">
        <w:rPr>
          <w:noProof/>
        </w:rPr>
        <w:instrText xml:space="preserve"> STYLEREF 1 \s </w:instrText>
      </w:r>
      <w:r w:rsidR="002C77E9">
        <w:rPr>
          <w:noProof/>
        </w:rPr>
        <w:fldChar w:fldCharType="separate"/>
      </w:r>
      <w:r w:rsidR="002417D2">
        <w:rPr>
          <w:noProof/>
        </w:rPr>
        <w:t>14</w:t>
      </w:r>
      <w:r w:rsidR="002C77E9">
        <w:rPr>
          <w:noProof/>
        </w:rPr>
        <w:fldChar w:fldCharType="end"/>
      </w:r>
      <w:r w:rsidR="002C77E9">
        <w:rPr>
          <w:noProof/>
        </w:rPr>
        <w:t>.</w:t>
      </w:r>
      <w:r w:rsidR="002C77E9">
        <w:rPr>
          <w:noProof/>
        </w:rPr>
        <w:fldChar w:fldCharType="begin"/>
      </w:r>
      <w:r w:rsidR="002C77E9">
        <w:rPr>
          <w:noProof/>
        </w:rPr>
        <w:instrText xml:space="preserve"> SEQ Table \* ARABIC \s 1 </w:instrText>
      </w:r>
      <w:r w:rsidR="002C77E9">
        <w:rPr>
          <w:noProof/>
        </w:rPr>
        <w:fldChar w:fldCharType="separate"/>
      </w:r>
      <w:r w:rsidR="002417D2">
        <w:rPr>
          <w:noProof/>
        </w:rPr>
        <w:t>1</w:t>
      </w:r>
      <w:r w:rsidR="002C77E9">
        <w:rPr>
          <w:noProof/>
        </w:rPr>
        <w:fldChar w:fldCharType="end"/>
      </w:r>
      <w:bookmarkEnd w:id="76"/>
      <w:r>
        <w:tab/>
        <w:t xml:space="preserve">AER's assessment of </w:t>
      </w:r>
      <w:r w:rsidR="000F4C4C">
        <w:t xml:space="preserve">Powerlink’s </w:t>
      </w:r>
      <w:r>
        <w:t>proposed negotiating framework</w:t>
      </w:r>
      <w:r w:rsidR="00D23389">
        <w:rPr>
          <w:rStyle w:val="FootnoteReference"/>
        </w:rPr>
        <w:footnoteReference w:id="16"/>
      </w:r>
    </w:p>
    <w:tbl>
      <w:tblPr>
        <w:tblStyle w:val="AERtable-text0"/>
        <w:tblW w:w="0" w:type="auto"/>
        <w:tblLook w:val="04A0" w:firstRow="1" w:lastRow="0" w:firstColumn="1" w:lastColumn="0" w:noHBand="0" w:noVBand="1"/>
      </w:tblPr>
      <w:tblGrid>
        <w:gridCol w:w="4353"/>
        <w:gridCol w:w="4340"/>
      </w:tblGrid>
      <w:tr w:rsidR="008775A5" w:rsidTr="00952A50">
        <w:trPr>
          <w:cnfStyle w:val="100000000000" w:firstRow="1" w:lastRow="0" w:firstColumn="0" w:lastColumn="0" w:oddVBand="0" w:evenVBand="0" w:oddHBand="0" w:evenHBand="0" w:firstRowFirstColumn="0" w:firstRowLastColumn="0" w:lastRowFirstColumn="0" w:lastRowLastColumn="0"/>
          <w:tblHeader/>
        </w:trPr>
        <w:tc>
          <w:tcPr>
            <w:tcW w:w="4621" w:type="dxa"/>
          </w:tcPr>
          <w:p w:rsidR="008775A5" w:rsidRDefault="008775A5" w:rsidP="00952A50">
            <w:r>
              <w:t>NER requirements</w:t>
            </w:r>
          </w:p>
        </w:tc>
        <w:tc>
          <w:tcPr>
            <w:tcW w:w="4621" w:type="dxa"/>
          </w:tcPr>
          <w:p w:rsidR="008775A5" w:rsidRDefault="008775A5" w:rsidP="00952A50">
            <w:r>
              <w:t>AER assessment</w:t>
            </w:r>
          </w:p>
        </w:tc>
      </w:tr>
      <w:tr w:rsidR="008775A5" w:rsidTr="00952A50">
        <w:tc>
          <w:tcPr>
            <w:tcW w:w="4621" w:type="dxa"/>
          </w:tcPr>
          <w:p w:rsidR="008775A5" w:rsidRPr="00E727E1" w:rsidRDefault="008775A5" w:rsidP="00D23389">
            <w:pPr>
              <w:numPr>
                <w:ilvl w:val="0"/>
                <w:numId w:val="24"/>
              </w:numPr>
              <w:spacing w:after="240" w:line="288" w:lineRule="auto"/>
              <w:jc w:val="both"/>
            </w:pPr>
            <w:r w:rsidRPr="007318BF">
              <w:t xml:space="preserve">Requirement for </w:t>
            </w:r>
            <w:r w:rsidR="000F4C4C">
              <w:t>Powerlink</w:t>
            </w:r>
            <w:r w:rsidR="000F4C4C" w:rsidRPr="00E727E1">
              <w:t xml:space="preserve"> </w:t>
            </w:r>
            <w:r w:rsidRPr="00E727E1">
              <w:t xml:space="preserve">and the applicant </w:t>
            </w:r>
            <w:r w:rsidR="00D23389">
              <w:t>for</w:t>
            </w:r>
            <w:r w:rsidR="00D23389" w:rsidRPr="00E727E1">
              <w:t xml:space="preserve"> </w:t>
            </w:r>
            <w:r w:rsidRPr="00E727E1">
              <w:t>a negotiated transmission service to negotiate in good faith—clause 6A.9.5(c)(1)</w:t>
            </w:r>
          </w:p>
        </w:tc>
        <w:tc>
          <w:tcPr>
            <w:tcW w:w="4621" w:type="dxa"/>
          </w:tcPr>
          <w:p w:rsidR="008775A5" w:rsidRPr="00E727E1" w:rsidRDefault="00D23389" w:rsidP="00D23389">
            <w:pPr>
              <w:numPr>
                <w:ilvl w:val="0"/>
                <w:numId w:val="24"/>
              </w:numPr>
              <w:spacing w:after="240" w:line="288" w:lineRule="auto"/>
              <w:jc w:val="both"/>
            </w:pPr>
            <w:r>
              <w:t>Paragraph 2</w:t>
            </w:r>
            <w:r w:rsidR="008775A5">
              <w:t xml:space="preserve"> of </w:t>
            </w:r>
            <w:r w:rsidR="000E7B8D">
              <w:t xml:space="preserve">Powerlink’s </w:t>
            </w:r>
            <w:r w:rsidR="008775A5">
              <w:t>proposed negotiating framework complies with this requirement.</w:t>
            </w:r>
          </w:p>
        </w:tc>
      </w:tr>
      <w:tr w:rsidR="008775A5" w:rsidTr="00952A50">
        <w:trPr>
          <w:cnfStyle w:val="000000010000" w:firstRow="0" w:lastRow="0" w:firstColumn="0" w:lastColumn="0" w:oddVBand="0" w:evenVBand="0" w:oddHBand="0" w:evenHBand="1" w:firstRowFirstColumn="0" w:firstRowLastColumn="0" w:lastRowFirstColumn="0" w:lastRowLastColumn="0"/>
        </w:trPr>
        <w:tc>
          <w:tcPr>
            <w:tcW w:w="4621" w:type="dxa"/>
          </w:tcPr>
          <w:p w:rsidR="008775A5" w:rsidRPr="00E727E1" w:rsidRDefault="008775A5" w:rsidP="000F4C4C">
            <w:pPr>
              <w:numPr>
                <w:ilvl w:val="0"/>
                <w:numId w:val="24"/>
              </w:numPr>
              <w:spacing w:after="240" w:line="288" w:lineRule="auto"/>
              <w:jc w:val="both"/>
            </w:pPr>
            <w:r w:rsidRPr="007318BF">
              <w:t xml:space="preserve">Requirement for </w:t>
            </w:r>
            <w:r w:rsidR="000F4C4C">
              <w:t>Powerlink</w:t>
            </w:r>
            <w:r w:rsidR="000F4C4C" w:rsidRPr="00E727E1">
              <w:t xml:space="preserve"> </w:t>
            </w:r>
            <w:r w:rsidRPr="00E727E1">
              <w:t>to provide all such commercial information reasonably required to enable the applicant of a negotiated transmission service to engage in effective negotiations—clause 6A.9.5(c)(2)</w:t>
            </w:r>
          </w:p>
        </w:tc>
        <w:tc>
          <w:tcPr>
            <w:tcW w:w="4621" w:type="dxa"/>
          </w:tcPr>
          <w:p w:rsidR="008775A5" w:rsidRPr="00E727E1" w:rsidRDefault="00D23389" w:rsidP="00D23389">
            <w:pPr>
              <w:numPr>
                <w:ilvl w:val="0"/>
                <w:numId w:val="24"/>
              </w:numPr>
              <w:spacing w:after="240" w:line="288" w:lineRule="auto"/>
              <w:jc w:val="both"/>
            </w:pPr>
            <w:r>
              <w:t>Paragraph 6</w:t>
            </w:r>
            <w:r w:rsidR="008775A5">
              <w:t xml:space="preserve"> </w:t>
            </w:r>
            <w:r w:rsidR="008775A5" w:rsidRPr="00E727E1">
              <w:t xml:space="preserve">of </w:t>
            </w:r>
            <w:r>
              <w:t>Powerlink’s</w:t>
            </w:r>
            <w:r w:rsidRPr="00E727E1">
              <w:t xml:space="preserve"> </w:t>
            </w:r>
            <w:r w:rsidR="008775A5" w:rsidRPr="00E727E1">
              <w:t>proposed negotiating framework complies with this requirement.</w:t>
            </w:r>
          </w:p>
        </w:tc>
      </w:tr>
      <w:tr w:rsidR="008775A5" w:rsidTr="00952A50">
        <w:tc>
          <w:tcPr>
            <w:tcW w:w="4621" w:type="dxa"/>
          </w:tcPr>
          <w:p w:rsidR="008775A5" w:rsidRPr="00E727E1" w:rsidRDefault="008775A5" w:rsidP="000F4C4C">
            <w:pPr>
              <w:numPr>
                <w:ilvl w:val="0"/>
                <w:numId w:val="24"/>
              </w:numPr>
              <w:spacing w:after="240" w:line="288" w:lineRule="auto"/>
              <w:jc w:val="both"/>
            </w:pPr>
            <w:r w:rsidRPr="007318BF">
              <w:t xml:space="preserve">Requirement for </w:t>
            </w:r>
            <w:r w:rsidR="000F4C4C">
              <w:t>Powerlink</w:t>
            </w:r>
            <w:r w:rsidR="000F4C4C" w:rsidRPr="00E727E1">
              <w:t xml:space="preserve"> </w:t>
            </w:r>
            <w:r w:rsidRPr="00E727E1">
              <w:t>to identify and inform the negotiated transmission service applicant of the reasonable costs of providing the negotiated service; and demonstrate that charges reflect costs—clause 6A.9.5(c)(3)</w:t>
            </w:r>
          </w:p>
        </w:tc>
        <w:tc>
          <w:tcPr>
            <w:tcW w:w="4621" w:type="dxa"/>
          </w:tcPr>
          <w:p w:rsidR="008775A5" w:rsidRPr="00E727E1" w:rsidRDefault="003B5CE1" w:rsidP="003B5CE1">
            <w:pPr>
              <w:numPr>
                <w:ilvl w:val="0"/>
                <w:numId w:val="24"/>
              </w:numPr>
              <w:spacing w:after="240" w:line="288" w:lineRule="auto"/>
              <w:jc w:val="both"/>
            </w:pPr>
            <w:r>
              <w:t>Paragraphs 6.1.2 and 6.1.3</w:t>
            </w:r>
            <w:r w:rsidR="008775A5">
              <w:t xml:space="preserve"> </w:t>
            </w:r>
            <w:r w:rsidR="008775A5" w:rsidRPr="00E727E1">
              <w:t xml:space="preserve">of </w:t>
            </w:r>
            <w:r>
              <w:t>Powerlink’s</w:t>
            </w:r>
            <w:r w:rsidRPr="00E727E1">
              <w:t xml:space="preserve"> </w:t>
            </w:r>
            <w:r w:rsidR="008775A5" w:rsidRPr="00E727E1">
              <w:t>proposed negotiating framework complies with this requirement.</w:t>
            </w:r>
          </w:p>
        </w:tc>
      </w:tr>
      <w:tr w:rsidR="008775A5" w:rsidTr="00952A50">
        <w:trPr>
          <w:cnfStyle w:val="000000010000" w:firstRow="0" w:lastRow="0" w:firstColumn="0" w:lastColumn="0" w:oddVBand="0" w:evenVBand="0" w:oddHBand="0" w:evenHBand="1" w:firstRowFirstColumn="0" w:firstRowLastColumn="0" w:lastRowFirstColumn="0" w:lastRowLastColumn="0"/>
        </w:trPr>
        <w:tc>
          <w:tcPr>
            <w:tcW w:w="4621" w:type="dxa"/>
          </w:tcPr>
          <w:p w:rsidR="008775A5" w:rsidRPr="00E727E1" w:rsidRDefault="008775A5" w:rsidP="00D23389">
            <w:pPr>
              <w:numPr>
                <w:ilvl w:val="0"/>
                <w:numId w:val="24"/>
              </w:numPr>
              <w:spacing w:after="240" w:line="288" w:lineRule="auto"/>
              <w:jc w:val="both"/>
            </w:pPr>
            <w:r w:rsidRPr="007318BF">
              <w:t xml:space="preserve">Requirement for a negotiated transmission service applicant to provide all such commercial information reasonably required to enable </w:t>
            </w:r>
            <w:r w:rsidR="00D23389">
              <w:t>Powerlink</w:t>
            </w:r>
            <w:r w:rsidR="00D23389" w:rsidRPr="00E727E1">
              <w:t xml:space="preserve"> </w:t>
            </w:r>
            <w:r w:rsidRPr="00E727E1">
              <w:t>to engage in effective negotiation—clause 6A.9.5(c)(4)</w:t>
            </w:r>
          </w:p>
        </w:tc>
        <w:tc>
          <w:tcPr>
            <w:tcW w:w="4621" w:type="dxa"/>
          </w:tcPr>
          <w:p w:rsidR="008775A5" w:rsidRPr="00E727E1" w:rsidRDefault="003B5CE1" w:rsidP="003B5CE1">
            <w:pPr>
              <w:numPr>
                <w:ilvl w:val="0"/>
                <w:numId w:val="24"/>
              </w:numPr>
              <w:spacing w:after="240" w:line="288" w:lineRule="auto"/>
              <w:jc w:val="both"/>
            </w:pPr>
            <w:r>
              <w:t>Paragraphs 4 and 5</w:t>
            </w:r>
            <w:r w:rsidR="008775A5">
              <w:t xml:space="preserve"> </w:t>
            </w:r>
            <w:r w:rsidR="008775A5" w:rsidRPr="00E727E1">
              <w:t xml:space="preserve">of </w:t>
            </w:r>
            <w:r>
              <w:t>Powerlink’s</w:t>
            </w:r>
            <w:r w:rsidRPr="00E727E1">
              <w:t xml:space="preserve"> </w:t>
            </w:r>
            <w:r w:rsidR="008775A5" w:rsidRPr="00E727E1">
              <w:t>proposed negotiating framework complies with this requirement.</w:t>
            </w:r>
          </w:p>
        </w:tc>
      </w:tr>
      <w:tr w:rsidR="008775A5" w:rsidTr="00952A50">
        <w:tc>
          <w:tcPr>
            <w:tcW w:w="4621" w:type="dxa"/>
          </w:tcPr>
          <w:p w:rsidR="008775A5" w:rsidRPr="00E727E1" w:rsidRDefault="008775A5" w:rsidP="008775A5">
            <w:pPr>
              <w:numPr>
                <w:ilvl w:val="0"/>
                <w:numId w:val="24"/>
              </w:numPr>
              <w:spacing w:after="240" w:line="288" w:lineRule="auto"/>
              <w:jc w:val="both"/>
            </w:pPr>
            <w:r w:rsidRPr="007318BF">
              <w:t>Requirement to specify a reasonable period of time for commencing, progressing and finalising negotiations; and a requirement for each party to use their reasonable endeavours to adhere to those time periods during the negotiation—clause 6A.9.5(c)(5)</w:t>
            </w:r>
          </w:p>
        </w:tc>
        <w:tc>
          <w:tcPr>
            <w:tcW w:w="4621" w:type="dxa"/>
          </w:tcPr>
          <w:p w:rsidR="008775A5" w:rsidRPr="00E727E1" w:rsidRDefault="003B5CE1" w:rsidP="003B5CE1">
            <w:pPr>
              <w:numPr>
                <w:ilvl w:val="0"/>
                <w:numId w:val="24"/>
              </w:numPr>
              <w:spacing w:after="240" w:line="288" w:lineRule="auto"/>
              <w:jc w:val="both"/>
            </w:pPr>
            <w:r>
              <w:t>Paragraph</w:t>
            </w:r>
            <w:r w:rsidR="00952A50">
              <w:t>s</w:t>
            </w:r>
            <w:r>
              <w:t xml:space="preserve"> 3</w:t>
            </w:r>
            <w:r w:rsidR="00952A50">
              <w:t xml:space="preserve"> and 8</w:t>
            </w:r>
            <w:r w:rsidR="008775A5">
              <w:t xml:space="preserve"> </w:t>
            </w:r>
            <w:r w:rsidR="008775A5" w:rsidRPr="00E727E1">
              <w:t xml:space="preserve">of </w:t>
            </w:r>
            <w:r>
              <w:t>Powerlink’s</w:t>
            </w:r>
            <w:r w:rsidRPr="00E727E1">
              <w:t xml:space="preserve"> </w:t>
            </w:r>
            <w:r w:rsidR="008775A5" w:rsidRPr="00E727E1">
              <w:t>proposed negotiating framework complies with this requirement.</w:t>
            </w:r>
          </w:p>
        </w:tc>
      </w:tr>
      <w:tr w:rsidR="008775A5" w:rsidTr="00952A50">
        <w:trPr>
          <w:cnfStyle w:val="000000010000" w:firstRow="0" w:lastRow="0" w:firstColumn="0" w:lastColumn="0" w:oddVBand="0" w:evenVBand="0" w:oddHBand="0" w:evenHBand="1" w:firstRowFirstColumn="0" w:firstRowLastColumn="0" w:lastRowFirstColumn="0" w:lastRowLastColumn="0"/>
        </w:trPr>
        <w:tc>
          <w:tcPr>
            <w:tcW w:w="4621" w:type="dxa"/>
          </w:tcPr>
          <w:p w:rsidR="008775A5" w:rsidRPr="00E727E1" w:rsidRDefault="008775A5" w:rsidP="008775A5">
            <w:pPr>
              <w:numPr>
                <w:ilvl w:val="0"/>
                <w:numId w:val="24"/>
              </w:numPr>
              <w:spacing w:after="240" w:line="288" w:lineRule="auto"/>
              <w:jc w:val="both"/>
            </w:pPr>
            <w:r w:rsidRPr="007318BF">
              <w:t>Requirement to specify a process for disputes to be dealt with in accordance with the relevant provisions for dispute resolution —clause 6A.9.5(c)(6)</w:t>
            </w:r>
          </w:p>
        </w:tc>
        <w:tc>
          <w:tcPr>
            <w:tcW w:w="4621" w:type="dxa"/>
          </w:tcPr>
          <w:p w:rsidR="008775A5" w:rsidRPr="00E727E1" w:rsidRDefault="00FD69B4" w:rsidP="00FD69B4">
            <w:pPr>
              <w:numPr>
                <w:ilvl w:val="0"/>
                <w:numId w:val="24"/>
              </w:numPr>
              <w:spacing w:after="240" w:line="288" w:lineRule="auto"/>
              <w:jc w:val="both"/>
            </w:pPr>
            <w:r>
              <w:t>Paragraph</w:t>
            </w:r>
            <w:r w:rsidR="00952A50">
              <w:t>s</w:t>
            </w:r>
            <w:r>
              <w:t xml:space="preserve"> 9</w:t>
            </w:r>
            <w:r w:rsidR="00952A50">
              <w:t xml:space="preserve"> and 8.1.2</w:t>
            </w:r>
            <w:r w:rsidR="008775A5">
              <w:t xml:space="preserve"> </w:t>
            </w:r>
            <w:r w:rsidR="008775A5" w:rsidRPr="00E727E1">
              <w:t xml:space="preserve">of </w:t>
            </w:r>
            <w:r>
              <w:t>Powerlink’s</w:t>
            </w:r>
            <w:r w:rsidRPr="00E727E1">
              <w:t xml:space="preserve"> </w:t>
            </w:r>
            <w:r w:rsidR="008775A5" w:rsidRPr="00E727E1">
              <w:t>proposed negotiating framework complies with this requirement.</w:t>
            </w:r>
          </w:p>
        </w:tc>
      </w:tr>
      <w:tr w:rsidR="008775A5" w:rsidTr="00952A50">
        <w:tc>
          <w:tcPr>
            <w:tcW w:w="4621" w:type="dxa"/>
          </w:tcPr>
          <w:p w:rsidR="008775A5" w:rsidRPr="00E727E1" w:rsidRDefault="008775A5" w:rsidP="00D23389">
            <w:pPr>
              <w:numPr>
                <w:ilvl w:val="0"/>
                <w:numId w:val="24"/>
              </w:numPr>
              <w:spacing w:after="240" w:line="288" w:lineRule="auto"/>
              <w:jc w:val="both"/>
            </w:pPr>
            <w:r w:rsidRPr="007318BF">
              <w:t xml:space="preserve">Requirement to specify arrangements for the payment of </w:t>
            </w:r>
            <w:r w:rsidR="00D23389">
              <w:t>Powerlink’s</w:t>
            </w:r>
            <w:r w:rsidR="00D23389" w:rsidRPr="00E727E1">
              <w:t xml:space="preserve"> </w:t>
            </w:r>
            <w:r w:rsidRPr="00E727E1">
              <w:t>reasonable direct expenses incurred in processing the application to provide the negotiated transmission service—clause 6A.9.5(c)(7)</w:t>
            </w:r>
          </w:p>
        </w:tc>
        <w:tc>
          <w:tcPr>
            <w:tcW w:w="4621" w:type="dxa"/>
          </w:tcPr>
          <w:p w:rsidR="008775A5" w:rsidRPr="00E727E1" w:rsidRDefault="00FD69B4" w:rsidP="00FD69B4">
            <w:pPr>
              <w:numPr>
                <w:ilvl w:val="0"/>
                <w:numId w:val="24"/>
              </w:numPr>
              <w:spacing w:after="240" w:line="288" w:lineRule="auto"/>
              <w:jc w:val="both"/>
            </w:pPr>
            <w:r>
              <w:t>Paragraph 10</w:t>
            </w:r>
            <w:r w:rsidR="008775A5">
              <w:t xml:space="preserve"> </w:t>
            </w:r>
            <w:r w:rsidR="008775A5" w:rsidRPr="00E727E1">
              <w:t xml:space="preserve">of </w:t>
            </w:r>
            <w:r>
              <w:t>Powerlink’s</w:t>
            </w:r>
            <w:r w:rsidRPr="00E727E1">
              <w:t xml:space="preserve"> </w:t>
            </w:r>
            <w:r w:rsidR="008775A5" w:rsidRPr="00E727E1">
              <w:t>proposed negotiating framework complies with this requirement.</w:t>
            </w:r>
          </w:p>
        </w:tc>
      </w:tr>
      <w:tr w:rsidR="008775A5" w:rsidTr="00952A50">
        <w:trPr>
          <w:cnfStyle w:val="000000010000" w:firstRow="0" w:lastRow="0" w:firstColumn="0" w:lastColumn="0" w:oddVBand="0" w:evenVBand="0" w:oddHBand="0" w:evenHBand="1" w:firstRowFirstColumn="0" w:firstRowLastColumn="0" w:lastRowFirstColumn="0" w:lastRowLastColumn="0"/>
        </w:trPr>
        <w:tc>
          <w:tcPr>
            <w:tcW w:w="4621" w:type="dxa"/>
          </w:tcPr>
          <w:p w:rsidR="008775A5" w:rsidRPr="00E727E1" w:rsidRDefault="008775A5" w:rsidP="00D23389">
            <w:pPr>
              <w:numPr>
                <w:ilvl w:val="0"/>
                <w:numId w:val="24"/>
              </w:numPr>
              <w:spacing w:after="240" w:line="288" w:lineRule="auto"/>
              <w:jc w:val="both"/>
            </w:pPr>
            <w:r w:rsidRPr="007318BF">
              <w:t xml:space="preserve">Requirement for </w:t>
            </w:r>
            <w:r w:rsidR="00D23389">
              <w:t>Powerlink</w:t>
            </w:r>
            <w:r w:rsidR="00D23389" w:rsidRPr="00E727E1">
              <w:t xml:space="preserve"> </w:t>
            </w:r>
            <w:r w:rsidRPr="00E727E1">
              <w:t>to determine the potential impact of the provision of a negotiated transmission service on other network users—clause 6A.9.5(c)(8)</w:t>
            </w:r>
          </w:p>
        </w:tc>
        <w:tc>
          <w:tcPr>
            <w:tcW w:w="4621" w:type="dxa"/>
          </w:tcPr>
          <w:p w:rsidR="008775A5" w:rsidRPr="00E727E1" w:rsidRDefault="00FD69B4" w:rsidP="00FD69B4">
            <w:pPr>
              <w:numPr>
                <w:ilvl w:val="0"/>
                <w:numId w:val="24"/>
              </w:numPr>
              <w:spacing w:after="240" w:line="288" w:lineRule="auto"/>
              <w:jc w:val="both"/>
            </w:pPr>
            <w:r>
              <w:t>Paragraph 7.1</w:t>
            </w:r>
            <w:r w:rsidR="008775A5">
              <w:t xml:space="preserve"> </w:t>
            </w:r>
            <w:r w:rsidR="008775A5" w:rsidRPr="00E727E1">
              <w:t xml:space="preserve">of </w:t>
            </w:r>
            <w:r>
              <w:t>Powerlink’s</w:t>
            </w:r>
            <w:r w:rsidRPr="00E727E1">
              <w:t xml:space="preserve"> </w:t>
            </w:r>
            <w:r w:rsidR="008775A5" w:rsidRPr="00E727E1">
              <w:t>proposed negotiating framework complies with this requirement.</w:t>
            </w:r>
          </w:p>
        </w:tc>
      </w:tr>
      <w:tr w:rsidR="008775A5" w:rsidTr="00952A50">
        <w:tc>
          <w:tcPr>
            <w:tcW w:w="4621" w:type="dxa"/>
          </w:tcPr>
          <w:p w:rsidR="008775A5" w:rsidRPr="00E727E1" w:rsidRDefault="008775A5" w:rsidP="00D23389">
            <w:pPr>
              <w:numPr>
                <w:ilvl w:val="0"/>
                <w:numId w:val="24"/>
              </w:numPr>
              <w:spacing w:after="240" w:line="288" w:lineRule="auto"/>
              <w:jc w:val="both"/>
            </w:pPr>
            <w:r w:rsidRPr="007318BF">
              <w:t xml:space="preserve">Requirement for </w:t>
            </w:r>
            <w:r w:rsidR="00D23389">
              <w:t>Powerlink</w:t>
            </w:r>
            <w:r w:rsidR="00D23389" w:rsidRPr="00E727E1">
              <w:t xml:space="preserve"> </w:t>
            </w:r>
            <w:r w:rsidRPr="00E727E1">
              <w:t xml:space="preserve">to notify and consult with any affected network user and ensure the negotiated transmission service does not result in noncompliance with obligations in relation to other network users under </w:t>
            </w:r>
            <w:r w:rsidRPr="00E727E1">
              <w:lastRenderedPageBreak/>
              <w:t>the NER—clause 6A.9.5(c)(9)</w:t>
            </w:r>
          </w:p>
        </w:tc>
        <w:tc>
          <w:tcPr>
            <w:tcW w:w="4621" w:type="dxa"/>
          </w:tcPr>
          <w:p w:rsidR="008775A5" w:rsidRPr="00E727E1" w:rsidRDefault="0073407A" w:rsidP="0073407A">
            <w:pPr>
              <w:numPr>
                <w:ilvl w:val="0"/>
                <w:numId w:val="24"/>
              </w:numPr>
              <w:spacing w:after="240" w:line="288" w:lineRule="auto"/>
              <w:jc w:val="both"/>
            </w:pPr>
            <w:r>
              <w:lastRenderedPageBreak/>
              <w:t>Paragraph 7.2</w:t>
            </w:r>
            <w:r w:rsidR="008775A5">
              <w:t xml:space="preserve"> </w:t>
            </w:r>
            <w:r w:rsidR="008775A5" w:rsidRPr="00E727E1">
              <w:t xml:space="preserve">of </w:t>
            </w:r>
            <w:r>
              <w:t>Powerlink’s</w:t>
            </w:r>
            <w:r w:rsidRPr="00E727E1">
              <w:t xml:space="preserve"> </w:t>
            </w:r>
            <w:r w:rsidR="008775A5" w:rsidRPr="00E727E1">
              <w:t>proposed negotiating framework complies with this requirement.</w:t>
            </w:r>
          </w:p>
        </w:tc>
      </w:tr>
    </w:tbl>
    <w:p w:rsidR="008775A5" w:rsidRDefault="00952A50" w:rsidP="002535AD">
      <w:pPr>
        <w:pStyle w:val="AERtablesource"/>
      </w:pPr>
      <w:r>
        <w:lastRenderedPageBreak/>
        <w:t>Source: AER analysis</w:t>
      </w:r>
    </w:p>
    <w:p w:rsidR="008775A5" w:rsidRPr="007318BF" w:rsidRDefault="008775A5" w:rsidP="00EF5953">
      <w:pPr>
        <w:pStyle w:val="Heading2"/>
      </w:pPr>
      <w:bookmarkStart w:id="77" w:name="_Toc462753020"/>
      <w:r>
        <w:t>Negotiated transmission service criteria</w:t>
      </w:r>
      <w:bookmarkEnd w:id="77"/>
    </w:p>
    <w:p w:rsidR="001C725E" w:rsidRDefault="002C77E9" w:rsidP="005726C9">
      <w:pPr>
        <w:pStyle w:val="AERbulletlistfirststyle"/>
        <w:numPr>
          <w:ilvl w:val="0"/>
          <w:numId w:val="0"/>
        </w:numPr>
      </w:pPr>
      <w:r>
        <w:t>Our draft decision NTSC is set out in</w:t>
      </w:r>
      <w:r w:rsidR="00AA76DD">
        <w:t xml:space="preserve"> Appendix A of this attachment. </w:t>
      </w:r>
    </w:p>
    <w:p w:rsidR="002C77E9" w:rsidRDefault="002C77E9" w:rsidP="002C77E9">
      <w:pPr>
        <w:pStyle w:val="AERbulletlistfirststyle"/>
        <w:numPr>
          <w:ilvl w:val="0"/>
          <w:numId w:val="0"/>
        </w:numPr>
      </w:pPr>
      <w:r>
        <w:t>I</w:t>
      </w:r>
      <w:r w:rsidR="000E7B8D">
        <w:t xml:space="preserve">n February 2015, we published an invitation for submissions on the </w:t>
      </w:r>
      <w:r>
        <w:t xml:space="preserve">NTSC that we considered should be applied to Powerlink. The NSTC we published consisted of the same criteria set out in Appendix A. </w:t>
      </w:r>
    </w:p>
    <w:p w:rsidR="00810C2B" w:rsidRDefault="008258CE" w:rsidP="002C77E9">
      <w:pPr>
        <w:pStyle w:val="AERbulletlistfirststyle"/>
        <w:numPr>
          <w:ilvl w:val="0"/>
          <w:numId w:val="0"/>
        </w:numPr>
      </w:pPr>
      <w:r>
        <w:t>We consider the proposed negotiating framework is consistent with the requir</w:t>
      </w:r>
      <w:r w:rsidR="002A310F">
        <w:t>e</w:t>
      </w:r>
      <w:r>
        <w:t xml:space="preserve">ments of the NER as set out in the </w:t>
      </w:r>
      <w:r w:rsidR="006548F9">
        <w:fldChar w:fldCharType="begin"/>
      </w:r>
      <w:r w:rsidR="006548F9">
        <w:instrText xml:space="preserve"> REF _Ref400699309 \h </w:instrText>
      </w:r>
      <w:r w:rsidR="006548F9">
        <w:fldChar w:fldCharType="separate"/>
      </w:r>
      <w:r w:rsidR="002417D2">
        <w:t xml:space="preserve">Table </w:t>
      </w:r>
      <w:r w:rsidR="002417D2">
        <w:rPr>
          <w:noProof/>
        </w:rPr>
        <w:t>14.1</w:t>
      </w:r>
      <w:r w:rsidR="006548F9">
        <w:fldChar w:fldCharType="end"/>
      </w:r>
      <w:r w:rsidR="002A310F">
        <w:t>above. Further</w:t>
      </w:r>
      <w:r w:rsidR="00343EB6">
        <w:t>, we consider the NTSC we published is consistent with previous criteria we have applied for other TNSPs</w:t>
      </w:r>
      <w:r w:rsidR="00C24102">
        <w:t xml:space="preserve"> and consistent with the negotiated transmission services principles</w:t>
      </w:r>
      <w:r w:rsidR="00C62B77">
        <w:t>.</w:t>
      </w:r>
      <w:r w:rsidR="006548F9">
        <w:rPr>
          <w:rStyle w:val="FootnoteReference"/>
        </w:rPr>
        <w:footnoteReference w:id="17"/>
      </w:r>
      <w:r w:rsidR="00343EB6">
        <w:t xml:space="preserve"> However, in response to our </w:t>
      </w:r>
      <w:r w:rsidR="00341AA4">
        <w:t xml:space="preserve">proposed </w:t>
      </w:r>
      <w:r w:rsidR="00343EB6">
        <w:t>NTSC, we received a submission from Aurizon Operations Limited (Aurizon) which stated it had a number of concerns with the proposed NTSC and sought several amendments to the criteria. These are discussed below together with our preliminary views on the Aurizon propos</w:t>
      </w:r>
      <w:r w:rsidR="006548F9">
        <w:t>ed amendments</w:t>
      </w:r>
      <w:r w:rsidR="00343EB6">
        <w:t>.</w:t>
      </w:r>
      <w:r>
        <w:t xml:space="preserve"> </w:t>
      </w:r>
      <w:r w:rsidR="00C24102">
        <w:t>Our draft position is that the proposed amendments are not consistent with the negotiated transmission services principles.</w:t>
      </w:r>
    </w:p>
    <w:p w:rsidR="005726C9" w:rsidRDefault="009976A3" w:rsidP="006548F9">
      <w:pPr>
        <w:pStyle w:val="Heading3"/>
      </w:pPr>
      <w:bookmarkStart w:id="78" w:name="_Toc462753021"/>
      <w:r>
        <w:t>Background</w:t>
      </w:r>
      <w:bookmarkEnd w:id="78"/>
    </w:p>
    <w:p w:rsidR="00A3348D" w:rsidRDefault="00810C2B" w:rsidP="00D91B38">
      <w:pPr>
        <w:pStyle w:val="AERbulletlistfirststyle"/>
        <w:numPr>
          <w:ilvl w:val="0"/>
          <w:numId w:val="0"/>
        </w:numPr>
      </w:pPr>
      <w:r>
        <w:t xml:space="preserve">We </w:t>
      </w:r>
      <w:r w:rsidR="005726C9">
        <w:t xml:space="preserve">are required to </w:t>
      </w:r>
      <w:r w:rsidR="00341AA4">
        <w:t xml:space="preserve">specify </w:t>
      </w:r>
      <w:r w:rsidR="005726C9">
        <w:t>the NTSC</w:t>
      </w:r>
      <w:r w:rsidR="00335A3D">
        <w:t xml:space="preserve"> to be applied to Powerlink </w:t>
      </w:r>
      <w:r w:rsidR="000E23A8">
        <w:t>in</w:t>
      </w:r>
      <w:r w:rsidR="00335A3D">
        <w:t xml:space="preserve"> the 2017–22 regulatory control period. </w:t>
      </w:r>
      <w:r w:rsidR="000E23A8">
        <w:t xml:space="preserve">The NTSC </w:t>
      </w:r>
      <w:r w:rsidR="000E23A8" w:rsidRPr="007C7E45">
        <w:t xml:space="preserve">set out the criteria to be applied by </w:t>
      </w:r>
      <w:r w:rsidR="000E23A8">
        <w:t>Powerlink</w:t>
      </w:r>
      <w:r w:rsidR="000E23A8" w:rsidRPr="007C7E45">
        <w:t xml:space="preserve"> in negotiating terms and conditions of access for negotiated transmission services and any access charges.  </w:t>
      </w:r>
      <w:r w:rsidR="000E23A8">
        <w:t>The NTSC</w:t>
      </w:r>
      <w:r w:rsidR="000E23A8" w:rsidRPr="007C7E45">
        <w:t xml:space="preserve"> also set</w:t>
      </w:r>
      <w:r w:rsidR="005C5470">
        <w:t>s</w:t>
      </w:r>
      <w:r w:rsidR="000E23A8" w:rsidRPr="007C7E45">
        <w:t xml:space="preserve"> out the criteria to be applied by a commercial arbitrator in resolving any dispute in relation to those matters.</w:t>
      </w:r>
      <w:r w:rsidR="000E23A8" w:rsidRPr="007C7E45">
        <w:rPr>
          <w:rStyle w:val="FootnoteReference"/>
        </w:rPr>
        <w:footnoteReference w:id="18"/>
      </w:r>
      <w:r w:rsidR="000E23A8" w:rsidRPr="007C7E45">
        <w:t xml:space="preserve"> </w:t>
      </w:r>
      <w:r w:rsidR="000E23A8">
        <w:t xml:space="preserve">When developing the NTSC, we </w:t>
      </w:r>
      <w:r w:rsidR="00D91B38">
        <w:t>must</w:t>
      </w:r>
      <w:r w:rsidR="000E23A8">
        <w:t xml:space="preserve"> specify criteria that </w:t>
      </w:r>
      <w:r w:rsidR="000E23A8" w:rsidRPr="007C7E45">
        <w:t xml:space="preserve">give effect to and </w:t>
      </w:r>
      <w:r w:rsidR="000E23A8">
        <w:t>are</w:t>
      </w:r>
      <w:r w:rsidR="000E23A8" w:rsidRPr="007C7E45">
        <w:t xml:space="preserve"> consistent with the Negotiated Transmission Service Principles in clause 6A.9.1 of the NER</w:t>
      </w:r>
      <w:r w:rsidR="000E23A8">
        <w:t>.</w:t>
      </w:r>
      <w:r w:rsidR="000E23A8" w:rsidRPr="007C7E45">
        <w:rPr>
          <w:rStyle w:val="FootnoteReference"/>
        </w:rPr>
        <w:footnoteReference w:id="19"/>
      </w:r>
      <w:r w:rsidR="000E23A8">
        <w:t xml:space="preserve"> </w:t>
      </w:r>
    </w:p>
    <w:p w:rsidR="00D91B38" w:rsidRDefault="00E53E2C" w:rsidP="00881559">
      <w:pPr>
        <w:pStyle w:val="Heading3"/>
      </w:pPr>
      <w:bookmarkStart w:id="79" w:name="_Toc462753022"/>
      <w:r>
        <w:t>Submission: proposed</w:t>
      </w:r>
      <w:r w:rsidR="00A3348D">
        <w:t xml:space="preserve"> amended criteria</w:t>
      </w:r>
      <w:bookmarkEnd w:id="79"/>
    </w:p>
    <w:p w:rsidR="000E23A8" w:rsidRDefault="004A65E3" w:rsidP="005726C9">
      <w:pPr>
        <w:pStyle w:val="AERbulletlistfirststyle"/>
        <w:numPr>
          <w:ilvl w:val="0"/>
          <w:numId w:val="0"/>
        </w:numPr>
      </w:pPr>
      <w:r>
        <w:t>We received a</w:t>
      </w:r>
      <w:r w:rsidR="00C66E8A">
        <w:t xml:space="preserve"> submission</w:t>
      </w:r>
      <w:r w:rsidR="00CD0AC4">
        <w:t xml:space="preserve"> f</w:t>
      </w:r>
      <w:r w:rsidR="006548F9">
        <w:t xml:space="preserve">rom Aurizon </w:t>
      </w:r>
      <w:r w:rsidR="00C66E8A">
        <w:t xml:space="preserve">on </w:t>
      </w:r>
      <w:r w:rsidR="00881559">
        <w:t>the NTSC we published in February 201</w:t>
      </w:r>
      <w:r w:rsidR="00341AA4">
        <w:t>6</w:t>
      </w:r>
      <w:r w:rsidR="00C62B77">
        <w:t>.</w:t>
      </w:r>
      <w:r w:rsidR="002535AD">
        <w:rPr>
          <w:rStyle w:val="FootnoteReference"/>
        </w:rPr>
        <w:footnoteReference w:id="20"/>
      </w:r>
      <w:r w:rsidR="00881559">
        <w:t xml:space="preserve"> </w:t>
      </w:r>
      <w:r w:rsidR="00CD0AC4">
        <w:t xml:space="preserve">Aurizon </w:t>
      </w:r>
      <w:r w:rsidR="00073E0C">
        <w:t xml:space="preserve">provides </w:t>
      </w:r>
      <w:r w:rsidR="006D0449">
        <w:t>‘electric traction’</w:t>
      </w:r>
      <w:r w:rsidR="00CC1A6C">
        <w:t xml:space="preserve"> </w:t>
      </w:r>
      <w:r>
        <w:t>for</w:t>
      </w:r>
      <w:r w:rsidR="00CC1A6C">
        <w:t xml:space="preserve"> train operators in the Central Queensland coal network. </w:t>
      </w:r>
      <w:r w:rsidR="00073E0C">
        <w:t>It</w:t>
      </w:r>
      <w:r w:rsidR="006D0449">
        <w:t xml:space="preserve"> </w:t>
      </w:r>
      <w:r w:rsidR="00505D5C">
        <w:t xml:space="preserve">draws its energy from the </w:t>
      </w:r>
      <w:r w:rsidR="00CC1A6C">
        <w:t>national electricity market via connection agreements with</w:t>
      </w:r>
      <w:r>
        <w:t xml:space="preserve"> </w:t>
      </w:r>
      <w:r w:rsidR="00CC1A6C">
        <w:t>Powerlink and Ergon Energy.</w:t>
      </w:r>
    </w:p>
    <w:p w:rsidR="0022242C" w:rsidRDefault="00CD0AC4" w:rsidP="005726C9">
      <w:pPr>
        <w:pStyle w:val="AERbulletlistfirststyle"/>
        <w:numPr>
          <w:ilvl w:val="0"/>
          <w:numId w:val="0"/>
        </w:numPr>
      </w:pPr>
      <w:r>
        <w:t>In its submission, Aurizon</w:t>
      </w:r>
      <w:r w:rsidR="00E53E2C">
        <w:t xml:space="preserve"> stated that a significant number</w:t>
      </w:r>
      <w:r w:rsidR="00C95483">
        <w:t xml:space="preserve"> of</w:t>
      </w:r>
      <w:r w:rsidR="00E53E2C">
        <w:t xml:space="preserve"> its connections with Powerlink are subject to clause 11.6.11 of the NER. </w:t>
      </w:r>
      <w:r w:rsidR="0022242C">
        <w:t xml:space="preserve">This clause grandfathers as </w:t>
      </w:r>
      <w:r w:rsidR="0022242C">
        <w:lastRenderedPageBreak/>
        <w:t xml:space="preserve">‘prescribed connections services’, connection services which were provided by assets that were in </w:t>
      </w:r>
      <w:r w:rsidR="000F71F9">
        <w:t>Powerlink’s</w:t>
      </w:r>
      <w:r w:rsidR="0022242C">
        <w:t xml:space="preserve"> regulatory asset base (or committed to be constructed) as at 9 February 2006. But for </w:t>
      </w:r>
      <w:r w:rsidR="00505D5C">
        <w:t>clause 11.6.11</w:t>
      </w:r>
      <w:r w:rsidR="0022242C">
        <w:t xml:space="preserve">, </w:t>
      </w:r>
      <w:r w:rsidR="00505D5C">
        <w:t>these</w:t>
      </w:r>
      <w:r w:rsidR="0022242C">
        <w:t xml:space="preserve"> connection services would be </w:t>
      </w:r>
      <w:r w:rsidR="00505D5C">
        <w:t>‘</w:t>
      </w:r>
      <w:r w:rsidR="0022242C">
        <w:t>negotiated transmission services</w:t>
      </w:r>
      <w:r w:rsidR="00505D5C">
        <w:t>’</w:t>
      </w:r>
      <w:r w:rsidR="0022242C">
        <w:t xml:space="preserve"> subject to a lighter form of regulat</w:t>
      </w:r>
      <w:r w:rsidR="00073E0C">
        <w:t>ion, being the</w:t>
      </w:r>
      <w:r w:rsidR="0022242C">
        <w:t xml:space="preserve"> commercial </w:t>
      </w:r>
      <w:r w:rsidR="000F71F9">
        <w:t>negotiation/arbitration regime.</w:t>
      </w:r>
    </w:p>
    <w:p w:rsidR="00505D5C" w:rsidRDefault="00505D5C" w:rsidP="005726C9">
      <w:pPr>
        <w:pStyle w:val="AERbulletlistfirststyle"/>
        <w:numPr>
          <w:ilvl w:val="0"/>
          <w:numId w:val="0"/>
        </w:numPr>
      </w:pPr>
      <w:r>
        <w:t>Aurizon</w:t>
      </w:r>
      <w:r w:rsidR="005C5470">
        <w:t>’</w:t>
      </w:r>
      <w:r>
        <w:t xml:space="preserve">s submission noted that it may be required to renegotiate its connection agreement with Powerlink during the 2017–22 regulatory control period. </w:t>
      </w:r>
      <w:r w:rsidR="00D16300">
        <w:t>If this happens the NER provides that the grandfathering provisions in clause 11.6.11 would no longer apply.</w:t>
      </w:r>
      <w:r w:rsidR="00073E0C">
        <w:rPr>
          <w:rStyle w:val="FootnoteReference"/>
        </w:rPr>
        <w:footnoteReference w:id="21"/>
      </w:r>
      <w:r w:rsidR="00D16300">
        <w:t xml:space="preserve"> The effect of this would be that the connection services that Aurizon receives would move from</w:t>
      </w:r>
      <w:r w:rsidR="00073E0C">
        <w:t xml:space="preserve"> a</w:t>
      </w:r>
      <w:r w:rsidR="00D16300">
        <w:t xml:space="preserve"> prescribed to</w:t>
      </w:r>
      <w:r w:rsidR="00073E0C">
        <w:t xml:space="preserve"> a</w:t>
      </w:r>
      <w:r w:rsidR="00D16300">
        <w:t xml:space="preserve"> </w:t>
      </w:r>
      <w:r w:rsidR="00073E0C">
        <w:t>negotiated transmission service</w:t>
      </w:r>
      <w:r w:rsidR="00D16300">
        <w:t>.</w:t>
      </w:r>
      <w:r>
        <w:t xml:space="preserve"> </w:t>
      </w:r>
    </w:p>
    <w:p w:rsidR="00CC1A6C" w:rsidRDefault="000F40FF" w:rsidP="005726C9">
      <w:pPr>
        <w:pStyle w:val="AERbulletlistfirststyle"/>
        <w:numPr>
          <w:ilvl w:val="0"/>
          <w:numId w:val="0"/>
        </w:numPr>
      </w:pPr>
      <w:r>
        <w:t>With the potential for this transition to occur, Aurizon</w:t>
      </w:r>
      <w:r w:rsidR="005C5470">
        <w:t>’</w:t>
      </w:r>
      <w:r>
        <w:t xml:space="preserve">s submission proposed </w:t>
      </w:r>
      <w:r w:rsidR="00073E0C">
        <w:t xml:space="preserve">amendments </w:t>
      </w:r>
      <w:r w:rsidR="00AD6981">
        <w:t>to the NTSC we published</w:t>
      </w:r>
      <w:r>
        <w:t xml:space="preserve">. </w:t>
      </w:r>
      <w:r w:rsidR="002C77E9">
        <w:fldChar w:fldCharType="begin"/>
      </w:r>
      <w:r w:rsidR="002C77E9">
        <w:instrText xml:space="preserve"> REF _Ref458437071 \h </w:instrText>
      </w:r>
      <w:r w:rsidR="002C77E9">
        <w:fldChar w:fldCharType="separate"/>
      </w:r>
      <w:r w:rsidR="002417D2">
        <w:t xml:space="preserve">Table </w:t>
      </w:r>
      <w:r w:rsidR="002417D2">
        <w:rPr>
          <w:noProof/>
        </w:rPr>
        <w:t>14</w:t>
      </w:r>
      <w:r w:rsidR="002417D2">
        <w:t>.</w:t>
      </w:r>
      <w:r w:rsidR="002417D2">
        <w:rPr>
          <w:noProof/>
        </w:rPr>
        <w:t>2</w:t>
      </w:r>
      <w:r w:rsidR="002C77E9">
        <w:fldChar w:fldCharType="end"/>
      </w:r>
      <w:r w:rsidR="002C77E9">
        <w:t xml:space="preserve"> contains each of the amendments </w:t>
      </w:r>
      <w:r w:rsidR="00073E0C">
        <w:t xml:space="preserve">it </w:t>
      </w:r>
      <w:r w:rsidR="002C77E9">
        <w:t xml:space="preserve">proposed </w:t>
      </w:r>
      <w:r w:rsidR="00AD6981">
        <w:t>together with</w:t>
      </w:r>
      <w:r w:rsidR="00CD0AC4">
        <w:t xml:space="preserve"> our draft decision</w:t>
      </w:r>
      <w:r w:rsidR="002C77E9">
        <w:t>.</w:t>
      </w:r>
      <w:r w:rsidR="00CD0AC4">
        <w:t xml:space="preserve"> Our reasons are set out further below.</w:t>
      </w:r>
    </w:p>
    <w:p w:rsidR="005726C9" w:rsidRDefault="002C77E9" w:rsidP="002C77E9">
      <w:pPr>
        <w:pStyle w:val="Caption"/>
      </w:pPr>
      <w:bookmarkStart w:id="80" w:name="_Ref458437071"/>
      <w:r>
        <w:t xml:space="preserve">Table </w:t>
      </w:r>
      <w:r w:rsidR="00577B04">
        <w:fldChar w:fldCharType="begin"/>
      </w:r>
      <w:r w:rsidR="00577B04">
        <w:instrText xml:space="preserve"> STYLEREF 1 \s </w:instrText>
      </w:r>
      <w:r w:rsidR="00577B04">
        <w:fldChar w:fldCharType="separate"/>
      </w:r>
      <w:r w:rsidR="002417D2">
        <w:rPr>
          <w:noProof/>
        </w:rPr>
        <w:t>14</w:t>
      </w:r>
      <w:r w:rsidR="00577B04">
        <w:rPr>
          <w:noProof/>
        </w:rPr>
        <w:fldChar w:fldCharType="end"/>
      </w:r>
      <w:r>
        <w:t>.</w:t>
      </w:r>
      <w:fldSimple w:instr=" SEQ Table \* ARABIC \s 1 ">
        <w:r w:rsidR="002417D2">
          <w:rPr>
            <w:noProof/>
          </w:rPr>
          <w:t>2</w:t>
        </w:r>
      </w:fldSimple>
      <w:bookmarkEnd w:id="80"/>
      <w:r>
        <w:tab/>
        <w:t>Assessment of Aurizon Networks’ proposed amendments</w:t>
      </w:r>
    </w:p>
    <w:tbl>
      <w:tblPr>
        <w:tblStyle w:val="AERtable-text0"/>
        <w:tblW w:w="0" w:type="auto"/>
        <w:tblLook w:val="04A0" w:firstRow="1" w:lastRow="0" w:firstColumn="1" w:lastColumn="0" w:noHBand="0" w:noVBand="1"/>
      </w:tblPr>
      <w:tblGrid>
        <w:gridCol w:w="2897"/>
        <w:gridCol w:w="2898"/>
        <w:gridCol w:w="2898"/>
      </w:tblGrid>
      <w:tr w:rsidR="00F1628D" w:rsidTr="002C77E9">
        <w:trPr>
          <w:cnfStyle w:val="100000000000" w:firstRow="1" w:lastRow="0" w:firstColumn="0" w:lastColumn="0" w:oddVBand="0" w:evenVBand="0" w:oddHBand="0" w:evenHBand="0" w:firstRowFirstColumn="0" w:firstRowLastColumn="0" w:lastRowFirstColumn="0" w:lastRowLastColumn="0"/>
        </w:trPr>
        <w:tc>
          <w:tcPr>
            <w:tcW w:w="5795" w:type="dxa"/>
            <w:gridSpan w:val="2"/>
          </w:tcPr>
          <w:p w:rsidR="00F1628D" w:rsidRDefault="00F1628D" w:rsidP="008775A5">
            <w:pPr>
              <w:pStyle w:val="AERbulletlistfirststyle"/>
              <w:numPr>
                <w:ilvl w:val="0"/>
                <w:numId w:val="0"/>
              </w:numPr>
            </w:pPr>
            <w:r>
              <w:t>Proposed amendments</w:t>
            </w:r>
          </w:p>
        </w:tc>
        <w:tc>
          <w:tcPr>
            <w:tcW w:w="2898" w:type="dxa"/>
          </w:tcPr>
          <w:p w:rsidR="00F1628D" w:rsidRDefault="00F1628D" w:rsidP="008775A5">
            <w:pPr>
              <w:pStyle w:val="AERbulletlistfirststyle"/>
              <w:numPr>
                <w:ilvl w:val="0"/>
                <w:numId w:val="0"/>
              </w:numPr>
            </w:pPr>
            <w:r>
              <w:t>Draft decision</w:t>
            </w:r>
          </w:p>
        </w:tc>
      </w:tr>
      <w:tr w:rsidR="00F1628D" w:rsidTr="00F1628D">
        <w:tc>
          <w:tcPr>
            <w:tcW w:w="2897" w:type="dxa"/>
            <w:vMerge w:val="restart"/>
          </w:tcPr>
          <w:p w:rsidR="00F1628D" w:rsidRDefault="00F1628D" w:rsidP="002C77E9">
            <w:pPr>
              <w:pStyle w:val="AERbulletlistfirststyle"/>
              <w:numPr>
                <w:ilvl w:val="0"/>
                <w:numId w:val="0"/>
              </w:numPr>
            </w:pPr>
            <w:r>
              <w:t>The price for a negotiated transmission service that ceases to be a prescribed transmission service due to the expiry of the term of the connection agreement must have regard to:</w:t>
            </w:r>
          </w:p>
        </w:tc>
        <w:tc>
          <w:tcPr>
            <w:tcW w:w="2898" w:type="dxa"/>
          </w:tcPr>
          <w:p w:rsidR="00F1628D" w:rsidRPr="00F1628D" w:rsidRDefault="00377F1F" w:rsidP="002C77E9">
            <w:pPr>
              <w:pStyle w:val="AERbulletlistfirststyle"/>
              <w:numPr>
                <w:ilvl w:val="0"/>
                <w:numId w:val="0"/>
              </w:numPr>
              <w:rPr>
                <w:rStyle w:val="AERtextunderline"/>
              </w:rPr>
            </w:pPr>
            <w:r>
              <w:rPr>
                <w:rStyle w:val="AERtextunderline"/>
              </w:rPr>
              <w:t>Amendment</w:t>
            </w:r>
            <w:r w:rsidR="00F1628D" w:rsidRPr="00F1628D">
              <w:rPr>
                <w:rStyle w:val="AERtextunderline"/>
              </w:rPr>
              <w:t xml:space="preserve"> </w:t>
            </w:r>
            <w:r w:rsidR="003A1EF2">
              <w:rPr>
                <w:rStyle w:val="AERtextunderline"/>
              </w:rPr>
              <w:t>1</w:t>
            </w:r>
          </w:p>
          <w:p w:rsidR="00F1628D" w:rsidRDefault="00F1628D" w:rsidP="002C77E9">
            <w:pPr>
              <w:pStyle w:val="AERbulletlistfirststyle"/>
              <w:numPr>
                <w:ilvl w:val="0"/>
                <w:numId w:val="0"/>
              </w:numPr>
            </w:pPr>
            <w:r>
              <w:t>The value of the eligible assets that are to be removed from the regulatory asset base</w:t>
            </w:r>
            <w:r w:rsidR="00377F1F">
              <w:t>.</w:t>
            </w:r>
          </w:p>
        </w:tc>
        <w:tc>
          <w:tcPr>
            <w:tcW w:w="2898" w:type="dxa"/>
          </w:tcPr>
          <w:p w:rsidR="00F1628D" w:rsidRDefault="00FB2BCD">
            <w:pPr>
              <w:pStyle w:val="AERbulletlistfirststyle"/>
              <w:numPr>
                <w:ilvl w:val="0"/>
                <w:numId w:val="0"/>
              </w:numPr>
            </w:pPr>
            <w:r>
              <w:t>Not accept.</w:t>
            </w:r>
          </w:p>
        </w:tc>
      </w:tr>
      <w:tr w:rsidR="00F1628D" w:rsidTr="00F1628D">
        <w:trPr>
          <w:cnfStyle w:val="000000010000" w:firstRow="0" w:lastRow="0" w:firstColumn="0" w:lastColumn="0" w:oddVBand="0" w:evenVBand="0" w:oddHBand="0" w:evenHBand="1" w:firstRowFirstColumn="0" w:firstRowLastColumn="0" w:lastRowFirstColumn="0" w:lastRowLastColumn="0"/>
        </w:trPr>
        <w:tc>
          <w:tcPr>
            <w:tcW w:w="2897" w:type="dxa"/>
            <w:vMerge/>
          </w:tcPr>
          <w:p w:rsidR="00F1628D" w:rsidRDefault="00F1628D" w:rsidP="002C77E9">
            <w:pPr>
              <w:pStyle w:val="AERbulletlistfirststyle"/>
              <w:numPr>
                <w:ilvl w:val="0"/>
                <w:numId w:val="0"/>
              </w:numPr>
            </w:pPr>
          </w:p>
        </w:tc>
        <w:tc>
          <w:tcPr>
            <w:tcW w:w="2898" w:type="dxa"/>
          </w:tcPr>
          <w:p w:rsidR="00F1628D" w:rsidRPr="00F1628D" w:rsidRDefault="00377F1F" w:rsidP="002C77E9">
            <w:pPr>
              <w:pStyle w:val="AERbulletlistfirststyle"/>
              <w:numPr>
                <w:ilvl w:val="0"/>
                <w:numId w:val="0"/>
              </w:numPr>
              <w:rPr>
                <w:rStyle w:val="AERtextunderline"/>
              </w:rPr>
            </w:pPr>
            <w:r>
              <w:rPr>
                <w:rStyle w:val="AERtextunderline"/>
              </w:rPr>
              <w:t>Amendment</w:t>
            </w:r>
            <w:r w:rsidR="00F1628D" w:rsidRPr="00F1628D">
              <w:rPr>
                <w:rStyle w:val="AERtextunderline"/>
              </w:rPr>
              <w:t xml:space="preserve"> </w:t>
            </w:r>
            <w:r w:rsidR="003A1EF2">
              <w:rPr>
                <w:rStyle w:val="AERtextunderline"/>
              </w:rPr>
              <w:t>2</w:t>
            </w:r>
          </w:p>
          <w:p w:rsidR="00F1628D" w:rsidRDefault="00F1628D" w:rsidP="002C77E9">
            <w:pPr>
              <w:pStyle w:val="AERbulletlistfirststyle"/>
              <w:numPr>
                <w:ilvl w:val="0"/>
                <w:numId w:val="0"/>
              </w:numPr>
            </w:pPr>
            <w:r>
              <w:t>The costs that were previously allocated to the prescribed transmission service</w:t>
            </w:r>
            <w:r w:rsidR="00377F1F">
              <w:t>.</w:t>
            </w:r>
          </w:p>
        </w:tc>
        <w:tc>
          <w:tcPr>
            <w:tcW w:w="2898" w:type="dxa"/>
          </w:tcPr>
          <w:p w:rsidR="00F1628D" w:rsidRDefault="00FB2BCD" w:rsidP="002C77E9">
            <w:pPr>
              <w:pStyle w:val="AERbulletlistfirststyle"/>
              <w:numPr>
                <w:ilvl w:val="0"/>
                <w:numId w:val="0"/>
              </w:numPr>
            </w:pPr>
            <w:r>
              <w:t>Not accept.</w:t>
            </w:r>
          </w:p>
        </w:tc>
      </w:tr>
      <w:tr w:rsidR="00F1628D" w:rsidTr="00F1628D">
        <w:tc>
          <w:tcPr>
            <w:tcW w:w="2897" w:type="dxa"/>
            <w:vMerge/>
          </w:tcPr>
          <w:p w:rsidR="00F1628D" w:rsidRDefault="00F1628D" w:rsidP="002C77E9">
            <w:pPr>
              <w:pStyle w:val="AERbulletlistfirststyle"/>
              <w:numPr>
                <w:ilvl w:val="0"/>
                <w:numId w:val="0"/>
              </w:numPr>
            </w:pPr>
          </w:p>
        </w:tc>
        <w:tc>
          <w:tcPr>
            <w:tcW w:w="2898" w:type="dxa"/>
          </w:tcPr>
          <w:p w:rsidR="00F1628D" w:rsidRPr="00F1628D" w:rsidRDefault="00377F1F" w:rsidP="002C77E9">
            <w:pPr>
              <w:pStyle w:val="AERbulletlistfirststyle"/>
              <w:numPr>
                <w:ilvl w:val="0"/>
                <w:numId w:val="0"/>
              </w:numPr>
              <w:rPr>
                <w:rStyle w:val="AERtextunderline"/>
              </w:rPr>
            </w:pPr>
            <w:r>
              <w:rPr>
                <w:rStyle w:val="AERtextunderline"/>
              </w:rPr>
              <w:t>Amendment</w:t>
            </w:r>
            <w:r w:rsidR="00F1628D" w:rsidRPr="00F1628D">
              <w:rPr>
                <w:rStyle w:val="AERtextunderline"/>
              </w:rPr>
              <w:t xml:space="preserve"> </w:t>
            </w:r>
            <w:r w:rsidR="003A1EF2">
              <w:rPr>
                <w:rStyle w:val="AERtextunderline"/>
              </w:rPr>
              <w:t>3</w:t>
            </w:r>
          </w:p>
          <w:p w:rsidR="00F1628D" w:rsidRDefault="00F1628D" w:rsidP="002C77E9">
            <w:pPr>
              <w:pStyle w:val="AERbulletlistfirststyle"/>
              <w:numPr>
                <w:ilvl w:val="0"/>
                <w:numId w:val="0"/>
              </w:numPr>
            </w:pPr>
            <w:r>
              <w:t>The direct costs attributable to the continuous provision of the negotiated transmission service</w:t>
            </w:r>
            <w:r w:rsidR="00377F1F">
              <w:t>.</w:t>
            </w:r>
          </w:p>
        </w:tc>
        <w:tc>
          <w:tcPr>
            <w:tcW w:w="2898" w:type="dxa"/>
          </w:tcPr>
          <w:p w:rsidR="00F1628D" w:rsidRDefault="00AD6981">
            <w:pPr>
              <w:pStyle w:val="AERbulletlistfirststyle"/>
              <w:numPr>
                <w:ilvl w:val="0"/>
                <w:numId w:val="0"/>
              </w:numPr>
            </w:pPr>
            <w:r>
              <w:t>Not accept.</w:t>
            </w:r>
          </w:p>
        </w:tc>
      </w:tr>
      <w:tr w:rsidR="00F1628D" w:rsidTr="00F1628D">
        <w:trPr>
          <w:cnfStyle w:val="000000010000" w:firstRow="0" w:lastRow="0" w:firstColumn="0" w:lastColumn="0" w:oddVBand="0" w:evenVBand="0" w:oddHBand="0" w:evenHBand="1" w:firstRowFirstColumn="0" w:firstRowLastColumn="0" w:lastRowFirstColumn="0" w:lastRowLastColumn="0"/>
        </w:trPr>
        <w:tc>
          <w:tcPr>
            <w:tcW w:w="2897" w:type="dxa"/>
            <w:vMerge/>
          </w:tcPr>
          <w:p w:rsidR="00F1628D" w:rsidRDefault="00F1628D" w:rsidP="002C77E9">
            <w:pPr>
              <w:pStyle w:val="AERbulletlistfirststyle"/>
              <w:numPr>
                <w:ilvl w:val="0"/>
                <w:numId w:val="0"/>
              </w:numPr>
            </w:pPr>
          </w:p>
        </w:tc>
        <w:tc>
          <w:tcPr>
            <w:tcW w:w="2898" w:type="dxa"/>
          </w:tcPr>
          <w:p w:rsidR="00F1628D" w:rsidRPr="00F1628D" w:rsidRDefault="00377F1F" w:rsidP="002C77E9">
            <w:pPr>
              <w:pStyle w:val="AERbulletlistfirststyle"/>
              <w:numPr>
                <w:ilvl w:val="0"/>
                <w:numId w:val="0"/>
              </w:numPr>
              <w:rPr>
                <w:rStyle w:val="AERtextunderline"/>
              </w:rPr>
            </w:pPr>
            <w:r>
              <w:rPr>
                <w:rStyle w:val="AERtextunderline"/>
              </w:rPr>
              <w:t>Amendment</w:t>
            </w:r>
            <w:r w:rsidR="00F1628D" w:rsidRPr="00F1628D">
              <w:rPr>
                <w:rStyle w:val="AERtextunderline"/>
              </w:rPr>
              <w:t xml:space="preserve"> </w:t>
            </w:r>
            <w:r w:rsidR="003A1EF2">
              <w:rPr>
                <w:rStyle w:val="AERtextunderline"/>
              </w:rPr>
              <w:t>4</w:t>
            </w:r>
          </w:p>
          <w:p w:rsidR="00F1628D" w:rsidRDefault="00F1628D" w:rsidP="002C77E9">
            <w:pPr>
              <w:pStyle w:val="AERbulletlistfirststyle"/>
              <w:numPr>
                <w:ilvl w:val="0"/>
                <w:numId w:val="0"/>
              </w:numPr>
            </w:pPr>
            <w:r>
              <w:t>The relativity of the price of the negotiated transmission service to the current price of the prescribed transmission service</w:t>
            </w:r>
            <w:r w:rsidR="00377F1F">
              <w:t>.</w:t>
            </w:r>
          </w:p>
        </w:tc>
        <w:tc>
          <w:tcPr>
            <w:tcW w:w="2898" w:type="dxa"/>
          </w:tcPr>
          <w:p w:rsidR="00F1628D" w:rsidRDefault="00AD6981">
            <w:pPr>
              <w:pStyle w:val="AERbulletlistfirststyle"/>
              <w:numPr>
                <w:ilvl w:val="0"/>
                <w:numId w:val="0"/>
              </w:numPr>
            </w:pPr>
            <w:r>
              <w:t>Not accept.</w:t>
            </w:r>
          </w:p>
        </w:tc>
      </w:tr>
      <w:tr w:rsidR="00F1628D" w:rsidTr="00F1628D">
        <w:tc>
          <w:tcPr>
            <w:tcW w:w="2897" w:type="dxa"/>
            <w:vMerge/>
          </w:tcPr>
          <w:p w:rsidR="00F1628D" w:rsidRDefault="00F1628D" w:rsidP="002C77E9">
            <w:pPr>
              <w:pStyle w:val="AERbulletlistfirststyle"/>
              <w:numPr>
                <w:ilvl w:val="0"/>
                <w:numId w:val="0"/>
              </w:numPr>
            </w:pPr>
          </w:p>
        </w:tc>
        <w:tc>
          <w:tcPr>
            <w:tcW w:w="2898" w:type="dxa"/>
          </w:tcPr>
          <w:p w:rsidR="00F1628D" w:rsidRPr="00F1628D" w:rsidRDefault="00377F1F" w:rsidP="002C77E9">
            <w:pPr>
              <w:pStyle w:val="AERbulletlistfirststyle"/>
              <w:numPr>
                <w:ilvl w:val="0"/>
                <w:numId w:val="0"/>
              </w:numPr>
              <w:rPr>
                <w:rStyle w:val="AERtextunderline"/>
              </w:rPr>
            </w:pPr>
            <w:r>
              <w:rPr>
                <w:rStyle w:val="AERtextunderline"/>
              </w:rPr>
              <w:t>Amendment</w:t>
            </w:r>
            <w:r w:rsidR="00F1628D" w:rsidRPr="00F1628D">
              <w:rPr>
                <w:rStyle w:val="AERtextunderline"/>
              </w:rPr>
              <w:t xml:space="preserve"> </w:t>
            </w:r>
            <w:r w:rsidR="003A1EF2">
              <w:rPr>
                <w:rStyle w:val="AERtextunderline"/>
              </w:rPr>
              <w:t>5</w:t>
            </w:r>
          </w:p>
          <w:p w:rsidR="00F1628D" w:rsidRDefault="00F1628D" w:rsidP="001132BB">
            <w:pPr>
              <w:pStyle w:val="AERbulletlistfirststyle"/>
              <w:numPr>
                <w:ilvl w:val="0"/>
                <w:numId w:val="0"/>
              </w:numPr>
            </w:pPr>
            <w:r>
              <w:t xml:space="preserve">The likely impacts of the price on demand for electricity consumers in the </w:t>
            </w:r>
            <w:r w:rsidR="001132BB">
              <w:t>affected</w:t>
            </w:r>
            <w:r>
              <w:t xml:space="preserve"> downstream market</w:t>
            </w:r>
            <w:r w:rsidR="00377F1F">
              <w:t>.</w:t>
            </w:r>
          </w:p>
        </w:tc>
        <w:tc>
          <w:tcPr>
            <w:tcW w:w="2898" w:type="dxa"/>
          </w:tcPr>
          <w:p w:rsidR="00F1628D" w:rsidRDefault="00AD6981" w:rsidP="002C77E9">
            <w:pPr>
              <w:pStyle w:val="AERbulletlistfirststyle"/>
              <w:numPr>
                <w:ilvl w:val="0"/>
                <w:numId w:val="0"/>
              </w:numPr>
            </w:pPr>
            <w:r>
              <w:t>Not accept.</w:t>
            </w:r>
          </w:p>
        </w:tc>
      </w:tr>
    </w:tbl>
    <w:p w:rsidR="00F1628D" w:rsidRDefault="002C77E9" w:rsidP="002C77E9">
      <w:pPr>
        <w:pStyle w:val="Source"/>
      </w:pPr>
      <w:r>
        <w:t>Source:</w:t>
      </w:r>
      <w:r>
        <w:tab/>
        <w:t xml:space="preserve">Aurizon, </w:t>
      </w:r>
      <w:r w:rsidRPr="002C77E9">
        <w:rPr>
          <w:rStyle w:val="AERtextitalic"/>
        </w:rPr>
        <w:t xml:space="preserve">Submission </w:t>
      </w:r>
      <w:r w:rsidR="00CD0AC4">
        <w:rPr>
          <w:rStyle w:val="AERtextitalic"/>
        </w:rPr>
        <w:t>on Powerlink regulatory proposal 2017–22</w:t>
      </w:r>
      <w:r w:rsidR="00CD0AC4">
        <w:t>, 28</w:t>
      </w:r>
      <w:r>
        <w:t xml:space="preserve"> April 2016; AER analysis.</w:t>
      </w:r>
    </w:p>
    <w:p w:rsidR="00ED11CC" w:rsidRDefault="00AD6981" w:rsidP="00ED11CC">
      <w:r>
        <w:t xml:space="preserve">As shown in </w:t>
      </w:r>
      <w:r>
        <w:fldChar w:fldCharType="begin"/>
      </w:r>
      <w:r>
        <w:instrText xml:space="preserve"> REF _Ref458437071 \h </w:instrText>
      </w:r>
      <w:r>
        <w:fldChar w:fldCharType="separate"/>
      </w:r>
      <w:r w:rsidR="002417D2">
        <w:t xml:space="preserve">Table </w:t>
      </w:r>
      <w:r w:rsidR="002417D2">
        <w:rPr>
          <w:noProof/>
        </w:rPr>
        <w:t>14</w:t>
      </w:r>
      <w:r w:rsidR="002417D2">
        <w:t>.</w:t>
      </w:r>
      <w:r w:rsidR="002417D2">
        <w:rPr>
          <w:noProof/>
        </w:rPr>
        <w:t>2</w:t>
      </w:r>
      <w:r>
        <w:fldChar w:fldCharType="end"/>
      </w:r>
      <w:r>
        <w:t xml:space="preserve"> above, our draft decision </w:t>
      </w:r>
      <w:r w:rsidR="00CD52D3">
        <w:t xml:space="preserve">is </w:t>
      </w:r>
      <w:r>
        <w:t xml:space="preserve">not </w:t>
      </w:r>
      <w:r w:rsidR="00CD52D3">
        <w:t xml:space="preserve">to </w:t>
      </w:r>
      <w:r>
        <w:t>accept any of Aurizon</w:t>
      </w:r>
      <w:r w:rsidR="00664A37">
        <w:t>’s</w:t>
      </w:r>
      <w:r>
        <w:t xml:space="preserve"> proposed amendments to the NTSC. </w:t>
      </w:r>
      <w:r w:rsidR="00ED11CC">
        <w:t xml:space="preserve">Our assessment has been based on the </w:t>
      </w:r>
      <w:r w:rsidR="00ED11CC">
        <w:lastRenderedPageBreak/>
        <w:t>negotiated transmission service principles</w:t>
      </w:r>
      <w:r w:rsidR="00CD52D3">
        <w:t xml:space="preserve"> that apply to such services</w:t>
      </w:r>
      <w:r w:rsidR="00ED11CC">
        <w:t xml:space="preserve">. </w:t>
      </w:r>
      <w:r w:rsidR="00F844A2">
        <w:t>Among these principles is the requirement in clause 6A.9.1(1) of the NER that</w:t>
      </w:r>
      <w:r w:rsidR="00504A09">
        <w:t xml:space="preserve"> </w:t>
      </w:r>
      <w:r w:rsidR="00ED11CC">
        <w:t>‘the price for a negotiated transmission service should be based on the costs incurred in providing that service’.</w:t>
      </w:r>
      <w:r w:rsidR="00ED11CC">
        <w:rPr>
          <w:rStyle w:val="FootnoteReference"/>
        </w:rPr>
        <w:footnoteReference w:id="22"/>
      </w:r>
      <w:r w:rsidR="00D836EC">
        <w:t xml:space="preserve"> We refer to this as the ‘cost reflectivity’ principle in this draft decision.</w:t>
      </w:r>
    </w:p>
    <w:p w:rsidR="002660B4" w:rsidRDefault="00D836EC">
      <w:r>
        <w:t>We</w:t>
      </w:r>
      <w:r w:rsidR="00BF7EF6">
        <w:t xml:space="preserve"> are not satisfied that amendments</w:t>
      </w:r>
      <w:r w:rsidR="00CE3659">
        <w:t xml:space="preserve"> 1</w:t>
      </w:r>
      <w:r w:rsidR="00645C28">
        <w:t xml:space="preserve"> and 2 </w:t>
      </w:r>
      <w:r>
        <w:t>are consistent with the cost reflectivity principle</w:t>
      </w:r>
      <w:r w:rsidR="00BF7EF6">
        <w:t>.</w:t>
      </w:r>
      <w:r w:rsidR="00CE3659">
        <w:t xml:space="preserve"> </w:t>
      </w:r>
      <w:r>
        <w:t>These</w:t>
      </w:r>
      <w:r w:rsidR="00ED11CC">
        <w:t xml:space="preserve"> amendments </w:t>
      </w:r>
      <w:r w:rsidR="00261C68">
        <w:t>mean</w:t>
      </w:r>
      <w:r w:rsidR="002660B4">
        <w:t xml:space="preserve"> tha</w:t>
      </w:r>
      <w:r w:rsidR="002F2A5C">
        <w:t>t when a service transitions from a prescribed to a negotiated transmission service</w:t>
      </w:r>
      <w:r w:rsidR="00E957B5">
        <w:t>,</w:t>
      </w:r>
      <w:r w:rsidR="002F2A5C">
        <w:t xml:space="preserve"> the price must be set </w:t>
      </w:r>
      <w:r w:rsidR="00E957B5">
        <w:t xml:space="preserve">with </w:t>
      </w:r>
      <w:r w:rsidR="008D2473">
        <w:t>regard to</w:t>
      </w:r>
      <w:r w:rsidR="002F2A5C">
        <w:t xml:space="preserve"> certain </w:t>
      </w:r>
      <w:r w:rsidR="00CE3659">
        <w:t>factors</w:t>
      </w:r>
      <w:r w:rsidR="00F0696E">
        <w:t xml:space="preserve">. These are the value of the assets removed from the </w:t>
      </w:r>
      <w:r w:rsidR="002F2A5C">
        <w:t>RAB</w:t>
      </w:r>
      <w:r w:rsidR="00F0696E">
        <w:t xml:space="preserve"> and the </w:t>
      </w:r>
      <w:r w:rsidR="00CE3659">
        <w:t>costs that were previously allocated to the prescribed transmission service.</w:t>
      </w:r>
      <w:r w:rsidR="002F2A5C">
        <w:t xml:space="preserve"> </w:t>
      </w:r>
      <w:r w:rsidR="00C132E3">
        <w:t>Since these</w:t>
      </w:r>
      <w:r w:rsidR="002F2A5C">
        <w:t xml:space="preserve"> factors may not </w:t>
      </w:r>
      <w:r w:rsidR="00E957B5">
        <w:t xml:space="preserve">necessarily relate to </w:t>
      </w:r>
      <w:r>
        <w:t>the</w:t>
      </w:r>
      <w:r w:rsidR="002F2A5C">
        <w:t xml:space="preserve"> </w:t>
      </w:r>
      <w:r w:rsidR="00F844A2">
        <w:t>relevant</w:t>
      </w:r>
      <w:r>
        <w:t xml:space="preserve"> </w:t>
      </w:r>
      <w:r w:rsidR="002F2A5C">
        <w:t xml:space="preserve">cost </w:t>
      </w:r>
      <w:r w:rsidR="00504A09">
        <w:t>of</w:t>
      </w:r>
      <w:r w:rsidR="002F2A5C">
        <w:t xml:space="preserve"> providing </w:t>
      </w:r>
      <w:r>
        <w:t>a</w:t>
      </w:r>
      <w:r w:rsidR="002F2A5C">
        <w:t xml:space="preserve"> negotiated transmission service</w:t>
      </w:r>
      <w:r>
        <w:t xml:space="preserve"> to a customer</w:t>
      </w:r>
      <w:r w:rsidR="00C132E3">
        <w:t xml:space="preserve">, we conclude </w:t>
      </w:r>
      <w:r w:rsidR="0006392E">
        <w:t xml:space="preserve">that amendments 1 and 2 are not </w:t>
      </w:r>
      <w:r w:rsidR="002F2A5C">
        <w:t xml:space="preserve">consistent with </w:t>
      </w:r>
      <w:r>
        <w:t>the cost reflectivity principle set out in clause 6A.9.1(1) of the NER</w:t>
      </w:r>
      <w:r w:rsidR="00057830">
        <w:t>.</w:t>
      </w:r>
      <w:r w:rsidR="002660B4">
        <w:rPr>
          <w:rStyle w:val="FootnoteReference"/>
        </w:rPr>
        <w:footnoteReference w:id="23"/>
      </w:r>
      <w:r w:rsidR="00057830">
        <w:t xml:space="preserve"> </w:t>
      </w:r>
    </w:p>
    <w:p w:rsidR="00504A09" w:rsidRDefault="005322C4" w:rsidP="0099796C">
      <w:r>
        <w:t xml:space="preserve">We do not </w:t>
      </w:r>
      <w:r w:rsidR="00CD52D3">
        <w:t xml:space="preserve">consider </w:t>
      </w:r>
      <w:r>
        <w:t>amendment</w:t>
      </w:r>
      <w:r w:rsidR="008D2473">
        <w:t>s</w:t>
      </w:r>
      <w:r>
        <w:t xml:space="preserve"> 3</w:t>
      </w:r>
      <w:r w:rsidR="008D2473">
        <w:t xml:space="preserve"> and 4 </w:t>
      </w:r>
      <w:r w:rsidR="00CD52D3">
        <w:t>are consistent with the cost-reflectivity principle either</w:t>
      </w:r>
      <w:r w:rsidR="008D2473">
        <w:t xml:space="preserve">. </w:t>
      </w:r>
      <w:r w:rsidR="00CD52D3">
        <w:t>T</w:t>
      </w:r>
      <w:r w:rsidR="00D65EC4">
        <w:t>hese amendments</w:t>
      </w:r>
      <w:r w:rsidR="00B85414">
        <w:t xml:space="preserve"> would require the price of negotiated services to be based on ‘direct costs’ and bear </w:t>
      </w:r>
      <w:r w:rsidR="00CD52D3">
        <w:t xml:space="preserve">some </w:t>
      </w:r>
      <w:r w:rsidR="00B85414">
        <w:t>‘relativity’ to the price of the pr</w:t>
      </w:r>
      <w:r w:rsidR="00561289">
        <w:t>escribed transmission services.</w:t>
      </w:r>
      <w:r w:rsidR="008D2473">
        <w:t xml:space="preserve"> </w:t>
      </w:r>
      <w:r w:rsidR="00CD52D3">
        <w:t>In o</w:t>
      </w:r>
      <w:r w:rsidR="008D2473">
        <w:t>ur v</w:t>
      </w:r>
      <w:r w:rsidR="0006392E">
        <w:t xml:space="preserve">iew </w:t>
      </w:r>
      <w:r w:rsidR="00CD52D3">
        <w:t xml:space="preserve">it </w:t>
      </w:r>
      <w:r w:rsidR="0006392E">
        <w:t xml:space="preserve">is </w:t>
      </w:r>
      <w:r w:rsidR="00CD52D3">
        <w:t>not clear how basing the charge for negotiated services at least in part on the cost of prescribed services is</w:t>
      </w:r>
      <w:r w:rsidR="0006392E">
        <w:t xml:space="preserve"> </w:t>
      </w:r>
      <w:r w:rsidR="008D2473">
        <w:t>consistent with the</w:t>
      </w:r>
      <w:r w:rsidR="0006392E">
        <w:t xml:space="preserve"> cost reflectivity principle in the NER.</w:t>
      </w:r>
      <w:r w:rsidR="008D2473">
        <w:rPr>
          <w:rStyle w:val="FootnoteReference"/>
        </w:rPr>
        <w:footnoteReference w:id="24"/>
      </w:r>
      <w:r w:rsidR="0006392E">
        <w:t xml:space="preserve"> </w:t>
      </w:r>
      <w:r w:rsidR="00261C68">
        <w:t>While</w:t>
      </w:r>
      <w:r w:rsidR="0006392E">
        <w:t xml:space="preserve"> the</w:t>
      </w:r>
      <w:r w:rsidR="00261C68">
        <w:t xml:space="preserve"> direct</w:t>
      </w:r>
      <w:r w:rsidR="0006392E">
        <w:t xml:space="preserve"> </w:t>
      </w:r>
      <w:r w:rsidR="00FF3B66">
        <w:t>cost</w:t>
      </w:r>
      <w:r w:rsidR="00341AA4">
        <w:t>s</w:t>
      </w:r>
      <w:r w:rsidR="0006392E">
        <w:t xml:space="preserve"> </w:t>
      </w:r>
      <w:r w:rsidR="00FF3B66">
        <w:t>of</w:t>
      </w:r>
      <w:r w:rsidR="0006392E">
        <w:t xml:space="preserve"> provid</w:t>
      </w:r>
      <w:r w:rsidR="00FF3B66">
        <w:t>ing</w:t>
      </w:r>
      <w:r w:rsidR="0006392E">
        <w:t xml:space="preserve"> a</w:t>
      </w:r>
      <w:r w:rsidR="00FF3B66">
        <w:t xml:space="preserve"> negotiated transmission</w:t>
      </w:r>
      <w:r w:rsidR="0006392E">
        <w:t xml:space="preserve"> service to a customer </w:t>
      </w:r>
      <w:r w:rsidR="00261C68">
        <w:t>are relevant, it is not clear how</w:t>
      </w:r>
      <w:r w:rsidR="00E957B5">
        <w:t xml:space="preserve"> </w:t>
      </w:r>
      <w:r w:rsidR="00FF3B66">
        <w:t xml:space="preserve">having regard to the relative cost of </w:t>
      </w:r>
      <w:r w:rsidR="00504A09">
        <w:t>a</w:t>
      </w:r>
      <w:r w:rsidR="004F3FD9">
        <w:t xml:space="preserve"> previously provided</w:t>
      </w:r>
      <w:r w:rsidR="00FF3B66">
        <w:t xml:space="preserve"> prescribed service </w:t>
      </w:r>
      <w:r w:rsidR="00261C68">
        <w:t xml:space="preserve">would </w:t>
      </w:r>
      <w:r w:rsidR="00504A09">
        <w:t>lead to prices that are cost reflective</w:t>
      </w:r>
      <w:r w:rsidR="00FF3B66">
        <w:t xml:space="preserve">. </w:t>
      </w:r>
    </w:p>
    <w:p w:rsidR="00FF3B66" w:rsidRDefault="00955B59" w:rsidP="0099796C">
      <w:r>
        <w:t>We consider</w:t>
      </w:r>
      <w:r w:rsidR="00504A09">
        <w:t xml:space="preserve"> that amendment 5 would not give effect to the negotiated transmission service principles. It seeks to have the price of a negotiated service determined </w:t>
      </w:r>
      <w:r w:rsidR="00E957B5">
        <w:t xml:space="preserve">by </w:t>
      </w:r>
      <w:r w:rsidR="00504A09">
        <w:t>reference to the likely impact on demand for electricity</w:t>
      </w:r>
      <w:r w:rsidR="004F3FD9">
        <w:t xml:space="preserve"> by</w:t>
      </w:r>
      <w:r w:rsidR="00504A09">
        <w:t xml:space="preserve"> consumers in downstream markets. With respect to Aurizon, the relevant downstream market would be the supply of electric traction to rail haulage customers. Our view is that such considerations are not consistent with the cost reflectivity principle in the NER</w:t>
      </w:r>
      <w:r w:rsidR="00F844A2">
        <w:t xml:space="preserve">. This is because it suggests that prices could be reduced below a cost reflective level if the impact on a downstream market was substantial. We </w:t>
      </w:r>
      <w:r w:rsidR="00341AA4">
        <w:t>therefore consider that</w:t>
      </w:r>
      <w:r w:rsidR="00F844A2">
        <w:t xml:space="preserve"> amendment 5</w:t>
      </w:r>
      <w:r w:rsidR="00504A09">
        <w:t xml:space="preserve"> </w:t>
      </w:r>
      <w:r w:rsidR="00341AA4">
        <w:t xml:space="preserve">should not </w:t>
      </w:r>
      <w:r w:rsidR="00504A09">
        <w:t>form part of the NTSC.</w:t>
      </w:r>
    </w:p>
    <w:p w:rsidR="00E60B11" w:rsidRDefault="00F844A2" w:rsidP="0099796C">
      <w:r>
        <w:t xml:space="preserve">In this draft decision, we do not accept any of the amendments proposed by Aurizon since we are not satisfied that they are consistent with the cost reflectivity principle in clause 6A.9.1(1) of the NER. </w:t>
      </w:r>
      <w:r w:rsidR="00E60B11">
        <w:t>We further note that Aurizon’s proposal seeks to introduce criteria in the NTSC that would lead to a certain class of customers having the price of a negotiated service set differently. In particular, customers which received prescribed connection services under grandfathering arrangements would have their prices set differently</w:t>
      </w:r>
      <w:r w:rsidR="00D12763">
        <w:t xml:space="preserve"> to other customers</w:t>
      </w:r>
      <w:r w:rsidR="00CD52D3">
        <w:t xml:space="preserve"> well after the grandfathering period expires</w:t>
      </w:r>
      <w:r w:rsidR="00E60B11">
        <w:t xml:space="preserve">. </w:t>
      </w:r>
      <w:r w:rsidR="00E60B11">
        <w:lastRenderedPageBreak/>
        <w:t xml:space="preserve">Our view is that this proposal is not consistent with </w:t>
      </w:r>
      <w:r w:rsidR="00341AA4">
        <w:t>the</w:t>
      </w:r>
      <w:r w:rsidR="00E60B11">
        <w:t xml:space="preserve"> non–discriminatory principle in the NER, which states:</w:t>
      </w:r>
      <w:r w:rsidR="00D12763">
        <w:rPr>
          <w:rStyle w:val="FootnoteReference"/>
        </w:rPr>
        <w:footnoteReference w:id="25"/>
      </w:r>
    </w:p>
    <w:p w:rsidR="00DC6030" w:rsidRPr="00E60B11" w:rsidRDefault="00DC6030" w:rsidP="00E60B11">
      <w:pPr>
        <w:pStyle w:val="AERquote"/>
      </w:pPr>
      <w:r w:rsidRPr="00E60B11">
        <w:t>the price for</w:t>
      </w:r>
      <w:r w:rsidR="00341AA4">
        <w:t xml:space="preserve"> a</w:t>
      </w:r>
      <w:r w:rsidRPr="00E60B11">
        <w:t xml:space="preserve"> negotiated transmission service must be the same for all Transmission Network Users unless there is a material difference in the costs of providing the negotiated transmission service to different Transmission Network Users or classes of Transmission Network Users.</w:t>
      </w:r>
    </w:p>
    <w:p w:rsidR="001132BB" w:rsidRPr="001132BB" w:rsidRDefault="00C24102" w:rsidP="001132BB">
      <w:r>
        <w:t>In our view</w:t>
      </w:r>
      <w:r w:rsidR="007939F4">
        <w:t xml:space="preserve"> the amendments proposed by Aurizon </w:t>
      </w:r>
      <w:r w:rsidR="00341AA4">
        <w:t xml:space="preserve">should not </w:t>
      </w:r>
      <w:r w:rsidR="007939F4">
        <w:t>be included in our NTSC determination because they are not consistent with the cost reflectivity and non–discriminatory principles in the NER.</w:t>
      </w:r>
      <w:r w:rsidR="00E60B11">
        <w:t xml:space="preserve"> </w:t>
      </w:r>
      <w:r w:rsidR="000D2F3B">
        <w:t>Alt</w:t>
      </w:r>
      <w:r w:rsidR="00E60B11">
        <w:t xml:space="preserve">hough we have not accepted any of the proposed amendments, </w:t>
      </w:r>
      <w:r w:rsidR="001132BB">
        <w:t>we are open to further submissions on the NTSC</w:t>
      </w:r>
      <w:r w:rsidR="00D53D2C">
        <w:t xml:space="preserve"> for the purposes of making our final decision.</w:t>
      </w:r>
    </w:p>
    <w:p w:rsidR="0099796C" w:rsidRDefault="0099796C" w:rsidP="0099796C"/>
    <w:p w:rsidR="0099796C" w:rsidRDefault="003A1EF2" w:rsidP="00AD6981">
      <w:r>
        <w:t xml:space="preserve"> </w:t>
      </w:r>
    </w:p>
    <w:p w:rsidR="008775A5" w:rsidRPr="00D0108A" w:rsidRDefault="008775A5" w:rsidP="002535AD">
      <w:pPr>
        <w:pStyle w:val="Heading7"/>
      </w:pPr>
      <w:bookmarkStart w:id="81" w:name="_Ref458414113"/>
      <w:bookmarkStart w:id="82" w:name="_Toc462753023"/>
      <w:r>
        <w:lastRenderedPageBreak/>
        <w:t>Negotiated transmission service criteria</w:t>
      </w:r>
      <w:bookmarkEnd w:id="81"/>
      <w:bookmarkEnd w:id="82"/>
    </w:p>
    <w:p w:rsidR="008775A5" w:rsidRPr="00EE5299" w:rsidRDefault="008775A5" w:rsidP="008775A5">
      <w:pPr>
        <w:pStyle w:val="HeadingBoldItalic"/>
        <w:keepNext/>
        <w:numPr>
          <w:ilvl w:val="0"/>
          <w:numId w:val="24"/>
        </w:numPr>
        <w:tabs>
          <w:tab w:val="clear" w:pos="1021"/>
        </w:tabs>
        <w:spacing w:before="120" w:after="120" w:line="288" w:lineRule="auto"/>
        <w:outlineLvl w:val="9"/>
      </w:pPr>
      <w:r w:rsidRPr="00EE5299">
        <w:t>National Electricity Objective</w:t>
      </w:r>
    </w:p>
    <w:p w:rsidR="008775A5" w:rsidRDefault="008775A5" w:rsidP="008775A5">
      <w:pPr>
        <w:pStyle w:val="ListNumber"/>
        <w:numPr>
          <w:ilvl w:val="1"/>
          <w:numId w:val="24"/>
        </w:numPr>
        <w:spacing w:before="0" w:after="200" w:line="288" w:lineRule="auto"/>
        <w:jc w:val="both"/>
      </w:pPr>
      <w:r w:rsidRPr="00D0108A">
        <w:t>The terms and conditions of access for a negotiated transmission service, including the price that is to be charged for the provision of that service and any access charges, should promote the achievement of the National Electricity Objective.</w:t>
      </w:r>
    </w:p>
    <w:p w:rsidR="008775A5" w:rsidRPr="00EE5299" w:rsidRDefault="008775A5" w:rsidP="008775A5">
      <w:pPr>
        <w:pStyle w:val="HeadingBoldItalic"/>
        <w:keepNext/>
        <w:numPr>
          <w:ilvl w:val="0"/>
          <w:numId w:val="24"/>
        </w:numPr>
        <w:tabs>
          <w:tab w:val="clear" w:pos="1021"/>
        </w:tabs>
        <w:spacing w:before="120" w:after="120" w:line="288" w:lineRule="auto"/>
        <w:outlineLvl w:val="9"/>
      </w:pPr>
      <w:r w:rsidRPr="00EE5299">
        <w:t>Criteria for terms and conditions of access</w:t>
      </w:r>
    </w:p>
    <w:p w:rsidR="008775A5" w:rsidRPr="00EE5299" w:rsidRDefault="008775A5" w:rsidP="008775A5">
      <w:pPr>
        <w:pStyle w:val="HeadingItalic"/>
        <w:keepNext/>
        <w:numPr>
          <w:ilvl w:val="0"/>
          <w:numId w:val="24"/>
        </w:numPr>
        <w:tabs>
          <w:tab w:val="clear" w:pos="1021"/>
        </w:tabs>
        <w:spacing w:before="120" w:after="120" w:line="288" w:lineRule="auto"/>
        <w:outlineLvl w:val="9"/>
      </w:pPr>
      <w:r w:rsidRPr="00EE5299">
        <w:t>Terms and conditions of access</w:t>
      </w:r>
    </w:p>
    <w:p w:rsidR="008775A5" w:rsidRPr="00D0108A" w:rsidRDefault="008775A5" w:rsidP="008775A5">
      <w:pPr>
        <w:pStyle w:val="ListNumber"/>
        <w:numPr>
          <w:ilvl w:val="0"/>
          <w:numId w:val="0"/>
        </w:numPr>
        <w:ind w:left="357" w:hanging="357"/>
      </w:pPr>
      <w:r>
        <w:t>2.</w:t>
      </w:r>
      <w:r>
        <w:tab/>
      </w:r>
      <w:r w:rsidRPr="00D0108A">
        <w:t>The terms and conditions of access for a negotiated transmission service must be fair, reasonable and consistent with the safe and reliable operation of the power system in accordance with the NER.</w:t>
      </w:r>
    </w:p>
    <w:p w:rsidR="008775A5" w:rsidRDefault="008775A5" w:rsidP="008775A5">
      <w:pPr>
        <w:pStyle w:val="ListNumber"/>
        <w:numPr>
          <w:ilvl w:val="0"/>
          <w:numId w:val="0"/>
        </w:numPr>
        <w:ind w:left="357" w:hanging="357"/>
      </w:pPr>
      <w:r>
        <w:t xml:space="preserve">3. </w:t>
      </w:r>
      <w:r w:rsidRPr="00D0108A">
        <w:t>The terms and conditions of access for negotiated transmission services, particularly any exclusions and limitations of liability and indemnities, must not be unreasonably onerous. Relevant considerations include the allocation of risk between the TNSP and the other party, the price for the negotiated transmission service and the cost to the TNSP of p</w:t>
      </w:r>
      <w:r>
        <w:t>roviding the negotiated service.</w:t>
      </w:r>
    </w:p>
    <w:p w:rsidR="008775A5" w:rsidRPr="00D0108A" w:rsidRDefault="008775A5" w:rsidP="008775A5">
      <w:pPr>
        <w:pStyle w:val="ListNumber"/>
        <w:numPr>
          <w:ilvl w:val="0"/>
          <w:numId w:val="0"/>
        </w:numPr>
        <w:ind w:left="357" w:hanging="357"/>
      </w:pPr>
      <w:r>
        <w:t>4.</w:t>
      </w:r>
      <w:r>
        <w:tab/>
      </w:r>
      <w:r w:rsidRPr="00D0108A">
        <w:t>The terms and conditions of access for a negotiated transmission service must take into account the need for the service to be provided in a manner that does not adversely affect the safe and reliable operation of the power system in accordance with the NER.</w:t>
      </w:r>
    </w:p>
    <w:p w:rsidR="008775A5" w:rsidRPr="00EE5299" w:rsidRDefault="008775A5" w:rsidP="008775A5">
      <w:pPr>
        <w:pStyle w:val="HeadingItalic"/>
        <w:keepNext/>
        <w:numPr>
          <w:ilvl w:val="0"/>
          <w:numId w:val="24"/>
        </w:numPr>
        <w:tabs>
          <w:tab w:val="clear" w:pos="1021"/>
        </w:tabs>
        <w:spacing w:before="120" w:after="120" w:line="288" w:lineRule="auto"/>
        <w:outlineLvl w:val="9"/>
      </w:pPr>
      <w:r w:rsidRPr="00EE5299">
        <w:t>Price of services</w:t>
      </w:r>
    </w:p>
    <w:p w:rsidR="008775A5" w:rsidRDefault="008775A5" w:rsidP="008775A5">
      <w:pPr>
        <w:pStyle w:val="ListNumber"/>
        <w:numPr>
          <w:ilvl w:val="0"/>
          <w:numId w:val="0"/>
        </w:numPr>
        <w:ind w:left="357" w:hanging="357"/>
      </w:pPr>
      <w:r>
        <w:t>5.</w:t>
      </w:r>
      <w:r>
        <w:tab/>
      </w:r>
      <w:r w:rsidRPr="00D0108A">
        <w:t xml:space="preserve">The price of a negotiated transmission service must reflect the cost that </w:t>
      </w:r>
      <w:r w:rsidR="00C268F6">
        <w:t>Powerlink</w:t>
      </w:r>
      <w:r w:rsidRPr="00D0108A">
        <w:t xml:space="preserve"> has incurred or incurs in providing that service, and must be determined in accordance with the principles and policies set out in </w:t>
      </w:r>
      <w:r w:rsidR="006005A4" w:rsidRPr="00C268F6">
        <w:t>Powerlink’s</w:t>
      </w:r>
      <w:r w:rsidR="006005A4" w:rsidRPr="00D0108A">
        <w:t xml:space="preserve"> </w:t>
      </w:r>
      <w:r w:rsidRPr="00D0108A">
        <w:t>Cost Allocation Methodology.</w:t>
      </w:r>
    </w:p>
    <w:p w:rsidR="008775A5" w:rsidRDefault="008775A5" w:rsidP="008775A5">
      <w:pPr>
        <w:pStyle w:val="ListNumber"/>
        <w:numPr>
          <w:ilvl w:val="0"/>
          <w:numId w:val="0"/>
        </w:numPr>
        <w:ind w:left="357" w:hanging="357"/>
      </w:pPr>
      <w:r>
        <w:t>6.</w:t>
      </w:r>
      <w:r>
        <w:tab/>
      </w:r>
      <w:r w:rsidRPr="00D0108A">
        <w:t xml:space="preserve">Subject to criteria 7 and 8, the price for a negotiated transmission service must be at least equal to the </w:t>
      </w:r>
      <w:r w:rsidR="002535AD">
        <w:t xml:space="preserve">avoided cost </w:t>
      </w:r>
      <w:r w:rsidRPr="00D0108A">
        <w:t>of providing that service but no more than the cost of providing it on a</w:t>
      </w:r>
      <w:r w:rsidR="002535AD">
        <w:t xml:space="preserve"> stand alone basis</w:t>
      </w:r>
      <w:r w:rsidRPr="00D0108A">
        <w:t>.</w:t>
      </w:r>
    </w:p>
    <w:p w:rsidR="008775A5" w:rsidRPr="00D0108A" w:rsidRDefault="008775A5" w:rsidP="008775A5">
      <w:pPr>
        <w:pStyle w:val="ListNumber"/>
        <w:numPr>
          <w:ilvl w:val="0"/>
          <w:numId w:val="0"/>
        </w:numPr>
        <w:ind w:left="357" w:hanging="357"/>
      </w:pPr>
      <w:r>
        <w:t>7.</w:t>
      </w:r>
      <w:r>
        <w:tab/>
      </w:r>
      <w:r w:rsidRPr="00D0108A">
        <w:t>If the negotiated transmission service is a shared transmission service that:</w:t>
      </w:r>
    </w:p>
    <w:p w:rsidR="008775A5" w:rsidRDefault="008775A5" w:rsidP="008775A5">
      <w:pPr>
        <w:pStyle w:val="AERnumberedlistsecondstyle"/>
        <w:numPr>
          <w:ilvl w:val="2"/>
          <w:numId w:val="24"/>
        </w:numPr>
        <w:tabs>
          <w:tab w:val="clear" w:pos="680"/>
        </w:tabs>
        <w:spacing w:before="0" w:after="200" w:line="288" w:lineRule="auto"/>
        <w:jc w:val="both"/>
      </w:pPr>
      <w:r w:rsidRPr="00D0108A">
        <w:t>exceeds any network performance requirements which it is required to meet under any relevant electricity legislation; or</w:t>
      </w:r>
    </w:p>
    <w:p w:rsidR="008775A5" w:rsidRPr="00D0108A" w:rsidRDefault="008775A5" w:rsidP="008775A5">
      <w:pPr>
        <w:pStyle w:val="AERnumberedlistsecondstyle"/>
        <w:numPr>
          <w:ilvl w:val="2"/>
          <w:numId w:val="24"/>
        </w:numPr>
        <w:tabs>
          <w:tab w:val="clear" w:pos="680"/>
        </w:tabs>
        <w:spacing w:before="0" w:after="200" w:line="288" w:lineRule="auto"/>
        <w:jc w:val="both"/>
      </w:pPr>
      <w:r w:rsidRPr="00D0108A">
        <w:t xml:space="preserve">exceeds the network performance requirements set out in </w:t>
      </w:r>
      <w:r w:rsidR="00C268F6">
        <w:t>S</w:t>
      </w:r>
      <w:r w:rsidRPr="00D0108A">
        <w:t>chedule</w:t>
      </w:r>
      <w:r w:rsidR="00C268F6">
        <w:t>s</w:t>
      </w:r>
      <w:r w:rsidRPr="00D0108A">
        <w:t xml:space="preserve"> 5.1a and 5.1 of the NER</w:t>
      </w:r>
      <w:r w:rsidR="006005A4">
        <w:rPr>
          <w:rStyle w:val="FootnoteReference"/>
        </w:rPr>
        <w:footnoteReference w:id="26"/>
      </w:r>
    </w:p>
    <w:p w:rsidR="008775A5" w:rsidRDefault="008775A5" w:rsidP="008775A5">
      <w:pPr>
        <w:pStyle w:val="ListNumber"/>
        <w:numPr>
          <w:ilvl w:val="0"/>
          <w:numId w:val="0"/>
        </w:numPr>
        <w:ind w:left="357"/>
      </w:pPr>
      <w:r w:rsidRPr="00D0108A">
        <w:lastRenderedPageBreak/>
        <w:t xml:space="preserve">then the difference between the price for that service and the price for the shared transmission service which meets network performance requirements must reflect the </w:t>
      </w:r>
      <w:r w:rsidR="00C268F6">
        <w:t>Powerlink’s</w:t>
      </w:r>
      <w:r w:rsidR="00C268F6" w:rsidRPr="00D0108A">
        <w:t xml:space="preserve"> </w:t>
      </w:r>
      <w:r w:rsidRPr="00D0108A">
        <w:t>incremental cost of providing that service (as appropriate).</w:t>
      </w:r>
    </w:p>
    <w:p w:rsidR="008775A5" w:rsidRDefault="008775A5" w:rsidP="008775A5">
      <w:pPr>
        <w:pStyle w:val="ListNumber"/>
        <w:numPr>
          <w:ilvl w:val="0"/>
          <w:numId w:val="0"/>
        </w:numPr>
        <w:ind w:left="357" w:hanging="357"/>
      </w:pPr>
      <w:r>
        <w:t>8.</w:t>
      </w:r>
      <w:r>
        <w:tab/>
      </w:r>
      <w:r w:rsidRPr="00D0108A">
        <w:t xml:space="preserve">For shared transmission services, the difference in price between a negotiated transmission service that does not meet or exceed network performance requirements and a service that meets those requirements should reflect </w:t>
      </w:r>
      <w:r w:rsidR="00C268F6">
        <w:t>Powerlink’s</w:t>
      </w:r>
      <w:r w:rsidRPr="00D0108A">
        <w:t xml:space="preserve"> avoided costs. Schedule</w:t>
      </w:r>
      <w:r w:rsidR="00C268F6">
        <w:t>s</w:t>
      </w:r>
      <w:r w:rsidRPr="00D0108A">
        <w:t xml:space="preserve"> 5.1a and 5.1 of the NER or any relevant electricity legislation must be considered in determining whether any network service performance requirements have not been met or exceeded.</w:t>
      </w:r>
    </w:p>
    <w:p w:rsidR="008775A5" w:rsidRDefault="008775A5" w:rsidP="008775A5">
      <w:pPr>
        <w:pStyle w:val="ListNumber"/>
        <w:numPr>
          <w:ilvl w:val="0"/>
          <w:numId w:val="0"/>
        </w:numPr>
        <w:ind w:left="357" w:hanging="357"/>
      </w:pPr>
      <w:r>
        <w:t>9.</w:t>
      </w:r>
      <w:r>
        <w:tab/>
      </w:r>
      <w:r w:rsidRPr="00D0108A">
        <w:t>The price for a negotiated transmission service must be the same for all Transmission Network Users. The exception is if there is a material difference in the costs of providing the negotiated transmission service to different Transmission Network Users or classes of Transmission Network Users.</w:t>
      </w:r>
    </w:p>
    <w:p w:rsidR="008775A5" w:rsidRDefault="008775A5" w:rsidP="008775A5">
      <w:pPr>
        <w:pStyle w:val="ListNumber"/>
        <w:numPr>
          <w:ilvl w:val="0"/>
          <w:numId w:val="0"/>
        </w:numPr>
        <w:ind w:left="357" w:hanging="357"/>
      </w:pPr>
      <w:r>
        <w:t>10.</w:t>
      </w:r>
      <w:r>
        <w:tab/>
      </w:r>
      <w:r w:rsidRPr="00D0108A">
        <w:t>The price for a negotiated transmission service must be subject to adjustment over time to the extent that the assets used to provide that service are subsequently used to provide services to another person. In such cases</w:t>
      </w:r>
      <w:r w:rsidR="00C268F6">
        <w:t>,</w:t>
      </w:r>
      <w:r w:rsidRPr="00D0108A">
        <w:t xml:space="preserve"> the adjustment must reflect the extent to which the costs of that asset are being recovered through charges to that other person.</w:t>
      </w:r>
    </w:p>
    <w:p w:rsidR="008775A5" w:rsidRDefault="008775A5" w:rsidP="008775A5">
      <w:pPr>
        <w:pStyle w:val="ListNumber"/>
        <w:numPr>
          <w:ilvl w:val="0"/>
          <w:numId w:val="0"/>
        </w:numPr>
        <w:ind w:left="357" w:hanging="357"/>
      </w:pPr>
      <w:r>
        <w:t>11.</w:t>
      </w:r>
      <w:r>
        <w:tab/>
      </w:r>
      <w:r w:rsidRPr="00D0108A">
        <w:t xml:space="preserve">The price for a negotiated transmission service must be such as to enable </w:t>
      </w:r>
      <w:r w:rsidR="00C268F6">
        <w:t>Powerlink</w:t>
      </w:r>
      <w:r w:rsidRPr="00D0108A">
        <w:t xml:space="preserve"> to recover the efficient costs of complying with all regulatory obligations associated with the provision of the negotiated transmission service.</w:t>
      </w:r>
    </w:p>
    <w:p w:rsidR="008775A5" w:rsidRPr="00EE5299" w:rsidRDefault="008775A5" w:rsidP="008775A5">
      <w:pPr>
        <w:pStyle w:val="HeadingBoldItalic"/>
        <w:keepNext/>
        <w:numPr>
          <w:ilvl w:val="0"/>
          <w:numId w:val="24"/>
        </w:numPr>
        <w:tabs>
          <w:tab w:val="clear" w:pos="1021"/>
        </w:tabs>
        <w:spacing w:before="120" w:after="120" w:line="288" w:lineRule="auto"/>
        <w:outlineLvl w:val="9"/>
      </w:pPr>
      <w:r w:rsidRPr="00EE5299">
        <w:t>Criteria for access charges</w:t>
      </w:r>
    </w:p>
    <w:p w:rsidR="008775A5" w:rsidRPr="00EE5299" w:rsidRDefault="008775A5" w:rsidP="008775A5">
      <w:pPr>
        <w:pStyle w:val="HeadingItalic"/>
        <w:keepNext/>
        <w:numPr>
          <w:ilvl w:val="0"/>
          <w:numId w:val="24"/>
        </w:numPr>
        <w:tabs>
          <w:tab w:val="clear" w:pos="1021"/>
        </w:tabs>
        <w:spacing w:before="120" w:after="120" w:line="288" w:lineRule="auto"/>
        <w:outlineLvl w:val="9"/>
      </w:pPr>
      <w:r w:rsidRPr="00EE5299">
        <w:t>Access charges</w:t>
      </w:r>
    </w:p>
    <w:p w:rsidR="008775A5" w:rsidRPr="00D0108A" w:rsidRDefault="008775A5" w:rsidP="008775A5">
      <w:pPr>
        <w:pStyle w:val="ListNumber"/>
        <w:numPr>
          <w:ilvl w:val="0"/>
          <w:numId w:val="0"/>
        </w:numPr>
        <w:ind w:left="357" w:hanging="357"/>
      </w:pPr>
      <w:r>
        <w:t>12.</w:t>
      </w:r>
      <w:r>
        <w:tab/>
      </w:r>
      <w:r w:rsidRPr="00D0108A">
        <w:t xml:space="preserve">Any access charges must be based on the costs reasonably incurred by </w:t>
      </w:r>
      <w:r w:rsidR="000E595D">
        <w:t>Powerlink</w:t>
      </w:r>
      <w:r w:rsidRPr="00D0108A">
        <w:t xml:space="preserve"> in providing Transmission Network User access. This includes the compensation for forgone revenue referred to in clause</w:t>
      </w:r>
      <w:r w:rsidR="000E595D">
        <w:t>s</w:t>
      </w:r>
      <w:r w:rsidRPr="00D0108A">
        <w:t xml:space="preserve"> 5.4A(h) to (j) of the NER and the costs that are likely to be incurred by a person referred to in clause</w:t>
      </w:r>
      <w:r w:rsidR="000E595D">
        <w:t>s</w:t>
      </w:r>
      <w:r w:rsidRPr="00D0108A">
        <w:t xml:space="preserve"> 5.4A(h) to (j) of the NER (as appropriate).</w:t>
      </w:r>
    </w:p>
    <w:sectPr w:rsidR="008775A5" w:rsidRPr="00D0108A" w:rsidSect="00D71C5E">
      <w:headerReference w:type="default" r:id="rId13"/>
      <w:footerReference w:type="even" r:id="rId14"/>
      <w:footerReference w:type="default" r:id="rId15"/>
      <w:footerReference w:type="first" r:id="rId16"/>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6D9" w:rsidRPr="00290C63" w:rsidRDefault="00DD66D9" w:rsidP="00290C63">
      <w:r>
        <w:separator/>
      </w:r>
    </w:p>
    <w:p w:rsidR="00DD66D9" w:rsidRDefault="00DD66D9"/>
  </w:endnote>
  <w:endnote w:type="continuationSeparator" w:id="0">
    <w:p w:rsidR="00DD66D9" w:rsidRPr="00290C63" w:rsidRDefault="00DD66D9" w:rsidP="00290C63">
      <w:r>
        <w:continuationSeparator/>
      </w:r>
    </w:p>
    <w:p w:rsidR="00DD66D9" w:rsidRDefault="00DD6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388892"/>
      <w:docPartObj>
        <w:docPartGallery w:val="Page Numbers (Bottom of Page)"/>
        <w:docPartUnique/>
      </w:docPartObj>
    </w:sdtPr>
    <w:sdtEndPr/>
    <w:sdtContent>
      <w:p w:rsidR="002417D2" w:rsidRDefault="002417D2" w:rsidP="002417D2">
        <w:pPr>
          <w:pStyle w:val="Footer"/>
        </w:pPr>
        <w:r w:rsidRPr="001C0547">
          <w:fldChar w:fldCharType="begin"/>
        </w:r>
        <w:r w:rsidRPr="001C0547">
          <w:instrText xml:space="preserve"> PAGE   \* MERGEFORMAT </w:instrText>
        </w:r>
        <w:r w:rsidRPr="001C0547">
          <w:fldChar w:fldCharType="separate"/>
        </w:r>
        <w:r w:rsidR="00577B04">
          <w:rPr>
            <w:noProof/>
          </w:rPr>
          <w:t>14-1</w:t>
        </w:r>
        <w:r w:rsidRPr="001C0547">
          <w:fldChar w:fldCharType="end"/>
        </w:r>
        <w:r w:rsidRPr="001C0547">
          <w:t xml:space="preserve">      Attachment 1</w:t>
        </w:r>
        <w:r>
          <w:t>4</w:t>
        </w:r>
        <w:r w:rsidRPr="001C0547">
          <w:t xml:space="preserve"> – </w:t>
        </w:r>
        <w:r>
          <w:t>Negotiated services</w:t>
        </w:r>
        <w:r w:rsidRPr="001C0547">
          <w:t xml:space="preserve"> | Powerlink transmission draft determination 2017–22</w:t>
        </w:r>
      </w:p>
    </w:sdtContent>
  </w:sdt>
  <w:p w:rsidR="00DD66D9" w:rsidRPr="002920AE" w:rsidRDefault="00DD66D9" w:rsidP="002920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6D9" w:rsidRPr="002920AE" w:rsidRDefault="00DD66D9" w:rsidP="002920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701152"/>
      <w:docPartObj>
        <w:docPartGallery w:val="Page Numbers (Bottom of Page)"/>
        <w:docPartUnique/>
      </w:docPartObj>
    </w:sdtPr>
    <w:sdtEndPr/>
    <w:sdtContent>
      <w:p w:rsidR="002417D2" w:rsidRDefault="002417D2" w:rsidP="002417D2">
        <w:pPr>
          <w:pStyle w:val="Footer"/>
        </w:pPr>
        <w:r w:rsidRPr="001C0547">
          <w:fldChar w:fldCharType="begin"/>
        </w:r>
        <w:r w:rsidRPr="001C0547">
          <w:instrText xml:space="preserve"> PAGE   \* MERGEFORMAT </w:instrText>
        </w:r>
        <w:r w:rsidRPr="001C0547">
          <w:fldChar w:fldCharType="separate"/>
        </w:r>
        <w:r w:rsidR="00577B04">
          <w:rPr>
            <w:noProof/>
          </w:rPr>
          <w:t>14-3</w:t>
        </w:r>
        <w:r w:rsidRPr="001C0547">
          <w:fldChar w:fldCharType="end"/>
        </w:r>
        <w:r w:rsidRPr="001C0547">
          <w:t xml:space="preserve">      Attachment 1</w:t>
        </w:r>
        <w:r>
          <w:t>4</w:t>
        </w:r>
        <w:r w:rsidRPr="001C0547">
          <w:t xml:space="preserve"> – </w:t>
        </w:r>
        <w:r>
          <w:t>Negotiated services</w:t>
        </w:r>
        <w:r w:rsidRPr="001C0547">
          <w:t xml:space="preserve"> | Powerlink transmission draft determination 2017–22</w:t>
        </w:r>
      </w:p>
    </w:sdtContent>
  </w:sdt>
  <w:p w:rsidR="00DD66D9" w:rsidRPr="002920AE" w:rsidRDefault="00DD66D9" w:rsidP="002920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6D9" w:rsidRPr="002920AE" w:rsidRDefault="00DD66D9" w:rsidP="002920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6D9" w:rsidRPr="00290C63" w:rsidRDefault="00DD66D9" w:rsidP="00290C63">
      <w:r>
        <w:separator/>
      </w:r>
    </w:p>
    <w:p w:rsidR="00DD66D9" w:rsidRDefault="00DD66D9"/>
  </w:footnote>
  <w:footnote w:type="continuationSeparator" w:id="0">
    <w:p w:rsidR="00DD66D9" w:rsidRPr="00290C63" w:rsidRDefault="00DD66D9" w:rsidP="00290C63">
      <w:r>
        <w:continuationSeparator/>
      </w:r>
    </w:p>
    <w:p w:rsidR="00DD66D9" w:rsidRDefault="00DD66D9"/>
  </w:footnote>
  <w:footnote w:id="1">
    <w:p w:rsidR="00DD66D9" w:rsidRDefault="00DD66D9" w:rsidP="00043F0A">
      <w:pPr>
        <w:pStyle w:val="FootnoteText"/>
      </w:pPr>
      <w:r>
        <w:rPr>
          <w:rStyle w:val="FootnoteReference"/>
        </w:rPr>
        <w:footnoteRef/>
      </w:r>
      <w:r>
        <w:t xml:space="preserve"> </w:t>
      </w:r>
      <w:r>
        <w:tab/>
        <w:t>NER, cll. 6A.2.2(2); 6A.14.1(6).</w:t>
      </w:r>
    </w:p>
  </w:footnote>
  <w:footnote w:id="2">
    <w:p w:rsidR="00DD66D9" w:rsidRDefault="00DD66D9" w:rsidP="00043F0A">
      <w:pPr>
        <w:pStyle w:val="FootnoteText"/>
      </w:pPr>
      <w:r>
        <w:rPr>
          <w:rStyle w:val="FootnoteReference"/>
        </w:rPr>
        <w:footnoteRef/>
      </w:r>
      <w:r>
        <w:t xml:space="preserve"> </w:t>
      </w:r>
      <w:r>
        <w:tab/>
        <w:t>NER, cll. 6A.2.2(3).</w:t>
      </w:r>
      <w:r w:rsidRPr="00841FE0">
        <w:t xml:space="preserve"> </w:t>
      </w:r>
      <w:r>
        <w:t>6A.14.1(7).</w:t>
      </w:r>
    </w:p>
  </w:footnote>
  <w:footnote w:id="3">
    <w:p w:rsidR="00DD66D9" w:rsidRDefault="00DD66D9" w:rsidP="00043F0A">
      <w:pPr>
        <w:pStyle w:val="FootnoteText"/>
      </w:pPr>
      <w:r>
        <w:rPr>
          <w:rStyle w:val="FootnoteReference"/>
        </w:rPr>
        <w:footnoteRef/>
      </w:r>
      <w:r>
        <w:t xml:space="preserve"> </w:t>
      </w:r>
      <w:r>
        <w:tab/>
        <w:t>NER, cl. 6A.9.5(a).</w:t>
      </w:r>
    </w:p>
  </w:footnote>
  <w:footnote w:id="4">
    <w:p w:rsidR="00DD66D9" w:rsidRDefault="00DD66D9" w:rsidP="00043F0A">
      <w:pPr>
        <w:pStyle w:val="FootnoteText"/>
      </w:pPr>
      <w:r>
        <w:rPr>
          <w:rStyle w:val="FootnoteReference"/>
        </w:rPr>
        <w:footnoteRef/>
      </w:r>
      <w:r>
        <w:t xml:space="preserve"> </w:t>
      </w:r>
      <w:r>
        <w:tab/>
        <w:t>NER, cl. 6A.9.4(a)(1).</w:t>
      </w:r>
    </w:p>
  </w:footnote>
  <w:footnote w:id="5">
    <w:p w:rsidR="00DD66D9" w:rsidRDefault="00DD66D9" w:rsidP="00043F0A">
      <w:pPr>
        <w:pStyle w:val="FootnoteText"/>
      </w:pPr>
      <w:r>
        <w:rPr>
          <w:rStyle w:val="FootnoteReference"/>
        </w:rPr>
        <w:footnoteRef/>
      </w:r>
      <w:r>
        <w:t xml:space="preserve"> </w:t>
      </w:r>
      <w:r>
        <w:tab/>
        <w:t>NER, cl. 6A.9.4(a)(2).</w:t>
      </w:r>
    </w:p>
  </w:footnote>
  <w:footnote w:id="6">
    <w:p w:rsidR="00DD66D9" w:rsidRDefault="00DD66D9">
      <w:pPr>
        <w:pStyle w:val="FootnoteText"/>
      </w:pPr>
      <w:r>
        <w:rPr>
          <w:rStyle w:val="FootnoteReference"/>
        </w:rPr>
        <w:footnoteRef/>
      </w:r>
      <w:r>
        <w:t xml:space="preserve"> </w:t>
      </w:r>
      <w:r>
        <w:tab/>
        <w:t xml:space="preserve">Powerlink, </w:t>
      </w:r>
      <w:r w:rsidRPr="00134DD1">
        <w:rPr>
          <w:rStyle w:val="Emphasis"/>
        </w:rPr>
        <w:t>2018-22 Powerlink Queensland Revenue Proposal, Appendix 17.01, Negotiating Framework for Negotiated Transmission Services, Version 2 dated October 2015</w:t>
      </w:r>
      <w:r>
        <w:t xml:space="preserve">, January 2016. </w:t>
      </w:r>
    </w:p>
  </w:footnote>
  <w:footnote w:id="7">
    <w:p w:rsidR="00DD66D9" w:rsidRDefault="00DD66D9" w:rsidP="00134DD1">
      <w:pPr>
        <w:pStyle w:val="FootnoteText"/>
      </w:pPr>
      <w:r>
        <w:rPr>
          <w:rStyle w:val="FootnoteReference"/>
        </w:rPr>
        <w:footnoteRef/>
      </w:r>
      <w:r>
        <w:t xml:space="preserve"> </w:t>
      </w:r>
      <w:r>
        <w:tab/>
      </w:r>
      <w:r w:rsidR="008F1BAE">
        <w:t>AER, Negotiated transmission service criteria for Powerlink – Call</w:t>
      </w:r>
      <w:r w:rsidR="00C62B77">
        <w:t xml:space="preserve"> for submissions, February 2016</w:t>
      </w:r>
      <w:r>
        <w:t>.</w:t>
      </w:r>
    </w:p>
  </w:footnote>
  <w:footnote w:id="8">
    <w:p w:rsidR="00DD66D9" w:rsidRDefault="00DD66D9">
      <w:pPr>
        <w:pStyle w:val="FootnoteText"/>
      </w:pPr>
      <w:r>
        <w:rPr>
          <w:rStyle w:val="FootnoteReference"/>
        </w:rPr>
        <w:footnoteRef/>
      </w:r>
      <w:r>
        <w:t xml:space="preserve"> </w:t>
      </w:r>
      <w:r>
        <w:tab/>
        <w:t xml:space="preserve">Powerlink, </w:t>
      </w:r>
      <w:r w:rsidRPr="0049239E">
        <w:rPr>
          <w:i/>
        </w:rPr>
        <w:t>2018-22 Powerlink Queensland Revenue Proposal</w:t>
      </w:r>
      <w:r>
        <w:t>, January 2016, p. 129.</w:t>
      </w:r>
    </w:p>
  </w:footnote>
  <w:footnote w:id="9">
    <w:p w:rsidR="00DD66D9" w:rsidRDefault="00DD66D9">
      <w:pPr>
        <w:pStyle w:val="FootnoteText"/>
      </w:pPr>
      <w:r>
        <w:rPr>
          <w:rStyle w:val="FootnoteReference"/>
        </w:rPr>
        <w:footnoteRef/>
      </w:r>
      <w:r>
        <w:t xml:space="preserve"> </w:t>
      </w:r>
      <w:r>
        <w:tab/>
        <w:t xml:space="preserve">Powerlink, </w:t>
      </w:r>
      <w:r w:rsidRPr="0049239E">
        <w:rPr>
          <w:i/>
        </w:rPr>
        <w:t>2018-22 Powerlink Queensland Revenue Proposal</w:t>
      </w:r>
      <w:r>
        <w:t>, January 2016, p. 129.</w:t>
      </w:r>
    </w:p>
  </w:footnote>
  <w:footnote w:id="10">
    <w:p w:rsidR="00DD66D9" w:rsidRDefault="00DD66D9">
      <w:pPr>
        <w:pStyle w:val="FootnoteText"/>
      </w:pPr>
      <w:r>
        <w:rPr>
          <w:rStyle w:val="FootnoteReference"/>
        </w:rPr>
        <w:footnoteRef/>
      </w:r>
      <w:r>
        <w:t xml:space="preserve"> </w:t>
      </w:r>
      <w:r>
        <w:tab/>
        <w:t xml:space="preserve">Powerlink, </w:t>
      </w:r>
      <w:r w:rsidRPr="00134DD1">
        <w:rPr>
          <w:rStyle w:val="Emphasis"/>
        </w:rPr>
        <w:t>2018-22 Powerlink Queensland Revenue Proposal, Appendix 17.01, Negotiating Framework for Negotiated Transmission Services, Version 2 dated October 2015</w:t>
      </w:r>
      <w:r>
        <w:t>, January 2016, p. 12.</w:t>
      </w:r>
    </w:p>
  </w:footnote>
  <w:footnote w:id="11">
    <w:p w:rsidR="00DD66D9" w:rsidRDefault="00DD66D9">
      <w:pPr>
        <w:pStyle w:val="FootnoteText"/>
      </w:pPr>
      <w:r>
        <w:rPr>
          <w:rStyle w:val="FootnoteReference"/>
        </w:rPr>
        <w:footnoteRef/>
      </w:r>
      <w:r>
        <w:t xml:space="preserve"> </w:t>
      </w:r>
      <w:r>
        <w:tab/>
        <w:t xml:space="preserve">Powerlink, </w:t>
      </w:r>
      <w:r w:rsidRPr="0049239E">
        <w:rPr>
          <w:i/>
        </w:rPr>
        <w:t>2018-22 Powerlink Queensland Revenue Proposal</w:t>
      </w:r>
      <w:r>
        <w:t>, January 2016, p. 129.</w:t>
      </w:r>
    </w:p>
  </w:footnote>
  <w:footnote w:id="12">
    <w:p w:rsidR="00DD66D9" w:rsidRDefault="00DD66D9">
      <w:pPr>
        <w:pStyle w:val="FootnoteText"/>
      </w:pPr>
      <w:r>
        <w:rPr>
          <w:rStyle w:val="FootnoteReference"/>
        </w:rPr>
        <w:footnoteRef/>
      </w:r>
      <w:r>
        <w:t xml:space="preserve"> </w:t>
      </w:r>
      <w:r>
        <w:tab/>
        <w:t>NER, cll. 6A.9.5(b)(2); 6A.14.3(f).</w:t>
      </w:r>
    </w:p>
  </w:footnote>
  <w:footnote w:id="13">
    <w:p w:rsidR="00DD66D9" w:rsidRDefault="00DD66D9">
      <w:pPr>
        <w:pStyle w:val="FootnoteText"/>
      </w:pPr>
      <w:r>
        <w:rPr>
          <w:rStyle w:val="FootnoteReference"/>
        </w:rPr>
        <w:footnoteRef/>
      </w:r>
      <w:r>
        <w:t xml:space="preserve"> </w:t>
      </w:r>
      <w:r>
        <w:tab/>
        <w:t>NER, cll. 6A.9.4(b)</w:t>
      </w:r>
      <w:r w:rsidR="00C62B77">
        <w:t>.</w:t>
      </w:r>
    </w:p>
  </w:footnote>
  <w:footnote w:id="14">
    <w:p w:rsidR="00DD66D9" w:rsidRDefault="00DD66D9" w:rsidP="008775A5">
      <w:pPr>
        <w:pStyle w:val="FootnoteText"/>
      </w:pPr>
      <w:r>
        <w:rPr>
          <w:rStyle w:val="FootnoteReference"/>
        </w:rPr>
        <w:footnoteRef/>
      </w:r>
      <w:r>
        <w:t xml:space="preserve"> </w:t>
      </w:r>
      <w:r>
        <w:tab/>
        <w:t>NER, cl. 6A.9.5(c).</w:t>
      </w:r>
    </w:p>
  </w:footnote>
  <w:footnote w:id="15">
    <w:p w:rsidR="00DD66D9" w:rsidRDefault="00DD66D9">
      <w:pPr>
        <w:pStyle w:val="FootnoteText"/>
      </w:pPr>
      <w:r>
        <w:rPr>
          <w:rStyle w:val="FootnoteReference"/>
        </w:rPr>
        <w:footnoteRef/>
      </w:r>
      <w:r>
        <w:t xml:space="preserve"> </w:t>
      </w:r>
      <w:r>
        <w:tab/>
        <w:t>NER, Part K Commercial arbitration for disputes about terms and conditions of access for prescribed and negotiated transmission services, cll 6A.30 to 6A.30.8.</w:t>
      </w:r>
    </w:p>
  </w:footnote>
  <w:footnote w:id="16">
    <w:p w:rsidR="00DD66D9" w:rsidRDefault="00DD66D9">
      <w:pPr>
        <w:pStyle w:val="FootnoteText"/>
      </w:pPr>
      <w:r>
        <w:rPr>
          <w:rStyle w:val="FootnoteReference"/>
        </w:rPr>
        <w:footnoteRef/>
      </w:r>
      <w:r>
        <w:t xml:space="preserve"> </w:t>
      </w:r>
      <w:r>
        <w:tab/>
        <w:t xml:space="preserve">Powerlink, </w:t>
      </w:r>
      <w:r w:rsidRPr="00134DD1">
        <w:rPr>
          <w:rStyle w:val="Emphasis"/>
        </w:rPr>
        <w:t>2018-22 Powerlink Queensland Revenue Proposal, Appendix 17.01, Negotiating Framework for Negotiated Transmission Services, Version 2 dated October 2015</w:t>
      </w:r>
      <w:r>
        <w:t>, January 2016.</w:t>
      </w:r>
    </w:p>
  </w:footnote>
  <w:footnote w:id="17">
    <w:p w:rsidR="00DD66D9" w:rsidRDefault="00DD66D9">
      <w:pPr>
        <w:pStyle w:val="FootnoteText"/>
      </w:pPr>
      <w:r>
        <w:rPr>
          <w:rStyle w:val="FootnoteReference"/>
        </w:rPr>
        <w:footnoteRef/>
      </w:r>
      <w:r>
        <w:t xml:space="preserve"> </w:t>
      </w:r>
      <w:r>
        <w:tab/>
        <w:t>NER, clause 6A.9.1</w:t>
      </w:r>
    </w:p>
  </w:footnote>
  <w:footnote w:id="18">
    <w:p w:rsidR="00DD66D9" w:rsidRDefault="00DD66D9" w:rsidP="000E23A8">
      <w:pPr>
        <w:pStyle w:val="FootnoteText"/>
      </w:pPr>
      <w:r>
        <w:rPr>
          <w:rStyle w:val="FootnoteReference"/>
        </w:rPr>
        <w:footnoteRef/>
      </w:r>
      <w:r>
        <w:t xml:space="preserve"> </w:t>
      </w:r>
      <w:r>
        <w:tab/>
        <w:t>NER, clause 6A.9.4(a)</w:t>
      </w:r>
    </w:p>
  </w:footnote>
  <w:footnote w:id="19">
    <w:p w:rsidR="00DD66D9" w:rsidRDefault="00DD66D9" w:rsidP="000E23A8">
      <w:pPr>
        <w:pStyle w:val="FootnoteText"/>
      </w:pPr>
      <w:r>
        <w:rPr>
          <w:rStyle w:val="FootnoteReference"/>
        </w:rPr>
        <w:footnoteRef/>
      </w:r>
      <w:r>
        <w:t xml:space="preserve"> </w:t>
      </w:r>
      <w:r>
        <w:tab/>
        <w:t>NER, clause 6A.9.4(b)</w:t>
      </w:r>
    </w:p>
  </w:footnote>
  <w:footnote w:id="20">
    <w:p w:rsidR="00DD66D9" w:rsidRDefault="00DD66D9">
      <w:pPr>
        <w:pStyle w:val="FootnoteText"/>
      </w:pPr>
      <w:r>
        <w:rPr>
          <w:rStyle w:val="FootnoteReference"/>
        </w:rPr>
        <w:footnoteRef/>
      </w:r>
      <w:r>
        <w:t xml:space="preserve"> </w:t>
      </w:r>
      <w:r>
        <w:tab/>
        <w:t>Aurizon – Submission on Powerlink regulatory proposal 2017–22, 28 April 2016.</w:t>
      </w:r>
    </w:p>
  </w:footnote>
  <w:footnote w:id="21">
    <w:p w:rsidR="00DD66D9" w:rsidRDefault="00DD66D9">
      <w:pPr>
        <w:pStyle w:val="FootnoteText"/>
      </w:pPr>
      <w:r>
        <w:rPr>
          <w:rStyle w:val="FootnoteReference"/>
        </w:rPr>
        <w:footnoteRef/>
      </w:r>
      <w:r>
        <w:t xml:space="preserve"> </w:t>
      </w:r>
      <w:r>
        <w:tab/>
        <w:t>NER, clause 11.6.11(a).</w:t>
      </w:r>
    </w:p>
  </w:footnote>
  <w:footnote w:id="22">
    <w:p w:rsidR="00DD66D9" w:rsidRDefault="00DD66D9" w:rsidP="00ED11CC">
      <w:pPr>
        <w:pStyle w:val="FootnoteText"/>
      </w:pPr>
      <w:r>
        <w:rPr>
          <w:rStyle w:val="FootnoteReference"/>
        </w:rPr>
        <w:footnoteRef/>
      </w:r>
      <w:r>
        <w:t xml:space="preserve"> </w:t>
      </w:r>
      <w:r>
        <w:tab/>
        <w:t>NER, clause 6A.9.1(1).</w:t>
      </w:r>
    </w:p>
  </w:footnote>
  <w:footnote w:id="23">
    <w:p w:rsidR="00DD66D9" w:rsidRDefault="00DD66D9">
      <w:pPr>
        <w:pStyle w:val="FootnoteText"/>
      </w:pPr>
      <w:r>
        <w:rPr>
          <w:rStyle w:val="FootnoteReference"/>
        </w:rPr>
        <w:footnoteRef/>
      </w:r>
      <w:r>
        <w:t xml:space="preserve"> </w:t>
      </w:r>
      <w:r>
        <w:tab/>
        <w:t>NER, clause 6A.9.1(1).</w:t>
      </w:r>
    </w:p>
  </w:footnote>
  <w:footnote w:id="24">
    <w:p w:rsidR="00DD66D9" w:rsidRDefault="00DD66D9" w:rsidP="008D2473">
      <w:pPr>
        <w:pStyle w:val="FootnoteText"/>
      </w:pPr>
      <w:r>
        <w:rPr>
          <w:rStyle w:val="FootnoteReference"/>
        </w:rPr>
        <w:footnoteRef/>
      </w:r>
      <w:r>
        <w:t xml:space="preserve"> </w:t>
      </w:r>
      <w:r>
        <w:tab/>
        <w:t>NER, clause 6A.9.1(1).</w:t>
      </w:r>
    </w:p>
  </w:footnote>
  <w:footnote w:id="25">
    <w:p w:rsidR="00DD66D9" w:rsidRDefault="00DD66D9">
      <w:pPr>
        <w:pStyle w:val="FootnoteText"/>
      </w:pPr>
      <w:r>
        <w:rPr>
          <w:rStyle w:val="FootnoteReference"/>
        </w:rPr>
        <w:footnoteRef/>
      </w:r>
      <w:r>
        <w:t xml:space="preserve"> </w:t>
      </w:r>
      <w:r>
        <w:tab/>
        <w:t>NER, clause 6A.9.1(5).</w:t>
      </w:r>
    </w:p>
  </w:footnote>
  <w:footnote w:id="26">
    <w:p w:rsidR="00DD66D9" w:rsidRDefault="00DD66D9">
      <w:pPr>
        <w:pStyle w:val="FootnoteText"/>
      </w:pPr>
      <w:r>
        <w:rPr>
          <w:rStyle w:val="FootnoteReference"/>
        </w:rPr>
        <w:footnoteRef/>
      </w:r>
      <w:r>
        <w:t xml:space="preserve"> </w:t>
      </w:r>
      <w:r>
        <w:tab/>
        <w:t>NER, Schedule 5.1a System standards, and Schedule 5.1 Network Performance Requirements to be provided or Co-ordinated by Network Service Providers.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6D9" w:rsidRDefault="00DD66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ECE4384"/>
    <w:multiLevelType w:val="multilevel"/>
    <w:tmpl w:val="8416CA76"/>
    <w:lvl w:ilvl="0">
      <w:start w:val="1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146"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1">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0"/>
  </w:num>
  <w:num w:numId="14">
    <w:abstractNumId w:val="11"/>
  </w:num>
  <w:num w:numId="15">
    <w:abstractNumId w:val="14"/>
  </w:num>
  <w:num w:numId="16">
    <w:abstractNumId w:val="22"/>
  </w:num>
  <w:num w:numId="17">
    <w:abstractNumId w:val="10"/>
  </w:num>
  <w:num w:numId="18">
    <w:abstractNumId w:val="16"/>
  </w:num>
  <w:num w:numId="19">
    <w:abstractNumId w:val="23"/>
  </w:num>
  <w:num w:numId="20">
    <w:abstractNumId w:val="29"/>
  </w:num>
  <w:num w:numId="21">
    <w:abstractNumId w:val="26"/>
  </w:num>
  <w:num w:numId="22">
    <w:abstractNumId w:val="24"/>
  </w:num>
  <w:num w:numId="23">
    <w:abstractNumId w:val="17"/>
  </w:num>
  <w:num w:numId="24">
    <w:abstractNumId w:val="25"/>
  </w:num>
  <w:num w:numId="25">
    <w:abstractNumId w:val="27"/>
  </w:num>
  <w:num w:numId="26">
    <w:abstractNumId w:val="19"/>
  </w:num>
  <w:num w:numId="27">
    <w:abstractNumId w:val="15"/>
  </w:num>
  <w:num w:numId="28">
    <w:abstractNumId w:val="31"/>
  </w:num>
  <w:num w:numId="29">
    <w:abstractNumId w:val="21"/>
  </w:num>
  <w:num w:numId="30">
    <w:abstractNumId w:val="9"/>
  </w:num>
  <w:num w:numId="31">
    <w:abstractNumId w:val="30"/>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draft decision powerlink transmission determination - attachment 14 - negotiated services - september 2016 (D2015-00167256).docx"/>
  </w:docVars>
  <w:rsids>
    <w:rsidRoot w:val="00961A4A"/>
    <w:rsid w:val="00000F1D"/>
    <w:rsid w:val="000051DC"/>
    <w:rsid w:val="0000658F"/>
    <w:rsid w:val="0001507B"/>
    <w:rsid w:val="00020016"/>
    <w:rsid w:val="00021202"/>
    <w:rsid w:val="00021C2B"/>
    <w:rsid w:val="0002498B"/>
    <w:rsid w:val="0002517F"/>
    <w:rsid w:val="00026187"/>
    <w:rsid w:val="000266FC"/>
    <w:rsid w:val="000273B3"/>
    <w:rsid w:val="00027E2D"/>
    <w:rsid w:val="0003578C"/>
    <w:rsid w:val="00040528"/>
    <w:rsid w:val="00043F0A"/>
    <w:rsid w:val="00044DA3"/>
    <w:rsid w:val="000474DF"/>
    <w:rsid w:val="00055A67"/>
    <w:rsid w:val="00057830"/>
    <w:rsid w:val="00063247"/>
    <w:rsid w:val="0006392E"/>
    <w:rsid w:val="0006624E"/>
    <w:rsid w:val="00070F9F"/>
    <w:rsid w:val="0007137B"/>
    <w:rsid w:val="00071BA8"/>
    <w:rsid w:val="00073B74"/>
    <w:rsid w:val="00073E0C"/>
    <w:rsid w:val="00076416"/>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2B40"/>
    <w:rsid w:val="000C5255"/>
    <w:rsid w:val="000D07A7"/>
    <w:rsid w:val="000D09ED"/>
    <w:rsid w:val="000D122C"/>
    <w:rsid w:val="000D2F3B"/>
    <w:rsid w:val="000D75B0"/>
    <w:rsid w:val="000E1819"/>
    <w:rsid w:val="000E23A8"/>
    <w:rsid w:val="000E4821"/>
    <w:rsid w:val="000E4AA9"/>
    <w:rsid w:val="000E595D"/>
    <w:rsid w:val="000E6C72"/>
    <w:rsid w:val="000E7B8D"/>
    <w:rsid w:val="000E7F39"/>
    <w:rsid w:val="000F40FF"/>
    <w:rsid w:val="000F4C4C"/>
    <w:rsid w:val="000F71F9"/>
    <w:rsid w:val="00100EA2"/>
    <w:rsid w:val="00101AA1"/>
    <w:rsid w:val="00102338"/>
    <w:rsid w:val="00104566"/>
    <w:rsid w:val="00104FF6"/>
    <w:rsid w:val="001114AA"/>
    <w:rsid w:val="001132BB"/>
    <w:rsid w:val="00116EB2"/>
    <w:rsid w:val="0012132C"/>
    <w:rsid w:val="00121E4E"/>
    <w:rsid w:val="00124609"/>
    <w:rsid w:val="00126A4C"/>
    <w:rsid w:val="001270E3"/>
    <w:rsid w:val="00132D43"/>
    <w:rsid w:val="00133366"/>
    <w:rsid w:val="00133F47"/>
    <w:rsid w:val="00134029"/>
    <w:rsid w:val="00134DD1"/>
    <w:rsid w:val="00142C2D"/>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CB9"/>
    <w:rsid w:val="00185DBE"/>
    <w:rsid w:val="00186ADC"/>
    <w:rsid w:val="00186F77"/>
    <w:rsid w:val="001877A4"/>
    <w:rsid w:val="001926A4"/>
    <w:rsid w:val="00192AD5"/>
    <w:rsid w:val="00194597"/>
    <w:rsid w:val="00194E00"/>
    <w:rsid w:val="0019745E"/>
    <w:rsid w:val="001A530D"/>
    <w:rsid w:val="001A5FB3"/>
    <w:rsid w:val="001A7155"/>
    <w:rsid w:val="001B45A0"/>
    <w:rsid w:val="001B680E"/>
    <w:rsid w:val="001B7F0E"/>
    <w:rsid w:val="001C725E"/>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2340"/>
    <w:rsid w:val="0022242C"/>
    <w:rsid w:val="00223051"/>
    <w:rsid w:val="00224DB9"/>
    <w:rsid w:val="0022569A"/>
    <w:rsid w:val="00231012"/>
    <w:rsid w:val="00233775"/>
    <w:rsid w:val="0023414B"/>
    <w:rsid w:val="002417D2"/>
    <w:rsid w:val="00243635"/>
    <w:rsid w:val="0024557A"/>
    <w:rsid w:val="00247079"/>
    <w:rsid w:val="00251745"/>
    <w:rsid w:val="002535AD"/>
    <w:rsid w:val="002552BA"/>
    <w:rsid w:val="002575C5"/>
    <w:rsid w:val="00260016"/>
    <w:rsid w:val="00261C68"/>
    <w:rsid w:val="00263AC0"/>
    <w:rsid w:val="00264264"/>
    <w:rsid w:val="002660B4"/>
    <w:rsid w:val="0026689B"/>
    <w:rsid w:val="0026772D"/>
    <w:rsid w:val="0027174C"/>
    <w:rsid w:val="002730B2"/>
    <w:rsid w:val="00274C7E"/>
    <w:rsid w:val="002777CF"/>
    <w:rsid w:val="002810F2"/>
    <w:rsid w:val="00286874"/>
    <w:rsid w:val="00290C63"/>
    <w:rsid w:val="00291A99"/>
    <w:rsid w:val="002920AE"/>
    <w:rsid w:val="00293B6D"/>
    <w:rsid w:val="00294B08"/>
    <w:rsid w:val="0029518C"/>
    <w:rsid w:val="002963DD"/>
    <w:rsid w:val="00296B65"/>
    <w:rsid w:val="002A310F"/>
    <w:rsid w:val="002A7DEF"/>
    <w:rsid w:val="002B0696"/>
    <w:rsid w:val="002C0222"/>
    <w:rsid w:val="002C1499"/>
    <w:rsid w:val="002C233C"/>
    <w:rsid w:val="002C3681"/>
    <w:rsid w:val="002C517B"/>
    <w:rsid w:val="002C77E9"/>
    <w:rsid w:val="002D3509"/>
    <w:rsid w:val="002D5457"/>
    <w:rsid w:val="002D72E8"/>
    <w:rsid w:val="002D79AD"/>
    <w:rsid w:val="002E268F"/>
    <w:rsid w:val="002E78DD"/>
    <w:rsid w:val="002E7B22"/>
    <w:rsid w:val="002F12EC"/>
    <w:rsid w:val="002F2A5C"/>
    <w:rsid w:val="002F7986"/>
    <w:rsid w:val="00301B40"/>
    <w:rsid w:val="00301C82"/>
    <w:rsid w:val="003029EE"/>
    <w:rsid w:val="00304D38"/>
    <w:rsid w:val="00305CC8"/>
    <w:rsid w:val="00307F6D"/>
    <w:rsid w:val="00314D83"/>
    <w:rsid w:val="0031571F"/>
    <w:rsid w:val="003177A2"/>
    <w:rsid w:val="003271B5"/>
    <w:rsid w:val="00327A1E"/>
    <w:rsid w:val="00327E28"/>
    <w:rsid w:val="00331264"/>
    <w:rsid w:val="00334C8D"/>
    <w:rsid w:val="00335A3D"/>
    <w:rsid w:val="003378BD"/>
    <w:rsid w:val="00341AA4"/>
    <w:rsid w:val="003424EA"/>
    <w:rsid w:val="00342C2F"/>
    <w:rsid w:val="003436EB"/>
    <w:rsid w:val="00343A18"/>
    <w:rsid w:val="00343EB6"/>
    <w:rsid w:val="00345744"/>
    <w:rsid w:val="00347AB5"/>
    <w:rsid w:val="003518B3"/>
    <w:rsid w:val="00353E79"/>
    <w:rsid w:val="00364EA0"/>
    <w:rsid w:val="00366981"/>
    <w:rsid w:val="00370678"/>
    <w:rsid w:val="0037214E"/>
    <w:rsid w:val="00372C85"/>
    <w:rsid w:val="00373845"/>
    <w:rsid w:val="003744E3"/>
    <w:rsid w:val="00375F71"/>
    <w:rsid w:val="00376219"/>
    <w:rsid w:val="0037663E"/>
    <w:rsid w:val="00377A29"/>
    <w:rsid w:val="00377C69"/>
    <w:rsid w:val="00377F1F"/>
    <w:rsid w:val="003804D2"/>
    <w:rsid w:val="0038415D"/>
    <w:rsid w:val="0038461C"/>
    <w:rsid w:val="003846F1"/>
    <w:rsid w:val="00390E6A"/>
    <w:rsid w:val="00393ABE"/>
    <w:rsid w:val="00395DB6"/>
    <w:rsid w:val="00397398"/>
    <w:rsid w:val="003A1EF2"/>
    <w:rsid w:val="003A371A"/>
    <w:rsid w:val="003A59CD"/>
    <w:rsid w:val="003A6B00"/>
    <w:rsid w:val="003B30B2"/>
    <w:rsid w:val="003B484F"/>
    <w:rsid w:val="003B504B"/>
    <w:rsid w:val="003B5179"/>
    <w:rsid w:val="003B5CE1"/>
    <w:rsid w:val="003B685C"/>
    <w:rsid w:val="003B7FBA"/>
    <w:rsid w:val="003C6537"/>
    <w:rsid w:val="003C6A13"/>
    <w:rsid w:val="003C764A"/>
    <w:rsid w:val="003C78BA"/>
    <w:rsid w:val="003D41F1"/>
    <w:rsid w:val="003D42AB"/>
    <w:rsid w:val="003D5B94"/>
    <w:rsid w:val="003E0D3A"/>
    <w:rsid w:val="003E1564"/>
    <w:rsid w:val="003E3AAB"/>
    <w:rsid w:val="003E7FE9"/>
    <w:rsid w:val="003F07D4"/>
    <w:rsid w:val="003F174D"/>
    <w:rsid w:val="003F2329"/>
    <w:rsid w:val="00400FD2"/>
    <w:rsid w:val="00403711"/>
    <w:rsid w:val="00404C52"/>
    <w:rsid w:val="004156D5"/>
    <w:rsid w:val="00415BA9"/>
    <w:rsid w:val="00415F31"/>
    <w:rsid w:val="0041691D"/>
    <w:rsid w:val="0042000C"/>
    <w:rsid w:val="0042090E"/>
    <w:rsid w:val="00421F27"/>
    <w:rsid w:val="004238D8"/>
    <w:rsid w:val="00423A77"/>
    <w:rsid w:val="004252E3"/>
    <w:rsid w:val="004324F4"/>
    <w:rsid w:val="00434544"/>
    <w:rsid w:val="00445D43"/>
    <w:rsid w:val="00446CD2"/>
    <w:rsid w:val="0045777E"/>
    <w:rsid w:val="00465258"/>
    <w:rsid w:val="00476221"/>
    <w:rsid w:val="004766F5"/>
    <w:rsid w:val="00480B4B"/>
    <w:rsid w:val="004838D8"/>
    <w:rsid w:val="00485DC4"/>
    <w:rsid w:val="0049239E"/>
    <w:rsid w:val="00494D04"/>
    <w:rsid w:val="004A40BA"/>
    <w:rsid w:val="004A43D1"/>
    <w:rsid w:val="004A65E3"/>
    <w:rsid w:val="004B1F1F"/>
    <w:rsid w:val="004B4412"/>
    <w:rsid w:val="004B748E"/>
    <w:rsid w:val="004C348C"/>
    <w:rsid w:val="004C462E"/>
    <w:rsid w:val="004C6CA3"/>
    <w:rsid w:val="004C7F5E"/>
    <w:rsid w:val="004D20E6"/>
    <w:rsid w:val="004D343C"/>
    <w:rsid w:val="004D372A"/>
    <w:rsid w:val="004D55BA"/>
    <w:rsid w:val="004D720C"/>
    <w:rsid w:val="004E0FA7"/>
    <w:rsid w:val="004E22EC"/>
    <w:rsid w:val="004E721B"/>
    <w:rsid w:val="004F0BFA"/>
    <w:rsid w:val="004F3FD9"/>
    <w:rsid w:val="004F4D69"/>
    <w:rsid w:val="004F6883"/>
    <w:rsid w:val="004F6A0E"/>
    <w:rsid w:val="004F6BB3"/>
    <w:rsid w:val="005009CD"/>
    <w:rsid w:val="00504A09"/>
    <w:rsid w:val="00504E5F"/>
    <w:rsid w:val="00505D5C"/>
    <w:rsid w:val="0051337E"/>
    <w:rsid w:val="00513FA7"/>
    <w:rsid w:val="0051768F"/>
    <w:rsid w:val="00522DC2"/>
    <w:rsid w:val="00530128"/>
    <w:rsid w:val="005322C4"/>
    <w:rsid w:val="00532467"/>
    <w:rsid w:val="005332A9"/>
    <w:rsid w:val="0053603C"/>
    <w:rsid w:val="00537871"/>
    <w:rsid w:val="00541E9E"/>
    <w:rsid w:val="00542FE9"/>
    <w:rsid w:val="00544598"/>
    <w:rsid w:val="00544C8D"/>
    <w:rsid w:val="00544DFD"/>
    <w:rsid w:val="005546D5"/>
    <w:rsid w:val="00556B1E"/>
    <w:rsid w:val="00561289"/>
    <w:rsid w:val="00564A4D"/>
    <w:rsid w:val="0056598C"/>
    <w:rsid w:val="00566E0B"/>
    <w:rsid w:val="00567BA5"/>
    <w:rsid w:val="00571B35"/>
    <w:rsid w:val="00571B43"/>
    <w:rsid w:val="00571D57"/>
    <w:rsid w:val="005726C9"/>
    <w:rsid w:val="00573A3B"/>
    <w:rsid w:val="00577716"/>
    <w:rsid w:val="00577A09"/>
    <w:rsid w:val="00577B04"/>
    <w:rsid w:val="005829C2"/>
    <w:rsid w:val="00584D8F"/>
    <w:rsid w:val="00587A18"/>
    <w:rsid w:val="005A0BEC"/>
    <w:rsid w:val="005A404D"/>
    <w:rsid w:val="005A6010"/>
    <w:rsid w:val="005B1E3C"/>
    <w:rsid w:val="005B6518"/>
    <w:rsid w:val="005B704A"/>
    <w:rsid w:val="005B72D7"/>
    <w:rsid w:val="005C045F"/>
    <w:rsid w:val="005C16FE"/>
    <w:rsid w:val="005C1FAB"/>
    <w:rsid w:val="005C21A4"/>
    <w:rsid w:val="005C26CC"/>
    <w:rsid w:val="005C5470"/>
    <w:rsid w:val="005D3D88"/>
    <w:rsid w:val="005D48C4"/>
    <w:rsid w:val="005D4CEB"/>
    <w:rsid w:val="005D6208"/>
    <w:rsid w:val="005D6366"/>
    <w:rsid w:val="005D7BA2"/>
    <w:rsid w:val="005E36C2"/>
    <w:rsid w:val="005E4AF4"/>
    <w:rsid w:val="005F387E"/>
    <w:rsid w:val="006005A4"/>
    <w:rsid w:val="00601E0B"/>
    <w:rsid w:val="0060258B"/>
    <w:rsid w:val="00610EF9"/>
    <w:rsid w:val="00612F4F"/>
    <w:rsid w:val="00614EA0"/>
    <w:rsid w:val="00615C6B"/>
    <w:rsid w:val="00617D4C"/>
    <w:rsid w:val="00621DCE"/>
    <w:rsid w:val="00621FC5"/>
    <w:rsid w:val="00624F2C"/>
    <w:rsid w:val="00632D6D"/>
    <w:rsid w:val="00636569"/>
    <w:rsid w:val="00636EF9"/>
    <w:rsid w:val="00642C3E"/>
    <w:rsid w:val="00644A01"/>
    <w:rsid w:val="00645C28"/>
    <w:rsid w:val="00647500"/>
    <w:rsid w:val="00651E2D"/>
    <w:rsid w:val="00652324"/>
    <w:rsid w:val="006548F9"/>
    <w:rsid w:val="006577FB"/>
    <w:rsid w:val="0066104A"/>
    <w:rsid w:val="00663066"/>
    <w:rsid w:val="00663DAD"/>
    <w:rsid w:val="00664206"/>
    <w:rsid w:val="006649E7"/>
    <w:rsid w:val="00664A37"/>
    <w:rsid w:val="00666634"/>
    <w:rsid w:val="0066689E"/>
    <w:rsid w:val="00667ED6"/>
    <w:rsid w:val="00671692"/>
    <w:rsid w:val="00675E20"/>
    <w:rsid w:val="00676679"/>
    <w:rsid w:val="00676973"/>
    <w:rsid w:val="00683882"/>
    <w:rsid w:val="00683C89"/>
    <w:rsid w:val="00691B53"/>
    <w:rsid w:val="00697D0B"/>
    <w:rsid w:val="006A12BA"/>
    <w:rsid w:val="006A66A1"/>
    <w:rsid w:val="006B032D"/>
    <w:rsid w:val="006B2395"/>
    <w:rsid w:val="006B40AC"/>
    <w:rsid w:val="006B4CF9"/>
    <w:rsid w:val="006B797C"/>
    <w:rsid w:val="006B7AC8"/>
    <w:rsid w:val="006C1736"/>
    <w:rsid w:val="006C329B"/>
    <w:rsid w:val="006C6303"/>
    <w:rsid w:val="006D0449"/>
    <w:rsid w:val="006D550F"/>
    <w:rsid w:val="006D6146"/>
    <w:rsid w:val="006D7F7E"/>
    <w:rsid w:val="006E0CFF"/>
    <w:rsid w:val="006F0D92"/>
    <w:rsid w:val="006F267D"/>
    <w:rsid w:val="0070011E"/>
    <w:rsid w:val="00701CAB"/>
    <w:rsid w:val="007023BB"/>
    <w:rsid w:val="00704DD7"/>
    <w:rsid w:val="00706BBF"/>
    <w:rsid w:val="00707563"/>
    <w:rsid w:val="0071580B"/>
    <w:rsid w:val="00715F61"/>
    <w:rsid w:val="00722132"/>
    <w:rsid w:val="007228F7"/>
    <w:rsid w:val="0072348C"/>
    <w:rsid w:val="00724A37"/>
    <w:rsid w:val="007303C3"/>
    <w:rsid w:val="00731188"/>
    <w:rsid w:val="0073407A"/>
    <w:rsid w:val="007356CC"/>
    <w:rsid w:val="00735E7F"/>
    <w:rsid w:val="007368E6"/>
    <w:rsid w:val="007375DF"/>
    <w:rsid w:val="007429BE"/>
    <w:rsid w:val="00743223"/>
    <w:rsid w:val="00743349"/>
    <w:rsid w:val="0074403A"/>
    <w:rsid w:val="00746E01"/>
    <w:rsid w:val="00751DCD"/>
    <w:rsid w:val="00755084"/>
    <w:rsid w:val="00757364"/>
    <w:rsid w:val="00757BDF"/>
    <w:rsid w:val="007609D0"/>
    <w:rsid w:val="00761454"/>
    <w:rsid w:val="0076193D"/>
    <w:rsid w:val="00763BF5"/>
    <w:rsid w:val="00763E5D"/>
    <w:rsid w:val="00767740"/>
    <w:rsid w:val="00767B5E"/>
    <w:rsid w:val="00775460"/>
    <w:rsid w:val="00777EE6"/>
    <w:rsid w:val="00782EEA"/>
    <w:rsid w:val="007909B4"/>
    <w:rsid w:val="00790E86"/>
    <w:rsid w:val="007939F4"/>
    <w:rsid w:val="007949D7"/>
    <w:rsid w:val="007A0143"/>
    <w:rsid w:val="007A34C2"/>
    <w:rsid w:val="007A396C"/>
    <w:rsid w:val="007B0BE3"/>
    <w:rsid w:val="007B1816"/>
    <w:rsid w:val="007B186E"/>
    <w:rsid w:val="007B25DC"/>
    <w:rsid w:val="007B2C72"/>
    <w:rsid w:val="007B3789"/>
    <w:rsid w:val="007B651F"/>
    <w:rsid w:val="007B7BB5"/>
    <w:rsid w:val="007C1C53"/>
    <w:rsid w:val="007C284C"/>
    <w:rsid w:val="007C4B82"/>
    <w:rsid w:val="007C74BB"/>
    <w:rsid w:val="007C7F64"/>
    <w:rsid w:val="007D0035"/>
    <w:rsid w:val="007D0A95"/>
    <w:rsid w:val="007D0EB5"/>
    <w:rsid w:val="007D456E"/>
    <w:rsid w:val="007D5837"/>
    <w:rsid w:val="007E4904"/>
    <w:rsid w:val="007E4CB5"/>
    <w:rsid w:val="007E4DAE"/>
    <w:rsid w:val="007F066B"/>
    <w:rsid w:val="007F4EAB"/>
    <w:rsid w:val="007F5B16"/>
    <w:rsid w:val="007F7C9D"/>
    <w:rsid w:val="008033C4"/>
    <w:rsid w:val="00806731"/>
    <w:rsid w:val="00806C88"/>
    <w:rsid w:val="0081034E"/>
    <w:rsid w:val="00810806"/>
    <w:rsid w:val="00810C2B"/>
    <w:rsid w:val="00815882"/>
    <w:rsid w:val="00820454"/>
    <w:rsid w:val="00822AC7"/>
    <w:rsid w:val="00822E86"/>
    <w:rsid w:val="008258CE"/>
    <w:rsid w:val="008344F6"/>
    <w:rsid w:val="0083510F"/>
    <w:rsid w:val="00837BF3"/>
    <w:rsid w:val="008415DE"/>
    <w:rsid w:val="008420DE"/>
    <w:rsid w:val="00845865"/>
    <w:rsid w:val="00845C24"/>
    <w:rsid w:val="0084799B"/>
    <w:rsid w:val="00850C90"/>
    <w:rsid w:val="00851209"/>
    <w:rsid w:val="0085171F"/>
    <w:rsid w:val="008658A1"/>
    <w:rsid w:val="0086716A"/>
    <w:rsid w:val="00870613"/>
    <w:rsid w:val="0087380F"/>
    <w:rsid w:val="0087648F"/>
    <w:rsid w:val="00876612"/>
    <w:rsid w:val="008775A5"/>
    <w:rsid w:val="00881559"/>
    <w:rsid w:val="00882BB1"/>
    <w:rsid w:val="008837AC"/>
    <w:rsid w:val="0088697C"/>
    <w:rsid w:val="008908AD"/>
    <w:rsid w:val="008909DC"/>
    <w:rsid w:val="00894255"/>
    <w:rsid w:val="008945AD"/>
    <w:rsid w:val="008A0645"/>
    <w:rsid w:val="008A1C02"/>
    <w:rsid w:val="008A370D"/>
    <w:rsid w:val="008A569E"/>
    <w:rsid w:val="008A587D"/>
    <w:rsid w:val="008B0392"/>
    <w:rsid w:val="008B16B0"/>
    <w:rsid w:val="008B1BD5"/>
    <w:rsid w:val="008B35CD"/>
    <w:rsid w:val="008B3B0A"/>
    <w:rsid w:val="008B4093"/>
    <w:rsid w:val="008B5FCC"/>
    <w:rsid w:val="008B7F36"/>
    <w:rsid w:val="008C01D8"/>
    <w:rsid w:val="008C357F"/>
    <w:rsid w:val="008C5486"/>
    <w:rsid w:val="008D1661"/>
    <w:rsid w:val="008D2473"/>
    <w:rsid w:val="008D27E0"/>
    <w:rsid w:val="008D5F90"/>
    <w:rsid w:val="008D6800"/>
    <w:rsid w:val="008D72F1"/>
    <w:rsid w:val="008E4089"/>
    <w:rsid w:val="008E5AFF"/>
    <w:rsid w:val="008E7031"/>
    <w:rsid w:val="008E77DE"/>
    <w:rsid w:val="008F040C"/>
    <w:rsid w:val="008F07A3"/>
    <w:rsid w:val="008F1BAE"/>
    <w:rsid w:val="008F3322"/>
    <w:rsid w:val="008F3519"/>
    <w:rsid w:val="008F3A0D"/>
    <w:rsid w:val="009001B6"/>
    <w:rsid w:val="00900E1B"/>
    <w:rsid w:val="0090131F"/>
    <w:rsid w:val="00907683"/>
    <w:rsid w:val="009132B7"/>
    <w:rsid w:val="00916A2C"/>
    <w:rsid w:val="009233EE"/>
    <w:rsid w:val="00930B1A"/>
    <w:rsid w:val="00932612"/>
    <w:rsid w:val="009327DC"/>
    <w:rsid w:val="009338D9"/>
    <w:rsid w:val="009339BD"/>
    <w:rsid w:val="009356CF"/>
    <w:rsid w:val="00945E53"/>
    <w:rsid w:val="009460AA"/>
    <w:rsid w:val="00951978"/>
    <w:rsid w:val="00952A50"/>
    <w:rsid w:val="00955B59"/>
    <w:rsid w:val="00961A4A"/>
    <w:rsid w:val="009661DE"/>
    <w:rsid w:val="00972C7C"/>
    <w:rsid w:val="009776F4"/>
    <w:rsid w:val="00982DA2"/>
    <w:rsid w:val="00983C25"/>
    <w:rsid w:val="0098466D"/>
    <w:rsid w:val="009856B7"/>
    <w:rsid w:val="00985C86"/>
    <w:rsid w:val="00986DFA"/>
    <w:rsid w:val="009976A3"/>
    <w:rsid w:val="0099796C"/>
    <w:rsid w:val="009A04EA"/>
    <w:rsid w:val="009A5FC3"/>
    <w:rsid w:val="009B6F84"/>
    <w:rsid w:val="009B74B0"/>
    <w:rsid w:val="009C0152"/>
    <w:rsid w:val="009C1A74"/>
    <w:rsid w:val="009C3D42"/>
    <w:rsid w:val="009C491E"/>
    <w:rsid w:val="009D03D4"/>
    <w:rsid w:val="009D0DF1"/>
    <w:rsid w:val="009D22D6"/>
    <w:rsid w:val="009D2C84"/>
    <w:rsid w:val="009D3906"/>
    <w:rsid w:val="009D6B46"/>
    <w:rsid w:val="009E35B6"/>
    <w:rsid w:val="009E5ABC"/>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22CE4"/>
    <w:rsid w:val="00A30BF5"/>
    <w:rsid w:val="00A31BE6"/>
    <w:rsid w:val="00A32FBB"/>
    <w:rsid w:val="00A3348D"/>
    <w:rsid w:val="00A40068"/>
    <w:rsid w:val="00A40BE9"/>
    <w:rsid w:val="00A428EE"/>
    <w:rsid w:val="00A443C2"/>
    <w:rsid w:val="00A4478A"/>
    <w:rsid w:val="00A44852"/>
    <w:rsid w:val="00A50502"/>
    <w:rsid w:val="00A53409"/>
    <w:rsid w:val="00A53796"/>
    <w:rsid w:val="00A53848"/>
    <w:rsid w:val="00A56945"/>
    <w:rsid w:val="00A56A6E"/>
    <w:rsid w:val="00A57D04"/>
    <w:rsid w:val="00A60A26"/>
    <w:rsid w:val="00A61598"/>
    <w:rsid w:val="00A61777"/>
    <w:rsid w:val="00A63646"/>
    <w:rsid w:val="00A63914"/>
    <w:rsid w:val="00A83F2E"/>
    <w:rsid w:val="00A84A99"/>
    <w:rsid w:val="00A84F46"/>
    <w:rsid w:val="00A86AEA"/>
    <w:rsid w:val="00A871F4"/>
    <w:rsid w:val="00A9431A"/>
    <w:rsid w:val="00A95988"/>
    <w:rsid w:val="00A959DF"/>
    <w:rsid w:val="00A97A1B"/>
    <w:rsid w:val="00AA2927"/>
    <w:rsid w:val="00AA76DD"/>
    <w:rsid w:val="00AB2CB8"/>
    <w:rsid w:val="00AB4617"/>
    <w:rsid w:val="00AC1B2C"/>
    <w:rsid w:val="00AC3264"/>
    <w:rsid w:val="00AC46AD"/>
    <w:rsid w:val="00AC4D2D"/>
    <w:rsid w:val="00AC58EC"/>
    <w:rsid w:val="00AC7282"/>
    <w:rsid w:val="00AC7961"/>
    <w:rsid w:val="00AD314E"/>
    <w:rsid w:val="00AD5FCD"/>
    <w:rsid w:val="00AD6981"/>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A7D"/>
    <w:rsid w:val="00B35CDF"/>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5414"/>
    <w:rsid w:val="00B87BA5"/>
    <w:rsid w:val="00B87C39"/>
    <w:rsid w:val="00B93891"/>
    <w:rsid w:val="00B9562D"/>
    <w:rsid w:val="00BA21DA"/>
    <w:rsid w:val="00BA2B60"/>
    <w:rsid w:val="00BA3C93"/>
    <w:rsid w:val="00BA4665"/>
    <w:rsid w:val="00BA4926"/>
    <w:rsid w:val="00BA7FD7"/>
    <w:rsid w:val="00BB1681"/>
    <w:rsid w:val="00BB2FB2"/>
    <w:rsid w:val="00BB3304"/>
    <w:rsid w:val="00BB5DD1"/>
    <w:rsid w:val="00BB6551"/>
    <w:rsid w:val="00BC4A10"/>
    <w:rsid w:val="00BD30F4"/>
    <w:rsid w:val="00BD3446"/>
    <w:rsid w:val="00BD59CF"/>
    <w:rsid w:val="00BE1312"/>
    <w:rsid w:val="00BE1F1B"/>
    <w:rsid w:val="00BE3F89"/>
    <w:rsid w:val="00BE47B5"/>
    <w:rsid w:val="00BE5FCE"/>
    <w:rsid w:val="00BF7EF6"/>
    <w:rsid w:val="00C0079E"/>
    <w:rsid w:val="00C05038"/>
    <w:rsid w:val="00C0572A"/>
    <w:rsid w:val="00C132E3"/>
    <w:rsid w:val="00C13EBD"/>
    <w:rsid w:val="00C1631B"/>
    <w:rsid w:val="00C170F0"/>
    <w:rsid w:val="00C236A0"/>
    <w:rsid w:val="00C24102"/>
    <w:rsid w:val="00C25962"/>
    <w:rsid w:val="00C25FA6"/>
    <w:rsid w:val="00C268F6"/>
    <w:rsid w:val="00C3099D"/>
    <w:rsid w:val="00C34717"/>
    <w:rsid w:val="00C362C1"/>
    <w:rsid w:val="00C41950"/>
    <w:rsid w:val="00C42C3B"/>
    <w:rsid w:val="00C51672"/>
    <w:rsid w:val="00C538A9"/>
    <w:rsid w:val="00C53B5A"/>
    <w:rsid w:val="00C53E41"/>
    <w:rsid w:val="00C54909"/>
    <w:rsid w:val="00C54AF3"/>
    <w:rsid w:val="00C54F5A"/>
    <w:rsid w:val="00C569B4"/>
    <w:rsid w:val="00C57DDE"/>
    <w:rsid w:val="00C61468"/>
    <w:rsid w:val="00C61A97"/>
    <w:rsid w:val="00C61E44"/>
    <w:rsid w:val="00C62B77"/>
    <w:rsid w:val="00C64FF3"/>
    <w:rsid w:val="00C662AD"/>
    <w:rsid w:val="00C66E8A"/>
    <w:rsid w:val="00C67A92"/>
    <w:rsid w:val="00C71280"/>
    <w:rsid w:val="00C717BF"/>
    <w:rsid w:val="00C76178"/>
    <w:rsid w:val="00C84560"/>
    <w:rsid w:val="00C86679"/>
    <w:rsid w:val="00C8792F"/>
    <w:rsid w:val="00C90472"/>
    <w:rsid w:val="00C91D6E"/>
    <w:rsid w:val="00C95483"/>
    <w:rsid w:val="00CA1F5C"/>
    <w:rsid w:val="00CA489E"/>
    <w:rsid w:val="00CB0279"/>
    <w:rsid w:val="00CB666B"/>
    <w:rsid w:val="00CB734B"/>
    <w:rsid w:val="00CC1A6C"/>
    <w:rsid w:val="00CC41B6"/>
    <w:rsid w:val="00CC7ADA"/>
    <w:rsid w:val="00CC7F1D"/>
    <w:rsid w:val="00CD0A88"/>
    <w:rsid w:val="00CD0AC4"/>
    <w:rsid w:val="00CD125D"/>
    <w:rsid w:val="00CD283C"/>
    <w:rsid w:val="00CD3641"/>
    <w:rsid w:val="00CD52D3"/>
    <w:rsid w:val="00CD66EA"/>
    <w:rsid w:val="00CD7432"/>
    <w:rsid w:val="00CE0FA5"/>
    <w:rsid w:val="00CE2A23"/>
    <w:rsid w:val="00CE31C8"/>
    <w:rsid w:val="00CE3659"/>
    <w:rsid w:val="00CE484B"/>
    <w:rsid w:val="00CE7CBA"/>
    <w:rsid w:val="00CF0DEE"/>
    <w:rsid w:val="00CF5EAA"/>
    <w:rsid w:val="00CF6AE3"/>
    <w:rsid w:val="00CF77BB"/>
    <w:rsid w:val="00D006AE"/>
    <w:rsid w:val="00D00905"/>
    <w:rsid w:val="00D010C1"/>
    <w:rsid w:val="00D01CF0"/>
    <w:rsid w:val="00D03D6B"/>
    <w:rsid w:val="00D0442A"/>
    <w:rsid w:val="00D12763"/>
    <w:rsid w:val="00D12A7B"/>
    <w:rsid w:val="00D12ADB"/>
    <w:rsid w:val="00D15E63"/>
    <w:rsid w:val="00D16300"/>
    <w:rsid w:val="00D23389"/>
    <w:rsid w:val="00D25A39"/>
    <w:rsid w:val="00D27CFA"/>
    <w:rsid w:val="00D310FA"/>
    <w:rsid w:val="00D325C6"/>
    <w:rsid w:val="00D37213"/>
    <w:rsid w:val="00D53D2C"/>
    <w:rsid w:val="00D5607F"/>
    <w:rsid w:val="00D61388"/>
    <w:rsid w:val="00D61A54"/>
    <w:rsid w:val="00D62108"/>
    <w:rsid w:val="00D64AA4"/>
    <w:rsid w:val="00D64DEA"/>
    <w:rsid w:val="00D64F84"/>
    <w:rsid w:val="00D65EC4"/>
    <w:rsid w:val="00D663CD"/>
    <w:rsid w:val="00D6726A"/>
    <w:rsid w:val="00D7001B"/>
    <w:rsid w:val="00D7160D"/>
    <w:rsid w:val="00D7168E"/>
    <w:rsid w:val="00D71C5E"/>
    <w:rsid w:val="00D71E57"/>
    <w:rsid w:val="00D72D27"/>
    <w:rsid w:val="00D7786B"/>
    <w:rsid w:val="00D80893"/>
    <w:rsid w:val="00D82519"/>
    <w:rsid w:val="00D836EC"/>
    <w:rsid w:val="00D84854"/>
    <w:rsid w:val="00D91B38"/>
    <w:rsid w:val="00D924AE"/>
    <w:rsid w:val="00D92CF1"/>
    <w:rsid w:val="00D92D38"/>
    <w:rsid w:val="00D950F5"/>
    <w:rsid w:val="00D97379"/>
    <w:rsid w:val="00DA4752"/>
    <w:rsid w:val="00DA4C09"/>
    <w:rsid w:val="00DA61F3"/>
    <w:rsid w:val="00DA7CB3"/>
    <w:rsid w:val="00DB0D00"/>
    <w:rsid w:val="00DB0F93"/>
    <w:rsid w:val="00DB1A67"/>
    <w:rsid w:val="00DB3721"/>
    <w:rsid w:val="00DB5074"/>
    <w:rsid w:val="00DC0281"/>
    <w:rsid w:val="00DC04A2"/>
    <w:rsid w:val="00DC1930"/>
    <w:rsid w:val="00DC1C76"/>
    <w:rsid w:val="00DC4DBF"/>
    <w:rsid w:val="00DC4E19"/>
    <w:rsid w:val="00DC6030"/>
    <w:rsid w:val="00DC65FE"/>
    <w:rsid w:val="00DC7981"/>
    <w:rsid w:val="00DD4C07"/>
    <w:rsid w:val="00DD577D"/>
    <w:rsid w:val="00DD5ADC"/>
    <w:rsid w:val="00DD66D9"/>
    <w:rsid w:val="00DE1093"/>
    <w:rsid w:val="00DE4EFA"/>
    <w:rsid w:val="00DE5520"/>
    <w:rsid w:val="00DE563D"/>
    <w:rsid w:val="00DF0152"/>
    <w:rsid w:val="00DF1958"/>
    <w:rsid w:val="00E04818"/>
    <w:rsid w:val="00E06442"/>
    <w:rsid w:val="00E06952"/>
    <w:rsid w:val="00E157B2"/>
    <w:rsid w:val="00E16055"/>
    <w:rsid w:val="00E2332D"/>
    <w:rsid w:val="00E23993"/>
    <w:rsid w:val="00E2574F"/>
    <w:rsid w:val="00E25951"/>
    <w:rsid w:val="00E25B8C"/>
    <w:rsid w:val="00E308C5"/>
    <w:rsid w:val="00E31CF6"/>
    <w:rsid w:val="00E34A4A"/>
    <w:rsid w:val="00E35AFC"/>
    <w:rsid w:val="00E41D39"/>
    <w:rsid w:val="00E50A02"/>
    <w:rsid w:val="00E53E2C"/>
    <w:rsid w:val="00E54106"/>
    <w:rsid w:val="00E54697"/>
    <w:rsid w:val="00E57A08"/>
    <w:rsid w:val="00E60B11"/>
    <w:rsid w:val="00E63631"/>
    <w:rsid w:val="00E64C2A"/>
    <w:rsid w:val="00E65C85"/>
    <w:rsid w:val="00E66199"/>
    <w:rsid w:val="00E70526"/>
    <w:rsid w:val="00E754B4"/>
    <w:rsid w:val="00E755EC"/>
    <w:rsid w:val="00E7624D"/>
    <w:rsid w:val="00E81724"/>
    <w:rsid w:val="00E819A4"/>
    <w:rsid w:val="00E833FA"/>
    <w:rsid w:val="00E84B74"/>
    <w:rsid w:val="00E87066"/>
    <w:rsid w:val="00E957B5"/>
    <w:rsid w:val="00E966BF"/>
    <w:rsid w:val="00EA0C04"/>
    <w:rsid w:val="00EA3D42"/>
    <w:rsid w:val="00EA530D"/>
    <w:rsid w:val="00EA6B1B"/>
    <w:rsid w:val="00EB1CBD"/>
    <w:rsid w:val="00EB3A34"/>
    <w:rsid w:val="00EB3C3F"/>
    <w:rsid w:val="00EC04F1"/>
    <w:rsid w:val="00EC237F"/>
    <w:rsid w:val="00EC573A"/>
    <w:rsid w:val="00ED11CC"/>
    <w:rsid w:val="00ED35C8"/>
    <w:rsid w:val="00ED3968"/>
    <w:rsid w:val="00ED7323"/>
    <w:rsid w:val="00EE28F3"/>
    <w:rsid w:val="00EE50D1"/>
    <w:rsid w:val="00EE7614"/>
    <w:rsid w:val="00EF5110"/>
    <w:rsid w:val="00EF5890"/>
    <w:rsid w:val="00EF5953"/>
    <w:rsid w:val="00EF76BA"/>
    <w:rsid w:val="00F0231A"/>
    <w:rsid w:val="00F03463"/>
    <w:rsid w:val="00F036B7"/>
    <w:rsid w:val="00F0696E"/>
    <w:rsid w:val="00F0700F"/>
    <w:rsid w:val="00F07F1F"/>
    <w:rsid w:val="00F10411"/>
    <w:rsid w:val="00F10A9A"/>
    <w:rsid w:val="00F11B2D"/>
    <w:rsid w:val="00F121C2"/>
    <w:rsid w:val="00F1485B"/>
    <w:rsid w:val="00F15882"/>
    <w:rsid w:val="00F1628D"/>
    <w:rsid w:val="00F170C7"/>
    <w:rsid w:val="00F171E0"/>
    <w:rsid w:val="00F20BD3"/>
    <w:rsid w:val="00F24C52"/>
    <w:rsid w:val="00F31109"/>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C7B"/>
    <w:rsid w:val="00F676DD"/>
    <w:rsid w:val="00F67AB6"/>
    <w:rsid w:val="00F70028"/>
    <w:rsid w:val="00F70434"/>
    <w:rsid w:val="00F75A26"/>
    <w:rsid w:val="00F76706"/>
    <w:rsid w:val="00F77D6D"/>
    <w:rsid w:val="00F80206"/>
    <w:rsid w:val="00F83034"/>
    <w:rsid w:val="00F83FAD"/>
    <w:rsid w:val="00F844A2"/>
    <w:rsid w:val="00F844C6"/>
    <w:rsid w:val="00F92FA6"/>
    <w:rsid w:val="00F9353B"/>
    <w:rsid w:val="00F937F1"/>
    <w:rsid w:val="00F952A0"/>
    <w:rsid w:val="00FA31B1"/>
    <w:rsid w:val="00FA3320"/>
    <w:rsid w:val="00FA3C7F"/>
    <w:rsid w:val="00FA6246"/>
    <w:rsid w:val="00FB24ED"/>
    <w:rsid w:val="00FB2BCD"/>
    <w:rsid w:val="00FB3304"/>
    <w:rsid w:val="00FB5005"/>
    <w:rsid w:val="00FB60FE"/>
    <w:rsid w:val="00FB74E2"/>
    <w:rsid w:val="00FB778B"/>
    <w:rsid w:val="00FD5614"/>
    <w:rsid w:val="00FD5E78"/>
    <w:rsid w:val="00FD69B4"/>
    <w:rsid w:val="00FE0BE1"/>
    <w:rsid w:val="00FE11BB"/>
    <w:rsid w:val="00FE1DE9"/>
    <w:rsid w:val="00FE36AF"/>
    <w:rsid w:val="00FE39C2"/>
    <w:rsid w:val="00FE3C32"/>
    <w:rsid w:val="00FE64AE"/>
    <w:rsid w:val="00FF3B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ind w:left="1004"/>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ind w:left="1004"/>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E85B2FAB.dotm</Template>
  <TotalTime>0</TotalTime>
  <Pages>15</Pages>
  <Words>3452</Words>
  <Characters>19683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AER draft decision - Powerlink - Attachment 14 - Negotiated services</vt:lpstr>
    </vt:vector>
  </TitlesOfParts>
  <LinksUpToDate>false</LinksUpToDate>
  <CharactersWithSpaces>23089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draft decision - Powerlink - Attachment 14 - Negotiated services</dc:title>
  <dc:creator/>
  <cp:lastModifiedBy/>
  <cp:revision>1</cp:revision>
  <dcterms:created xsi:type="dcterms:W3CDTF">2016-09-28T00:19:00Z</dcterms:created>
  <dcterms:modified xsi:type="dcterms:W3CDTF">2016-09-28T00:19:00Z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draft decision powerlink transmission determination - attachment 14 - negotiated services - september 2016 (D2015-00167256).docx</vt:lpwstr>
  </property>
</Properties>
</file>