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DE7AB5" w:rsidP="00290C63">
          <w:r w:rsidRPr="00DB723B">
            <w:rPr>
              <w:noProof/>
              <w:lang w:eastAsia="en-AU"/>
            </w:rPr>
            <w:drawing>
              <wp:anchor distT="0" distB="0" distL="114300" distR="114300" simplePos="0" relativeHeight="251661312" behindDoc="1" locked="0" layoutInCell="1" allowOverlap="1" wp14:anchorId="12201AE9" wp14:editId="74B5097C">
                <wp:simplePos x="0" y="0"/>
                <wp:positionH relativeFrom="column">
                  <wp:posOffset>-1116964</wp:posOffset>
                </wp:positionH>
                <wp:positionV relativeFrom="paragraph">
                  <wp:posOffset>-1000406</wp:posOffset>
                </wp:positionV>
                <wp:extent cx="7734300" cy="10932441"/>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34300" cy="10932441"/>
                        </a:xfrm>
                        <a:prstGeom prst="rect">
                          <a:avLst/>
                        </a:prstGeom>
                        <a:noFill/>
                      </pic:spPr>
                    </pic:pic>
                  </a:graphicData>
                </a:graphic>
                <wp14:sizeRelH relativeFrom="page">
                  <wp14:pctWidth>0</wp14:pctWidth>
                </wp14:sizeRelH>
                <wp14:sizeRelV relativeFrom="page">
                  <wp14:pctHeight>0</wp14:pctHeight>
                </wp14:sizeRelV>
              </wp:anchor>
            </w:drawing>
          </w:r>
          <w:r w:rsidR="000A6C7B" w:rsidRPr="00290C63">
            <w:rPr>
              <w:noProof/>
              <w:lang w:eastAsia="en-AU"/>
            </w:rPr>
            <w:drawing>
              <wp:anchor distT="0" distB="0" distL="114300" distR="114300" simplePos="0" relativeHeight="251659264" behindDoc="1" locked="0" layoutInCell="1" allowOverlap="1" wp14:anchorId="6039CB60" wp14:editId="243C048F">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327A1E" w:rsidRDefault="001754EE" w:rsidP="001754EE">
          <w:pPr>
            <w:pStyle w:val="ReportSubtitle"/>
            <w:tabs>
              <w:tab w:val="left" w:pos="1122"/>
              <w:tab w:val="center" w:pos="4238"/>
            </w:tabs>
            <w:jc w:val="left"/>
          </w:pPr>
          <w:r>
            <w:tab/>
          </w:r>
          <w:r>
            <w:tab/>
          </w:r>
          <w:r w:rsidR="000474DF">
            <w:t>DRAFT</w:t>
          </w:r>
          <w:r w:rsidR="00DA4752">
            <w:t xml:space="preserve"> DECISION</w:t>
          </w:r>
        </w:p>
        <w:p w:rsidR="00415F31" w:rsidRDefault="000474DF" w:rsidP="008F07A3">
          <w:pPr>
            <w:pStyle w:val="ReportSubtitle"/>
          </w:pPr>
          <w:r>
            <w:t>Powerlink</w:t>
          </w:r>
          <w:r w:rsidR="006A66A1">
            <w:t xml:space="preserve"> transmission</w:t>
          </w:r>
          <w:r w:rsidR="00415F31">
            <w:t xml:space="preserve"> </w:t>
          </w:r>
          <w:r w:rsidR="00DA4752">
            <w:t>determination</w:t>
          </w:r>
        </w:p>
        <w:p w:rsidR="000A6C7B" w:rsidRDefault="00DA4752" w:rsidP="008F07A3">
          <w:pPr>
            <w:pStyle w:val="ReportSubtitle"/>
          </w:pPr>
          <w:r>
            <w:t xml:space="preserve"> 201</w:t>
          </w:r>
          <w:r w:rsidR="000474DF">
            <w:t>7</w:t>
          </w:r>
          <w:r>
            <w:rPr>
              <w:rFonts w:cs="Arial"/>
            </w:rPr>
            <w:t>−</w:t>
          </w:r>
          <w:r>
            <w:t>1</w:t>
          </w:r>
          <w:r w:rsidR="000474DF">
            <w:t>8 to 2021</w:t>
          </w:r>
          <w:r>
            <w:rPr>
              <w:rFonts w:cs="Arial"/>
            </w:rPr>
            <w:t>−</w:t>
          </w:r>
          <w:r w:rsidR="000474DF">
            <w:t>22</w:t>
          </w:r>
        </w:p>
        <w:p w:rsidR="008F07A3" w:rsidRPr="000A6C7B" w:rsidRDefault="008F07A3" w:rsidP="008F07A3">
          <w:pPr>
            <w:pStyle w:val="ReportSubtitle"/>
          </w:pPr>
        </w:p>
        <w:p w:rsidR="000A6C7B" w:rsidRDefault="0037699E" w:rsidP="008F07A3">
          <w:pPr>
            <w:pStyle w:val="ReportSubtitle"/>
          </w:pPr>
          <w:r>
            <w:t xml:space="preserve">Attachment </w:t>
          </w:r>
          <w:r w:rsidR="00A85E87">
            <w:t>2</w:t>
          </w:r>
          <w:r w:rsidR="000474DF">
            <w:t xml:space="preserve"> </w:t>
          </w:r>
          <w:r w:rsidR="00185BA5">
            <w:t>–</w:t>
          </w:r>
          <w:r w:rsidR="000474DF">
            <w:t xml:space="preserve"> </w:t>
          </w:r>
          <w:r w:rsidR="00A85E87">
            <w:t>Regulatory asset base</w:t>
          </w:r>
        </w:p>
        <w:p w:rsidR="000A6C7B" w:rsidRPr="00327A1E" w:rsidRDefault="000474DF" w:rsidP="00327A1E">
          <w:pPr>
            <w:pStyle w:val="ReportDate"/>
          </w:pPr>
          <w:r>
            <w:t>September 2016</w:t>
          </w:r>
        </w:p>
      </w:sdtContent>
    </w:sdt>
    <w:p w:rsidR="00327A1E" w:rsidRPr="00290C63" w:rsidRDefault="00327A1E" w:rsidP="00290C63">
      <w:r>
        <w:br w:type="page"/>
      </w:r>
    </w:p>
    <w:p w:rsidR="00CE2A23" w:rsidRDefault="00CE2A23" w:rsidP="00761454">
      <w:bookmarkStart w:id="1" w:name="_Toc411428008"/>
      <w:r>
        <w:lastRenderedPageBreak/>
        <w:t>© Commonwealth of Australia 201</w:t>
      </w:r>
      <w:r w:rsidR="000474DF">
        <w:t>6</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r>
        <w:t>or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 xml:space="preserve">Tel: </w:t>
      </w:r>
      <w:r w:rsidR="00DC77B9">
        <w:t>1300 585 165</w:t>
      </w:r>
      <w:r>
        <w:br/>
        <w:t xml:space="preserve">Email: </w:t>
      </w:r>
      <w:hyperlink r:id="rId11" w:history="1">
        <w:r w:rsidRPr="00D64888">
          <w:rPr>
            <w:rStyle w:val="Hyperlink"/>
          </w:rPr>
          <w:t>AERInquiry@aer.gov.au</w:t>
        </w:r>
      </w:hyperlink>
      <w:r>
        <w:rPr>
          <w:rStyle w:val="Hyperlink"/>
        </w:rPr>
        <w:br/>
      </w:r>
    </w:p>
    <w:p w:rsidR="00291A99" w:rsidRDefault="00291A99" w:rsidP="00761454"/>
    <w:p w:rsidR="00761454" w:rsidRDefault="00761454">
      <w:pPr>
        <w:spacing w:line="240" w:lineRule="auto"/>
      </w:pPr>
      <w:r>
        <w:br w:type="page"/>
      </w:r>
    </w:p>
    <w:p w:rsidR="00761454" w:rsidRDefault="00761454" w:rsidP="00761454">
      <w:pPr>
        <w:pStyle w:val="UnnumberedHeading"/>
        <w:numPr>
          <w:ilvl w:val="0"/>
          <w:numId w:val="23"/>
        </w:numPr>
      </w:pPr>
      <w:bookmarkStart w:id="2" w:name="_Toc404153950"/>
      <w:bookmarkStart w:id="3" w:name="_Toc404437593"/>
      <w:bookmarkStart w:id="4" w:name="_Toc462749184"/>
      <w:r>
        <w:lastRenderedPageBreak/>
        <w:t>Note</w:t>
      </w:r>
      <w:bookmarkEnd w:id="2"/>
      <w:bookmarkEnd w:id="3"/>
      <w:bookmarkEnd w:id="4"/>
    </w:p>
    <w:p w:rsidR="00761454" w:rsidRDefault="00761454" w:rsidP="00761454">
      <w:pPr>
        <w:numPr>
          <w:ilvl w:val="0"/>
          <w:numId w:val="24"/>
        </w:numPr>
      </w:pPr>
      <w:r>
        <w:t xml:space="preserve">This </w:t>
      </w:r>
      <w:r w:rsidR="00DC77B9">
        <w:t>attachment</w:t>
      </w:r>
      <w:r>
        <w:t xml:space="preserve"> forms part of the AER's </w:t>
      </w:r>
      <w:r w:rsidR="000474DF">
        <w:t xml:space="preserve">draft </w:t>
      </w:r>
      <w:r>
        <w:t xml:space="preserve">decision on </w:t>
      </w:r>
      <w:r w:rsidR="000474DF">
        <w:t>Powerlink's</w:t>
      </w:r>
      <w:r>
        <w:t xml:space="preserve"> transmission determination for 201</w:t>
      </w:r>
      <w:r w:rsidR="000474DF">
        <w:t>7</w:t>
      </w:r>
      <w:r w:rsidRPr="00F02D30">
        <w:t>–</w:t>
      </w:r>
      <w:r w:rsidR="000474DF">
        <w:t>22</w:t>
      </w:r>
      <w:r>
        <w:t xml:space="preserve">. It should be read with </w:t>
      </w:r>
      <w:r w:rsidR="000474DF">
        <w:t xml:space="preserve">all </w:t>
      </w:r>
      <w:r>
        <w:t xml:space="preserve">other parts of the </w:t>
      </w:r>
      <w:r w:rsidR="000474DF">
        <w:t>draft</w:t>
      </w:r>
      <w:r>
        <w:t xml:space="preserve"> decision.</w:t>
      </w:r>
    </w:p>
    <w:p w:rsidR="00761454" w:rsidRDefault="00761454" w:rsidP="00761454">
      <w:pPr>
        <w:numPr>
          <w:ilvl w:val="0"/>
          <w:numId w:val="24"/>
        </w:numPr>
      </w:pPr>
      <w:r>
        <w:t xml:space="preserve">The </w:t>
      </w:r>
      <w:r w:rsidR="000474DF">
        <w:t>draft</w:t>
      </w:r>
      <w:r>
        <w:t xml:space="preserve"> decision includes the following documents:</w:t>
      </w:r>
    </w:p>
    <w:p w:rsidR="00761454" w:rsidRDefault="00761454" w:rsidP="00761454">
      <w:pPr>
        <w:numPr>
          <w:ilvl w:val="0"/>
          <w:numId w:val="24"/>
        </w:numPr>
      </w:pPr>
      <w:r>
        <w:t>Overview</w:t>
      </w:r>
    </w:p>
    <w:p w:rsidR="00761454" w:rsidRDefault="000474DF" w:rsidP="00761454">
      <w:pPr>
        <w:numPr>
          <w:ilvl w:val="0"/>
          <w:numId w:val="24"/>
        </w:numPr>
      </w:pPr>
      <w:r>
        <w:t>Attachment 1 – M</w:t>
      </w:r>
      <w:r w:rsidR="00761454">
        <w:t>aximum allowed revenue</w:t>
      </w:r>
    </w:p>
    <w:p w:rsidR="00761454" w:rsidRDefault="000474DF" w:rsidP="00761454">
      <w:pPr>
        <w:numPr>
          <w:ilvl w:val="0"/>
          <w:numId w:val="24"/>
        </w:numPr>
      </w:pPr>
      <w:r>
        <w:t>Attachment 2 – R</w:t>
      </w:r>
      <w:r w:rsidR="00761454">
        <w:t>egulatory asset base</w:t>
      </w:r>
    </w:p>
    <w:p w:rsidR="00761454" w:rsidRDefault="000474DF" w:rsidP="00761454">
      <w:pPr>
        <w:numPr>
          <w:ilvl w:val="0"/>
          <w:numId w:val="24"/>
        </w:numPr>
      </w:pPr>
      <w:r>
        <w:t>Attachment 3 – R</w:t>
      </w:r>
      <w:r w:rsidR="00761454">
        <w:t>ate of return</w:t>
      </w:r>
    </w:p>
    <w:p w:rsidR="00761454" w:rsidRDefault="000474DF" w:rsidP="00761454">
      <w:pPr>
        <w:numPr>
          <w:ilvl w:val="0"/>
          <w:numId w:val="24"/>
        </w:numPr>
      </w:pPr>
      <w:r>
        <w:t>Attachment 4 – V</w:t>
      </w:r>
      <w:r w:rsidR="00761454">
        <w:t>alue of imputation credits</w:t>
      </w:r>
    </w:p>
    <w:p w:rsidR="00761454" w:rsidRDefault="00761454" w:rsidP="00761454">
      <w:pPr>
        <w:numPr>
          <w:ilvl w:val="0"/>
          <w:numId w:val="24"/>
        </w:numPr>
      </w:pPr>
      <w:r>
        <w:t xml:space="preserve">Attachment 5 – </w:t>
      </w:r>
      <w:r w:rsidR="000474DF">
        <w:t>R</w:t>
      </w:r>
      <w:r>
        <w:t>egulatory depreciation</w:t>
      </w:r>
    </w:p>
    <w:p w:rsidR="00761454" w:rsidRDefault="000474DF" w:rsidP="00761454">
      <w:pPr>
        <w:numPr>
          <w:ilvl w:val="0"/>
          <w:numId w:val="24"/>
        </w:numPr>
      </w:pPr>
      <w:r>
        <w:t>Attachment 6 – C</w:t>
      </w:r>
      <w:r w:rsidR="00761454">
        <w:t xml:space="preserve">apital expenditure </w:t>
      </w:r>
    </w:p>
    <w:p w:rsidR="00761454" w:rsidRDefault="000474DF" w:rsidP="00761454">
      <w:pPr>
        <w:numPr>
          <w:ilvl w:val="0"/>
          <w:numId w:val="24"/>
        </w:numPr>
      </w:pPr>
      <w:r>
        <w:t>Attachment 7 – O</w:t>
      </w:r>
      <w:r w:rsidR="00761454">
        <w:t>perating expenditure</w:t>
      </w:r>
    </w:p>
    <w:p w:rsidR="00761454" w:rsidRDefault="00761454" w:rsidP="00761454">
      <w:pPr>
        <w:numPr>
          <w:ilvl w:val="0"/>
          <w:numId w:val="24"/>
        </w:numPr>
      </w:pPr>
      <w:r>
        <w:t xml:space="preserve">Attachment 8 – </w:t>
      </w:r>
      <w:r w:rsidR="000474DF">
        <w:t>C</w:t>
      </w:r>
      <w:r>
        <w:t>orporate income tax</w:t>
      </w:r>
    </w:p>
    <w:p w:rsidR="00761454" w:rsidRDefault="000474DF" w:rsidP="00761454">
      <w:pPr>
        <w:numPr>
          <w:ilvl w:val="0"/>
          <w:numId w:val="24"/>
        </w:numPr>
      </w:pPr>
      <w:r>
        <w:t>Attachment 9 – E</w:t>
      </w:r>
      <w:r w:rsidR="00761454">
        <w:t>fficiency benefit sharing scheme</w:t>
      </w:r>
    </w:p>
    <w:p w:rsidR="00761454" w:rsidRDefault="000474DF" w:rsidP="00761454">
      <w:pPr>
        <w:numPr>
          <w:ilvl w:val="0"/>
          <w:numId w:val="24"/>
        </w:numPr>
      </w:pPr>
      <w:r>
        <w:t>Attachment 10 – C</w:t>
      </w:r>
      <w:r w:rsidR="00761454">
        <w:t>apital expenditure sharing scheme</w:t>
      </w:r>
    </w:p>
    <w:p w:rsidR="00761454" w:rsidRDefault="000474DF" w:rsidP="00761454">
      <w:pPr>
        <w:numPr>
          <w:ilvl w:val="0"/>
          <w:numId w:val="24"/>
        </w:numPr>
      </w:pPr>
      <w:r>
        <w:t>Attachment 11 – S</w:t>
      </w:r>
      <w:r w:rsidR="00761454">
        <w:t>ervice target performance incentive scheme</w:t>
      </w:r>
    </w:p>
    <w:p w:rsidR="00761454" w:rsidRPr="00F02D30" w:rsidRDefault="00761454" w:rsidP="00761454">
      <w:pPr>
        <w:numPr>
          <w:ilvl w:val="0"/>
          <w:numId w:val="24"/>
        </w:numPr>
      </w:pPr>
      <w:r>
        <w:t xml:space="preserve">Attachment 12 – </w:t>
      </w:r>
      <w:r w:rsidR="000474DF">
        <w:t>P</w:t>
      </w:r>
      <w:r w:rsidRPr="00F02D30">
        <w:t>ricing methodology</w:t>
      </w:r>
    </w:p>
    <w:p w:rsidR="00761454" w:rsidRPr="00F02D30" w:rsidRDefault="00761454" w:rsidP="00761454">
      <w:pPr>
        <w:numPr>
          <w:ilvl w:val="0"/>
          <w:numId w:val="24"/>
        </w:numPr>
      </w:pPr>
      <w:r>
        <w:t xml:space="preserve">Attachment 13 </w:t>
      </w:r>
      <w:r w:rsidR="000474DF">
        <w:t>– P</w:t>
      </w:r>
      <w:r w:rsidRPr="00F02D30">
        <w:t>ass through events</w:t>
      </w:r>
    </w:p>
    <w:p w:rsidR="00761454" w:rsidRPr="00F02D30" w:rsidRDefault="00761454" w:rsidP="00761454">
      <w:pPr>
        <w:numPr>
          <w:ilvl w:val="0"/>
          <w:numId w:val="24"/>
        </w:numPr>
      </w:pPr>
      <w:r>
        <w:t xml:space="preserve">Attachment 14 </w:t>
      </w:r>
      <w:r w:rsidR="000474DF">
        <w:t>– N</w:t>
      </w:r>
      <w:r w:rsidRPr="00F02D30">
        <w:t>egotiated services</w:t>
      </w:r>
    </w:p>
    <w:p w:rsidR="00761454" w:rsidRPr="009D3906" w:rsidRDefault="00761454" w:rsidP="00761454"/>
    <w:p w:rsidR="00CE2A23" w:rsidRPr="00CE2A23" w:rsidRDefault="00CE2A23" w:rsidP="00CE2A23">
      <w:bookmarkStart w:id="5" w:name="_Toc404354899"/>
      <w:bookmarkStart w:id="6" w:name="_Toc404353070"/>
      <w:bookmarkStart w:id="7" w:name="_Toc404684201"/>
      <w:bookmarkStart w:id="8" w:name="_Toc404700923"/>
      <w:r>
        <w:br w:type="page"/>
      </w:r>
    </w:p>
    <w:bookmarkEnd w:id="5"/>
    <w:bookmarkEnd w:id="6"/>
    <w:bookmarkEnd w:id="7"/>
    <w:bookmarkEnd w:id="8"/>
    <w:p w:rsidR="00CE2A23" w:rsidRPr="008F07A3" w:rsidRDefault="00CE2A23" w:rsidP="00CE2A23">
      <w:pPr>
        <w:numPr>
          <w:ilvl w:val="0"/>
          <w:numId w:val="24"/>
        </w:numPr>
        <w:sectPr w:rsidR="00CE2A23" w:rsidRPr="008F07A3" w:rsidSect="00317E02">
          <w:footerReference w:type="default" r:id="rId12"/>
          <w:pgSz w:w="11906" w:h="16838" w:code="9"/>
          <w:pgMar w:top="1440" w:right="1700" w:bottom="1582" w:left="1729" w:header="720" w:footer="0" w:gutter="0"/>
          <w:pgNumType w:start="0" w:chapStyle="1"/>
          <w:cols w:space="720"/>
          <w:docGrid w:linePitch="326"/>
        </w:sectPr>
      </w:pPr>
    </w:p>
    <w:p w:rsidR="00CE2A23" w:rsidRPr="00A72B34" w:rsidRDefault="00CE2A23" w:rsidP="00CE2A23">
      <w:pPr>
        <w:pStyle w:val="UnnumberedHeading"/>
        <w:numPr>
          <w:ilvl w:val="0"/>
          <w:numId w:val="23"/>
        </w:numPr>
      </w:pPr>
      <w:bookmarkStart w:id="9" w:name="_Toc403144133"/>
      <w:bookmarkStart w:id="10" w:name="_Toc462749185"/>
      <w:r>
        <w:lastRenderedPageBreak/>
        <w:t>Contents</w:t>
      </w:r>
      <w:bookmarkEnd w:id="9"/>
      <w:bookmarkEnd w:id="10"/>
    </w:p>
    <w:p w:rsidR="00CE2A23" w:rsidRDefault="00CE2A23" w:rsidP="00CE2A23"/>
    <w:sdt>
      <w:sdtPr>
        <w:rPr>
          <w:b w:val="0"/>
          <w:color w:val="auto"/>
          <w:sz w:val="22"/>
          <w:lang w:val="en-AU" w:eastAsia="en-US"/>
        </w:rPr>
        <w:id w:val="1269200322"/>
        <w:docPartObj>
          <w:docPartGallery w:val="Table of Contents"/>
          <w:docPartUnique/>
        </w:docPartObj>
      </w:sdtPr>
      <w:sdtEndPr/>
      <w:sdtContent>
        <w:p w:rsidR="003179F2" w:rsidRDefault="00CD283C">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7,1,Heading 8,2,Heading 9,3" </w:instrText>
          </w:r>
          <w:r>
            <w:fldChar w:fldCharType="separate"/>
          </w:r>
          <w:hyperlink w:anchor="_Toc462749184" w:history="1">
            <w:r w:rsidR="003179F2" w:rsidRPr="006675E9">
              <w:rPr>
                <w:rStyle w:val="Hyperlink"/>
              </w:rPr>
              <w:t>Note</w:t>
            </w:r>
            <w:r w:rsidR="003179F2">
              <w:rPr>
                <w:webHidden/>
              </w:rPr>
              <w:tab/>
            </w:r>
            <w:r w:rsidR="003179F2">
              <w:rPr>
                <w:webHidden/>
              </w:rPr>
              <w:fldChar w:fldCharType="begin"/>
            </w:r>
            <w:r w:rsidR="003179F2">
              <w:rPr>
                <w:webHidden/>
              </w:rPr>
              <w:instrText xml:space="preserve"> PAGEREF _Toc462749184 \h </w:instrText>
            </w:r>
            <w:r w:rsidR="003179F2">
              <w:rPr>
                <w:webHidden/>
              </w:rPr>
            </w:r>
            <w:r w:rsidR="003179F2">
              <w:rPr>
                <w:webHidden/>
              </w:rPr>
              <w:fldChar w:fldCharType="separate"/>
            </w:r>
            <w:r w:rsidR="003179F2">
              <w:rPr>
                <w:webHidden/>
              </w:rPr>
              <w:t>2-2</w:t>
            </w:r>
            <w:r w:rsidR="003179F2">
              <w:rPr>
                <w:webHidden/>
              </w:rPr>
              <w:fldChar w:fldCharType="end"/>
            </w:r>
          </w:hyperlink>
        </w:p>
        <w:p w:rsidR="003179F2" w:rsidRDefault="004B2301">
          <w:pPr>
            <w:pStyle w:val="TOC1"/>
            <w:rPr>
              <w:rFonts w:asciiTheme="minorHAnsi" w:eastAsiaTheme="minorEastAsia" w:hAnsiTheme="minorHAnsi"/>
              <w:b w:val="0"/>
              <w:color w:val="auto"/>
              <w:sz w:val="22"/>
              <w:lang w:val="en-AU" w:eastAsia="en-AU"/>
            </w:rPr>
          </w:pPr>
          <w:hyperlink w:anchor="_Toc462749185" w:history="1">
            <w:r w:rsidR="003179F2" w:rsidRPr="006675E9">
              <w:rPr>
                <w:rStyle w:val="Hyperlink"/>
              </w:rPr>
              <w:t>Contents</w:t>
            </w:r>
            <w:r w:rsidR="003179F2">
              <w:rPr>
                <w:webHidden/>
              </w:rPr>
              <w:tab/>
            </w:r>
            <w:r w:rsidR="003179F2">
              <w:rPr>
                <w:webHidden/>
              </w:rPr>
              <w:fldChar w:fldCharType="begin"/>
            </w:r>
            <w:r w:rsidR="003179F2">
              <w:rPr>
                <w:webHidden/>
              </w:rPr>
              <w:instrText xml:space="preserve"> PAGEREF _Toc462749185 \h </w:instrText>
            </w:r>
            <w:r w:rsidR="003179F2">
              <w:rPr>
                <w:webHidden/>
              </w:rPr>
            </w:r>
            <w:r w:rsidR="003179F2">
              <w:rPr>
                <w:webHidden/>
              </w:rPr>
              <w:fldChar w:fldCharType="separate"/>
            </w:r>
            <w:r w:rsidR="003179F2">
              <w:rPr>
                <w:webHidden/>
              </w:rPr>
              <w:t>2-3</w:t>
            </w:r>
            <w:r w:rsidR="003179F2">
              <w:rPr>
                <w:webHidden/>
              </w:rPr>
              <w:fldChar w:fldCharType="end"/>
            </w:r>
          </w:hyperlink>
        </w:p>
        <w:p w:rsidR="003179F2" w:rsidRDefault="004B2301">
          <w:pPr>
            <w:pStyle w:val="TOC1"/>
            <w:rPr>
              <w:rFonts w:asciiTheme="minorHAnsi" w:eastAsiaTheme="minorEastAsia" w:hAnsiTheme="minorHAnsi"/>
              <w:b w:val="0"/>
              <w:color w:val="auto"/>
              <w:sz w:val="22"/>
              <w:lang w:val="en-AU" w:eastAsia="en-AU"/>
            </w:rPr>
          </w:pPr>
          <w:hyperlink w:anchor="_Toc462749186" w:history="1">
            <w:r w:rsidR="003179F2" w:rsidRPr="006675E9">
              <w:rPr>
                <w:rStyle w:val="Hyperlink"/>
              </w:rPr>
              <w:t>Shortened forms</w:t>
            </w:r>
            <w:r w:rsidR="003179F2">
              <w:rPr>
                <w:webHidden/>
              </w:rPr>
              <w:tab/>
            </w:r>
            <w:r w:rsidR="003179F2">
              <w:rPr>
                <w:webHidden/>
              </w:rPr>
              <w:fldChar w:fldCharType="begin"/>
            </w:r>
            <w:r w:rsidR="003179F2">
              <w:rPr>
                <w:webHidden/>
              </w:rPr>
              <w:instrText xml:space="preserve"> PAGEREF _Toc462749186 \h </w:instrText>
            </w:r>
            <w:r w:rsidR="003179F2">
              <w:rPr>
                <w:webHidden/>
              </w:rPr>
            </w:r>
            <w:r w:rsidR="003179F2">
              <w:rPr>
                <w:webHidden/>
              </w:rPr>
              <w:fldChar w:fldCharType="separate"/>
            </w:r>
            <w:r w:rsidR="003179F2">
              <w:rPr>
                <w:webHidden/>
              </w:rPr>
              <w:t>2-4</w:t>
            </w:r>
            <w:r w:rsidR="003179F2">
              <w:rPr>
                <w:webHidden/>
              </w:rPr>
              <w:fldChar w:fldCharType="end"/>
            </w:r>
          </w:hyperlink>
        </w:p>
        <w:p w:rsidR="003179F2" w:rsidRDefault="004B2301">
          <w:pPr>
            <w:pStyle w:val="TOC1"/>
            <w:rPr>
              <w:rFonts w:asciiTheme="minorHAnsi" w:eastAsiaTheme="minorEastAsia" w:hAnsiTheme="minorHAnsi"/>
              <w:b w:val="0"/>
              <w:color w:val="auto"/>
              <w:sz w:val="22"/>
              <w:lang w:val="en-AU" w:eastAsia="en-AU"/>
            </w:rPr>
          </w:pPr>
          <w:hyperlink w:anchor="_Toc462749187" w:history="1">
            <w:r w:rsidR="003179F2" w:rsidRPr="006675E9">
              <w:rPr>
                <w:rStyle w:val="Hyperlink"/>
              </w:rPr>
              <w:t>2</w:t>
            </w:r>
            <w:r w:rsidR="003179F2">
              <w:rPr>
                <w:rFonts w:asciiTheme="minorHAnsi" w:eastAsiaTheme="minorEastAsia" w:hAnsiTheme="minorHAnsi"/>
                <w:b w:val="0"/>
                <w:color w:val="auto"/>
                <w:sz w:val="22"/>
                <w:lang w:val="en-AU" w:eastAsia="en-AU"/>
              </w:rPr>
              <w:tab/>
            </w:r>
            <w:r w:rsidR="003179F2" w:rsidRPr="006675E9">
              <w:rPr>
                <w:rStyle w:val="Hyperlink"/>
              </w:rPr>
              <w:t>Regulatory asset base</w:t>
            </w:r>
            <w:r w:rsidR="003179F2">
              <w:rPr>
                <w:webHidden/>
              </w:rPr>
              <w:tab/>
            </w:r>
            <w:r w:rsidR="003179F2">
              <w:rPr>
                <w:webHidden/>
              </w:rPr>
              <w:fldChar w:fldCharType="begin"/>
            </w:r>
            <w:r w:rsidR="003179F2">
              <w:rPr>
                <w:webHidden/>
              </w:rPr>
              <w:instrText xml:space="preserve"> PAGEREF _Toc462749187 \h </w:instrText>
            </w:r>
            <w:r w:rsidR="003179F2">
              <w:rPr>
                <w:webHidden/>
              </w:rPr>
            </w:r>
            <w:r w:rsidR="003179F2">
              <w:rPr>
                <w:webHidden/>
              </w:rPr>
              <w:fldChar w:fldCharType="separate"/>
            </w:r>
            <w:r w:rsidR="003179F2">
              <w:rPr>
                <w:webHidden/>
              </w:rPr>
              <w:t>2-6</w:t>
            </w:r>
            <w:r w:rsidR="003179F2">
              <w:rPr>
                <w:webHidden/>
              </w:rPr>
              <w:fldChar w:fldCharType="end"/>
            </w:r>
          </w:hyperlink>
        </w:p>
        <w:p w:rsidR="003179F2" w:rsidRDefault="004B2301">
          <w:pPr>
            <w:pStyle w:val="TOC2"/>
            <w:rPr>
              <w:rFonts w:asciiTheme="minorHAnsi" w:eastAsiaTheme="minorEastAsia" w:hAnsiTheme="minorHAnsi"/>
              <w:b w:val="0"/>
              <w:color w:val="auto"/>
              <w:sz w:val="22"/>
              <w:lang w:eastAsia="en-AU"/>
            </w:rPr>
          </w:pPr>
          <w:hyperlink w:anchor="_Toc462749188" w:history="1">
            <w:r w:rsidR="003179F2" w:rsidRPr="006675E9">
              <w:rPr>
                <w:rStyle w:val="Hyperlink"/>
              </w:rPr>
              <w:t>2.1</w:t>
            </w:r>
            <w:r w:rsidR="003179F2">
              <w:rPr>
                <w:rFonts w:asciiTheme="minorHAnsi" w:eastAsiaTheme="minorEastAsia" w:hAnsiTheme="minorHAnsi"/>
                <w:b w:val="0"/>
                <w:color w:val="auto"/>
                <w:sz w:val="22"/>
                <w:lang w:eastAsia="en-AU"/>
              </w:rPr>
              <w:tab/>
            </w:r>
            <w:r w:rsidR="003179F2" w:rsidRPr="006675E9">
              <w:rPr>
                <w:rStyle w:val="Hyperlink"/>
              </w:rPr>
              <w:t>Draft decision</w:t>
            </w:r>
            <w:r w:rsidR="003179F2">
              <w:rPr>
                <w:webHidden/>
              </w:rPr>
              <w:tab/>
            </w:r>
            <w:r w:rsidR="003179F2">
              <w:rPr>
                <w:webHidden/>
              </w:rPr>
              <w:fldChar w:fldCharType="begin"/>
            </w:r>
            <w:r w:rsidR="003179F2">
              <w:rPr>
                <w:webHidden/>
              </w:rPr>
              <w:instrText xml:space="preserve"> PAGEREF _Toc462749188 \h </w:instrText>
            </w:r>
            <w:r w:rsidR="003179F2">
              <w:rPr>
                <w:webHidden/>
              </w:rPr>
            </w:r>
            <w:r w:rsidR="003179F2">
              <w:rPr>
                <w:webHidden/>
              </w:rPr>
              <w:fldChar w:fldCharType="separate"/>
            </w:r>
            <w:r w:rsidR="003179F2">
              <w:rPr>
                <w:webHidden/>
              </w:rPr>
              <w:t>2-6</w:t>
            </w:r>
            <w:r w:rsidR="003179F2">
              <w:rPr>
                <w:webHidden/>
              </w:rPr>
              <w:fldChar w:fldCharType="end"/>
            </w:r>
          </w:hyperlink>
        </w:p>
        <w:p w:rsidR="003179F2" w:rsidRDefault="004B2301">
          <w:pPr>
            <w:pStyle w:val="TOC2"/>
            <w:rPr>
              <w:rFonts w:asciiTheme="minorHAnsi" w:eastAsiaTheme="minorEastAsia" w:hAnsiTheme="minorHAnsi"/>
              <w:b w:val="0"/>
              <w:color w:val="auto"/>
              <w:sz w:val="22"/>
              <w:lang w:eastAsia="en-AU"/>
            </w:rPr>
          </w:pPr>
          <w:hyperlink w:anchor="_Toc462749189" w:history="1">
            <w:r w:rsidR="003179F2" w:rsidRPr="006675E9">
              <w:rPr>
                <w:rStyle w:val="Hyperlink"/>
              </w:rPr>
              <w:t>2.2</w:t>
            </w:r>
            <w:r w:rsidR="003179F2">
              <w:rPr>
                <w:rFonts w:asciiTheme="minorHAnsi" w:eastAsiaTheme="minorEastAsia" w:hAnsiTheme="minorHAnsi"/>
                <w:b w:val="0"/>
                <w:color w:val="auto"/>
                <w:sz w:val="22"/>
                <w:lang w:eastAsia="en-AU"/>
              </w:rPr>
              <w:tab/>
            </w:r>
            <w:r w:rsidR="003179F2" w:rsidRPr="006675E9">
              <w:rPr>
                <w:rStyle w:val="Hyperlink"/>
              </w:rPr>
              <w:t>Powerlink’s proposal</w:t>
            </w:r>
            <w:r w:rsidR="003179F2">
              <w:rPr>
                <w:webHidden/>
              </w:rPr>
              <w:tab/>
            </w:r>
            <w:r w:rsidR="003179F2">
              <w:rPr>
                <w:webHidden/>
              </w:rPr>
              <w:fldChar w:fldCharType="begin"/>
            </w:r>
            <w:r w:rsidR="003179F2">
              <w:rPr>
                <w:webHidden/>
              </w:rPr>
              <w:instrText xml:space="preserve"> PAGEREF _Toc462749189 \h </w:instrText>
            </w:r>
            <w:r w:rsidR="003179F2">
              <w:rPr>
                <w:webHidden/>
              </w:rPr>
            </w:r>
            <w:r w:rsidR="003179F2">
              <w:rPr>
                <w:webHidden/>
              </w:rPr>
              <w:fldChar w:fldCharType="separate"/>
            </w:r>
            <w:r w:rsidR="003179F2">
              <w:rPr>
                <w:webHidden/>
              </w:rPr>
              <w:t>2-8</w:t>
            </w:r>
            <w:r w:rsidR="003179F2">
              <w:rPr>
                <w:webHidden/>
              </w:rPr>
              <w:fldChar w:fldCharType="end"/>
            </w:r>
          </w:hyperlink>
        </w:p>
        <w:p w:rsidR="003179F2" w:rsidRDefault="004B2301">
          <w:pPr>
            <w:pStyle w:val="TOC2"/>
            <w:rPr>
              <w:rFonts w:asciiTheme="minorHAnsi" w:eastAsiaTheme="minorEastAsia" w:hAnsiTheme="minorHAnsi"/>
              <w:b w:val="0"/>
              <w:color w:val="auto"/>
              <w:sz w:val="22"/>
              <w:lang w:eastAsia="en-AU"/>
            </w:rPr>
          </w:pPr>
          <w:hyperlink w:anchor="_Toc462749190" w:history="1">
            <w:r w:rsidR="003179F2" w:rsidRPr="006675E9">
              <w:rPr>
                <w:rStyle w:val="Hyperlink"/>
              </w:rPr>
              <w:t>2.3</w:t>
            </w:r>
            <w:r w:rsidR="003179F2">
              <w:rPr>
                <w:rFonts w:asciiTheme="minorHAnsi" w:eastAsiaTheme="minorEastAsia" w:hAnsiTheme="minorHAnsi"/>
                <w:b w:val="0"/>
                <w:color w:val="auto"/>
                <w:sz w:val="22"/>
                <w:lang w:eastAsia="en-AU"/>
              </w:rPr>
              <w:tab/>
            </w:r>
            <w:r w:rsidR="003179F2" w:rsidRPr="006675E9">
              <w:rPr>
                <w:rStyle w:val="Hyperlink"/>
              </w:rPr>
              <w:t>Assessment approach</w:t>
            </w:r>
            <w:r w:rsidR="003179F2">
              <w:rPr>
                <w:webHidden/>
              </w:rPr>
              <w:tab/>
            </w:r>
            <w:r w:rsidR="003179F2">
              <w:rPr>
                <w:webHidden/>
              </w:rPr>
              <w:fldChar w:fldCharType="begin"/>
            </w:r>
            <w:r w:rsidR="003179F2">
              <w:rPr>
                <w:webHidden/>
              </w:rPr>
              <w:instrText xml:space="preserve"> PAGEREF _Toc462749190 \h </w:instrText>
            </w:r>
            <w:r w:rsidR="003179F2">
              <w:rPr>
                <w:webHidden/>
              </w:rPr>
            </w:r>
            <w:r w:rsidR="003179F2">
              <w:rPr>
                <w:webHidden/>
              </w:rPr>
              <w:fldChar w:fldCharType="separate"/>
            </w:r>
            <w:r w:rsidR="003179F2">
              <w:rPr>
                <w:webHidden/>
              </w:rPr>
              <w:t>2-10</w:t>
            </w:r>
            <w:r w:rsidR="003179F2">
              <w:rPr>
                <w:webHidden/>
              </w:rPr>
              <w:fldChar w:fldCharType="end"/>
            </w:r>
          </w:hyperlink>
        </w:p>
        <w:p w:rsidR="003179F2" w:rsidRDefault="004B2301">
          <w:pPr>
            <w:pStyle w:val="TOC3"/>
            <w:rPr>
              <w:rFonts w:asciiTheme="minorHAnsi" w:eastAsiaTheme="minorEastAsia" w:hAnsiTheme="minorHAnsi"/>
              <w:lang w:eastAsia="en-AU"/>
            </w:rPr>
          </w:pPr>
          <w:hyperlink w:anchor="_Toc462749191" w:history="1">
            <w:r w:rsidR="003179F2" w:rsidRPr="006675E9">
              <w:rPr>
                <w:rStyle w:val="Hyperlink"/>
              </w:rPr>
              <w:t>2.3.1</w:t>
            </w:r>
            <w:r w:rsidR="003179F2">
              <w:rPr>
                <w:rFonts w:asciiTheme="minorHAnsi" w:eastAsiaTheme="minorEastAsia" w:hAnsiTheme="minorHAnsi"/>
                <w:lang w:eastAsia="en-AU"/>
              </w:rPr>
              <w:tab/>
            </w:r>
            <w:r w:rsidR="003179F2" w:rsidRPr="006675E9">
              <w:rPr>
                <w:rStyle w:val="Hyperlink"/>
              </w:rPr>
              <w:t>Interrelationships</w:t>
            </w:r>
            <w:r w:rsidR="003179F2">
              <w:rPr>
                <w:webHidden/>
              </w:rPr>
              <w:tab/>
            </w:r>
            <w:r w:rsidR="003179F2">
              <w:rPr>
                <w:webHidden/>
              </w:rPr>
              <w:fldChar w:fldCharType="begin"/>
            </w:r>
            <w:r w:rsidR="003179F2">
              <w:rPr>
                <w:webHidden/>
              </w:rPr>
              <w:instrText xml:space="preserve"> PAGEREF _Toc462749191 \h </w:instrText>
            </w:r>
            <w:r w:rsidR="003179F2">
              <w:rPr>
                <w:webHidden/>
              </w:rPr>
            </w:r>
            <w:r w:rsidR="003179F2">
              <w:rPr>
                <w:webHidden/>
              </w:rPr>
              <w:fldChar w:fldCharType="separate"/>
            </w:r>
            <w:r w:rsidR="003179F2">
              <w:rPr>
                <w:webHidden/>
              </w:rPr>
              <w:t>2-12</w:t>
            </w:r>
            <w:r w:rsidR="003179F2">
              <w:rPr>
                <w:webHidden/>
              </w:rPr>
              <w:fldChar w:fldCharType="end"/>
            </w:r>
          </w:hyperlink>
        </w:p>
        <w:p w:rsidR="003179F2" w:rsidRDefault="004B2301">
          <w:pPr>
            <w:pStyle w:val="TOC2"/>
            <w:rPr>
              <w:rFonts w:asciiTheme="minorHAnsi" w:eastAsiaTheme="minorEastAsia" w:hAnsiTheme="minorHAnsi"/>
              <w:b w:val="0"/>
              <w:color w:val="auto"/>
              <w:sz w:val="22"/>
              <w:lang w:eastAsia="en-AU"/>
            </w:rPr>
          </w:pPr>
          <w:hyperlink w:anchor="_Toc462749192" w:history="1">
            <w:r w:rsidR="003179F2" w:rsidRPr="006675E9">
              <w:rPr>
                <w:rStyle w:val="Hyperlink"/>
              </w:rPr>
              <w:t>2.4</w:t>
            </w:r>
            <w:r w:rsidR="003179F2">
              <w:rPr>
                <w:rFonts w:asciiTheme="minorHAnsi" w:eastAsiaTheme="minorEastAsia" w:hAnsiTheme="minorHAnsi"/>
                <w:b w:val="0"/>
                <w:color w:val="auto"/>
                <w:sz w:val="22"/>
                <w:lang w:eastAsia="en-AU"/>
              </w:rPr>
              <w:tab/>
            </w:r>
            <w:r w:rsidR="003179F2" w:rsidRPr="006675E9">
              <w:rPr>
                <w:rStyle w:val="Hyperlink"/>
              </w:rPr>
              <w:t>Reasons for draft decision</w:t>
            </w:r>
            <w:r w:rsidR="003179F2">
              <w:rPr>
                <w:webHidden/>
              </w:rPr>
              <w:tab/>
            </w:r>
            <w:r w:rsidR="003179F2">
              <w:rPr>
                <w:webHidden/>
              </w:rPr>
              <w:fldChar w:fldCharType="begin"/>
            </w:r>
            <w:r w:rsidR="003179F2">
              <w:rPr>
                <w:webHidden/>
              </w:rPr>
              <w:instrText xml:space="preserve"> PAGEREF _Toc462749192 \h </w:instrText>
            </w:r>
            <w:r w:rsidR="003179F2">
              <w:rPr>
                <w:webHidden/>
              </w:rPr>
            </w:r>
            <w:r w:rsidR="003179F2">
              <w:rPr>
                <w:webHidden/>
              </w:rPr>
              <w:fldChar w:fldCharType="separate"/>
            </w:r>
            <w:r w:rsidR="003179F2">
              <w:rPr>
                <w:webHidden/>
              </w:rPr>
              <w:t>2-15</w:t>
            </w:r>
            <w:r w:rsidR="003179F2">
              <w:rPr>
                <w:webHidden/>
              </w:rPr>
              <w:fldChar w:fldCharType="end"/>
            </w:r>
          </w:hyperlink>
        </w:p>
        <w:p w:rsidR="003179F2" w:rsidRDefault="004B2301">
          <w:pPr>
            <w:pStyle w:val="TOC3"/>
            <w:rPr>
              <w:rFonts w:asciiTheme="minorHAnsi" w:eastAsiaTheme="minorEastAsia" w:hAnsiTheme="minorHAnsi"/>
              <w:lang w:eastAsia="en-AU"/>
            </w:rPr>
          </w:pPr>
          <w:hyperlink w:anchor="_Toc462749193" w:history="1">
            <w:r w:rsidR="003179F2" w:rsidRPr="006675E9">
              <w:rPr>
                <w:rStyle w:val="Hyperlink"/>
              </w:rPr>
              <w:t>2.4.1</w:t>
            </w:r>
            <w:r w:rsidR="003179F2">
              <w:rPr>
                <w:rFonts w:asciiTheme="minorHAnsi" w:eastAsiaTheme="minorEastAsia" w:hAnsiTheme="minorHAnsi"/>
                <w:lang w:eastAsia="en-AU"/>
              </w:rPr>
              <w:tab/>
            </w:r>
            <w:r w:rsidR="003179F2" w:rsidRPr="006675E9">
              <w:rPr>
                <w:rStyle w:val="Hyperlink"/>
              </w:rPr>
              <w:t>Opening RAB at 1 July 2017</w:t>
            </w:r>
            <w:r w:rsidR="003179F2">
              <w:rPr>
                <w:webHidden/>
              </w:rPr>
              <w:tab/>
            </w:r>
            <w:r w:rsidR="003179F2">
              <w:rPr>
                <w:webHidden/>
              </w:rPr>
              <w:fldChar w:fldCharType="begin"/>
            </w:r>
            <w:r w:rsidR="003179F2">
              <w:rPr>
                <w:webHidden/>
              </w:rPr>
              <w:instrText xml:space="preserve"> PAGEREF _Toc462749193 \h </w:instrText>
            </w:r>
            <w:r w:rsidR="003179F2">
              <w:rPr>
                <w:webHidden/>
              </w:rPr>
            </w:r>
            <w:r w:rsidR="003179F2">
              <w:rPr>
                <w:webHidden/>
              </w:rPr>
              <w:fldChar w:fldCharType="separate"/>
            </w:r>
            <w:r w:rsidR="003179F2">
              <w:rPr>
                <w:webHidden/>
              </w:rPr>
              <w:t>2-15</w:t>
            </w:r>
            <w:r w:rsidR="003179F2">
              <w:rPr>
                <w:webHidden/>
              </w:rPr>
              <w:fldChar w:fldCharType="end"/>
            </w:r>
          </w:hyperlink>
        </w:p>
        <w:p w:rsidR="003179F2" w:rsidRDefault="004B2301">
          <w:pPr>
            <w:pStyle w:val="TOC3"/>
            <w:rPr>
              <w:rFonts w:asciiTheme="minorHAnsi" w:eastAsiaTheme="minorEastAsia" w:hAnsiTheme="minorHAnsi"/>
              <w:lang w:eastAsia="en-AU"/>
            </w:rPr>
          </w:pPr>
          <w:hyperlink w:anchor="_Toc462749194" w:history="1">
            <w:r w:rsidR="003179F2" w:rsidRPr="006675E9">
              <w:rPr>
                <w:rStyle w:val="Hyperlink"/>
              </w:rPr>
              <w:t>2.4.2</w:t>
            </w:r>
            <w:r w:rsidR="003179F2">
              <w:rPr>
                <w:rFonts w:asciiTheme="minorHAnsi" w:eastAsiaTheme="minorEastAsia" w:hAnsiTheme="minorHAnsi"/>
                <w:lang w:eastAsia="en-AU"/>
              </w:rPr>
              <w:tab/>
            </w:r>
            <w:r w:rsidR="003179F2" w:rsidRPr="006675E9">
              <w:rPr>
                <w:rStyle w:val="Hyperlink"/>
              </w:rPr>
              <w:t>Forecast closing RAB at 30 June 2022</w:t>
            </w:r>
            <w:r w:rsidR="003179F2">
              <w:rPr>
                <w:webHidden/>
              </w:rPr>
              <w:tab/>
            </w:r>
            <w:r w:rsidR="003179F2">
              <w:rPr>
                <w:webHidden/>
              </w:rPr>
              <w:fldChar w:fldCharType="begin"/>
            </w:r>
            <w:r w:rsidR="003179F2">
              <w:rPr>
                <w:webHidden/>
              </w:rPr>
              <w:instrText xml:space="preserve"> PAGEREF _Toc462749194 \h </w:instrText>
            </w:r>
            <w:r w:rsidR="003179F2">
              <w:rPr>
                <w:webHidden/>
              </w:rPr>
            </w:r>
            <w:r w:rsidR="003179F2">
              <w:rPr>
                <w:webHidden/>
              </w:rPr>
              <w:fldChar w:fldCharType="separate"/>
            </w:r>
            <w:r w:rsidR="003179F2">
              <w:rPr>
                <w:webHidden/>
              </w:rPr>
              <w:t>2-16</w:t>
            </w:r>
            <w:r w:rsidR="003179F2">
              <w:rPr>
                <w:webHidden/>
              </w:rPr>
              <w:fldChar w:fldCharType="end"/>
            </w:r>
          </w:hyperlink>
        </w:p>
        <w:p w:rsidR="003179F2" w:rsidRDefault="004B2301">
          <w:pPr>
            <w:pStyle w:val="TOC3"/>
            <w:rPr>
              <w:rFonts w:asciiTheme="minorHAnsi" w:eastAsiaTheme="minorEastAsia" w:hAnsiTheme="minorHAnsi"/>
              <w:lang w:eastAsia="en-AU"/>
            </w:rPr>
          </w:pPr>
          <w:hyperlink w:anchor="_Toc462749195" w:history="1">
            <w:r w:rsidR="003179F2" w:rsidRPr="006675E9">
              <w:rPr>
                <w:rStyle w:val="Hyperlink"/>
              </w:rPr>
              <w:t>2.4.3</w:t>
            </w:r>
            <w:r w:rsidR="003179F2">
              <w:rPr>
                <w:rFonts w:asciiTheme="minorHAnsi" w:eastAsiaTheme="minorEastAsia" w:hAnsiTheme="minorHAnsi"/>
                <w:lang w:eastAsia="en-AU"/>
              </w:rPr>
              <w:tab/>
            </w:r>
            <w:r w:rsidR="003179F2" w:rsidRPr="006675E9">
              <w:rPr>
                <w:rStyle w:val="Hyperlink"/>
              </w:rPr>
              <w:t>CCP members' submissions</w:t>
            </w:r>
            <w:r w:rsidR="003179F2">
              <w:rPr>
                <w:webHidden/>
              </w:rPr>
              <w:tab/>
            </w:r>
            <w:r w:rsidR="003179F2">
              <w:rPr>
                <w:webHidden/>
              </w:rPr>
              <w:fldChar w:fldCharType="begin"/>
            </w:r>
            <w:r w:rsidR="003179F2">
              <w:rPr>
                <w:webHidden/>
              </w:rPr>
              <w:instrText xml:space="preserve"> PAGEREF _Toc462749195 \h </w:instrText>
            </w:r>
            <w:r w:rsidR="003179F2">
              <w:rPr>
                <w:webHidden/>
              </w:rPr>
            </w:r>
            <w:r w:rsidR="003179F2">
              <w:rPr>
                <w:webHidden/>
              </w:rPr>
              <w:fldChar w:fldCharType="separate"/>
            </w:r>
            <w:r w:rsidR="003179F2">
              <w:rPr>
                <w:webHidden/>
              </w:rPr>
              <w:t>2-18</w:t>
            </w:r>
            <w:r w:rsidR="003179F2">
              <w:rPr>
                <w:webHidden/>
              </w:rPr>
              <w:fldChar w:fldCharType="end"/>
            </w:r>
          </w:hyperlink>
        </w:p>
        <w:p w:rsidR="003179F2" w:rsidRDefault="004B2301">
          <w:pPr>
            <w:pStyle w:val="TOC3"/>
            <w:rPr>
              <w:rFonts w:asciiTheme="minorHAnsi" w:eastAsiaTheme="minorEastAsia" w:hAnsiTheme="minorHAnsi"/>
              <w:lang w:eastAsia="en-AU"/>
            </w:rPr>
          </w:pPr>
          <w:hyperlink w:anchor="_Toc462749196" w:history="1">
            <w:r w:rsidR="003179F2" w:rsidRPr="006675E9">
              <w:rPr>
                <w:rStyle w:val="Hyperlink"/>
              </w:rPr>
              <w:t>2.4.4</w:t>
            </w:r>
            <w:r w:rsidR="003179F2">
              <w:rPr>
                <w:rFonts w:asciiTheme="minorHAnsi" w:eastAsiaTheme="minorEastAsia" w:hAnsiTheme="minorHAnsi"/>
                <w:lang w:eastAsia="en-AU"/>
              </w:rPr>
              <w:tab/>
            </w:r>
            <w:r w:rsidR="003179F2" w:rsidRPr="006675E9">
              <w:rPr>
                <w:rStyle w:val="Hyperlink"/>
              </w:rPr>
              <w:t>Application of depreciation approach in RAB roll forward for next reset</w:t>
            </w:r>
            <w:r w:rsidR="003179F2">
              <w:rPr>
                <w:webHidden/>
              </w:rPr>
              <w:tab/>
            </w:r>
            <w:r w:rsidR="003179F2">
              <w:rPr>
                <w:webHidden/>
              </w:rPr>
              <w:fldChar w:fldCharType="begin"/>
            </w:r>
            <w:r w:rsidR="003179F2">
              <w:rPr>
                <w:webHidden/>
              </w:rPr>
              <w:instrText xml:space="preserve"> PAGEREF _Toc462749196 \h </w:instrText>
            </w:r>
            <w:r w:rsidR="003179F2">
              <w:rPr>
                <w:webHidden/>
              </w:rPr>
            </w:r>
            <w:r w:rsidR="003179F2">
              <w:rPr>
                <w:webHidden/>
              </w:rPr>
              <w:fldChar w:fldCharType="separate"/>
            </w:r>
            <w:r w:rsidR="003179F2">
              <w:rPr>
                <w:webHidden/>
              </w:rPr>
              <w:t>2-19</w:t>
            </w:r>
            <w:r w:rsidR="003179F2">
              <w:rPr>
                <w:webHidden/>
              </w:rPr>
              <w:fldChar w:fldCharType="end"/>
            </w:r>
          </w:hyperlink>
        </w:p>
        <w:p w:rsidR="003179F2" w:rsidRDefault="004B2301">
          <w:pPr>
            <w:pStyle w:val="TOC1"/>
            <w:rPr>
              <w:rFonts w:asciiTheme="minorHAnsi" w:eastAsiaTheme="minorEastAsia" w:hAnsiTheme="minorHAnsi"/>
              <w:b w:val="0"/>
              <w:color w:val="auto"/>
              <w:sz w:val="22"/>
              <w:lang w:val="en-AU" w:eastAsia="en-AU"/>
            </w:rPr>
          </w:pPr>
          <w:hyperlink w:anchor="_Toc462749197" w:history="1">
            <w:r w:rsidR="003179F2" w:rsidRPr="006675E9">
              <w:rPr>
                <w:rStyle w:val="Hyperlink"/>
              </w:rPr>
              <w:t>A</w:t>
            </w:r>
            <w:r w:rsidR="003179F2">
              <w:rPr>
                <w:rFonts w:asciiTheme="minorHAnsi" w:eastAsiaTheme="minorEastAsia" w:hAnsiTheme="minorHAnsi"/>
                <w:b w:val="0"/>
                <w:color w:val="auto"/>
                <w:sz w:val="22"/>
                <w:lang w:val="en-AU" w:eastAsia="en-AU"/>
              </w:rPr>
              <w:tab/>
            </w:r>
            <w:r w:rsidR="003179F2" w:rsidRPr="006675E9">
              <w:rPr>
                <w:rStyle w:val="Hyperlink"/>
              </w:rPr>
              <w:t>Response to the CCP submissions</w:t>
            </w:r>
            <w:r w:rsidR="003179F2">
              <w:rPr>
                <w:webHidden/>
              </w:rPr>
              <w:tab/>
            </w:r>
            <w:r w:rsidR="003179F2">
              <w:rPr>
                <w:webHidden/>
              </w:rPr>
              <w:fldChar w:fldCharType="begin"/>
            </w:r>
            <w:r w:rsidR="003179F2">
              <w:rPr>
                <w:webHidden/>
              </w:rPr>
              <w:instrText xml:space="preserve"> PAGEREF _Toc462749197 \h </w:instrText>
            </w:r>
            <w:r w:rsidR="003179F2">
              <w:rPr>
                <w:webHidden/>
              </w:rPr>
            </w:r>
            <w:r w:rsidR="003179F2">
              <w:rPr>
                <w:webHidden/>
              </w:rPr>
              <w:fldChar w:fldCharType="separate"/>
            </w:r>
            <w:r w:rsidR="003179F2">
              <w:rPr>
                <w:webHidden/>
              </w:rPr>
              <w:t>2-20</w:t>
            </w:r>
            <w:r w:rsidR="003179F2">
              <w:rPr>
                <w:webHidden/>
              </w:rPr>
              <w:fldChar w:fldCharType="end"/>
            </w:r>
          </w:hyperlink>
        </w:p>
        <w:p w:rsidR="003179F2" w:rsidRDefault="004B2301">
          <w:pPr>
            <w:pStyle w:val="TOC2"/>
            <w:rPr>
              <w:rFonts w:asciiTheme="minorHAnsi" w:eastAsiaTheme="minorEastAsia" w:hAnsiTheme="minorHAnsi"/>
              <w:b w:val="0"/>
              <w:color w:val="auto"/>
              <w:sz w:val="22"/>
              <w:lang w:eastAsia="en-AU"/>
            </w:rPr>
          </w:pPr>
          <w:hyperlink w:anchor="_Toc462749198" w:history="1">
            <w:r w:rsidR="003179F2" w:rsidRPr="006675E9">
              <w:rPr>
                <w:rStyle w:val="Hyperlink"/>
              </w:rPr>
              <w:t>A.1</w:t>
            </w:r>
            <w:r w:rsidR="003179F2">
              <w:rPr>
                <w:rFonts w:asciiTheme="minorHAnsi" w:eastAsiaTheme="minorEastAsia" w:hAnsiTheme="minorHAnsi"/>
                <w:b w:val="0"/>
                <w:color w:val="auto"/>
                <w:sz w:val="22"/>
                <w:lang w:eastAsia="en-AU"/>
              </w:rPr>
              <w:tab/>
            </w:r>
            <w:r w:rsidR="003179F2" w:rsidRPr="006675E9">
              <w:rPr>
                <w:rStyle w:val="Hyperlink"/>
              </w:rPr>
              <w:t>The CCP members' submissions on capital allowances</w:t>
            </w:r>
            <w:r w:rsidR="003179F2">
              <w:rPr>
                <w:webHidden/>
              </w:rPr>
              <w:tab/>
            </w:r>
            <w:r w:rsidR="003179F2">
              <w:rPr>
                <w:webHidden/>
              </w:rPr>
              <w:fldChar w:fldCharType="begin"/>
            </w:r>
            <w:r w:rsidR="003179F2">
              <w:rPr>
                <w:webHidden/>
              </w:rPr>
              <w:instrText xml:space="preserve"> PAGEREF _Toc462749198 \h </w:instrText>
            </w:r>
            <w:r w:rsidR="003179F2">
              <w:rPr>
                <w:webHidden/>
              </w:rPr>
            </w:r>
            <w:r w:rsidR="003179F2">
              <w:rPr>
                <w:webHidden/>
              </w:rPr>
              <w:fldChar w:fldCharType="separate"/>
            </w:r>
            <w:r w:rsidR="003179F2">
              <w:rPr>
                <w:webHidden/>
              </w:rPr>
              <w:t>2-20</w:t>
            </w:r>
            <w:r w:rsidR="003179F2">
              <w:rPr>
                <w:webHidden/>
              </w:rPr>
              <w:fldChar w:fldCharType="end"/>
            </w:r>
          </w:hyperlink>
        </w:p>
        <w:p w:rsidR="003179F2" w:rsidRDefault="004B2301">
          <w:pPr>
            <w:pStyle w:val="TOC3"/>
            <w:rPr>
              <w:rFonts w:asciiTheme="minorHAnsi" w:eastAsiaTheme="minorEastAsia" w:hAnsiTheme="minorHAnsi"/>
              <w:lang w:eastAsia="en-AU"/>
            </w:rPr>
          </w:pPr>
          <w:hyperlink w:anchor="_Toc462749199" w:history="1">
            <w:r w:rsidR="003179F2" w:rsidRPr="006675E9">
              <w:rPr>
                <w:rStyle w:val="Hyperlink"/>
              </w:rPr>
              <w:t>A.1.1</w:t>
            </w:r>
            <w:r w:rsidR="003179F2">
              <w:rPr>
                <w:rFonts w:asciiTheme="minorHAnsi" w:eastAsiaTheme="minorEastAsia" w:hAnsiTheme="minorHAnsi"/>
                <w:lang w:eastAsia="en-AU"/>
              </w:rPr>
              <w:tab/>
            </w:r>
            <w:r w:rsidR="003179F2" w:rsidRPr="006675E9">
              <w:rPr>
                <w:rStyle w:val="Hyperlink"/>
              </w:rPr>
              <w:t>The compatibility of an indexed RAB with the AER's approach to return on capital</w:t>
            </w:r>
            <w:r w:rsidR="003179F2">
              <w:rPr>
                <w:webHidden/>
              </w:rPr>
              <w:tab/>
            </w:r>
            <w:r w:rsidR="003179F2">
              <w:rPr>
                <w:webHidden/>
              </w:rPr>
              <w:fldChar w:fldCharType="begin"/>
            </w:r>
            <w:r w:rsidR="003179F2">
              <w:rPr>
                <w:webHidden/>
              </w:rPr>
              <w:instrText xml:space="preserve"> PAGEREF _Toc462749199 \h </w:instrText>
            </w:r>
            <w:r w:rsidR="003179F2">
              <w:rPr>
                <w:webHidden/>
              </w:rPr>
            </w:r>
            <w:r w:rsidR="003179F2">
              <w:rPr>
                <w:webHidden/>
              </w:rPr>
              <w:fldChar w:fldCharType="separate"/>
            </w:r>
            <w:r w:rsidR="003179F2">
              <w:rPr>
                <w:webHidden/>
              </w:rPr>
              <w:t>2-21</w:t>
            </w:r>
            <w:r w:rsidR="003179F2">
              <w:rPr>
                <w:webHidden/>
              </w:rPr>
              <w:fldChar w:fldCharType="end"/>
            </w:r>
          </w:hyperlink>
        </w:p>
        <w:p w:rsidR="003179F2" w:rsidRDefault="004B2301">
          <w:pPr>
            <w:pStyle w:val="TOC3"/>
            <w:rPr>
              <w:rFonts w:asciiTheme="minorHAnsi" w:eastAsiaTheme="minorEastAsia" w:hAnsiTheme="minorHAnsi"/>
              <w:lang w:eastAsia="en-AU"/>
            </w:rPr>
          </w:pPr>
          <w:hyperlink w:anchor="_Toc462749200" w:history="1">
            <w:r w:rsidR="003179F2" w:rsidRPr="006675E9">
              <w:rPr>
                <w:rStyle w:val="Hyperlink"/>
              </w:rPr>
              <w:t>A.1.2</w:t>
            </w:r>
            <w:r w:rsidR="003179F2">
              <w:rPr>
                <w:rFonts w:asciiTheme="minorHAnsi" w:eastAsiaTheme="minorEastAsia" w:hAnsiTheme="minorHAnsi"/>
                <w:lang w:eastAsia="en-AU"/>
              </w:rPr>
              <w:tab/>
            </w:r>
            <w:r w:rsidR="003179F2" w:rsidRPr="006675E9">
              <w:rPr>
                <w:rStyle w:val="Hyperlink"/>
              </w:rPr>
              <w:t>The impact of benchmarks on the rate of return</w:t>
            </w:r>
            <w:r w:rsidR="003179F2">
              <w:rPr>
                <w:webHidden/>
              </w:rPr>
              <w:tab/>
            </w:r>
            <w:r w:rsidR="003179F2">
              <w:rPr>
                <w:webHidden/>
              </w:rPr>
              <w:fldChar w:fldCharType="begin"/>
            </w:r>
            <w:r w:rsidR="003179F2">
              <w:rPr>
                <w:webHidden/>
              </w:rPr>
              <w:instrText xml:space="preserve"> PAGEREF _Toc462749200 \h </w:instrText>
            </w:r>
            <w:r w:rsidR="003179F2">
              <w:rPr>
                <w:webHidden/>
              </w:rPr>
            </w:r>
            <w:r w:rsidR="003179F2">
              <w:rPr>
                <w:webHidden/>
              </w:rPr>
              <w:fldChar w:fldCharType="separate"/>
            </w:r>
            <w:r w:rsidR="003179F2">
              <w:rPr>
                <w:webHidden/>
              </w:rPr>
              <w:t>2-27</w:t>
            </w:r>
            <w:r w:rsidR="003179F2">
              <w:rPr>
                <w:webHidden/>
              </w:rPr>
              <w:fldChar w:fldCharType="end"/>
            </w:r>
          </w:hyperlink>
        </w:p>
        <w:p w:rsidR="003179F2" w:rsidRDefault="004B2301">
          <w:pPr>
            <w:pStyle w:val="TOC3"/>
            <w:rPr>
              <w:rFonts w:asciiTheme="minorHAnsi" w:eastAsiaTheme="minorEastAsia" w:hAnsiTheme="minorHAnsi"/>
              <w:lang w:eastAsia="en-AU"/>
            </w:rPr>
          </w:pPr>
          <w:hyperlink w:anchor="_Toc462749201" w:history="1">
            <w:r w:rsidR="003179F2" w:rsidRPr="006675E9">
              <w:rPr>
                <w:rStyle w:val="Hyperlink"/>
              </w:rPr>
              <w:t>A.1.3</w:t>
            </w:r>
            <w:r w:rsidR="003179F2">
              <w:rPr>
                <w:rFonts w:asciiTheme="minorHAnsi" w:eastAsiaTheme="minorEastAsia" w:hAnsiTheme="minorHAnsi"/>
                <w:lang w:eastAsia="en-AU"/>
              </w:rPr>
              <w:tab/>
            </w:r>
            <w:r w:rsidR="003179F2" w:rsidRPr="006675E9">
              <w:rPr>
                <w:rStyle w:val="Hyperlink"/>
              </w:rPr>
              <w:t>The CCP members' proposed approach</w:t>
            </w:r>
            <w:r w:rsidR="003179F2">
              <w:rPr>
                <w:webHidden/>
              </w:rPr>
              <w:tab/>
            </w:r>
            <w:r w:rsidR="003179F2">
              <w:rPr>
                <w:webHidden/>
              </w:rPr>
              <w:fldChar w:fldCharType="begin"/>
            </w:r>
            <w:r w:rsidR="003179F2">
              <w:rPr>
                <w:webHidden/>
              </w:rPr>
              <w:instrText xml:space="preserve"> PAGEREF _Toc462749201 \h </w:instrText>
            </w:r>
            <w:r w:rsidR="003179F2">
              <w:rPr>
                <w:webHidden/>
              </w:rPr>
            </w:r>
            <w:r w:rsidR="003179F2">
              <w:rPr>
                <w:webHidden/>
              </w:rPr>
              <w:fldChar w:fldCharType="separate"/>
            </w:r>
            <w:r w:rsidR="003179F2">
              <w:rPr>
                <w:webHidden/>
              </w:rPr>
              <w:t>2-30</w:t>
            </w:r>
            <w:r w:rsidR="003179F2">
              <w:rPr>
                <w:webHidden/>
              </w:rPr>
              <w:fldChar w:fldCharType="end"/>
            </w:r>
          </w:hyperlink>
        </w:p>
        <w:p w:rsidR="003179F2" w:rsidRDefault="004B2301">
          <w:pPr>
            <w:pStyle w:val="TOC3"/>
            <w:rPr>
              <w:rFonts w:asciiTheme="minorHAnsi" w:eastAsiaTheme="minorEastAsia" w:hAnsiTheme="minorHAnsi"/>
              <w:lang w:eastAsia="en-AU"/>
            </w:rPr>
          </w:pPr>
          <w:hyperlink w:anchor="_Toc462749202" w:history="1">
            <w:r w:rsidR="003179F2" w:rsidRPr="006675E9">
              <w:rPr>
                <w:rStyle w:val="Hyperlink"/>
              </w:rPr>
              <w:t>A.1.4</w:t>
            </w:r>
            <w:r w:rsidR="003179F2">
              <w:rPr>
                <w:rFonts w:asciiTheme="minorHAnsi" w:eastAsiaTheme="minorEastAsia" w:hAnsiTheme="minorHAnsi"/>
                <w:lang w:eastAsia="en-AU"/>
              </w:rPr>
              <w:tab/>
            </w:r>
            <w:r w:rsidR="003179F2" w:rsidRPr="006675E9">
              <w:rPr>
                <w:rStyle w:val="Hyperlink"/>
              </w:rPr>
              <w:t>Regulatory depreciation</w:t>
            </w:r>
            <w:r w:rsidR="003179F2">
              <w:rPr>
                <w:webHidden/>
              </w:rPr>
              <w:tab/>
            </w:r>
            <w:r w:rsidR="003179F2">
              <w:rPr>
                <w:webHidden/>
              </w:rPr>
              <w:fldChar w:fldCharType="begin"/>
            </w:r>
            <w:r w:rsidR="003179F2">
              <w:rPr>
                <w:webHidden/>
              </w:rPr>
              <w:instrText xml:space="preserve"> PAGEREF _Toc462749202 \h </w:instrText>
            </w:r>
            <w:r w:rsidR="003179F2">
              <w:rPr>
                <w:webHidden/>
              </w:rPr>
            </w:r>
            <w:r w:rsidR="003179F2">
              <w:rPr>
                <w:webHidden/>
              </w:rPr>
              <w:fldChar w:fldCharType="separate"/>
            </w:r>
            <w:r w:rsidR="003179F2">
              <w:rPr>
                <w:webHidden/>
              </w:rPr>
              <w:t>2-33</w:t>
            </w:r>
            <w:r w:rsidR="003179F2">
              <w:rPr>
                <w:webHidden/>
              </w:rPr>
              <w:fldChar w:fldCharType="end"/>
            </w:r>
          </w:hyperlink>
        </w:p>
        <w:p w:rsidR="003179F2" w:rsidRDefault="004B2301">
          <w:pPr>
            <w:pStyle w:val="TOC2"/>
            <w:rPr>
              <w:rFonts w:asciiTheme="minorHAnsi" w:eastAsiaTheme="minorEastAsia" w:hAnsiTheme="minorHAnsi"/>
              <w:b w:val="0"/>
              <w:color w:val="auto"/>
              <w:sz w:val="22"/>
              <w:lang w:eastAsia="en-AU"/>
            </w:rPr>
          </w:pPr>
          <w:hyperlink w:anchor="_Toc462749203" w:history="1">
            <w:r w:rsidR="003179F2" w:rsidRPr="006675E9">
              <w:rPr>
                <w:rStyle w:val="Hyperlink"/>
              </w:rPr>
              <w:t>A.2</w:t>
            </w:r>
            <w:r w:rsidR="003179F2">
              <w:rPr>
                <w:rFonts w:asciiTheme="minorHAnsi" w:eastAsiaTheme="minorEastAsia" w:hAnsiTheme="minorHAnsi"/>
                <w:b w:val="0"/>
                <w:color w:val="auto"/>
                <w:sz w:val="22"/>
                <w:lang w:eastAsia="en-AU"/>
              </w:rPr>
              <w:tab/>
            </w:r>
            <w:r w:rsidR="003179F2" w:rsidRPr="006675E9">
              <w:rPr>
                <w:rStyle w:val="Hyperlink"/>
              </w:rPr>
              <w:t>The CCP members' analysis of profitability outcomes</w:t>
            </w:r>
            <w:r w:rsidR="003179F2">
              <w:rPr>
                <w:webHidden/>
              </w:rPr>
              <w:tab/>
            </w:r>
            <w:r w:rsidR="003179F2">
              <w:rPr>
                <w:webHidden/>
              </w:rPr>
              <w:fldChar w:fldCharType="begin"/>
            </w:r>
            <w:r w:rsidR="003179F2">
              <w:rPr>
                <w:webHidden/>
              </w:rPr>
              <w:instrText xml:space="preserve"> PAGEREF _Toc462749203 \h </w:instrText>
            </w:r>
            <w:r w:rsidR="003179F2">
              <w:rPr>
                <w:webHidden/>
              </w:rPr>
            </w:r>
            <w:r w:rsidR="003179F2">
              <w:rPr>
                <w:webHidden/>
              </w:rPr>
              <w:fldChar w:fldCharType="separate"/>
            </w:r>
            <w:r w:rsidR="003179F2">
              <w:rPr>
                <w:webHidden/>
              </w:rPr>
              <w:t>2-34</w:t>
            </w:r>
            <w:r w:rsidR="003179F2">
              <w:rPr>
                <w:webHidden/>
              </w:rPr>
              <w:fldChar w:fldCharType="end"/>
            </w:r>
          </w:hyperlink>
        </w:p>
        <w:p w:rsidR="00CE2A23" w:rsidRDefault="00CD283C" w:rsidP="00607CBC">
          <w:pPr>
            <w:pStyle w:val="TOC3"/>
          </w:pPr>
          <w:r>
            <w:fldChar w:fldCharType="end"/>
          </w:r>
        </w:p>
      </w:sdtContent>
    </w:sdt>
    <w:p w:rsidR="00CE2A23" w:rsidRPr="00CE2A23" w:rsidRDefault="00CE2A23" w:rsidP="00CE2A23">
      <w:r>
        <w:t xml:space="preserve"> </w:t>
      </w:r>
    </w:p>
    <w:p w:rsidR="00CE2A23" w:rsidRPr="00271F7C" w:rsidRDefault="00CE2A23" w:rsidP="00CE2A23">
      <w:pPr>
        <w:pStyle w:val="UnnumberedHeading"/>
        <w:numPr>
          <w:ilvl w:val="0"/>
          <w:numId w:val="23"/>
        </w:numPr>
      </w:pPr>
      <w:bookmarkStart w:id="11" w:name="_Toc404700925"/>
      <w:bookmarkStart w:id="12" w:name="_Toc462749186"/>
      <w:r>
        <w:lastRenderedPageBreak/>
        <w:t>Shortened forms</w:t>
      </w:r>
      <w:bookmarkEnd w:id="11"/>
      <w:bookmarkEnd w:id="12"/>
    </w:p>
    <w:tbl>
      <w:tblPr>
        <w:tblStyle w:val="AERtable-text0"/>
        <w:tblW w:w="0" w:type="auto"/>
        <w:tblLook w:val="04A0" w:firstRow="1" w:lastRow="0" w:firstColumn="1" w:lastColumn="0" w:noHBand="0" w:noVBand="1"/>
      </w:tblPr>
      <w:tblGrid>
        <w:gridCol w:w="4340"/>
        <w:gridCol w:w="4353"/>
      </w:tblGrid>
      <w:tr w:rsidR="0053603C" w:rsidRPr="0087648F" w:rsidTr="000474DF">
        <w:trPr>
          <w:cnfStyle w:val="100000000000" w:firstRow="1" w:lastRow="0" w:firstColumn="0" w:lastColumn="0" w:oddVBand="0" w:evenVBand="0" w:oddHBand="0" w:evenHBand="0" w:firstRowFirstColumn="0" w:firstRowLastColumn="0" w:lastRowFirstColumn="0" w:lastRowLastColumn="0"/>
          <w:tblHeader/>
        </w:trPr>
        <w:tc>
          <w:tcPr>
            <w:tcW w:w="4340" w:type="dxa"/>
          </w:tcPr>
          <w:p w:rsidR="0053603C" w:rsidRPr="0087648F" w:rsidRDefault="0087648F" w:rsidP="0087648F">
            <w:r>
              <w:t>Shortened form</w:t>
            </w:r>
          </w:p>
        </w:tc>
        <w:tc>
          <w:tcPr>
            <w:tcW w:w="4353" w:type="dxa"/>
          </w:tcPr>
          <w:p w:rsidR="0053603C" w:rsidRPr="0087648F" w:rsidRDefault="0087648F" w:rsidP="0087648F">
            <w:r>
              <w:t>Extended form</w:t>
            </w:r>
          </w:p>
        </w:tc>
      </w:tr>
      <w:tr w:rsidR="0087648F" w:rsidTr="000474DF">
        <w:tc>
          <w:tcPr>
            <w:tcW w:w="4340" w:type="dxa"/>
          </w:tcPr>
          <w:p w:rsidR="0087648F" w:rsidRDefault="0087648F" w:rsidP="0053603C">
            <w:pPr>
              <w:numPr>
                <w:ilvl w:val="0"/>
                <w:numId w:val="24"/>
              </w:numPr>
            </w:pPr>
            <w:r>
              <w:t>AARR</w:t>
            </w:r>
          </w:p>
        </w:tc>
        <w:tc>
          <w:tcPr>
            <w:tcW w:w="4353" w:type="dxa"/>
          </w:tcPr>
          <w:p w:rsidR="0087648F" w:rsidRDefault="0087648F" w:rsidP="0053603C">
            <w:pPr>
              <w:numPr>
                <w:ilvl w:val="0"/>
                <w:numId w:val="24"/>
              </w:numPr>
            </w:pPr>
            <w:r>
              <w:t>aggregate annual revenue requirement</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AEMC</w:t>
            </w:r>
          </w:p>
        </w:tc>
        <w:tc>
          <w:tcPr>
            <w:tcW w:w="4353" w:type="dxa"/>
          </w:tcPr>
          <w:p w:rsidR="0053603C" w:rsidRDefault="0053603C" w:rsidP="0053603C">
            <w:pPr>
              <w:numPr>
                <w:ilvl w:val="0"/>
                <w:numId w:val="24"/>
              </w:numPr>
            </w:pPr>
            <w:r>
              <w:t>Australian Energy Market Commission</w:t>
            </w:r>
          </w:p>
        </w:tc>
      </w:tr>
      <w:tr w:rsidR="0053603C" w:rsidTr="000474DF">
        <w:tc>
          <w:tcPr>
            <w:tcW w:w="4340" w:type="dxa"/>
          </w:tcPr>
          <w:p w:rsidR="0053603C" w:rsidRDefault="0053603C" w:rsidP="0053603C">
            <w:pPr>
              <w:numPr>
                <w:ilvl w:val="0"/>
                <w:numId w:val="24"/>
              </w:numPr>
            </w:pPr>
            <w:r>
              <w:t>AEMO</w:t>
            </w:r>
          </w:p>
        </w:tc>
        <w:tc>
          <w:tcPr>
            <w:tcW w:w="4353" w:type="dxa"/>
          </w:tcPr>
          <w:p w:rsidR="0053603C" w:rsidRDefault="0053603C" w:rsidP="0053603C">
            <w:pPr>
              <w:numPr>
                <w:ilvl w:val="0"/>
                <w:numId w:val="24"/>
              </w:numPr>
            </w:pPr>
            <w:r>
              <w:t>Australian Energy Market Operator</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AER</w:t>
            </w:r>
          </w:p>
        </w:tc>
        <w:tc>
          <w:tcPr>
            <w:tcW w:w="4353" w:type="dxa"/>
          </w:tcPr>
          <w:p w:rsidR="0053603C" w:rsidRDefault="0053603C" w:rsidP="0053603C">
            <w:pPr>
              <w:numPr>
                <w:ilvl w:val="0"/>
                <w:numId w:val="24"/>
              </w:numPr>
            </w:pPr>
            <w:r>
              <w:t>Australian Energy Regulator</w:t>
            </w:r>
          </w:p>
        </w:tc>
      </w:tr>
      <w:tr w:rsidR="0053603C" w:rsidTr="000474DF">
        <w:tc>
          <w:tcPr>
            <w:tcW w:w="4340" w:type="dxa"/>
          </w:tcPr>
          <w:p w:rsidR="0053603C" w:rsidRDefault="0053603C" w:rsidP="0053603C">
            <w:pPr>
              <w:numPr>
                <w:ilvl w:val="0"/>
                <w:numId w:val="24"/>
              </w:numPr>
            </w:pPr>
            <w:r>
              <w:t>ASRR</w:t>
            </w:r>
          </w:p>
        </w:tc>
        <w:tc>
          <w:tcPr>
            <w:tcW w:w="4353" w:type="dxa"/>
          </w:tcPr>
          <w:p w:rsidR="0053603C" w:rsidRDefault="0053603C" w:rsidP="0053603C">
            <w:pPr>
              <w:numPr>
                <w:ilvl w:val="0"/>
                <w:numId w:val="24"/>
              </w:numPr>
            </w:pPr>
            <w:r>
              <w:t>annual service revenue requirement</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augex</w:t>
            </w:r>
          </w:p>
        </w:tc>
        <w:tc>
          <w:tcPr>
            <w:tcW w:w="4353" w:type="dxa"/>
          </w:tcPr>
          <w:p w:rsidR="0053603C" w:rsidRDefault="0053603C" w:rsidP="0053603C">
            <w:pPr>
              <w:numPr>
                <w:ilvl w:val="0"/>
                <w:numId w:val="24"/>
              </w:numPr>
            </w:pPr>
            <w:r>
              <w:t>augmentation expenditure</w:t>
            </w:r>
          </w:p>
        </w:tc>
      </w:tr>
      <w:tr w:rsidR="0053603C" w:rsidTr="000474DF">
        <w:tc>
          <w:tcPr>
            <w:tcW w:w="4340" w:type="dxa"/>
          </w:tcPr>
          <w:p w:rsidR="0053603C" w:rsidRDefault="0053603C" w:rsidP="0053603C">
            <w:pPr>
              <w:numPr>
                <w:ilvl w:val="0"/>
                <w:numId w:val="24"/>
              </w:numPr>
            </w:pPr>
            <w:r>
              <w:t>capex</w:t>
            </w:r>
          </w:p>
        </w:tc>
        <w:tc>
          <w:tcPr>
            <w:tcW w:w="4353" w:type="dxa"/>
          </w:tcPr>
          <w:p w:rsidR="0053603C" w:rsidRDefault="0053603C" w:rsidP="0053603C">
            <w:pPr>
              <w:numPr>
                <w:ilvl w:val="0"/>
                <w:numId w:val="24"/>
              </w:numPr>
            </w:pPr>
            <w:r>
              <w:t>capital expenditure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CCP</w:t>
            </w:r>
          </w:p>
        </w:tc>
        <w:tc>
          <w:tcPr>
            <w:tcW w:w="4353" w:type="dxa"/>
          </w:tcPr>
          <w:p w:rsidR="0053603C" w:rsidRDefault="0053603C" w:rsidP="0053603C">
            <w:pPr>
              <w:numPr>
                <w:ilvl w:val="0"/>
                <w:numId w:val="24"/>
              </w:numPr>
            </w:pPr>
            <w:r>
              <w:t>Consumer Challenge Panel</w:t>
            </w:r>
          </w:p>
        </w:tc>
      </w:tr>
      <w:tr w:rsidR="0053603C" w:rsidTr="000474DF">
        <w:tc>
          <w:tcPr>
            <w:tcW w:w="4340" w:type="dxa"/>
          </w:tcPr>
          <w:p w:rsidR="0053603C" w:rsidRDefault="0053603C" w:rsidP="0053603C">
            <w:pPr>
              <w:numPr>
                <w:ilvl w:val="0"/>
                <w:numId w:val="24"/>
              </w:numPr>
            </w:pPr>
            <w:r>
              <w:t>CESS</w:t>
            </w:r>
          </w:p>
        </w:tc>
        <w:tc>
          <w:tcPr>
            <w:tcW w:w="4353" w:type="dxa"/>
          </w:tcPr>
          <w:p w:rsidR="0053603C" w:rsidRDefault="0053603C" w:rsidP="0053603C">
            <w:pPr>
              <w:numPr>
                <w:ilvl w:val="0"/>
                <w:numId w:val="24"/>
              </w:numPr>
            </w:pPr>
            <w:r>
              <w:t>capital expenditure sharing scheme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CPI</w:t>
            </w:r>
          </w:p>
        </w:tc>
        <w:tc>
          <w:tcPr>
            <w:tcW w:w="4353" w:type="dxa"/>
          </w:tcPr>
          <w:p w:rsidR="0053603C" w:rsidRDefault="0053603C" w:rsidP="0053603C">
            <w:pPr>
              <w:numPr>
                <w:ilvl w:val="0"/>
                <w:numId w:val="24"/>
              </w:numPr>
            </w:pPr>
            <w:r>
              <w:t>consumer price index</w:t>
            </w:r>
          </w:p>
        </w:tc>
      </w:tr>
      <w:tr w:rsidR="00F62A14" w:rsidTr="000474DF">
        <w:tc>
          <w:tcPr>
            <w:tcW w:w="4340" w:type="dxa"/>
          </w:tcPr>
          <w:p w:rsidR="00F62A14" w:rsidRDefault="00F62A14" w:rsidP="0053603C">
            <w:pPr>
              <w:numPr>
                <w:ilvl w:val="0"/>
                <w:numId w:val="24"/>
              </w:numPr>
            </w:pPr>
            <w:r>
              <w:t>DMIA</w:t>
            </w:r>
          </w:p>
        </w:tc>
        <w:tc>
          <w:tcPr>
            <w:tcW w:w="4353" w:type="dxa"/>
          </w:tcPr>
          <w:p w:rsidR="00F62A14" w:rsidRDefault="00F62A14" w:rsidP="0053603C">
            <w:pPr>
              <w:numPr>
                <w:ilvl w:val="0"/>
                <w:numId w:val="24"/>
              </w:numPr>
            </w:pPr>
            <w:r>
              <w:t>demand management innovation allowance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DRP</w:t>
            </w:r>
          </w:p>
        </w:tc>
        <w:tc>
          <w:tcPr>
            <w:tcW w:w="4353" w:type="dxa"/>
          </w:tcPr>
          <w:p w:rsidR="0053603C" w:rsidRDefault="0053603C" w:rsidP="0053603C">
            <w:pPr>
              <w:numPr>
                <w:ilvl w:val="0"/>
                <w:numId w:val="24"/>
              </w:numPr>
            </w:pPr>
            <w:r>
              <w:t>debt risk premium</w:t>
            </w:r>
          </w:p>
        </w:tc>
      </w:tr>
      <w:tr w:rsidR="0053603C" w:rsidTr="000474DF">
        <w:tc>
          <w:tcPr>
            <w:tcW w:w="4340" w:type="dxa"/>
          </w:tcPr>
          <w:p w:rsidR="0053603C" w:rsidRDefault="0053603C" w:rsidP="0053603C">
            <w:pPr>
              <w:numPr>
                <w:ilvl w:val="0"/>
                <w:numId w:val="24"/>
              </w:numPr>
            </w:pPr>
            <w:r>
              <w:t>EBSS</w:t>
            </w:r>
          </w:p>
        </w:tc>
        <w:tc>
          <w:tcPr>
            <w:tcW w:w="4353" w:type="dxa"/>
          </w:tcPr>
          <w:p w:rsidR="0053603C" w:rsidRDefault="0053603C" w:rsidP="0053603C">
            <w:pPr>
              <w:numPr>
                <w:ilvl w:val="0"/>
                <w:numId w:val="24"/>
              </w:numPr>
            </w:pPr>
            <w:r>
              <w:t>efficiency benefit sharing scheme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ERP</w:t>
            </w:r>
          </w:p>
        </w:tc>
        <w:tc>
          <w:tcPr>
            <w:tcW w:w="4353" w:type="dxa"/>
          </w:tcPr>
          <w:p w:rsidR="0053603C" w:rsidRDefault="0053603C" w:rsidP="0053603C">
            <w:pPr>
              <w:numPr>
                <w:ilvl w:val="0"/>
                <w:numId w:val="24"/>
              </w:numPr>
            </w:pPr>
            <w:r>
              <w:t>equity risk premium</w:t>
            </w:r>
          </w:p>
        </w:tc>
      </w:tr>
      <w:tr w:rsidR="0053603C" w:rsidTr="000474DF">
        <w:tc>
          <w:tcPr>
            <w:tcW w:w="4340" w:type="dxa"/>
          </w:tcPr>
          <w:p w:rsidR="0053603C" w:rsidRDefault="0053603C" w:rsidP="0053603C">
            <w:pPr>
              <w:numPr>
                <w:ilvl w:val="0"/>
                <w:numId w:val="24"/>
              </w:numPr>
            </w:pPr>
            <w:r>
              <w:t>MAR</w:t>
            </w:r>
          </w:p>
        </w:tc>
        <w:tc>
          <w:tcPr>
            <w:tcW w:w="4353" w:type="dxa"/>
          </w:tcPr>
          <w:p w:rsidR="0053603C" w:rsidRDefault="0053603C" w:rsidP="0053603C">
            <w:pPr>
              <w:numPr>
                <w:ilvl w:val="0"/>
                <w:numId w:val="24"/>
              </w:numPr>
            </w:pPr>
            <w:r>
              <w:t>maximum allowed revenue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MRP</w:t>
            </w:r>
          </w:p>
        </w:tc>
        <w:tc>
          <w:tcPr>
            <w:tcW w:w="4353" w:type="dxa"/>
          </w:tcPr>
          <w:p w:rsidR="0053603C" w:rsidRDefault="0053603C" w:rsidP="0053603C">
            <w:pPr>
              <w:numPr>
                <w:ilvl w:val="0"/>
                <w:numId w:val="24"/>
              </w:numPr>
            </w:pPr>
            <w:r>
              <w:t>market risk premium</w:t>
            </w:r>
          </w:p>
        </w:tc>
      </w:tr>
      <w:tr w:rsidR="0053603C" w:rsidTr="000474DF">
        <w:tc>
          <w:tcPr>
            <w:tcW w:w="4340" w:type="dxa"/>
          </w:tcPr>
          <w:p w:rsidR="0053603C" w:rsidRDefault="0053603C" w:rsidP="0053603C">
            <w:pPr>
              <w:numPr>
                <w:ilvl w:val="0"/>
                <w:numId w:val="24"/>
              </w:numPr>
            </w:pPr>
            <w:r>
              <w:t>NEL</w:t>
            </w:r>
          </w:p>
        </w:tc>
        <w:tc>
          <w:tcPr>
            <w:tcW w:w="4353" w:type="dxa"/>
          </w:tcPr>
          <w:p w:rsidR="0053603C" w:rsidRDefault="0053603C" w:rsidP="0053603C">
            <w:pPr>
              <w:numPr>
                <w:ilvl w:val="0"/>
                <w:numId w:val="24"/>
              </w:numPr>
            </w:pPr>
            <w:r>
              <w:t>national electricity law</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NEM</w:t>
            </w:r>
          </w:p>
        </w:tc>
        <w:tc>
          <w:tcPr>
            <w:tcW w:w="4353" w:type="dxa"/>
          </w:tcPr>
          <w:p w:rsidR="0053603C" w:rsidRDefault="0053603C" w:rsidP="0053603C">
            <w:pPr>
              <w:numPr>
                <w:ilvl w:val="0"/>
                <w:numId w:val="24"/>
              </w:numPr>
            </w:pPr>
            <w:r>
              <w:t>national electricity market</w:t>
            </w:r>
          </w:p>
        </w:tc>
      </w:tr>
      <w:tr w:rsidR="0053603C" w:rsidTr="000474DF">
        <w:tc>
          <w:tcPr>
            <w:tcW w:w="4340" w:type="dxa"/>
          </w:tcPr>
          <w:p w:rsidR="0053603C" w:rsidRDefault="0053603C" w:rsidP="0053603C">
            <w:pPr>
              <w:numPr>
                <w:ilvl w:val="0"/>
                <w:numId w:val="24"/>
              </w:numPr>
            </w:pPr>
            <w:r>
              <w:t>NEO</w:t>
            </w:r>
          </w:p>
        </w:tc>
        <w:tc>
          <w:tcPr>
            <w:tcW w:w="4353" w:type="dxa"/>
          </w:tcPr>
          <w:p w:rsidR="0053603C" w:rsidRDefault="0053603C" w:rsidP="0053603C">
            <w:pPr>
              <w:numPr>
                <w:ilvl w:val="0"/>
                <w:numId w:val="24"/>
              </w:numPr>
            </w:pPr>
            <w:r>
              <w:t>national electricity objective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NER</w:t>
            </w:r>
          </w:p>
        </w:tc>
        <w:tc>
          <w:tcPr>
            <w:tcW w:w="4353" w:type="dxa"/>
          </w:tcPr>
          <w:p w:rsidR="0053603C" w:rsidRDefault="0053603C" w:rsidP="0053603C">
            <w:pPr>
              <w:numPr>
                <w:ilvl w:val="0"/>
                <w:numId w:val="24"/>
              </w:numPr>
            </w:pPr>
            <w:r>
              <w:t>national electricity rules</w:t>
            </w:r>
          </w:p>
        </w:tc>
      </w:tr>
      <w:tr w:rsidR="0053603C" w:rsidTr="000474DF">
        <w:tc>
          <w:tcPr>
            <w:tcW w:w="4340" w:type="dxa"/>
          </w:tcPr>
          <w:p w:rsidR="0053603C" w:rsidRDefault="0053603C" w:rsidP="0053603C">
            <w:pPr>
              <w:numPr>
                <w:ilvl w:val="0"/>
                <w:numId w:val="24"/>
              </w:numPr>
            </w:pPr>
            <w:r>
              <w:t>NSP</w:t>
            </w:r>
          </w:p>
        </w:tc>
        <w:tc>
          <w:tcPr>
            <w:tcW w:w="4353" w:type="dxa"/>
          </w:tcPr>
          <w:p w:rsidR="0053603C" w:rsidRDefault="0053603C" w:rsidP="0053603C">
            <w:pPr>
              <w:numPr>
                <w:ilvl w:val="0"/>
                <w:numId w:val="24"/>
              </w:numPr>
            </w:pPr>
            <w:r>
              <w:t>network service provider</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NTSC</w:t>
            </w:r>
          </w:p>
        </w:tc>
        <w:tc>
          <w:tcPr>
            <w:tcW w:w="4353" w:type="dxa"/>
          </w:tcPr>
          <w:p w:rsidR="0053603C" w:rsidRDefault="0053603C" w:rsidP="0053603C">
            <w:pPr>
              <w:numPr>
                <w:ilvl w:val="0"/>
                <w:numId w:val="24"/>
              </w:numPr>
            </w:pPr>
            <w:r>
              <w:t>negotiated transmission service criteria</w:t>
            </w:r>
          </w:p>
        </w:tc>
      </w:tr>
      <w:tr w:rsidR="0053603C" w:rsidTr="000474DF">
        <w:tc>
          <w:tcPr>
            <w:tcW w:w="4340" w:type="dxa"/>
          </w:tcPr>
          <w:p w:rsidR="0053603C" w:rsidRDefault="0053603C" w:rsidP="0053603C">
            <w:pPr>
              <w:numPr>
                <w:ilvl w:val="0"/>
                <w:numId w:val="24"/>
              </w:numPr>
            </w:pPr>
            <w:r>
              <w:t>opex</w:t>
            </w:r>
          </w:p>
        </w:tc>
        <w:tc>
          <w:tcPr>
            <w:tcW w:w="4353" w:type="dxa"/>
          </w:tcPr>
          <w:p w:rsidR="0053603C" w:rsidRDefault="0053603C" w:rsidP="0053603C">
            <w:pPr>
              <w:numPr>
                <w:ilvl w:val="0"/>
                <w:numId w:val="24"/>
              </w:numPr>
            </w:pPr>
            <w:r>
              <w:t>operating expenditure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PPI</w:t>
            </w:r>
          </w:p>
        </w:tc>
        <w:tc>
          <w:tcPr>
            <w:tcW w:w="4353" w:type="dxa"/>
          </w:tcPr>
          <w:p w:rsidR="0053603C" w:rsidRDefault="0053603C" w:rsidP="0053603C">
            <w:pPr>
              <w:numPr>
                <w:ilvl w:val="0"/>
                <w:numId w:val="24"/>
              </w:numPr>
            </w:pPr>
            <w:r>
              <w:t>partial performance indicators</w:t>
            </w:r>
          </w:p>
        </w:tc>
      </w:tr>
      <w:tr w:rsidR="0053603C" w:rsidTr="000474DF">
        <w:tc>
          <w:tcPr>
            <w:tcW w:w="4340" w:type="dxa"/>
          </w:tcPr>
          <w:p w:rsidR="0053603C" w:rsidRDefault="0053603C" w:rsidP="0053603C">
            <w:pPr>
              <w:numPr>
                <w:ilvl w:val="0"/>
                <w:numId w:val="24"/>
              </w:numPr>
            </w:pPr>
            <w:r>
              <w:t>PTRM</w:t>
            </w:r>
          </w:p>
        </w:tc>
        <w:tc>
          <w:tcPr>
            <w:tcW w:w="4353" w:type="dxa"/>
          </w:tcPr>
          <w:p w:rsidR="0053603C" w:rsidRDefault="0053603C" w:rsidP="0053603C">
            <w:pPr>
              <w:numPr>
                <w:ilvl w:val="0"/>
                <w:numId w:val="24"/>
              </w:numPr>
            </w:pPr>
            <w:r>
              <w:t>post-tax revenue model</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RAB</w:t>
            </w:r>
          </w:p>
        </w:tc>
        <w:tc>
          <w:tcPr>
            <w:tcW w:w="4353" w:type="dxa"/>
          </w:tcPr>
          <w:p w:rsidR="0053603C" w:rsidRDefault="0053603C" w:rsidP="0053603C">
            <w:pPr>
              <w:numPr>
                <w:ilvl w:val="0"/>
                <w:numId w:val="24"/>
              </w:numPr>
            </w:pPr>
            <w:r>
              <w:t>regulatory asset base</w:t>
            </w:r>
          </w:p>
        </w:tc>
      </w:tr>
      <w:tr w:rsidR="0053603C" w:rsidTr="000474DF">
        <w:tc>
          <w:tcPr>
            <w:tcW w:w="4340" w:type="dxa"/>
          </w:tcPr>
          <w:p w:rsidR="0053603C" w:rsidRDefault="0053603C" w:rsidP="0053603C">
            <w:pPr>
              <w:numPr>
                <w:ilvl w:val="0"/>
                <w:numId w:val="24"/>
              </w:numPr>
            </w:pPr>
            <w:r>
              <w:t>RBA</w:t>
            </w:r>
          </w:p>
        </w:tc>
        <w:tc>
          <w:tcPr>
            <w:tcW w:w="4353" w:type="dxa"/>
          </w:tcPr>
          <w:p w:rsidR="0053603C" w:rsidRDefault="0053603C" w:rsidP="0053603C">
            <w:pPr>
              <w:numPr>
                <w:ilvl w:val="0"/>
                <w:numId w:val="24"/>
              </w:numPr>
            </w:pPr>
            <w:r>
              <w:t>Reserve Bank of Australia</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repex</w:t>
            </w:r>
          </w:p>
        </w:tc>
        <w:tc>
          <w:tcPr>
            <w:tcW w:w="4353" w:type="dxa"/>
          </w:tcPr>
          <w:p w:rsidR="0053603C" w:rsidRDefault="0053603C" w:rsidP="0053603C">
            <w:pPr>
              <w:numPr>
                <w:ilvl w:val="0"/>
                <w:numId w:val="24"/>
              </w:numPr>
            </w:pPr>
            <w:r>
              <w:t>replacement expenditure</w:t>
            </w:r>
          </w:p>
        </w:tc>
      </w:tr>
      <w:tr w:rsidR="0053603C" w:rsidTr="000474DF">
        <w:tc>
          <w:tcPr>
            <w:tcW w:w="4340" w:type="dxa"/>
          </w:tcPr>
          <w:p w:rsidR="0053603C" w:rsidRDefault="0053603C" w:rsidP="0053603C">
            <w:pPr>
              <w:numPr>
                <w:ilvl w:val="0"/>
                <w:numId w:val="24"/>
              </w:numPr>
            </w:pPr>
            <w:r>
              <w:t>RFM</w:t>
            </w:r>
          </w:p>
        </w:tc>
        <w:tc>
          <w:tcPr>
            <w:tcW w:w="4353" w:type="dxa"/>
          </w:tcPr>
          <w:p w:rsidR="0053603C" w:rsidRDefault="0053603C" w:rsidP="0053603C">
            <w:pPr>
              <w:numPr>
                <w:ilvl w:val="0"/>
                <w:numId w:val="24"/>
              </w:numPr>
            </w:pPr>
            <w:r>
              <w:t>roll forward model</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RIN</w:t>
            </w:r>
          </w:p>
        </w:tc>
        <w:tc>
          <w:tcPr>
            <w:tcW w:w="4353" w:type="dxa"/>
          </w:tcPr>
          <w:p w:rsidR="0053603C" w:rsidRDefault="0053603C" w:rsidP="0053603C">
            <w:pPr>
              <w:numPr>
                <w:ilvl w:val="0"/>
                <w:numId w:val="24"/>
              </w:numPr>
            </w:pPr>
            <w:r>
              <w:t>regulatory information notice</w:t>
            </w:r>
          </w:p>
        </w:tc>
      </w:tr>
      <w:tr w:rsidR="0053603C" w:rsidTr="000474DF">
        <w:tc>
          <w:tcPr>
            <w:tcW w:w="4340" w:type="dxa"/>
          </w:tcPr>
          <w:p w:rsidR="0053603C" w:rsidRDefault="0053603C" w:rsidP="0053603C">
            <w:pPr>
              <w:numPr>
                <w:ilvl w:val="0"/>
                <w:numId w:val="24"/>
              </w:numPr>
            </w:pPr>
            <w:r>
              <w:lastRenderedPageBreak/>
              <w:t>RPP</w:t>
            </w:r>
          </w:p>
        </w:tc>
        <w:tc>
          <w:tcPr>
            <w:tcW w:w="4353" w:type="dxa"/>
          </w:tcPr>
          <w:p w:rsidR="0053603C" w:rsidRDefault="0053603C" w:rsidP="0053603C">
            <w:pPr>
              <w:numPr>
                <w:ilvl w:val="0"/>
                <w:numId w:val="24"/>
              </w:numPr>
            </w:pPr>
            <w:r>
              <w:t>revenue and pricing principles</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SLCAPM</w:t>
            </w:r>
          </w:p>
        </w:tc>
        <w:tc>
          <w:tcPr>
            <w:tcW w:w="4353" w:type="dxa"/>
          </w:tcPr>
          <w:p w:rsidR="0053603C" w:rsidRDefault="0053603C" w:rsidP="0053603C">
            <w:pPr>
              <w:numPr>
                <w:ilvl w:val="0"/>
                <w:numId w:val="24"/>
              </w:numPr>
            </w:pPr>
            <w:r>
              <w:t>Sharpe-Lintner capital asset pricing model</w:t>
            </w:r>
          </w:p>
        </w:tc>
      </w:tr>
      <w:tr w:rsidR="0053603C" w:rsidTr="000474DF">
        <w:tc>
          <w:tcPr>
            <w:tcW w:w="4340" w:type="dxa"/>
          </w:tcPr>
          <w:p w:rsidR="0053603C" w:rsidRDefault="0053603C" w:rsidP="0053603C">
            <w:pPr>
              <w:numPr>
                <w:ilvl w:val="0"/>
                <w:numId w:val="24"/>
              </w:numPr>
            </w:pPr>
            <w:r>
              <w:t>STPIS</w:t>
            </w:r>
          </w:p>
        </w:tc>
        <w:tc>
          <w:tcPr>
            <w:tcW w:w="4353" w:type="dxa"/>
          </w:tcPr>
          <w:p w:rsidR="0053603C" w:rsidRDefault="0053603C" w:rsidP="0053603C">
            <w:pPr>
              <w:numPr>
                <w:ilvl w:val="0"/>
                <w:numId w:val="24"/>
              </w:numPr>
            </w:pPr>
            <w:r>
              <w:t>service target performance incentive scheme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TNSP</w:t>
            </w:r>
          </w:p>
        </w:tc>
        <w:tc>
          <w:tcPr>
            <w:tcW w:w="4353" w:type="dxa"/>
          </w:tcPr>
          <w:p w:rsidR="0053603C" w:rsidRDefault="0053603C" w:rsidP="0053603C">
            <w:pPr>
              <w:numPr>
                <w:ilvl w:val="0"/>
                <w:numId w:val="24"/>
              </w:numPr>
            </w:pPr>
            <w:r>
              <w:t>transmission network service provider</w:t>
            </w:r>
          </w:p>
        </w:tc>
      </w:tr>
      <w:tr w:rsidR="0053603C" w:rsidTr="000474DF">
        <w:tc>
          <w:tcPr>
            <w:tcW w:w="4340" w:type="dxa"/>
          </w:tcPr>
          <w:p w:rsidR="0053603C" w:rsidRDefault="0053603C" w:rsidP="0053603C">
            <w:pPr>
              <w:numPr>
                <w:ilvl w:val="0"/>
                <w:numId w:val="24"/>
              </w:numPr>
            </w:pPr>
            <w:r>
              <w:t>TUoS</w:t>
            </w:r>
          </w:p>
        </w:tc>
        <w:tc>
          <w:tcPr>
            <w:tcW w:w="4353" w:type="dxa"/>
          </w:tcPr>
          <w:p w:rsidR="0053603C" w:rsidRDefault="0053603C" w:rsidP="0053603C">
            <w:pPr>
              <w:numPr>
                <w:ilvl w:val="0"/>
                <w:numId w:val="24"/>
              </w:numPr>
            </w:pPr>
            <w:r>
              <w:t>transmission use of system</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WACC</w:t>
            </w:r>
          </w:p>
        </w:tc>
        <w:tc>
          <w:tcPr>
            <w:tcW w:w="4353" w:type="dxa"/>
          </w:tcPr>
          <w:p w:rsidR="0053603C" w:rsidRDefault="0053603C" w:rsidP="0053603C">
            <w:pPr>
              <w:numPr>
                <w:ilvl w:val="0"/>
                <w:numId w:val="24"/>
              </w:numPr>
            </w:pPr>
            <w:r>
              <w:t>weighted average cost of capital</w:t>
            </w:r>
          </w:p>
        </w:tc>
      </w:tr>
    </w:tbl>
    <w:p w:rsidR="00DE563D" w:rsidRDefault="00A85E87" w:rsidP="00A85E87">
      <w:pPr>
        <w:pStyle w:val="Heading1"/>
      </w:pPr>
      <w:bookmarkStart w:id="13" w:name="_Toc416278154"/>
      <w:bookmarkStart w:id="14" w:name="_Toc416346517"/>
      <w:bookmarkStart w:id="15" w:name="_Toc416278157"/>
      <w:bookmarkStart w:id="16" w:name="_Toc416346520"/>
      <w:bookmarkStart w:id="17" w:name="_Toc416278160"/>
      <w:bookmarkStart w:id="18" w:name="_Toc416346523"/>
      <w:bookmarkStart w:id="19" w:name="_Toc416278163"/>
      <w:bookmarkStart w:id="20" w:name="_Toc416346526"/>
      <w:bookmarkStart w:id="21" w:name="_Toc416278166"/>
      <w:bookmarkStart w:id="22" w:name="_Toc416346529"/>
      <w:bookmarkStart w:id="23" w:name="_Toc416278169"/>
      <w:bookmarkStart w:id="24" w:name="_Toc416346532"/>
      <w:bookmarkStart w:id="25" w:name="_Toc416278172"/>
      <w:bookmarkStart w:id="26" w:name="_Toc416346535"/>
      <w:bookmarkStart w:id="27" w:name="_Toc416278175"/>
      <w:bookmarkStart w:id="28" w:name="_Toc416346538"/>
      <w:bookmarkStart w:id="29" w:name="_Toc416278178"/>
      <w:bookmarkStart w:id="30" w:name="_Toc416346541"/>
      <w:bookmarkStart w:id="31" w:name="_Toc416278181"/>
      <w:bookmarkStart w:id="32" w:name="_Toc416346544"/>
      <w:bookmarkStart w:id="33" w:name="_Toc416278184"/>
      <w:bookmarkStart w:id="34" w:name="_Toc416346547"/>
      <w:bookmarkStart w:id="35" w:name="_Toc416278187"/>
      <w:bookmarkStart w:id="36" w:name="_Toc416346550"/>
      <w:bookmarkStart w:id="37" w:name="_Toc416278190"/>
      <w:bookmarkStart w:id="38" w:name="_Toc416346553"/>
      <w:bookmarkStart w:id="39" w:name="_Toc416278193"/>
      <w:bookmarkStart w:id="40" w:name="_Toc416346556"/>
      <w:bookmarkStart w:id="41" w:name="_Toc416278196"/>
      <w:bookmarkStart w:id="42" w:name="_Toc416346559"/>
      <w:bookmarkStart w:id="43" w:name="_Toc416278199"/>
      <w:bookmarkStart w:id="44" w:name="_Toc416346562"/>
      <w:bookmarkStart w:id="45" w:name="_Toc416278202"/>
      <w:bookmarkStart w:id="46" w:name="_Toc416346565"/>
      <w:bookmarkStart w:id="47" w:name="_Toc416278205"/>
      <w:bookmarkStart w:id="48" w:name="_Toc416346568"/>
      <w:bookmarkStart w:id="49" w:name="_Toc416278208"/>
      <w:bookmarkStart w:id="50" w:name="_Toc416346571"/>
      <w:bookmarkStart w:id="51" w:name="_Toc416278211"/>
      <w:bookmarkStart w:id="52" w:name="_Toc416346574"/>
      <w:bookmarkStart w:id="53" w:name="_Toc416278214"/>
      <w:bookmarkStart w:id="54" w:name="_Toc416346577"/>
      <w:bookmarkStart w:id="55" w:name="_Toc416278217"/>
      <w:bookmarkStart w:id="56" w:name="_Toc416346580"/>
      <w:bookmarkStart w:id="57" w:name="_Toc416278220"/>
      <w:bookmarkStart w:id="58" w:name="_Toc416346583"/>
      <w:bookmarkStart w:id="59" w:name="_Toc416278223"/>
      <w:bookmarkStart w:id="60" w:name="_Toc416346586"/>
      <w:bookmarkStart w:id="61" w:name="_Toc416278226"/>
      <w:bookmarkStart w:id="62" w:name="_Toc416346589"/>
      <w:bookmarkStart w:id="63" w:name="_Toc416278229"/>
      <w:bookmarkStart w:id="64" w:name="_Toc416346592"/>
      <w:bookmarkStart w:id="65" w:name="_Toc416278232"/>
      <w:bookmarkStart w:id="66" w:name="_Toc416346595"/>
      <w:bookmarkStart w:id="67" w:name="_Toc416278235"/>
      <w:bookmarkStart w:id="68" w:name="_Toc416346598"/>
      <w:bookmarkStart w:id="69" w:name="_Toc416278238"/>
      <w:bookmarkStart w:id="70" w:name="_Toc416346601"/>
      <w:bookmarkStart w:id="71" w:name="_Ref462055890"/>
      <w:bookmarkStart w:id="72" w:name="_Ref462055925"/>
      <w:bookmarkStart w:id="73" w:name="_Ref462055943"/>
      <w:bookmarkStart w:id="74" w:name="_Ref462055983"/>
      <w:bookmarkStart w:id="75" w:name="_Ref462056001"/>
      <w:bookmarkStart w:id="76" w:name="_Toc462749187"/>
      <w:bookmarkEnd w:id="1"/>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lastRenderedPageBreak/>
        <w:t>Regulatory asset base</w:t>
      </w:r>
      <w:bookmarkEnd w:id="71"/>
      <w:bookmarkEnd w:id="72"/>
      <w:bookmarkEnd w:id="73"/>
      <w:bookmarkEnd w:id="74"/>
      <w:bookmarkEnd w:id="75"/>
      <w:bookmarkEnd w:id="76"/>
    </w:p>
    <w:p w:rsidR="0054020F" w:rsidRDefault="0054020F" w:rsidP="0054020F">
      <w:pPr>
        <w:numPr>
          <w:ilvl w:val="0"/>
          <w:numId w:val="24"/>
        </w:numPr>
      </w:pPr>
      <w:r>
        <w:t>The regulatory asset base (RAB) is the value of the assets used by Powerlink to provide prescribed transmission services.</w:t>
      </w:r>
      <w:r w:rsidRPr="00A15399">
        <w:rPr>
          <w:rStyle w:val="FootnoteReference"/>
        </w:rPr>
        <w:footnoteReference w:id="1"/>
      </w:r>
      <w:r w:rsidRPr="00A15399">
        <w:t xml:space="preserve"> </w:t>
      </w:r>
      <w:r w:rsidR="00034550">
        <w:t>Our</w:t>
      </w:r>
      <w:r>
        <w:t xml:space="preserve"> revenue determination specif</w:t>
      </w:r>
      <w:r w:rsidR="00034550">
        <w:t>ies</w:t>
      </w:r>
      <w:r>
        <w:t xml:space="preserve"> the RAB as at the commencement of the regulatory control period and the appropriate method for the indexation of the RAB.</w:t>
      </w:r>
      <w:r>
        <w:rPr>
          <w:rStyle w:val="FootnoteReference"/>
        </w:rPr>
        <w:footnoteReference w:id="2"/>
      </w:r>
      <w:r>
        <w:t xml:space="preserve"> The indexation of the RAB is one of the building blocks that form the annual building block revenue requirement for each year of the </w:t>
      </w:r>
      <w:r w:rsidR="00607CBC">
        <w:t xml:space="preserve">2017–22 </w:t>
      </w:r>
      <w:r>
        <w:t>regulatory control period.</w:t>
      </w:r>
      <w:r>
        <w:rPr>
          <w:rStyle w:val="FootnoteReference"/>
        </w:rPr>
        <w:footnoteReference w:id="3"/>
      </w:r>
      <w:r>
        <w:t xml:space="preserve"> </w:t>
      </w:r>
      <w:r w:rsidRPr="00A15399">
        <w:t xml:space="preserve">We set the RAB as the foundation for </w:t>
      </w:r>
      <w:r w:rsidRPr="008F6FA4">
        <w:t>determining</w:t>
      </w:r>
      <w:r>
        <w:t xml:space="preserve"> a TNSP's</w:t>
      </w:r>
      <w:r w:rsidRPr="008F6FA4">
        <w:t xml:space="preserve"> revenue requirements, and use the opening RAB for each regulatory year to determine the return on capital</w:t>
      </w:r>
      <w:r>
        <w:t xml:space="preserve"> and</w:t>
      </w:r>
      <w:r w:rsidRPr="008F6FA4">
        <w:t xml:space="preserve"> return of ca</w:t>
      </w:r>
      <w:r>
        <w:t xml:space="preserve">pital (regulatory depreciation) </w:t>
      </w:r>
      <w:r w:rsidRPr="008F6FA4">
        <w:t>building block allowances.</w:t>
      </w:r>
      <w:r>
        <w:rPr>
          <w:rStyle w:val="FootnoteReference"/>
        </w:rPr>
        <w:footnoteReference w:id="4"/>
      </w:r>
      <w:r w:rsidRPr="008F6FA4">
        <w:t xml:space="preserve"> </w:t>
      </w:r>
    </w:p>
    <w:p w:rsidR="0054020F" w:rsidRPr="0054020F" w:rsidRDefault="0054020F" w:rsidP="00132D43">
      <w:pPr>
        <w:numPr>
          <w:ilvl w:val="0"/>
          <w:numId w:val="24"/>
        </w:numPr>
        <w:rPr>
          <w:rStyle w:val="AERbody"/>
        </w:rPr>
      </w:pPr>
      <w:r w:rsidRPr="008F6FA4">
        <w:t xml:space="preserve">This attachment presents our draft decision on the opening RAB value as at </w:t>
      </w:r>
      <w:r w:rsidR="00EB5F22">
        <w:t xml:space="preserve">1 July 2017 </w:t>
      </w:r>
      <w:r w:rsidRPr="008F6FA4">
        <w:t xml:space="preserve">for </w:t>
      </w:r>
      <w:r>
        <w:t xml:space="preserve">Powerlink. It also presents our </w:t>
      </w:r>
      <w:r w:rsidRPr="00A15399">
        <w:t>for</w:t>
      </w:r>
      <w:r>
        <w:t xml:space="preserve">ecast RAB values for Powerlink over </w:t>
      </w:r>
      <w:r w:rsidRPr="001F0B76">
        <w:t xml:space="preserve">the </w:t>
      </w:r>
      <w:r w:rsidR="00EB5F22">
        <w:t>2017–22</w:t>
      </w:r>
      <w:r>
        <w:t xml:space="preserve"> regulatory control period</w:t>
      </w:r>
      <w:r w:rsidRPr="00A15399">
        <w:t xml:space="preserve">. </w:t>
      </w:r>
    </w:p>
    <w:p w:rsidR="00132D43" w:rsidRDefault="00132D43" w:rsidP="00132D43">
      <w:pPr>
        <w:pStyle w:val="Heading2"/>
      </w:pPr>
      <w:bookmarkStart w:id="77" w:name="_Toc462749188"/>
      <w:r>
        <w:t>Draft decision</w:t>
      </w:r>
      <w:bookmarkEnd w:id="77"/>
    </w:p>
    <w:p w:rsidR="00EB5F22" w:rsidRDefault="008C5252" w:rsidP="00EB5F22">
      <w:r>
        <w:t xml:space="preserve">We </w:t>
      </w:r>
      <w:r w:rsidR="00280C49">
        <w:t xml:space="preserve">do not accept Powerlink's proposed </w:t>
      </w:r>
      <w:r w:rsidR="00880D7C" w:rsidRPr="008C5252">
        <w:t>opening RAB of $7237.9 million ($ nominal) as at 1 July 2017</w:t>
      </w:r>
      <w:r w:rsidR="00880D7C">
        <w:t>.</w:t>
      </w:r>
      <w:r w:rsidR="00880D7C">
        <w:rPr>
          <w:rStyle w:val="FootnoteReference"/>
        </w:rPr>
        <w:footnoteReference w:id="5"/>
      </w:r>
      <w:r w:rsidR="00880D7C">
        <w:t xml:space="preserve"> We instead </w:t>
      </w:r>
      <w:r w:rsidR="00EB5F22" w:rsidRPr="00510C22">
        <w:t>determine an opening RAB value of $</w:t>
      </w:r>
      <w:r w:rsidR="00AA66A1">
        <w:t>7164</w:t>
      </w:r>
      <w:r w:rsidR="00EB5F22">
        <w:t>.7 </w:t>
      </w:r>
      <w:r w:rsidR="00EB5F22" w:rsidRPr="00510C22">
        <w:t>million ($</w:t>
      </w:r>
      <w:r w:rsidR="00880D7C">
        <w:t> </w:t>
      </w:r>
      <w:r w:rsidR="00EB5F22" w:rsidRPr="00510C22">
        <w:t xml:space="preserve">nominal) as at 1 </w:t>
      </w:r>
      <w:r>
        <w:t>Ju</w:t>
      </w:r>
      <w:r w:rsidR="00F57DD0">
        <w:t>ly</w:t>
      </w:r>
      <w:r w:rsidR="00EB5F22" w:rsidRPr="00510C22">
        <w:t xml:space="preserve"> 201</w:t>
      </w:r>
      <w:r w:rsidR="00EB5F22">
        <w:t>7</w:t>
      </w:r>
      <w:r w:rsidR="00EB5F22" w:rsidRPr="00510C22">
        <w:t xml:space="preserve">. This is because we have amended </w:t>
      </w:r>
      <w:r w:rsidR="00AA66A1">
        <w:t>Powerlink</w:t>
      </w:r>
      <w:r w:rsidR="00EB5F22">
        <w:t>’</w:t>
      </w:r>
      <w:r w:rsidR="00AA66A1">
        <w:t>s</w:t>
      </w:r>
      <w:r w:rsidR="00EB5F22" w:rsidRPr="00510C22">
        <w:t xml:space="preserve"> proposed roll forward model (RFM) to correct </w:t>
      </w:r>
      <w:r w:rsidR="00824DA2">
        <w:t>two</w:t>
      </w:r>
      <w:r w:rsidR="00EB5F22" w:rsidRPr="00510C22">
        <w:t xml:space="preserve"> input errors and </w:t>
      </w:r>
      <w:r w:rsidR="00824DA2">
        <w:t xml:space="preserve">made </w:t>
      </w:r>
      <w:r w:rsidR="00EB5F22" w:rsidRPr="00510C22">
        <w:t>o</w:t>
      </w:r>
      <w:r w:rsidR="00824DA2">
        <w:t>ne</w:t>
      </w:r>
      <w:r w:rsidR="00EB5F22" w:rsidRPr="00510C22">
        <w:t xml:space="preserve"> adjustment. These amendments </w:t>
      </w:r>
      <w:r w:rsidR="00824DA2">
        <w:t>relate to</w:t>
      </w:r>
      <w:r w:rsidR="00EB5F22" w:rsidRPr="00510C22">
        <w:t>:</w:t>
      </w:r>
    </w:p>
    <w:p w:rsidR="00AA66A1" w:rsidRPr="00AA66A1" w:rsidRDefault="00AA66A1" w:rsidP="00AA66A1">
      <w:pPr>
        <w:pStyle w:val="AERbulletlistfirststyle"/>
      </w:pPr>
      <w:r>
        <w:t xml:space="preserve">updating </w:t>
      </w:r>
      <w:r w:rsidRPr="00AA66A1">
        <w:t xml:space="preserve">the </w:t>
      </w:r>
      <w:r>
        <w:t xml:space="preserve">2015–16 </w:t>
      </w:r>
      <w:r w:rsidRPr="00AA66A1">
        <w:t xml:space="preserve">inflation rate </w:t>
      </w:r>
      <w:r w:rsidR="00880D7C">
        <w:t xml:space="preserve">with actual CPI </w:t>
      </w:r>
      <w:r w:rsidRPr="00AA66A1">
        <w:t>for RAB indexation</w:t>
      </w:r>
    </w:p>
    <w:p w:rsidR="00AA66A1" w:rsidRPr="00AA66A1" w:rsidRDefault="00AA66A1" w:rsidP="00AA66A1">
      <w:pPr>
        <w:pStyle w:val="AERbulletlistfirststyle"/>
      </w:pPr>
      <w:r>
        <w:t>correcting an input error</w:t>
      </w:r>
      <w:r w:rsidRPr="00AA66A1">
        <w:t xml:space="preserve"> for the movements in capitalised provisions</w:t>
      </w:r>
      <w:r w:rsidR="00880D7C">
        <w:t>, which are adjusted from</w:t>
      </w:r>
      <w:r w:rsidRPr="00AA66A1">
        <w:t xml:space="preserve"> actual capex</w:t>
      </w:r>
      <w:r w:rsidR="00880D7C">
        <w:t xml:space="preserve"> being added</w:t>
      </w:r>
      <w:r w:rsidRPr="00AA66A1">
        <w:t xml:space="preserve"> to the RAB</w:t>
      </w:r>
    </w:p>
    <w:p w:rsidR="00AA66A1" w:rsidRDefault="00AA66A1" w:rsidP="00AA66A1">
      <w:pPr>
        <w:pStyle w:val="AERbulletlistfirststyle"/>
      </w:pPr>
      <w:r>
        <w:t xml:space="preserve">correcting an input error for the </w:t>
      </w:r>
      <w:r w:rsidR="00880D7C">
        <w:t xml:space="preserve">benchmark </w:t>
      </w:r>
      <w:r>
        <w:t xml:space="preserve">equity raising costs in </w:t>
      </w:r>
      <w:r w:rsidRPr="00AA66A1">
        <w:t>201</w:t>
      </w:r>
      <w:r>
        <w:t>2</w:t>
      </w:r>
      <w:r w:rsidRPr="00AA66A1">
        <w:t>–1</w:t>
      </w:r>
      <w:r>
        <w:t>3</w:t>
      </w:r>
      <w:r w:rsidR="00880D7C">
        <w:t>.</w:t>
      </w:r>
    </w:p>
    <w:p w:rsidR="00880D7C" w:rsidRPr="00AA66A1" w:rsidRDefault="00880D7C" w:rsidP="00880D7C">
      <w:r w:rsidRPr="00880D7C">
        <w:rPr>
          <w:rStyle w:val="AERbody"/>
        </w:rPr>
        <w:t>These amendments reduced the opening RAB as at 1 April 2017 by $</w:t>
      </w:r>
      <w:r>
        <w:rPr>
          <w:rStyle w:val="AERbody"/>
        </w:rPr>
        <w:t>7</w:t>
      </w:r>
      <w:r w:rsidRPr="00880D7C">
        <w:rPr>
          <w:rStyle w:val="AERbody"/>
        </w:rPr>
        <w:t>3.</w:t>
      </w:r>
      <w:r>
        <w:rPr>
          <w:rStyle w:val="AERbody"/>
        </w:rPr>
        <w:t>2</w:t>
      </w:r>
      <w:r w:rsidRPr="00880D7C">
        <w:rPr>
          <w:rStyle w:val="AERbody"/>
        </w:rPr>
        <w:t> million (or 1.0 per cent) compared to the proposal.</w:t>
      </w:r>
    </w:p>
    <w:p w:rsidR="00520CCB" w:rsidRPr="00AA66A1" w:rsidRDefault="00520CCB" w:rsidP="008066C5">
      <w:pPr>
        <w:rPr>
          <w:rStyle w:val="AERbody"/>
        </w:rPr>
      </w:pPr>
      <w:r w:rsidRPr="000B1C0F">
        <w:rPr>
          <w:rStyle w:val="AERbody"/>
        </w:rPr>
        <w:t xml:space="preserve">To determine the opening RAB as at 1 </w:t>
      </w:r>
      <w:r>
        <w:rPr>
          <w:rStyle w:val="AERbody"/>
        </w:rPr>
        <w:t>July</w:t>
      </w:r>
      <w:r w:rsidRPr="00520CCB">
        <w:rPr>
          <w:rStyle w:val="AERbody"/>
        </w:rPr>
        <w:t xml:space="preserve"> 2017, we have rolled forward the RAB over the 201</w:t>
      </w:r>
      <w:r>
        <w:rPr>
          <w:rStyle w:val="AERbody"/>
        </w:rPr>
        <w:t>2</w:t>
      </w:r>
      <w:r w:rsidRPr="00520CCB">
        <w:rPr>
          <w:rStyle w:val="AERbody"/>
        </w:rPr>
        <w:t xml:space="preserve">–17 regulatory control period to determine a closing RAB value at </w:t>
      </w:r>
      <w:r>
        <w:rPr>
          <w:rStyle w:val="AERbody"/>
        </w:rPr>
        <w:t>30</w:t>
      </w:r>
      <w:r w:rsidR="00880D7C">
        <w:rPr>
          <w:rStyle w:val="AERbody"/>
        </w:rPr>
        <w:t> </w:t>
      </w:r>
      <w:r>
        <w:rPr>
          <w:rStyle w:val="AERbody"/>
        </w:rPr>
        <w:t>June</w:t>
      </w:r>
      <w:r w:rsidRPr="00520CCB">
        <w:rPr>
          <w:rStyle w:val="AERbody"/>
        </w:rPr>
        <w:t> 2017. This roll forward includes an adjustment at the end of the 201</w:t>
      </w:r>
      <w:r>
        <w:rPr>
          <w:rStyle w:val="AERbody"/>
        </w:rPr>
        <w:t>2</w:t>
      </w:r>
      <w:r w:rsidRPr="00520CCB">
        <w:rPr>
          <w:rStyle w:val="AERbody"/>
        </w:rPr>
        <w:t>–17 regulatory control period to account for the difference between actual 20</w:t>
      </w:r>
      <w:r>
        <w:rPr>
          <w:rStyle w:val="AERbody"/>
        </w:rPr>
        <w:t>11</w:t>
      </w:r>
      <w:r w:rsidRPr="00520CCB">
        <w:rPr>
          <w:rStyle w:val="AERbody"/>
        </w:rPr>
        <w:t>–1</w:t>
      </w:r>
      <w:r>
        <w:rPr>
          <w:rStyle w:val="AERbody"/>
        </w:rPr>
        <w:t>2</w:t>
      </w:r>
      <w:r w:rsidRPr="00520CCB">
        <w:rPr>
          <w:rStyle w:val="AERbody"/>
        </w:rPr>
        <w:t xml:space="preserve"> capex and the estimate approved at the 201</w:t>
      </w:r>
      <w:r>
        <w:rPr>
          <w:rStyle w:val="AERbody"/>
        </w:rPr>
        <w:t>2</w:t>
      </w:r>
      <w:r w:rsidRPr="00520CCB">
        <w:rPr>
          <w:rStyle w:val="AERbody"/>
        </w:rPr>
        <w:t>–17 determination.</w:t>
      </w:r>
      <w:r w:rsidRPr="00520CCB">
        <w:rPr>
          <w:rStyle w:val="FootnoteReference"/>
        </w:rPr>
        <w:footnoteReference w:id="6"/>
      </w:r>
    </w:p>
    <w:p w:rsidR="0054020F" w:rsidRPr="00A33E1B" w:rsidRDefault="004D4C74" w:rsidP="0054020F">
      <w:pPr>
        <w:numPr>
          <w:ilvl w:val="0"/>
          <w:numId w:val="24"/>
        </w:numPr>
      </w:pPr>
      <w:r>
        <w:lastRenderedPageBreak/>
        <w:fldChar w:fldCharType="begin"/>
      </w:r>
      <w:r>
        <w:instrText xml:space="preserve"> REF _Ref454530811 \h </w:instrText>
      </w:r>
      <w:r>
        <w:fldChar w:fldCharType="separate"/>
      </w:r>
      <w:r w:rsidR="003179F2">
        <w:t xml:space="preserve">Table </w:t>
      </w:r>
      <w:r w:rsidR="003179F2">
        <w:rPr>
          <w:noProof/>
        </w:rPr>
        <w:t>2</w:t>
      </w:r>
      <w:r w:rsidR="003179F2">
        <w:t>.</w:t>
      </w:r>
      <w:r w:rsidR="003179F2">
        <w:rPr>
          <w:noProof/>
        </w:rPr>
        <w:t>1</w:t>
      </w:r>
      <w:r>
        <w:fldChar w:fldCharType="end"/>
      </w:r>
      <w:r>
        <w:t xml:space="preserve"> </w:t>
      </w:r>
      <w:r w:rsidR="0054020F" w:rsidRPr="005F16CE">
        <w:t>set out our draft d</w:t>
      </w:r>
      <w:r w:rsidR="0054020F">
        <w:t>ecision on the roll forward of the</w:t>
      </w:r>
      <w:r w:rsidR="0054020F" w:rsidRPr="005F16CE">
        <w:t xml:space="preserve"> RAB</w:t>
      </w:r>
      <w:r w:rsidR="0054020F">
        <w:t xml:space="preserve"> values</w:t>
      </w:r>
      <w:r w:rsidR="0054020F" w:rsidRPr="005F16CE">
        <w:t xml:space="preserve"> </w:t>
      </w:r>
      <w:r w:rsidR="0054020F">
        <w:t xml:space="preserve">for </w:t>
      </w:r>
      <w:r w:rsidR="001239B7">
        <w:t>Powerlink</w:t>
      </w:r>
      <w:r w:rsidR="00520CCB">
        <w:t xml:space="preserve"> over the</w:t>
      </w:r>
      <w:r w:rsidR="0054020F" w:rsidRPr="005456B5">
        <w:t xml:space="preserve"> </w:t>
      </w:r>
      <w:r w:rsidR="001239B7" w:rsidRPr="001239B7">
        <w:rPr>
          <w:rStyle w:val="AERbody"/>
        </w:rPr>
        <w:t>2012</w:t>
      </w:r>
      <w:r w:rsidR="0054020F" w:rsidRPr="001239B7">
        <w:rPr>
          <w:rStyle w:val="AERbody"/>
        </w:rPr>
        <w:t>–1</w:t>
      </w:r>
      <w:r w:rsidR="001239B7" w:rsidRPr="001239B7">
        <w:rPr>
          <w:rStyle w:val="AERbody"/>
        </w:rPr>
        <w:t>7</w:t>
      </w:r>
      <w:r w:rsidR="0054020F" w:rsidRPr="001239B7">
        <w:rPr>
          <w:rStyle w:val="AERbody"/>
        </w:rPr>
        <w:t xml:space="preserve"> </w:t>
      </w:r>
      <w:r w:rsidR="0054020F" w:rsidRPr="008F6FA4">
        <w:t>regu</w:t>
      </w:r>
      <w:r w:rsidR="0054020F" w:rsidRPr="002D5878">
        <w:t>latory control period</w:t>
      </w:r>
      <w:r w:rsidR="0054020F" w:rsidRPr="005F16CE">
        <w:t>.</w:t>
      </w:r>
    </w:p>
    <w:p w:rsidR="0054020F" w:rsidRPr="00F84400" w:rsidRDefault="00A76D63" w:rsidP="004D4C74">
      <w:pPr>
        <w:pStyle w:val="Caption"/>
      </w:pPr>
      <w:bookmarkStart w:id="78" w:name="_Ref454530811"/>
      <w:r>
        <w:t xml:space="preserve">Table </w:t>
      </w:r>
      <w:fldSimple w:instr=" STYLEREF 1 \s ">
        <w:r w:rsidR="003179F2">
          <w:rPr>
            <w:noProof/>
          </w:rPr>
          <w:t>2</w:t>
        </w:r>
      </w:fldSimple>
      <w:r w:rsidR="004D4C74">
        <w:t>.</w:t>
      </w:r>
      <w:fldSimple w:instr=" SEQ Table \* ARABIC \s 1 ">
        <w:r w:rsidR="003179F2">
          <w:rPr>
            <w:noProof/>
          </w:rPr>
          <w:t>1</w:t>
        </w:r>
      </w:fldSimple>
      <w:bookmarkEnd w:id="78"/>
      <w:r w:rsidR="0054020F" w:rsidRPr="00F84400">
        <w:tab/>
      </w:r>
      <w:r w:rsidR="0054020F">
        <w:t>AER</w:t>
      </w:r>
      <w:r w:rsidR="0054020F" w:rsidRPr="00F84400">
        <w:t xml:space="preserve">'s </w:t>
      </w:r>
      <w:r w:rsidR="0054020F">
        <w:t xml:space="preserve">draft decision on </w:t>
      </w:r>
      <w:r w:rsidR="001239B7">
        <w:t>Powerlink</w:t>
      </w:r>
      <w:r w:rsidR="0054020F">
        <w:t>'s</w:t>
      </w:r>
      <w:r w:rsidR="0054020F" w:rsidRPr="00F84400">
        <w:t xml:space="preserve"> RAB for the </w:t>
      </w:r>
      <w:r w:rsidR="001239B7">
        <w:t>2012</w:t>
      </w:r>
      <w:r w:rsidR="00880D7C">
        <w:t>–</w:t>
      </w:r>
      <w:r w:rsidR="001239B7">
        <w:t>17</w:t>
      </w:r>
      <w:r w:rsidR="0054020F" w:rsidRPr="00F84400">
        <w:t xml:space="preserve"> regulatory control period ($ million, nominal)</w:t>
      </w:r>
    </w:p>
    <w:tbl>
      <w:tblPr>
        <w:tblStyle w:val="AERtable-numbers"/>
        <w:tblW w:w="5000" w:type="pct"/>
        <w:tblLook w:val="01E0" w:firstRow="1" w:lastRow="1" w:firstColumn="1" w:lastColumn="1" w:noHBand="0" w:noVBand="0"/>
      </w:tblPr>
      <w:tblGrid>
        <w:gridCol w:w="3436"/>
        <w:gridCol w:w="1048"/>
        <w:gridCol w:w="1048"/>
        <w:gridCol w:w="1048"/>
        <w:gridCol w:w="1047"/>
        <w:gridCol w:w="1066"/>
      </w:tblGrid>
      <w:tr w:rsidR="003F0438" w:rsidRPr="0040620E" w:rsidTr="00A76D63">
        <w:trPr>
          <w:cnfStyle w:val="100000000000" w:firstRow="1" w:lastRow="0" w:firstColumn="0" w:lastColumn="0" w:oddVBand="0" w:evenVBand="0" w:oddHBand="0" w:evenHBand="0"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1976" w:type="pct"/>
          </w:tcPr>
          <w:p w:rsidR="003F0438" w:rsidRPr="0040620E" w:rsidRDefault="003F0438" w:rsidP="0040620E"/>
        </w:tc>
        <w:tc>
          <w:tcPr>
            <w:tcW w:w="603" w:type="pct"/>
            <w:vAlign w:val="top"/>
          </w:tcPr>
          <w:p w:rsidR="003F0438" w:rsidRPr="0040620E" w:rsidRDefault="003F0438" w:rsidP="0040620E">
            <w:pPr>
              <w:cnfStyle w:val="100000000000" w:firstRow="1" w:lastRow="0" w:firstColumn="0" w:lastColumn="0" w:oddVBand="0" w:evenVBand="0" w:oddHBand="0" w:evenHBand="0" w:firstRowFirstColumn="0" w:firstRowLastColumn="0" w:lastRowFirstColumn="0" w:lastRowLastColumn="0"/>
            </w:pPr>
            <w:r w:rsidRPr="0040620E">
              <w:t>2012–13</w:t>
            </w:r>
          </w:p>
        </w:tc>
        <w:tc>
          <w:tcPr>
            <w:tcW w:w="603" w:type="pct"/>
            <w:vAlign w:val="top"/>
          </w:tcPr>
          <w:p w:rsidR="003F0438" w:rsidRPr="0040620E" w:rsidRDefault="003F0438" w:rsidP="0040620E">
            <w:pPr>
              <w:cnfStyle w:val="100000000000" w:firstRow="1" w:lastRow="0" w:firstColumn="0" w:lastColumn="0" w:oddVBand="0" w:evenVBand="0" w:oddHBand="0" w:evenHBand="0" w:firstRowFirstColumn="0" w:firstRowLastColumn="0" w:lastRowFirstColumn="0" w:lastRowLastColumn="0"/>
            </w:pPr>
            <w:r w:rsidRPr="0040620E">
              <w:t>2013–14</w:t>
            </w:r>
          </w:p>
        </w:tc>
        <w:tc>
          <w:tcPr>
            <w:tcW w:w="603" w:type="pct"/>
            <w:vAlign w:val="top"/>
          </w:tcPr>
          <w:p w:rsidR="003F0438" w:rsidRPr="0040620E" w:rsidRDefault="003F0438" w:rsidP="0040620E">
            <w:pPr>
              <w:cnfStyle w:val="100000000000" w:firstRow="1" w:lastRow="0" w:firstColumn="0" w:lastColumn="0" w:oddVBand="0" w:evenVBand="0" w:oddHBand="0" w:evenHBand="0" w:firstRowFirstColumn="0" w:firstRowLastColumn="0" w:lastRowFirstColumn="0" w:lastRowLastColumn="0"/>
            </w:pPr>
            <w:r w:rsidRPr="0040620E">
              <w:t>2014–15</w:t>
            </w:r>
          </w:p>
        </w:tc>
        <w:tc>
          <w:tcPr>
            <w:tcW w:w="602" w:type="pct"/>
            <w:vAlign w:val="top"/>
          </w:tcPr>
          <w:p w:rsidR="003F0438" w:rsidRPr="0040620E" w:rsidRDefault="003F0438" w:rsidP="0040620E">
            <w:pPr>
              <w:cnfStyle w:val="100000000000" w:firstRow="1" w:lastRow="0" w:firstColumn="0" w:lastColumn="0" w:oddVBand="0" w:evenVBand="0" w:oddHBand="0" w:evenHBand="0" w:firstRowFirstColumn="0" w:firstRowLastColumn="0" w:lastRowFirstColumn="0" w:lastRowLastColumn="0"/>
            </w:pPr>
            <w:r w:rsidRPr="0040620E">
              <w:t>2015–16</w:t>
            </w:r>
            <w:r w:rsidR="00422BC6" w:rsidRPr="0014090A">
              <w:rPr>
                <w:rStyle w:val="AERsuperscript"/>
              </w:rPr>
              <w:t xml:space="preserve"> </w:t>
            </w:r>
            <w:r w:rsidR="00422BC6" w:rsidRPr="00422BC6">
              <w:rPr>
                <w:rStyle w:val="AERsuperscript"/>
              </w:rPr>
              <w:t>a</w:t>
            </w:r>
          </w:p>
        </w:tc>
        <w:tc>
          <w:tcPr>
            <w:tcW w:w="613" w:type="pct"/>
            <w:vAlign w:val="top"/>
          </w:tcPr>
          <w:p w:rsidR="003F0438" w:rsidRPr="0040620E" w:rsidRDefault="003F0438" w:rsidP="00422BC6">
            <w:pPr>
              <w:cnfStyle w:val="100000000000" w:firstRow="1" w:lastRow="0" w:firstColumn="0" w:lastColumn="0" w:oddVBand="0" w:evenVBand="0" w:oddHBand="0" w:evenHBand="0" w:firstRowFirstColumn="0" w:firstRowLastColumn="0" w:lastRowFirstColumn="0" w:lastRowLastColumn="0"/>
            </w:pPr>
            <w:r w:rsidRPr="0040620E">
              <w:t>2016–17</w:t>
            </w:r>
            <w:r w:rsidR="00422BC6" w:rsidRPr="0014090A">
              <w:rPr>
                <w:rStyle w:val="AERsuperscript"/>
              </w:rPr>
              <w:t xml:space="preserve"> </w:t>
            </w:r>
            <w:r w:rsidR="00422BC6">
              <w:rPr>
                <w:rStyle w:val="AERsuperscript"/>
              </w:rPr>
              <w:t>b</w:t>
            </w:r>
          </w:p>
        </w:tc>
      </w:tr>
      <w:tr w:rsidR="00422BC6" w:rsidRPr="0040620E" w:rsidTr="00280C49">
        <w:trPr>
          <w:trHeight w:val="528"/>
        </w:trPr>
        <w:tc>
          <w:tcPr>
            <w:cnfStyle w:val="001000000000" w:firstRow="0" w:lastRow="0" w:firstColumn="1" w:lastColumn="0" w:oddVBand="0" w:evenVBand="0" w:oddHBand="0" w:evenHBand="0" w:firstRowFirstColumn="0" w:firstRowLastColumn="0" w:lastRowFirstColumn="0" w:lastRowLastColumn="0"/>
            <w:tcW w:w="1976" w:type="pct"/>
          </w:tcPr>
          <w:p w:rsidR="00422BC6" w:rsidRPr="00422BC6" w:rsidRDefault="00422BC6" w:rsidP="00422BC6">
            <w:r w:rsidRPr="00422BC6">
              <w:t>Opening RAB</w:t>
            </w:r>
          </w:p>
        </w:tc>
        <w:tc>
          <w:tcPr>
            <w:tcW w:w="603" w:type="pct"/>
            <w:vAlign w:val="bottom"/>
          </w:tcPr>
          <w:p w:rsidR="00422BC6" w:rsidRPr="00422BC6" w:rsidRDefault="00422BC6" w:rsidP="00422BC6">
            <w:pPr>
              <w:cnfStyle w:val="000000000000" w:firstRow="0" w:lastRow="0" w:firstColumn="0" w:lastColumn="0" w:oddVBand="0" w:evenVBand="0" w:oddHBand="0" w:evenHBand="0" w:firstRowFirstColumn="0" w:firstRowLastColumn="0" w:lastRowFirstColumn="0" w:lastRowLastColumn="0"/>
            </w:pPr>
            <w:r w:rsidRPr="00422BC6">
              <w:t>6428.8</w:t>
            </w:r>
          </w:p>
        </w:tc>
        <w:tc>
          <w:tcPr>
            <w:tcW w:w="603" w:type="pct"/>
            <w:vAlign w:val="bottom"/>
          </w:tcPr>
          <w:p w:rsidR="00422BC6" w:rsidRPr="00422BC6" w:rsidRDefault="00422BC6" w:rsidP="00422BC6">
            <w:pPr>
              <w:cnfStyle w:val="000000000000" w:firstRow="0" w:lastRow="0" w:firstColumn="0" w:lastColumn="0" w:oddVBand="0" w:evenVBand="0" w:oddHBand="0" w:evenHBand="0" w:firstRowFirstColumn="0" w:firstRowLastColumn="0" w:lastRowFirstColumn="0" w:lastRowLastColumn="0"/>
            </w:pPr>
            <w:r w:rsidRPr="00422BC6">
              <w:t>6847.9</w:t>
            </w:r>
          </w:p>
        </w:tc>
        <w:tc>
          <w:tcPr>
            <w:tcW w:w="603" w:type="pct"/>
            <w:vAlign w:val="bottom"/>
          </w:tcPr>
          <w:p w:rsidR="00422BC6" w:rsidRPr="00422BC6" w:rsidRDefault="00422BC6" w:rsidP="00422BC6">
            <w:pPr>
              <w:cnfStyle w:val="000000000000" w:firstRow="0" w:lastRow="0" w:firstColumn="0" w:lastColumn="0" w:oddVBand="0" w:evenVBand="0" w:oddHBand="0" w:evenHBand="0" w:firstRowFirstColumn="0" w:firstRowLastColumn="0" w:lastRowFirstColumn="0" w:lastRowLastColumn="0"/>
            </w:pPr>
            <w:r w:rsidRPr="00422BC6">
              <w:t>7149.0</w:t>
            </w:r>
          </w:p>
        </w:tc>
        <w:tc>
          <w:tcPr>
            <w:tcW w:w="602" w:type="pct"/>
            <w:vAlign w:val="bottom"/>
          </w:tcPr>
          <w:p w:rsidR="00422BC6" w:rsidRPr="00422BC6" w:rsidRDefault="00422BC6" w:rsidP="00422BC6">
            <w:pPr>
              <w:cnfStyle w:val="000000000000" w:firstRow="0" w:lastRow="0" w:firstColumn="0" w:lastColumn="0" w:oddVBand="0" w:evenVBand="0" w:oddHBand="0" w:evenHBand="0" w:firstRowFirstColumn="0" w:firstRowLastColumn="0" w:lastRowFirstColumn="0" w:lastRowLastColumn="0"/>
            </w:pPr>
            <w:r w:rsidRPr="00422BC6">
              <w:t>7152.5</w:t>
            </w:r>
          </w:p>
        </w:tc>
        <w:tc>
          <w:tcPr>
            <w:tcW w:w="613" w:type="pct"/>
            <w:vAlign w:val="bottom"/>
          </w:tcPr>
          <w:p w:rsidR="00422BC6" w:rsidRPr="00422BC6" w:rsidRDefault="00422BC6" w:rsidP="00422BC6">
            <w:pPr>
              <w:cnfStyle w:val="000000000000" w:firstRow="0" w:lastRow="0" w:firstColumn="0" w:lastColumn="0" w:oddVBand="0" w:evenVBand="0" w:oddHBand="0" w:evenHBand="0" w:firstRowFirstColumn="0" w:firstRowLastColumn="0" w:lastRowFirstColumn="0" w:lastRowLastColumn="0"/>
            </w:pPr>
            <w:r w:rsidRPr="00422BC6">
              <w:t>7142.2</w:t>
            </w:r>
          </w:p>
        </w:tc>
      </w:tr>
      <w:tr w:rsidR="00422BC6" w:rsidRPr="0040620E" w:rsidTr="00280C49">
        <w:trPr>
          <w:cnfStyle w:val="000000010000" w:firstRow="0" w:lastRow="0" w:firstColumn="0" w:lastColumn="0" w:oddVBand="0" w:evenVBand="0" w:oddHBand="0" w:evenHBand="1"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1976" w:type="pct"/>
          </w:tcPr>
          <w:p w:rsidR="00422BC6" w:rsidRPr="00422BC6" w:rsidRDefault="00422BC6" w:rsidP="00422BC6">
            <w:r w:rsidRPr="00422BC6">
              <w:t>Capital expenditure</w:t>
            </w:r>
            <w:r>
              <w:rPr>
                <w:rStyle w:val="AERsuperscript"/>
              </w:rPr>
              <w:t>c</w:t>
            </w:r>
            <w:r w:rsidRPr="00422BC6">
              <w:rPr>
                <w:rStyle w:val="AERsuperscript"/>
              </w:rPr>
              <w:t xml:space="preserve"> </w:t>
            </w:r>
          </w:p>
        </w:tc>
        <w:tc>
          <w:tcPr>
            <w:tcW w:w="603" w:type="pct"/>
            <w:vAlign w:val="bottom"/>
          </w:tcPr>
          <w:p w:rsidR="00422BC6" w:rsidRPr="00422BC6" w:rsidRDefault="00422BC6" w:rsidP="00422BC6">
            <w:pPr>
              <w:cnfStyle w:val="000000010000" w:firstRow="0" w:lastRow="0" w:firstColumn="0" w:lastColumn="0" w:oddVBand="0" w:evenVBand="0" w:oddHBand="0" w:evenHBand="1" w:firstRowFirstColumn="0" w:firstRowLastColumn="0" w:lastRowFirstColumn="0" w:lastRowLastColumn="0"/>
            </w:pPr>
            <w:r w:rsidRPr="00422BC6">
              <w:t>464.3</w:t>
            </w:r>
          </w:p>
        </w:tc>
        <w:tc>
          <w:tcPr>
            <w:tcW w:w="603" w:type="pct"/>
            <w:vAlign w:val="bottom"/>
          </w:tcPr>
          <w:p w:rsidR="00422BC6" w:rsidRPr="00422BC6" w:rsidRDefault="00422BC6" w:rsidP="00422BC6">
            <w:pPr>
              <w:cnfStyle w:val="000000010000" w:firstRow="0" w:lastRow="0" w:firstColumn="0" w:lastColumn="0" w:oddVBand="0" w:evenVBand="0" w:oddHBand="0" w:evenHBand="1" w:firstRowFirstColumn="0" w:firstRowLastColumn="0" w:lastRowFirstColumn="0" w:lastRowLastColumn="0"/>
            </w:pPr>
            <w:r w:rsidRPr="00422BC6">
              <w:t>329.1</w:t>
            </w:r>
          </w:p>
        </w:tc>
        <w:tc>
          <w:tcPr>
            <w:tcW w:w="603" w:type="pct"/>
            <w:vAlign w:val="bottom"/>
          </w:tcPr>
          <w:p w:rsidR="00422BC6" w:rsidRPr="00422BC6" w:rsidRDefault="00422BC6" w:rsidP="00422BC6">
            <w:pPr>
              <w:cnfStyle w:val="000000010000" w:firstRow="0" w:lastRow="0" w:firstColumn="0" w:lastColumn="0" w:oddVBand="0" w:evenVBand="0" w:oddHBand="0" w:evenHBand="1" w:firstRowFirstColumn="0" w:firstRowLastColumn="0" w:lastRowFirstColumn="0" w:lastRowLastColumn="0"/>
            </w:pPr>
            <w:r w:rsidRPr="00422BC6">
              <w:t>163.8</w:t>
            </w:r>
          </w:p>
        </w:tc>
        <w:tc>
          <w:tcPr>
            <w:tcW w:w="602" w:type="pct"/>
            <w:vAlign w:val="bottom"/>
          </w:tcPr>
          <w:p w:rsidR="00422BC6" w:rsidRPr="00422BC6" w:rsidRDefault="00422BC6" w:rsidP="00422BC6">
            <w:pPr>
              <w:cnfStyle w:val="000000010000" w:firstRow="0" w:lastRow="0" w:firstColumn="0" w:lastColumn="0" w:oddVBand="0" w:evenVBand="0" w:oddHBand="0" w:evenHBand="1" w:firstRowFirstColumn="0" w:firstRowLastColumn="0" w:lastRowFirstColumn="0" w:lastRowLastColumn="0"/>
            </w:pPr>
            <w:r w:rsidRPr="00422BC6">
              <w:t>16</w:t>
            </w:r>
            <w:r w:rsidR="00834121">
              <w:t>6.7</w:t>
            </w:r>
          </w:p>
        </w:tc>
        <w:tc>
          <w:tcPr>
            <w:tcW w:w="613" w:type="pct"/>
            <w:vAlign w:val="bottom"/>
          </w:tcPr>
          <w:p w:rsidR="00422BC6" w:rsidRPr="00422BC6" w:rsidRDefault="00422BC6" w:rsidP="00422BC6">
            <w:pPr>
              <w:cnfStyle w:val="000000010000" w:firstRow="0" w:lastRow="0" w:firstColumn="0" w:lastColumn="0" w:oddVBand="0" w:evenVBand="0" w:oddHBand="0" w:evenHBand="1" w:firstRowFirstColumn="0" w:firstRowLastColumn="0" w:lastRowFirstColumn="0" w:lastRowLastColumn="0"/>
            </w:pPr>
            <w:r w:rsidRPr="00422BC6">
              <w:t>220.6</w:t>
            </w:r>
          </w:p>
        </w:tc>
      </w:tr>
      <w:tr w:rsidR="00422BC6" w:rsidRPr="0040620E" w:rsidTr="00280C49">
        <w:trPr>
          <w:trHeight w:val="528"/>
        </w:trPr>
        <w:tc>
          <w:tcPr>
            <w:cnfStyle w:val="001000000000" w:firstRow="0" w:lastRow="0" w:firstColumn="1" w:lastColumn="0" w:oddVBand="0" w:evenVBand="0" w:oddHBand="0" w:evenHBand="0" w:firstRowFirstColumn="0" w:firstRowLastColumn="0" w:lastRowFirstColumn="0" w:lastRowLastColumn="0"/>
            <w:tcW w:w="1976" w:type="pct"/>
          </w:tcPr>
          <w:p w:rsidR="00422BC6" w:rsidRPr="00422BC6" w:rsidRDefault="00422BC6" w:rsidP="00422BC6">
            <w:r w:rsidRPr="00422BC6">
              <w:t>I</w:t>
            </w:r>
            <w:r>
              <w:t>nflation</w:t>
            </w:r>
            <w:r w:rsidRPr="00422BC6">
              <w:t xml:space="preserve"> indexation on opening RAB</w:t>
            </w:r>
            <w:r>
              <w:rPr>
                <w:rStyle w:val="AERsuperscript"/>
              </w:rPr>
              <w:t>d</w:t>
            </w:r>
          </w:p>
        </w:tc>
        <w:tc>
          <w:tcPr>
            <w:tcW w:w="603" w:type="pct"/>
            <w:vAlign w:val="bottom"/>
          </w:tcPr>
          <w:p w:rsidR="00422BC6" w:rsidRPr="00422BC6" w:rsidRDefault="00422BC6" w:rsidP="00422BC6">
            <w:pPr>
              <w:cnfStyle w:val="000000000000" w:firstRow="0" w:lastRow="0" w:firstColumn="0" w:lastColumn="0" w:oddVBand="0" w:evenVBand="0" w:oddHBand="0" w:evenHBand="0" w:firstRowFirstColumn="0" w:firstRowLastColumn="0" w:lastRowFirstColumn="0" w:lastRowLastColumn="0"/>
            </w:pPr>
            <w:r w:rsidRPr="00422BC6">
              <w:t>160.9</w:t>
            </w:r>
          </w:p>
        </w:tc>
        <w:tc>
          <w:tcPr>
            <w:tcW w:w="603" w:type="pct"/>
            <w:vAlign w:val="bottom"/>
          </w:tcPr>
          <w:p w:rsidR="00422BC6" w:rsidRPr="00422BC6" w:rsidRDefault="00422BC6" w:rsidP="00422BC6">
            <w:pPr>
              <w:cnfStyle w:val="000000000000" w:firstRow="0" w:lastRow="0" w:firstColumn="0" w:lastColumn="0" w:oddVBand="0" w:evenVBand="0" w:oddHBand="0" w:evenHBand="0" w:firstRowFirstColumn="0" w:firstRowLastColumn="0" w:lastRowFirstColumn="0" w:lastRowLastColumn="0"/>
            </w:pPr>
            <w:r w:rsidRPr="00422BC6">
              <w:t>200.6</w:t>
            </w:r>
          </w:p>
        </w:tc>
        <w:tc>
          <w:tcPr>
            <w:tcW w:w="603" w:type="pct"/>
            <w:vAlign w:val="bottom"/>
          </w:tcPr>
          <w:p w:rsidR="00422BC6" w:rsidRPr="00422BC6" w:rsidRDefault="00422BC6" w:rsidP="00422BC6">
            <w:pPr>
              <w:cnfStyle w:val="000000000000" w:firstRow="0" w:lastRow="0" w:firstColumn="0" w:lastColumn="0" w:oddVBand="0" w:evenVBand="0" w:oddHBand="0" w:evenHBand="0" w:firstRowFirstColumn="0" w:firstRowLastColumn="0" w:lastRowFirstColumn="0" w:lastRowLastColumn="0"/>
            </w:pPr>
            <w:r w:rsidRPr="00422BC6">
              <w:t>95.1</w:t>
            </w:r>
          </w:p>
        </w:tc>
        <w:tc>
          <w:tcPr>
            <w:tcW w:w="602" w:type="pct"/>
            <w:vAlign w:val="bottom"/>
          </w:tcPr>
          <w:p w:rsidR="00422BC6" w:rsidRPr="00422BC6" w:rsidRDefault="00422BC6" w:rsidP="00422BC6">
            <w:pPr>
              <w:cnfStyle w:val="000000000000" w:firstRow="0" w:lastRow="0" w:firstColumn="0" w:lastColumn="0" w:oddVBand="0" w:evenVBand="0" w:oddHBand="0" w:evenHBand="0" w:firstRowFirstColumn="0" w:firstRowLastColumn="0" w:lastRowFirstColumn="0" w:lastRowLastColumn="0"/>
            </w:pPr>
            <w:r w:rsidRPr="00422BC6">
              <w:t>93.7</w:t>
            </w:r>
          </w:p>
        </w:tc>
        <w:tc>
          <w:tcPr>
            <w:tcW w:w="613" w:type="pct"/>
            <w:vAlign w:val="bottom"/>
          </w:tcPr>
          <w:p w:rsidR="00422BC6" w:rsidRPr="00422BC6" w:rsidRDefault="00422BC6" w:rsidP="00422BC6">
            <w:pPr>
              <w:cnfStyle w:val="000000000000" w:firstRow="0" w:lastRow="0" w:firstColumn="0" w:lastColumn="0" w:oddVBand="0" w:evenVBand="0" w:oddHBand="0" w:evenHBand="0" w:firstRowFirstColumn="0" w:firstRowLastColumn="0" w:lastRowFirstColumn="0" w:lastRowLastColumn="0"/>
            </w:pPr>
            <w:r w:rsidRPr="00422BC6">
              <w:t>175.0</w:t>
            </w:r>
          </w:p>
        </w:tc>
      </w:tr>
      <w:tr w:rsidR="00422BC6" w:rsidRPr="0040620E" w:rsidTr="00280C49">
        <w:trPr>
          <w:cnfStyle w:val="000000010000" w:firstRow="0" w:lastRow="0" w:firstColumn="0" w:lastColumn="0" w:oddVBand="0" w:evenVBand="0" w:oddHBand="0" w:evenHBand="1"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1976" w:type="pct"/>
          </w:tcPr>
          <w:p w:rsidR="00422BC6" w:rsidRPr="00422BC6" w:rsidRDefault="00422BC6" w:rsidP="00422BC6">
            <w:r w:rsidRPr="00122D7E">
              <w:rPr>
                <w:rStyle w:val="AERtextitalic"/>
              </w:rPr>
              <w:t>Less:</w:t>
            </w:r>
            <w:r>
              <w:t xml:space="preserve"> s</w:t>
            </w:r>
            <w:r w:rsidRPr="00422BC6">
              <w:t>traight-line depreciation</w:t>
            </w:r>
            <w:r>
              <w:rPr>
                <w:rStyle w:val="AERsuperscript"/>
              </w:rPr>
              <w:t>e</w:t>
            </w:r>
          </w:p>
        </w:tc>
        <w:tc>
          <w:tcPr>
            <w:tcW w:w="603" w:type="pct"/>
            <w:vAlign w:val="bottom"/>
          </w:tcPr>
          <w:p w:rsidR="00422BC6" w:rsidRPr="00422BC6" w:rsidRDefault="00422BC6" w:rsidP="00422BC6">
            <w:pPr>
              <w:cnfStyle w:val="000000010000" w:firstRow="0" w:lastRow="0" w:firstColumn="0" w:lastColumn="0" w:oddVBand="0" w:evenVBand="0" w:oddHBand="0" w:evenHBand="1" w:firstRowFirstColumn="0" w:firstRowLastColumn="0" w:lastRowFirstColumn="0" w:lastRowLastColumn="0"/>
            </w:pPr>
            <w:r w:rsidRPr="00422BC6">
              <w:t>206.0</w:t>
            </w:r>
          </w:p>
        </w:tc>
        <w:tc>
          <w:tcPr>
            <w:tcW w:w="603" w:type="pct"/>
            <w:vAlign w:val="bottom"/>
          </w:tcPr>
          <w:p w:rsidR="00422BC6" w:rsidRPr="00422BC6" w:rsidRDefault="00422BC6" w:rsidP="00422BC6">
            <w:pPr>
              <w:cnfStyle w:val="000000010000" w:firstRow="0" w:lastRow="0" w:firstColumn="0" w:lastColumn="0" w:oddVBand="0" w:evenVBand="0" w:oddHBand="0" w:evenHBand="1" w:firstRowFirstColumn="0" w:firstRowLastColumn="0" w:lastRowFirstColumn="0" w:lastRowLastColumn="0"/>
            </w:pPr>
            <w:r w:rsidRPr="00422BC6">
              <w:t>228.7</w:t>
            </w:r>
          </w:p>
        </w:tc>
        <w:tc>
          <w:tcPr>
            <w:tcW w:w="603" w:type="pct"/>
            <w:vAlign w:val="bottom"/>
          </w:tcPr>
          <w:p w:rsidR="00422BC6" w:rsidRPr="00422BC6" w:rsidRDefault="00422BC6" w:rsidP="00422BC6">
            <w:pPr>
              <w:cnfStyle w:val="000000010000" w:firstRow="0" w:lastRow="0" w:firstColumn="0" w:lastColumn="0" w:oddVBand="0" w:evenVBand="0" w:oddHBand="0" w:evenHBand="1" w:firstRowFirstColumn="0" w:firstRowLastColumn="0" w:lastRowFirstColumn="0" w:lastRowLastColumn="0"/>
            </w:pPr>
            <w:r w:rsidRPr="00422BC6">
              <w:t>255.3</w:t>
            </w:r>
          </w:p>
        </w:tc>
        <w:tc>
          <w:tcPr>
            <w:tcW w:w="602" w:type="pct"/>
            <w:vAlign w:val="bottom"/>
          </w:tcPr>
          <w:p w:rsidR="00422BC6" w:rsidRPr="00422BC6" w:rsidRDefault="00422BC6" w:rsidP="00422BC6">
            <w:pPr>
              <w:cnfStyle w:val="000000010000" w:firstRow="0" w:lastRow="0" w:firstColumn="0" w:lastColumn="0" w:oddVBand="0" w:evenVBand="0" w:oddHBand="0" w:evenHBand="1" w:firstRowFirstColumn="0" w:firstRowLastColumn="0" w:lastRowFirstColumn="0" w:lastRowLastColumn="0"/>
            </w:pPr>
            <w:r w:rsidRPr="00422BC6">
              <w:t>270.7</w:t>
            </w:r>
          </w:p>
        </w:tc>
        <w:tc>
          <w:tcPr>
            <w:tcW w:w="613" w:type="pct"/>
            <w:vAlign w:val="bottom"/>
          </w:tcPr>
          <w:p w:rsidR="00422BC6" w:rsidRPr="00422BC6" w:rsidRDefault="00422BC6" w:rsidP="00422BC6">
            <w:pPr>
              <w:cnfStyle w:val="000000010000" w:firstRow="0" w:lastRow="0" w:firstColumn="0" w:lastColumn="0" w:oddVBand="0" w:evenVBand="0" w:oddHBand="0" w:evenHBand="1" w:firstRowFirstColumn="0" w:firstRowLastColumn="0" w:lastRowFirstColumn="0" w:lastRowLastColumn="0"/>
            </w:pPr>
            <w:r w:rsidRPr="00422BC6">
              <w:t>276.6</w:t>
            </w:r>
          </w:p>
        </w:tc>
      </w:tr>
      <w:tr w:rsidR="00422BC6" w:rsidRPr="0040620E" w:rsidTr="00280C49">
        <w:trPr>
          <w:trHeight w:val="528"/>
        </w:trPr>
        <w:tc>
          <w:tcPr>
            <w:cnfStyle w:val="001000000000" w:firstRow="0" w:lastRow="0" w:firstColumn="1" w:lastColumn="0" w:oddVBand="0" w:evenVBand="0" w:oddHBand="0" w:evenHBand="0" w:firstRowFirstColumn="0" w:firstRowLastColumn="0" w:lastRowFirstColumn="0" w:lastRowLastColumn="0"/>
            <w:tcW w:w="1976" w:type="pct"/>
          </w:tcPr>
          <w:p w:rsidR="00422BC6" w:rsidRPr="00422BC6" w:rsidRDefault="00422BC6" w:rsidP="00422BC6">
            <w:r w:rsidRPr="00422BC6">
              <w:t>Closing RAB</w:t>
            </w:r>
          </w:p>
        </w:tc>
        <w:tc>
          <w:tcPr>
            <w:tcW w:w="603" w:type="pct"/>
            <w:vAlign w:val="bottom"/>
          </w:tcPr>
          <w:p w:rsidR="00422BC6" w:rsidRPr="00422BC6" w:rsidRDefault="00422BC6" w:rsidP="00422BC6">
            <w:pPr>
              <w:cnfStyle w:val="000000000000" w:firstRow="0" w:lastRow="0" w:firstColumn="0" w:lastColumn="0" w:oddVBand="0" w:evenVBand="0" w:oddHBand="0" w:evenHBand="0" w:firstRowFirstColumn="0" w:firstRowLastColumn="0" w:lastRowFirstColumn="0" w:lastRowLastColumn="0"/>
            </w:pPr>
            <w:r w:rsidRPr="00422BC6">
              <w:t>6847.9</w:t>
            </w:r>
          </w:p>
        </w:tc>
        <w:tc>
          <w:tcPr>
            <w:tcW w:w="603" w:type="pct"/>
            <w:vAlign w:val="bottom"/>
          </w:tcPr>
          <w:p w:rsidR="00422BC6" w:rsidRPr="00422BC6" w:rsidRDefault="00422BC6" w:rsidP="00422BC6">
            <w:pPr>
              <w:cnfStyle w:val="000000000000" w:firstRow="0" w:lastRow="0" w:firstColumn="0" w:lastColumn="0" w:oddVBand="0" w:evenVBand="0" w:oddHBand="0" w:evenHBand="0" w:firstRowFirstColumn="0" w:firstRowLastColumn="0" w:lastRowFirstColumn="0" w:lastRowLastColumn="0"/>
            </w:pPr>
            <w:r w:rsidRPr="00422BC6">
              <w:t>7149.0</w:t>
            </w:r>
          </w:p>
        </w:tc>
        <w:tc>
          <w:tcPr>
            <w:tcW w:w="603" w:type="pct"/>
            <w:vAlign w:val="bottom"/>
          </w:tcPr>
          <w:p w:rsidR="00422BC6" w:rsidRPr="00422BC6" w:rsidRDefault="00422BC6" w:rsidP="00422BC6">
            <w:pPr>
              <w:cnfStyle w:val="000000000000" w:firstRow="0" w:lastRow="0" w:firstColumn="0" w:lastColumn="0" w:oddVBand="0" w:evenVBand="0" w:oddHBand="0" w:evenHBand="0" w:firstRowFirstColumn="0" w:firstRowLastColumn="0" w:lastRowFirstColumn="0" w:lastRowLastColumn="0"/>
            </w:pPr>
            <w:r w:rsidRPr="00422BC6">
              <w:t>7152.5</w:t>
            </w:r>
          </w:p>
        </w:tc>
        <w:tc>
          <w:tcPr>
            <w:tcW w:w="602" w:type="pct"/>
            <w:vAlign w:val="bottom"/>
          </w:tcPr>
          <w:p w:rsidR="00422BC6" w:rsidRPr="00422BC6" w:rsidRDefault="00422BC6" w:rsidP="00422BC6">
            <w:pPr>
              <w:cnfStyle w:val="000000000000" w:firstRow="0" w:lastRow="0" w:firstColumn="0" w:lastColumn="0" w:oddVBand="0" w:evenVBand="0" w:oddHBand="0" w:evenHBand="0" w:firstRowFirstColumn="0" w:firstRowLastColumn="0" w:lastRowFirstColumn="0" w:lastRowLastColumn="0"/>
            </w:pPr>
            <w:r w:rsidRPr="00422BC6">
              <w:t>714</w:t>
            </w:r>
            <w:r w:rsidR="00834121">
              <w:t>2.2</w:t>
            </w:r>
          </w:p>
        </w:tc>
        <w:tc>
          <w:tcPr>
            <w:tcW w:w="613" w:type="pct"/>
            <w:vAlign w:val="bottom"/>
          </w:tcPr>
          <w:p w:rsidR="00422BC6" w:rsidRPr="00422BC6" w:rsidRDefault="00422BC6" w:rsidP="00422BC6">
            <w:pPr>
              <w:cnfStyle w:val="000000000000" w:firstRow="0" w:lastRow="0" w:firstColumn="0" w:lastColumn="0" w:oddVBand="0" w:evenVBand="0" w:oddHBand="0" w:evenHBand="0" w:firstRowFirstColumn="0" w:firstRowLastColumn="0" w:lastRowFirstColumn="0" w:lastRowLastColumn="0"/>
            </w:pPr>
            <w:r w:rsidRPr="00422BC6">
              <w:t>7261.2</w:t>
            </w:r>
          </w:p>
        </w:tc>
      </w:tr>
      <w:tr w:rsidR="00422BC6" w:rsidRPr="0040620E" w:rsidTr="00280C49">
        <w:trPr>
          <w:cnfStyle w:val="000000010000" w:firstRow="0" w:lastRow="0" w:firstColumn="0" w:lastColumn="0" w:oddVBand="0" w:evenVBand="0" w:oddHBand="0" w:evenHBand="1"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1976" w:type="pct"/>
          </w:tcPr>
          <w:p w:rsidR="00422BC6" w:rsidRPr="00422BC6" w:rsidRDefault="00422BC6" w:rsidP="00A76D63">
            <w:r w:rsidRPr="00422BC6">
              <w:t>Difference between estimated and actual capex (1 July 2011 to 30 June 2012)</w:t>
            </w:r>
          </w:p>
        </w:tc>
        <w:tc>
          <w:tcPr>
            <w:tcW w:w="603" w:type="pct"/>
            <w:vAlign w:val="bottom"/>
          </w:tcPr>
          <w:p w:rsidR="00422BC6" w:rsidRPr="00422BC6" w:rsidRDefault="00422BC6">
            <w:pPr>
              <w:cnfStyle w:val="000000010000" w:firstRow="0" w:lastRow="0" w:firstColumn="0" w:lastColumn="0" w:oddVBand="0" w:evenVBand="0" w:oddHBand="0" w:evenHBand="1" w:firstRowFirstColumn="0" w:firstRowLastColumn="0" w:lastRowFirstColumn="0" w:lastRowLastColumn="0"/>
            </w:pPr>
            <w:r w:rsidRPr="00422BC6">
              <w:t> </w:t>
            </w:r>
          </w:p>
        </w:tc>
        <w:tc>
          <w:tcPr>
            <w:tcW w:w="603" w:type="pct"/>
            <w:vAlign w:val="bottom"/>
          </w:tcPr>
          <w:p w:rsidR="00422BC6" w:rsidRPr="00422BC6" w:rsidRDefault="00422BC6">
            <w:pPr>
              <w:cnfStyle w:val="000000010000" w:firstRow="0" w:lastRow="0" w:firstColumn="0" w:lastColumn="0" w:oddVBand="0" w:evenVBand="0" w:oddHBand="0" w:evenHBand="1" w:firstRowFirstColumn="0" w:firstRowLastColumn="0" w:lastRowFirstColumn="0" w:lastRowLastColumn="0"/>
            </w:pPr>
            <w:r w:rsidRPr="00422BC6">
              <w:t> </w:t>
            </w:r>
          </w:p>
        </w:tc>
        <w:tc>
          <w:tcPr>
            <w:tcW w:w="603" w:type="pct"/>
            <w:vAlign w:val="bottom"/>
          </w:tcPr>
          <w:p w:rsidR="00422BC6" w:rsidRPr="00422BC6" w:rsidRDefault="00422BC6">
            <w:pPr>
              <w:cnfStyle w:val="000000010000" w:firstRow="0" w:lastRow="0" w:firstColumn="0" w:lastColumn="0" w:oddVBand="0" w:evenVBand="0" w:oddHBand="0" w:evenHBand="1" w:firstRowFirstColumn="0" w:firstRowLastColumn="0" w:lastRowFirstColumn="0" w:lastRowLastColumn="0"/>
            </w:pPr>
            <w:r w:rsidRPr="00422BC6">
              <w:t> </w:t>
            </w:r>
          </w:p>
        </w:tc>
        <w:tc>
          <w:tcPr>
            <w:tcW w:w="602" w:type="pct"/>
            <w:vAlign w:val="bottom"/>
          </w:tcPr>
          <w:p w:rsidR="00422BC6" w:rsidRPr="00422BC6" w:rsidRDefault="00422BC6">
            <w:pPr>
              <w:cnfStyle w:val="000000010000" w:firstRow="0" w:lastRow="0" w:firstColumn="0" w:lastColumn="0" w:oddVBand="0" w:evenVBand="0" w:oddHBand="0" w:evenHBand="1" w:firstRowFirstColumn="0" w:firstRowLastColumn="0" w:lastRowFirstColumn="0" w:lastRowLastColumn="0"/>
            </w:pPr>
            <w:r w:rsidRPr="00422BC6">
              <w:t> </w:t>
            </w:r>
          </w:p>
        </w:tc>
        <w:tc>
          <w:tcPr>
            <w:tcW w:w="613" w:type="pct"/>
            <w:vAlign w:val="bottom"/>
          </w:tcPr>
          <w:p w:rsidR="00422BC6" w:rsidRPr="00422BC6" w:rsidRDefault="00422BC6" w:rsidP="00422BC6">
            <w:pPr>
              <w:cnfStyle w:val="000000010000" w:firstRow="0" w:lastRow="0" w:firstColumn="0" w:lastColumn="0" w:oddVBand="0" w:evenVBand="0" w:oddHBand="0" w:evenHBand="1" w:firstRowFirstColumn="0" w:firstRowLastColumn="0" w:lastRowFirstColumn="0" w:lastRowLastColumn="0"/>
            </w:pPr>
            <w:r w:rsidRPr="00422BC6">
              <w:t>–65.5</w:t>
            </w:r>
          </w:p>
        </w:tc>
      </w:tr>
      <w:tr w:rsidR="00422BC6" w:rsidRPr="0040620E" w:rsidTr="00280C49">
        <w:trPr>
          <w:trHeight w:val="528"/>
        </w:trPr>
        <w:tc>
          <w:tcPr>
            <w:cnfStyle w:val="001000000000" w:firstRow="0" w:lastRow="0" w:firstColumn="1" w:lastColumn="0" w:oddVBand="0" w:evenVBand="0" w:oddHBand="0" w:evenHBand="0" w:firstRowFirstColumn="0" w:firstRowLastColumn="0" w:lastRowFirstColumn="0" w:lastRowLastColumn="0"/>
            <w:tcW w:w="1976" w:type="pct"/>
          </w:tcPr>
          <w:p w:rsidR="00422BC6" w:rsidRPr="00422BC6" w:rsidRDefault="00422BC6" w:rsidP="00422BC6">
            <w:r w:rsidRPr="00422BC6">
              <w:t>Return on difference for 2011–12 capex</w:t>
            </w:r>
          </w:p>
        </w:tc>
        <w:tc>
          <w:tcPr>
            <w:tcW w:w="603" w:type="pct"/>
            <w:vAlign w:val="bottom"/>
          </w:tcPr>
          <w:p w:rsidR="00422BC6" w:rsidRPr="00422BC6" w:rsidRDefault="00422BC6">
            <w:pPr>
              <w:cnfStyle w:val="000000000000" w:firstRow="0" w:lastRow="0" w:firstColumn="0" w:lastColumn="0" w:oddVBand="0" w:evenVBand="0" w:oddHBand="0" w:evenHBand="0" w:firstRowFirstColumn="0" w:firstRowLastColumn="0" w:lastRowFirstColumn="0" w:lastRowLastColumn="0"/>
            </w:pPr>
            <w:r w:rsidRPr="00422BC6">
              <w:t> </w:t>
            </w:r>
          </w:p>
        </w:tc>
        <w:tc>
          <w:tcPr>
            <w:tcW w:w="603" w:type="pct"/>
            <w:vAlign w:val="bottom"/>
          </w:tcPr>
          <w:p w:rsidR="00422BC6" w:rsidRPr="00422BC6" w:rsidRDefault="00422BC6">
            <w:pPr>
              <w:cnfStyle w:val="000000000000" w:firstRow="0" w:lastRow="0" w:firstColumn="0" w:lastColumn="0" w:oddVBand="0" w:evenVBand="0" w:oddHBand="0" w:evenHBand="0" w:firstRowFirstColumn="0" w:firstRowLastColumn="0" w:lastRowFirstColumn="0" w:lastRowLastColumn="0"/>
            </w:pPr>
            <w:r w:rsidRPr="00422BC6">
              <w:t> </w:t>
            </w:r>
          </w:p>
        </w:tc>
        <w:tc>
          <w:tcPr>
            <w:tcW w:w="603" w:type="pct"/>
            <w:vAlign w:val="bottom"/>
          </w:tcPr>
          <w:p w:rsidR="00422BC6" w:rsidRPr="00422BC6" w:rsidRDefault="00422BC6">
            <w:pPr>
              <w:cnfStyle w:val="000000000000" w:firstRow="0" w:lastRow="0" w:firstColumn="0" w:lastColumn="0" w:oddVBand="0" w:evenVBand="0" w:oddHBand="0" w:evenHBand="0" w:firstRowFirstColumn="0" w:firstRowLastColumn="0" w:lastRowFirstColumn="0" w:lastRowLastColumn="0"/>
            </w:pPr>
            <w:r w:rsidRPr="00422BC6">
              <w:t> </w:t>
            </w:r>
          </w:p>
        </w:tc>
        <w:tc>
          <w:tcPr>
            <w:tcW w:w="602" w:type="pct"/>
            <w:vAlign w:val="bottom"/>
          </w:tcPr>
          <w:p w:rsidR="00422BC6" w:rsidRPr="00422BC6" w:rsidRDefault="00422BC6">
            <w:pPr>
              <w:cnfStyle w:val="000000000000" w:firstRow="0" w:lastRow="0" w:firstColumn="0" w:lastColumn="0" w:oddVBand="0" w:evenVBand="0" w:oddHBand="0" w:evenHBand="0" w:firstRowFirstColumn="0" w:firstRowLastColumn="0" w:lastRowFirstColumn="0" w:lastRowLastColumn="0"/>
            </w:pPr>
            <w:r w:rsidRPr="00422BC6">
              <w:t> </w:t>
            </w:r>
          </w:p>
        </w:tc>
        <w:tc>
          <w:tcPr>
            <w:tcW w:w="613" w:type="pct"/>
            <w:vAlign w:val="bottom"/>
          </w:tcPr>
          <w:p w:rsidR="00422BC6" w:rsidRPr="00422BC6" w:rsidRDefault="00422BC6" w:rsidP="00422BC6">
            <w:pPr>
              <w:cnfStyle w:val="000000000000" w:firstRow="0" w:lastRow="0" w:firstColumn="0" w:lastColumn="0" w:oddVBand="0" w:evenVBand="0" w:oddHBand="0" w:evenHBand="0" w:firstRowFirstColumn="0" w:firstRowLastColumn="0" w:lastRowFirstColumn="0" w:lastRowLastColumn="0"/>
            </w:pPr>
            <w:r w:rsidRPr="00422BC6">
              <w:t>–31.1</w:t>
            </w:r>
          </w:p>
        </w:tc>
      </w:tr>
      <w:tr w:rsidR="00422BC6" w:rsidRPr="00A76D63" w:rsidTr="00280C49">
        <w:trPr>
          <w:cnfStyle w:val="000000010000" w:firstRow="0" w:lastRow="0" w:firstColumn="0" w:lastColumn="0" w:oddVBand="0" w:evenVBand="0" w:oddHBand="0" w:evenHBand="1"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1976" w:type="pct"/>
          </w:tcPr>
          <w:p w:rsidR="00422BC6" w:rsidRPr="008066C5" w:rsidRDefault="00F57DD0" w:rsidP="00A51D01">
            <w:pPr>
              <w:rPr>
                <w:rStyle w:val="Strong"/>
              </w:rPr>
            </w:pPr>
            <w:r>
              <w:rPr>
                <w:rStyle w:val="Strong"/>
              </w:rPr>
              <w:t>Opening</w:t>
            </w:r>
            <w:r w:rsidR="006B315D" w:rsidRPr="008066C5">
              <w:rPr>
                <w:rStyle w:val="Strong"/>
              </w:rPr>
              <w:t xml:space="preserve"> </w:t>
            </w:r>
            <w:r w:rsidR="00422BC6" w:rsidRPr="008066C5">
              <w:rPr>
                <w:rStyle w:val="Strong"/>
              </w:rPr>
              <w:t xml:space="preserve">RAB as at 1 </w:t>
            </w:r>
            <w:r w:rsidR="00A51D01">
              <w:rPr>
                <w:rStyle w:val="Strong"/>
              </w:rPr>
              <w:t>July</w:t>
            </w:r>
            <w:r w:rsidR="00422BC6" w:rsidRPr="008066C5">
              <w:rPr>
                <w:rStyle w:val="Strong"/>
              </w:rPr>
              <w:t xml:space="preserve"> 2017</w:t>
            </w:r>
          </w:p>
        </w:tc>
        <w:tc>
          <w:tcPr>
            <w:tcW w:w="603" w:type="pct"/>
            <w:vAlign w:val="bottom"/>
          </w:tcPr>
          <w:p w:rsidR="00422BC6" w:rsidRPr="008066C5" w:rsidRDefault="00422BC6">
            <w:pPr>
              <w:cnfStyle w:val="000000010000" w:firstRow="0" w:lastRow="0" w:firstColumn="0" w:lastColumn="0" w:oddVBand="0" w:evenVBand="0" w:oddHBand="0" w:evenHBand="1" w:firstRowFirstColumn="0" w:firstRowLastColumn="0" w:lastRowFirstColumn="0" w:lastRowLastColumn="0"/>
              <w:rPr>
                <w:rStyle w:val="Strong"/>
              </w:rPr>
            </w:pPr>
            <w:r w:rsidRPr="008066C5">
              <w:rPr>
                <w:rStyle w:val="Strong"/>
              </w:rPr>
              <w:t> </w:t>
            </w:r>
          </w:p>
        </w:tc>
        <w:tc>
          <w:tcPr>
            <w:tcW w:w="603" w:type="pct"/>
            <w:vAlign w:val="bottom"/>
          </w:tcPr>
          <w:p w:rsidR="00422BC6" w:rsidRPr="008066C5" w:rsidRDefault="00422BC6">
            <w:pPr>
              <w:cnfStyle w:val="000000010000" w:firstRow="0" w:lastRow="0" w:firstColumn="0" w:lastColumn="0" w:oddVBand="0" w:evenVBand="0" w:oddHBand="0" w:evenHBand="1" w:firstRowFirstColumn="0" w:firstRowLastColumn="0" w:lastRowFirstColumn="0" w:lastRowLastColumn="0"/>
              <w:rPr>
                <w:rStyle w:val="Strong"/>
              </w:rPr>
            </w:pPr>
            <w:r w:rsidRPr="008066C5">
              <w:rPr>
                <w:rStyle w:val="Strong"/>
              </w:rPr>
              <w:t> </w:t>
            </w:r>
          </w:p>
        </w:tc>
        <w:tc>
          <w:tcPr>
            <w:tcW w:w="603" w:type="pct"/>
            <w:vAlign w:val="bottom"/>
          </w:tcPr>
          <w:p w:rsidR="00422BC6" w:rsidRPr="008066C5" w:rsidRDefault="00422BC6">
            <w:pPr>
              <w:cnfStyle w:val="000000010000" w:firstRow="0" w:lastRow="0" w:firstColumn="0" w:lastColumn="0" w:oddVBand="0" w:evenVBand="0" w:oddHBand="0" w:evenHBand="1" w:firstRowFirstColumn="0" w:firstRowLastColumn="0" w:lastRowFirstColumn="0" w:lastRowLastColumn="0"/>
              <w:rPr>
                <w:rStyle w:val="Strong"/>
              </w:rPr>
            </w:pPr>
            <w:r w:rsidRPr="008066C5">
              <w:rPr>
                <w:rStyle w:val="Strong"/>
              </w:rPr>
              <w:t> </w:t>
            </w:r>
          </w:p>
        </w:tc>
        <w:tc>
          <w:tcPr>
            <w:tcW w:w="602" w:type="pct"/>
            <w:vAlign w:val="bottom"/>
          </w:tcPr>
          <w:p w:rsidR="00422BC6" w:rsidRPr="008066C5" w:rsidRDefault="00422BC6">
            <w:pPr>
              <w:cnfStyle w:val="000000010000" w:firstRow="0" w:lastRow="0" w:firstColumn="0" w:lastColumn="0" w:oddVBand="0" w:evenVBand="0" w:oddHBand="0" w:evenHBand="1" w:firstRowFirstColumn="0" w:firstRowLastColumn="0" w:lastRowFirstColumn="0" w:lastRowLastColumn="0"/>
              <w:rPr>
                <w:rStyle w:val="Strong"/>
              </w:rPr>
            </w:pPr>
            <w:r w:rsidRPr="008066C5">
              <w:rPr>
                <w:rStyle w:val="Strong"/>
              </w:rPr>
              <w:t> </w:t>
            </w:r>
          </w:p>
        </w:tc>
        <w:tc>
          <w:tcPr>
            <w:tcW w:w="613" w:type="pct"/>
            <w:vAlign w:val="bottom"/>
          </w:tcPr>
          <w:p w:rsidR="00422BC6" w:rsidRPr="008066C5" w:rsidRDefault="00422BC6" w:rsidP="00422BC6">
            <w:pPr>
              <w:cnfStyle w:val="000000010000" w:firstRow="0" w:lastRow="0" w:firstColumn="0" w:lastColumn="0" w:oddVBand="0" w:evenVBand="0" w:oddHBand="0" w:evenHBand="1" w:firstRowFirstColumn="0" w:firstRowLastColumn="0" w:lastRowFirstColumn="0" w:lastRowLastColumn="0"/>
              <w:rPr>
                <w:rStyle w:val="Strong"/>
              </w:rPr>
            </w:pPr>
            <w:r w:rsidRPr="008066C5">
              <w:rPr>
                <w:rStyle w:val="Strong"/>
              </w:rPr>
              <w:t>7164.7</w:t>
            </w:r>
          </w:p>
        </w:tc>
      </w:tr>
    </w:tbl>
    <w:p w:rsidR="0054020F" w:rsidRPr="00F84400" w:rsidRDefault="0054020F" w:rsidP="0054020F">
      <w:pPr>
        <w:pStyle w:val="AERtablesource"/>
      </w:pPr>
      <w:r>
        <w:t>Source:</w:t>
      </w:r>
      <w:r>
        <w:tab/>
        <w:t>AER analysis</w:t>
      </w:r>
      <w:r w:rsidRPr="00F84400">
        <w:t>.</w:t>
      </w:r>
    </w:p>
    <w:p w:rsidR="0054020F" w:rsidRPr="0054020F" w:rsidRDefault="0054020F" w:rsidP="0054020F">
      <w:pPr>
        <w:pStyle w:val="AERtablesource"/>
      </w:pPr>
      <w:r w:rsidRPr="004F3D9B">
        <w:t>(a)</w:t>
      </w:r>
      <w:r w:rsidRPr="004F3D9B">
        <w:tab/>
        <w:t>Based on estimated capex</w:t>
      </w:r>
      <w:r w:rsidRPr="0054020F">
        <w:t>. We will update the RAB roll forward for actual capex in the final decision.</w:t>
      </w:r>
    </w:p>
    <w:p w:rsidR="00422BC6" w:rsidRDefault="0054020F" w:rsidP="0054020F">
      <w:pPr>
        <w:pStyle w:val="AERtablesource"/>
      </w:pPr>
      <w:r>
        <w:t>(b</w:t>
      </w:r>
      <w:r w:rsidRPr="004F3D9B">
        <w:t xml:space="preserve">) </w:t>
      </w:r>
      <w:r w:rsidRPr="004F3D9B">
        <w:tab/>
      </w:r>
      <w:r w:rsidR="00422BC6" w:rsidRPr="00422BC6">
        <w:t xml:space="preserve">Based on estimated capex provided by </w:t>
      </w:r>
      <w:r w:rsidR="000438AB">
        <w:t>Powerlink</w:t>
      </w:r>
      <w:r w:rsidR="00422BC6" w:rsidRPr="00422BC6">
        <w:t xml:space="preserve">. We expect to update the RAB roll forward </w:t>
      </w:r>
      <w:r w:rsidR="006B315D">
        <w:t>with</w:t>
      </w:r>
      <w:r w:rsidR="00422BC6" w:rsidRPr="00422BC6">
        <w:t xml:space="preserve"> a revised capex estimate in the final decision, and true-up the RAB for actual capex at the next reset.</w:t>
      </w:r>
    </w:p>
    <w:p w:rsidR="0054020F" w:rsidRPr="004F3D9B" w:rsidRDefault="00422BC6" w:rsidP="0054020F">
      <w:pPr>
        <w:pStyle w:val="AERtablesource"/>
      </w:pPr>
      <w:r>
        <w:t>(c)</w:t>
      </w:r>
      <w:r>
        <w:tab/>
      </w:r>
      <w:r w:rsidR="0054020F" w:rsidRPr="004F3D9B">
        <w:t>As</w:t>
      </w:r>
      <w:r w:rsidR="009E5882">
        <w:t>-</w:t>
      </w:r>
      <w:r w:rsidR="0054020F" w:rsidRPr="004F3D9B">
        <w:t xml:space="preserve">incurred, net of disposals, and adjusted for actual CPI. </w:t>
      </w:r>
    </w:p>
    <w:p w:rsidR="00422BC6" w:rsidRDefault="0054020F" w:rsidP="00422BC6">
      <w:pPr>
        <w:pStyle w:val="AERtablesource"/>
      </w:pPr>
      <w:r w:rsidRPr="004F3D9B">
        <w:t>(</w:t>
      </w:r>
      <w:r w:rsidR="00422BC6">
        <w:t>d</w:t>
      </w:r>
      <w:r w:rsidRPr="004F3D9B">
        <w:t>)</w:t>
      </w:r>
      <w:r w:rsidRPr="004F3D9B">
        <w:tab/>
      </w:r>
      <w:r w:rsidR="00422BC6" w:rsidRPr="00422BC6">
        <w:t>We will update the RAB roll forward for actual CPI for 2016</w:t>
      </w:r>
      <w:r w:rsidR="00422BC6" w:rsidRPr="00422BC6">
        <w:softHyphen/>
        <w:t>–17 in the final decision.</w:t>
      </w:r>
    </w:p>
    <w:p w:rsidR="00422BC6" w:rsidRPr="00422BC6" w:rsidRDefault="00422BC6" w:rsidP="00422BC6">
      <w:pPr>
        <w:pStyle w:val="AERtablesource"/>
      </w:pPr>
      <w:r>
        <w:t xml:space="preserve">(e) </w:t>
      </w:r>
      <w:r>
        <w:tab/>
      </w:r>
      <w:r w:rsidRPr="00422BC6">
        <w:t xml:space="preserve">Adjusted for actual CPI. Based on </w:t>
      </w:r>
      <w:r w:rsidR="006B315D">
        <w:t xml:space="preserve">actual </w:t>
      </w:r>
      <w:r w:rsidRPr="00422BC6">
        <w:t>as-commissioned capex.</w:t>
      </w:r>
    </w:p>
    <w:p w:rsidR="00520CCB" w:rsidRDefault="00520CCB" w:rsidP="00520CCB">
      <w:r>
        <w:t>We determine a forecast closing RAB value at 30 June 2022 of $</w:t>
      </w:r>
      <w:r w:rsidR="00152B29">
        <w:t>7402.9</w:t>
      </w:r>
      <w:r>
        <w:t xml:space="preserve"> million ($ nominal). This is $</w:t>
      </w:r>
      <w:r w:rsidR="00152B29">
        <w:t>259.6</w:t>
      </w:r>
      <w:r>
        <w:t xml:space="preserve"> million (or </w:t>
      </w:r>
      <w:r w:rsidR="00152B29">
        <w:t>3</w:t>
      </w:r>
      <w:r w:rsidR="005A0B15">
        <w:t>.</w:t>
      </w:r>
      <w:r w:rsidR="00152B29">
        <w:t>4</w:t>
      </w:r>
      <w:r w:rsidR="005A0B15">
        <w:t xml:space="preserve"> </w:t>
      </w:r>
      <w:r>
        <w:t>per cent) lower</w:t>
      </w:r>
      <w:r w:rsidR="005A0B15">
        <w:t xml:space="preserve"> than the amount of $7662.5</w:t>
      </w:r>
      <w:r>
        <w:t xml:space="preserve"> million ($ nominal) proposed by </w:t>
      </w:r>
      <w:r w:rsidR="005A0B15">
        <w:t>Powerlink</w:t>
      </w:r>
      <w:r>
        <w:t xml:space="preserve">. Our draft decision on the forecast closing RAB reflects the amended opening RAB as at 1 </w:t>
      </w:r>
      <w:r w:rsidR="005A0B15">
        <w:t>Ju</w:t>
      </w:r>
      <w:r w:rsidR="00F57DD0">
        <w:t>ly</w:t>
      </w:r>
      <w:r>
        <w:t xml:space="preserve"> 2017, and our draft decisions on the expected inflation rate (attachment 3), forecast capex (attachment 6) and forecast depreciation (attachment 5).</w:t>
      </w:r>
    </w:p>
    <w:p w:rsidR="00AF6FBB" w:rsidRDefault="00A76D63" w:rsidP="00AF6FBB">
      <w:r>
        <w:fldChar w:fldCharType="begin"/>
      </w:r>
      <w:r>
        <w:instrText xml:space="preserve"> REF _Ref454530309 \h </w:instrText>
      </w:r>
      <w:r>
        <w:fldChar w:fldCharType="separate"/>
      </w:r>
      <w:r w:rsidR="003179F2">
        <w:t xml:space="preserve">Table </w:t>
      </w:r>
      <w:r w:rsidR="003179F2">
        <w:rPr>
          <w:noProof/>
        </w:rPr>
        <w:t>2</w:t>
      </w:r>
      <w:r w:rsidR="003179F2">
        <w:t>.</w:t>
      </w:r>
      <w:r w:rsidR="003179F2">
        <w:rPr>
          <w:noProof/>
        </w:rPr>
        <w:t>2</w:t>
      </w:r>
      <w:r>
        <w:fldChar w:fldCharType="end"/>
      </w:r>
      <w:r w:rsidR="007F6D36">
        <w:t xml:space="preserve"> </w:t>
      </w:r>
      <w:r w:rsidR="00520CCB">
        <w:t>sets out our draft decision on the forecast RAB values for Powerlink over the 2017–22 regulatory control period.</w:t>
      </w:r>
      <w:r w:rsidR="00AF6FBB">
        <w:br w:type="page"/>
      </w:r>
    </w:p>
    <w:p w:rsidR="0054020F" w:rsidRDefault="00A76D63" w:rsidP="00A76D63">
      <w:pPr>
        <w:pStyle w:val="Caption"/>
      </w:pPr>
      <w:bookmarkStart w:id="79" w:name="_Ref454530309"/>
      <w:r>
        <w:lastRenderedPageBreak/>
        <w:t xml:space="preserve">Table </w:t>
      </w:r>
      <w:fldSimple w:instr=" STYLEREF 1 \s ">
        <w:r w:rsidR="003179F2">
          <w:rPr>
            <w:noProof/>
          </w:rPr>
          <w:t>2</w:t>
        </w:r>
      </w:fldSimple>
      <w:r w:rsidR="004D4C74">
        <w:t>.</w:t>
      </w:r>
      <w:fldSimple w:instr=" SEQ Table \* ARABIC \s 1 ">
        <w:r w:rsidR="003179F2">
          <w:rPr>
            <w:noProof/>
          </w:rPr>
          <w:t>2</w:t>
        </w:r>
      </w:fldSimple>
      <w:bookmarkEnd w:id="79"/>
      <w:r w:rsidR="0054020F" w:rsidRPr="00482996">
        <w:tab/>
        <w:t xml:space="preserve">AER's draft decision on </w:t>
      </w:r>
      <w:r w:rsidR="001239B7">
        <w:t>Pow</w:t>
      </w:r>
      <w:r w:rsidR="00A473C7">
        <w:t>e</w:t>
      </w:r>
      <w:r w:rsidR="001239B7">
        <w:t>rlink</w:t>
      </w:r>
      <w:r w:rsidR="00CB0A6B">
        <w:t>'s RAB for the 2017–22</w:t>
      </w:r>
      <w:r w:rsidR="0054020F" w:rsidRPr="00482996">
        <w:t xml:space="preserve"> </w:t>
      </w:r>
      <w:r>
        <w:t xml:space="preserve">regulatory control </w:t>
      </w:r>
      <w:r w:rsidR="0054020F" w:rsidRPr="00482996">
        <w:t>period ($ million, nominal)</w:t>
      </w:r>
    </w:p>
    <w:tbl>
      <w:tblPr>
        <w:tblStyle w:val="AERtable-numbers"/>
        <w:tblW w:w="8693" w:type="dxa"/>
        <w:tblLook w:val="04A0" w:firstRow="1" w:lastRow="0" w:firstColumn="1" w:lastColumn="0" w:noHBand="0" w:noVBand="1"/>
      </w:tblPr>
      <w:tblGrid>
        <w:gridCol w:w="3488"/>
        <w:gridCol w:w="1083"/>
        <w:gridCol w:w="1081"/>
        <w:gridCol w:w="1080"/>
        <w:gridCol w:w="921"/>
        <w:gridCol w:w="216"/>
        <w:gridCol w:w="769"/>
        <w:gridCol w:w="55"/>
      </w:tblGrid>
      <w:tr w:rsidR="001239B7" w:rsidRPr="0040620E" w:rsidTr="00066EBF">
        <w:trPr>
          <w:gridAfter w:val="1"/>
          <w:cnfStyle w:val="100000000000" w:firstRow="1" w:lastRow="0" w:firstColumn="0" w:lastColumn="0" w:oddVBand="0" w:evenVBand="0" w:oddHBand="0" w:evenHBand="0" w:firstRowFirstColumn="0" w:firstRowLastColumn="0" w:lastRowFirstColumn="0" w:lastRowLastColumn="0"/>
          <w:wAfter w:w="55" w:type="dxa"/>
          <w:trHeight w:val="288"/>
        </w:trPr>
        <w:tc>
          <w:tcPr>
            <w:cnfStyle w:val="001000000000" w:firstRow="0" w:lastRow="0" w:firstColumn="1" w:lastColumn="0" w:oddVBand="0" w:evenVBand="0" w:oddHBand="0" w:evenHBand="0" w:firstRowFirstColumn="0" w:firstRowLastColumn="0" w:lastRowFirstColumn="0" w:lastRowLastColumn="0"/>
            <w:tcW w:w="3488" w:type="dxa"/>
            <w:noWrap/>
            <w:hideMark/>
          </w:tcPr>
          <w:p w:rsidR="001239B7" w:rsidRPr="0040620E" w:rsidRDefault="001239B7" w:rsidP="0040620E">
            <w:r w:rsidRPr="0040620E">
              <w:t> </w:t>
            </w:r>
          </w:p>
        </w:tc>
        <w:tc>
          <w:tcPr>
            <w:tcW w:w="1083" w:type="dxa"/>
            <w:noWrap/>
            <w:hideMark/>
          </w:tcPr>
          <w:p w:rsidR="001239B7" w:rsidRPr="0040620E" w:rsidRDefault="001239B7" w:rsidP="0040620E">
            <w:pPr>
              <w:cnfStyle w:val="100000000000" w:firstRow="1" w:lastRow="0" w:firstColumn="0" w:lastColumn="0" w:oddVBand="0" w:evenVBand="0" w:oddHBand="0" w:evenHBand="0" w:firstRowFirstColumn="0" w:firstRowLastColumn="0" w:lastRowFirstColumn="0" w:lastRowLastColumn="0"/>
            </w:pPr>
            <w:r w:rsidRPr="0040620E">
              <w:t>2017–18</w:t>
            </w:r>
          </w:p>
        </w:tc>
        <w:tc>
          <w:tcPr>
            <w:tcW w:w="1081" w:type="dxa"/>
            <w:noWrap/>
            <w:hideMark/>
          </w:tcPr>
          <w:p w:rsidR="001239B7" w:rsidRPr="0040620E" w:rsidRDefault="001239B7" w:rsidP="0040620E">
            <w:pPr>
              <w:cnfStyle w:val="100000000000" w:firstRow="1" w:lastRow="0" w:firstColumn="0" w:lastColumn="0" w:oddVBand="0" w:evenVBand="0" w:oddHBand="0" w:evenHBand="0" w:firstRowFirstColumn="0" w:firstRowLastColumn="0" w:lastRowFirstColumn="0" w:lastRowLastColumn="0"/>
            </w:pPr>
            <w:r w:rsidRPr="0040620E">
              <w:t>2018–19</w:t>
            </w:r>
          </w:p>
        </w:tc>
        <w:tc>
          <w:tcPr>
            <w:tcW w:w="1080" w:type="dxa"/>
            <w:noWrap/>
            <w:hideMark/>
          </w:tcPr>
          <w:p w:rsidR="001239B7" w:rsidRPr="0040620E" w:rsidRDefault="001239B7" w:rsidP="0040620E">
            <w:pPr>
              <w:cnfStyle w:val="100000000000" w:firstRow="1" w:lastRow="0" w:firstColumn="0" w:lastColumn="0" w:oddVBand="0" w:evenVBand="0" w:oddHBand="0" w:evenHBand="0" w:firstRowFirstColumn="0" w:firstRowLastColumn="0" w:lastRowFirstColumn="0" w:lastRowLastColumn="0"/>
            </w:pPr>
            <w:r w:rsidRPr="0040620E">
              <w:t>2019–20</w:t>
            </w:r>
          </w:p>
        </w:tc>
        <w:tc>
          <w:tcPr>
            <w:tcW w:w="921" w:type="dxa"/>
            <w:noWrap/>
            <w:hideMark/>
          </w:tcPr>
          <w:p w:rsidR="001239B7" w:rsidRPr="0040620E" w:rsidRDefault="001239B7" w:rsidP="0040620E">
            <w:pPr>
              <w:cnfStyle w:val="100000000000" w:firstRow="1" w:lastRow="0" w:firstColumn="0" w:lastColumn="0" w:oddVBand="0" w:evenVBand="0" w:oddHBand="0" w:evenHBand="0" w:firstRowFirstColumn="0" w:firstRowLastColumn="0" w:lastRowFirstColumn="0" w:lastRowLastColumn="0"/>
            </w:pPr>
            <w:r w:rsidRPr="0040620E">
              <w:t>2020–21</w:t>
            </w:r>
          </w:p>
        </w:tc>
        <w:tc>
          <w:tcPr>
            <w:tcW w:w="985" w:type="dxa"/>
            <w:gridSpan w:val="2"/>
            <w:noWrap/>
            <w:hideMark/>
          </w:tcPr>
          <w:p w:rsidR="001239B7" w:rsidRPr="0040620E" w:rsidRDefault="001239B7" w:rsidP="0040620E">
            <w:pPr>
              <w:cnfStyle w:val="100000000000" w:firstRow="1" w:lastRow="0" w:firstColumn="0" w:lastColumn="0" w:oddVBand="0" w:evenVBand="0" w:oddHBand="0" w:evenHBand="0" w:firstRowFirstColumn="0" w:firstRowLastColumn="0" w:lastRowFirstColumn="0" w:lastRowLastColumn="0"/>
            </w:pPr>
            <w:r w:rsidRPr="0040620E">
              <w:t>2021–22</w:t>
            </w:r>
          </w:p>
        </w:tc>
      </w:tr>
      <w:tr w:rsidR="00152B29" w:rsidRPr="0040620E" w:rsidTr="00152B29">
        <w:trPr>
          <w:trHeight w:val="288"/>
        </w:trPr>
        <w:tc>
          <w:tcPr>
            <w:cnfStyle w:val="001000000000" w:firstRow="0" w:lastRow="0" w:firstColumn="1" w:lastColumn="0" w:oddVBand="0" w:evenVBand="0" w:oddHBand="0" w:evenHBand="0" w:firstRowFirstColumn="0" w:firstRowLastColumn="0" w:lastRowFirstColumn="0" w:lastRowLastColumn="0"/>
            <w:tcW w:w="3488" w:type="dxa"/>
            <w:noWrap/>
            <w:hideMark/>
          </w:tcPr>
          <w:p w:rsidR="00152B29" w:rsidRPr="00152B29" w:rsidRDefault="00152B29" w:rsidP="00152B29">
            <w:r w:rsidRPr="00152B29">
              <w:t>Opening RAB</w:t>
            </w:r>
          </w:p>
        </w:tc>
        <w:tc>
          <w:tcPr>
            <w:tcW w:w="1083" w:type="dxa"/>
            <w:noWrap/>
            <w:vAlign w:val="bottom"/>
          </w:tcPr>
          <w:p w:rsidR="00152B29" w:rsidRPr="00152B29" w:rsidRDefault="00152B29" w:rsidP="00152B29">
            <w:pPr>
              <w:cnfStyle w:val="000000000000" w:firstRow="0" w:lastRow="0" w:firstColumn="0" w:lastColumn="0" w:oddVBand="0" w:evenVBand="0" w:oddHBand="0" w:evenHBand="0" w:firstRowFirstColumn="0" w:firstRowLastColumn="0" w:lastRowFirstColumn="0" w:lastRowLastColumn="0"/>
            </w:pPr>
            <w:r w:rsidRPr="00152B29">
              <w:t>7164.7</w:t>
            </w:r>
          </w:p>
        </w:tc>
        <w:tc>
          <w:tcPr>
            <w:tcW w:w="1081" w:type="dxa"/>
            <w:noWrap/>
            <w:vAlign w:val="bottom"/>
          </w:tcPr>
          <w:p w:rsidR="00152B29" w:rsidRPr="00152B29" w:rsidRDefault="00152B29" w:rsidP="00152B29">
            <w:pPr>
              <w:cnfStyle w:val="000000000000" w:firstRow="0" w:lastRow="0" w:firstColumn="0" w:lastColumn="0" w:oddVBand="0" w:evenVBand="0" w:oddHBand="0" w:evenHBand="0" w:firstRowFirstColumn="0" w:firstRowLastColumn="0" w:lastRowFirstColumn="0" w:lastRowLastColumn="0"/>
            </w:pPr>
            <w:r w:rsidRPr="00152B29">
              <w:t>7234.4</w:t>
            </w:r>
          </w:p>
        </w:tc>
        <w:tc>
          <w:tcPr>
            <w:tcW w:w="1080" w:type="dxa"/>
            <w:noWrap/>
            <w:vAlign w:val="bottom"/>
          </w:tcPr>
          <w:p w:rsidR="00152B29" w:rsidRPr="00152B29" w:rsidRDefault="00152B29" w:rsidP="00152B29">
            <w:pPr>
              <w:cnfStyle w:val="000000000000" w:firstRow="0" w:lastRow="0" w:firstColumn="0" w:lastColumn="0" w:oddVBand="0" w:evenVBand="0" w:oddHBand="0" w:evenHBand="0" w:firstRowFirstColumn="0" w:firstRowLastColumn="0" w:lastRowFirstColumn="0" w:lastRowLastColumn="0"/>
            </w:pPr>
            <w:r w:rsidRPr="00152B29">
              <w:t>7293.3</w:t>
            </w:r>
          </w:p>
        </w:tc>
        <w:tc>
          <w:tcPr>
            <w:tcW w:w="1137" w:type="dxa"/>
            <w:gridSpan w:val="2"/>
            <w:noWrap/>
            <w:vAlign w:val="bottom"/>
          </w:tcPr>
          <w:p w:rsidR="00152B29" w:rsidRPr="00152B29" w:rsidRDefault="00152B29" w:rsidP="00152B29">
            <w:pPr>
              <w:cnfStyle w:val="000000000000" w:firstRow="0" w:lastRow="0" w:firstColumn="0" w:lastColumn="0" w:oddVBand="0" w:evenVBand="0" w:oddHBand="0" w:evenHBand="0" w:firstRowFirstColumn="0" w:firstRowLastColumn="0" w:lastRowFirstColumn="0" w:lastRowLastColumn="0"/>
            </w:pPr>
            <w:r w:rsidRPr="00152B29">
              <w:t>7338.3</w:t>
            </w:r>
          </w:p>
        </w:tc>
        <w:tc>
          <w:tcPr>
            <w:tcW w:w="824" w:type="dxa"/>
            <w:gridSpan w:val="2"/>
            <w:noWrap/>
            <w:vAlign w:val="bottom"/>
          </w:tcPr>
          <w:p w:rsidR="00152B29" w:rsidRPr="00152B29" w:rsidRDefault="00152B29" w:rsidP="00152B29">
            <w:pPr>
              <w:cnfStyle w:val="000000000000" w:firstRow="0" w:lastRow="0" w:firstColumn="0" w:lastColumn="0" w:oddVBand="0" w:evenVBand="0" w:oddHBand="0" w:evenHBand="0" w:firstRowFirstColumn="0" w:firstRowLastColumn="0" w:lastRowFirstColumn="0" w:lastRowLastColumn="0"/>
            </w:pPr>
            <w:r w:rsidRPr="00152B29">
              <w:t>7377.7</w:t>
            </w:r>
          </w:p>
        </w:tc>
      </w:tr>
      <w:tr w:rsidR="00152B29" w:rsidRPr="0040620E" w:rsidTr="00152B29">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88" w:type="dxa"/>
            <w:noWrap/>
            <w:hideMark/>
          </w:tcPr>
          <w:p w:rsidR="00152B29" w:rsidRPr="00152B29" w:rsidRDefault="00152B29" w:rsidP="00152B29">
            <w:r w:rsidRPr="00152B29">
              <w:t>Capital expenditure</w:t>
            </w:r>
            <w:r w:rsidRPr="00152B29">
              <w:rPr>
                <w:rStyle w:val="AERsuperscript"/>
              </w:rPr>
              <w:t>a</w:t>
            </w:r>
            <w:r w:rsidRPr="00152B29">
              <w:t xml:space="preserve"> </w:t>
            </w:r>
          </w:p>
        </w:tc>
        <w:tc>
          <w:tcPr>
            <w:tcW w:w="1083" w:type="dxa"/>
            <w:noWrap/>
            <w:vAlign w:val="bottom"/>
          </w:tcPr>
          <w:p w:rsidR="00152B29" w:rsidRPr="00152B29" w:rsidRDefault="00152B29" w:rsidP="00152B29">
            <w:pPr>
              <w:cnfStyle w:val="000000010000" w:firstRow="0" w:lastRow="0" w:firstColumn="0" w:lastColumn="0" w:oddVBand="0" w:evenVBand="0" w:oddHBand="0" w:evenHBand="1" w:firstRowFirstColumn="0" w:firstRowLastColumn="0" w:lastRowFirstColumn="0" w:lastRowLastColumn="0"/>
            </w:pPr>
            <w:r w:rsidRPr="00152B29">
              <w:t>163.1</w:t>
            </w:r>
          </w:p>
        </w:tc>
        <w:tc>
          <w:tcPr>
            <w:tcW w:w="1081" w:type="dxa"/>
            <w:noWrap/>
            <w:vAlign w:val="bottom"/>
          </w:tcPr>
          <w:p w:rsidR="00152B29" w:rsidRPr="00152B29" w:rsidRDefault="00152B29" w:rsidP="00152B29">
            <w:pPr>
              <w:cnfStyle w:val="000000010000" w:firstRow="0" w:lastRow="0" w:firstColumn="0" w:lastColumn="0" w:oddVBand="0" w:evenVBand="0" w:oddHBand="0" w:evenHBand="1" w:firstRowFirstColumn="0" w:firstRowLastColumn="0" w:lastRowFirstColumn="0" w:lastRowLastColumn="0"/>
            </w:pPr>
            <w:r w:rsidRPr="00152B29">
              <w:t>167.0</w:t>
            </w:r>
          </w:p>
        </w:tc>
        <w:tc>
          <w:tcPr>
            <w:tcW w:w="1080" w:type="dxa"/>
            <w:noWrap/>
            <w:vAlign w:val="bottom"/>
          </w:tcPr>
          <w:p w:rsidR="00152B29" w:rsidRPr="00152B29" w:rsidRDefault="00152B29" w:rsidP="00152B29">
            <w:pPr>
              <w:cnfStyle w:val="000000010000" w:firstRow="0" w:lastRow="0" w:firstColumn="0" w:lastColumn="0" w:oddVBand="0" w:evenVBand="0" w:oddHBand="0" w:evenHBand="1" w:firstRowFirstColumn="0" w:firstRowLastColumn="0" w:lastRowFirstColumn="0" w:lastRowLastColumn="0"/>
            </w:pPr>
            <w:r w:rsidRPr="00152B29">
              <w:t>170.2</w:t>
            </w:r>
          </w:p>
        </w:tc>
        <w:tc>
          <w:tcPr>
            <w:tcW w:w="1137" w:type="dxa"/>
            <w:gridSpan w:val="2"/>
            <w:noWrap/>
            <w:vAlign w:val="bottom"/>
          </w:tcPr>
          <w:p w:rsidR="00152B29" w:rsidRPr="00152B29" w:rsidRDefault="00152B29" w:rsidP="00152B29">
            <w:pPr>
              <w:cnfStyle w:val="000000010000" w:firstRow="0" w:lastRow="0" w:firstColumn="0" w:lastColumn="0" w:oddVBand="0" w:evenVBand="0" w:oddHBand="0" w:evenHBand="1" w:firstRowFirstColumn="0" w:firstRowLastColumn="0" w:lastRowFirstColumn="0" w:lastRowLastColumn="0"/>
            </w:pPr>
            <w:r w:rsidRPr="00152B29">
              <w:t>175.9</w:t>
            </w:r>
          </w:p>
        </w:tc>
        <w:tc>
          <w:tcPr>
            <w:tcW w:w="824" w:type="dxa"/>
            <w:gridSpan w:val="2"/>
            <w:noWrap/>
            <w:vAlign w:val="bottom"/>
          </w:tcPr>
          <w:p w:rsidR="00152B29" w:rsidRPr="00152B29" w:rsidRDefault="00152B29" w:rsidP="00152B29">
            <w:pPr>
              <w:cnfStyle w:val="000000010000" w:firstRow="0" w:lastRow="0" w:firstColumn="0" w:lastColumn="0" w:oddVBand="0" w:evenVBand="0" w:oddHBand="0" w:evenHBand="1" w:firstRowFirstColumn="0" w:firstRowLastColumn="0" w:lastRowFirstColumn="0" w:lastRowLastColumn="0"/>
            </w:pPr>
            <w:r w:rsidRPr="00152B29">
              <w:t>167.7</w:t>
            </w:r>
          </w:p>
        </w:tc>
      </w:tr>
      <w:tr w:rsidR="00152B29" w:rsidRPr="0040620E" w:rsidTr="00152B29">
        <w:trPr>
          <w:trHeight w:val="288"/>
        </w:trPr>
        <w:tc>
          <w:tcPr>
            <w:cnfStyle w:val="001000000000" w:firstRow="0" w:lastRow="0" w:firstColumn="1" w:lastColumn="0" w:oddVBand="0" w:evenVBand="0" w:oddHBand="0" w:evenHBand="0" w:firstRowFirstColumn="0" w:firstRowLastColumn="0" w:lastRowFirstColumn="0" w:lastRowLastColumn="0"/>
            <w:tcW w:w="3488" w:type="dxa"/>
            <w:noWrap/>
            <w:hideMark/>
          </w:tcPr>
          <w:p w:rsidR="00152B29" w:rsidRPr="00152B29" w:rsidRDefault="00152B29" w:rsidP="00152B29">
            <w:r w:rsidRPr="00152B29">
              <w:t>Inflation indexation on opening RAB</w:t>
            </w:r>
          </w:p>
        </w:tc>
        <w:tc>
          <w:tcPr>
            <w:tcW w:w="1083" w:type="dxa"/>
            <w:noWrap/>
            <w:vAlign w:val="bottom"/>
          </w:tcPr>
          <w:p w:rsidR="00152B29" w:rsidRPr="00152B29" w:rsidRDefault="00152B29" w:rsidP="00152B29">
            <w:pPr>
              <w:cnfStyle w:val="000000000000" w:firstRow="0" w:lastRow="0" w:firstColumn="0" w:lastColumn="0" w:oddVBand="0" w:evenVBand="0" w:oddHBand="0" w:evenHBand="0" w:firstRowFirstColumn="0" w:firstRowLastColumn="0" w:lastRowFirstColumn="0" w:lastRowLastColumn="0"/>
            </w:pPr>
            <w:r w:rsidRPr="00152B29">
              <w:t>175.5</w:t>
            </w:r>
          </w:p>
        </w:tc>
        <w:tc>
          <w:tcPr>
            <w:tcW w:w="1081" w:type="dxa"/>
            <w:noWrap/>
            <w:vAlign w:val="bottom"/>
          </w:tcPr>
          <w:p w:rsidR="00152B29" w:rsidRPr="00152B29" w:rsidRDefault="00152B29" w:rsidP="00152B29">
            <w:pPr>
              <w:cnfStyle w:val="000000000000" w:firstRow="0" w:lastRow="0" w:firstColumn="0" w:lastColumn="0" w:oddVBand="0" w:evenVBand="0" w:oddHBand="0" w:evenHBand="0" w:firstRowFirstColumn="0" w:firstRowLastColumn="0" w:lastRowFirstColumn="0" w:lastRowLastColumn="0"/>
            </w:pPr>
            <w:r w:rsidRPr="00152B29">
              <w:t>177.2</w:t>
            </w:r>
          </w:p>
        </w:tc>
        <w:tc>
          <w:tcPr>
            <w:tcW w:w="1080" w:type="dxa"/>
            <w:noWrap/>
            <w:vAlign w:val="bottom"/>
          </w:tcPr>
          <w:p w:rsidR="00152B29" w:rsidRPr="00152B29" w:rsidRDefault="00152B29" w:rsidP="00152B29">
            <w:pPr>
              <w:cnfStyle w:val="000000000000" w:firstRow="0" w:lastRow="0" w:firstColumn="0" w:lastColumn="0" w:oddVBand="0" w:evenVBand="0" w:oddHBand="0" w:evenHBand="0" w:firstRowFirstColumn="0" w:firstRowLastColumn="0" w:lastRowFirstColumn="0" w:lastRowLastColumn="0"/>
            </w:pPr>
            <w:r w:rsidRPr="00152B29">
              <w:t>178.7</w:t>
            </w:r>
          </w:p>
        </w:tc>
        <w:tc>
          <w:tcPr>
            <w:tcW w:w="1137" w:type="dxa"/>
            <w:gridSpan w:val="2"/>
            <w:noWrap/>
            <w:vAlign w:val="bottom"/>
          </w:tcPr>
          <w:p w:rsidR="00152B29" w:rsidRPr="00152B29" w:rsidRDefault="00152B29" w:rsidP="00152B29">
            <w:pPr>
              <w:cnfStyle w:val="000000000000" w:firstRow="0" w:lastRow="0" w:firstColumn="0" w:lastColumn="0" w:oddVBand="0" w:evenVBand="0" w:oddHBand="0" w:evenHBand="0" w:firstRowFirstColumn="0" w:firstRowLastColumn="0" w:lastRowFirstColumn="0" w:lastRowLastColumn="0"/>
            </w:pPr>
            <w:r w:rsidRPr="00152B29">
              <w:t>179.8</w:t>
            </w:r>
          </w:p>
        </w:tc>
        <w:tc>
          <w:tcPr>
            <w:tcW w:w="824" w:type="dxa"/>
            <w:gridSpan w:val="2"/>
            <w:noWrap/>
            <w:vAlign w:val="bottom"/>
          </w:tcPr>
          <w:p w:rsidR="00152B29" w:rsidRPr="00152B29" w:rsidRDefault="00152B29" w:rsidP="00152B29">
            <w:pPr>
              <w:cnfStyle w:val="000000000000" w:firstRow="0" w:lastRow="0" w:firstColumn="0" w:lastColumn="0" w:oddVBand="0" w:evenVBand="0" w:oddHBand="0" w:evenHBand="0" w:firstRowFirstColumn="0" w:firstRowLastColumn="0" w:lastRowFirstColumn="0" w:lastRowLastColumn="0"/>
            </w:pPr>
            <w:r w:rsidRPr="00152B29">
              <w:t>180.8</w:t>
            </w:r>
          </w:p>
        </w:tc>
      </w:tr>
      <w:tr w:rsidR="00152B29" w:rsidRPr="0040620E" w:rsidTr="00152B29">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88" w:type="dxa"/>
            <w:noWrap/>
            <w:hideMark/>
          </w:tcPr>
          <w:p w:rsidR="00152B29" w:rsidRPr="00152B29" w:rsidRDefault="00152B29" w:rsidP="00152B29">
            <w:r w:rsidRPr="00152B29">
              <w:rPr>
                <w:rStyle w:val="AERtextitalic"/>
              </w:rPr>
              <w:t>Less:</w:t>
            </w:r>
            <w:r w:rsidRPr="00152B29">
              <w:t xml:space="preserve"> straight-line depreciation</w:t>
            </w:r>
          </w:p>
        </w:tc>
        <w:tc>
          <w:tcPr>
            <w:tcW w:w="1083" w:type="dxa"/>
            <w:noWrap/>
            <w:vAlign w:val="bottom"/>
          </w:tcPr>
          <w:p w:rsidR="00152B29" w:rsidRPr="00152B29" w:rsidRDefault="00152B29" w:rsidP="00152B29">
            <w:pPr>
              <w:cnfStyle w:val="000000010000" w:firstRow="0" w:lastRow="0" w:firstColumn="0" w:lastColumn="0" w:oddVBand="0" w:evenVBand="0" w:oddHBand="0" w:evenHBand="1" w:firstRowFirstColumn="0" w:firstRowLastColumn="0" w:lastRowFirstColumn="0" w:lastRowLastColumn="0"/>
            </w:pPr>
            <w:r w:rsidRPr="00152B29">
              <w:t>268.9</w:t>
            </w:r>
          </w:p>
        </w:tc>
        <w:tc>
          <w:tcPr>
            <w:tcW w:w="1081" w:type="dxa"/>
            <w:noWrap/>
            <w:vAlign w:val="bottom"/>
          </w:tcPr>
          <w:p w:rsidR="00152B29" w:rsidRPr="00152B29" w:rsidRDefault="00152B29" w:rsidP="00152B29">
            <w:pPr>
              <w:cnfStyle w:val="000000010000" w:firstRow="0" w:lastRow="0" w:firstColumn="0" w:lastColumn="0" w:oddVBand="0" w:evenVBand="0" w:oddHBand="0" w:evenHBand="1" w:firstRowFirstColumn="0" w:firstRowLastColumn="0" w:lastRowFirstColumn="0" w:lastRowLastColumn="0"/>
            </w:pPr>
            <w:r w:rsidRPr="00152B29">
              <w:t>285.4</w:t>
            </w:r>
          </w:p>
        </w:tc>
        <w:tc>
          <w:tcPr>
            <w:tcW w:w="1080" w:type="dxa"/>
            <w:noWrap/>
            <w:vAlign w:val="bottom"/>
          </w:tcPr>
          <w:p w:rsidR="00152B29" w:rsidRPr="00152B29" w:rsidRDefault="00152B29" w:rsidP="00152B29">
            <w:pPr>
              <w:cnfStyle w:val="000000010000" w:firstRow="0" w:lastRow="0" w:firstColumn="0" w:lastColumn="0" w:oddVBand="0" w:evenVBand="0" w:oddHBand="0" w:evenHBand="1" w:firstRowFirstColumn="0" w:firstRowLastColumn="0" w:lastRowFirstColumn="0" w:lastRowLastColumn="0"/>
            </w:pPr>
            <w:r w:rsidRPr="00152B29">
              <w:t>303.8</w:t>
            </w:r>
          </w:p>
        </w:tc>
        <w:tc>
          <w:tcPr>
            <w:tcW w:w="1137" w:type="dxa"/>
            <w:gridSpan w:val="2"/>
            <w:noWrap/>
            <w:vAlign w:val="bottom"/>
          </w:tcPr>
          <w:p w:rsidR="00152B29" w:rsidRPr="00152B29" w:rsidRDefault="00152B29" w:rsidP="00152B29">
            <w:pPr>
              <w:cnfStyle w:val="000000010000" w:firstRow="0" w:lastRow="0" w:firstColumn="0" w:lastColumn="0" w:oddVBand="0" w:evenVBand="0" w:oddHBand="0" w:evenHBand="1" w:firstRowFirstColumn="0" w:firstRowLastColumn="0" w:lastRowFirstColumn="0" w:lastRowLastColumn="0"/>
            </w:pPr>
            <w:r w:rsidRPr="00152B29">
              <w:t>316.4</w:t>
            </w:r>
          </w:p>
        </w:tc>
        <w:tc>
          <w:tcPr>
            <w:tcW w:w="824" w:type="dxa"/>
            <w:gridSpan w:val="2"/>
            <w:noWrap/>
            <w:vAlign w:val="bottom"/>
          </w:tcPr>
          <w:p w:rsidR="00152B29" w:rsidRPr="00152B29" w:rsidRDefault="00152B29" w:rsidP="00152B29">
            <w:pPr>
              <w:cnfStyle w:val="000000010000" w:firstRow="0" w:lastRow="0" w:firstColumn="0" w:lastColumn="0" w:oddVBand="0" w:evenVBand="0" w:oddHBand="0" w:evenHBand="1" w:firstRowFirstColumn="0" w:firstRowLastColumn="0" w:lastRowFirstColumn="0" w:lastRowLastColumn="0"/>
            </w:pPr>
            <w:r w:rsidRPr="00152B29">
              <w:t>323.3</w:t>
            </w:r>
          </w:p>
        </w:tc>
      </w:tr>
      <w:tr w:rsidR="00152B29" w:rsidRPr="00134FF7" w:rsidTr="00152B29">
        <w:trPr>
          <w:trHeight w:val="288"/>
        </w:trPr>
        <w:tc>
          <w:tcPr>
            <w:cnfStyle w:val="001000000000" w:firstRow="0" w:lastRow="0" w:firstColumn="1" w:lastColumn="0" w:oddVBand="0" w:evenVBand="0" w:oddHBand="0" w:evenHBand="0" w:firstRowFirstColumn="0" w:firstRowLastColumn="0" w:lastRowFirstColumn="0" w:lastRowLastColumn="0"/>
            <w:tcW w:w="3488" w:type="dxa"/>
            <w:noWrap/>
            <w:hideMark/>
          </w:tcPr>
          <w:p w:rsidR="00152B29" w:rsidRPr="00134FF7" w:rsidRDefault="00152B29" w:rsidP="00134FF7">
            <w:r w:rsidRPr="00134FF7">
              <w:t>Closing RAB</w:t>
            </w:r>
          </w:p>
        </w:tc>
        <w:tc>
          <w:tcPr>
            <w:tcW w:w="1083" w:type="dxa"/>
            <w:noWrap/>
            <w:vAlign w:val="bottom"/>
          </w:tcPr>
          <w:p w:rsidR="00152B29" w:rsidRPr="00134FF7" w:rsidRDefault="00152B29" w:rsidP="00134FF7">
            <w:pPr>
              <w:cnfStyle w:val="000000000000" w:firstRow="0" w:lastRow="0" w:firstColumn="0" w:lastColumn="0" w:oddVBand="0" w:evenVBand="0" w:oddHBand="0" w:evenHBand="0" w:firstRowFirstColumn="0" w:firstRowLastColumn="0" w:lastRowFirstColumn="0" w:lastRowLastColumn="0"/>
            </w:pPr>
            <w:r w:rsidRPr="00134FF7">
              <w:t>7234.4</w:t>
            </w:r>
          </w:p>
        </w:tc>
        <w:tc>
          <w:tcPr>
            <w:tcW w:w="1081" w:type="dxa"/>
            <w:noWrap/>
            <w:vAlign w:val="bottom"/>
          </w:tcPr>
          <w:p w:rsidR="00152B29" w:rsidRPr="00134FF7" w:rsidRDefault="00152B29" w:rsidP="00134FF7">
            <w:pPr>
              <w:cnfStyle w:val="000000000000" w:firstRow="0" w:lastRow="0" w:firstColumn="0" w:lastColumn="0" w:oddVBand="0" w:evenVBand="0" w:oddHBand="0" w:evenHBand="0" w:firstRowFirstColumn="0" w:firstRowLastColumn="0" w:lastRowFirstColumn="0" w:lastRowLastColumn="0"/>
            </w:pPr>
            <w:r w:rsidRPr="00134FF7">
              <w:t>7293.3</w:t>
            </w:r>
          </w:p>
        </w:tc>
        <w:tc>
          <w:tcPr>
            <w:tcW w:w="1080" w:type="dxa"/>
            <w:noWrap/>
            <w:vAlign w:val="bottom"/>
          </w:tcPr>
          <w:p w:rsidR="00152B29" w:rsidRPr="00134FF7" w:rsidRDefault="00152B29" w:rsidP="00134FF7">
            <w:pPr>
              <w:cnfStyle w:val="000000000000" w:firstRow="0" w:lastRow="0" w:firstColumn="0" w:lastColumn="0" w:oddVBand="0" w:evenVBand="0" w:oddHBand="0" w:evenHBand="0" w:firstRowFirstColumn="0" w:firstRowLastColumn="0" w:lastRowFirstColumn="0" w:lastRowLastColumn="0"/>
            </w:pPr>
            <w:r w:rsidRPr="00134FF7">
              <w:t>7338.3</w:t>
            </w:r>
          </w:p>
        </w:tc>
        <w:tc>
          <w:tcPr>
            <w:tcW w:w="1137" w:type="dxa"/>
            <w:gridSpan w:val="2"/>
            <w:noWrap/>
            <w:vAlign w:val="bottom"/>
          </w:tcPr>
          <w:p w:rsidR="00152B29" w:rsidRPr="00134FF7" w:rsidRDefault="00152B29" w:rsidP="00134FF7">
            <w:pPr>
              <w:cnfStyle w:val="000000000000" w:firstRow="0" w:lastRow="0" w:firstColumn="0" w:lastColumn="0" w:oddVBand="0" w:evenVBand="0" w:oddHBand="0" w:evenHBand="0" w:firstRowFirstColumn="0" w:firstRowLastColumn="0" w:lastRowFirstColumn="0" w:lastRowLastColumn="0"/>
            </w:pPr>
            <w:r w:rsidRPr="00134FF7">
              <w:t>7377.7</w:t>
            </w:r>
          </w:p>
        </w:tc>
        <w:tc>
          <w:tcPr>
            <w:tcW w:w="824" w:type="dxa"/>
            <w:gridSpan w:val="2"/>
            <w:noWrap/>
            <w:vAlign w:val="bottom"/>
          </w:tcPr>
          <w:p w:rsidR="00152B29" w:rsidRPr="00134FF7" w:rsidRDefault="00152B29" w:rsidP="00134FF7">
            <w:pPr>
              <w:cnfStyle w:val="000000000000" w:firstRow="0" w:lastRow="0" w:firstColumn="0" w:lastColumn="0" w:oddVBand="0" w:evenVBand="0" w:oddHBand="0" w:evenHBand="0" w:firstRowFirstColumn="0" w:firstRowLastColumn="0" w:lastRowFirstColumn="0" w:lastRowLastColumn="0"/>
            </w:pPr>
            <w:r w:rsidRPr="00134FF7">
              <w:t>7402.9</w:t>
            </w:r>
          </w:p>
        </w:tc>
      </w:tr>
    </w:tbl>
    <w:p w:rsidR="0054020F" w:rsidRPr="00482996" w:rsidRDefault="0054020F" w:rsidP="0054020F">
      <w:pPr>
        <w:pStyle w:val="AERtablesource"/>
      </w:pPr>
      <w:r w:rsidRPr="00482996">
        <w:t xml:space="preserve">Source: </w:t>
      </w:r>
      <w:r w:rsidRPr="00482996">
        <w:tab/>
        <w:t>AER analysis.</w:t>
      </w:r>
    </w:p>
    <w:p w:rsidR="0054020F" w:rsidRPr="00482996" w:rsidRDefault="0054020F" w:rsidP="0054020F">
      <w:pPr>
        <w:pStyle w:val="AERtablesource"/>
      </w:pPr>
      <w:r w:rsidRPr="00482996">
        <w:t xml:space="preserve">(a) </w:t>
      </w:r>
      <w:r w:rsidRPr="00482996">
        <w:tab/>
        <w:t>As</w:t>
      </w:r>
      <w:r w:rsidR="009E5882">
        <w:t>-</w:t>
      </w:r>
      <w:r w:rsidRPr="00482996">
        <w:t xml:space="preserve">incurred, and net of </w:t>
      </w:r>
      <w:r w:rsidR="006F2AFC">
        <w:t xml:space="preserve">forecast </w:t>
      </w:r>
      <w:r w:rsidRPr="00482996">
        <w:t>disposals. In accordance with the timing assumptions of the post</w:t>
      </w:r>
      <w:r>
        <w:t>-</w:t>
      </w:r>
      <w:r w:rsidRPr="00482996">
        <w:t>tax revenue model (PTRM), the capex includes a half-WACC allowance to compensate for the six month period before capex is added to the RAB for revenue modelling.</w:t>
      </w:r>
    </w:p>
    <w:p w:rsidR="0054020F" w:rsidRDefault="0054020F" w:rsidP="0054020F">
      <w:pPr>
        <w:pStyle w:val="AERtablesource"/>
      </w:pPr>
      <w:r w:rsidRPr="00482996">
        <w:t>(b)</w:t>
      </w:r>
      <w:r w:rsidRPr="00482996">
        <w:tab/>
        <w:t>Based on as-commissioned capex.</w:t>
      </w:r>
    </w:p>
    <w:p w:rsidR="00280C49" w:rsidRPr="00280C49" w:rsidRDefault="00280C49" w:rsidP="00280C49">
      <w:pPr>
        <w:numPr>
          <w:ilvl w:val="0"/>
          <w:numId w:val="24"/>
        </w:numPr>
      </w:pPr>
      <w:r w:rsidRPr="002F21E9">
        <w:t>We determine that the forecast depreciation approach is to be used to establish the opening RAB at the commencement of the 202</w:t>
      </w:r>
      <w:r>
        <w:t>2–27</w:t>
      </w:r>
      <w:r w:rsidRPr="002F21E9">
        <w:t xml:space="preserve"> regulatory control period for </w:t>
      </w:r>
      <w:r>
        <w:t>Powerlink</w:t>
      </w:r>
      <w:r w:rsidRPr="006001AB">
        <w:t>.</w:t>
      </w:r>
      <w:r w:rsidRPr="006001AB">
        <w:rPr>
          <w:rStyle w:val="FootnoteReference"/>
        </w:rPr>
        <w:footnoteReference w:id="7"/>
      </w:r>
      <w:r w:rsidRPr="006001AB">
        <w:t xml:space="preserve"> </w:t>
      </w:r>
      <w:r w:rsidR="00A76D63" w:rsidRPr="005954CE">
        <w:t xml:space="preserve">We consider this approach will provide sufficient incentives </w:t>
      </w:r>
      <w:r w:rsidR="00A76D63">
        <w:t xml:space="preserve">for Powerlink </w:t>
      </w:r>
      <w:r w:rsidR="00A76D63" w:rsidRPr="005954CE">
        <w:t xml:space="preserve">to achieve capex efficiency gains over </w:t>
      </w:r>
      <w:r w:rsidR="00A76D63">
        <w:t>the 2017–22 regulatory control period</w:t>
      </w:r>
      <w:r w:rsidR="00A76D63" w:rsidRPr="005954CE">
        <w:t>.</w:t>
      </w:r>
    </w:p>
    <w:p w:rsidR="00132D43" w:rsidRDefault="00132D43" w:rsidP="00132D43">
      <w:pPr>
        <w:pStyle w:val="Heading2"/>
      </w:pPr>
      <w:bookmarkStart w:id="80" w:name="_Toc462749189"/>
      <w:r>
        <w:t>Powerlink’s proposal</w:t>
      </w:r>
      <w:bookmarkEnd w:id="80"/>
    </w:p>
    <w:p w:rsidR="005A0B15" w:rsidRDefault="005A0B15" w:rsidP="005A0B15">
      <w:r>
        <w:t>Powerlink used our RFM to establish an opening RAB as at 1 July 2017 and our post-tax revenue model (PTRM) to roll forward the RAB over the 2017–22 regulatory control period.</w:t>
      </w:r>
    </w:p>
    <w:p w:rsidR="00AF6FBB" w:rsidRDefault="004C057A" w:rsidP="00AF6FBB">
      <w:pPr>
        <w:numPr>
          <w:ilvl w:val="0"/>
          <w:numId w:val="24"/>
        </w:numPr>
        <w:spacing w:line="240" w:lineRule="auto"/>
      </w:pPr>
      <w:r>
        <w:t xml:space="preserve">Powerlink proposed an opening RAB </w:t>
      </w:r>
      <w:r w:rsidR="004D4C74">
        <w:t xml:space="preserve">value </w:t>
      </w:r>
      <w:r>
        <w:t xml:space="preserve">as at 1 July 2012 of </w:t>
      </w:r>
      <w:r w:rsidR="00F94CF8">
        <w:t>6428.8</w:t>
      </w:r>
      <w:r>
        <w:t xml:space="preserve"> million ($nominal).</w:t>
      </w:r>
      <w:r w:rsidR="004D4C74">
        <w:rPr>
          <w:rStyle w:val="FootnoteReference"/>
        </w:rPr>
        <w:footnoteReference w:id="8"/>
      </w:r>
      <w:r>
        <w:t xml:space="preserve"> Rolling forward this RAB and using depreciation based on actual capex, Powerlink proposed a closing RAB as at 30 June 2017 of $</w:t>
      </w:r>
      <w:r w:rsidR="00F94CF8">
        <w:t>7</w:t>
      </w:r>
      <w:r w:rsidR="000C33CB">
        <w:t>237</w:t>
      </w:r>
      <w:r w:rsidR="00F94CF8">
        <w:t>.9</w:t>
      </w:r>
      <w:r>
        <w:t> million ($ nominal).</w:t>
      </w:r>
      <w:r w:rsidR="0054020F" w:rsidRPr="00714B79">
        <w:t xml:space="preserve"> </w:t>
      </w:r>
      <w:r w:rsidR="004D4C74">
        <w:fldChar w:fldCharType="begin"/>
      </w:r>
      <w:r w:rsidR="004D4C74">
        <w:instrText xml:space="preserve"> REF _Ref454530780 \h </w:instrText>
      </w:r>
      <w:r w:rsidR="004D4C74">
        <w:fldChar w:fldCharType="separate"/>
      </w:r>
      <w:r w:rsidR="003179F2">
        <w:t xml:space="preserve">Table </w:t>
      </w:r>
      <w:r w:rsidR="003179F2">
        <w:rPr>
          <w:noProof/>
        </w:rPr>
        <w:t>2</w:t>
      </w:r>
      <w:r w:rsidR="003179F2">
        <w:t>.</w:t>
      </w:r>
      <w:r w:rsidR="003179F2">
        <w:rPr>
          <w:noProof/>
        </w:rPr>
        <w:t>3</w:t>
      </w:r>
      <w:r w:rsidR="004D4C74">
        <w:fldChar w:fldCharType="end"/>
      </w:r>
      <w:r w:rsidR="007F6D36">
        <w:t xml:space="preserve"> </w:t>
      </w:r>
      <w:r>
        <w:t xml:space="preserve">presents Powerlink's proposed roll forward of its RAB </w:t>
      </w:r>
      <w:r w:rsidR="004D4C74">
        <w:t>during</w:t>
      </w:r>
      <w:r>
        <w:t xml:space="preserve"> the 2012–17 regulatory control period.</w:t>
      </w:r>
      <w:r w:rsidR="00AF6FBB">
        <w:br w:type="page"/>
      </w:r>
    </w:p>
    <w:p w:rsidR="0054020F" w:rsidRPr="00FD2861" w:rsidRDefault="004D4C74" w:rsidP="004D4C74">
      <w:pPr>
        <w:pStyle w:val="Caption"/>
      </w:pPr>
      <w:bookmarkStart w:id="81" w:name="_Ref454530780"/>
      <w:r>
        <w:lastRenderedPageBreak/>
        <w:t xml:space="preserve">Table </w:t>
      </w:r>
      <w:fldSimple w:instr=" STYLEREF 1 \s ">
        <w:r w:rsidR="003179F2">
          <w:rPr>
            <w:noProof/>
          </w:rPr>
          <w:t>2</w:t>
        </w:r>
      </w:fldSimple>
      <w:r>
        <w:t>.</w:t>
      </w:r>
      <w:fldSimple w:instr=" SEQ Table \* ARABIC \s 1 ">
        <w:r w:rsidR="003179F2">
          <w:rPr>
            <w:noProof/>
          </w:rPr>
          <w:t>3</w:t>
        </w:r>
      </w:fldSimple>
      <w:bookmarkEnd w:id="81"/>
      <w:r w:rsidR="0054020F" w:rsidRPr="00FD2861">
        <w:tab/>
      </w:r>
      <w:r w:rsidR="001239B7">
        <w:t>Powerlink</w:t>
      </w:r>
      <w:r w:rsidR="0054020F" w:rsidRPr="00FD2861">
        <w:t>'s proposed RAB for the 20</w:t>
      </w:r>
      <w:r w:rsidR="001239B7">
        <w:t xml:space="preserve">12–17 regulatory control period </w:t>
      </w:r>
      <w:r w:rsidR="0054020F" w:rsidRPr="00FD2861">
        <w:t>($ million, nominal)</w:t>
      </w:r>
    </w:p>
    <w:tbl>
      <w:tblPr>
        <w:tblStyle w:val="AERtable-numbers"/>
        <w:tblW w:w="5000" w:type="pct"/>
        <w:tblLook w:val="01E0" w:firstRow="1" w:lastRow="1" w:firstColumn="1" w:lastColumn="1" w:noHBand="0" w:noVBand="0"/>
      </w:tblPr>
      <w:tblGrid>
        <w:gridCol w:w="3440"/>
        <w:gridCol w:w="1052"/>
        <w:gridCol w:w="1052"/>
        <w:gridCol w:w="1052"/>
        <w:gridCol w:w="1050"/>
        <w:gridCol w:w="1047"/>
      </w:tblGrid>
      <w:tr w:rsidR="00066EBF" w:rsidRPr="00CC5CBE" w:rsidTr="00CB0A6B">
        <w:trPr>
          <w:cnfStyle w:val="100000000000" w:firstRow="1" w:lastRow="0" w:firstColumn="0" w:lastColumn="0" w:oddVBand="0" w:evenVBand="0" w:oddHBand="0"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1979" w:type="pct"/>
          </w:tcPr>
          <w:p w:rsidR="00066EBF" w:rsidRPr="00CC5CBE" w:rsidRDefault="00066EBF" w:rsidP="00CC5CBE"/>
        </w:tc>
        <w:tc>
          <w:tcPr>
            <w:tcW w:w="605" w:type="pct"/>
            <w:vAlign w:val="top"/>
          </w:tcPr>
          <w:p w:rsidR="00066EBF" w:rsidRPr="00CC5CBE" w:rsidRDefault="00066EBF" w:rsidP="00CC5CBE">
            <w:pPr>
              <w:cnfStyle w:val="100000000000" w:firstRow="1" w:lastRow="0" w:firstColumn="0" w:lastColumn="0" w:oddVBand="0" w:evenVBand="0" w:oddHBand="0" w:evenHBand="0" w:firstRowFirstColumn="0" w:firstRowLastColumn="0" w:lastRowFirstColumn="0" w:lastRowLastColumn="0"/>
            </w:pPr>
            <w:r w:rsidRPr="00CC5CBE">
              <w:t>2012–13</w:t>
            </w:r>
          </w:p>
        </w:tc>
        <w:tc>
          <w:tcPr>
            <w:tcW w:w="605" w:type="pct"/>
            <w:vAlign w:val="top"/>
          </w:tcPr>
          <w:p w:rsidR="00066EBF" w:rsidRPr="00CC5CBE" w:rsidRDefault="00066EBF" w:rsidP="00CC5CBE">
            <w:pPr>
              <w:cnfStyle w:val="100000000000" w:firstRow="1" w:lastRow="0" w:firstColumn="0" w:lastColumn="0" w:oddVBand="0" w:evenVBand="0" w:oddHBand="0" w:evenHBand="0" w:firstRowFirstColumn="0" w:firstRowLastColumn="0" w:lastRowFirstColumn="0" w:lastRowLastColumn="0"/>
            </w:pPr>
            <w:r w:rsidRPr="00CC5CBE">
              <w:t>2013–14</w:t>
            </w:r>
          </w:p>
        </w:tc>
        <w:tc>
          <w:tcPr>
            <w:tcW w:w="605" w:type="pct"/>
            <w:vAlign w:val="top"/>
          </w:tcPr>
          <w:p w:rsidR="00066EBF" w:rsidRPr="00CC5CBE" w:rsidRDefault="00066EBF" w:rsidP="00CC5CBE">
            <w:pPr>
              <w:cnfStyle w:val="100000000000" w:firstRow="1" w:lastRow="0" w:firstColumn="0" w:lastColumn="0" w:oddVBand="0" w:evenVBand="0" w:oddHBand="0" w:evenHBand="0" w:firstRowFirstColumn="0" w:firstRowLastColumn="0" w:lastRowFirstColumn="0" w:lastRowLastColumn="0"/>
            </w:pPr>
            <w:r w:rsidRPr="00CC5CBE">
              <w:t>2014–15</w:t>
            </w:r>
          </w:p>
        </w:tc>
        <w:tc>
          <w:tcPr>
            <w:tcW w:w="604" w:type="pct"/>
            <w:vAlign w:val="top"/>
          </w:tcPr>
          <w:p w:rsidR="00066EBF" w:rsidRPr="00CC5CBE" w:rsidRDefault="00066EBF" w:rsidP="00F94CF8">
            <w:pPr>
              <w:cnfStyle w:val="100000000000" w:firstRow="1" w:lastRow="0" w:firstColumn="0" w:lastColumn="0" w:oddVBand="0" w:evenVBand="0" w:oddHBand="0" w:evenHBand="0" w:firstRowFirstColumn="0" w:firstRowLastColumn="0" w:lastRowFirstColumn="0" w:lastRowLastColumn="0"/>
            </w:pPr>
            <w:r w:rsidRPr="00CC5CBE">
              <w:t>2015–16</w:t>
            </w:r>
            <w:r w:rsidR="00F94CF8" w:rsidRPr="00F94CF8">
              <w:rPr>
                <w:rStyle w:val="AERsuperscript"/>
              </w:rPr>
              <w:t>a</w:t>
            </w:r>
          </w:p>
        </w:tc>
        <w:tc>
          <w:tcPr>
            <w:tcW w:w="602" w:type="pct"/>
            <w:vAlign w:val="top"/>
          </w:tcPr>
          <w:p w:rsidR="00066EBF" w:rsidRPr="00CC5CBE" w:rsidRDefault="00066EBF" w:rsidP="00F94CF8">
            <w:pPr>
              <w:cnfStyle w:val="100000000000" w:firstRow="1" w:lastRow="0" w:firstColumn="0" w:lastColumn="0" w:oddVBand="0" w:evenVBand="0" w:oddHBand="0" w:evenHBand="0" w:firstRowFirstColumn="0" w:firstRowLastColumn="0" w:lastRowFirstColumn="0" w:lastRowLastColumn="0"/>
            </w:pPr>
            <w:r w:rsidRPr="00CC5CBE">
              <w:t>2016–17</w:t>
            </w:r>
            <w:r w:rsidR="00F94CF8" w:rsidRPr="00F94CF8">
              <w:rPr>
                <w:rStyle w:val="AERsuperscript"/>
              </w:rPr>
              <w:t>a</w:t>
            </w:r>
          </w:p>
        </w:tc>
      </w:tr>
      <w:tr w:rsidR="00F94CF8" w:rsidRPr="00CC5CBE" w:rsidTr="00BA5DCF">
        <w:trPr>
          <w:trHeight w:val="528"/>
        </w:trPr>
        <w:tc>
          <w:tcPr>
            <w:cnfStyle w:val="001000000000" w:firstRow="0" w:lastRow="0" w:firstColumn="1" w:lastColumn="0" w:oddVBand="0" w:evenVBand="0" w:oddHBand="0" w:evenHBand="0" w:firstRowFirstColumn="0" w:firstRowLastColumn="0" w:lastRowFirstColumn="0" w:lastRowLastColumn="0"/>
            <w:tcW w:w="1979" w:type="pct"/>
          </w:tcPr>
          <w:p w:rsidR="00F94CF8" w:rsidRPr="00F94CF8" w:rsidRDefault="00F94CF8" w:rsidP="00F94CF8">
            <w:r w:rsidRPr="00F94CF8">
              <w:t>Opening RAB</w:t>
            </w:r>
          </w:p>
        </w:tc>
        <w:tc>
          <w:tcPr>
            <w:tcW w:w="605" w:type="pct"/>
            <w:vAlign w:val="bottom"/>
          </w:tcPr>
          <w:p w:rsidR="00F94CF8" w:rsidRPr="00F94CF8" w:rsidRDefault="00F94CF8" w:rsidP="00F94CF8">
            <w:pPr>
              <w:cnfStyle w:val="000000000000" w:firstRow="0" w:lastRow="0" w:firstColumn="0" w:lastColumn="0" w:oddVBand="0" w:evenVBand="0" w:oddHBand="0" w:evenHBand="0" w:firstRowFirstColumn="0" w:firstRowLastColumn="0" w:lastRowFirstColumn="0" w:lastRowLastColumn="0"/>
            </w:pPr>
            <w:r w:rsidRPr="00F94CF8">
              <w:t>6428.8</w:t>
            </w:r>
          </w:p>
        </w:tc>
        <w:tc>
          <w:tcPr>
            <w:tcW w:w="605" w:type="pct"/>
            <w:vAlign w:val="bottom"/>
          </w:tcPr>
          <w:p w:rsidR="00F94CF8" w:rsidRPr="00F94CF8" w:rsidRDefault="00F94CF8" w:rsidP="00F94CF8">
            <w:pPr>
              <w:cnfStyle w:val="000000000000" w:firstRow="0" w:lastRow="0" w:firstColumn="0" w:lastColumn="0" w:oddVBand="0" w:evenVBand="0" w:oddHBand="0" w:evenHBand="0" w:firstRowFirstColumn="0" w:firstRowLastColumn="0" w:lastRowFirstColumn="0" w:lastRowLastColumn="0"/>
            </w:pPr>
            <w:r w:rsidRPr="00F94CF8">
              <w:t>6847.9</w:t>
            </w:r>
          </w:p>
        </w:tc>
        <w:tc>
          <w:tcPr>
            <w:tcW w:w="605" w:type="pct"/>
            <w:vAlign w:val="bottom"/>
          </w:tcPr>
          <w:p w:rsidR="00F94CF8" w:rsidRPr="00F94CF8" w:rsidRDefault="00F94CF8" w:rsidP="00F94CF8">
            <w:pPr>
              <w:cnfStyle w:val="000000000000" w:firstRow="0" w:lastRow="0" w:firstColumn="0" w:lastColumn="0" w:oddVBand="0" w:evenVBand="0" w:oddHBand="0" w:evenHBand="0" w:firstRowFirstColumn="0" w:firstRowLastColumn="0" w:lastRowFirstColumn="0" w:lastRowLastColumn="0"/>
            </w:pPr>
            <w:r w:rsidRPr="00F94CF8">
              <w:t>7149.0</w:t>
            </w:r>
          </w:p>
        </w:tc>
        <w:tc>
          <w:tcPr>
            <w:tcW w:w="604" w:type="pct"/>
            <w:vAlign w:val="bottom"/>
          </w:tcPr>
          <w:p w:rsidR="00F94CF8" w:rsidRPr="00F94CF8" w:rsidRDefault="00F94CF8" w:rsidP="00F94CF8">
            <w:pPr>
              <w:cnfStyle w:val="000000000000" w:firstRow="0" w:lastRow="0" w:firstColumn="0" w:lastColumn="0" w:oddVBand="0" w:evenVBand="0" w:oddHBand="0" w:evenHBand="0" w:firstRowFirstColumn="0" w:firstRowLastColumn="0" w:lastRowFirstColumn="0" w:lastRowLastColumn="0"/>
            </w:pPr>
            <w:r w:rsidRPr="00F94CF8">
              <w:t>7152.5</w:t>
            </w:r>
          </w:p>
        </w:tc>
        <w:tc>
          <w:tcPr>
            <w:tcW w:w="602" w:type="pct"/>
            <w:vAlign w:val="bottom"/>
          </w:tcPr>
          <w:p w:rsidR="00F94CF8" w:rsidRPr="00F94CF8" w:rsidRDefault="00F94CF8" w:rsidP="00F94CF8">
            <w:pPr>
              <w:cnfStyle w:val="000000000000" w:firstRow="0" w:lastRow="0" w:firstColumn="0" w:lastColumn="0" w:oddVBand="0" w:evenVBand="0" w:oddHBand="0" w:evenHBand="0" w:firstRowFirstColumn="0" w:firstRowLastColumn="0" w:lastRowFirstColumn="0" w:lastRowLastColumn="0"/>
            </w:pPr>
            <w:r w:rsidRPr="00F94CF8">
              <w:t>7217.5</w:t>
            </w:r>
          </w:p>
        </w:tc>
      </w:tr>
      <w:tr w:rsidR="00F94CF8" w:rsidRPr="00CC5CBE" w:rsidTr="00BA5DCF">
        <w:trPr>
          <w:cnfStyle w:val="000000010000" w:firstRow="0" w:lastRow="0" w:firstColumn="0" w:lastColumn="0" w:oddVBand="0" w:evenVBand="0" w:oddHBand="0" w:evenHBand="1"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1979" w:type="pct"/>
          </w:tcPr>
          <w:p w:rsidR="00F94CF8" w:rsidRPr="00F94CF8" w:rsidRDefault="00F94CF8" w:rsidP="00F94CF8">
            <w:r w:rsidRPr="00F94CF8">
              <w:t>Capital expenditure</w:t>
            </w:r>
            <w:r w:rsidRPr="00F94CF8">
              <w:rPr>
                <w:rStyle w:val="AERsuperscript"/>
              </w:rPr>
              <w:t>b</w:t>
            </w:r>
          </w:p>
        </w:tc>
        <w:tc>
          <w:tcPr>
            <w:tcW w:w="605" w:type="pct"/>
            <w:vAlign w:val="bottom"/>
          </w:tcPr>
          <w:p w:rsidR="00F94CF8" w:rsidRPr="00F94CF8" w:rsidRDefault="00F94CF8" w:rsidP="00F94CF8">
            <w:pPr>
              <w:cnfStyle w:val="000000010000" w:firstRow="0" w:lastRow="0" w:firstColumn="0" w:lastColumn="0" w:oddVBand="0" w:evenVBand="0" w:oddHBand="0" w:evenHBand="1" w:firstRowFirstColumn="0" w:firstRowLastColumn="0" w:lastRowFirstColumn="0" w:lastRowLastColumn="0"/>
            </w:pPr>
            <w:r w:rsidRPr="00F94CF8">
              <w:t>464.3</w:t>
            </w:r>
          </w:p>
        </w:tc>
        <w:tc>
          <w:tcPr>
            <w:tcW w:w="605" w:type="pct"/>
            <w:vAlign w:val="bottom"/>
          </w:tcPr>
          <w:p w:rsidR="00F94CF8" w:rsidRPr="00F94CF8" w:rsidRDefault="00F94CF8" w:rsidP="00F94CF8">
            <w:pPr>
              <w:cnfStyle w:val="000000010000" w:firstRow="0" w:lastRow="0" w:firstColumn="0" w:lastColumn="0" w:oddVBand="0" w:evenVBand="0" w:oddHBand="0" w:evenHBand="1" w:firstRowFirstColumn="0" w:firstRowLastColumn="0" w:lastRowFirstColumn="0" w:lastRowLastColumn="0"/>
            </w:pPr>
            <w:r w:rsidRPr="00F94CF8">
              <w:t>329.1</w:t>
            </w:r>
          </w:p>
        </w:tc>
        <w:tc>
          <w:tcPr>
            <w:tcW w:w="605" w:type="pct"/>
            <w:vAlign w:val="bottom"/>
          </w:tcPr>
          <w:p w:rsidR="00F94CF8" w:rsidRPr="00F94CF8" w:rsidRDefault="00F94CF8" w:rsidP="00F94CF8">
            <w:pPr>
              <w:cnfStyle w:val="000000010000" w:firstRow="0" w:lastRow="0" w:firstColumn="0" w:lastColumn="0" w:oddVBand="0" w:evenVBand="0" w:oddHBand="0" w:evenHBand="1" w:firstRowFirstColumn="0" w:firstRowLastColumn="0" w:lastRowFirstColumn="0" w:lastRowLastColumn="0"/>
            </w:pPr>
            <w:r w:rsidRPr="00F94CF8">
              <w:t>163.8</w:t>
            </w:r>
          </w:p>
        </w:tc>
        <w:tc>
          <w:tcPr>
            <w:tcW w:w="604" w:type="pct"/>
            <w:vAlign w:val="bottom"/>
          </w:tcPr>
          <w:p w:rsidR="00F94CF8" w:rsidRPr="00F94CF8" w:rsidRDefault="00F94CF8" w:rsidP="00F94CF8">
            <w:pPr>
              <w:cnfStyle w:val="000000010000" w:firstRow="0" w:lastRow="0" w:firstColumn="0" w:lastColumn="0" w:oddVBand="0" w:evenVBand="0" w:oddHBand="0" w:evenHBand="1" w:firstRowFirstColumn="0" w:firstRowLastColumn="0" w:lastRowFirstColumn="0" w:lastRowLastColumn="0"/>
            </w:pPr>
            <w:r w:rsidRPr="00F94CF8">
              <w:t>167.5</w:t>
            </w:r>
          </w:p>
        </w:tc>
        <w:tc>
          <w:tcPr>
            <w:tcW w:w="602" w:type="pct"/>
            <w:vAlign w:val="bottom"/>
          </w:tcPr>
          <w:p w:rsidR="00F94CF8" w:rsidRPr="00F94CF8" w:rsidRDefault="00F94CF8" w:rsidP="00F94CF8">
            <w:pPr>
              <w:cnfStyle w:val="000000010000" w:firstRow="0" w:lastRow="0" w:firstColumn="0" w:lastColumn="0" w:oddVBand="0" w:evenVBand="0" w:oddHBand="0" w:evenHBand="1" w:firstRowFirstColumn="0" w:firstRowLastColumn="0" w:lastRowFirstColumn="0" w:lastRowLastColumn="0"/>
            </w:pPr>
            <w:r w:rsidRPr="00F94CF8">
              <w:t>220.6</w:t>
            </w:r>
          </w:p>
        </w:tc>
      </w:tr>
      <w:tr w:rsidR="00F94CF8" w:rsidRPr="00CC5CBE" w:rsidTr="00BA5DCF">
        <w:trPr>
          <w:trHeight w:val="528"/>
        </w:trPr>
        <w:tc>
          <w:tcPr>
            <w:cnfStyle w:val="001000000000" w:firstRow="0" w:lastRow="0" w:firstColumn="1" w:lastColumn="0" w:oddVBand="0" w:evenVBand="0" w:oddHBand="0" w:evenHBand="0" w:firstRowFirstColumn="0" w:firstRowLastColumn="0" w:lastRowFirstColumn="0" w:lastRowLastColumn="0"/>
            <w:tcW w:w="1979" w:type="pct"/>
          </w:tcPr>
          <w:p w:rsidR="00F94CF8" w:rsidRPr="00F94CF8" w:rsidRDefault="00F94CF8" w:rsidP="00F94CF8">
            <w:r w:rsidRPr="00F94CF8">
              <w:t>CPI indexation on opening RAB</w:t>
            </w:r>
          </w:p>
        </w:tc>
        <w:tc>
          <w:tcPr>
            <w:tcW w:w="605" w:type="pct"/>
            <w:vAlign w:val="bottom"/>
          </w:tcPr>
          <w:p w:rsidR="00F94CF8" w:rsidRPr="00F94CF8" w:rsidRDefault="00F94CF8" w:rsidP="00F94CF8">
            <w:pPr>
              <w:cnfStyle w:val="000000000000" w:firstRow="0" w:lastRow="0" w:firstColumn="0" w:lastColumn="0" w:oddVBand="0" w:evenVBand="0" w:oddHBand="0" w:evenHBand="0" w:firstRowFirstColumn="0" w:firstRowLastColumn="0" w:lastRowFirstColumn="0" w:lastRowLastColumn="0"/>
            </w:pPr>
            <w:r w:rsidRPr="00F94CF8">
              <w:t>160.9</w:t>
            </w:r>
          </w:p>
        </w:tc>
        <w:tc>
          <w:tcPr>
            <w:tcW w:w="605" w:type="pct"/>
            <w:vAlign w:val="bottom"/>
          </w:tcPr>
          <w:p w:rsidR="00F94CF8" w:rsidRPr="00F94CF8" w:rsidRDefault="00F94CF8" w:rsidP="00F94CF8">
            <w:pPr>
              <w:cnfStyle w:val="000000000000" w:firstRow="0" w:lastRow="0" w:firstColumn="0" w:lastColumn="0" w:oddVBand="0" w:evenVBand="0" w:oddHBand="0" w:evenHBand="0" w:firstRowFirstColumn="0" w:firstRowLastColumn="0" w:lastRowFirstColumn="0" w:lastRowLastColumn="0"/>
            </w:pPr>
            <w:r w:rsidRPr="00F94CF8">
              <w:t>200.6</w:t>
            </w:r>
          </w:p>
        </w:tc>
        <w:tc>
          <w:tcPr>
            <w:tcW w:w="605" w:type="pct"/>
            <w:vAlign w:val="bottom"/>
          </w:tcPr>
          <w:p w:rsidR="00F94CF8" w:rsidRPr="00F94CF8" w:rsidRDefault="00F94CF8" w:rsidP="00F94CF8">
            <w:pPr>
              <w:cnfStyle w:val="000000000000" w:firstRow="0" w:lastRow="0" w:firstColumn="0" w:lastColumn="0" w:oddVBand="0" w:evenVBand="0" w:oddHBand="0" w:evenHBand="0" w:firstRowFirstColumn="0" w:firstRowLastColumn="0" w:lastRowFirstColumn="0" w:lastRowLastColumn="0"/>
            </w:pPr>
            <w:r w:rsidRPr="00F94CF8">
              <w:t>95.1</w:t>
            </w:r>
          </w:p>
        </w:tc>
        <w:tc>
          <w:tcPr>
            <w:tcW w:w="604" w:type="pct"/>
            <w:vAlign w:val="bottom"/>
          </w:tcPr>
          <w:p w:rsidR="00F94CF8" w:rsidRPr="00F94CF8" w:rsidRDefault="00F94CF8" w:rsidP="00F94CF8">
            <w:pPr>
              <w:cnfStyle w:val="000000000000" w:firstRow="0" w:lastRow="0" w:firstColumn="0" w:lastColumn="0" w:oddVBand="0" w:evenVBand="0" w:oddHBand="0" w:evenHBand="0" w:firstRowFirstColumn="0" w:firstRowLastColumn="0" w:lastRowFirstColumn="0" w:lastRowLastColumn="0"/>
            </w:pPr>
            <w:r w:rsidRPr="00F94CF8">
              <w:t>168.1</w:t>
            </w:r>
          </w:p>
        </w:tc>
        <w:tc>
          <w:tcPr>
            <w:tcW w:w="602" w:type="pct"/>
            <w:vAlign w:val="bottom"/>
          </w:tcPr>
          <w:p w:rsidR="00F94CF8" w:rsidRPr="00F94CF8" w:rsidRDefault="00F94CF8" w:rsidP="00F94CF8">
            <w:pPr>
              <w:cnfStyle w:val="000000000000" w:firstRow="0" w:lastRow="0" w:firstColumn="0" w:lastColumn="0" w:oddVBand="0" w:evenVBand="0" w:oddHBand="0" w:evenHBand="0" w:firstRowFirstColumn="0" w:firstRowLastColumn="0" w:lastRowFirstColumn="0" w:lastRowLastColumn="0"/>
            </w:pPr>
            <w:r w:rsidRPr="00F94CF8">
              <w:t>176.8</w:t>
            </w:r>
          </w:p>
        </w:tc>
      </w:tr>
      <w:tr w:rsidR="00F94CF8" w:rsidRPr="00CC5CBE" w:rsidTr="00BA5DCF">
        <w:trPr>
          <w:cnfStyle w:val="000000010000" w:firstRow="0" w:lastRow="0" w:firstColumn="0" w:lastColumn="0" w:oddVBand="0" w:evenVBand="0" w:oddHBand="0" w:evenHBand="1"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1979" w:type="pct"/>
          </w:tcPr>
          <w:p w:rsidR="00F94CF8" w:rsidRPr="00F94CF8" w:rsidRDefault="00F94CF8" w:rsidP="00F94CF8">
            <w:r w:rsidRPr="00F94CF8">
              <w:t>Straight-line depreciation</w:t>
            </w:r>
            <w:r>
              <w:rPr>
                <w:rStyle w:val="AERsuperscript"/>
              </w:rPr>
              <w:t>c</w:t>
            </w:r>
          </w:p>
        </w:tc>
        <w:tc>
          <w:tcPr>
            <w:tcW w:w="605" w:type="pct"/>
            <w:vAlign w:val="bottom"/>
          </w:tcPr>
          <w:p w:rsidR="00F94CF8" w:rsidRPr="00F94CF8" w:rsidRDefault="00F94CF8" w:rsidP="00F94CF8">
            <w:pPr>
              <w:cnfStyle w:val="000000010000" w:firstRow="0" w:lastRow="0" w:firstColumn="0" w:lastColumn="0" w:oddVBand="0" w:evenVBand="0" w:oddHBand="0" w:evenHBand="1" w:firstRowFirstColumn="0" w:firstRowLastColumn="0" w:lastRowFirstColumn="0" w:lastRowLastColumn="0"/>
            </w:pPr>
            <w:r w:rsidRPr="00F94CF8">
              <w:t>206.0</w:t>
            </w:r>
          </w:p>
        </w:tc>
        <w:tc>
          <w:tcPr>
            <w:tcW w:w="605" w:type="pct"/>
            <w:vAlign w:val="bottom"/>
          </w:tcPr>
          <w:p w:rsidR="00F94CF8" w:rsidRPr="00F94CF8" w:rsidRDefault="00F94CF8" w:rsidP="00F94CF8">
            <w:pPr>
              <w:cnfStyle w:val="000000010000" w:firstRow="0" w:lastRow="0" w:firstColumn="0" w:lastColumn="0" w:oddVBand="0" w:evenVBand="0" w:oddHBand="0" w:evenHBand="1" w:firstRowFirstColumn="0" w:firstRowLastColumn="0" w:lastRowFirstColumn="0" w:lastRowLastColumn="0"/>
            </w:pPr>
            <w:r w:rsidRPr="00F94CF8">
              <w:t>228.7</w:t>
            </w:r>
          </w:p>
        </w:tc>
        <w:tc>
          <w:tcPr>
            <w:tcW w:w="605" w:type="pct"/>
            <w:vAlign w:val="bottom"/>
          </w:tcPr>
          <w:p w:rsidR="00F94CF8" w:rsidRPr="00F94CF8" w:rsidRDefault="00F94CF8" w:rsidP="00F94CF8">
            <w:pPr>
              <w:cnfStyle w:val="000000010000" w:firstRow="0" w:lastRow="0" w:firstColumn="0" w:lastColumn="0" w:oddVBand="0" w:evenVBand="0" w:oddHBand="0" w:evenHBand="1" w:firstRowFirstColumn="0" w:firstRowLastColumn="0" w:lastRowFirstColumn="0" w:lastRowLastColumn="0"/>
            </w:pPr>
            <w:r w:rsidRPr="00F94CF8">
              <w:t>255.3</w:t>
            </w:r>
          </w:p>
        </w:tc>
        <w:tc>
          <w:tcPr>
            <w:tcW w:w="604" w:type="pct"/>
            <w:vAlign w:val="bottom"/>
          </w:tcPr>
          <w:p w:rsidR="00F94CF8" w:rsidRPr="00F94CF8" w:rsidRDefault="00F94CF8" w:rsidP="00F94CF8">
            <w:pPr>
              <w:cnfStyle w:val="000000010000" w:firstRow="0" w:lastRow="0" w:firstColumn="0" w:lastColumn="0" w:oddVBand="0" w:evenVBand="0" w:oddHBand="0" w:evenHBand="1" w:firstRowFirstColumn="0" w:firstRowLastColumn="0" w:lastRowFirstColumn="0" w:lastRowLastColumn="0"/>
            </w:pPr>
            <w:r w:rsidRPr="00F94CF8">
              <w:t>270.7</w:t>
            </w:r>
          </w:p>
        </w:tc>
        <w:tc>
          <w:tcPr>
            <w:tcW w:w="602" w:type="pct"/>
            <w:vAlign w:val="bottom"/>
          </w:tcPr>
          <w:p w:rsidR="00F94CF8" w:rsidRPr="00F94CF8" w:rsidRDefault="00F94CF8" w:rsidP="00F94CF8">
            <w:pPr>
              <w:cnfStyle w:val="000000010000" w:firstRow="0" w:lastRow="0" w:firstColumn="0" w:lastColumn="0" w:oddVBand="0" w:evenVBand="0" w:oddHBand="0" w:evenHBand="1" w:firstRowFirstColumn="0" w:firstRowLastColumn="0" w:lastRowFirstColumn="0" w:lastRowLastColumn="0"/>
            </w:pPr>
            <w:r w:rsidRPr="00F94CF8">
              <w:t>279.5</w:t>
            </w:r>
          </w:p>
        </w:tc>
      </w:tr>
      <w:tr w:rsidR="00F94CF8" w:rsidRPr="00CC5CBE" w:rsidTr="00BA5DCF">
        <w:trPr>
          <w:trHeight w:val="528"/>
        </w:trPr>
        <w:tc>
          <w:tcPr>
            <w:cnfStyle w:val="001000000000" w:firstRow="0" w:lastRow="0" w:firstColumn="1" w:lastColumn="0" w:oddVBand="0" w:evenVBand="0" w:oddHBand="0" w:evenHBand="0" w:firstRowFirstColumn="0" w:firstRowLastColumn="0" w:lastRowFirstColumn="0" w:lastRowLastColumn="0"/>
            <w:tcW w:w="1979" w:type="pct"/>
          </w:tcPr>
          <w:p w:rsidR="00F94CF8" w:rsidRPr="00F94CF8" w:rsidRDefault="00F94CF8" w:rsidP="00F94CF8">
            <w:r w:rsidRPr="00F94CF8">
              <w:t>Closing RAB</w:t>
            </w:r>
          </w:p>
        </w:tc>
        <w:tc>
          <w:tcPr>
            <w:tcW w:w="605" w:type="pct"/>
            <w:vAlign w:val="bottom"/>
          </w:tcPr>
          <w:p w:rsidR="00F94CF8" w:rsidRPr="00F94CF8" w:rsidRDefault="00F94CF8" w:rsidP="00F94CF8">
            <w:pPr>
              <w:cnfStyle w:val="000000000000" w:firstRow="0" w:lastRow="0" w:firstColumn="0" w:lastColumn="0" w:oddVBand="0" w:evenVBand="0" w:oddHBand="0" w:evenHBand="0" w:firstRowFirstColumn="0" w:firstRowLastColumn="0" w:lastRowFirstColumn="0" w:lastRowLastColumn="0"/>
            </w:pPr>
            <w:r w:rsidRPr="00F94CF8">
              <w:t>6847.9</w:t>
            </w:r>
          </w:p>
        </w:tc>
        <w:tc>
          <w:tcPr>
            <w:tcW w:w="605" w:type="pct"/>
            <w:vAlign w:val="bottom"/>
          </w:tcPr>
          <w:p w:rsidR="00F94CF8" w:rsidRPr="00F94CF8" w:rsidRDefault="00F94CF8" w:rsidP="00F94CF8">
            <w:pPr>
              <w:cnfStyle w:val="000000000000" w:firstRow="0" w:lastRow="0" w:firstColumn="0" w:lastColumn="0" w:oddVBand="0" w:evenVBand="0" w:oddHBand="0" w:evenHBand="0" w:firstRowFirstColumn="0" w:firstRowLastColumn="0" w:lastRowFirstColumn="0" w:lastRowLastColumn="0"/>
            </w:pPr>
            <w:r w:rsidRPr="00F94CF8">
              <w:t>7149.0</w:t>
            </w:r>
          </w:p>
        </w:tc>
        <w:tc>
          <w:tcPr>
            <w:tcW w:w="605" w:type="pct"/>
            <w:vAlign w:val="bottom"/>
          </w:tcPr>
          <w:p w:rsidR="00F94CF8" w:rsidRPr="00F94CF8" w:rsidRDefault="00F94CF8" w:rsidP="00F94CF8">
            <w:pPr>
              <w:cnfStyle w:val="000000000000" w:firstRow="0" w:lastRow="0" w:firstColumn="0" w:lastColumn="0" w:oddVBand="0" w:evenVBand="0" w:oddHBand="0" w:evenHBand="0" w:firstRowFirstColumn="0" w:firstRowLastColumn="0" w:lastRowFirstColumn="0" w:lastRowLastColumn="0"/>
            </w:pPr>
            <w:r w:rsidRPr="00F94CF8">
              <w:t>7152.5</w:t>
            </w:r>
          </w:p>
        </w:tc>
        <w:tc>
          <w:tcPr>
            <w:tcW w:w="604" w:type="pct"/>
            <w:vAlign w:val="bottom"/>
          </w:tcPr>
          <w:p w:rsidR="00F94CF8" w:rsidRPr="00F94CF8" w:rsidRDefault="00F94CF8" w:rsidP="00F94CF8">
            <w:pPr>
              <w:cnfStyle w:val="000000000000" w:firstRow="0" w:lastRow="0" w:firstColumn="0" w:lastColumn="0" w:oddVBand="0" w:evenVBand="0" w:oddHBand="0" w:evenHBand="0" w:firstRowFirstColumn="0" w:firstRowLastColumn="0" w:lastRowFirstColumn="0" w:lastRowLastColumn="0"/>
            </w:pPr>
            <w:r w:rsidRPr="00F94CF8">
              <w:t>7217.5</w:t>
            </w:r>
          </w:p>
        </w:tc>
        <w:tc>
          <w:tcPr>
            <w:tcW w:w="602" w:type="pct"/>
            <w:vAlign w:val="bottom"/>
          </w:tcPr>
          <w:p w:rsidR="00F94CF8" w:rsidRPr="00F94CF8" w:rsidRDefault="00F94CF8" w:rsidP="00F94CF8">
            <w:pPr>
              <w:cnfStyle w:val="000000000000" w:firstRow="0" w:lastRow="0" w:firstColumn="0" w:lastColumn="0" w:oddVBand="0" w:evenVBand="0" w:oddHBand="0" w:evenHBand="0" w:firstRowFirstColumn="0" w:firstRowLastColumn="0" w:lastRowFirstColumn="0" w:lastRowLastColumn="0"/>
            </w:pPr>
            <w:r w:rsidRPr="00F94CF8">
              <w:t>7335.4</w:t>
            </w:r>
          </w:p>
        </w:tc>
      </w:tr>
      <w:tr w:rsidR="00F94CF8" w:rsidRPr="00CC5CBE" w:rsidTr="00BA5DCF">
        <w:trPr>
          <w:cnfStyle w:val="000000010000" w:firstRow="0" w:lastRow="0" w:firstColumn="0" w:lastColumn="0" w:oddVBand="0" w:evenVBand="0" w:oddHBand="0" w:evenHBand="1"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1979" w:type="pct"/>
          </w:tcPr>
          <w:p w:rsidR="00F94CF8" w:rsidRPr="00F94CF8" w:rsidRDefault="00F94CF8" w:rsidP="00F94CF8">
            <w:r w:rsidRPr="00F94CF8">
              <w:t>Difference between estimated and actual capex (1 July  20</w:t>
            </w:r>
            <w:r>
              <w:t>11</w:t>
            </w:r>
            <w:r w:rsidRPr="00F94CF8">
              <w:t xml:space="preserve"> to 30 June 20</w:t>
            </w:r>
            <w:r>
              <w:t>12</w:t>
            </w:r>
            <w:r w:rsidRPr="00F94CF8">
              <w:t>)</w:t>
            </w:r>
          </w:p>
        </w:tc>
        <w:tc>
          <w:tcPr>
            <w:tcW w:w="605" w:type="pct"/>
            <w:vAlign w:val="bottom"/>
          </w:tcPr>
          <w:p w:rsidR="00F94CF8" w:rsidRPr="00F94CF8" w:rsidRDefault="00F94CF8">
            <w:pPr>
              <w:cnfStyle w:val="000000010000" w:firstRow="0" w:lastRow="0" w:firstColumn="0" w:lastColumn="0" w:oddVBand="0" w:evenVBand="0" w:oddHBand="0" w:evenHBand="1" w:firstRowFirstColumn="0" w:firstRowLastColumn="0" w:lastRowFirstColumn="0" w:lastRowLastColumn="0"/>
            </w:pPr>
            <w:r w:rsidRPr="00F94CF8">
              <w:t> </w:t>
            </w:r>
          </w:p>
        </w:tc>
        <w:tc>
          <w:tcPr>
            <w:tcW w:w="605" w:type="pct"/>
            <w:vAlign w:val="bottom"/>
          </w:tcPr>
          <w:p w:rsidR="00F94CF8" w:rsidRPr="00F94CF8" w:rsidRDefault="00F94CF8">
            <w:pPr>
              <w:cnfStyle w:val="000000010000" w:firstRow="0" w:lastRow="0" w:firstColumn="0" w:lastColumn="0" w:oddVBand="0" w:evenVBand="0" w:oddHBand="0" w:evenHBand="1" w:firstRowFirstColumn="0" w:firstRowLastColumn="0" w:lastRowFirstColumn="0" w:lastRowLastColumn="0"/>
            </w:pPr>
            <w:r w:rsidRPr="00F94CF8">
              <w:t> </w:t>
            </w:r>
          </w:p>
        </w:tc>
        <w:tc>
          <w:tcPr>
            <w:tcW w:w="605" w:type="pct"/>
            <w:vAlign w:val="bottom"/>
          </w:tcPr>
          <w:p w:rsidR="00F94CF8" w:rsidRPr="00F94CF8" w:rsidRDefault="00F94CF8">
            <w:pPr>
              <w:cnfStyle w:val="000000010000" w:firstRow="0" w:lastRow="0" w:firstColumn="0" w:lastColumn="0" w:oddVBand="0" w:evenVBand="0" w:oddHBand="0" w:evenHBand="1" w:firstRowFirstColumn="0" w:firstRowLastColumn="0" w:lastRowFirstColumn="0" w:lastRowLastColumn="0"/>
            </w:pPr>
            <w:r w:rsidRPr="00F94CF8">
              <w:t> </w:t>
            </w:r>
          </w:p>
        </w:tc>
        <w:tc>
          <w:tcPr>
            <w:tcW w:w="604" w:type="pct"/>
            <w:vAlign w:val="bottom"/>
          </w:tcPr>
          <w:p w:rsidR="00F94CF8" w:rsidRPr="00F94CF8" w:rsidRDefault="00F94CF8">
            <w:pPr>
              <w:cnfStyle w:val="000000010000" w:firstRow="0" w:lastRow="0" w:firstColumn="0" w:lastColumn="0" w:oddVBand="0" w:evenVBand="0" w:oddHBand="0" w:evenHBand="1" w:firstRowFirstColumn="0" w:firstRowLastColumn="0" w:lastRowFirstColumn="0" w:lastRowLastColumn="0"/>
            </w:pPr>
            <w:r w:rsidRPr="00F94CF8">
              <w:t> </w:t>
            </w:r>
          </w:p>
        </w:tc>
        <w:tc>
          <w:tcPr>
            <w:tcW w:w="602" w:type="pct"/>
            <w:vAlign w:val="bottom"/>
          </w:tcPr>
          <w:p w:rsidR="00F94CF8" w:rsidRPr="00F94CF8" w:rsidRDefault="00F94CF8" w:rsidP="00F94CF8">
            <w:pPr>
              <w:cnfStyle w:val="000000010000" w:firstRow="0" w:lastRow="0" w:firstColumn="0" w:lastColumn="0" w:oddVBand="0" w:evenVBand="0" w:oddHBand="0" w:evenHBand="1" w:firstRowFirstColumn="0" w:firstRowLastColumn="0" w:lastRowFirstColumn="0" w:lastRowLastColumn="0"/>
            </w:pPr>
            <w:r w:rsidRPr="00F94CF8">
              <w:t>–65.5</w:t>
            </w:r>
          </w:p>
        </w:tc>
      </w:tr>
      <w:tr w:rsidR="00F94CF8" w:rsidRPr="00CC5CBE" w:rsidTr="00BA5DCF">
        <w:trPr>
          <w:trHeight w:val="528"/>
        </w:trPr>
        <w:tc>
          <w:tcPr>
            <w:cnfStyle w:val="001000000000" w:firstRow="0" w:lastRow="0" w:firstColumn="1" w:lastColumn="0" w:oddVBand="0" w:evenVBand="0" w:oddHBand="0" w:evenHBand="0" w:firstRowFirstColumn="0" w:firstRowLastColumn="0" w:lastRowFirstColumn="0" w:lastRowLastColumn="0"/>
            <w:tcW w:w="1979" w:type="pct"/>
          </w:tcPr>
          <w:p w:rsidR="00F94CF8" w:rsidRPr="00F94CF8" w:rsidRDefault="00F94CF8" w:rsidP="00F94CF8">
            <w:r w:rsidRPr="00F94CF8">
              <w:t>Return on difference for 20</w:t>
            </w:r>
            <w:r>
              <w:t>11</w:t>
            </w:r>
            <w:r w:rsidRPr="00F94CF8">
              <w:t>–</w:t>
            </w:r>
            <w:r>
              <w:t>12</w:t>
            </w:r>
            <w:r w:rsidRPr="00F94CF8">
              <w:t xml:space="preserve"> capex</w:t>
            </w:r>
          </w:p>
        </w:tc>
        <w:tc>
          <w:tcPr>
            <w:tcW w:w="605" w:type="pct"/>
            <w:vAlign w:val="bottom"/>
          </w:tcPr>
          <w:p w:rsidR="00F94CF8" w:rsidRPr="00F94CF8" w:rsidRDefault="00F94CF8">
            <w:pPr>
              <w:cnfStyle w:val="000000000000" w:firstRow="0" w:lastRow="0" w:firstColumn="0" w:lastColumn="0" w:oddVBand="0" w:evenVBand="0" w:oddHBand="0" w:evenHBand="0" w:firstRowFirstColumn="0" w:firstRowLastColumn="0" w:lastRowFirstColumn="0" w:lastRowLastColumn="0"/>
            </w:pPr>
            <w:r w:rsidRPr="00F94CF8">
              <w:t> </w:t>
            </w:r>
          </w:p>
        </w:tc>
        <w:tc>
          <w:tcPr>
            <w:tcW w:w="605" w:type="pct"/>
            <w:vAlign w:val="bottom"/>
          </w:tcPr>
          <w:p w:rsidR="00F94CF8" w:rsidRPr="00F94CF8" w:rsidRDefault="00F94CF8">
            <w:pPr>
              <w:cnfStyle w:val="000000000000" w:firstRow="0" w:lastRow="0" w:firstColumn="0" w:lastColumn="0" w:oddVBand="0" w:evenVBand="0" w:oddHBand="0" w:evenHBand="0" w:firstRowFirstColumn="0" w:firstRowLastColumn="0" w:lastRowFirstColumn="0" w:lastRowLastColumn="0"/>
            </w:pPr>
            <w:r w:rsidRPr="00F94CF8">
              <w:t> </w:t>
            </w:r>
          </w:p>
        </w:tc>
        <w:tc>
          <w:tcPr>
            <w:tcW w:w="605" w:type="pct"/>
            <w:vAlign w:val="bottom"/>
          </w:tcPr>
          <w:p w:rsidR="00F94CF8" w:rsidRPr="00F94CF8" w:rsidRDefault="00F94CF8">
            <w:pPr>
              <w:cnfStyle w:val="000000000000" w:firstRow="0" w:lastRow="0" w:firstColumn="0" w:lastColumn="0" w:oddVBand="0" w:evenVBand="0" w:oddHBand="0" w:evenHBand="0" w:firstRowFirstColumn="0" w:firstRowLastColumn="0" w:lastRowFirstColumn="0" w:lastRowLastColumn="0"/>
            </w:pPr>
            <w:r w:rsidRPr="00F94CF8">
              <w:t> </w:t>
            </w:r>
          </w:p>
        </w:tc>
        <w:tc>
          <w:tcPr>
            <w:tcW w:w="604" w:type="pct"/>
            <w:vAlign w:val="bottom"/>
          </w:tcPr>
          <w:p w:rsidR="00F94CF8" w:rsidRPr="00F94CF8" w:rsidRDefault="00F94CF8">
            <w:pPr>
              <w:cnfStyle w:val="000000000000" w:firstRow="0" w:lastRow="0" w:firstColumn="0" w:lastColumn="0" w:oddVBand="0" w:evenVBand="0" w:oddHBand="0" w:evenHBand="0" w:firstRowFirstColumn="0" w:firstRowLastColumn="0" w:lastRowFirstColumn="0" w:lastRowLastColumn="0"/>
            </w:pPr>
            <w:r w:rsidRPr="00F94CF8">
              <w:t> </w:t>
            </w:r>
          </w:p>
        </w:tc>
        <w:tc>
          <w:tcPr>
            <w:tcW w:w="602" w:type="pct"/>
            <w:vAlign w:val="bottom"/>
          </w:tcPr>
          <w:p w:rsidR="00F94CF8" w:rsidRPr="00F94CF8" w:rsidRDefault="00F94CF8" w:rsidP="00F94CF8">
            <w:pPr>
              <w:cnfStyle w:val="000000000000" w:firstRow="0" w:lastRow="0" w:firstColumn="0" w:lastColumn="0" w:oddVBand="0" w:evenVBand="0" w:oddHBand="0" w:evenHBand="0" w:firstRowFirstColumn="0" w:firstRowLastColumn="0" w:lastRowFirstColumn="0" w:lastRowLastColumn="0"/>
            </w:pPr>
            <w:r w:rsidRPr="00F94CF8">
              <w:t>–32.1</w:t>
            </w:r>
          </w:p>
        </w:tc>
      </w:tr>
      <w:tr w:rsidR="00F94CF8" w:rsidRPr="009E5882" w:rsidTr="00BA5DCF">
        <w:trPr>
          <w:cnfStyle w:val="000000010000" w:firstRow="0" w:lastRow="0" w:firstColumn="0" w:lastColumn="0" w:oddVBand="0" w:evenVBand="0" w:oddHBand="0" w:evenHBand="1"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1979" w:type="pct"/>
          </w:tcPr>
          <w:p w:rsidR="00F94CF8" w:rsidRPr="00592C95" w:rsidRDefault="00F57DD0" w:rsidP="00F57DD0">
            <w:pPr>
              <w:rPr>
                <w:rStyle w:val="Strong"/>
              </w:rPr>
            </w:pPr>
            <w:r>
              <w:rPr>
                <w:rStyle w:val="Strong"/>
              </w:rPr>
              <w:t>Opening RAB as at 1</w:t>
            </w:r>
            <w:r w:rsidR="00F94CF8" w:rsidRPr="00592C95">
              <w:rPr>
                <w:rStyle w:val="Strong"/>
              </w:rPr>
              <w:t xml:space="preserve"> Ju</w:t>
            </w:r>
            <w:r>
              <w:rPr>
                <w:rStyle w:val="Strong"/>
              </w:rPr>
              <w:t>ly</w:t>
            </w:r>
            <w:r w:rsidR="00F94CF8" w:rsidRPr="00592C95">
              <w:rPr>
                <w:rStyle w:val="Strong"/>
              </w:rPr>
              <w:t xml:space="preserve"> 2017</w:t>
            </w:r>
          </w:p>
        </w:tc>
        <w:tc>
          <w:tcPr>
            <w:tcW w:w="605" w:type="pct"/>
            <w:vAlign w:val="bottom"/>
          </w:tcPr>
          <w:p w:rsidR="00F94CF8" w:rsidRPr="00592C95" w:rsidRDefault="00F94CF8">
            <w:pPr>
              <w:cnfStyle w:val="000000010000" w:firstRow="0" w:lastRow="0" w:firstColumn="0" w:lastColumn="0" w:oddVBand="0" w:evenVBand="0" w:oddHBand="0" w:evenHBand="1" w:firstRowFirstColumn="0" w:firstRowLastColumn="0" w:lastRowFirstColumn="0" w:lastRowLastColumn="0"/>
              <w:rPr>
                <w:rStyle w:val="Strong"/>
              </w:rPr>
            </w:pPr>
            <w:r w:rsidRPr="00592C95">
              <w:rPr>
                <w:rStyle w:val="Strong"/>
              </w:rPr>
              <w:t> </w:t>
            </w:r>
          </w:p>
        </w:tc>
        <w:tc>
          <w:tcPr>
            <w:tcW w:w="605" w:type="pct"/>
            <w:vAlign w:val="bottom"/>
          </w:tcPr>
          <w:p w:rsidR="00F94CF8" w:rsidRPr="00592C95" w:rsidRDefault="00F94CF8">
            <w:pPr>
              <w:cnfStyle w:val="000000010000" w:firstRow="0" w:lastRow="0" w:firstColumn="0" w:lastColumn="0" w:oddVBand="0" w:evenVBand="0" w:oddHBand="0" w:evenHBand="1" w:firstRowFirstColumn="0" w:firstRowLastColumn="0" w:lastRowFirstColumn="0" w:lastRowLastColumn="0"/>
              <w:rPr>
                <w:rStyle w:val="Strong"/>
              </w:rPr>
            </w:pPr>
            <w:r w:rsidRPr="00592C95">
              <w:rPr>
                <w:rStyle w:val="Strong"/>
              </w:rPr>
              <w:t> </w:t>
            </w:r>
          </w:p>
        </w:tc>
        <w:tc>
          <w:tcPr>
            <w:tcW w:w="605" w:type="pct"/>
            <w:vAlign w:val="bottom"/>
          </w:tcPr>
          <w:p w:rsidR="00F94CF8" w:rsidRPr="00592C95" w:rsidRDefault="00F94CF8">
            <w:pPr>
              <w:cnfStyle w:val="000000010000" w:firstRow="0" w:lastRow="0" w:firstColumn="0" w:lastColumn="0" w:oddVBand="0" w:evenVBand="0" w:oddHBand="0" w:evenHBand="1" w:firstRowFirstColumn="0" w:firstRowLastColumn="0" w:lastRowFirstColumn="0" w:lastRowLastColumn="0"/>
              <w:rPr>
                <w:rStyle w:val="Strong"/>
              </w:rPr>
            </w:pPr>
            <w:r w:rsidRPr="00592C95">
              <w:rPr>
                <w:rStyle w:val="Strong"/>
              </w:rPr>
              <w:t> </w:t>
            </w:r>
          </w:p>
        </w:tc>
        <w:tc>
          <w:tcPr>
            <w:tcW w:w="604" w:type="pct"/>
            <w:vAlign w:val="bottom"/>
          </w:tcPr>
          <w:p w:rsidR="00F94CF8" w:rsidRPr="00592C95" w:rsidRDefault="00F94CF8">
            <w:pPr>
              <w:cnfStyle w:val="000000010000" w:firstRow="0" w:lastRow="0" w:firstColumn="0" w:lastColumn="0" w:oddVBand="0" w:evenVBand="0" w:oddHBand="0" w:evenHBand="1" w:firstRowFirstColumn="0" w:firstRowLastColumn="0" w:lastRowFirstColumn="0" w:lastRowLastColumn="0"/>
              <w:rPr>
                <w:rStyle w:val="Strong"/>
              </w:rPr>
            </w:pPr>
            <w:r w:rsidRPr="00592C95">
              <w:rPr>
                <w:rStyle w:val="Strong"/>
              </w:rPr>
              <w:t> </w:t>
            </w:r>
          </w:p>
        </w:tc>
        <w:tc>
          <w:tcPr>
            <w:tcW w:w="602" w:type="pct"/>
            <w:vAlign w:val="bottom"/>
          </w:tcPr>
          <w:p w:rsidR="00F94CF8" w:rsidRPr="00592C95" w:rsidRDefault="00F94CF8" w:rsidP="00F94CF8">
            <w:pPr>
              <w:cnfStyle w:val="000000010000" w:firstRow="0" w:lastRow="0" w:firstColumn="0" w:lastColumn="0" w:oddVBand="0" w:evenVBand="0" w:oddHBand="0" w:evenHBand="1" w:firstRowFirstColumn="0" w:firstRowLastColumn="0" w:lastRowFirstColumn="0" w:lastRowLastColumn="0"/>
              <w:rPr>
                <w:rStyle w:val="Strong"/>
              </w:rPr>
            </w:pPr>
            <w:r w:rsidRPr="00592C95">
              <w:rPr>
                <w:rStyle w:val="Strong"/>
              </w:rPr>
              <w:t>7237.9</w:t>
            </w:r>
          </w:p>
        </w:tc>
      </w:tr>
    </w:tbl>
    <w:p w:rsidR="0054020F" w:rsidRPr="00FD2861" w:rsidRDefault="0054020F" w:rsidP="0054020F">
      <w:pPr>
        <w:pStyle w:val="AERtablesource"/>
      </w:pPr>
      <w:r w:rsidRPr="00FD2861">
        <w:t>Source:</w:t>
      </w:r>
      <w:r w:rsidRPr="00FD2861">
        <w:tab/>
      </w:r>
      <w:r w:rsidR="00066EBF">
        <w:t>Powerlink</w:t>
      </w:r>
      <w:r w:rsidRPr="00FD2861">
        <w:t xml:space="preserve">, </w:t>
      </w:r>
      <w:r w:rsidRPr="00FD2861">
        <w:rPr>
          <w:rStyle w:val="AERtextitalic"/>
        </w:rPr>
        <w:t>Roll forward model</w:t>
      </w:r>
      <w:r w:rsidRPr="00FD2861">
        <w:t xml:space="preserve">, </w:t>
      </w:r>
      <w:r w:rsidR="00CB0A6B">
        <w:t>January 2016</w:t>
      </w:r>
      <w:r w:rsidR="004D4C74">
        <w:t>.</w:t>
      </w:r>
    </w:p>
    <w:p w:rsidR="00F94CF8" w:rsidRDefault="0054020F" w:rsidP="00CB0A6B">
      <w:pPr>
        <w:pStyle w:val="AERtablesource"/>
        <w:tabs>
          <w:tab w:val="left" w:pos="5760"/>
        </w:tabs>
      </w:pPr>
      <w:r w:rsidRPr="00FD2861">
        <w:t xml:space="preserve">(a) </w:t>
      </w:r>
      <w:r w:rsidRPr="00FD2861">
        <w:tab/>
      </w:r>
      <w:r w:rsidR="00F94CF8">
        <w:t>Based on estimate</w:t>
      </w:r>
      <w:r w:rsidR="004D4C74">
        <w:t>d capex.</w:t>
      </w:r>
    </w:p>
    <w:p w:rsidR="0054020F" w:rsidRPr="00FD2861" w:rsidRDefault="00F94CF8" w:rsidP="00F94CF8">
      <w:pPr>
        <w:pStyle w:val="AERtablesource"/>
      </w:pPr>
      <w:r>
        <w:t>(b)</w:t>
      </w:r>
      <w:r>
        <w:tab/>
      </w:r>
      <w:r w:rsidRPr="00F94CF8">
        <w:t>As</w:t>
      </w:r>
      <w:r w:rsidR="009E5882">
        <w:t>-</w:t>
      </w:r>
      <w:r w:rsidRPr="00F94CF8">
        <w:t>incurred, net of disposals, and adjusted for actual CPI.</w:t>
      </w:r>
    </w:p>
    <w:p w:rsidR="0054020F" w:rsidRDefault="00F94CF8" w:rsidP="0054020F">
      <w:pPr>
        <w:pStyle w:val="AERtablesource"/>
      </w:pPr>
      <w:r>
        <w:t>(c</w:t>
      </w:r>
      <w:r w:rsidR="0054020F" w:rsidRPr="00FD2861">
        <w:t>)</w:t>
      </w:r>
      <w:r w:rsidR="0054020F" w:rsidRPr="00FD2861">
        <w:tab/>
        <w:t>Adjusted for actual CPI. Based on as-commissioned capex.</w:t>
      </w:r>
    </w:p>
    <w:p w:rsidR="004C057A" w:rsidRPr="004C057A" w:rsidRDefault="004C057A" w:rsidP="004C057A">
      <w:r>
        <w:t>Powerlink</w:t>
      </w:r>
      <w:r w:rsidRPr="007621E7">
        <w:t xml:space="preserve"> proposed a closing forecast RAB as at </w:t>
      </w:r>
      <w:r>
        <w:t xml:space="preserve">30 June </w:t>
      </w:r>
      <w:r w:rsidRPr="007621E7">
        <w:t>202</w:t>
      </w:r>
      <w:r>
        <w:t>2</w:t>
      </w:r>
      <w:r w:rsidRPr="007621E7">
        <w:t xml:space="preserve"> of $</w:t>
      </w:r>
      <w:r>
        <w:t>7662.5 </w:t>
      </w:r>
      <w:r w:rsidRPr="007621E7">
        <w:t>million ($</w:t>
      </w:r>
      <w:r>
        <w:t> </w:t>
      </w:r>
      <w:r w:rsidRPr="007621E7">
        <w:t xml:space="preserve">nominal). This value reflects its proposed opening RAB, forecast capex, </w:t>
      </w:r>
      <w:r>
        <w:t>expected</w:t>
      </w:r>
      <w:r w:rsidRPr="007621E7">
        <w:t xml:space="preserve"> inflation, and depreciation (based on forecast capex) over the 201</w:t>
      </w:r>
      <w:r>
        <w:t>7</w:t>
      </w:r>
      <w:r w:rsidRPr="007621E7">
        <w:t>–2</w:t>
      </w:r>
      <w:r>
        <w:t>2</w:t>
      </w:r>
      <w:r w:rsidRPr="007621E7">
        <w:t xml:space="preserve"> regulatory control period. Its projected RAB over the 201</w:t>
      </w:r>
      <w:r>
        <w:t>7</w:t>
      </w:r>
      <w:r w:rsidRPr="007621E7">
        <w:t>–2</w:t>
      </w:r>
      <w:r>
        <w:t>2</w:t>
      </w:r>
      <w:r w:rsidRPr="007621E7">
        <w:t xml:space="preserve"> regulatory control period is shown in</w:t>
      </w:r>
      <w:r w:rsidR="004D4C74">
        <w:t xml:space="preserve"> </w:t>
      </w:r>
      <w:r w:rsidR="004D4C74">
        <w:fldChar w:fldCharType="begin"/>
      </w:r>
      <w:r w:rsidR="004D4C74">
        <w:instrText xml:space="preserve"> REF _Ref454531052 \h </w:instrText>
      </w:r>
      <w:r w:rsidR="004D4C74">
        <w:fldChar w:fldCharType="separate"/>
      </w:r>
      <w:r w:rsidR="003179F2">
        <w:t xml:space="preserve">Table </w:t>
      </w:r>
      <w:r w:rsidR="003179F2">
        <w:rPr>
          <w:noProof/>
        </w:rPr>
        <w:t>2</w:t>
      </w:r>
      <w:r w:rsidR="003179F2">
        <w:t>.</w:t>
      </w:r>
      <w:r w:rsidR="003179F2">
        <w:rPr>
          <w:noProof/>
        </w:rPr>
        <w:t>4</w:t>
      </w:r>
      <w:r w:rsidR="004D4C74">
        <w:fldChar w:fldCharType="end"/>
      </w:r>
      <w:r>
        <w:t xml:space="preserve">. </w:t>
      </w:r>
    </w:p>
    <w:p w:rsidR="0054020F" w:rsidRDefault="004D4C74" w:rsidP="004D4C74">
      <w:pPr>
        <w:pStyle w:val="Caption"/>
      </w:pPr>
      <w:bookmarkStart w:id="82" w:name="_Ref454531052"/>
      <w:r>
        <w:t xml:space="preserve">Table </w:t>
      </w:r>
      <w:fldSimple w:instr=" STYLEREF 1 \s ">
        <w:r w:rsidR="003179F2">
          <w:rPr>
            <w:noProof/>
          </w:rPr>
          <w:t>2</w:t>
        </w:r>
      </w:fldSimple>
      <w:r>
        <w:t>.</w:t>
      </w:r>
      <w:fldSimple w:instr=" SEQ Table \* ARABIC \s 1 ">
        <w:r w:rsidR="003179F2">
          <w:rPr>
            <w:noProof/>
          </w:rPr>
          <w:t>4</w:t>
        </w:r>
      </w:fldSimple>
      <w:bookmarkEnd w:id="82"/>
      <w:r w:rsidR="0054020F" w:rsidRPr="00FD2861">
        <w:tab/>
      </w:r>
      <w:r w:rsidR="001239B7">
        <w:t>Powerlink's proposed RAB for the 2017</w:t>
      </w:r>
      <w:r w:rsidR="0054020F" w:rsidRPr="00FD2861">
        <w:t>–</w:t>
      </w:r>
      <w:r w:rsidR="001239B7">
        <w:t>22</w:t>
      </w:r>
      <w:r w:rsidR="0054020F">
        <w:t xml:space="preserve"> period </w:t>
      </w:r>
      <w:r w:rsidR="0054020F" w:rsidRPr="00FD2861">
        <w:t>($ million, nominal)</w:t>
      </w:r>
    </w:p>
    <w:tbl>
      <w:tblPr>
        <w:tblStyle w:val="AERtable-numbers"/>
        <w:tblW w:w="8693" w:type="dxa"/>
        <w:tblLayout w:type="fixed"/>
        <w:tblLook w:val="04A0" w:firstRow="1" w:lastRow="0" w:firstColumn="1" w:lastColumn="0" w:noHBand="0" w:noVBand="1"/>
      </w:tblPr>
      <w:tblGrid>
        <w:gridCol w:w="3538"/>
        <w:gridCol w:w="1031"/>
        <w:gridCol w:w="1031"/>
        <w:gridCol w:w="1031"/>
        <w:gridCol w:w="1031"/>
        <w:gridCol w:w="1031"/>
      </w:tblGrid>
      <w:tr w:rsidR="001239B7" w:rsidRPr="0040620E" w:rsidTr="00A43F6F">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3538" w:type="dxa"/>
            <w:noWrap/>
            <w:hideMark/>
          </w:tcPr>
          <w:p w:rsidR="001239B7" w:rsidRPr="0040620E" w:rsidRDefault="001239B7" w:rsidP="0040620E">
            <w:r w:rsidRPr="0040620E">
              <w:t> </w:t>
            </w:r>
          </w:p>
        </w:tc>
        <w:tc>
          <w:tcPr>
            <w:tcW w:w="1031" w:type="dxa"/>
            <w:noWrap/>
            <w:hideMark/>
          </w:tcPr>
          <w:p w:rsidR="001239B7" w:rsidRPr="0040620E" w:rsidRDefault="001239B7" w:rsidP="0040620E">
            <w:pPr>
              <w:cnfStyle w:val="100000000000" w:firstRow="1" w:lastRow="0" w:firstColumn="0" w:lastColumn="0" w:oddVBand="0" w:evenVBand="0" w:oddHBand="0" w:evenHBand="0" w:firstRowFirstColumn="0" w:firstRowLastColumn="0" w:lastRowFirstColumn="0" w:lastRowLastColumn="0"/>
            </w:pPr>
            <w:r w:rsidRPr="0040620E">
              <w:t>2017–18</w:t>
            </w:r>
          </w:p>
        </w:tc>
        <w:tc>
          <w:tcPr>
            <w:tcW w:w="1031" w:type="dxa"/>
            <w:noWrap/>
            <w:hideMark/>
          </w:tcPr>
          <w:p w:rsidR="001239B7" w:rsidRPr="0040620E" w:rsidRDefault="001239B7" w:rsidP="0040620E">
            <w:pPr>
              <w:cnfStyle w:val="100000000000" w:firstRow="1" w:lastRow="0" w:firstColumn="0" w:lastColumn="0" w:oddVBand="0" w:evenVBand="0" w:oddHBand="0" w:evenHBand="0" w:firstRowFirstColumn="0" w:firstRowLastColumn="0" w:lastRowFirstColumn="0" w:lastRowLastColumn="0"/>
            </w:pPr>
            <w:r w:rsidRPr="0040620E">
              <w:t>2018–19</w:t>
            </w:r>
          </w:p>
        </w:tc>
        <w:tc>
          <w:tcPr>
            <w:tcW w:w="1031" w:type="dxa"/>
            <w:noWrap/>
            <w:hideMark/>
          </w:tcPr>
          <w:p w:rsidR="001239B7" w:rsidRPr="0040620E" w:rsidRDefault="001239B7" w:rsidP="0040620E">
            <w:pPr>
              <w:cnfStyle w:val="100000000000" w:firstRow="1" w:lastRow="0" w:firstColumn="0" w:lastColumn="0" w:oddVBand="0" w:evenVBand="0" w:oddHBand="0" w:evenHBand="0" w:firstRowFirstColumn="0" w:firstRowLastColumn="0" w:lastRowFirstColumn="0" w:lastRowLastColumn="0"/>
            </w:pPr>
            <w:r w:rsidRPr="0040620E">
              <w:t>2019–20</w:t>
            </w:r>
          </w:p>
        </w:tc>
        <w:tc>
          <w:tcPr>
            <w:tcW w:w="1031" w:type="dxa"/>
            <w:noWrap/>
            <w:hideMark/>
          </w:tcPr>
          <w:p w:rsidR="001239B7" w:rsidRPr="0040620E" w:rsidRDefault="001239B7" w:rsidP="0040620E">
            <w:pPr>
              <w:cnfStyle w:val="100000000000" w:firstRow="1" w:lastRow="0" w:firstColumn="0" w:lastColumn="0" w:oddVBand="0" w:evenVBand="0" w:oddHBand="0" w:evenHBand="0" w:firstRowFirstColumn="0" w:firstRowLastColumn="0" w:lastRowFirstColumn="0" w:lastRowLastColumn="0"/>
            </w:pPr>
            <w:r w:rsidRPr="0040620E">
              <w:t>2020–21</w:t>
            </w:r>
          </w:p>
        </w:tc>
        <w:tc>
          <w:tcPr>
            <w:tcW w:w="1031" w:type="dxa"/>
            <w:noWrap/>
            <w:hideMark/>
          </w:tcPr>
          <w:p w:rsidR="001239B7" w:rsidRPr="0040620E" w:rsidRDefault="001239B7" w:rsidP="0040620E">
            <w:pPr>
              <w:cnfStyle w:val="100000000000" w:firstRow="1" w:lastRow="0" w:firstColumn="0" w:lastColumn="0" w:oddVBand="0" w:evenVBand="0" w:oddHBand="0" w:evenHBand="0" w:firstRowFirstColumn="0" w:firstRowLastColumn="0" w:lastRowFirstColumn="0" w:lastRowLastColumn="0"/>
            </w:pPr>
            <w:r w:rsidRPr="0040620E">
              <w:t>2021–22</w:t>
            </w:r>
          </w:p>
        </w:tc>
      </w:tr>
      <w:tr w:rsidR="00066EBF" w:rsidRPr="0040620E" w:rsidTr="00A43F6F">
        <w:trPr>
          <w:trHeight w:val="291"/>
        </w:trPr>
        <w:tc>
          <w:tcPr>
            <w:cnfStyle w:val="001000000000" w:firstRow="0" w:lastRow="0" w:firstColumn="1" w:lastColumn="0" w:oddVBand="0" w:evenVBand="0" w:oddHBand="0" w:evenHBand="0" w:firstRowFirstColumn="0" w:firstRowLastColumn="0" w:lastRowFirstColumn="0" w:lastRowLastColumn="0"/>
            <w:tcW w:w="3538" w:type="dxa"/>
            <w:noWrap/>
            <w:hideMark/>
          </w:tcPr>
          <w:p w:rsidR="001239B7" w:rsidRPr="0040620E" w:rsidRDefault="001239B7" w:rsidP="0040620E">
            <w:r w:rsidRPr="0040620E">
              <w:t>Opening RAB</w:t>
            </w:r>
          </w:p>
        </w:tc>
        <w:tc>
          <w:tcPr>
            <w:tcW w:w="1031" w:type="dxa"/>
            <w:noWrap/>
            <w:hideMark/>
          </w:tcPr>
          <w:p w:rsidR="001239B7" w:rsidRPr="0040620E" w:rsidRDefault="001239B7" w:rsidP="0040620E">
            <w:pPr>
              <w:cnfStyle w:val="000000000000" w:firstRow="0" w:lastRow="0" w:firstColumn="0" w:lastColumn="0" w:oddVBand="0" w:evenVBand="0" w:oddHBand="0" w:evenHBand="0" w:firstRowFirstColumn="0" w:firstRowLastColumn="0" w:lastRowFirstColumn="0" w:lastRowLastColumn="0"/>
            </w:pPr>
            <w:r w:rsidRPr="0040620E">
              <w:t>7237.9</w:t>
            </w:r>
          </w:p>
        </w:tc>
        <w:tc>
          <w:tcPr>
            <w:tcW w:w="1031" w:type="dxa"/>
            <w:noWrap/>
            <w:hideMark/>
          </w:tcPr>
          <w:p w:rsidR="001239B7" w:rsidRPr="0040620E" w:rsidRDefault="001239B7" w:rsidP="0040620E">
            <w:pPr>
              <w:cnfStyle w:val="000000000000" w:firstRow="0" w:lastRow="0" w:firstColumn="0" w:lastColumn="0" w:oddVBand="0" w:evenVBand="0" w:oddHBand="0" w:evenHBand="0" w:firstRowFirstColumn="0" w:firstRowLastColumn="0" w:lastRowFirstColumn="0" w:lastRowLastColumn="0"/>
            </w:pPr>
            <w:r w:rsidRPr="0040620E">
              <w:t>7350.3</w:t>
            </w:r>
          </w:p>
        </w:tc>
        <w:tc>
          <w:tcPr>
            <w:tcW w:w="1031" w:type="dxa"/>
            <w:noWrap/>
            <w:hideMark/>
          </w:tcPr>
          <w:p w:rsidR="001239B7" w:rsidRPr="0040620E" w:rsidRDefault="001239B7" w:rsidP="0040620E">
            <w:pPr>
              <w:cnfStyle w:val="000000000000" w:firstRow="0" w:lastRow="0" w:firstColumn="0" w:lastColumn="0" w:oddVBand="0" w:evenVBand="0" w:oddHBand="0" w:evenHBand="0" w:firstRowFirstColumn="0" w:firstRowLastColumn="0" w:lastRowFirstColumn="0" w:lastRowLastColumn="0"/>
            </w:pPr>
            <w:r w:rsidRPr="0040620E">
              <w:t>7447.4</w:t>
            </w:r>
          </w:p>
        </w:tc>
        <w:tc>
          <w:tcPr>
            <w:tcW w:w="1031" w:type="dxa"/>
            <w:noWrap/>
            <w:hideMark/>
          </w:tcPr>
          <w:p w:rsidR="001239B7" w:rsidRPr="0040620E" w:rsidRDefault="001239B7" w:rsidP="0040620E">
            <w:pPr>
              <w:cnfStyle w:val="000000000000" w:firstRow="0" w:lastRow="0" w:firstColumn="0" w:lastColumn="0" w:oddVBand="0" w:evenVBand="0" w:oddHBand="0" w:evenHBand="0" w:firstRowFirstColumn="0" w:firstRowLastColumn="0" w:lastRowFirstColumn="0" w:lastRowLastColumn="0"/>
            </w:pPr>
            <w:r w:rsidRPr="0040620E">
              <w:t>7528.1</w:t>
            </w:r>
          </w:p>
        </w:tc>
        <w:tc>
          <w:tcPr>
            <w:tcW w:w="1031" w:type="dxa"/>
            <w:noWrap/>
            <w:hideMark/>
          </w:tcPr>
          <w:p w:rsidR="001239B7" w:rsidRPr="0040620E" w:rsidRDefault="001239B7" w:rsidP="0040620E">
            <w:pPr>
              <w:cnfStyle w:val="000000000000" w:firstRow="0" w:lastRow="0" w:firstColumn="0" w:lastColumn="0" w:oddVBand="0" w:evenVBand="0" w:oddHBand="0" w:evenHBand="0" w:firstRowFirstColumn="0" w:firstRowLastColumn="0" w:lastRowFirstColumn="0" w:lastRowLastColumn="0"/>
            </w:pPr>
            <w:r w:rsidRPr="0040620E">
              <w:t>7602.3</w:t>
            </w:r>
          </w:p>
        </w:tc>
      </w:tr>
      <w:tr w:rsidR="001239B7" w:rsidRPr="0040620E" w:rsidTr="00A43F6F">
        <w:trPr>
          <w:cnfStyle w:val="000000010000" w:firstRow="0" w:lastRow="0" w:firstColumn="0" w:lastColumn="0" w:oddVBand="0" w:evenVBand="0" w:oddHBand="0" w:evenHBand="1"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3538" w:type="dxa"/>
            <w:noWrap/>
            <w:hideMark/>
          </w:tcPr>
          <w:p w:rsidR="001239B7" w:rsidRPr="0040620E" w:rsidRDefault="001239B7" w:rsidP="0040620E">
            <w:r w:rsidRPr="0040620E">
              <w:t>Capital expenditure</w:t>
            </w:r>
            <w:r w:rsidR="00F94CF8" w:rsidRPr="00F94CF8">
              <w:rPr>
                <w:rStyle w:val="AERsuperscript"/>
              </w:rPr>
              <w:t>a</w:t>
            </w:r>
            <w:r w:rsidRPr="0040620E">
              <w:t xml:space="preserve"> </w:t>
            </w:r>
          </w:p>
        </w:tc>
        <w:tc>
          <w:tcPr>
            <w:tcW w:w="1031" w:type="dxa"/>
            <w:noWrap/>
            <w:hideMark/>
          </w:tcPr>
          <w:p w:rsidR="001239B7" w:rsidRPr="0040620E" w:rsidRDefault="001239B7" w:rsidP="0040620E">
            <w:pPr>
              <w:cnfStyle w:val="000000010000" w:firstRow="0" w:lastRow="0" w:firstColumn="0" w:lastColumn="0" w:oddVBand="0" w:evenVBand="0" w:oddHBand="0" w:evenHBand="1" w:firstRowFirstColumn="0" w:firstRowLastColumn="0" w:lastRowFirstColumn="0" w:lastRowLastColumn="0"/>
            </w:pPr>
            <w:r w:rsidRPr="0040620E">
              <w:t>206.8</w:t>
            </w:r>
          </w:p>
        </w:tc>
        <w:tc>
          <w:tcPr>
            <w:tcW w:w="1031" w:type="dxa"/>
            <w:noWrap/>
            <w:hideMark/>
          </w:tcPr>
          <w:p w:rsidR="001239B7" w:rsidRPr="0040620E" w:rsidRDefault="001239B7" w:rsidP="0040620E">
            <w:pPr>
              <w:cnfStyle w:val="000000010000" w:firstRow="0" w:lastRow="0" w:firstColumn="0" w:lastColumn="0" w:oddVBand="0" w:evenVBand="0" w:oddHBand="0" w:evenHBand="1" w:firstRowFirstColumn="0" w:firstRowLastColumn="0" w:lastRowFirstColumn="0" w:lastRowLastColumn="0"/>
            </w:pPr>
            <w:r w:rsidRPr="0040620E">
              <w:t>207.6</w:t>
            </w:r>
          </w:p>
        </w:tc>
        <w:tc>
          <w:tcPr>
            <w:tcW w:w="1031" w:type="dxa"/>
            <w:noWrap/>
            <w:hideMark/>
          </w:tcPr>
          <w:p w:rsidR="001239B7" w:rsidRPr="0040620E" w:rsidRDefault="001239B7" w:rsidP="0040620E">
            <w:pPr>
              <w:cnfStyle w:val="000000010000" w:firstRow="0" w:lastRow="0" w:firstColumn="0" w:lastColumn="0" w:oddVBand="0" w:evenVBand="0" w:oddHBand="0" w:evenHBand="1" w:firstRowFirstColumn="0" w:firstRowLastColumn="0" w:lastRowFirstColumn="0" w:lastRowLastColumn="0"/>
            </w:pPr>
            <w:r w:rsidRPr="0040620E">
              <w:t>209.6</w:t>
            </w:r>
          </w:p>
        </w:tc>
        <w:tc>
          <w:tcPr>
            <w:tcW w:w="1031" w:type="dxa"/>
            <w:noWrap/>
            <w:hideMark/>
          </w:tcPr>
          <w:p w:rsidR="001239B7" w:rsidRPr="0040620E" w:rsidRDefault="001239B7" w:rsidP="0040620E">
            <w:pPr>
              <w:cnfStyle w:val="000000010000" w:firstRow="0" w:lastRow="0" w:firstColumn="0" w:lastColumn="0" w:oddVBand="0" w:evenVBand="0" w:oddHBand="0" w:evenHBand="1" w:firstRowFirstColumn="0" w:firstRowLastColumn="0" w:lastRowFirstColumn="0" w:lastRowLastColumn="0"/>
            </w:pPr>
            <w:r w:rsidRPr="0040620E">
              <w:t>215.5</w:t>
            </w:r>
          </w:p>
        </w:tc>
        <w:tc>
          <w:tcPr>
            <w:tcW w:w="1031" w:type="dxa"/>
            <w:noWrap/>
            <w:hideMark/>
          </w:tcPr>
          <w:p w:rsidR="001239B7" w:rsidRPr="0040620E" w:rsidRDefault="001239B7" w:rsidP="0040620E">
            <w:pPr>
              <w:cnfStyle w:val="000000010000" w:firstRow="0" w:lastRow="0" w:firstColumn="0" w:lastColumn="0" w:oddVBand="0" w:evenVBand="0" w:oddHBand="0" w:evenHBand="1" w:firstRowFirstColumn="0" w:firstRowLastColumn="0" w:lastRowFirstColumn="0" w:lastRowLastColumn="0"/>
            </w:pPr>
            <w:r w:rsidRPr="0040620E">
              <w:t>208.4</w:t>
            </w:r>
          </w:p>
        </w:tc>
      </w:tr>
      <w:tr w:rsidR="00066EBF" w:rsidRPr="0040620E" w:rsidTr="00A43F6F">
        <w:trPr>
          <w:trHeight w:val="291"/>
        </w:trPr>
        <w:tc>
          <w:tcPr>
            <w:cnfStyle w:val="001000000000" w:firstRow="0" w:lastRow="0" w:firstColumn="1" w:lastColumn="0" w:oddVBand="0" w:evenVBand="0" w:oddHBand="0" w:evenHBand="0" w:firstRowFirstColumn="0" w:firstRowLastColumn="0" w:lastRowFirstColumn="0" w:lastRowLastColumn="0"/>
            <w:tcW w:w="3538" w:type="dxa"/>
            <w:noWrap/>
            <w:hideMark/>
          </w:tcPr>
          <w:p w:rsidR="001239B7" w:rsidRPr="0040620E" w:rsidRDefault="001239B7" w:rsidP="0040620E">
            <w:r w:rsidRPr="0040620E">
              <w:t>Inflation indexation on opening RAB</w:t>
            </w:r>
          </w:p>
        </w:tc>
        <w:tc>
          <w:tcPr>
            <w:tcW w:w="1031" w:type="dxa"/>
            <w:noWrap/>
            <w:hideMark/>
          </w:tcPr>
          <w:p w:rsidR="001239B7" w:rsidRPr="0040620E" w:rsidRDefault="001239B7" w:rsidP="0040620E">
            <w:pPr>
              <w:cnfStyle w:val="000000000000" w:firstRow="0" w:lastRow="0" w:firstColumn="0" w:lastColumn="0" w:oddVBand="0" w:evenVBand="0" w:oddHBand="0" w:evenHBand="0" w:firstRowFirstColumn="0" w:firstRowLastColumn="0" w:lastRowFirstColumn="0" w:lastRowLastColumn="0"/>
            </w:pPr>
            <w:r w:rsidRPr="0040620E">
              <w:t>177.3</w:t>
            </w:r>
          </w:p>
        </w:tc>
        <w:tc>
          <w:tcPr>
            <w:tcW w:w="1031" w:type="dxa"/>
            <w:noWrap/>
            <w:hideMark/>
          </w:tcPr>
          <w:p w:rsidR="001239B7" w:rsidRPr="0040620E" w:rsidRDefault="001239B7" w:rsidP="0040620E">
            <w:pPr>
              <w:cnfStyle w:val="000000000000" w:firstRow="0" w:lastRow="0" w:firstColumn="0" w:lastColumn="0" w:oddVBand="0" w:evenVBand="0" w:oddHBand="0" w:evenHBand="0" w:firstRowFirstColumn="0" w:firstRowLastColumn="0" w:lastRowFirstColumn="0" w:lastRowLastColumn="0"/>
            </w:pPr>
            <w:r w:rsidRPr="0040620E">
              <w:t>180.1</w:t>
            </w:r>
          </w:p>
        </w:tc>
        <w:tc>
          <w:tcPr>
            <w:tcW w:w="1031" w:type="dxa"/>
            <w:noWrap/>
            <w:hideMark/>
          </w:tcPr>
          <w:p w:rsidR="001239B7" w:rsidRPr="0040620E" w:rsidRDefault="001239B7" w:rsidP="0040620E">
            <w:pPr>
              <w:cnfStyle w:val="000000000000" w:firstRow="0" w:lastRow="0" w:firstColumn="0" w:lastColumn="0" w:oddVBand="0" w:evenVBand="0" w:oddHBand="0" w:evenHBand="0" w:firstRowFirstColumn="0" w:firstRowLastColumn="0" w:lastRowFirstColumn="0" w:lastRowLastColumn="0"/>
            </w:pPr>
            <w:r w:rsidRPr="0040620E">
              <w:t>182.5</w:t>
            </w:r>
          </w:p>
        </w:tc>
        <w:tc>
          <w:tcPr>
            <w:tcW w:w="1031" w:type="dxa"/>
            <w:noWrap/>
            <w:hideMark/>
          </w:tcPr>
          <w:p w:rsidR="001239B7" w:rsidRPr="0040620E" w:rsidRDefault="001239B7" w:rsidP="0040620E">
            <w:pPr>
              <w:cnfStyle w:val="000000000000" w:firstRow="0" w:lastRow="0" w:firstColumn="0" w:lastColumn="0" w:oddVBand="0" w:evenVBand="0" w:oddHBand="0" w:evenHBand="0" w:firstRowFirstColumn="0" w:firstRowLastColumn="0" w:lastRowFirstColumn="0" w:lastRowLastColumn="0"/>
            </w:pPr>
            <w:r w:rsidRPr="0040620E">
              <w:t>184.4</w:t>
            </w:r>
          </w:p>
        </w:tc>
        <w:tc>
          <w:tcPr>
            <w:tcW w:w="1031" w:type="dxa"/>
            <w:noWrap/>
            <w:hideMark/>
          </w:tcPr>
          <w:p w:rsidR="001239B7" w:rsidRPr="0040620E" w:rsidRDefault="001239B7" w:rsidP="0040620E">
            <w:pPr>
              <w:cnfStyle w:val="000000000000" w:firstRow="0" w:lastRow="0" w:firstColumn="0" w:lastColumn="0" w:oddVBand="0" w:evenVBand="0" w:oddHBand="0" w:evenHBand="0" w:firstRowFirstColumn="0" w:firstRowLastColumn="0" w:lastRowFirstColumn="0" w:lastRowLastColumn="0"/>
            </w:pPr>
            <w:r w:rsidRPr="0040620E">
              <w:t>186.3</w:t>
            </w:r>
          </w:p>
        </w:tc>
      </w:tr>
      <w:tr w:rsidR="001239B7" w:rsidRPr="0040620E" w:rsidTr="00A43F6F">
        <w:trPr>
          <w:cnfStyle w:val="000000010000" w:firstRow="0" w:lastRow="0" w:firstColumn="0" w:lastColumn="0" w:oddVBand="0" w:evenVBand="0" w:oddHBand="0" w:evenHBand="1"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3538" w:type="dxa"/>
            <w:noWrap/>
            <w:hideMark/>
          </w:tcPr>
          <w:p w:rsidR="001239B7" w:rsidRPr="0040620E" w:rsidRDefault="001239B7" w:rsidP="0040620E">
            <w:r w:rsidRPr="008066C5">
              <w:rPr>
                <w:rStyle w:val="AERtextitalic"/>
              </w:rPr>
              <w:t>Less:</w:t>
            </w:r>
            <w:r w:rsidRPr="0040620E">
              <w:t xml:space="preserve"> straight-line depreciation</w:t>
            </w:r>
            <w:r w:rsidR="00F94CF8">
              <w:rPr>
                <w:rStyle w:val="AERsuperscript"/>
              </w:rPr>
              <w:t>b</w:t>
            </w:r>
          </w:p>
        </w:tc>
        <w:tc>
          <w:tcPr>
            <w:tcW w:w="1031" w:type="dxa"/>
            <w:noWrap/>
            <w:hideMark/>
          </w:tcPr>
          <w:p w:rsidR="001239B7" w:rsidRPr="0040620E" w:rsidRDefault="001239B7" w:rsidP="0040620E">
            <w:pPr>
              <w:cnfStyle w:val="000000010000" w:firstRow="0" w:lastRow="0" w:firstColumn="0" w:lastColumn="0" w:oddVBand="0" w:evenVBand="0" w:oddHBand="0" w:evenHBand="1" w:firstRowFirstColumn="0" w:firstRowLastColumn="0" w:lastRowFirstColumn="0" w:lastRowLastColumn="0"/>
            </w:pPr>
            <w:r w:rsidRPr="0040620E">
              <w:t>271.7</w:t>
            </w:r>
          </w:p>
        </w:tc>
        <w:tc>
          <w:tcPr>
            <w:tcW w:w="1031" w:type="dxa"/>
            <w:noWrap/>
            <w:hideMark/>
          </w:tcPr>
          <w:p w:rsidR="001239B7" w:rsidRPr="0040620E" w:rsidRDefault="001239B7" w:rsidP="0040620E">
            <w:pPr>
              <w:cnfStyle w:val="000000010000" w:firstRow="0" w:lastRow="0" w:firstColumn="0" w:lastColumn="0" w:oddVBand="0" w:evenVBand="0" w:oddHBand="0" w:evenHBand="1" w:firstRowFirstColumn="0" w:firstRowLastColumn="0" w:lastRowFirstColumn="0" w:lastRowLastColumn="0"/>
            </w:pPr>
            <w:r w:rsidRPr="0040620E">
              <w:t>290.5</w:t>
            </w:r>
          </w:p>
        </w:tc>
        <w:tc>
          <w:tcPr>
            <w:tcW w:w="1031" w:type="dxa"/>
            <w:noWrap/>
            <w:hideMark/>
          </w:tcPr>
          <w:p w:rsidR="001239B7" w:rsidRPr="0040620E" w:rsidRDefault="001239B7" w:rsidP="0040620E">
            <w:pPr>
              <w:cnfStyle w:val="000000010000" w:firstRow="0" w:lastRow="0" w:firstColumn="0" w:lastColumn="0" w:oddVBand="0" w:evenVBand="0" w:oddHBand="0" w:evenHBand="1" w:firstRowFirstColumn="0" w:firstRowLastColumn="0" w:lastRowFirstColumn="0" w:lastRowLastColumn="0"/>
            </w:pPr>
            <w:r w:rsidRPr="0040620E">
              <w:t>311.4</w:t>
            </w:r>
          </w:p>
        </w:tc>
        <w:tc>
          <w:tcPr>
            <w:tcW w:w="1031" w:type="dxa"/>
            <w:noWrap/>
            <w:hideMark/>
          </w:tcPr>
          <w:p w:rsidR="001239B7" w:rsidRPr="0040620E" w:rsidRDefault="001239B7" w:rsidP="0040620E">
            <w:pPr>
              <w:cnfStyle w:val="000000010000" w:firstRow="0" w:lastRow="0" w:firstColumn="0" w:lastColumn="0" w:oddVBand="0" w:evenVBand="0" w:oddHBand="0" w:evenHBand="1" w:firstRowFirstColumn="0" w:firstRowLastColumn="0" w:lastRowFirstColumn="0" w:lastRowLastColumn="0"/>
            </w:pPr>
            <w:r w:rsidRPr="0040620E">
              <w:t>325.7</w:t>
            </w:r>
          </w:p>
        </w:tc>
        <w:tc>
          <w:tcPr>
            <w:tcW w:w="1031" w:type="dxa"/>
            <w:noWrap/>
            <w:hideMark/>
          </w:tcPr>
          <w:p w:rsidR="001239B7" w:rsidRPr="0040620E" w:rsidRDefault="001239B7" w:rsidP="0040620E">
            <w:pPr>
              <w:cnfStyle w:val="000000010000" w:firstRow="0" w:lastRow="0" w:firstColumn="0" w:lastColumn="0" w:oddVBand="0" w:evenVBand="0" w:oddHBand="0" w:evenHBand="1" w:firstRowFirstColumn="0" w:firstRowLastColumn="0" w:lastRowFirstColumn="0" w:lastRowLastColumn="0"/>
            </w:pPr>
            <w:r w:rsidRPr="0040620E">
              <w:t>334.4</w:t>
            </w:r>
          </w:p>
        </w:tc>
      </w:tr>
      <w:tr w:rsidR="00066EBF" w:rsidRPr="0040620E" w:rsidTr="00A43F6F">
        <w:trPr>
          <w:trHeight w:val="291"/>
        </w:trPr>
        <w:tc>
          <w:tcPr>
            <w:cnfStyle w:val="001000000000" w:firstRow="0" w:lastRow="0" w:firstColumn="1" w:lastColumn="0" w:oddVBand="0" w:evenVBand="0" w:oddHBand="0" w:evenHBand="0" w:firstRowFirstColumn="0" w:firstRowLastColumn="0" w:lastRowFirstColumn="0" w:lastRowLastColumn="0"/>
            <w:tcW w:w="3538" w:type="dxa"/>
            <w:noWrap/>
            <w:hideMark/>
          </w:tcPr>
          <w:p w:rsidR="001239B7" w:rsidRPr="0040620E" w:rsidRDefault="001239B7" w:rsidP="0040620E">
            <w:r w:rsidRPr="0040620E">
              <w:t>Closing RAB</w:t>
            </w:r>
          </w:p>
        </w:tc>
        <w:tc>
          <w:tcPr>
            <w:tcW w:w="1031" w:type="dxa"/>
            <w:noWrap/>
            <w:hideMark/>
          </w:tcPr>
          <w:p w:rsidR="001239B7" w:rsidRPr="0040620E" w:rsidRDefault="001239B7" w:rsidP="0040620E">
            <w:pPr>
              <w:cnfStyle w:val="000000000000" w:firstRow="0" w:lastRow="0" w:firstColumn="0" w:lastColumn="0" w:oddVBand="0" w:evenVBand="0" w:oddHBand="0" w:evenHBand="0" w:firstRowFirstColumn="0" w:firstRowLastColumn="0" w:lastRowFirstColumn="0" w:lastRowLastColumn="0"/>
            </w:pPr>
            <w:r w:rsidRPr="0040620E">
              <w:t>7350.3</w:t>
            </w:r>
          </w:p>
        </w:tc>
        <w:tc>
          <w:tcPr>
            <w:tcW w:w="1031" w:type="dxa"/>
            <w:noWrap/>
            <w:hideMark/>
          </w:tcPr>
          <w:p w:rsidR="001239B7" w:rsidRPr="0040620E" w:rsidRDefault="001239B7" w:rsidP="0040620E">
            <w:pPr>
              <w:cnfStyle w:val="000000000000" w:firstRow="0" w:lastRow="0" w:firstColumn="0" w:lastColumn="0" w:oddVBand="0" w:evenVBand="0" w:oddHBand="0" w:evenHBand="0" w:firstRowFirstColumn="0" w:firstRowLastColumn="0" w:lastRowFirstColumn="0" w:lastRowLastColumn="0"/>
            </w:pPr>
            <w:r w:rsidRPr="0040620E">
              <w:t>7447.4</w:t>
            </w:r>
          </w:p>
        </w:tc>
        <w:tc>
          <w:tcPr>
            <w:tcW w:w="1031" w:type="dxa"/>
            <w:noWrap/>
            <w:hideMark/>
          </w:tcPr>
          <w:p w:rsidR="001239B7" w:rsidRPr="0040620E" w:rsidRDefault="001239B7" w:rsidP="0040620E">
            <w:pPr>
              <w:cnfStyle w:val="000000000000" w:firstRow="0" w:lastRow="0" w:firstColumn="0" w:lastColumn="0" w:oddVBand="0" w:evenVBand="0" w:oddHBand="0" w:evenHBand="0" w:firstRowFirstColumn="0" w:firstRowLastColumn="0" w:lastRowFirstColumn="0" w:lastRowLastColumn="0"/>
            </w:pPr>
            <w:r w:rsidRPr="0040620E">
              <w:t>7528.1</w:t>
            </w:r>
          </w:p>
        </w:tc>
        <w:tc>
          <w:tcPr>
            <w:tcW w:w="1031" w:type="dxa"/>
            <w:noWrap/>
            <w:hideMark/>
          </w:tcPr>
          <w:p w:rsidR="001239B7" w:rsidRPr="0040620E" w:rsidRDefault="001239B7" w:rsidP="0040620E">
            <w:pPr>
              <w:cnfStyle w:val="000000000000" w:firstRow="0" w:lastRow="0" w:firstColumn="0" w:lastColumn="0" w:oddVBand="0" w:evenVBand="0" w:oddHBand="0" w:evenHBand="0" w:firstRowFirstColumn="0" w:firstRowLastColumn="0" w:lastRowFirstColumn="0" w:lastRowLastColumn="0"/>
            </w:pPr>
            <w:r w:rsidRPr="0040620E">
              <w:t>7602.3</w:t>
            </w:r>
          </w:p>
        </w:tc>
        <w:tc>
          <w:tcPr>
            <w:tcW w:w="1031" w:type="dxa"/>
            <w:noWrap/>
            <w:hideMark/>
          </w:tcPr>
          <w:p w:rsidR="001239B7" w:rsidRPr="0040620E" w:rsidRDefault="001239B7" w:rsidP="0040620E">
            <w:pPr>
              <w:cnfStyle w:val="000000000000" w:firstRow="0" w:lastRow="0" w:firstColumn="0" w:lastColumn="0" w:oddVBand="0" w:evenVBand="0" w:oddHBand="0" w:evenHBand="0" w:firstRowFirstColumn="0" w:firstRowLastColumn="0" w:lastRowFirstColumn="0" w:lastRowLastColumn="0"/>
            </w:pPr>
            <w:r w:rsidRPr="0040620E">
              <w:t>7662.5</w:t>
            </w:r>
          </w:p>
        </w:tc>
      </w:tr>
    </w:tbl>
    <w:p w:rsidR="0054020F" w:rsidRPr="00FD2861" w:rsidRDefault="0054020F" w:rsidP="00CB0A6B">
      <w:pPr>
        <w:pStyle w:val="AERtablesource"/>
        <w:tabs>
          <w:tab w:val="center" w:pos="4238"/>
        </w:tabs>
      </w:pPr>
      <w:r w:rsidRPr="00FD2861">
        <w:t xml:space="preserve">Source: </w:t>
      </w:r>
      <w:r w:rsidRPr="00FD2861">
        <w:tab/>
      </w:r>
      <w:r w:rsidR="00066EBF">
        <w:t>Powerlink</w:t>
      </w:r>
      <w:r w:rsidRPr="00FD2861">
        <w:t xml:space="preserve">, </w:t>
      </w:r>
      <w:r w:rsidRPr="00FD2861">
        <w:rPr>
          <w:rStyle w:val="AERtextitalic"/>
        </w:rPr>
        <w:t>Post-tax revenue model</w:t>
      </w:r>
      <w:r w:rsidRPr="00FD2861">
        <w:t xml:space="preserve">, </w:t>
      </w:r>
      <w:r w:rsidR="00CB0A6B">
        <w:t>January 2016</w:t>
      </w:r>
      <w:r w:rsidR="00CB0A6B">
        <w:tab/>
      </w:r>
      <w:r w:rsidR="004D4C74">
        <w:t>.</w:t>
      </w:r>
    </w:p>
    <w:p w:rsidR="005B4A68" w:rsidRPr="005B4A68" w:rsidRDefault="0054020F" w:rsidP="005B4A68">
      <w:pPr>
        <w:pStyle w:val="AERtablesource"/>
      </w:pPr>
      <w:r w:rsidRPr="00FD2861">
        <w:t>(a)</w:t>
      </w:r>
      <w:r w:rsidRPr="00FD2861">
        <w:tab/>
      </w:r>
      <w:r w:rsidR="005B4A68" w:rsidRPr="005B4A68">
        <w:t>As</w:t>
      </w:r>
      <w:r w:rsidR="009E5882">
        <w:t>-</w:t>
      </w:r>
      <w:r w:rsidR="005B4A68" w:rsidRPr="005B4A68">
        <w:t xml:space="preserve">incurred, and net of </w:t>
      </w:r>
      <w:r w:rsidR="006F2AFC">
        <w:t xml:space="preserve">forecast </w:t>
      </w:r>
      <w:r w:rsidR="005B4A68" w:rsidRPr="005B4A68">
        <w:t>disposals. Inclusive of the half-WACC to account for the timing assumptions in the PTRM.</w:t>
      </w:r>
    </w:p>
    <w:p w:rsidR="005B4A68" w:rsidRDefault="0054020F" w:rsidP="005B4A68">
      <w:pPr>
        <w:pStyle w:val="AERtablesource"/>
      </w:pPr>
      <w:r w:rsidRPr="00FD2861">
        <w:t>(b)</w:t>
      </w:r>
      <w:r w:rsidRPr="00FD2861">
        <w:tab/>
      </w:r>
      <w:r w:rsidR="005B4A68" w:rsidRPr="005B4A68">
        <w:t>Based on as-commissioned capex.</w:t>
      </w:r>
    </w:p>
    <w:p w:rsidR="00132D43" w:rsidRDefault="00132D43" w:rsidP="00132D43">
      <w:pPr>
        <w:pStyle w:val="Heading2"/>
      </w:pPr>
      <w:bookmarkStart w:id="83" w:name="_Toc462749190"/>
      <w:r>
        <w:lastRenderedPageBreak/>
        <w:t>Assessment approach</w:t>
      </w:r>
      <w:bookmarkEnd w:id="83"/>
    </w:p>
    <w:p w:rsidR="0020722B" w:rsidRDefault="0020722B" w:rsidP="0020722B">
      <w:r w:rsidRPr="00924046">
        <w:t xml:space="preserve">We roll forward </w:t>
      </w:r>
      <w:r>
        <w:t>the TNSP’s</w:t>
      </w:r>
      <w:r w:rsidRPr="00924046">
        <w:t xml:space="preserve"> RAB during the 201</w:t>
      </w:r>
      <w:r>
        <w:t>2</w:t>
      </w:r>
      <w:r w:rsidRPr="00924046">
        <w:t>–1</w:t>
      </w:r>
      <w:r>
        <w:t>7</w:t>
      </w:r>
      <w:r w:rsidRPr="00924046">
        <w:t xml:space="preserve"> regulatory control period to establish the opening RAB at 1 </w:t>
      </w:r>
      <w:r>
        <w:t>July</w:t>
      </w:r>
      <w:r w:rsidRPr="00924046">
        <w:t xml:space="preserve"> 201</w:t>
      </w:r>
      <w:r>
        <w:t>7</w:t>
      </w:r>
      <w:r w:rsidRPr="00924046">
        <w:t xml:space="preserve">. </w:t>
      </w:r>
      <w:r>
        <w:t>This value can be adjusted for any differences in the forecast and actual capex, and disposals.</w:t>
      </w:r>
      <w:r>
        <w:rPr>
          <w:rStyle w:val="FootnoteReference"/>
        </w:rPr>
        <w:footnoteReference w:id="9"/>
      </w:r>
      <w:r>
        <w:t xml:space="preserve"> It may also be adjusted to reflect any changes in the use of the assets, with only assets used to provide prescribed transmission services to be included in the RAB.</w:t>
      </w:r>
      <w:r>
        <w:rPr>
          <w:rStyle w:val="FootnoteReference"/>
        </w:rPr>
        <w:footnoteReference w:id="10"/>
      </w:r>
    </w:p>
    <w:p w:rsidR="0020722B" w:rsidRDefault="0020722B" w:rsidP="0020722B">
      <w:r>
        <w:t xml:space="preserve">To determine the opening RAB, we developed an asset base RFM </w:t>
      </w:r>
      <w:r w:rsidR="00034550">
        <w:t xml:space="preserve">that </w:t>
      </w:r>
      <w:r>
        <w:t>a TNSP must use in preparing its revenue proposal.</w:t>
      </w:r>
      <w:r>
        <w:rPr>
          <w:rStyle w:val="FootnoteReference"/>
        </w:rPr>
        <w:footnoteReference w:id="11"/>
      </w:r>
      <w:r>
        <w:t xml:space="preserve"> The RFM rolls forward the RAB from the beginning of the final year of the 2007–12 regulatory control period,</w:t>
      </w:r>
      <w:r w:rsidR="003652DF">
        <w:rPr>
          <w:rStyle w:val="FootnoteReference"/>
        </w:rPr>
        <w:footnoteReference w:id="12"/>
      </w:r>
      <w:r w:rsidR="003652DF">
        <w:t xml:space="preserve"> </w:t>
      </w:r>
      <w:r>
        <w:t>through the 2012–17 regulatory control period, to the beginning of the 2017–22 regulatory control period. The roll forward occurs for each year by:</w:t>
      </w:r>
    </w:p>
    <w:p w:rsidR="0020722B" w:rsidRDefault="0020722B" w:rsidP="0020722B">
      <w:pPr>
        <w:pStyle w:val="AERbulletlistfirststyle"/>
      </w:pPr>
      <w:r>
        <w:t xml:space="preserve">Adding an inflation (indexation) adjustment </w:t>
      </w:r>
      <w:r w:rsidR="00B932A9">
        <w:t xml:space="preserve">to the opening RAB </w:t>
      </w:r>
      <w:r>
        <w:t xml:space="preserve">for the relevant year. This adjustment </w:t>
      </w:r>
      <w:r w:rsidR="00856110">
        <w:t>is</w:t>
      </w:r>
      <w:r>
        <w:t xml:space="preserve"> consistent with the inflation factor used in the annual indexation of the maximum allowed revenue (MAR).</w:t>
      </w:r>
      <w:r>
        <w:rPr>
          <w:rStyle w:val="FootnoteReference"/>
        </w:rPr>
        <w:footnoteReference w:id="13"/>
      </w:r>
    </w:p>
    <w:p w:rsidR="0020722B" w:rsidRDefault="0020722B" w:rsidP="0020722B">
      <w:pPr>
        <w:pStyle w:val="AERbulletlistfirststyle"/>
      </w:pPr>
      <w:r>
        <w:t>Adding actual or estimated capex to the RAB for the relevant year.</w:t>
      </w:r>
      <w:r>
        <w:rPr>
          <w:rStyle w:val="FootnoteReference"/>
        </w:rPr>
        <w:footnoteReference w:id="14"/>
      </w:r>
      <w:r>
        <w:t xml:space="preserve"> </w:t>
      </w:r>
      <w:r w:rsidR="00034550">
        <w:t>We</w:t>
      </w:r>
      <w:r>
        <w:t xml:space="preserve"> review a TNSP's past capex and </w:t>
      </w:r>
      <w:r w:rsidR="00034550">
        <w:t xml:space="preserve">may </w:t>
      </w:r>
      <w:r>
        <w:t>exclude past capex from being rolled into the RAB where total capex exceeds the regulatory allowance.</w:t>
      </w:r>
      <w:r>
        <w:rPr>
          <w:rStyle w:val="FootnoteReference"/>
        </w:rPr>
        <w:footnoteReference w:id="15"/>
      </w:r>
      <w:r>
        <w:t xml:space="preserve"> The </w:t>
      </w:r>
      <w:r w:rsidRPr="00BD0C68">
        <w:t xml:space="preserve">details of our assessment approach </w:t>
      </w:r>
      <w:r>
        <w:t xml:space="preserve">for capex </w:t>
      </w:r>
      <w:r w:rsidR="00283E06">
        <w:t xml:space="preserve">overspend </w:t>
      </w:r>
      <w:r>
        <w:t xml:space="preserve">are set out in </w:t>
      </w:r>
      <w:r w:rsidRPr="00166EE4">
        <w:t xml:space="preserve">the </w:t>
      </w:r>
      <w:r w:rsidRPr="00BA4A28">
        <w:rPr>
          <w:rStyle w:val="AERtextitalic"/>
        </w:rPr>
        <w:t>Capital expenditure incentive guideline</w:t>
      </w:r>
      <w:r w:rsidRPr="00166EE4">
        <w:t>.</w:t>
      </w:r>
      <w:r>
        <w:rPr>
          <w:rStyle w:val="FootnoteReference"/>
        </w:rPr>
        <w:footnoteReference w:id="16"/>
      </w:r>
      <w:r>
        <w:t xml:space="preserve"> We note that under the transitional rules, </w:t>
      </w:r>
      <w:r w:rsidR="00034550">
        <w:t>our</w:t>
      </w:r>
      <w:r>
        <w:t xml:space="preserve"> review of past capex does not apply to </w:t>
      </w:r>
      <w:r w:rsidR="00591C47">
        <w:t xml:space="preserve">Powerlink </w:t>
      </w:r>
      <w:r>
        <w:t xml:space="preserve">prior to 1 </w:t>
      </w:r>
      <w:r w:rsidR="00591C47">
        <w:t>July</w:t>
      </w:r>
      <w:r>
        <w:t xml:space="preserve"> 2014.</w:t>
      </w:r>
      <w:r>
        <w:rPr>
          <w:rStyle w:val="FootnoteReference"/>
        </w:rPr>
        <w:footnoteReference w:id="17"/>
      </w:r>
      <w:r>
        <w:t xml:space="preserve"> </w:t>
      </w:r>
      <w:r w:rsidR="003652DF">
        <w:t>Also, the review of past capex does not include the last two years of the 2012–17 regulatory control period—these will instead be reviewed at the next reset.</w:t>
      </w:r>
      <w:r w:rsidR="003652DF">
        <w:rPr>
          <w:rStyle w:val="FootnoteReference"/>
        </w:rPr>
        <w:footnoteReference w:id="18"/>
      </w:r>
      <w:r w:rsidR="003652DF">
        <w:t xml:space="preserve"> </w:t>
      </w:r>
      <w:r>
        <w:t>We check actual capex amounts against audited regulatory accounts data</w:t>
      </w:r>
      <w:r w:rsidRPr="00647A6A">
        <w:t xml:space="preserve"> </w:t>
      </w:r>
      <w:r w:rsidRPr="000F67F7">
        <w:t>and generally accept the cape</w:t>
      </w:r>
      <w:r>
        <w:t xml:space="preserve">x reported in those accounts </w:t>
      </w:r>
      <w:r w:rsidRPr="000F67F7">
        <w:t>in rolling forward the RAB</w:t>
      </w:r>
      <w:r>
        <w:t>.</w:t>
      </w:r>
      <w:r>
        <w:rPr>
          <w:rStyle w:val="FootnoteReference"/>
        </w:rPr>
        <w:footnoteReference w:id="19"/>
      </w:r>
      <w:r>
        <w:t xml:space="preserve"> </w:t>
      </w:r>
      <w:r w:rsidRPr="006F6224">
        <w:t xml:space="preserve">However, there may be instances where adjustments are required to the annual </w:t>
      </w:r>
      <w:r>
        <w:t>regulatory accounts</w:t>
      </w:r>
      <w:r w:rsidRPr="006F6224">
        <w:t xml:space="preserve"> data.</w:t>
      </w:r>
      <w:r w:rsidR="0017646A">
        <w:rPr>
          <w:rStyle w:val="FootnoteReference"/>
        </w:rPr>
        <w:footnoteReference w:id="20"/>
      </w:r>
      <w:r w:rsidRPr="006F6224">
        <w:t xml:space="preserve"> </w:t>
      </w:r>
    </w:p>
    <w:p w:rsidR="0020722B" w:rsidRDefault="0020722B" w:rsidP="0020722B">
      <w:pPr>
        <w:pStyle w:val="AERbulletlistfirststyle"/>
      </w:pPr>
      <w:r>
        <w:lastRenderedPageBreak/>
        <w:t>Subtracting depreciation from the RAB for the relevant year, calculated in accordance with the rates and methodologies allowed (if any) in the transmission determination for the TNSP's 201</w:t>
      </w:r>
      <w:r w:rsidR="00591C47">
        <w:t>2</w:t>
      </w:r>
      <w:r>
        <w:t>–17 regulatory control period.</w:t>
      </w:r>
      <w:r>
        <w:rPr>
          <w:rStyle w:val="FootnoteReference"/>
        </w:rPr>
        <w:footnoteReference w:id="21"/>
      </w:r>
      <w:r>
        <w:t xml:space="preserve"> Depreciation based on forecast or actual capex can be used to roll forward the RAB.</w:t>
      </w:r>
      <w:r>
        <w:rPr>
          <w:rStyle w:val="FootnoteReference"/>
        </w:rPr>
        <w:footnoteReference w:id="22"/>
      </w:r>
      <w:r>
        <w:t xml:space="preserve"> For this draft decision, we use depreciation based on actual capex for rolling forward the RAB for Powerlink's 201</w:t>
      </w:r>
      <w:r w:rsidR="00591C47">
        <w:t>2</w:t>
      </w:r>
      <w:r>
        <w:t>–17 regulatory control period.</w:t>
      </w:r>
      <w:r>
        <w:rPr>
          <w:rStyle w:val="FootnoteReference"/>
        </w:rPr>
        <w:footnoteReference w:id="23"/>
      </w:r>
    </w:p>
    <w:p w:rsidR="0020722B" w:rsidRDefault="0020722B" w:rsidP="0020722B">
      <w:pPr>
        <w:pStyle w:val="AERbulletlistfirststyle"/>
      </w:pPr>
      <w:r>
        <w:t xml:space="preserve">Subtracting any </w:t>
      </w:r>
      <w:r w:rsidR="00EA459E">
        <w:t xml:space="preserve">gross proceeds for asset </w:t>
      </w:r>
      <w:r>
        <w:t>disposals for the relevant year, by way of netting from capex to be added to the RAB.</w:t>
      </w:r>
      <w:r>
        <w:rPr>
          <w:rStyle w:val="FootnoteReference"/>
        </w:rPr>
        <w:footnoteReference w:id="24"/>
      </w:r>
      <w:r>
        <w:t xml:space="preserve"> We check these amounts against audited regulatory accounts data.</w:t>
      </w:r>
    </w:p>
    <w:p w:rsidR="0020722B" w:rsidRDefault="0020722B" w:rsidP="0020722B">
      <w:r>
        <w:t>These annual adjustments give the closing RAB for any particular year, which then becomes the opening RAB for the following year. Through this process, the RFM rolls forward the RAB to the end of the 201</w:t>
      </w:r>
      <w:r w:rsidR="00591C47">
        <w:t>2</w:t>
      </w:r>
      <w:r>
        <w:t>–17</w:t>
      </w:r>
      <w:r w:rsidR="00AA4A88">
        <w:t xml:space="preserve"> </w:t>
      </w:r>
      <w:r>
        <w:t>regulatory control period. The PTRM used to calculate the annual building block revenue requirement for the 2017–22 regulatory control period generally adopts the same RAB roll forward approach as the RFM although the adjustments to the RAB are based on forecasts, rather than actual amounts.</w:t>
      </w:r>
    </w:p>
    <w:p w:rsidR="0020722B" w:rsidRDefault="0020722B" w:rsidP="0020722B">
      <w:r>
        <w:t xml:space="preserve">We also decide whether depreciation for establishing the TNSP's RAB as at the commencement of the </w:t>
      </w:r>
      <w:r>
        <w:rPr>
          <w:rStyle w:val="AERbody"/>
        </w:rPr>
        <w:t>2022–27</w:t>
      </w:r>
      <w:r>
        <w:t xml:space="preserve"> regulatory control period is to be based on actual or forecast capex.</w:t>
      </w:r>
      <w:r>
        <w:rPr>
          <w:rStyle w:val="FootnoteReference"/>
        </w:rPr>
        <w:footnoteReference w:id="25"/>
      </w:r>
      <w:r>
        <w:t xml:space="preserve"> </w:t>
      </w:r>
    </w:p>
    <w:p w:rsidR="0020722B" w:rsidRDefault="0020722B" w:rsidP="0020722B">
      <w:pPr>
        <w:numPr>
          <w:ilvl w:val="0"/>
          <w:numId w:val="24"/>
        </w:numPr>
      </w:pPr>
      <w:r w:rsidRPr="00924046">
        <w:rPr>
          <w:rStyle w:val="AERbody"/>
        </w:rPr>
        <w:t>The opening RAB for the 202</w:t>
      </w:r>
      <w:r>
        <w:rPr>
          <w:rStyle w:val="AERbody"/>
        </w:rPr>
        <w:t>2</w:t>
      </w:r>
      <w:r w:rsidRPr="00924046">
        <w:rPr>
          <w:rStyle w:val="AERbody"/>
        </w:rPr>
        <w:t>–2</w:t>
      </w:r>
      <w:r>
        <w:rPr>
          <w:rStyle w:val="AERbody"/>
        </w:rPr>
        <w:t>7</w:t>
      </w:r>
      <w:r w:rsidRPr="00924046">
        <w:rPr>
          <w:rStyle w:val="AERbody"/>
        </w:rPr>
        <w:t xml:space="preserve"> regulatory control period can be determined using depreciation based either on forecast or actual capex incurred during the 201</w:t>
      </w:r>
      <w:r>
        <w:rPr>
          <w:rStyle w:val="AERbody"/>
        </w:rPr>
        <w:t>7</w:t>
      </w:r>
      <w:r w:rsidRPr="00924046">
        <w:rPr>
          <w:rStyle w:val="AERbody"/>
        </w:rPr>
        <w:t>–2</w:t>
      </w:r>
      <w:r>
        <w:rPr>
          <w:rStyle w:val="AERbody"/>
        </w:rPr>
        <w:t>2</w:t>
      </w:r>
      <w:r w:rsidRPr="00924046">
        <w:rPr>
          <w:rStyle w:val="AERbody"/>
        </w:rPr>
        <w:t xml:space="preserve"> </w:t>
      </w:r>
      <w:r w:rsidR="00041A97">
        <w:rPr>
          <w:rStyle w:val="AERbody"/>
        </w:rPr>
        <w:t xml:space="preserve">regulatory control </w:t>
      </w:r>
      <w:r w:rsidRPr="00924046">
        <w:rPr>
          <w:rStyle w:val="AERbody"/>
        </w:rPr>
        <w:t>period. To roll forward the RAB using depreciation based on forecast capex, we would use the forecast depreciation contained in the PTRM for the 201</w:t>
      </w:r>
      <w:r>
        <w:rPr>
          <w:rStyle w:val="AERbody"/>
        </w:rPr>
        <w:t>7</w:t>
      </w:r>
      <w:r w:rsidRPr="00924046">
        <w:rPr>
          <w:rStyle w:val="AERbody"/>
        </w:rPr>
        <w:t>–2</w:t>
      </w:r>
      <w:r>
        <w:rPr>
          <w:rStyle w:val="AERbody"/>
        </w:rPr>
        <w:t>2</w:t>
      </w:r>
      <w:r w:rsidRPr="00924046">
        <w:rPr>
          <w:rStyle w:val="AERbody"/>
        </w:rPr>
        <w:t xml:space="preserve"> regulatory control period, adjusted for actual inflation. If the approach to roll forward the RAB using depreciation based on actual capex was adopted, we would recalculate the depreciation based on actual capex incurred during the 201</w:t>
      </w:r>
      <w:r>
        <w:rPr>
          <w:rStyle w:val="AERbody"/>
        </w:rPr>
        <w:t>7</w:t>
      </w:r>
      <w:r w:rsidRPr="00924046">
        <w:rPr>
          <w:rStyle w:val="AERbody"/>
        </w:rPr>
        <w:t>–2</w:t>
      </w:r>
      <w:r>
        <w:rPr>
          <w:rStyle w:val="AERbody"/>
        </w:rPr>
        <w:t>2</w:t>
      </w:r>
      <w:r w:rsidRPr="00924046">
        <w:rPr>
          <w:rStyle w:val="AERbody"/>
        </w:rPr>
        <w:t xml:space="preserve"> regulatory control period. </w:t>
      </w:r>
    </w:p>
    <w:p w:rsidR="0020722B" w:rsidRDefault="0020722B" w:rsidP="0020722B">
      <w:r>
        <w:t>Our decision on whether to use actual or forecast depreciation must be consistent with the capex incentive objective. We have regard to:</w:t>
      </w:r>
      <w:r>
        <w:rPr>
          <w:rStyle w:val="FootnoteReference"/>
        </w:rPr>
        <w:footnoteReference w:id="26"/>
      </w:r>
    </w:p>
    <w:p w:rsidR="0020722B" w:rsidRDefault="0020722B" w:rsidP="0020722B">
      <w:pPr>
        <w:pStyle w:val="AERbulletlistfirststyle"/>
      </w:pPr>
      <w:r>
        <w:t>the incentives the service provider has to undertake efficient capex</w:t>
      </w:r>
    </w:p>
    <w:p w:rsidR="0020722B" w:rsidRDefault="0020722B" w:rsidP="0020722B">
      <w:pPr>
        <w:pStyle w:val="AERbulletlistfirststyle"/>
      </w:pPr>
      <w:r>
        <w:t>substitution possibilities between assets with different lives and the relative benefits of each</w:t>
      </w:r>
    </w:p>
    <w:p w:rsidR="0020722B" w:rsidRDefault="0020722B" w:rsidP="0020722B">
      <w:pPr>
        <w:pStyle w:val="AERbulletlistfirststyle"/>
      </w:pPr>
      <w:r>
        <w:lastRenderedPageBreak/>
        <w:t>the extent of overspending and inefficient overspending relative to the allowed forecast</w:t>
      </w:r>
    </w:p>
    <w:p w:rsidR="0020722B" w:rsidRDefault="0020722B" w:rsidP="0020722B">
      <w:pPr>
        <w:pStyle w:val="AERbulletlistfirststyle"/>
      </w:pPr>
      <w:r>
        <w:t>the capex incentive guideline</w:t>
      </w:r>
    </w:p>
    <w:p w:rsidR="0020722B" w:rsidRDefault="0020722B" w:rsidP="0020722B">
      <w:pPr>
        <w:pStyle w:val="AERbulletlistfirststyle"/>
      </w:pPr>
      <w:r>
        <w:t>the capital expenditure factors.</w:t>
      </w:r>
    </w:p>
    <w:p w:rsidR="00132D43" w:rsidRDefault="00132D43" w:rsidP="00132D43">
      <w:pPr>
        <w:pStyle w:val="Heading3"/>
        <w:tabs>
          <w:tab w:val="clear" w:pos="1021"/>
        </w:tabs>
        <w:ind w:left="142" w:hanging="142"/>
      </w:pPr>
      <w:bookmarkStart w:id="84" w:name="_Ref454456789"/>
      <w:bookmarkStart w:id="85" w:name="_Ref454456794"/>
      <w:bookmarkStart w:id="86" w:name="_Toc462749191"/>
      <w:r>
        <w:t>Interrelationships</w:t>
      </w:r>
      <w:bookmarkEnd w:id="84"/>
      <w:bookmarkEnd w:id="85"/>
      <w:bookmarkEnd w:id="86"/>
    </w:p>
    <w:p w:rsidR="0054020F" w:rsidRPr="00E94F8A" w:rsidRDefault="0054020F" w:rsidP="00DB24EA">
      <w:r w:rsidRPr="00E94F8A">
        <w:t xml:space="preserve">The RAB is an input into the determination of the return on capital and depreciation (return of capital) </w:t>
      </w:r>
      <w:r w:rsidR="00EA459E">
        <w:t xml:space="preserve">building block </w:t>
      </w:r>
      <w:r w:rsidRPr="00E94F8A">
        <w:t>allowances.</w:t>
      </w:r>
      <w:r>
        <w:rPr>
          <w:rStyle w:val="FootnoteReference"/>
        </w:rPr>
        <w:footnoteReference w:id="27"/>
      </w:r>
      <w:r>
        <w:t xml:space="preserve"> </w:t>
      </w:r>
      <w:r w:rsidRPr="00E94F8A">
        <w:t xml:space="preserve">Factors that influence the RAB will therefore flow through to these building block components and the annual </w:t>
      </w:r>
      <w:r>
        <w:t xml:space="preserve">building block </w:t>
      </w:r>
      <w:r w:rsidRPr="00E94F8A">
        <w:t>revenue requirement. Other things being equal, a higher RAB increases both the return on capital and depreciation allowances.</w:t>
      </w:r>
    </w:p>
    <w:p w:rsidR="0054020F" w:rsidRPr="00E94F8A" w:rsidRDefault="0054020F" w:rsidP="0054020F">
      <w:pPr>
        <w:numPr>
          <w:ilvl w:val="0"/>
          <w:numId w:val="24"/>
        </w:numPr>
      </w:pPr>
      <w:r w:rsidRPr="00E94F8A">
        <w:t>The RAB is determined by various factors, including</w:t>
      </w:r>
      <w:r w:rsidR="00EA459E">
        <w:t>:</w:t>
      </w:r>
    </w:p>
    <w:p w:rsidR="0054020F" w:rsidRPr="0054020F" w:rsidRDefault="0054020F" w:rsidP="0054020F">
      <w:pPr>
        <w:pStyle w:val="AERbulletlistfirststyle"/>
      </w:pPr>
      <w:r>
        <w:t>t</w:t>
      </w:r>
      <w:r w:rsidRPr="0054020F">
        <w:t>he opening RAB (meaning the value of existing assets at the beginning of the regulatory control period)</w:t>
      </w:r>
    </w:p>
    <w:p w:rsidR="0054020F" w:rsidRPr="0054020F" w:rsidRDefault="0054020F" w:rsidP="0054020F">
      <w:pPr>
        <w:pStyle w:val="AERbulletlistfirststyle"/>
      </w:pPr>
      <w:r>
        <w:t xml:space="preserve">net </w:t>
      </w:r>
      <w:r w:rsidRPr="0054020F">
        <w:t>capex</w:t>
      </w:r>
      <w:r w:rsidRPr="0054020F">
        <w:rPr>
          <w:rStyle w:val="FootnoteReference"/>
        </w:rPr>
        <w:footnoteReference w:id="28"/>
      </w:r>
    </w:p>
    <w:p w:rsidR="0054020F" w:rsidRPr="0054020F" w:rsidRDefault="0054020F" w:rsidP="0054020F">
      <w:pPr>
        <w:pStyle w:val="AERbulletlistfirststyle"/>
      </w:pPr>
      <w:r>
        <w:t>d</w:t>
      </w:r>
      <w:r w:rsidRPr="0054020F">
        <w:t>epreciation</w:t>
      </w:r>
    </w:p>
    <w:p w:rsidR="0054020F" w:rsidRPr="0054020F" w:rsidRDefault="0054020F" w:rsidP="0054020F">
      <w:pPr>
        <w:pStyle w:val="AERbulletlistfirststyle"/>
      </w:pPr>
      <w:r>
        <w:t>indexation adjustment –</w:t>
      </w:r>
      <w:r w:rsidRPr="0054020F">
        <w:t xml:space="preserve"> so the RAB is presented in nominal terms, consistent with the rate of return.</w:t>
      </w:r>
    </w:p>
    <w:p w:rsidR="0054020F" w:rsidRPr="00E94F8A" w:rsidRDefault="0054020F" w:rsidP="0054020F">
      <w:pPr>
        <w:numPr>
          <w:ilvl w:val="0"/>
          <w:numId w:val="24"/>
        </w:numPr>
      </w:pPr>
      <w:r w:rsidRPr="00E94F8A">
        <w:t xml:space="preserve">The opening RAB depends on the value of existing assets and will depend on actual </w:t>
      </w:r>
      <w:r>
        <w:t xml:space="preserve">net </w:t>
      </w:r>
      <w:r w:rsidRPr="00E94F8A">
        <w:t xml:space="preserve">capex, actual inflation outcomes and depreciation in the past. </w:t>
      </w:r>
    </w:p>
    <w:p w:rsidR="0054020F" w:rsidRPr="00E94F8A" w:rsidRDefault="0054020F" w:rsidP="0054020F">
      <w:pPr>
        <w:numPr>
          <w:ilvl w:val="0"/>
          <w:numId w:val="24"/>
        </w:numPr>
      </w:pPr>
      <w:r w:rsidRPr="00E94F8A">
        <w:t xml:space="preserve">The RAB when projected to the end of the regulatory control period increases due to both </w:t>
      </w:r>
      <w:r>
        <w:t xml:space="preserve">forecast </w:t>
      </w:r>
      <w:r w:rsidRPr="00E94F8A">
        <w:t xml:space="preserve">new capex and the indexation adjustment. The size of the indexation adjustment depends on expected inflation (which also affects the nominal rate of return or WACC) and the size of the RAB at the start of each year. </w:t>
      </w:r>
    </w:p>
    <w:p w:rsidR="0054020F" w:rsidRDefault="0054020F" w:rsidP="0054020F">
      <w:pPr>
        <w:numPr>
          <w:ilvl w:val="0"/>
          <w:numId w:val="24"/>
        </w:numPr>
      </w:pPr>
      <w:r w:rsidRPr="00E94F8A">
        <w:t>Depreciation reduces the RAB. The depreciation allowance depends on the size of the opening RAB</w:t>
      </w:r>
      <w:r w:rsidR="00EA459E">
        <w:t>,</w:t>
      </w:r>
      <w:r w:rsidRPr="00E94F8A">
        <w:t xml:space="preserve"> the forecast </w:t>
      </w:r>
      <w:r>
        <w:t xml:space="preserve">net </w:t>
      </w:r>
      <w:r w:rsidRPr="00E94F8A">
        <w:t>capex</w:t>
      </w:r>
      <w:r w:rsidR="00EA459E">
        <w:t xml:space="preserve"> and depreciation schedules applied to the assets</w:t>
      </w:r>
      <w:r w:rsidRPr="00E94F8A">
        <w:t>. By convention, the indexation adjustment is also offset against depreciation to prevent double counting of inflation in the RAB and WACC, which are both presented in nominal terms. This reduces the depreciation building block that feeds into the annual</w:t>
      </w:r>
      <w:r>
        <w:t xml:space="preserve"> building block</w:t>
      </w:r>
      <w:r w:rsidRPr="00E94F8A">
        <w:t xml:space="preserve"> revenue requirement.</w:t>
      </w:r>
    </w:p>
    <w:p w:rsidR="003A67DF" w:rsidRDefault="00034550" w:rsidP="00AC0983">
      <w:r>
        <w:t>We m</w:t>
      </w:r>
      <w:r w:rsidR="00591C47">
        <w:t>aintain the RAB in real terms by indexing for inflation.</w:t>
      </w:r>
      <w:r w:rsidR="00591C47">
        <w:rPr>
          <w:rStyle w:val="FootnoteReference"/>
        </w:rPr>
        <w:footnoteReference w:id="29"/>
      </w:r>
      <w:r w:rsidR="00591C47">
        <w:t xml:space="preserve"> A nominal rate of return (WACC) is multiplied by the opening RAB to produce the return on capital </w:t>
      </w:r>
      <w:r w:rsidR="00EA459E">
        <w:t xml:space="preserve">building </w:t>
      </w:r>
      <w:r w:rsidR="00EA459E">
        <w:lastRenderedPageBreak/>
        <w:t>block</w:t>
      </w:r>
      <w:r w:rsidR="00591C47">
        <w:t>.</w:t>
      </w:r>
      <w:r w:rsidR="00EA459E">
        <w:rPr>
          <w:rStyle w:val="FootnoteReference"/>
        </w:rPr>
        <w:footnoteReference w:id="30"/>
      </w:r>
      <w:r w:rsidR="00591C47">
        <w:t xml:space="preserve"> </w:t>
      </w:r>
      <w:r w:rsidR="00AC0983">
        <w:t>T</w:t>
      </w:r>
      <w:r w:rsidR="00AC0983" w:rsidRPr="00AC0983">
        <w:rPr>
          <w:rStyle w:val="AERbody"/>
        </w:rPr>
        <w:t>o prevent the double counting of inflation through the nominal WACC and indexed RAB,</w:t>
      </w:r>
      <w:r w:rsidR="003A67DF">
        <w:rPr>
          <w:rStyle w:val="FootnoteReference"/>
        </w:rPr>
        <w:footnoteReference w:id="31"/>
      </w:r>
      <w:r w:rsidR="00AC0983" w:rsidRPr="00AC0983">
        <w:rPr>
          <w:rStyle w:val="AERbody"/>
        </w:rPr>
        <w:t xml:space="preserve"> the regulatory depreciation </w:t>
      </w:r>
      <w:r w:rsidR="003A67DF">
        <w:rPr>
          <w:rStyle w:val="AERbody"/>
        </w:rPr>
        <w:t xml:space="preserve">building block </w:t>
      </w:r>
      <w:r w:rsidR="00AC0983" w:rsidRPr="00AC0983">
        <w:rPr>
          <w:rStyle w:val="AERbody"/>
        </w:rPr>
        <w:t>has an offsetting reduction for indexation of the RAB.</w:t>
      </w:r>
      <w:r w:rsidR="00AC0983" w:rsidRPr="00AC0983">
        <w:rPr>
          <w:rStyle w:val="FootnoteReference"/>
        </w:rPr>
        <w:footnoteReference w:id="32"/>
      </w:r>
      <w:r w:rsidR="00AC0983" w:rsidRPr="00AC0983">
        <w:rPr>
          <w:rStyle w:val="AERbody"/>
        </w:rPr>
        <w:t xml:space="preserve"> Indexation of the RAB and the offsetting adjustment made to depreciation results in smoother revenue recovery profile over the life of an asset than if the RAB was un</w:t>
      </w:r>
      <w:r w:rsidR="003A67DF">
        <w:rPr>
          <w:rStyle w:val="AERbody"/>
        </w:rPr>
        <w:t>-</w:t>
      </w:r>
      <w:r w:rsidR="00AC0983" w:rsidRPr="00AC0983">
        <w:rPr>
          <w:rStyle w:val="AERbody"/>
        </w:rPr>
        <w:t>indexed. If the RAB was un</w:t>
      </w:r>
      <w:r w:rsidR="003A67DF">
        <w:rPr>
          <w:rStyle w:val="AERbody"/>
        </w:rPr>
        <w:t>-</w:t>
      </w:r>
      <w:r w:rsidR="00AC0983" w:rsidRPr="00AC0983">
        <w:rPr>
          <w:rStyle w:val="AERbody"/>
        </w:rPr>
        <w:t xml:space="preserve">indexed, there would be no need for an offsetting adjustment to </w:t>
      </w:r>
      <w:r w:rsidR="003A67DF">
        <w:rPr>
          <w:rStyle w:val="AERbody"/>
        </w:rPr>
        <w:t xml:space="preserve">the </w:t>
      </w:r>
      <w:r w:rsidR="00AC0983" w:rsidRPr="00AC0983">
        <w:rPr>
          <w:rStyle w:val="AERbody"/>
        </w:rPr>
        <w:t>depreciation</w:t>
      </w:r>
      <w:r w:rsidR="003A67DF">
        <w:rPr>
          <w:rStyle w:val="AERbody"/>
        </w:rPr>
        <w:t xml:space="preserve"> calculation of total revenue</w:t>
      </w:r>
      <w:r w:rsidR="00AC0983" w:rsidRPr="00AC0983">
        <w:rPr>
          <w:rStyle w:val="AERbody"/>
        </w:rPr>
        <w:t xml:space="preserve">. This </w:t>
      </w:r>
      <w:r w:rsidR="003A67DF">
        <w:rPr>
          <w:rStyle w:val="AERbody"/>
        </w:rPr>
        <w:t xml:space="preserve">alternative approach </w:t>
      </w:r>
      <w:r w:rsidR="00AC0983" w:rsidRPr="00AC0983">
        <w:rPr>
          <w:rStyle w:val="AERbody"/>
        </w:rPr>
        <w:t>provides for overall revenues being higher early in the asset's life (as a result of more depreciation being returned to the TNSP) and lower in the future—producing a steeper downward sloping profile of total revenue.</w:t>
      </w:r>
      <w:r w:rsidR="00AC0983" w:rsidRPr="00AC0983">
        <w:rPr>
          <w:rStyle w:val="FootnoteReference"/>
        </w:rPr>
        <w:footnoteReference w:id="33"/>
      </w:r>
      <w:r w:rsidR="00AC0983" w:rsidRPr="00AC0983">
        <w:rPr>
          <w:rStyle w:val="AERbody"/>
        </w:rPr>
        <w:t xml:space="preserve"> The implications of an un</w:t>
      </w:r>
      <w:r w:rsidR="007B3C2A">
        <w:rPr>
          <w:rStyle w:val="AERbody"/>
        </w:rPr>
        <w:t>-</w:t>
      </w:r>
      <w:r w:rsidR="00AC0983" w:rsidRPr="00AC0983">
        <w:rPr>
          <w:rStyle w:val="AERbody"/>
        </w:rPr>
        <w:t>indexed RAB are discussed further in attachment 5.</w:t>
      </w:r>
      <w:r w:rsidR="00AC0983">
        <w:t xml:space="preserve"> </w:t>
      </w:r>
    </w:p>
    <w:p w:rsidR="00AC0983" w:rsidRDefault="00AC0983" w:rsidP="00AC0983">
      <w:r>
        <w:t>We received a</w:t>
      </w:r>
      <w:r w:rsidR="00045B73">
        <w:t xml:space="preserve"> </w:t>
      </w:r>
      <w:r w:rsidR="00AD1304" w:rsidRPr="00AD1304">
        <w:t xml:space="preserve">submission from </w:t>
      </w:r>
      <w:r w:rsidR="00AF6FBB">
        <w:t>Consumer Challenge Panel (</w:t>
      </w:r>
      <w:r w:rsidR="00AD1304" w:rsidRPr="00AD1304">
        <w:t>CCP</w:t>
      </w:r>
      <w:r w:rsidR="00AF6FBB">
        <w:t>)</w:t>
      </w:r>
      <w:r w:rsidR="00AD1304" w:rsidRPr="00AD1304">
        <w:t xml:space="preserve"> </w:t>
      </w:r>
      <w:r w:rsidR="00AF6FBB">
        <w:t xml:space="preserve">members Hugh Grant and David Headberry </w:t>
      </w:r>
      <w:r>
        <w:t xml:space="preserve">in relation to </w:t>
      </w:r>
      <w:r w:rsidR="00422BC6">
        <w:t xml:space="preserve">our approach to </w:t>
      </w:r>
      <w:r>
        <w:t>the inflation indexation of the RAB</w:t>
      </w:r>
      <w:r w:rsidR="00AD1304" w:rsidRPr="00AD1304">
        <w:t xml:space="preserve">. </w:t>
      </w:r>
      <w:r w:rsidR="00045B73">
        <w:t>The CCP</w:t>
      </w:r>
      <w:r w:rsidR="00AF6FBB">
        <w:t xml:space="preserve"> members</w:t>
      </w:r>
      <w:r w:rsidR="00045B73">
        <w:t xml:space="preserve"> </w:t>
      </w:r>
      <w:r w:rsidR="00AD1304">
        <w:t xml:space="preserve">submitted that </w:t>
      </w:r>
      <w:r w:rsidR="00AD1304" w:rsidRPr="00AD1304">
        <w:t>the</w:t>
      </w:r>
      <w:r w:rsidR="009E41D9">
        <w:t xml:space="preserve"> return on capital allowance should be calculated </w:t>
      </w:r>
      <w:r w:rsidR="00AD1304" w:rsidRPr="00AD1304">
        <w:t>based</w:t>
      </w:r>
      <w:r w:rsidR="009E41D9">
        <w:t xml:space="preserve"> </w:t>
      </w:r>
      <w:r w:rsidR="00AD1304" w:rsidRPr="00AD1304">
        <w:t>on</w:t>
      </w:r>
      <w:r w:rsidR="009E41D9">
        <w:t xml:space="preserve"> </w:t>
      </w:r>
      <w:r w:rsidR="00AD1304" w:rsidRPr="00AD1304">
        <w:t>actual</w:t>
      </w:r>
      <w:r w:rsidR="009E41D9">
        <w:t xml:space="preserve"> investments rather than the </w:t>
      </w:r>
      <w:r w:rsidR="00AD1304" w:rsidRPr="00AD1304">
        <w:t>artificially</w:t>
      </w:r>
      <w:r w:rsidR="009E41D9">
        <w:t xml:space="preserve"> </w:t>
      </w:r>
      <w:r w:rsidR="00AD1304" w:rsidRPr="00AD1304">
        <w:t>inflated</w:t>
      </w:r>
      <w:r w:rsidR="009E41D9">
        <w:t xml:space="preserve"> </w:t>
      </w:r>
      <w:r w:rsidR="00AD1304" w:rsidRPr="00AD1304">
        <w:t>capital</w:t>
      </w:r>
      <w:r w:rsidR="009E41D9">
        <w:t xml:space="preserve"> </w:t>
      </w:r>
      <w:r w:rsidR="00AD1304" w:rsidRPr="00AD1304">
        <w:t>bases.</w:t>
      </w:r>
      <w:r w:rsidR="009E41D9">
        <w:rPr>
          <w:rStyle w:val="FootnoteReference"/>
        </w:rPr>
        <w:footnoteReference w:id="34"/>
      </w:r>
      <w:r w:rsidR="009E41D9">
        <w:t xml:space="preserve"> </w:t>
      </w:r>
      <w:r w:rsidR="007F6D36">
        <w:t xml:space="preserve">We address the CCP </w:t>
      </w:r>
      <w:r w:rsidR="00AF6FBB">
        <w:t xml:space="preserve">members' </w:t>
      </w:r>
      <w:r w:rsidR="007F6D36">
        <w:t xml:space="preserve">submission </w:t>
      </w:r>
      <w:r w:rsidR="00C56491">
        <w:rPr>
          <w:rStyle w:val="AERbody"/>
        </w:rPr>
        <w:t xml:space="preserve">in </w:t>
      </w:r>
      <w:r w:rsidR="00AF6FBB">
        <w:rPr>
          <w:rStyle w:val="AERbody"/>
        </w:rPr>
        <w:t xml:space="preserve">section </w:t>
      </w:r>
      <w:r w:rsidR="00AF6FBB">
        <w:rPr>
          <w:rStyle w:val="AERbody"/>
        </w:rPr>
        <w:fldChar w:fldCharType="begin"/>
      </w:r>
      <w:r w:rsidR="00AF6FBB">
        <w:rPr>
          <w:rStyle w:val="AERbody"/>
        </w:rPr>
        <w:instrText xml:space="preserve"> REF _Ref462054657 \r \h </w:instrText>
      </w:r>
      <w:r w:rsidR="00AF6FBB">
        <w:rPr>
          <w:rStyle w:val="AERbody"/>
        </w:rPr>
      </w:r>
      <w:r w:rsidR="00AF6FBB">
        <w:rPr>
          <w:rStyle w:val="AERbody"/>
        </w:rPr>
        <w:fldChar w:fldCharType="separate"/>
      </w:r>
      <w:r w:rsidR="003179F2">
        <w:rPr>
          <w:rStyle w:val="AERbody"/>
        </w:rPr>
        <w:t>2.4.3</w:t>
      </w:r>
      <w:r w:rsidR="00AF6FBB">
        <w:rPr>
          <w:rStyle w:val="AERbody"/>
        </w:rPr>
        <w:fldChar w:fldCharType="end"/>
      </w:r>
      <w:r w:rsidR="00AF6FBB">
        <w:rPr>
          <w:rStyle w:val="AERbody"/>
        </w:rPr>
        <w:t xml:space="preserve"> below, and then in more detail in appendix </w:t>
      </w:r>
      <w:r w:rsidR="00AF6FBB">
        <w:rPr>
          <w:rStyle w:val="AERbody"/>
        </w:rPr>
        <w:fldChar w:fldCharType="begin"/>
      </w:r>
      <w:r w:rsidR="00AF6FBB">
        <w:rPr>
          <w:rStyle w:val="AERbody"/>
        </w:rPr>
        <w:instrText xml:space="preserve"> REF _Ref462054541 \r \h </w:instrText>
      </w:r>
      <w:r w:rsidR="00AF6FBB">
        <w:rPr>
          <w:rStyle w:val="AERbody"/>
        </w:rPr>
      </w:r>
      <w:r w:rsidR="00AF6FBB">
        <w:rPr>
          <w:rStyle w:val="AERbody"/>
        </w:rPr>
        <w:fldChar w:fldCharType="separate"/>
      </w:r>
      <w:r w:rsidR="003179F2">
        <w:rPr>
          <w:rStyle w:val="AERbody"/>
        </w:rPr>
        <w:t>A</w:t>
      </w:r>
      <w:r w:rsidR="00AF6FBB">
        <w:rPr>
          <w:rStyle w:val="AERbody"/>
        </w:rPr>
        <w:fldChar w:fldCharType="end"/>
      </w:r>
      <w:r w:rsidR="00AF6FBB">
        <w:rPr>
          <w:rStyle w:val="AERbody"/>
        </w:rPr>
        <w:t>.</w:t>
      </w:r>
    </w:p>
    <w:p w:rsidR="00C1213B" w:rsidRDefault="003A67DF" w:rsidP="00AC0983">
      <w:r>
        <w:fldChar w:fldCharType="begin"/>
      </w:r>
      <w:r>
        <w:instrText xml:space="preserve"> REF _Ref454532735 \h </w:instrText>
      </w:r>
      <w:r>
        <w:fldChar w:fldCharType="separate"/>
      </w:r>
      <w:r w:rsidR="003179F2">
        <w:t xml:space="preserve">Figure </w:t>
      </w:r>
      <w:r w:rsidR="003179F2">
        <w:rPr>
          <w:noProof/>
        </w:rPr>
        <w:t>2</w:t>
      </w:r>
      <w:r w:rsidR="003179F2">
        <w:t>.</w:t>
      </w:r>
      <w:r w:rsidR="003179F2">
        <w:rPr>
          <w:noProof/>
        </w:rPr>
        <w:t>1</w:t>
      </w:r>
      <w:r>
        <w:fldChar w:fldCharType="end"/>
      </w:r>
      <w:r>
        <w:t xml:space="preserve"> </w:t>
      </w:r>
      <w:r w:rsidR="0054020F">
        <w:t>shows the key drivers of the</w:t>
      </w:r>
      <w:r w:rsidR="00CB7AC7">
        <w:t xml:space="preserve"> change in the RAB over the 2017</w:t>
      </w:r>
      <w:r w:rsidR="0054020F">
        <w:t>–</w:t>
      </w:r>
      <w:r w:rsidR="00CB7AC7">
        <w:t>22</w:t>
      </w:r>
      <w:r w:rsidR="005B37CF">
        <w:t xml:space="preserve"> regulatory</w:t>
      </w:r>
      <w:r w:rsidR="0054020F">
        <w:t xml:space="preserve"> </w:t>
      </w:r>
      <w:r w:rsidR="005B37CF">
        <w:t xml:space="preserve">control </w:t>
      </w:r>
      <w:r w:rsidR="0054020F">
        <w:t xml:space="preserve">period as proposed by </w:t>
      </w:r>
      <w:r w:rsidR="00CB7AC7">
        <w:t>Powerlink</w:t>
      </w:r>
      <w:r w:rsidR="0054020F">
        <w:t>. Overall, the cl</w:t>
      </w:r>
      <w:r w:rsidR="00CB7AC7">
        <w:t xml:space="preserve">osing RAB at the end of the 2017–22 </w:t>
      </w:r>
      <w:r w:rsidR="005B37CF">
        <w:t xml:space="preserve">regulatory control </w:t>
      </w:r>
      <w:r w:rsidR="00CB7AC7">
        <w:t xml:space="preserve">period would </w:t>
      </w:r>
      <w:r w:rsidR="00CB7AC7" w:rsidRPr="00591C47">
        <w:rPr>
          <w:rStyle w:val="AERbody"/>
        </w:rPr>
        <w:t xml:space="preserve">be </w:t>
      </w:r>
      <w:r w:rsidR="00591C47" w:rsidRPr="00591C47">
        <w:rPr>
          <w:rStyle w:val="AERbody"/>
        </w:rPr>
        <w:t>5.6</w:t>
      </w:r>
      <w:r w:rsidR="0054020F" w:rsidRPr="00591C47">
        <w:rPr>
          <w:rStyle w:val="AERbody"/>
        </w:rPr>
        <w:t xml:space="preserve"> per cent higher</w:t>
      </w:r>
      <w:r w:rsidR="0054020F">
        <w:t xml:space="preserve"> than the opening RAB at the start of that period based on the proposal, in nominal terms. The proposed forecast </w:t>
      </w:r>
      <w:r w:rsidR="007B3C2A">
        <w:t xml:space="preserve">net </w:t>
      </w:r>
      <w:r w:rsidR="0054020F">
        <w:t xml:space="preserve">capex increases the RAB by about </w:t>
      </w:r>
      <w:r w:rsidR="00591C47" w:rsidRPr="00591C47">
        <w:t xml:space="preserve">15 </w:t>
      </w:r>
      <w:r w:rsidR="0054020F" w:rsidRPr="00591C47">
        <w:t>per cent,</w:t>
      </w:r>
      <w:r w:rsidR="0054020F">
        <w:t xml:space="preserve"> while </w:t>
      </w:r>
      <w:r w:rsidR="005B37CF">
        <w:t xml:space="preserve">expected </w:t>
      </w:r>
      <w:r w:rsidR="0054020F">
        <w:t>in</w:t>
      </w:r>
      <w:r w:rsidR="00CB7AC7">
        <w:t xml:space="preserve">flation increases it by about </w:t>
      </w:r>
      <w:r w:rsidR="00591C47">
        <w:t>1</w:t>
      </w:r>
      <w:r w:rsidR="00034550">
        <w:t>3</w:t>
      </w:r>
      <w:r w:rsidR="00591C47">
        <w:t xml:space="preserve"> </w:t>
      </w:r>
      <w:r w:rsidR="0054020F">
        <w:t xml:space="preserve">per cent. Forecast depreciation, on the other hand, reduces the RAB by about </w:t>
      </w:r>
      <w:r w:rsidR="00591C47">
        <w:t xml:space="preserve">21 </w:t>
      </w:r>
      <w:r w:rsidR="0054020F">
        <w:t xml:space="preserve">per cent. </w:t>
      </w:r>
    </w:p>
    <w:p w:rsidR="0054020F" w:rsidRDefault="003A67DF" w:rsidP="003A67DF">
      <w:pPr>
        <w:pStyle w:val="Caption"/>
      </w:pPr>
      <w:bookmarkStart w:id="87" w:name="_Ref454532735"/>
      <w:r>
        <w:lastRenderedPageBreak/>
        <w:t xml:space="preserve">Figure </w:t>
      </w:r>
      <w:fldSimple w:instr=" STYLEREF 1 \s ">
        <w:r w:rsidR="003179F2">
          <w:rPr>
            <w:noProof/>
          </w:rPr>
          <w:t>2</w:t>
        </w:r>
      </w:fldSimple>
      <w:r>
        <w:t>.</w:t>
      </w:r>
      <w:fldSimple w:instr=" SEQ Figure \* ARABIC \s 1 ">
        <w:r w:rsidR="003179F2">
          <w:rPr>
            <w:noProof/>
          </w:rPr>
          <w:t>1</w:t>
        </w:r>
      </w:fldSimple>
      <w:bookmarkEnd w:id="87"/>
      <w:r w:rsidR="0054020F">
        <w:tab/>
        <w:t>Key drivers of changes in the RAB ($ million, nominal)</w:t>
      </w:r>
    </w:p>
    <w:p w:rsidR="0054020F" w:rsidRDefault="00152B29" w:rsidP="0054020F">
      <w:r>
        <w:rPr>
          <w:noProof/>
          <w:lang w:eastAsia="en-AU"/>
        </w:rPr>
        <w:drawing>
          <wp:inline distT="0" distB="0" distL="0" distR="0" wp14:anchorId="43D9B38E" wp14:editId="11CA2728">
            <wp:extent cx="5145405" cy="32435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45405" cy="3243580"/>
                    </a:xfrm>
                    <a:prstGeom prst="rect">
                      <a:avLst/>
                    </a:prstGeom>
                    <a:noFill/>
                  </pic:spPr>
                </pic:pic>
              </a:graphicData>
            </a:graphic>
          </wp:inline>
        </w:drawing>
      </w:r>
    </w:p>
    <w:p w:rsidR="005B37CF" w:rsidRDefault="005B37CF" w:rsidP="005B37CF">
      <w:pPr>
        <w:pStyle w:val="AERtablesource"/>
        <w:numPr>
          <w:ilvl w:val="0"/>
          <w:numId w:val="24"/>
        </w:numPr>
      </w:pPr>
      <w:r>
        <w:t>Source:</w:t>
      </w:r>
      <w:r>
        <w:tab/>
        <w:t>Powerlink</w:t>
      </w:r>
      <w:r w:rsidRPr="00FD2861">
        <w:t xml:space="preserve">, </w:t>
      </w:r>
      <w:r w:rsidRPr="00FD2861">
        <w:rPr>
          <w:rStyle w:val="AERtextitalic"/>
        </w:rPr>
        <w:t>Post-tax revenue model</w:t>
      </w:r>
      <w:r w:rsidRPr="00FD2861">
        <w:t xml:space="preserve">, </w:t>
      </w:r>
      <w:r>
        <w:t>January 2016.</w:t>
      </w:r>
    </w:p>
    <w:p w:rsidR="00C1213B" w:rsidRDefault="00856110" w:rsidP="00C1213B">
      <w:pPr>
        <w:numPr>
          <w:ilvl w:val="0"/>
          <w:numId w:val="24"/>
        </w:numPr>
      </w:pPr>
      <w:r>
        <w:t xml:space="preserve">Powerlink forecast depreciation of $1533.7 million ($ nominal). </w:t>
      </w:r>
      <w:r w:rsidR="00C1213B">
        <w:t xml:space="preserve"> We have </w:t>
      </w:r>
      <w:r w:rsidR="005B37CF">
        <w:t xml:space="preserve">accepted </w:t>
      </w:r>
      <w:r w:rsidR="00C1213B">
        <w:t>Powerlink's depreciation proposal</w:t>
      </w:r>
      <w:r>
        <w:t>, subject to some updates,</w:t>
      </w:r>
      <w:r w:rsidR="005B37CF" w:rsidRPr="005B37CF">
        <w:t xml:space="preserve"> </w:t>
      </w:r>
      <w:r w:rsidR="005B37CF">
        <w:t>as it satisfies the requirements of the NER in terms of the assigned asset lives</w:t>
      </w:r>
      <w:r w:rsidR="00C1213B">
        <w:t>. This is discussed in attachment 5. The depreciation amount largely depends on the opening RAB (which in turn depends on capex in the past). Forecast net capex is a significant driver of the increase in the RAB</w:t>
      </w:r>
      <w:r w:rsidR="003652DF">
        <w:t>. We are not satisfied Powerlink's proposed total forecast capex of $</w:t>
      </w:r>
      <w:r w:rsidR="00006178">
        <w:t>1047.8 million</w:t>
      </w:r>
      <w:r w:rsidR="003652DF">
        <w:t xml:space="preserve"> ($ nominal) for the 2017–22 regulatory control period reasonably reflects the capex criteria. We have therefore rejected Powerlink's proposed capex and have </w:t>
      </w:r>
      <w:r w:rsidR="00152B29">
        <w:t>substituted our estimate of $844.0</w:t>
      </w:r>
      <w:r w:rsidR="003652DF">
        <w:t> </w:t>
      </w:r>
      <w:r w:rsidR="00006178">
        <w:t xml:space="preserve">million </w:t>
      </w:r>
      <w:r w:rsidR="003652DF">
        <w:t>($ nominal) for the 2017–22 regulatory control period.</w:t>
      </w:r>
      <w:r w:rsidR="003652DF">
        <w:rPr>
          <w:rStyle w:val="FootnoteReference"/>
        </w:rPr>
        <w:footnoteReference w:id="35"/>
      </w:r>
      <w:r w:rsidR="00C1213B">
        <w:t xml:space="preserve"> Refer to attachment 6 for the discussion on forecast capex</w:t>
      </w:r>
    </w:p>
    <w:p w:rsidR="0054020F" w:rsidRDefault="0054020F" w:rsidP="00C1213B">
      <w:r>
        <w:t xml:space="preserve">A ten per cent increase in the opening </w:t>
      </w:r>
      <w:r w:rsidR="00C1213B">
        <w:t xml:space="preserve">RAB </w:t>
      </w:r>
      <w:r>
        <w:t xml:space="preserve">causes revenues to increase by about </w:t>
      </w:r>
      <w:r w:rsidR="00B41BF5" w:rsidRPr="00C1213B">
        <w:t xml:space="preserve">3.5 </w:t>
      </w:r>
      <w:r w:rsidRPr="00C1213B">
        <w:t>per cent. However, the impact on revenues of the annual change in RAB depends on</w:t>
      </w:r>
      <w:r>
        <w:t xml:space="preserve"> the source of the RAB change, as some drivers affect more than one building block cost.</w:t>
      </w:r>
      <w:r>
        <w:rPr>
          <w:rStyle w:val="FootnoteReference"/>
        </w:rPr>
        <w:footnoteReference w:id="36"/>
      </w:r>
      <w:r>
        <w:t xml:space="preserve"> </w:t>
      </w:r>
    </w:p>
    <w:p w:rsidR="00132D43" w:rsidRDefault="00132D43" w:rsidP="00132D43">
      <w:pPr>
        <w:pStyle w:val="Heading2"/>
      </w:pPr>
      <w:bookmarkStart w:id="88" w:name="_Toc462749192"/>
      <w:r>
        <w:lastRenderedPageBreak/>
        <w:t>Reasons for draft decision</w:t>
      </w:r>
      <w:bookmarkEnd w:id="88"/>
    </w:p>
    <w:p w:rsidR="000C33CB" w:rsidRDefault="00864045" w:rsidP="00864045">
      <w:r w:rsidRPr="00CA1CF5">
        <w:rPr>
          <w:rStyle w:val="AERbody"/>
        </w:rPr>
        <w:t xml:space="preserve">We determine an opening RAB value for </w:t>
      </w:r>
      <w:r>
        <w:rPr>
          <w:rStyle w:val="AERbody"/>
        </w:rPr>
        <w:t xml:space="preserve">Powerlink </w:t>
      </w:r>
      <w:r w:rsidRPr="00D56DBC">
        <w:t>of $</w:t>
      </w:r>
      <w:r w:rsidR="009A78D0">
        <w:t>7164.7</w:t>
      </w:r>
      <w:r>
        <w:t> </w:t>
      </w:r>
      <w:r w:rsidRPr="00D56DBC">
        <w:t>million ($ nominal) as at 1 </w:t>
      </w:r>
      <w:r w:rsidR="009A78D0">
        <w:t>Ju</w:t>
      </w:r>
      <w:r w:rsidR="005B3909">
        <w:t>ly</w:t>
      </w:r>
      <w:r w:rsidRPr="00D56DBC">
        <w:t xml:space="preserve"> 201</w:t>
      </w:r>
      <w:r>
        <w:t>7</w:t>
      </w:r>
      <w:r w:rsidRPr="00D56DBC">
        <w:t xml:space="preserve">, a </w:t>
      </w:r>
      <w:r>
        <w:t>reduction</w:t>
      </w:r>
      <w:r w:rsidRPr="00D56DBC">
        <w:t xml:space="preserve"> of $</w:t>
      </w:r>
      <w:r w:rsidR="009A78D0">
        <w:t>73.2</w:t>
      </w:r>
      <w:r>
        <w:t> </w:t>
      </w:r>
      <w:r w:rsidRPr="00D56DBC">
        <w:t>million ($</w:t>
      </w:r>
      <w:r>
        <w:t> </w:t>
      </w:r>
      <w:r w:rsidRPr="00D56DBC">
        <w:t xml:space="preserve">nominal) or </w:t>
      </w:r>
      <w:r>
        <w:t>1.0 </w:t>
      </w:r>
      <w:r w:rsidRPr="00D56DBC">
        <w:t>per cent from the proposed value. We forecast a closing RAB value of $</w:t>
      </w:r>
      <w:r w:rsidR="00152B29">
        <w:t>7402.9</w:t>
      </w:r>
      <w:r>
        <w:t> </w:t>
      </w:r>
      <w:r w:rsidR="009A78D0">
        <w:t>million by 30 June</w:t>
      </w:r>
      <w:r>
        <w:t xml:space="preserve"> 2022</w:t>
      </w:r>
      <w:r w:rsidRPr="00D56DBC">
        <w:t>. This represents a reduction of $</w:t>
      </w:r>
      <w:r w:rsidR="00152B29">
        <w:t>259.6</w:t>
      </w:r>
      <w:r w:rsidRPr="00D56DBC">
        <w:t xml:space="preserve"> million, or </w:t>
      </w:r>
      <w:r w:rsidR="00152B29">
        <w:t>3.4</w:t>
      </w:r>
      <w:r>
        <w:rPr>
          <w:rStyle w:val="AERbody"/>
        </w:rPr>
        <w:t> </w:t>
      </w:r>
      <w:r w:rsidRPr="00CA1CF5">
        <w:rPr>
          <w:rStyle w:val="AERbody"/>
        </w:rPr>
        <w:t xml:space="preserve">per cent compared to </w:t>
      </w:r>
      <w:r w:rsidR="009A78D0">
        <w:rPr>
          <w:rStyle w:val="AERbody"/>
        </w:rPr>
        <w:t>Powerlink</w:t>
      </w:r>
      <w:r>
        <w:rPr>
          <w:rStyle w:val="AERbody"/>
        </w:rPr>
        <w:t>’</w:t>
      </w:r>
      <w:r w:rsidR="009A78D0">
        <w:rPr>
          <w:rStyle w:val="AERbody"/>
        </w:rPr>
        <w:t>s</w:t>
      </w:r>
      <w:r w:rsidRPr="00CA1CF5">
        <w:rPr>
          <w:rStyle w:val="AERbody"/>
        </w:rPr>
        <w:t xml:space="preserve"> proposal. The reasons for our </w:t>
      </w:r>
      <w:r w:rsidR="00AC2A15">
        <w:rPr>
          <w:rStyle w:val="AERbody"/>
        </w:rPr>
        <w:t xml:space="preserve">draft </w:t>
      </w:r>
      <w:r w:rsidRPr="00CA1CF5">
        <w:rPr>
          <w:rStyle w:val="AERbody"/>
        </w:rPr>
        <w:t>decision are discussed below.</w:t>
      </w:r>
    </w:p>
    <w:p w:rsidR="0054020F" w:rsidRPr="0054020F" w:rsidRDefault="0054020F" w:rsidP="0054020F">
      <w:pPr>
        <w:pStyle w:val="Heading3"/>
      </w:pPr>
      <w:bookmarkStart w:id="89" w:name="_Ref402185555"/>
      <w:bookmarkStart w:id="90" w:name="_Ref402185568"/>
      <w:bookmarkStart w:id="91" w:name="_Toc404153959"/>
      <w:bookmarkStart w:id="92" w:name="_Toc462749193"/>
      <w:r>
        <w:t>Opening RAB</w:t>
      </w:r>
      <w:r w:rsidRPr="0054020F">
        <w:t xml:space="preserve"> at 1 July 201</w:t>
      </w:r>
      <w:bookmarkEnd w:id="89"/>
      <w:bookmarkEnd w:id="90"/>
      <w:bookmarkEnd w:id="91"/>
      <w:r w:rsidR="00CB7AC7">
        <w:t>7</w:t>
      </w:r>
      <w:bookmarkEnd w:id="92"/>
    </w:p>
    <w:p w:rsidR="008C5252" w:rsidRDefault="008C5252" w:rsidP="008C5252">
      <w:r>
        <w:t xml:space="preserve">We </w:t>
      </w:r>
      <w:r w:rsidR="007133AC">
        <w:t xml:space="preserve">do not accept Powerlink's proposed </w:t>
      </w:r>
      <w:r w:rsidR="007133AC" w:rsidRPr="008C5252">
        <w:t>opening RAB of $7237.9 million ($ nominal) as at 1 July 2017</w:t>
      </w:r>
      <w:r w:rsidR="007133AC">
        <w:t>.</w:t>
      </w:r>
      <w:r w:rsidR="007133AC">
        <w:rPr>
          <w:rStyle w:val="FootnoteReference"/>
        </w:rPr>
        <w:footnoteReference w:id="37"/>
      </w:r>
      <w:r w:rsidR="007133AC">
        <w:t xml:space="preserve"> We instead </w:t>
      </w:r>
      <w:r w:rsidR="009A78D0" w:rsidRPr="009A78D0">
        <w:t>determine an opening RAB value of $</w:t>
      </w:r>
      <w:r w:rsidR="009A78D0">
        <w:t>7164.7</w:t>
      </w:r>
      <w:r w:rsidR="009A78D0" w:rsidRPr="009A78D0">
        <w:t xml:space="preserve"> million ($ nominal) as at 1 </w:t>
      </w:r>
      <w:r w:rsidR="009A78D0">
        <w:t>July</w:t>
      </w:r>
      <w:r w:rsidR="009A78D0" w:rsidRPr="009A78D0">
        <w:t xml:space="preserve"> 2017. This represents a </w:t>
      </w:r>
      <w:r w:rsidR="009A78D0" w:rsidRPr="009A78D0">
        <w:rPr>
          <w:rStyle w:val="AERbody"/>
        </w:rPr>
        <w:t>reduction of $</w:t>
      </w:r>
      <w:r w:rsidR="009A78D0">
        <w:rPr>
          <w:rStyle w:val="AERbody"/>
        </w:rPr>
        <w:t>73.2</w:t>
      </w:r>
      <w:r w:rsidR="009A78D0" w:rsidRPr="009A78D0">
        <w:rPr>
          <w:rStyle w:val="AERbody"/>
        </w:rPr>
        <w:t> million (or 1.0 per cent).</w:t>
      </w:r>
      <w:r>
        <w:rPr>
          <w:rStyle w:val="AERbody"/>
        </w:rPr>
        <w:t xml:space="preserve"> </w:t>
      </w:r>
    </w:p>
    <w:p w:rsidR="007133AC" w:rsidRDefault="009A78D0" w:rsidP="008C5252">
      <w:r w:rsidRPr="009A78D0">
        <w:t xml:space="preserve">To determine the opening RAB as at 1 </w:t>
      </w:r>
      <w:r>
        <w:t>July</w:t>
      </w:r>
      <w:r w:rsidRPr="009A78D0">
        <w:t xml:space="preserve"> 2017 we have rolled forward the RAB over the 201</w:t>
      </w:r>
      <w:r w:rsidR="00A816C3">
        <w:t>2</w:t>
      </w:r>
      <w:r w:rsidRPr="009A78D0">
        <w:t>–17 regulatory control period to determine a closing RAB value as at 3</w:t>
      </w:r>
      <w:r w:rsidR="00A816C3">
        <w:t>0</w:t>
      </w:r>
      <w:r w:rsidRPr="009A78D0">
        <w:t> </w:t>
      </w:r>
      <w:r w:rsidR="00A816C3">
        <w:t xml:space="preserve">June </w:t>
      </w:r>
      <w:r w:rsidRPr="009A78D0">
        <w:t xml:space="preserve">2017. In doing so we reviewed the key inputs of </w:t>
      </w:r>
      <w:r w:rsidR="00A816C3">
        <w:t>Powerlink</w:t>
      </w:r>
      <w:r w:rsidRPr="009A78D0">
        <w:t>'</w:t>
      </w:r>
      <w:r w:rsidR="00A816C3">
        <w:t>s</w:t>
      </w:r>
      <w:r w:rsidRPr="009A78D0">
        <w:t xml:space="preserve"> proposed RFM, such as actual inflation, rate of return, gross capex values</w:t>
      </w:r>
      <w:r w:rsidR="007133AC">
        <w:t>, asset disposal values</w:t>
      </w:r>
      <w:r w:rsidRPr="009A78D0">
        <w:t xml:space="preserve"> and asset lives. We found these were generally correct and they reconcile with relevant data sources such as ABS data, regulatory accounts and the 201</w:t>
      </w:r>
      <w:r w:rsidR="00A816C3">
        <w:t>2</w:t>
      </w:r>
      <w:r w:rsidRPr="009A78D0">
        <w:t>–17 decision models.</w:t>
      </w:r>
      <w:r w:rsidRPr="009A78D0">
        <w:rPr>
          <w:rStyle w:val="FootnoteReference"/>
        </w:rPr>
        <w:footnoteReference w:id="38"/>
      </w:r>
      <w:r w:rsidRPr="009A78D0">
        <w:t xml:space="preserve"> However, we consider there should be </w:t>
      </w:r>
      <w:r w:rsidR="007133AC">
        <w:t xml:space="preserve">three </w:t>
      </w:r>
      <w:r w:rsidRPr="009A78D0">
        <w:t xml:space="preserve">adjustments made to </w:t>
      </w:r>
      <w:r w:rsidR="008C5252">
        <w:t>Powerlink's</w:t>
      </w:r>
      <w:r w:rsidRPr="009A78D0">
        <w:t xml:space="preserve"> proposed RFM inputs</w:t>
      </w:r>
      <w:r w:rsidR="007133AC">
        <w:t>:</w:t>
      </w:r>
      <w:r w:rsidRPr="009A78D0">
        <w:t xml:space="preserve"> </w:t>
      </w:r>
    </w:p>
    <w:p w:rsidR="007133AC" w:rsidRDefault="007133AC" w:rsidP="008066C5">
      <w:pPr>
        <w:pStyle w:val="ListNumber"/>
      </w:pPr>
      <w:r>
        <w:t>Updating Powerlink's estimate of</w:t>
      </w:r>
      <w:r w:rsidR="009A78D0" w:rsidRPr="009A78D0">
        <w:t xml:space="preserve"> inflation</w:t>
      </w:r>
      <w:r w:rsidR="00A816C3">
        <w:t xml:space="preserve"> </w:t>
      </w:r>
      <w:r>
        <w:t>for</w:t>
      </w:r>
      <w:r w:rsidR="008C5252">
        <w:t xml:space="preserve"> 2015–16 with actual </w:t>
      </w:r>
      <w:r>
        <w:t>CPI for this period, as it is now available</w:t>
      </w:r>
      <w:r w:rsidR="00A816C3">
        <w:t>.</w:t>
      </w:r>
      <w:r>
        <w:rPr>
          <w:rStyle w:val="FootnoteReference"/>
        </w:rPr>
        <w:footnoteReference w:id="39"/>
      </w:r>
      <w:r w:rsidR="00A816C3">
        <w:t xml:space="preserve"> </w:t>
      </w:r>
    </w:p>
    <w:p w:rsidR="008A75FB" w:rsidRDefault="007133AC" w:rsidP="008066C5">
      <w:pPr>
        <w:pStyle w:val="ListNumber"/>
      </w:pPr>
      <w:r>
        <w:t>C</w:t>
      </w:r>
      <w:r w:rsidR="00A816C3">
        <w:t>orrect</w:t>
      </w:r>
      <w:r>
        <w:t>ing a</w:t>
      </w:r>
      <w:r w:rsidR="009A78D0" w:rsidRPr="009A78D0">
        <w:t xml:space="preserve"> </w:t>
      </w:r>
      <w:r w:rsidR="00A816C3">
        <w:t xml:space="preserve">minor input error in relation to </w:t>
      </w:r>
      <w:r w:rsidR="009A78D0" w:rsidRPr="009A78D0">
        <w:t>the movements in capitalised provisions</w:t>
      </w:r>
      <w:r w:rsidR="008A75FB">
        <w:t>, which are adjusted from actual capex being added to the RAB.</w:t>
      </w:r>
      <w:r w:rsidR="008A75FB">
        <w:rPr>
          <w:rStyle w:val="FootnoteReference"/>
        </w:rPr>
        <w:footnoteReference w:id="40"/>
      </w:r>
    </w:p>
    <w:p w:rsidR="009A78D0" w:rsidRPr="009A78D0" w:rsidRDefault="008A75FB" w:rsidP="008066C5">
      <w:pPr>
        <w:pStyle w:val="ListNumber"/>
      </w:pPr>
      <w:r>
        <w:t>Correcting for a minor input error</w:t>
      </w:r>
      <w:r w:rsidR="009A78D0" w:rsidRPr="009A78D0">
        <w:t xml:space="preserve"> </w:t>
      </w:r>
      <w:r>
        <w:t>for the benchmark</w:t>
      </w:r>
      <w:r w:rsidR="009A78D0" w:rsidRPr="009A78D0">
        <w:t xml:space="preserve"> </w:t>
      </w:r>
      <w:r w:rsidR="00A816C3">
        <w:t>equity rising costs</w:t>
      </w:r>
      <w:r>
        <w:t xml:space="preserve"> in </w:t>
      </w:r>
      <w:r w:rsidR="00BE3FAF">
        <w:br/>
      </w:r>
      <w:r>
        <w:t>2012–13</w:t>
      </w:r>
      <w:r w:rsidR="009A78D0" w:rsidRPr="009A78D0">
        <w:t>.</w:t>
      </w:r>
      <w:r w:rsidR="004833E3">
        <w:rPr>
          <w:rStyle w:val="FootnoteReference"/>
        </w:rPr>
        <w:footnoteReference w:id="41"/>
      </w:r>
    </w:p>
    <w:p w:rsidR="00873BAB" w:rsidRDefault="000438AB" w:rsidP="008066C5">
      <w:r>
        <w:t xml:space="preserve">We </w:t>
      </w:r>
      <w:r w:rsidR="00873BAB">
        <w:t>also</w:t>
      </w:r>
      <w:r w:rsidR="004B1B8E" w:rsidRPr="004B1B8E">
        <w:t xml:space="preserve"> </w:t>
      </w:r>
      <w:r w:rsidR="00BE3FAF">
        <w:t xml:space="preserve">consider the </w:t>
      </w:r>
      <w:r w:rsidR="00BE3FAF">
        <w:rPr>
          <w:rStyle w:val="AERbody"/>
        </w:rPr>
        <w:t>extent to which our roll forward of the RAB to 1 July 2017 contributes to the achievement of the capital expenditure incentive objective.</w:t>
      </w:r>
      <w:r w:rsidR="00BE3FAF">
        <w:rPr>
          <w:rStyle w:val="FootnoteReference"/>
        </w:rPr>
        <w:footnoteReference w:id="42"/>
      </w:r>
      <w:r w:rsidR="00BE3FAF">
        <w:rPr>
          <w:rStyle w:val="AERbody"/>
        </w:rPr>
        <w:t xml:space="preserve"> </w:t>
      </w:r>
      <w:r w:rsidR="00873BAB" w:rsidRPr="00B62C6E">
        <w:rPr>
          <w:rStyle w:val="AERbody"/>
        </w:rPr>
        <w:t>W</w:t>
      </w:r>
      <w:r w:rsidR="00873BAB" w:rsidRPr="00873BAB">
        <w:rPr>
          <w:rStyle w:val="AERbody"/>
        </w:rPr>
        <w:t xml:space="preserve">e received one submission from Cotton Australia raising concerns with the size of the proposed </w:t>
      </w:r>
      <w:r w:rsidR="00873BAB" w:rsidRPr="00873BAB">
        <w:t>RAB by Powerlink.</w:t>
      </w:r>
      <w:r w:rsidR="00873BAB" w:rsidRPr="00873BAB">
        <w:rPr>
          <w:rStyle w:val="FootnoteReference"/>
        </w:rPr>
        <w:footnoteReference w:id="43"/>
      </w:r>
      <w:r w:rsidR="00873BAB" w:rsidRPr="00873BAB">
        <w:t xml:space="preserve"> </w:t>
      </w:r>
      <w:r w:rsidR="00BE3FAF" w:rsidRPr="00DB1673">
        <w:rPr>
          <w:rStyle w:val="AERbody"/>
        </w:rPr>
        <w:t xml:space="preserve">We note that under the transitional rules, in making this </w:t>
      </w:r>
      <w:r w:rsidR="00BE3FAF">
        <w:rPr>
          <w:rStyle w:val="AERbody"/>
        </w:rPr>
        <w:t>transmission</w:t>
      </w:r>
      <w:r w:rsidR="00BE3FAF" w:rsidRPr="00DB1673">
        <w:rPr>
          <w:rStyle w:val="AERbody"/>
        </w:rPr>
        <w:t xml:space="preserve"> determination</w:t>
      </w:r>
      <w:r w:rsidR="00BE3FAF">
        <w:rPr>
          <w:rStyle w:val="AERbody"/>
        </w:rPr>
        <w:t xml:space="preserve">, the review of past capex does not apply to Powerlink prior </w:t>
      </w:r>
      <w:r w:rsidR="00BE3FAF">
        <w:rPr>
          <w:rStyle w:val="AERbody"/>
        </w:rPr>
        <w:lastRenderedPageBreak/>
        <w:t>to 1 July 2014.</w:t>
      </w:r>
      <w:r w:rsidR="00BE3FAF">
        <w:rPr>
          <w:rStyle w:val="FootnoteReference"/>
        </w:rPr>
        <w:footnoteReference w:id="44"/>
      </w:r>
      <w:r w:rsidR="00BE3FAF" w:rsidRPr="00DB1673">
        <w:rPr>
          <w:rStyle w:val="AERbody"/>
        </w:rPr>
        <w:t xml:space="preserve"> </w:t>
      </w:r>
      <w:r w:rsidR="00D436DC">
        <w:t>Given th</w:t>
      </w:r>
      <w:r w:rsidR="00BE3FAF">
        <w:t>is,</w:t>
      </w:r>
      <w:r w:rsidR="004B1B8E" w:rsidRPr="004B1B8E">
        <w:t xml:space="preserve"> the review period </w:t>
      </w:r>
      <w:r w:rsidR="00D436DC">
        <w:t xml:space="preserve">for this </w:t>
      </w:r>
      <w:r w:rsidR="00BE3FAF">
        <w:t>transmission determination</w:t>
      </w:r>
      <w:r w:rsidR="00D436DC">
        <w:t xml:space="preserve"> </w:t>
      </w:r>
      <w:r w:rsidR="00BA5DCF" w:rsidRPr="00BA5DCF">
        <w:t xml:space="preserve">is limited </w:t>
      </w:r>
      <w:r w:rsidR="00BE3FAF">
        <w:t xml:space="preserve">to </w:t>
      </w:r>
      <w:r w:rsidR="004B1B8E" w:rsidRPr="004B1B8E">
        <w:t>2014</w:t>
      </w:r>
      <w:r w:rsidR="00BE3FAF">
        <w:t>–</w:t>
      </w:r>
      <w:r w:rsidR="004B1B8E" w:rsidRPr="004B1B8E">
        <w:t>15</w:t>
      </w:r>
      <w:r w:rsidR="00BE3FAF">
        <w:t xml:space="preserve"> capex</w:t>
      </w:r>
      <w:r w:rsidR="004B1B8E" w:rsidRPr="004B1B8E">
        <w:t>.</w:t>
      </w:r>
      <w:r w:rsidR="00D436DC">
        <w:rPr>
          <w:rStyle w:val="FootnoteReference"/>
        </w:rPr>
        <w:footnoteReference w:id="45"/>
      </w:r>
      <w:r w:rsidR="004B1B8E">
        <w:t xml:space="preserve"> Powerlink's </w:t>
      </w:r>
      <w:r w:rsidR="004B1B8E" w:rsidRPr="004B1B8E">
        <w:t>actual cap</w:t>
      </w:r>
      <w:r w:rsidR="00BE3FAF">
        <w:t>ex</w:t>
      </w:r>
      <w:r w:rsidR="004B1B8E" w:rsidRPr="004B1B8E">
        <w:t xml:space="preserve"> in</w:t>
      </w:r>
      <w:r w:rsidR="00BE3FAF">
        <w:t>curred in</w:t>
      </w:r>
      <w:r w:rsidR="004B1B8E" w:rsidRPr="004B1B8E">
        <w:t xml:space="preserve"> 2014</w:t>
      </w:r>
      <w:r w:rsidR="00BE3FAF">
        <w:t>–</w:t>
      </w:r>
      <w:r w:rsidR="004B1B8E" w:rsidRPr="004B1B8E">
        <w:t xml:space="preserve">15 is below the </w:t>
      </w:r>
      <w:r w:rsidR="00BE3FAF">
        <w:t>forecast</w:t>
      </w:r>
      <w:r w:rsidR="004B1B8E" w:rsidRPr="004B1B8E">
        <w:t xml:space="preserve"> allowance </w:t>
      </w:r>
      <w:r w:rsidR="00BE3FAF">
        <w:t>set at the previous transmission determination.</w:t>
      </w:r>
      <w:r w:rsidR="004B1B8E" w:rsidRPr="004B1B8E">
        <w:t xml:space="preserve"> </w:t>
      </w:r>
      <w:r w:rsidR="00BE3FAF">
        <w:t>T</w:t>
      </w:r>
      <w:r w:rsidR="004B1B8E" w:rsidRPr="004B1B8E">
        <w:t>herefore</w:t>
      </w:r>
      <w:r w:rsidR="00BE3FAF">
        <w:t>,</w:t>
      </w:r>
      <w:r w:rsidR="004B1B8E" w:rsidRPr="004B1B8E">
        <w:t xml:space="preserve"> the </w:t>
      </w:r>
      <w:r w:rsidR="00BE3FAF">
        <w:t>overspending requirement for an</w:t>
      </w:r>
      <w:r w:rsidR="004B1B8E" w:rsidRPr="004B1B8E">
        <w:t xml:space="preserve"> efficiency review</w:t>
      </w:r>
      <w:r w:rsidR="00BE3FAF">
        <w:t xml:space="preserve"> of past capex</w:t>
      </w:r>
      <w:r w:rsidR="004B1B8E" w:rsidRPr="004B1B8E">
        <w:t xml:space="preserve"> is not </w:t>
      </w:r>
      <w:r w:rsidR="00BE3FAF">
        <w:t>satisfied</w:t>
      </w:r>
      <w:r w:rsidR="004B1B8E" w:rsidRPr="004B1B8E">
        <w:t>.</w:t>
      </w:r>
      <w:r w:rsidR="00BE3FAF">
        <w:rPr>
          <w:rStyle w:val="FootnoteReference"/>
        </w:rPr>
        <w:footnoteReference w:id="46"/>
      </w:r>
      <w:r w:rsidR="004B1B8E" w:rsidRPr="004B1B8E">
        <w:t xml:space="preserve"> </w:t>
      </w:r>
      <w:r w:rsidR="004B1B8E">
        <w:t>A</w:t>
      </w:r>
      <w:r w:rsidR="004B1B8E" w:rsidRPr="004B1B8E">
        <w:t xml:space="preserve">ccordingly, </w:t>
      </w:r>
      <w:r w:rsidR="00BE3FAF">
        <w:t>the</w:t>
      </w:r>
      <w:r w:rsidR="004B1B8E" w:rsidRPr="004B1B8E">
        <w:t xml:space="preserve"> </w:t>
      </w:r>
      <w:r w:rsidR="004B1B8E">
        <w:t>capex</w:t>
      </w:r>
      <w:r w:rsidR="004B1B8E" w:rsidRPr="004B1B8E">
        <w:t xml:space="preserve"> incurred </w:t>
      </w:r>
      <w:r w:rsidR="00D436DC">
        <w:t>in that year</w:t>
      </w:r>
      <w:r w:rsidR="004B1B8E" w:rsidRPr="004B1B8E">
        <w:t xml:space="preserve"> is regarded as</w:t>
      </w:r>
      <w:r w:rsidR="00BE3FAF">
        <w:t xml:space="preserve"> prudent and</w:t>
      </w:r>
      <w:r w:rsidR="004B1B8E" w:rsidRPr="004B1B8E">
        <w:t xml:space="preserve"> efficient</w:t>
      </w:r>
      <w:r w:rsidR="00BE3FAF">
        <w:t>,</w:t>
      </w:r>
      <w:r w:rsidR="004B1B8E" w:rsidRPr="004B1B8E">
        <w:t xml:space="preserve"> and included in the </w:t>
      </w:r>
      <w:r w:rsidR="004B1B8E">
        <w:t>RAB</w:t>
      </w:r>
      <w:r w:rsidR="003652DF">
        <w:t>—this is discussed further in appendix E of capex attachment 6</w:t>
      </w:r>
      <w:r w:rsidR="004B1B8E" w:rsidRPr="004B1B8E">
        <w:t>.</w:t>
      </w:r>
      <w:r w:rsidR="00B62C6E">
        <w:t xml:space="preserve"> </w:t>
      </w:r>
    </w:p>
    <w:p w:rsidR="00BE3FAF" w:rsidRDefault="00BE3FAF" w:rsidP="008066C5">
      <w:r>
        <w:rPr>
          <w:rStyle w:val="AERbody"/>
        </w:rPr>
        <w:t xml:space="preserve">Further, for the purposes of this draft decision, we have included </w:t>
      </w:r>
      <w:r w:rsidR="00800E2A">
        <w:rPr>
          <w:rStyle w:val="AERbody"/>
        </w:rPr>
        <w:t>Powerlink's</w:t>
      </w:r>
      <w:r>
        <w:rPr>
          <w:rStyle w:val="AERbody"/>
        </w:rPr>
        <w:t xml:space="preserve"> estimated capex in 2015–16 and 2016–17 in the RAB roll forward to 1 </w:t>
      </w:r>
      <w:r w:rsidR="00800E2A">
        <w:rPr>
          <w:rStyle w:val="AERbody"/>
        </w:rPr>
        <w:t>July</w:t>
      </w:r>
      <w:r>
        <w:rPr>
          <w:rStyle w:val="AERbody"/>
        </w:rPr>
        <w:t xml:space="preserve"> 2017. At the next reset, the 2015–16 and 2016–17 capex will form part of the review period for whether past capex should be excluded for inefficiency reasons.</w:t>
      </w:r>
      <w:r>
        <w:rPr>
          <w:rStyle w:val="FootnoteReference"/>
        </w:rPr>
        <w:footnoteReference w:id="47"/>
      </w:r>
      <w:r>
        <w:rPr>
          <w:rStyle w:val="AERbody"/>
        </w:rPr>
        <w:t xml:space="preserve"> Our RAB roll forward applies the incentive framework approved in the previous transmission determination, which included the use of an actual depreciation approach.</w:t>
      </w:r>
      <w:r>
        <w:rPr>
          <w:rStyle w:val="FootnoteReference"/>
        </w:rPr>
        <w:footnoteReference w:id="48"/>
      </w:r>
      <w:r>
        <w:rPr>
          <w:rStyle w:val="AERbody"/>
        </w:rPr>
        <w:t xml:space="preserve"> As such, we consider that </w:t>
      </w:r>
      <w:r w:rsidR="003652DF">
        <w:rPr>
          <w:rStyle w:val="AERbody"/>
        </w:rPr>
        <w:t>the 2012–17 RAB roll forward</w:t>
      </w:r>
      <w:r>
        <w:rPr>
          <w:rStyle w:val="AERbody"/>
        </w:rPr>
        <w:t xml:space="preserve"> contributes to an opening RAB </w:t>
      </w:r>
      <w:r w:rsidR="003652DF">
        <w:rPr>
          <w:rStyle w:val="AERbody"/>
        </w:rPr>
        <w:t xml:space="preserve">(as at 1 July 2017) </w:t>
      </w:r>
      <w:r>
        <w:rPr>
          <w:rStyle w:val="AERbody"/>
        </w:rPr>
        <w:t>that includes capex that reflects prudent and efficient costs, in accordance with the capital expenditure criteria.</w:t>
      </w:r>
      <w:r>
        <w:rPr>
          <w:rStyle w:val="FootnoteReference"/>
        </w:rPr>
        <w:footnoteReference w:id="49"/>
      </w:r>
      <w:r w:rsidDel="004B6850">
        <w:rPr>
          <w:rStyle w:val="AERbody"/>
        </w:rPr>
        <w:t xml:space="preserve"> </w:t>
      </w:r>
    </w:p>
    <w:p w:rsidR="0054020F" w:rsidRDefault="00BA5DCF" w:rsidP="008066C5">
      <w:pPr>
        <w:rPr>
          <w:rStyle w:val="AERbody"/>
        </w:rPr>
      </w:pPr>
      <w:r>
        <w:t>However, w</w:t>
      </w:r>
      <w:r w:rsidR="00B62C6E" w:rsidRPr="00B62C6E">
        <w:t xml:space="preserve">e </w:t>
      </w:r>
      <w:r w:rsidR="00B62C6E">
        <w:t>d</w:t>
      </w:r>
      <w:r w:rsidR="00B62C6E" w:rsidRPr="00B62C6E">
        <w:t>o have concerns with the size of the forecast capex</w:t>
      </w:r>
      <w:r w:rsidR="006C2AB0">
        <w:t xml:space="preserve">, </w:t>
      </w:r>
      <w:r w:rsidR="006C2AB0" w:rsidRPr="006C2AB0">
        <w:t xml:space="preserve">the largest driver of the increase in the RAB </w:t>
      </w:r>
      <w:r w:rsidR="006C2AB0">
        <w:t>over the 2017–22 regulatory control period, proposed by Powerlink. In this draft decision we h</w:t>
      </w:r>
      <w:r w:rsidR="00B62C6E" w:rsidRPr="00B62C6E">
        <w:t xml:space="preserve">ave </w:t>
      </w:r>
      <w:r w:rsidR="006C2AB0">
        <w:t xml:space="preserve">reduced Powerlink's proposed forecast capex by </w:t>
      </w:r>
      <w:r w:rsidR="00800E2A" w:rsidRPr="00800E2A">
        <w:t>$</w:t>
      </w:r>
      <w:r w:rsidR="007C18C4">
        <w:t>203.8</w:t>
      </w:r>
      <w:r w:rsidR="006C2AB0" w:rsidRPr="00800E2A">
        <w:t xml:space="preserve"> million</w:t>
      </w:r>
      <w:r w:rsidR="00800E2A" w:rsidRPr="00800E2A">
        <w:t xml:space="preserve"> ($ nominal),</w:t>
      </w:r>
      <w:r w:rsidR="007C18C4">
        <w:t xml:space="preserve"> or 19</w:t>
      </w:r>
      <w:r w:rsidR="00152B29">
        <w:t>.4</w:t>
      </w:r>
      <w:r w:rsidR="006C2AB0" w:rsidRPr="00800E2A">
        <w:t xml:space="preserve"> per</w:t>
      </w:r>
      <w:r w:rsidR="00800E2A">
        <w:t xml:space="preserve"> </w:t>
      </w:r>
      <w:r w:rsidR="006C2AB0" w:rsidRPr="00800E2A">
        <w:t>cent</w:t>
      </w:r>
      <w:r w:rsidR="006C2AB0">
        <w:t xml:space="preserve"> </w:t>
      </w:r>
      <w:r w:rsidR="00B73896">
        <w:t xml:space="preserve">over the </w:t>
      </w:r>
      <w:r w:rsidR="00B62C6E">
        <w:t>2017–22 regulatory control period</w:t>
      </w:r>
      <w:r w:rsidR="006C2AB0">
        <w:t xml:space="preserve">. </w:t>
      </w:r>
      <w:r w:rsidR="000C33CB">
        <w:rPr>
          <w:rStyle w:val="AERbody"/>
        </w:rPr>
        <w:t>Powerlink's proposal state</w:t>
      </w:r>
      <w:r w:rsidR="003D6867">
        <w:rPr>
          <w:rStyle w:val="AERbody"/>
        </w:rPr>
        <w:t>d</w:t>
      </w:r>
      <w:r w:rsidR="000C33CB">
        <w:rPr>
          <w:rStyle w:val="AERbody"/>
        </w:rPr>
        <w:t xml:space="preserve"> that</w:t>
      </w:r>
      <w:r w:rsidR="00D436DC">
        <w:rPr>
          <w:rStyle w:val="AERbody"/>
        </w:rPr>
        <w:t xml:space="preserve"> the Queensland Government's strategic review may affect </w:t>
      </w:r>
      <w:r w:rsidR="00C469BF">
        <w:rPr>
          <w:rStyle w:val="AERbody"/>
        </w:rPr>
        <w:t>the a</w:t>
      </w:r>
      <w:r w:rsidR="00A51CDE">
        <w:rPr>
          <w:rStyle w:val="AERbody"/>
        </w:rPr>
        <w:t xml:space="preserve">ssets in </w:t>
      </w:r>
      <w:r w:rsidR="00C469BF">
        <w:rPr>
          <w:rStyle w:val="AERbody"/>
        </w:rPr>
        <w:t>its</w:t>
      </w:r>
      <w:r w:rsidR="00D436DC">
        <w:rPr>
          <w:rStyle w:val="AERbody"/>
        </w:rPr>
        <w:t xml:space="preserve"> RAB.</w:t>
      </w:r>
      <w:r w:rsidR="00A51CDE">
        <w:rPr>
          <w:rStyle w:val="FootnoteReference"/>
        </w:rPr>
        <w:footnoteReference w:id="50"/>
      </w:r>
      <w:r w:rsidR="00D436DC">
        <w:rPr>
          <w:rStyle w:val="AERbody"/>
        </w:rPr>
        <w:t xml:space="preserve"> However, </w:t>
      </w:r>
      <w:r w:rsidR="000C33CB">
        <w:rPr>
          <w:rStyle w:val="AERbody"/>
        </w:rPr>
        <w:t xml:space="preserve">we note </w:t>
      </w:r>
      <w:r w:rsidR="00D436DC">
        <w:rPr>
          <w:rStyle w:val="AERbody"/>
        </w:rPr>
        <w:t>n</w:t>
      </w:r>
      <w:r w:rsidR="00A51CDE">
        <w:rPr>
          <w:rStyle w:val="AERbody"/>
        </w:rPr>
        <w:t>o such policy changes have occurred at th</w:t>
      </w:r>
      <w:r w:rsidR="000C33CB">
        <w:rPr>
          <w:rStyle w:val="AERbody"/>
        </w:rPr>
        <w:t>e</w:t>
      </w:r>
      <w:r w:rsidR="00A51CDE">
        <w:rPr>
          <w:rStyle w:val="AERbody"/>
        </w:rPr>
        <w:t xml:space="preserve"> time</w:t>
      </w:r>
      <w:r w:rsidR="000C33CB">
        <w:rPr>
          <w:rStyle w:val="AERbody"/>
        </w:rPr>
        <w:t xml:space="preserve"> of this draft decision</w:t>
      </w:r>
      <w:r w:rsidR="00A51CDE">
        <w:rPr>
          <w:rStyle w:val="AERbody"/>
        </w:rPr>
        <w:t xml:space="preserve">. </w:t>
      </w:r>
    </w:p>
    <w:p w:rsidR="0054020F" w:rsidRPr="0054020F" w:rsidRDefault="0054020F" w:rsidP="0054020F">
      <w:pPr>
        <w:pStyle w:val="Heading3"/>
      </w:pPr>
      <w:bookmarkStart w:id="93" w:name="_Toc404153960"/>
      <w:bookmarkStart w:id="94" w:name="_Toc462749194"/>
      <w:r>
        <w:t>Forecast closing RAB at 30 June 20</w:t>
      </w:r>
      <w:bookmarkEnd w:id="93"/>
      <w:r w:rsidR="00527329">
        <w:t>22</w:t>
      </w:r>
      <w:bookmarkEnd w:id="94"/>
    </w:p>
    <w:p w:rsidR="0054020F" w:rsidRPr="0011654E" w:rsidRDefault="0054020F" w:rsidP="00527329">
      <w:pPr>
        <w:numPr>
          <w:ilvl w:val="0"/>
          <w:numId w:val="24"/>
        </w:numPr>
      </w:pPr>
      <w:r w:rsidRPr="0011654E">
        <w:t xml:space="preserve">We forecast a closing RAB value of </w:t>
      </w:r>
      <w:r w:rsidRPr="00152B29">
        <w:rPr>
          <w:rStyle w:val="AERbody"/>
        </w:rPr>
        <w:t>$</w:t>
      </w:r>
      <w:r w:rsidR="00152B29" w:rsidRPr="00152B29">
        <w:rPr>
          <w:rStyle w:val="AERbody"/>
        </w:rPr>
        <w:t>7402.9</w:t>
      </w:r>
      <w:r w:rsidRPr="00152B29">
        <w:rPr>
          <w:rStyle w:val="AERbody"/>
        </w:rPr>
        <w:t xml:space="preserve"> million</w:t>
      </w:r>
      <w:r w:rsidRPr="0011654E">
        <w:t xml:space="preserve"> </w:t>
      </w:r>
      <w:r w:rsidRPr="001F0B76">
        <w:t xml:space="preserve">by </w:t>
      </w:r>
      <w:r w:rsidRPr="00527329">
        <w:rPr>
          <w:rStyle w:val="AERbody"/>
        </w:rPr>
        <w:t>30 June 20</w:t>
      </w:r>
      <w:r w:rsidR="00527329" w:rsidRPr="00527329">
        <w:rPr>
          <w:rStyle w:val="AERbody"/>
        </w:rPr>
        <w:t>22</w:t>
      </w:r>
      <w:r w:rsidRPr="0011654E">
        <w:t xml:space="preserve"> for </w:t>
      </w:r>
      <w:r w:rsidR="00527329">
        <w:t>Powerlink</w:t>
      </w:r>
      <w:r w:rsidRPr="0011654E">
        <w:t>, which represents a reduction</w:t>
      </w:r>
      <w:r>
        <w:t xml:space="preserve"> of </w:t>
      </w:r>
      <w:r w:rsidRPr="00152B29">
        <w:rPr>
          <w:rStyle w:val="AERbody"/>
        </w:rPr>
        <w:t>$</w:t>
      </w:r>
      <w:r w:rsidR="00152B29" w:rsidRPr="00152B29">
        <w:rPr>
          <w:rStyle w:val="AERbody"/>
        </w:rPr>
        <w:t xml:space="preserve">259.6 </w:t>
      </w:r>
      <w:r w:rsidRPr="00152B29">
        <w:rPr>
          <w:rStyle w:val="AERbody"/>
        </w:rPr>
        <w:t xml:space="preserve">million (or </w:t>
      </w:r>
      <w:r w:rsidR="00152B29" w:rsidRPr="00152B29">
        <w:rPr>
          <w:rStyle w:val="AERbody"/>
        </w:rPr>
        <w:t>3.4</w:t>
      </w:r>
      <w:r w:rsidRPr="00152B29">
        <w:rPr>
          <w:rStyle w:val="AERbody"/>
        </w:rPr>
        <w:t xml:space="preserve"> per cent)</w:t>
      </w:r>
      <w:r w:rsidRPr="0011654E">
        <w:t xml:space="preserve"> </w:t>
      </w:r>
      <w:r>
        <w:t>t</w:t>
      </w:r>
      <w:r w:rsidRPr="0011654E">
        <w:t xml:space="preserve">o </w:t>
      </w:r>
      <w:r w:rsidR="00527329">
        <w:t>Powerlink</w:t>
      </w:r>
      <w:r w:rsidRPr="0011654E">
        <w:t xml:space="preserve">'s proposal. This reduction reflects our draft decision on the inputs for determining the forecast RAB in the PTRM. </w:t>
      </w:r>
      <w:r w:rsidR="00F10827">
        <w:t>We note the</w:t>
      </w:r>
      <w:r w:rsidR="00F10827" w:rsidRPr="0064602F">
        <w:t xml:space="preserve"> </w:t>
      </w:r>
      <w:r w:rsidR="00F10827">
        <w:t xml:space="preserve">submission from Cotton Australia on the proposal raised </w:t>
      </w:r>
      <w:r w:rsidR="00F10827" w:rsidRPr="00376D68">
        <w:t>concerns</w:t>
      </w:r>
      <w:r w:rsidR="00F10827">
        <w:t xml:space="preserve"> with</w:t>
      </w:r>
      <w:r w:rsidR="00F10827" w:rsidRPr="00376D68">
        <w:t xml:space="preserve"> the </w:t>
      </w:r>
      <w:r w:rsidR="00F10827">
        <w:t xml:space="preserve">increase to the </w:t>
      </w:r>
      <w:r w:rsidR="00F10827" w:rsidRPr="00376D68">
        <w:t xml:space="preserve">size of </w:t>
      </w:r>
      <w:r w:rsidR="00F10827">
        <w:t>Powerlink's</w:t>
      </w:r>
      <w:r w:rsidR="00F10827" w:rsidRPr="00376D68">
        <w:t xml:space="preserve"> RAB</w:t>
      </w:r>
      <w:r w:rsidR="00F10827">
        <w:t xml:space="preserve"> over the 2017–22 regulatory control period.</w:t>
      </w:r>
      <w:r w:rsidR="00F10827">
        <w:rPr>
          <w:rStyle w:val="FootnoteReference"/>
        </w:rPr>
        <w:footnoteReference w:id="51"/>
      </w:r>
      <w:r w:rsidR="00F10827">
        <w:t xml:space="preserve"> The change in the size of the RAB depends on our assessment of its various components. Inflation and capex increase the RAB, while depreciation reduces it. </w:t>
      </w:r>
      <w:r w:rsidRPr="0011654E">
        <w:t xml:space="preserve">To determine the forecast RAB value for </w:t>
      </w:r>
      <w:r w:rsidR="00527329" w:rsidRPr="00527329">
        <w:t>Powerlink</w:t>
      </w:r>
      <w:r w:rsidRPr="0011654E">
        <w:t>, we amended the following PTRM inputs:</w:t>
      </w:r>
    </w:p>
    <w:p w:rsidR="0054020F" w:rsidRPr="0054020F" w:rsidRDefault="0054020F" w:rsidP="00527329">
      <w:pPr>
        <w:pStyle w:val="AERbulletlistfirststyle"/>
      </w:pPr>
      <w:r w:rsidRPr="0011654E">
        <w:lastRenderedPageBreak/>
        <w:t xml:space="preserve">We </w:t>
      </w:r>
      <w:r w:rsidR="000C33CB">
        <w:t>reduced</w:t>
      </w:r>
      <w:r w:rsidRPr="0054020F">
        <w:t xml:space="preserve"> </w:t>
      </w:r>
      <w:r w:rsidR="00CC18F7">
        <w:t>Powerlink's proposed</w:t>
      </w:r>
      <w:r w:rsidR="000C33CB">
        <w:t xml:space="preserve"> op</w:t>
      </w:r>
      <w:r w:rsidR="00527329">
        <w:t>ening RAB as at 1 July 2017</w:t>
      </w:r>
      <w:r w:rsidRPr="0054020F">
        <w:t xml:space="preserve"> </w:t>
      </w:r>
      <w:r w:rsidR="000C33CB">
        <w:t>by $73.2 million</w:t>
      </w:r>
      <w:r w:rsidRPr="0054020F">
        <w:t xml:space="preserve"> </w:t>
      </w:r>
      <w:r w:rsidR="000C33CB">
        <w:t>or 1.0 per</w:t>
      </w:r>
      <w:r w:rsidR="008E4CB8">
        <w:t xml:space="preserve"> </w:t>
      </w:r>
      <w:r w:rsidR="000C33CB">
        <w:t xml:space="preserve">cent </w:t>
      </w:r>
      <w:r w:rsidRPr="0054020F">
        <w:t xml:space="preserve">(section </w:t>
      </w:r>
      <w:r w:rsidRPr="0054020F">
        <w:fldChar w:fldCharType="begin"/>
      </w:r>
      <w:r w:rsidRPr="0054020F">
        <w:instrText xml:space="preserve"> REF _Ref402185568 \r \h </w:instrText>
      </w:r>
      <w:r w:rsidRPr="0054020F">
        <w:fldChar w:fldCharType="separate"/>
      </w:r>
      <w:r w:rsidR="003179F2">
        <w:t>2.4.1</w:t>
      </w:r>
      <w:r w:rsidRPr="0054020F">
        <w:fldChar w:fldCharType="end"/>
      </w:r>
      <w:r w:rsidRPr="0054020F">
        <w:t>).</w:t>
      </w:r>
    </w:p>
    <w:p w:rsidR="0054020F" w:rsidRPr="0054020F" w:rsidRDefault="0054020F" w:rsidP="00527329">
      <w:pPr>
        <w:pStyle w:val="AERbulletlistfirststyle"/>
      </w:pPr>
      <w:r w:rsidRPr="0011654E">
        <w:t xml:space="preserve">We reduced </w:t>
      </w:r>
      <w:r w:rsidR="00527329" w:rsidRPr="00527329">
        <w:t>Powerlink</w:t>
      </w:r>
      <w:r w:rsidR="00527329">
        <w:t xml:space="preserve">'s </w:t>
      </w:r>
      <w:r w:rsidRPr="0054020F">
        <w:t xml:space="preserve">proposed forecast capex for the </w:t>
      </w:r>
      <w:r w:rsidR="00527329" w:rsidRPr="00527329">
        <w:rPr>
          <w:rStyle w:val="AERbody"/>
        </w:rPr>
        <w:t>2017</w:t>
      </w:r>
      <w:r w:rsidRPr="00527329">
        <w:rPr>
          <w:rStyle w:val="AERbody"/>
        </w:rPr>
        <w:t>–</w:t>
      </w:r>
      <w:r w:rsidR="00527329" w:rsidRPr="00527329">
        <w:rPr>
          <w:rStyle w:val="AERbody"/>
        </w:rPr>
        <w:t>22 regulatory control</w:t>
      </w:r>
      <w:r w:rsidRPr="0054020F">
        <w:t xml:space="preserve"> period </w:t>
      </w:r>
      <w:r w:rsidRPr="007C18C4">
        <w:rPr>
          <w:rStyle w:val="AERbody"/>
        </w:rPr>
        <w:t>by $</w:t>
      </w:r>
      <w:r w:rsidR="007C18C4" w:rsidRPr="007C18C4">
        <w:rPr>
          <w:rStyle w:val="AERbody"/>
        </w:rPr>
        <w:t xml:space="preserve">203.8 </w:t>
      </w:r>
      <w:r w:rsidRPr="007C18C4">
        <w:rPr>
          <w:rStyle w:val="AERbody"/>
        </w:rPr>
        <w:t>million ($ nominal) or</w:t>
      </w:r>
      <w:r w:rsidR="007C18C4" w:rsidRPr="007C18C4">
        <w:rPr>
          <w:rStyle w:val="AERbody"/>
        </w:rPr>
        <w:t xml:space="preserve"> 19.4 </w:t>
      </w:r>
      <w:r w:rsidRPr="007C18C4">
        <w:rPr>
          <w:rStyle w:val="AERbody"/>
        </w:rPr>
        <w:t>per cent</w:t>
      </w:r>
      <w:r w:rsidRPr="0054020F">
        <w:t xml:space="preserve"> (attachment 6).</w:t>
      </w:r>
      <w:r w:rsidR="00F10827">
        <w:t xml:space="preserve"> </w:t>
      </w:r>
    </w:p>
    <w:p w:rsidR="0054020F" w:rsidRDefault="0054020F" w:rsidP="007C18C4">
      <w:pPr>
        <w:pStyle w:val="AERbulletlistfirststyle"/>
      </w:pPr>
      <w:r w:rsidRPr="0011654E">
        <w:t xml:space="preserve">We </w:t>
      </w:r>
      <w:r w:rsidR="000C33CB">
        <w:t>redu</w:t>
      </w:r>
      <w:r w:rsidR="008E4CB8">
        <w:t>c</w:t>
      </w:r>
      <w:r w:rsidR="000C33CB">
        <w:t>ed</w:t>
      </w:r>
      <w:r w:rsidRPr="0054020F">
        <w:t xml:space="preserve"> </w:t>
      </w:r>
      <w:r w:rsidR="00527329" w:rsidRPr="00527329">
        <w:t>Powerlink</w:t>
      </w:r>
      <w:r w:rsidRPr="0054020F">
        <w:t xml:space="preserve">'s proposed forecast depreciation </w:t>
      </w:r>
      <w:r w:rsidR="008E4CB8">
        <w:t xml:space="preserve">for the 2017–22 regulatory control period </w:t>
      </w:r>
      <w:r w:rsidRPr="0054020F">
        <w:t xml:space="preserve">by </w:t>
      </w:r>
      <w:r w:rsidRPr="007C18C4">
        <w:t>$</w:t>
      </w:r>
      <w:r w:rsidR="007C18C4" w:rsidRPr="007C18C4">
        <w:t xml:space="preserve">36 </w:t>
      </w:r>
      <w:r w:rsidRPr="007C18C4">
        <w:t xml:space="preserve">million or </w:t>
      </w:r>
      <w:r w:rsidR="007C18C4" w:rsidRPr="007C18C4">
        <w:t xml:space="preserve">2.3 </w:t>
      </w:r>
      <w:r w:rsidRPr="007C18C4">
        <w:t>per cent</w:t>
      </w:r>
      <w:r w:rsidRPr="0054020F">
        <w:t xml:space="preserve"> (attachment 5).</w:t>
      </w:r>
    </w:p>
    <w:p w:rsidR="00034550" w:rsidRPr="00034550" w:rsidRDefault="00034550" w:rsidP="00034550">
      <w:r>
        <w:fldChar w:fldCharType="begin"/>
      </w:r>
      <w:r>
        <w:instrText xml:space="preserve"> REF _Ref455474598 \h </w:instrText>
      </w:r>
      <w:r>
        <w:fldChar w:fldCharType="separate"/>
      </w:r>
      <w:r w:rsidR="003179F2" w:rsidRPr="00034550">
        <w:t xml:space="preserve">Figure </w:t>
      </w:r>
      <w:r w:rsidR="003179F2">
        <w:rPr>
          <w:noProof/>
        </w:rPr>
        <w:t>2</w:t>
      </w:r>
      <w:r w:rsidR="003179F2" w:rsidRPr="00034550">
        <w:t>.</w:t>
      </w:r>
      <w:r w:rsidR="003179F2">
        <w:rPr>
          <w:noProof/>
        </w:rPr>
        <w:t>2</w:t>
      </w:r>
      <w:r>
        <w:fldChar w:fldCharType="end"/>
      </w:r>
      <w:r>
        <w:t xml:space="preserve"> </w:t>
      </w:r>
      <w:r w:rsidRPr="00034550">
        <w:t xml:space="preserve">shows the key drivers of the change in </w:t>
      </w:r>
      <w:r>
        <w:t>Powerlink's</w:t>
      </w:r>
      <w:r w:rsidRPr="00034550">
        <w:t xml:space="preserve"> RAB over the 2017–22 regulatory control period for this draft decision. Overall, the closing RAB at the end of the 2017–22 regulatory control period is forecast to be </w:t>
      </w:r>
      <w:r w:rsidR="007C18C4">
        <w:t>3.3</w:t>
      </w:r>
      <w:r w:rsidRPr="00034550">
        <w:t xml:space="preserve"> per cent higher than the opening RAB at the start of that period, in nominal terms. The approved forecast net capex increases the RAB by about </w:t>
      </w:r>
      <w:r w:rsidR="007C18C4">
        <w:t>11.8</w:t>
      </w:r>
      <w:r w:rsidRPr="00034550">
        <w:t xml:space="preserve"> per cent, while expected inflation increases it by a</w:t>
      </w:r>
      <w:r w:rsidR="000B4A72">
        <w:t>bout 12.4</w:t>
      </w:r>
      <w:r w:rsidRPr="00034550">
        <w:t xml:space="preserve"> per cent. Forecast depreciation, on the other hand, reduces the RAB by about </w:t>
      </w:r>
      <w:r w:rsidR="007C18C4">
        <w:t xml:space="preserve">20.9 </w:t>
      </w:r>
      <w:r w:rsidRPr="00034550">
        <w:t>per cent.</w:t>
      </w:r>
    </w:p>
    <w:p w:rsidR="00034550" w:rsidRPr="00034550" w:rsidRDefault="00034550" w:rsidP="00034550">
      <w:pPr>
        <w:pStyle w:val="Caption"/>
      </w:pPr>
      <w:bookmarkStart w:id="95" w:name="_Ref455474598"/>
      <w:r w:rsidRPr="00034550">
        <w:t xml:space="preserve">Figure </w:t>
      </w:r>
      <w:fldSimple w:instr=" STYLEREF 1 \s ">
        <w:r w:rsidR="003179F2">
          <w:rPr>
            <w:noProof/>
          </w:rPr>
          <w:t>2</w:t>
        </w:r>
      </w:fldSimple>
      <w:r w:rsidRPr="00034550">
        <w:t>.</w:t>
      </w:r>
      <w:fldSimple w:instr=" SEQ Figure \* ARABIC \s 1 ">
        <w:r w:rsidR="003179F2">
          <w:rPr>
            <w:noProof/>
          </w:rPr>
          <w:t>2</w:t>
        </w:r>
      </w:fldSimple>
      <w:bookmarkEnd w:id="95"/>
      <w:r w:rsidRPr="00034550">
        <w:tab/>
        <w:t>Key drivers of changes in the RAB ($ million, nominal)</w:t>
      </w:r>
    </w:p>
    <w:p w:rsidR="00034550" w:rsidRPr="00034550" w:rsidRDefault="005E36E0" w:rsidP="00034550">
      <w:r>
        <w:rPr>
          <w:noProof/>
          <w:lang w:eastAsia="en-AU"/>
        </w:rPr>
        <w:drawing>
          <wp:inline distT="0" distB="0" distL="0" distR="0" wp14:anchorId="1B54AA30" wp14:editId="1A11AFAF">
            <wp:extent cx="5400000" cy="3751200"/>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000" cy="3751200"/>
                    </a:xfrm>
                    <a:prstGeom prst="rect">
                      <a:avLst/>
                    </a:prstGeom>
                    <a:noFill/>
                  </pic:spPr>
                </pic:pic>
              </a:graphicData>
            </a:graphic>
          </wp:inline>
        </w:drawing>
      </w:r>
    </w:p>
    <w:p w:rsidR="00034550" w:rsidRDefault="00034550" w:rsidP="00034550">
      <w:pPr>
        <w:pStyle w:val="AERtablesource"/>
      </w:pPr>
      <w:r w:rsidRPr="00034550">
        <w:t>Source:</w:t>
      </w:r>
      <w:r w:rsidRPr="00034550">
        <w:tab/>
        <w:t>AER analysis.</w:t>
      </w:r>
    </w:p>
    <w:p w:rsidR="002D5B75" w:rsidRDefault="002D5B75" w:rsidP="002D5B75">
      <w:r>
        <w:br w:type="page"/>
      </w:r>
    </w:p>
    <w:p w:rsidR="000C33CB" w:rsidRDefault="00060FB3" w:rsidP="000C33CB">
      <w:pPr>
        <w:pStyle w:val="Heading3"/>
      </w:pPr>
      <w:bookmarkStart w:id="96" w:name="_Ref462054657"/>
      <w:bookmarkStart w:id="97" w:name="_Toc462749195"/>
      <w:r>
        <w:lastRenderedPageBreak/>
        <w:t xml:space="preserve">CCP </w:t>
      </w:r>
      <w:r w:rsidR="00DA17F2">
        <w:t>members' submissions</w:t>
      </w:r>
      <w:bookmarkEnd w:id="96"/>
      <w:bookmarkEnd w:id="97"/>
    </w:p>
    <w:p w:rsidR="00060FB3" w:rsidRPr="00060FB3" w:rsidRDefault="00060FB3" w:rsidP="00060FB3">
      <w:r w:rsidRPr="00060FB3">
        <w:t xml:space="preserve">At the stakeholder forum on 15 March 2016, CCP </w:t>
      </w:r>
      <w:r w:rsidR="00AF6FBB">
        <w:t xml:space="preserve">member Hugh Grant </w:t>
      </w:r>
      <w:r w:rsidRPr="00060FB3">
        <w:t xml:space="preserve">presented </w:t>
      </w:r>
      <w:r w:rsidR="00AF6FBB">
        <w:t>some</w:t>
      </w:r>
      <w:r w:rsidR="00AF6FBB" w:rsidRPr="00060FB3">
        <w:t xml:space="preserve"> </w:t>
      </w:r>
      <w:r w:rsidRPr="00060FB3">
        <w:t>preliminary perspectives on</w:t>
      </w:r>
      <w:r w:rsidR="004F6EE1">
        <w:t xml:space="preserve"> a variety of issues</w:t>
      </w:r>
      <w:r w:rsidRPr="00060FB3">
        <w:t>, including:</w:t>
      </w:r>
      <w:r w:rsidR="00DA17F2">
        <w:rPr>
          <w:rStyle w:val="FootnoteReference"/>
        </w:rPr>
        <w:footnoteReference w:id="52"/>
      </w:r>
    </w:p>
    <w:p w:rsidR="00060FB3" w:rsidRDefault="00060FB3" w:rsidP="00134FF7">
      <w:pPr>
        <w:pStyle w:val="AERbulletlistfirststyle"/>
      </w:pPr>
      <w:r w:rsidRPr="00060FB3">
        <w:t xml:space="preserve">the consistency of the AER's return on capital estimate with the approach to </w:t>
      </w:r>
      <w:r w:rsidR="007F6D36">
        <w:t xml:space="preserve">RAB </w:t>
      </w:r>
      <w:r w:rsidRPr="00060FB3">
        <w:t xml:space="preserve">indexation </w:t>
      </w:r>
    </w:p>
    <w:p w:rsidR="004F6EE1" w:rsidRDefault="00060FB3" w:rsidP="00134FF7">
      <w:pPr>
        <w:pStyle w:val="AERbulletlistfirststyle"/>
      </w:pPr>
      <w:r w:rsidRPr="00060FB3">
        <w:t>Powerlink's actual level of gearing compared to benchmark gearing</w:t>
      </w:r>
      <w:r w:rsidR="004F6EE1" w:rsidRPr="004F6EE1">
        <w:t xml:space="preserve"> </w:t>
      </w:r>
    </w:p>
    <w:p w:rsidR="00060FB3" w:rsidRDefault="004F6EE1" w:rsidP="00134FF7">
      <w:pPr>
        <w:pStyle w:val="AERbulletlistfirststyle"/>
      </w:pPr>
      <w:r w:rsidRPr="004F6EE1">
        <w:t>the overall profitability of Powerlink</w:t>
      </w:r>
      <w:r w:rsidR="007F6D36">
        <w:t>.</w:t>
      </w:r>
    </w:p>
    <w:p w:rsidR="00DA17F2" w:rsidRDefault="00DA17F2" w:rsidP="000C33CB">
      <w:r>
        <w:t xml:space="preserve">Subsequently, on 20 June 2016, CCP members Hugh Grant and David Headberry provided a late submission that addressed these points </w:t>
      </w:r>
      <w:r w:rsidR="00666263">
        <w:t>in detail</w:t>
      </w:r>
      <w:r>
        <w:t>.</w:t>
      </w:r>
      <w:r>
        <w:rPr>
          <w:rStyle w:val="FootnoteReference"/>
        </w:rPr>
        <w:footnoteReference w:id="53"/>
      </w:r>
    </w:p>
    <w:p w:rsidR="00060FB3" w:rsidRDefault="00E02387" w:rsidP="000C33CB">
      <w:r>
        <w:t>We do not agree that the issues</w:t>
      </w:r>
      <w:r w:rsidR="00517BC0">
        <w:t xml:space="preserve"> raised by the CCP</w:t>
      </w:r>
      <w:r>
        <w:t xml:space="preserve"> </w:t>
      </w:r>
      <w:r w:rsidR="00DA17F2">
        <w:t xml:space="preserve">members' submissions </w:t>
      </w:r>
      <w:r>
        <w:t xml:space="preserve">require any </w:t>
      </w:r>
      <w:r w:rsidR="004C1A2C">
        <w:t xml:space="preserve">associated </w:t>
      </w:r>
      <w:r>
        <w:t xml:space="preserve">changes to Powerlink's proposal. </w:t>
      </w:r>
      <w:r w:rsidR="00517BC0">
        <w:t>The</w:t>
      </w:r>
      <w:r w:rsidR="00060FB3">
        <w:t xml:space="preserve"> </w:t>
      </w:r>
      <w:r>
        <w:t>issues</w:t>
      </w:r>
      <w:r w:rsidR="00060FB3">
        <w:t xml:space="preserve"> are discussed in detail in the appendix A to this attachment. In summary,</w:t>
      </w:r>
      <w:r>
        <w:t xml:space="preserve"> and in response</w:t>
      </w:r>
      <w:r w:rsidR="00060FB3">
        <w:t xml:space="preserve"> to each of the </w:t>
      </w:r>
      <w:r w:rsidR="00517BC0">
        <w:t>issue</w:t>
      </w:r>
      <w:r w:rsidR="00060FB3">
        <w:t>s above</w:t>
      </w:r>
      <w:r>
        <w:t>,</w:t>
      </w:r>
      <w:r w:rsidR="00060FB3">
        <w:t xml:space="preserve"> we note:</w:t>
      </w:r>
    </w:p>
    <w:p w:rsidR="00C11929" w:rsidRDefault="00E02387" w:rsidP="00134FF7">
      <w:pPr>
        <w:pStyle w:val="AERbulletlistfirststyle"/>
        <w:rPr>
          <w:rStyle w:val="AERbody"/>
          <w:rFonts w:eastAsiaTheme="majorEastAsia" w:cstheme="majorBidi"/>
          <w:b/>
          <w:bCs/>
        </w:rPr>
      </w:pPr>
      <w:r>
        <w:t>T</w:t>
      </w:r>
      <w:r w:rsidR="00060FB3">
        <w:t>he</w:t>
      </w:r>
      <w:r w:rsidR="000C33CB">
        <w:t xml:space="preserve"> RAB </w:t>
      </w:r>
      <w:r>
        <w:t xml:space="preserve">is indexed </w:t>
      </w:r>
      <w:r w:rsidR="000C33CB">
        <w:t>for inflation in order to m</w:t>
      </w:r>
      <w:r w:rsidR="000C33CB" w:rsidRPr="000C33CB">
        <w:t>aintain</w:t>
      </w:r>
      <w:r w:rsidR="000C33CB">
        <w:t xml:space="preserve"> its</w:t>
      </w:r>
      <w:r w:rsidR="000C33CB" w:rsidRPr="000C33CB">
        <w:t xml:space="preserve"> real </w:t>
      </w:r>
      <w:r w:rsidR="000C33CB">
        <w:t>value as</w:t>
      </w:r>
      <w:r w:rsidR="000C33CB" w:rsidRPr="000C33CB">
        <w:t xml:space="preserve"> required by the NER.</w:t>
      </w:r>
      <w:r w:rsidR="000C33CB" w:rsidRPr="000C33CB">
        <w:rPr>
          <w:rStyle w:val="FootnoteReference"/>
        </w:rPr>
        <w:footnoteReference w:id="54"/>
      </w:r>
      <w:r w:rsidR="005B08B1">
        <w:t xml:space="preserve"> An offsetting adjustment of equivalent size to the indexation amount is </w:t>
      </w:r>
      <w:r w:rsidR="00471B92">
        <w:t>removed</w:t>
      </w:r>
      <w:r w:rsidR="005B08B1">
        <w:t xml:space="preserve"> from the depreciation allowance.</w:t>
      </w:r>
      <w:r w:rsidR="00A16D05">
        <w:rPr>
          <w:rStyle w:val="FootnoteReference"/>
        </w:rPr>
        <w:footnoteReference w:id="55"/>
      </w:r>
      <w:r w:rsidR="000C33CB" w:rsidRPr="000C33CB">
        <w:t xml:space="preserve"> A nominal rate of return (WACC) is multiplied by the opening RAB to produce the return on capital allowance.</w:t>
      </w:r>
      <w:r w:rsidR="00471B92">
        <w:rPr>
          <w:rStyle w:val="FootnoteReference"/>
        </w:rPr>
        <w:footnoteReference w:id="56"/>
      </w:r>
      <w:r w:rsidR="000C33CB" w:rsidRPr="000C33CB">
        <w:t xml:space="preserve"> </w:t>
      </w:r>
      <w:r w:rsidR="000C33CB">
        <w:t xml:space="preserve">We do not consider </w:t>
      </w:r>
      <w:r w:rsidR="00045B73">
        <w:t xml:space="preserve">using the inflation indexed RAB in this calculation </w:t>
      </w:r>
      <w:r w:rsidR="000C33CB">
        <w:t xml:space="preserve">will </w:t>
      </w:r>
      <w:r w:rsidR="001A673B">
        <w:t xml:space="preserve">result </w:t>
      </w:r>
      <w:r w:rsidR="00045B73">
        <w:t xml:space="preserve">in an </w:t>
      </w:r>
      <w:r w:rsidR="00045B73" w:rsidRPr="00045B73">
        <w:t xml:space="preserve">inflated </w:t>
      </w:r>
      <w:r w:rsidR="004F6EE1">
        <w:t>revenue</w:t>
      </w:r>
      <w:r w:rsidR="000C33CB" w:rsidRPr="000C33CB">
        <w:t xml:space="preserve"> allowance</w:t>
      </w:r>
      <w:r w:rsidR="00045B73">
        <w:t xml:space="preserve"> as </w:t>
      </w:r>
      <w:r w:rsidR="00134FF7">
        <w:t>suggested</w:t>
      </w:r>
      <w:r w:rsidR="00045B73">
        <w:t xml:space="preserve"> by the CCP</w:t>
      </w:r>
      <w:r w:rsidR="00DA17F2">
        <w:t xml:space="preserve"> members'</w:t>
      </w:r>
      <w:r w:rsidR="00045B73">
        <w:t xml:space="preserve"> submission.</w:t>
      </w:r>
      <w:r w:rsidR="00045B73">
        <w:rPr>
          <w:rStyle w:val="FootnoteReference"/>
        </w:rPr>
        <w:footnoteReference w:id="57"/>
      </w:r>
      <w:r w:rsidR="00045B73">
        <w:t xml:space="preserve"> </w:t>
      </w:r>
      <w:r w:rsidR="005B08B1">
        <w:t xml:space="preserve">The approach is net present value </w:t>
      </w:r>
      <w:r w:rsidR="00BC3016">
        <w:t xml:space="preserve">(NPV) </w:t>
      </w:r>
      <w:r w:rsidR="005B08B1">
        <w:t>neutral over the life of the asset</w:t>
      </w:r>
      <w:r w:rsidR="004C1A2C">
        <w:t>s in the RAB</w:t>
      </w:r>
      <w:r w:rsidR="005B08B1">
        <w:t>.</w:t>
      </w:r>
      <w:r>
        <w:rPr>
          <w:rStyle w:val="FootnoteReference"/>
        </w:rPr>
        <w:footnoteReference w:id="58"/>
      </w:r>
      <w:r w:rsidR="005B08B1">
        <w:t xml:space="preserve"> </w:t>
      </w:r>
      <w:r w:rsidR="001E28A8">
        <w:t>In contrast, t</w:t>
      </w:r>
      <w:r w:rsidR="00FA5FDC">
        <w:t>he CCP</w:t>
      </w:r>
      <w:r w:rsidR="00DA17F2">
        <w:t xml:space="preserve"> members</w:t>
      </w:r>
      <w:r w:rsidR="00134FF7">
        <w:t>'</w:t>
      </w:r>
      <w:r w:rsidR="00FA5FDC">
        <w:t xml:space="preserve"> propos</w:t>
      </w:r>
      <w:r w:rsidR="004C1A2C">
        <w:t>ed approach</w:t>
      </w:r>
      <w:r w:rsidR="00FA5FDC">
        <w:t xml:space="preserve"> </w:t>
      </w:r>
      <w:r w:rsidR="001E28A8">
        <w:t>is not NPV neutral, as it suggests a rate of return be earned on only part of the RAB</w:t>
      </w:r>
      <w:r w:rsidR="00CC6A41">
        <w:t xml:space="preserve">. </w:t>
      </w:r>
      <w:r w:rsidR="00DA17F2">
        <w:t xml:space="preserve">Our </w:t>
      </w:r>
      <w:r w:rsidR="00E75663">
        <w:t xml:space="preserve">discussion of the interactions between capital allowances is </w:t>
      </w:r>
      <w:r w:rsidR="00DA17F2">
        <w:t xml:space="preserve">in section </w:t>
      </w:r>
      <w:r w:rsidR="00DA17F2">
        <w:fldChar w:fldCharType="begin"/>
      </w:r>
      <w:r w:rsidR="00DA17F2">
        <w:instrText xml:space="preserve"> REF _Ref460328117 \r \h </w:instrText>
      </w:r>
      <w:r w:rsidR="00DA17F2">
        <w:fldChar w:fldCharType="separate"/>
      </w:r>
      <w:r w:rsidR="003179F2">
        <w:t>A.1</w:t>
      </w:r>
      <w:r w:rsidR="00DA17F2">
        <w:fldChar w:fldCharType="end"/>
      </w:r>
      <w:r w:rsidR="00DA17F2">
        <w:t xml:space="preserve"> of appendix </w:t>
      </w:r>
      <w:r w:rsidR="00DA17F2">
        <w:fldChar w:fldCharType="begin"/>
      </w:r>
      <w:r w:rsidR="00DA17F2">
        <w:instrText xml:space="preserve"> REF _Ref462055429 \r \h </w:instrText>
      </w:r>
      <w:r w:rsidR="00DA17F2">
        <w:fldChar w:fldCharType="separate"/>
      </w:r>
      <w:r w:rsidR="003179F2">
        <w:t>A</w:t>
      </w:r>
      <w:r w:rsidR="00DA17F2">
        <w:fldChar w:fldCharType="end"/>
      </w:r>
      <w:r w:rsidR="00DA17F2">
        <w:t xml:space="preserve"> below.</w:t>
      </w:r>
    </w:p>
    <w:p w:rsidR="00060FB3" w:rsidRDefault="00276B01" w:rsidP="00134FF7">
      <w:pPr>
        <w:pStyle w:val="AERbulletlistfirststyle"/>
      </w:pPr>
      <w:r>
        <w:t xml:space="preserve">The gearing used to determine the rate of return </w:t>
      </w:r>
      <w:r w:rsidR="004C1A2C">
        <w:t xml:space="preserve">on capital for Powerlink </w:t>
      </w:r>
      <w:r>
        <w:t>is based on benchmarking. Powerlink's actual gearing may differ, but we do not consider this invalidates the benchmarking approach. Business may have higher or lower gearing depending on their circumstances and may benefit</w:t>
      </w:r>
      <w:r w:rsidR="004C1A2C">
        <w:t xml:space="preserve"> or be penalised</w:t>
      </w:r>
      <w:r>
        <w:t xml:space="preserve"> as a result. </w:t>
      </w:r>
      <w:r w:rsidR="00827EC6">
        <w:t>Privately owned businesses form the basis of the be</w:t>
      </w:r>
      <w:r w:rsidR="00827EC6" w:rsidRPr="00827EC6">
        <w:t>nchmark gearing assessment</w:t>
      </w:r>
      <w:r w:rsidR="00CD34AB">
        <w:t xml:space="preserve"> of the benchmark entity</w:t>
      </w:r>
      <w:r w:rsidR="00827EC6" w:rsidRPr="00827EC6">
        <w:t>.</w:t>
      </w:r>
      <w:r w:rsidR="00827EC6">
        <w:t xml:space="preserve"> </w:t>
      </w:r>
      <w:r>
        <w:t xml:space="preserve">Powerlink is Government owned and </w:t>
      </w:r>
      <w:r w:rsidR="00A307E2">
        <w:t xml:space="preserve">is therefore not </w:t>
      </w:r>
      <w:r w:rsidR="00CD34AB">
        <w:t xml:space="preserve">directly </w:t>
      </w:r>
      <w:r w:rsidR="00A307E2">
        <w:t>comparable to the benchmark entity</w:t>
      </w:r>
      <w:r>
        <w:t xml:space="preserve">. </w:t>
      </w:r>
      <w:r w:rsidR="00827EC6">
        <w:t>However, the use of private</w:t>
      </w:r>
      <w:r w:rsidR="00CD34AB">
        <w:t xml:space="preserve"> businesses in determining the</w:t>
      </w:r>
      <w:r w:rsidR="00827EC6">
        <w:t xml:space="preserve"> benchmark affords </w:t>
      </w:r>
      <w:r w:rsidR="00CD34AB">
        <w:t>Powerlink</w:t>
      </w:r>
      <w:r w:rsidR="00827EC6">
        <w:t xml:space="preserve"> the opportunity </w:t>
      </w:r>
      <w:r w:rsidR="00827EC6">
        <w:lastRenderedPageBreak/>
        <w:t>to earn a commercial return.</w:t>
      </w:r>
      <w:r w:rsidR="00337DED">
        <w:t xml:space="preserve"> We consider such an opportunity to be consisten</w:t>
      </w:r>
      <w:r w:rsidR="002D4A43">
        <w:t xml:space="preserve">t with the objectives of the NEL to </w:t>
      </w:r>
      <w:r w:rsidR="002D4A43" w:rsidRPr="002D4A43">
        <w:t>promote efficient investment in, and efficient operation and use of, electricity services</w:t>
      </w:r>
      <w:r w:rsidR="00337DED">
        <w:t>.</w:t>
      </w:r>
      <w:r w:rsidR="002D4A43">
        <w:rPr>
          <w:rStyle w:val="FootnoteReference"/>
        </w:rPr>
        <w:footnoteReference w:id="59"/>
      </w:r>
    </w:p>
    <w:p w:rsidR="00E02387" w:rsidRPr="000C33CB" w:rsidRDefault="000611CA" w:rsidP="00134FF7">
      <w:pPr>
        <w:pStyle w:val="AERbulletlistfirststyle"/>
      </w:pPr>
      <w:r>
        <w:t xml:space="preserve">The CCP </w:t>
      </w:r>
      <w:r w:rsidR="00DA17F2">
        <w:t xml:space="preserve">members </w:t>
      </w:r>
      <w:r w:rsidR="00A307E2">
        <w:t>presented analysis of</w:t>
      </w:r>
      <w:r w:rsidR="005A267A">
        <w:t xml:space="preserve"> </w:t>
      </w:r>
      <w:r w:rsidR="00B0136C">
        <w:t>Powerlink's</w:t>
      </w:r>
      <w:r w:rsidR="005A267A">
        <w:t xml:space="preserve"> </w:t>
      </w:r>
      <w:r w:rsidR="00B0136C">
        <w:t xml:space="preserve">'actual' </w:t>
      </w:r>
      <w:r w:rsidR="005A267A">
        <w:t>return</w:t>
      </w:r>
      <w:r w:rsidR="00B0136C">
        <w:t xml:space="preserve"> on equity</w:t>
      </w:r>
      <w:r>
        <w:t xml:space="preserve"> over recent years </w:t>
      </w:r>
      <w:r w:rsidR="00517BC0">
        <w:t>using</w:t>
      </w:r>
      <w:r>
        <w:t xml:space="preserve"> Powerlink's statutory accounts. </w:t>
      </w:r>
      <w:r w:rsidR="00B0136C">
        <w:t xml:space="preserve">The CCP </w:t>
      </w:r>
      <w:r w:rsidR="00DA17F2">
        <w:t xml:space="preserve">members </w:t>
      </w:r>
      <w:r w:rsidR="00B0136C">
        <w:t>submitted that the 'extraordinary profitability levels' show that the AER's approach is incorrect.</w:t>
      </w:r>
      <w:r w:rsidR="00B0136C">
        <w:rPr>
          <w:rStyle w:val="FootnoteReference"/>
        </w:rPr>
        <w:footnoteReference w:id="60"/>
      </w:r>
      <w:r w:rsidR="00B0136C">
        <w:t xml:space="preserve"> We do not consider that this analysis demonstrates that the AER approach is incorrect.</w:t>
      </w:r>
      <w:r w:rsidR="00B0136C" w:rsidRPr="00B0136C">
        <w:rPr>
          <w:rStyle w:val="FootnoteReference"/>
        </w:rPr>
        <w:footnoteReference w:id="61"/>
      </w:r>
      <w:r w:rsidR="00B0136C" w:rsidRPr="00B0136C">
        <w:t xml:space="preserve"> </w:t>
      </w:r>
      <w:r w:rsidR="00DA17F2">
        <w:t>Although we do not agree with the CCP members' analysis, we do agree that there is some merit to the analysis of profitability outcomes.</w:t>
      </w:r>
      <w:r w:rsidR="00DA17F2" w:rsidRPr="00B0136C">
        <w:t xml:space="preserve"> </w:t>
      </w:r>
      <w:r w:rsidR="00DA17F2">
        <w:t xml:space="preserve">However, we recognise that there are factors that need to be addressed when implementing this analysis, </w:t>
      </w:r>
      <w:r w:rsidR="00E75663">
        <w:t xml:space="preserve">including problems obtaining reliable data. </w:t>
      </w:r>
      <w:r w:rsidR="00A307E2">
        <w:t>Our</w:t>
      </w:r>
      <w:r w:rsidR="00487F30">
        <w:t xml:space="preserve"> </w:t>
      </w:r>
      <w:r w:rsidR="00E75663">
        <w:t xml:space="preserve">discussion of </w:t>
      </w:r>
      <w:r w:rsidR="00487F30">
        <w:t xml:space="preserve">the </w:t>
      </w:r>
      <w:r w:rsidR="00DA17F2">
        <w:t xml:space="preserve">profitability analysis </w:t>
      </w:r>
      <w:r w:rsidR="00E75663">
        <w:t xml:space="preserve">is in section </w:t>
      </w:r>
      <w:r w:rsidR="00E75663">
        <w:fldChar w:fldCharType="begin"/>
      </w:r>
      <w:r w:rsidR="00E75663">
        <w:instrText xml:space="preserve"> REF _Ref462055655 \r \h </w:instrText>
      </w:r>
      <w:r w:rsidR="00E75663">
        <w:fldChar w:fldCharType="separate"/>
      </w:r>
      <w:r w:rsidR="003179F2">
        <w:t>A.2</w:t>
      </w:r>
      <w:r w:rsidR="00E75663">
        <w:fldChar w:fldCharType="end"/>
      </w:r>
      <w:r w:rsidR="00E75663">
        <w:t xml:space="preserve"> of </w:t>
      </w:r>
      <w:r w:rsidR="00487F30">
        <w:t>appendix A</w:t>
      </w:r>
      <w:r w:rsidR="00E75663">
        <w:t xml:space="preserve"> below</w:t>
      </w:r>
      <w:r w:rsidR="00487F30">
        <w:t>.</w:t>
      </w:r>
    </w:p>
    <w:p w:rsidR="0054020F" w:rsidRPr="0054020F" w:rsidRDefault="0054020F" w:rsidP="0054020F">
      <w:pPr>
        <w:pStyle w:val="Heading3"/>
      </w:pPr>
      <w:bookmarkStart w:id="98" w:name="_Toc404153961"/>
      <w:bookmarkStart w:id="99" w:name="_Toc462749196"/>
      <w:r>
        <w:t>Application of depreciation approach in RAB roll forward for next reset</w:t>
      </w:r>
      <w:bookmarkEnd w:id="98"/>
      <w:bookmarkEnd w:id="99"/>
    </w:p>
    <w:p w:rsidR="001173DE" w:rsidRPr="00BC2C2F" w:rsidRDefault="001173DE" w:rsidP="001173DE">
      <w:r>
        <w:t xml:space="preserve">Powerlink </w:t>
      </w:r>
      <w:r w:rsidRPr="00BC2C2F">
        <w:t>did not propose a depreciation approach to roll forward the RAB for the commencement of its 202</w:t>
      </w:r>
      <w:r>
        <w:t>2</w:t>
      </w:r>
      <w:r w:rsidRPr="00BC2C2F">
        <w:t>–2</w:t>
      </w:r>
      <w:r>
        <w:t>7</w:t>
      </w:r>
      <w:r w:rsidRPr="00BC2C2F">
        <w:t xml:space="preserve"> regulatory control period.</w:t>
      </w:r>
    </w:p>
    <w:p w:rsidR="00134FF7" w:rsidRDefault="001173DE" w:rsidP="00D2675A">
      <w:r w:rsidRPr="00BC2C2F">
        <w:t xml:space="preserve">We consider that the depreciation approach based on forecast capex (updated for actual inflation) should be used. This approach was signalled in the AER's </w:t>
      </w:r>
      <w:r w:rsidR="003652DF" w:rsidRPr="008066C5">
        <w:rPr>
          <w:rStyle w:val="AERtextitalic"/>
        </w:rPr>
        <w:t>F</w:t>
      </w:r>
      <w:r w:rsidRPr="008066C5">
        <w:rPr>
          <w:rStyle w:val="AERtextitalic"/>
        </w:rPr>
        <w:t>ramework and approach</w:t>
      </w:r>
      <w:r w:rsidRPr="00BC2C2F">
        <w:t>.</w:t>
      </w:r>
      <w:r>
        <w:rPr>
          <w:rStyle w:val="FootnoteReference"/>
        </w:rPr>
        <w:footnoteReference w:id="62"/>
      </w:r>
      <w:r w:rsidRPr="00BC2C2F">
        <w:t xml:space="preserve"> As discussed in attachment 10, </w:t>
      </w:r>
      <w:r>
        <w:t>Powerlink</w:t>
      </w:r>
      <w:r w:rsidRPr="00BC2C2F">
        <w:t xml:space="preserve"> is not currently subject to a capital expenditure sharing scheme </w:t>
      </w:r>
      <w:r>
        <w:t xml:space="preserve">(CESS) </w:t>
      </w:r>
      <w:r w:rsidRPr="00BC2C2F">
        <w:t xml:space="preserve">but we will apply the CESS to </w:t>
      </w:r>
      <w:r>
        <w:t>Powerlink</w:t>
      </w:r>
      <w:r w:rsidRPr="00BC2C2F">
        <w:t xml:space="preserve"> over the 201</w:t>
      </w:r>
      <w:r>
        <w:t>7</w:t>
      </w:r>
      <w:r w:rsidRPr="00BC2C2F">
        <w:t>–2</w:t>
      </w:r>
      <w:r>
        <w:t>2</w:t>
      </w:r>
      <w:r w:rsidRPr="00BC2C2F">
        <w:t xml:space="preserve"> regulatory control period. We consider this scheme will provide sufficient incentives for </w:t>
      </w:r>
      <w:r>
        <w:t>Powerlink</w:t>
      </w:r>
      <w:r w:rsidRPr="00BC2C2F">
        <w:t xml:space="preserve"> to achieve capex efficiency gains over that period. We are satisfied that the use of a forecast depreciation approach in combination with the application of the CESS and our other ex post capex measures are sufficient to achieve the capex incentive objective.</w:t>
      </w:r>
      <w:r>
        <w:rPr>
          <w:rStyle w:val="FootnoteReference"/>
        </w:rPr>
        <w:footnoteReference w:id="63"/>
      </w:r>
    </w:p>
    <w:p w:rsidR="00134FF7" w:rsidRDefault="00134FF7">
      <w:pPr>
        <w:spacing w:line="240" w:lineRule="auto"/>
      </w:pPr>
      <w:r>
        <w:br w:type="page"/>
      </w:r>
    </w:p>
    <w:p w:rsidR="00AF6FBB" w:rsidRPr="003A47F3" w:rsidRDefault="00AF6FBB" w:rsidP="00AF6FBB">
      <w:pPr>
        <w:pStyle w:val="Heading7"/>
      </w:pPr>
      <w:bookmarkStart w:id="100" w:name="_Toc462045311"/>
      <w:bookmarkStart w:id="101" w:name="_Ref462054541"/>
      <w:bookmarkStart w:id="102" w:name="_Ref462055429"/>
      <w:bookmarkStart w:id="103" w:name="_Ref462055894"/>
      <w:bookmarkStart w:id="104" w:name="_Ref462055928"/>
      <w:bookmarkStart w:id="105" w:name="_Ref462055946"/>
      <w:bookmarkStart w:id="106" w:name="_Ref462055985"/>
      <w:bookmarkStart w:id="107" w:name="_Ref462056003"/>
      <w:bookmarkStart w:id="108" w:name="_Toc462749197"/>
      <w:r w:rsidRPr="003A47F3">
        <w:lastRenderedPageBreak/>
        <w:t>Response to the CCP submission</w:t>
      </w:r>
      <w:r>
        <w:t>s</w:t>
      </w:r>
      <w:bookmarkEnd w:id="100"/>
      <w:bookmarkEnd w:id="101"/>
      <w:bookmarkEnd w:id="102"/>
      <w:bookmarkEnd w:id="103"/>
      <w:bookmarkEnd w:id="104"/>
      <w:bookmarkEnd w:id="105"/>
      <w:bookmarkEnd w:id="106"/>
      <w:bookmarkEnd w:id="107"/>
      <w:bookmarkEnd w:id="108"/>
    </w:p>
    <w:p w:rsidR="00AF6FBB" w:rsidRDefault="00AF6FBB" w:rsidP="00AF6FBB">
      <w:r>
        <w:t>The CCP made a number of submissions on Powerlink's revenue proposal.</w:t>
      </w:r>
      <w:r>
        <w:rPr>
          <w:rStyle w:val="FootnoteReference"/>
        </w:rPr>
        <w:footnoteReference w:id="64"/>
      </w:r>
      <w:r>
        <w:t xml:space="preserve"> At the stakeholder forum on 15 March 2016, CCP member Hugh Grant presented some preliminary perspectives on the overall profitability of Powerlink, and a number of material capital allowance issues, including:</w:t>
      </w:r>
      <w:r>
        <w:rPr>
          <w:rStyle w:val="FootnoteReference"/>
        </w:rPr>
        <w:footnoteReference w:id="65"/>
      </w:r>
    </w:p>
    <w:p w:rsidR="00AF6FBB" w:rsidRDefault="00AF6FBB" w:rsidP="00AF6FBB">
      <w:pPr>
        <w:pStyle w:val="AERbulletlistfirststyle"/>
      </w:pPr>
      <w:r>
        <w:t xml:space="preserve">the consistency of the AER's return on capital estimate with the approach to RAB indexation </w:t>
      </w:r>
    </w:p>
    <w:p w:rsidR="00AF6FBB" w:rsidRDefault="00AF6FBB" w:rsidP="00AF6FBB">
      <w:pPr>
        <w:pStyle w:val="AERbulletlistfirststyle"/>
      </w:pPr>
      <w:r>
        <w:t>Powerlink's actual level of gearing compared to benchmark gearing</w:t>
      </w:r>
    </w:p>
    <w:p w:rsidR="00AF6FBB" w:rsidRDefault="00AF6FBB" w:rsidP="00AF6FBB">
      <w:pPr>
        <w:pStyle w:val="AERbulletlistfirststyle"/>
      </w:pPr>
      <w:r>
        <w:t>the growth of Powerlink's RAB over recent regulatory control periods.</w:t>
      </w:r>
    </w:p>
    <w:p w:rsidR="00AF6FBB" w:rsidRDefault="00AF6FBB" w:rsidP="00AF6FBB">
      <w:r>
        <w:t>CCP member Jo De Silva authored the CCP's initial submission, which was received before the close of submissions on 28 April 2016 but did not address these issues.</w:t>
      </w:r>
      <w:r>
        <w:rPr>
          <w:rStyle w:val="FootnoteReference"/>
        </w:rPr>
        <w:footnoteReference w:id="66"/>
      </w:r>
      <w:r>
        <w:t xml:space="preserve"> Subsequently, on 20 June 2016, CCP members Hugh Grant and David Headberry provided a late CCP submission that addressed these points </w:t>
      </w:r>
      <w:r w:rsidR="00666263">
        <w:t>in detail</w:t>
      </w:r>
      <w:r>
        <w:t>.</w:t>
      </w:r>
      <w:r>
        <w:rPr>
          <w:rStyle w:val="FootnoteReference"/>
        </w:rPr>
        <w:footnoteReference w:id="67"/>
      </w:r>
      <w:r>
        <w:t xml:space="preserve"> This June 2016 submission is the primary focus of this appendix. CCP member Hugh Grant also provided two brief explanatory notes in July 2016 as a follow up to the main submission.</w:t>
      </w:r>
      <w:r>
        <w:rPr>
          <w:rStyle w:val="FootnoteReference"/>
        </w:rPr>
        <w:footnoteReference w:id="68"/>
      </w:r>
      <w:r>
        <w:t xml:space="preserve"> The CCP material also referenced another document published by Hugh Grant that was not directly submitted to the Powerlink re</w:t>
      </w:r>
      <w:r w:rsidR="00666263">
        <w:t>set</w:t>
      </w:r>
      <w:r>
        <w:t xml:space="preserve"> process.</w:t>
      </w:r>
      <w:r>
        <w:rPr>
          <w:rStyle w:val="FootnoteReference"/>
        </w:rPr>
        <w:footnoteReference w:id="69"/>
      </w:r>
    </w:p>
    <w:p w:rsidR="00AF6FBB" w:rsidRPr="00474EC7" w:rsidRDefault="00AF6FBB" w:rsidP="00AF6FBB">
      <w:r>
        <w:t>The issues raised by CCP members Hugh Grant and David Headberry centre on the capital allowances arising from and relating to the RAB. For this reason, we have addressed these aspects of the CCP members' submissions together in this appendix to the RAB attachment.</w:t>
      </w:r>
      <w:r>
        <w:rPr>
          <w:rStyle w:val="FootnoteReference"/>
        </w:rPr>
        <w:footnoteReference w:id="70"/>
      </w:r>
    </w:p>
    <w:p w:rsidR="00AF6FBB" w:rsidRDefault="00AF6FBB" w:rsidP="00AF6FBB">
      <w:pPr>
        <w:pStyle w:val="Heading8"/>
      </w:pPr>
      <w:bookmarkStart w:id="109" w:name="_Ref460328117"/>
      <w:bookmarkStart w:id="110" w:name="_Toc462045312"/>
      <w:bookmarkStart w:id="111" w:name="_Toc462749198"/>
      <w:r>
        <w:t>The CCP members' submissions on capital allowances</w:t>
      </w:r>
      <w:bookmarkEnd w:id="109"/>
      <w:bookmarkEnd w:id="110"/>
      <w:bookmarkEnd w:id="111"/>
    </w:p>
    <w:p w:rsidR="00AF6FBB" w:rsidRDefault="00AF6FBB" w:rsidP="00AF6FBB">
      <w:r>
        <w:t>This section addresses the CCP members' submissions on particular capital building block inputs or assumptions. Specifically, it addresses:</w:t>
      </w:r>
    </w:p>
    <w:p w:rsidR="00AF6FBB" w:rsidRDefault="00AF6FBB" w:rsidP="00AF6FBB">
      <w:pPr>
        <w:pStyle w:val="AERbulletlistfirststyle"/>
      </w:pPr>
      <w:r>
        <w:lastRenderedPageBreak/>
        <w:fldChar w:fldCharType="begin"/>
      </w:r>
      <w:r>
        <w:instrText xml:space="preserve"> REF _Ref460417261 \h </w:instrText>
      </w:r>
      <w:r>
        <w:fldChar w:fldCharType="separate"/>
      </w:r>
      <w:r w:rsidR="003179F2">
        <w:t>The compatibility of an indexed RAB with the AER's approach to return on capital</w:t>
      </w:r>
      <w:r>
        <w:fldChar w:fldCharType="end"/>
      </w:r>
    </w:p>
    <w:p w:rsidR="00AF6FBB" w:rsidRDefault="00AF6FBB" w:rsidP="00AF6FBB">
      <w:pPr>
        <w:pStyle w:val="AERbulletlistfirststyle"/>
      </w:pPr>
      <w:r>
        <w:fldChar w:fldCharType="begin"/>
      </w:r>
      <w:r>
        <w:instrText xml:space="preserve"> REF _Ref460417270 \h </w:instrText>
      </w:r>
      <w:r>
        <w:fldChar w:fldCharType="separate"/>
      </w:r>
      <w:r w:rsidR="003179F2">
        <w:t>The impact of benchmarks on the rate of return</w:t>
      </w:r>
      <w:r>
        <w:fldChar w:fldCharType="end"/>
      </w:r>
    </w:p>
    <w:p w:rsidR="00AF6FBB" w:rsidRDefault="00AF6FBB" w:rsidP="00AF6FBB">
      <w:pPr>
        <w:pStyle w:val="AERbulletlistfirststyle"/>
      </w:pPr>
      <w:r>
        <w:fldChar w:fldCharType="begin"/>
      </w:r>
      <w:r>
        <w:instrText xml:space="preserve"> REF _Ref460417284 \h </w:instrText>
      </w:r>
      <w:r>
        <w:fldChar w:fldCharType="separate"/>
      </w:r>
      <w:r w:rsidR="003179F2">
        <w:t>The CCP members' proposed approach</w:t>
      </w:r>
      <w:r>
        <w:fldChar w:fldCharType="end"/>
      </w:r>
    </w:p>
    <w:p w:rsidR="00AF6FBB" w:rsidRPr="00A311E9" w:rsidRDefault="00AF6FBB" w:rsidP="00AF6FBB">
      <w:pPr>
        <w:pStyle w:val="AERbulletlistfirststyle"/>
      </w:pPr>
      <w:r>
        <w:fldChar w:fldCharType="begin"/>
      </w:r>
      <w:r>
        <w:instrText xml:space="preserve"> REF _Ref460416771 \h </w:instrText>
      </w:r>
      <w:r>
        <w:fldChar w:fldCharType="separate"/>
      </w:r>
      <w:r w:rsidR="003179F2">
        <w:t>Regulatory depreciation</w:t>
      </w:r>
      <w:r>
        <w:fldChar w:fldCharType="end"/>
      </w:r>
      <w:r>
        <w:t>.</w:t>
      </w:r>
      <w:r w:rsidRPr="00A311E9">
        <w:t xml:space="preserve"> </w:t>
      </w:r>
    </w:p>
    <w:p w:rsidR="00AF6FBB" w:rsidRDefault="00AF6FBB" w:rsidP="00AF6FBB">
      <w:pPr>
        <w:pStyle w:val="Heading9"/>
      </w:pPr>
      <w:bookmarkStart w:id="112" w:name="_Ref460417261"/>
      <w:bookmarkStart w:id="113" w:name="_Toc462045313"/>
      <w:bookmarkStart w:id="114" w:name="_Toc462749199"/>
      <w:r>
        <w:t>The compatibility of an indexed RAB with the AER's approach to return on capital</w:t>
      </w:r>
      <w:bookmarkEnd w:id="112"/>
      <w:bookmarkEnd w:id="113"/>
      <w:bookmarkEnd w:id="114"/>
    </w:p>
    <w:p w:rsidR="00AF6FBB" w:rsidRDefault="00AF6FBB" w:rsidP="00AF6FBB">
      <w:r>
        <w:t>This section addresses the CCP members' submissions about the compatibility between our approach to indexing the RAB, and our use of observed rates of return from capital markets.</w:t>
      </w:r>
    </w:p>
    <w:p w:rsidR="00AF6FBB" w:rsidRDefault="00AF6FBB" w:rsidP="00AF6FBB">
      <w:r>
        <w:t>Specifically, CCP panel members Hugh Grant and David Headberry submitted that:</w:t>
      </w:r>
      <w:r>
        <w:rPr>
          <w:rStyle w:val="FootnoteReference"/>
        </w:rPr>
        <w:footnoteReference w:id="71"/>
      </w:r>
    </w:p>
    <w:p w:rsidR="00AF6FBB" w:rsidRDefault="00AF6FBB" w:rsidP="00AF6FBB">
      <w:pPr>
        <w:pStyle w:val="AERquote"/>
      </w:pPr>
      <w:r>
        <w:t>The AER's methodology for determining the networks' return on capital allowances does not appropriately consider the impacts of RAB indexation.</w:t>
      </w:r>
    </w:p>
    <w:p w:rsidR="00AF6FBB" w:rsidRDefault="00AF6FBB" w:rsidP="00AF6FBB">
      <w:pPr>
        <w:pStyle w:val="AERquote"/>
      </w:pPr>
      <w:r>
        <w:t xml:space="preserve">The AER's methodology for estimating the required percentage returns (for both equity and debt) is based on the returns that investors require on their </w:t>
      </w:r>
      <w:r w:rsidRPr="002D6B97">
        <w:rPr>
          <w:rStyle w:val="SubtleEmphasis"/>
        </w:rPr>
        <w:t>actual</w:t>
      </w:r>
      <w:r>
        <w:t xml:space="preserve"> investments. However, the AER calculates its 'return on capital' allowances by multiplying those percentage returns to artificially inflated capital bases.</w:t>
      </w:r>
    </w:p>
    <w:p w:rsidR="00AF6FBB" w:rsidRDefault="00AF6FBB" w:rsidP="00AF6FBB">
      <w:pPr>
        <w:pStyle w:val="AERquote"/>
      </w:pPr>
      <w:r>
        <w:t>This is resulting in the AER providing return on capital allowances well above the required levels</w:t>
      </w:r>
      <w:r w:rsidRPr="0024397B">
        <w:t>—</w:t>
      </w:r>
      <w:r>
        <w:t>e.g. it is resulting in the AER providing 'return on equity' allowances to Powerlink of around 4 times the required level.</w:t>
      </w:r>
    </w:p>
    <w:p w:rsidR="00AF6FBB" w:rsidRDefault="00AF6FBB" w:rsidP="00AF6FBB">
      <w:r>
        <w:t>We do not agree with this submission. Specifically:</w:t>
      </w:r>
    </w:p>
    <w:p w:rsidR="00AF6FBB" w:rsidRDefault="00AF6FBB" w:rsidP="00AF6FBB">
      <w:pPr>
        <w:pStyle w:val="AERbulletlistfirststyle"/>
      </w:pPr>
      <w:r>
        <w:t>The approach in our decisions of using an indexed RAB with a benchmark rate of return produces identical revenue in net present value (NPV) terms to the use of an unindexed RAB multiplied by a benchmark rate of return. We discuss this in detail in this section.</w:t>
      </w:r>
    </w:p>
    <w:p w:rsidR="00AF6FBB" w:rsidRDefault="00AF6FBB" w:rsidP="00AF6FBB">
      <w:pPr>
        <w:pStyle w:val="AERbulletlistfirststyle"/>
      </w:pPr>
      <w:r>
        <w:t>The returns on equity and debt do reflect the expected returns that investors require for their actual investments. However, both equity and debt are set based on benchmarks which reflect a degree of risk similar to the regulated service provider. Generally, this has the impact of materially lowering the rates of return compared to investors in other companies. We also discuss this in more detail in this section.</w:t>
      </w:r>
    </w:p>
    <w:p w:rsidR="00AF6FBB" w:rsidRDefault="00AF6FBB" w:rsidP="00AF6FBB">
      <w:pPr>
        <w:pStyle w:val="AERbulletlistfirststyle"/>
      </w:pPr>
      <w:r>
        <w:t>The analysis of the resulting 'actual' returns compared to required levels appears to include several errors, which we discuss in section A.2 on profitability analysis.</w:t>
      </w:r>
    </w:p>
    <w:p w:rsidR="00AF6FBB" w:rsidRDefault="00AF6FBB" w:rsidP="00AF6FBB">
      <w:pPr>
        <w:pStyle w:val="AERbulletlistfirststyle"/>
      </w:pPr>
      <w:r>
        <w:lastRenderedPageBreak/>
        <w:t>The CCP members' proposed resolution to this issue violates the NPV=0 principle.</w:t>
      </w:r>
      <w:r>
        <w:rPr>
          <w:rStyle w:val="FootnoteReference"/>
        </w:rPr>
        <w:footnoteReference w:id="72"/>
      </w:r>
      <w:r>
        <w:t xml:space="preserve"> It therefore appears to be inconsistent both with the rate of return objective, and with the NEO more generally.</w:t>
      </w:r>
    </w:p>
    <w:p w:rsidR="00AF6FBB" w:rsidRDefault="00AF6FBB" w:rsidP="00AF6FBB">
      <w:r>
        <w:t>To illustrate this point, we can consider the following example:</w:t>
      </w:r>
    </w:p>
    <w:p w:rsidR="00AF6FBB" w:rsidRPr="00AF6FBB" w:rsidRDefault="00AF6FBB" w:rsidP="00AF6FBB">
      <w:pPr>
        <w:pStyle w:val="ListParagraph"/>
      </w:pPr>
      <w:r>
        <w:t>A</w:t>
      </w:r>
      <w:r w:rsidRPr="00AF6FBB">
        <w:t xml:space="preserve"> service provider spends $100 million to build an asset, and that this amount of initial capital is raised with 50 per cent debt and 50 per cent equity. To simplify, we ignore the effects of depreciation and capex, so the RAB remains constant.</w:t>
      </w:r>
    </w:p>
    <w:p w:rsidR="00AF6FBB" w:rsidRPr="00AF6FBB" w:rsidRDefault="00AF6FBB" w:rsidP="00AF6FBB">
      <w:pPr>
        <w:pStyle w:val="ListParagraph"/>
      </w:pPr>
      <w:r>
        <w:t>T</w:t>
      </w:r>
      <w:r w:rsidRPr="00AF6FBB">
        <w:t xml:space="preserve">he service provider raises debt at 5 per cent per annum and promises equity holders 15 per cent returns per annum—that is, the WACC is 10 per cent. </w:t>
      </w:r>
    </w:p>
    <w:p w:rsidR="00AF6FBB" w:rsidRPr="00AF6FBB" w:rsidRDefault="00AF6FBB" w:rsidP="00AF6FBB">
      <w:pPr>
        <w:pStyle w:val="ListParagraph"/>
      </w:pPr>
      <w:r>
        <w:t>The $</w:t>
      </w:r>
      <w:r w:rsidRPr="00AF6FBB">
        <w:t>100 million is the original value of the investment. For each year that its debt is outstanding and it has equity holders, the service provider pays $2.5 million to debtors ($100 million × 50 per cent × 5 per cent) and $7.5 million ($100 million × 50 per cent × 15 per cent) to equity holders.</w:t>
      </w:r>
    </w:p>
    <w:p w:rsidR="00AF6FBB" w:rsidRPr="00AF6FBB" w:rsidRDefault="00AF6FBB" w:rsidP="00AF6FBB">
      <w:pPr>
        <w:pStyle w:val="ListParagraph"/>
      </w:pPr>
      <w:r>
        <w:t>Consider</w:t>
      </w:r>
      <w:r w:rsidRPr="00AF6FBB">
        <w:t xml:space="preserve"> that CPI is 2 per cent in year 1. In nominal terms, the indexed RAB would now be worth $102 million. </w:t>
      </w:r>
    </w:p>
    <w:p w:rsidR="00AF6FBB" w:rsidRPr="00AF6FBB" w:rsidRDefault="00AF6FBB" w:rsidP="00AF6FBB">
      <w:pPr>
        <w:pStyle w:val="ListParagraph"/>
      </w:pPr>
      <w:r>
        <w:t>However, the service provider’s debt and equity payments would not increase to reflect the indexed RAB. They would continue to be based on the original value of the RAB.</w:t>
      </w:r>
    </w:p>
    <w:p w:rsidR="00AF6FBB" w:rsidRPr="00AF6FBB" w:rsidRDefault="00AF6FBB" w:rsidP="00AF6FBB">
      <w:pPr>
        <w:pStyle w:val="ListParagraph"/>
      </w:pPr>
      <w:r>
        <w:t xml:space="preserve">In contrast, under the </w:t>
      </w:r>
      <w:r w:rsidRPr="00AF6FBB">
        <w:t>building block approach set out in the NER, the return on capital allowance does increase to reflect inflation, because we multiply our WACC components by the indexed RAB. Looking at the rate of return in isolation, this appears to result in excess revenue by the proportion that the indexed RAB exceeds the original value of the RAB.</w:t>
      </w:r>
    </w:p>
    <w:p w:rsidR="00AF6FBB" w:rsidRDefault="00AF6FBB" w:rsidP="00AF6FBB">
      <w:r>
        <w:t>To this point, the CCP members reasonably characterises a difference between the building block regime and unregulated companies. However, this apparent anomaly is resolved once we take into account the corresponding effect of depreciation.</w:t>
      </w:r>
    </w:p>
    <w:p w:rsidR="00AF6FBB" w:rsidRDefault="00AF6FBB" w:rsidP="00AF6FBB">
      <w:r>
        <w:t xml:space="preserve">The choice of RAB modelling approach, including or excluding indexation, impacts on the two key building blocks: the return on capital (WACC </w:t>
      </w:r>
      <w:r w:rsidRPr="00A46ED2">
        <w:t>×</w:t>
      </w:r>
      <w:r>
        <w:t xml:space="preserve"> RAB) and the return of capital (depreciation). Between these two allowances, service providers are compensated for:</w:t>
      </w:r>
    </w:p>
    <w:p w:rsidR="00AF6FBB" w:rsidRPr="00AF6FBB" w:rsidRDefault="00AF6FBB" w:rsidP="00666263">
      <w:pPr>
        <w:pStyle w:val="ListParagraph"/>
        <w:numPr>
          <w:ilvl w:val="0"/>
          <w:numId w:val="43"/>
        </w:numPr>
      </w:pPr>
      <w:r>
        <w:t>the principal value of their investment (depreciation)</w:t>
      </w:r>
    </w:p>
    <w:p w:rsidR="00AF6FBB" w:rsidRPr="00AF6FBB" w:rsidRDefault="00AF6FBB" w:rsidP="00666263">
      <w:pPr>
        <w:pStyle w:val="ListParagraph"/>
        <w:numPr>
          <w:ilvl w:val="0"/>
          <w:numId w:val="43"/>
        </w:numPr>
      </w:pPr>
      <w:r>
        <w:t>the</w:t>
      </w:r>
      <w:r w:rsidRPr="00AF6FBB">
        <w:t xml:space="preserve"> ongoing costs required by investors to provide the capital for the investment (return on capital).</w:t>
      </w:r>
    </w:p>
    <w:p w:rsidR="00AF6FBB" w:rsidRDefault="00AF6FBB" w:rsidP="00AF6FBB">
      <w:r>
        <w:t>The CCP members correctly identified that we use a nominal rate of return based on market rates. However, importantly, we make an offsetting adjustment tha</w:t>
      </w:r>
      <w:r w:rsidRPr="00A677DD">
        <w:t xml:space="preserve">t reduces </w:t>
      </w:r>
      <w:r>
        <w:lastRenderedPageBreak/>
        <w:t xml:space="preserve">straight-line </w:t>
      </w:r>
      <w:r w:rsidRPr="00A677DD">
        <w:t>depreciation</w:t>
      </w:r>
      <w:r>
        <w:t xml:space="preserve"> by the level of inflation indexation on the RAB. We discuss this in detail in the depreciation attachment. For convenience, we have repeated this explanation in section </w:t>
      </w:r>
      <w:r>
        <w:fldChar w:fldCharType="begin"/>
      </w:r>
      <w:r>
        <w:instrText xml:space="preserve"> REF _Ref460416771 \r \h </w:instrText>
      </w:r>
      <w:r>
        <w:fldChar w:fldCharType="separate"/>
      </w:r>
      <w:r w:rsidR="003179F2">
        <w:t>A.1.4</w:t>
      </w:r>
      <w:r>
        <w:fldChar w:fldCharType="end"/>
      </w:r>
      <w:r>
        <w:t>.</w:t>
      </w:r>
    </w:p>
    <w:p w:rsidR="00AF6FBB" w:rsidRPr="00F7043A" w:rsidRDefault="00AF6FBB" w:rsidP="00AF6FBB">
      <w:r>
        <w:t xml:space="preserve">Most importantly, what the CCP members' analysis does not address is that if we had not indexed the RAB, service providers would have recovered substantially </w:t>
      </w:r>
      <w:r w:rsidRPr="001A4D49">
        <w:t>higher</w:t>
      </w:r>
      <w:r>
        <w:t xml:space="preserve"> revenue through depreciation in the earlier part of the RAB's life. </w:t>
      </w:r>
    </w:p>
    <w:p w:rsidR="00AF6FBB" w:rsidRDefault="00AF6FBB" w:rsidP="00AF6FBB">
      <w:r>
        <w:t xml:space="preserve">More generally, if the alternative approaches are adopted over the entire life of the RABs, </w:t>
      </w:r>
      <w:r w:rsidRPr="001A4D49">
        <w:t xml:space="preserve">there is no difference in revenue (in NPV terms) between </w:t>
      </w:r>
      <w:r>
        <w:t xml:space="preserve">an approach with or without indexation of the RAB. However, the two approaches do result in materially different paths for the revenue recovery over time. </w:t>
      </w:r>
      <w:r>
        <w:fldChar w:fldCharType="begin"/>
      </w:r>
      <w:r>
        <w:instrText xml:space="preserve"> REF _Ref460593078 \h </w:instrText>
      </w:r>
      <w:r>
        <w:fldChar w:fldCharType="separate"/>
      </w:r>
      <w:r w:rsidR="003179F2">
        <w:t>Figure 2.</w:t>
      </w:r>
      <w:r w:rsidR="003179F2">
        <w:rPr>
          <w:noProof/>
        </w:rPr>
        <w:t>3</w:t>
      </w:r>
      <w:r>
        <w:fldChar w:fldCharType="end"/>
      </w:r>
      <w:r>
        <w:t xml:space="preserve"> below includes several charts that illustrate the interaction between the capital building blocks and their impact on revenue. They are based on a simplified example of:</w:t>
      </w:r>
    </w:p>
    <w:p w:rsidR="00AF6FBB" w:rsidRDefault="00AF6FBB" w:rsidP="00AF6FBB">
      <w:pPr>
        <w:pStyle w:val="AERbulletlistfirststyle"/>
      </w:pPr>
      <w:r>
        <w:t xml:space="preserve">an asset that starts at $100 million </w:t>
      </w:r>
    </w:p>
    <w:p w:rsidR="00AF6FBB" w:rsidRDefault="00AF6FBB" w:rsidP="00AF6FBB">
      <w:pPr>
        <w:pStyle w:val="AERbulletlistfirststyle"/>
      </w:pPr>
      <w:r>
        <w:t>a standard asset life of 25 years</w:t>
      </w:r>
    </w:p>
    <w:p w:rsidR="00AF6FBB" w:rsidRDefault="00AF6FBB" w:rsidP="00AF6FBB">
      <w:pPr>
        <w:pStyle w:val="AERbulletlistfirststyle"/>
      </w:pPr>
      <w:r>
        <w:t>a nominal WACC of 10 per cent</w:t>
      </w:r>
    </w:p>
    <w:p w:rsidR="00AF6FBB" w:rsidRDefault="00AF6FBB" w:rsidP="00AF6FBB">
      <w:pPr>
        <w:pStyle w:val="AERbulletlistfirststyle"/>
      </w:pPr>
      <w:r>
        <w:t>inflation of 2.5 per cent per year.</w:t>
      </w:r>
    </w:p>
    <w:p w:rsidR="00AF6FBB" w:rsidRDefault="00AF6FBB" w:rsidP="00AF6FBB">
      <w:r>
        <w:t xml:space="preserve">Throughout </w:t>
      </w:r>
      <w:r>
        <w:fldChar w:fldCharType="begin"/>
      </w:r>
      <w:r>
        <w:instrText xml:space="preserve"> REF _Ref460593078 \h </w:instrText>
      </w:r>
      <w:r>
        <w:fldChar w:fldCharType="separate"/>
      </w:r>
      <w:r w:rsidR="003179F2">
        <w:t>Figure 2.</w:t>
      </w:r>
      <w:r w:rsidR="003179F2">
        <w:rPr>
          <w:noProof/>
        </w:rPr>
        <w:t>3</w:t>
      </w:r>
      <w:r>
        <w:fldChar w:fldCharType="end"/>
      </w:r>
      <w:r>
        <w:t>, the purple line illustrates the cash flows and path of the RAB if we never add indexation to the asset base. In contrast, the green line shows the cash flows and the path of the RAB using the AER's approach. Aside from indexation of the RAB, all other underlying assumptions are identical for the two examples. Importantly, we note that our approach (indexed RAB) is required under the NER.</w:t>
      </w:r>
      <w:r>
        <w:rPr>
          <w:rStyle w:val="FootnoteReference"/>
        </w:rPr>
        <w:footnoteReference w:id="73"/>
      </w:r>
      <w:r>
        <w:t xml:space="preserve"> We also adopt this approach consistently in gas determinations where indexation is not specified under the NGR.</w:t>
      </w:r>
    </w:p>
    <w:p w:rsidR="00AF6FBB" w:rsidRDefault="00AF6FBB" w:rsidP="00AF6FBB">
      <w:pPr>
        <w:pStyle w:val="Caption"/>
      </w:pPr>
      <w:bookmarkStart w:id="115" w:name="_Ref460593078"/>
      <w:r>
        <w:lastRenderedPageBreak/>
        <w:t xml:space="preserve">Figure </w:t>
      </w:r>
      <w:r w:rsidR="00E75663">
        <w:fldChar w:fldCharType="begin"/>
      </w:r>
      <w:r w:rsidR="00E75663">
        <w:instrText xml:space="preserve"> REF _Ref462055890 \r \h </w:instrText>
      </w:r>
      <w:r w:rsidR="00E75663">
        <w:fldChar w:fldCharType="separate"/>
      </w:r>
      <w:r w:rsidR="003179F2">
        <w:t>2</w:t>
      </w:r>
      <w:r w:rsidR="00E75663">
        <w:fldChar w:fldCharType="end"/>
      </w:r>
      <w:r w:rsidR="00E75663">
        <w:t>.</w:t>
      </w:r>
      <w:r w:rsidRPr="00AF6FBB">
        <w:fldChar w:fldCharType="begin"/>
      </w:r>
      <w:r>
        <w:instrText xml:space="preserve"> SEQ Figure \* ARABIC </w:instrText>
      </w:r>
      <w:r w:rsidRPr="00AF6FBB">
        <w:fldChar w:fldCharType="separate"/>
      </w:r>
      <w:r w:rsidR="003179F2">
        <w:rPr>
          <w:noProof/>
        </w:rPr>
        <w:t>3</w:t>
      </w:r>
      <w:r w:rsidRPr="00AF6FBB">
        <w:fldChar w:fldCharType="end"/>
      </w:r>
      <w:bookmarkEnd w:id="115"/>
      <w:r>
        <w:tab/>
        <w:t>Indexed RAB compared against unindexed RAB approaches ($ million, nominal)</w:t>
      </w:r>
    </w:p>
    <w:p w:rsidR="00AF6FBB" w:rsidRDefault="00AF6FBB" w:rsidP="00AF6FBB">
      <w:r w:rsidRPr="00AF6FBB">
        <w:rPr>
          <w:noProof/>
          <w:lang w:eastAsia="en-AU"/>
        </w:rPr>
        <w:drawing>
          <wp:inline distT="0" distB="0" distL="0" distR="0" wp14:anchorId="47A70402" wp14:editId="6D518C1A">
            <wp:extent cx="3071543" cy="82010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78336" cy="8219161"/>
                    </a:xfrm>
                    <a:prstGeom prst="rect">
                      <a:avLst/>
                    </a:prstGeom>
                    <a:noFill/>
                  </pic:spPr>
                </pic:pic>
              </a:graphicData>
            </a:graphic>
          </wp:inline>
        </w:drawing>
      </w:r>
    </w:p>
    <w:p w:rsidR="00AF6FBB" w:rsidRDefault="00AF6FBB" w:rsidP="00AF6FBB">
      <w:r>
        <w:lastRenderedPageBreak/>
        <w:t>The relative differences between the two approaches can be summarised as follows:</w:t>
      </w:r>
    </w:p>
    <w:p w:rsidR="00AF6FBB" w:rsidRDefault="00AF6FBB" w:rsidP="00AF6FBB">
      <w:pPr>
        <w:pStyle w:val="AERbulletlistfirststyle"/>
      </w:pPr>
      <w:r>
        <w:t>In the early years of an asset's life, the capital building block revenues are lower under the AER's approach. At a point during the life of the assets there is a cross over, and in subsequent periods the revenues are lower under the unindexed RAB approach.</w:t>
      </w:r>
    </w:p>
    <w:p w:rsidR="00AF6FBB" w:rsidRDefault="00AF6FBB" w:rsidP="00AF6FBB">
      <w:pPr>
        <w:pStyle w:val="AERbulletlistfirststyle"/>
      </w:pPr>
      <w:r>
        <w:t>Importantly, the lower revenues earlier in the asset's life have a higher impact in net present value (NPV) than lower revenue later in the asset's life.</w:t>
      </w:r>
      <w:r>
        <w:rPr>
          <w:rStyle w:val="FootnoteReference"/>
        </w:rPr>
        <w:footnoteReference w:id="74"/>
      </w:r>
      <w:r>
        <w:t xml:space="preserve"> This is set out in </w:t>
      </w:r>
      <w:r>
        <w:fldChar w:fldCharType="begin"/>
      </w:r>
      <w:r>
        <w:instrText xml:space="preserve"> REF _Ref460593244 \h </w:instrText>
      </w:r>
      <w:r>
        <w:fldChar w:fldCharType="separate"/>
      </w:r>
      <w:r w:rsidR="003179F2">
        <w:t>Table 2.</w:t>
      </w:r>
      <w:r w:rsidR="003179F2">
        <w:rPr>
          <w:noProof/>
        </w:rPr>
        <w:t>5</w:t>
      </w:r>
      <w:r>
        <w:fldChar w:fldCharType="end"/>
      </w:r>
      <w:r>
        <w:t>, below. This is why the AER's approach with a shorter but earlier period of lower revenue is neutral in NPV terms with the longer but later period of lower revenue under the unindexed RAB approach.</w:t>
      </w:r>
    </w:p>
    <w:p w:rsidR="00AF6FBB" w:rsidRDefault="00AF6FBB" w:rsidP="00AF6FBB">
      <w:pPr>
        <w:pStyle w:val="AERbulletlistfirststyle"/>
      </w:pPr>
      <w:r>
        <w:t>At all points in the asset's life, the RAB</w:t>
      </w:r>
      <w:r w:rsidRPr="00AF6FBB">
        <w:t>—</w:t>
      </w:r>
      <w:r>
        <w:t>and as a consequence the rate of return allowance</w:t>
      </w:r>
      <w:r w:rsidRPr="00AF6FBB">
        <w:t>—</w:t>
      </w:r>
      <w:r>
        <w:t>is lower under the unindexed RAB approach. This is consistent with the CCP members' analysis.</w:t>
      </w:r>
    </w:p>
    <w:p w:rsidR="00AF6FBB" w:rsidRDefault="00AF6FBB" w:rsidP="00AF6FBB">
      <w:pPr>
        <w:pStyle w:val="AERbulletlistfirststyle"/>
      </w:pPr>
      <w:r>
        <w:t>However, this is the result of a materially higher depreciation allowance earlier in the asset's life under the unindexed RAB approach. This leads to higher overall revenue early in the assets life.</w:t>
      </w:r>
    </w:p>
    <w:p w:rsidR="00AF6FBB" w:rsidRDefault="00AF6FBB" w:rsidP="00AF6FBB">
      <w:r>
        <w:fldChar w:fldCharType="begin"/>
      </w:r>
      <w:r>
        <w:instrText xml:space="preserve"> REF _Ref460593244 \h </w:instrText>
      </w:r>
      <w:r>
        <w:fldChar w:fldCharType="separate"/>
      </w:r>
      <w:r w:rsidR="003179F2">
        <w:t>Table 2.</w:t>
      </w:r>
      <w:r w:rsidR="003179F2">
        <w:rPr>
          <w:noProof/>
        </w:rPr>
        <w:t>5</w:t>
      </w:r>
      <w:r>
        <w:fldChar w:fldCharType="end"/>
      </w:r>
      <w:r>
        <w:t xml:space="preserve"> sets out the cash flows from the above example for the two approaches. It presents the cash flows both in nominal terms and after being discounted for their net present value. It demonstrates that:</w:t>
      </w:r>
    </w:p>
    <w:p w:rsidR="00AF6FBB" w:rsidRDefault="00AF6FBB" w:rsidP="00AF6FBB">
      <w:pPr>
        <w:pStyle w:val="AERbulletlistfirststyle"/>
      </w:pPr>
      <w:r>
        <w:t>The NPV of cash flows is the same whether we consistently use the AER approach or the unindexed RAB approach. This means that service providers do not recover excess revenue where these approaches are adopted consistently.</w:t>
      </w:r>
    </w:p>
    <w:p w:rsidR="00AF6FBB" w:rsidRDefault="00AF6FBB" w:rsidP="00AF6FBB">
      <w:pPr>
        <w:pStyle w:val="AERbulletlistfirststyle"/>
      </w:pPr>
      <w:r>
        <w:t>It also demonstrates that the NPV of the cash flows is equal to $100 million, which is precisely the initial value of the investment. This demonstrates that either approach adopted consistently will achieve the 'NPV=0 principle'.</w:t>
      </w:r>
    </w:p>
    <w:p w:rsidR="00E75663" w:rsidRDefault="00E75663">
      <w:pPr>
        <w:spacing w:line="240" w:lineRule="auto"/>
      </w:pPr>
      <w:r>
        <w:br w:type="page"/>
      </w:r>
    </w:p>
    <w:p w:rsidR="00AF6FBB" w:rsidRDefault="00AF6FBB" w:rsidP="00AF6FBB">
      <w:pPr>
        <w:pStyle w:val="Caption"/>
      </w:pPr>
      <w:bookmarkStart w:id="116" w:name="_Ref460593244"/>
      <w:r>
        <w:lastRenderedPageBreak/>
        <w:t xml:space="preserve">Table </w:t>
      </w:r>
      <w:r w:rsidR="00E75663">
        <w:fldChar w:fldCharType="begin"/>
      </w:r>
      <w:r w:rsidR="00E75663">
        <w:instrText xml:space="preserve"> REF _Ref462055925 \r \h </w:instrText>
      </w:r>
      <w:r w:rsidR="00E75663">
        <w:fldChar w:fldCharType="separate"/>
      </w:r>
      <w:r w:rsidR="003179F2">
        <w:t>2</w:t>
      </w:r>
      <w:r w:rsidR="00E75663">
        <w:fldChar w:fldCharType="end"/>
      </w:r>
      <w:r w:rsidR="00E75663">
        <w:t>.</w:t>
      </w:r>
      <w:r w:rsidRPr="00AF6FBB">
        <w:fldChar w:fldCharType="begin"/>
      </w:r>
      <w:r>
        <w:instrText xml:space="preserve"> SEQ Table \* ARABIC </w:instrText>
      </w:r>
      <w:r w:rsidRPr="00AF6FBB">
        <w:fldChar w:fldCharType="separate"/>
      </w:r>
      <w:r w:rsidR="003179F2">
        <w:rPr>
          <w:noProof/>
        </w:rPr>
        <w:t>5</w:t>
      </w:r>
      <w:r w:rsidRPr="00AF6FBB">
        <w:fldChar w:fldCharType="end"/>
      </w:r>
      <w:bookmarkEnd w:id="116"/>
      <w:r>
        <w:tab/>
        <w:t>Comparing the cash flows of the indexed RAB and unindexed RAB approaches ($ million)</w:t>
      </w:r>
    </w:p>
    <w:tbl>
      <w:tblPr>
        <w:tblStyle w:val="AERtable-numbers"/>
        <w:tblW w:w="0" w:type="auto"/>
        <w:tblLook w:val="04A0" w:firstRow="1" w:lastRow="0" w:firstColumn="1" w:lastColumn="0" w:noHBand="0" w:noVBand="1"/>
      </w:tblPr>
      <w:tblGrid>
        <w:gridCol w:w="1282"/>
        <w:gridCol w:w="1496"/>
        <w:gridCol w:w="1526"/>
        <w:gridCol w:w="232"/>
        <w:gridCol w:w="1951"/>
        <w:gridCol w:w="2206"/>
      </w:tblGrid>
      <w:tr w:rsidR="00AF6FBB" w:rsidTr="00AF6F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2" w:type="dxa"/>
          </w:tcPr>
          <w:p w:rsidR="00AF6FBB" w:rsidRPr="00AF6FBB" w:rsidRDefault="00AF6FBB" w:rsidP="00AF6FBB">
            <w:r>
              <w:t>Year</w:t>
            </w:r>
          </w:p>
        </w:tc>
        <w:tc>
          <w:tcPr>
            <w:tcW w:w="1496" w:type="dxa"/>
          </w:tcPr>
          <w:p w:rsidR="00AF6FBB" w:rsidRPr="00AF6FBB" w:rsidRDefault="00AF6FBB" w:rsidP="00AF6FBB">
            <w:pPr>
              <w:cnfStyle w:val="100000000000" w:firstRow="1" w:lastRow="0" w:firstColumn="0" w:lastColumn="0" w:oddVBand="0" w:evenVBand="0" w:oddHBand="0" w:evenHBand="0" w:firstRowFirstColumn="0" w:firstRowLastColumn="0" w:lastRowFirstColumn="0" w:lastRowLastColumn="0"/>
            </w:pPr>
            <w:r>
              <w:t>AER cash flows</w:t>
            </w:r>
            <w:r>
              <w:br/>
              <w:t>(nominal)</w:t>
            </w:r>
          </w:p>
        </w:tc>
        <w:tc>
          <w:tcPr>
            <w:tcW w:w="1526" w:type="dxa"/>
          </w:tcPr>
          <w:p w:rsidR="00AF6FBB" w:rsidRPr="00AF6FBB" w:rsidRDefault="00AF6FBB" w:rsidP="00AF6FBB">
            <w:pPr>
              <w:cnfStyle w:val="100000000000" w:firstRow="1" w:lastRow="0" w:firstColumn="0" w:lastColumn="0" w:oddVBand="0" w:evenVBand="0" w:oddHBand="0" w:evenHBand="0" w:firstRowFirstColumn="0" w:firstRowLastColumn="0" w:lastRowFirstColumn="0" w:lastRowLastColumn="0"/>
            </w:pPr>
            <w:r>
              <w:t>Unindexed</w:t>
            </w:r>
            <w:r w:rsidRPr="00AF6FBB">
              <w:t xml:space="preserve"> RAB cash flows (nominal)</w:t>
            </w:r>
          </w:p>
        </w:tc>
        <w:tc>
          <w:tcPr>
            <w:tcW w:w="232" w:type="dxa"/>
          </w:tcPr>
          <w:p w:rsidR="00AF6FBB" w:rsidRDefault="00AF6FBB" w:rsidP="00AF6FBB">
            <w:pPr>
              <w:cnfStyle w:val="100000000000" w:firstRow="1" w:lastRow="0" w:firstColumn="0" w:lastColumn="0" w:oddVBand="0" w:evenVBand="0" w:oddHBand="0" w:evenHBand="0" w:firstRowFirstColumn="0" w:firstRowLastColumn="0" w:lastRowFirstColumn="0" w:lastRowLastColumn="0"/>
            </w:pPr>
          </w:p>
        </w:tc>
        <w:tc>
          <w:tcPr>
            <w:tcW w:w="1951" w:type="dxa"/>
          </w:tcPr>
          <w:p w:rsidR="00AF6FBB" w:rsidRPr="00AF6FBB" w:rsidRDefault="00AF6FBB" w:rsidP="00AF6FBB">
            <w:pPr>
              <w:cnfStyle w:val="100000000000" w:firstRow="1" w:lastRow="0" w:firstColumn="0" w:lastColumn="0" w:oddVBand="0" w:evenVBand="0" w:oddHBand="0" w:evenHBand="0" w:firstRowFirstColumn="0" w:firstRowLastColumn="0" w:lastRowFirstColumn="0" w:lastRowLastColumn="0"/>
            </w:pPr>
            <w:r>
              <w:t>AER cash flows (discounted for NPV)</w:t>
            </w:r>
          </w:p>
        </w:tc>
        <w:tc>
          <w:tcPr>
            <w:tcW w:w="2206" w:type="dxa"/>
          </w:tcPr>
          <w:p w:rsidR="00AF6FBB" w:rsidRPr="00AF6FBB" w:rsidRDefault="00AF6FBB" w:rsidP="00796F23">
            <w:pPr>
              <w:cnfStyle w:val="100000000000" w:firstRow="1" w:lastRow="0" w:firstColumn="0" w:lastColumn="0" w:oddVBand="0" w:evenVBand="0" w:oddHBand="0" w:evenHBand="0" w:firstRowFirstColumn="0" w:firstRowLastColumn="0" w:lastRowFirstColumn="0" w:lastRowLastColumn="0"/>
            </w:pPr>
            <w:r>
              <w:t>Unindexed</w:t>
            </w:r>
            <w:r w:rsidRPr="00AF6FBB">
              <w:t xml:space="preserve"> RAB</w:t>
            </w:r>
            <w:r w:rsidR="00796F23">
              <w:br/>
            </w:r>
            <w:r w:rsidRPr="00AF6FBB">
              <w:t>cash flows</w:t>
            </w:r>
            <w:r w:rsidRPr="00AF6FBB">
              <w:br/>
              <w:t>(discounted for NPV)</w:t>
            </w:r>
          </w:p>
        </w:tc>
      </w:tr>
      <w:tr w:rsidR="00AF6FBB" w:rsidTr="00AF6FBB">
        <w:tc>
          <w:tcPr>
            <w:cnfStyle w:val="001000000000" w:firstRow="0" w:lastRow="0" w:firstColumn="1" w:lastColumn="0" w:oddVBand="0" w:evenVBand="0" w:oddHBand="0" w:evenHBand="0" w:firstRowFirstColumn="0" w:firstRowLastColumn="0" w:lastRowFirstColumn="0" w:lastRowLastColumn="0"/>
            <w:tcW w:w="1282" w:type="dxa"/>
          </w:tcPr>
          <w:p w:rsidR="00AF6FBB" w:rsidRPr="00AF6FBB" w:rsidRDefault="00AF6FBB" w:rsidP="00AF6FBB">
            <w:r w:rsidRPr="000C7BEC">
              <w:t>1</w:t>
            </w:r>
          </w:p>
        </w:tc>
        <w:tc>
          <w:tcPr>
            <w:tcW w:w="1496" w:type="dxa"/>
            <w:vAlign w:val="top"/>
          </w:tcPr>
          <w:p w:rsidR="00AF6FBB" w:rsidRPr="00AF6FBB" w:rsidRDefault="00AF6FBB" w:rsidP="00AF6FBB">
            <w:pPr>
              <w:cnfStyle w:val="000000000000" w:firstRow="0" w:lastRow="0" w:firstColumn="0" w:lastColumn="0" w:oddVBand="0" w:evenVBand="0" w:oddHBand="0" w:evenHBand="0" w:firstRowFirstColumn="0" w:firstRowLastColumn="0" w:lastRowFirstColumn="0" w:lastRowLastColumn="0"/>
            </w:pPr>
            <w:r w:rsidRPr="000C7BEC">
              <w:t>11.6</w:t>
            </w:r>
          </w:p>
        </w:tc>
        <w:tc>
          <w:tcPr>
            <w:tcW w:w="1526" w:type="dxa"/>
            <w:vAlign w:val="top"/>
          </w:tcPr>
          <w:p w:rsidR="00AF6FBB" w:rsidRPr="00AF6FBB" w:rsidRDefault="00AF6FBB" w:rsidP="00AF6FBB">
            <w:pPr>
              <w:cnfStyle w:val="000000000000" w:firstRow="0" w:lastRow="0" w:firstColumn="0" w:lastColumn="0" w:oddVBand="0" w:evenVBand="0" w:oddHBand="0" w:evenHBand="0" w:firstRowFirstColumn="0" w:firstRowLastColumn="0" w:lastRowFirstColumn="0" w:lastRowLastColumn="0"/>
            </w:pPr>
            <w:r w:rsidRPr="000C7BEC">
              <w:t>14.0</w:t>
            </w:r>
          </w:p>
        </w:tc>
        <w:tc>
          <w:tcPr>
            <w:tcW w:w="232" w:type="dxa"/>
          </w:tcPr>
          <w:p w:rsidR="00AF6FBB" w:rsidRPr="000C7BEC" w:rsidRDefault="00AF6FBB" w:rsidP="00AF6FBB">
            <w:pPr>
              <w:cnfStyle w:val="000000000000" w:firstRow="0" w:lastRow="0" w:firstColumn="0" w:lastColumn="0" w:oddVBand="0" w:evenVBand="0" w:oddHBand="0" w:evenHBand="0" w:firstRowFirstColumn="0" w:firstRowLastColumn="0" w:lastRowFirstColumn="0" w:lastRowLastColumn="0"/>
            </w:pPr>
          </w:p>
        </w:tc>
        <w:tc>
          <w:tcPr>
            <w:tcW w:w="1951" w:type="dxa"/>
            <w:vAlign w:val="top"/>
          </w:tcPr>
          <w:p w:rsidR="00AF6FBB" w:rsidRPr="00AF6FBB" w:rsidRDefault="00AF6FBB" w:rsidP="00AF6FBB">
            <w:pPr>
              <w:cnfStyle w:val="000000000000" w:firstRow="0" w:lastRow="0" w:firstColumn="0" w:lastColumn="0" w:oddVBand="0" w:evenVBand="0" w:oddHBand="0" w:evenHBand="0" w:firstRowFirstColumn="0" w:firstRowLastColumn="0" w:lastRowFirstColumn="0" w:lastRowLastColumn="0"/>
            </w:pPr>
            <w:r w:rsidRPr="000C7BEC">
              <w:t>10.5</w:t>
            </w:r>
          </w:p>
        </w:tc>
        <w:tc>
          <w:tcPr>
            <w:tcW w:w="2206" w:type="dxa"/>
            <w:vAlign w:val="top"/>
          </w:tcPr>
          <w:p w:rsidR="00AF6FBB" w:rsidRPr="00AF6FBB" w:rsidRDefault="00AF6FBB" w:rsidP="00AF6FBB">
            <w:pPr>
              <w:cnfStyle w:val="000000000000" w:firstRow="0" w:lastRow="0" w:firstColumn="0" w:lastColumn="0" w:oddVBand="0" w:evenVBand="0" w:oddHBand="0" w:evenHBand="0" w:firstRowFirstColumn="0" w:firstRowLastColumn="0" w:lastRowFirstColumn="0" w:lastRowLastColumn="0"/>
            </w:pPr>
            <w:r w:rsidRPr="000C7BEC">
              <w:t>12.7</w:t>
            </w:r>
          </w:p>
        </w:tc>
      </w:tr>
      <w:tr w:rsidR="00AF6FBB" w:rsidTr="00AF6F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2" w:type="dxa"/>
          </w:tcPr>
          <w:p w:rsidR="00AF6FBB" w:rsidRPr="00AF6FBB" w:rsidRDefault="00AF6FBB" w:rsidP="00AF6FBB">
            <w:r w:rsidRPr="000C7BEC">
              <w:t>2</w:t>
            </w:r>
          </w:p>
        </w:tc>
        <w:tc>
          <w:tcPr>
            <w:tcW w:w="1496" w:type="dxa"/>
            <w:vAlign w:val="top"/>
          </w:tcPr>
          <w:p w:rsidR="00AF6FBB" w:rsidRPr="00AF6FBB" w:rsidRDefault="00AF6FBB" w:rsidP="00AF6FBB">
            <w:pPr>
              <w:cnfStyle w:val="000000010000" w:firstRow="0" w:lastRow="0" w:firstColumn="0" w:lastColumn="0" w:oddVBand="0" w:evenVBand="0" w:oddHBand="0" w:evenHBand="1" w:firstRowFirstColumn="0" w:firstRowLastColumn="0" w:lastRowFirstColumn="0" w:lastRowLastColumn="0"/>
            </w:pPr>
            <w:r w:rsidRPr="000C7BEC">
              <w:t>11.6</w:t>
            </w:r>
          </w:p>
        </w:tc>
        <w:tc>
          <w:tcPr>
            <w:tcW w:w="1526" w:type="dxa"/>
            <w:vAlign w:val="top"/>
          </w:tcPr>
          <w:p w:rsidR="00AF6FBB" w:rsidRPr="00AF6FBB" w:rsidRDefault="00AF6FBB" w:rsidP="00AF6FBB">
            <w:pPr>
              <w:cnfStyle w:val="000000010000" w:firstRow="0" w:lastRow="0" w:firstColumn="0" w:lastColumn="0" w:oddVBand="0" w:evenVBand="0" w:oddHBand="0" w:evenHBand="1" w:firstRowFirstColumn="0" w:firstRowLastColumn="0" w:lastRowFirstColumn="0" w:lastRowLastColumn="0"/>
            </w:pPr>
            <w:r w:rsidRPr="000C7BEC">
              <w:t>13.6</w:t>
            </w:r>
          </w:p>
        </w:tc>
        <w:tc>
          <w:tcPr>
            <w:tcW w:w="232" w:type="dxa"/>
          </w:tcPr>
          <w:p w:rsidR="00AF6FBB" w:rsidRPr="000C7BEC" w:rsidRDefault="00AF6FBB" w:rsidP="00AF6FBB">
            <w:pPr>
              <w:cnfStyle w:val="000000010000" w:firstRow="0" w:lastRow="0" w:firstColumn="0" w:lastColumn="0" w:oddVBand="0" w:evenVBand="0" w:oddHBand="0" w:evenHBand="1" w:firstRowFirstColumn="0" w:firstRowLastColumn="0" w:lastRowFirstColumn="0" w:lastRowLastColumn="0"/>
            </w:pPr>
          </w:p>
        </w:tc>
        <w:tc>
          <w:tcPr>
            <w:tcW w:w="1951" w:type="dxa"/>
            <w:vAlign w:val="top"/>
          </w:tcPr>
          <w:p w:rsidR="00AF6FBB" w:rsidRPr="00AF6FBB" w:rsidRDefault="00AF6FBB" w:rsidP="00AF6FBB">
            <w:pPr>
              <w:cnfStyle w:val="000000010000" w:firstRow="0" w:lastRow="0" w:firstColumn="0" w:lastColumn="0" w:oddVBand="0" w:evenVBand="0" w:oddHBand="0" w:evenHBand="1" w:firstRowFirstColumn="0" w:firstRowLastColumn="0" w:lastRowFirstColumn="0" w:lastRowLastColumn="0"/>
            </w:pPr>
            <w:r w:rsidRPr="000C7BEC">
              <w:t>9.6</w:t>
            </w:r>
          </w:p>
        </w:tc>
        <w:tc>
          <w:tcPr>
            <w:tcW w:w="2206" w:type="dxa"/>
            <w:vAlign w:val="top"/>
          </w:tcPr>
          <w:p w:rsidR="00AF6FBB" w:rsidRPr="00AF6FBB" w:rsidRDefault="00AF6FBB" w:rsidP="00AF6FBB">
            <w:pPr>
              <w:cnfStyle w:val="000000010000" w:firstRow="0" w:lastRow="0" w:firstColumn="0" w:lastColumn="0" w:oddVBand="0" w:evenVBand="0" w:oddHBand="0" w:evenHBand="1" w:firstRowFirstColumn="0" w:firstRowLastColumn="0" w:lastRowFirstColumn="0" w:lastRowLastColumn="0"/>
            </w:pPr>
            <w:r w:rsidRPr="000C7BEC">
              <w:t>11.2</w:t>
            </w:r>
          </w:p>
        </w:tc>
      </w:tr>
      <w:tr w:rsidR="00AF6FBB" w:rsidTr="00AF6FBB">
        <w:tc>
          <w:tcPr>
            <w:cnfStyle w:val="001000000000" w:firstRow="0" w:lastRow="0" w:firstColumn="1" w:lastColumn="0" w:oddVBand="0" w:evenVBand="0" w:oddHBand="0" w:evenHBand="0" w:firstRowFirstColumn="0" w:firstRowLastColumn="0" w:lastRowFirstColumn="0" w:lastRowLastColumn="0"/>
            <w:tcW w:w="1282" w:type="dxa"/>
          </w:tcPr>
          <w:p w:rsidR="00AF6FBB" w:rsidRPr="00AF6FBB" w:rsidRDefault="00AF6FBB" w:rsidP="00AF6FBB">
            <w:r w:rsidRPr="000C7BEC">
              <w:t>3</w:t>
            </w:r>
          </w:p>
        </w:tc>
        <w:tc>
          <w:tcPr>
            <w:tcW w:w="1496" w:type="dxa"/>
            <w:vAlign w:val="top"/>
          </w:tcPr>
          <w:p w:rsidR="00AF6FBB" w:rsidRPr="00AF6FBB" w:rsidRDefault="00AF6FBB" w:rsidP="00AF6FBB">
            <w:pPr>
              <w:cnfStyle w:val="000000000000" w:firstRow="0" w:lastRow="0" w:firstColumn="0" w:lastColumn="0" w:oddVBand="0" w:evenVBand="0" w:oddHBand="0" w:evenHBand="0" w:firstRowFirstColumn="0" w:firstRowLastColumn="0" w:lastRowFirstColumn="0" w:lastRowLastColumn="0"/>
            </w:pPr>
            <w:r w:rsidRPr="000C7BEC">
              <w:t>11.6</w:t>
            </w:r>
          </w:p>
        </w:tc>
        <w:tc>
          <w:tcPr>
            <w:tcW w:w="1526" w:type="dxa"/>
            <w:vAlign w:val="top"/>
          </w:tcPr>
          <w:p w:rsidR="00AF6FBB" w:rsidRPr="00AF6FBB" w:rsidRDefault="00AF6FBB" w:rsidP="00AF6FBB">
            <w:pPr>
              <w:cnfStyle w:val="000000000000" w:firstRow="0" w:lastRow="0" w:firstColumn="0" w:lastColumn="0" w:oddVBand="0" w:evenVBand="0" w:oddHBand="0" w:evenHBand="0" w:firstRowFirstColumn="0" w:firstRowLastColumn="0" w:lastRowFirstColumn="0" w:lastRowLastColumn="0"/>
            </w:pPr>
            <w:r w:rsidRPr="000C7BEC">
              <w:t>13.2</w:t>
            </w:r>
          </w:p>
        </w:tc>
        <w:tc>
          <w:tcPr>
            <w:tcW w:w="232" w:type="dxa"/>
          </w:tcPr>
          <w:p w:rsidR="00AF6FBB" w:rsidRPr="000C7BEC" w:rsidRDefault="00AF6FBB" w:rsidP="00AF6FBB">
            <w:pPr>
              <w:cnfStyle w:val="000000000000" w:firstRow="0" w:lastRow="0" w:firstColumn="0" w:lastColumn="0" w:oddVBand="0" w:evenVBand="0" w:oddHBand="0" w:evenHBand="0" w:firstRowFirstColumn="0" w:firstRowLastColumn="0" w:lastRowFirstColumn="0" w:lastRowLastColumn="0"/>
            </w:pPr>
          </w:p>
        </w:tc>
        <w:tc>
          <w:tcPr>
            <w:tcW w:w="1951" w:type="dxa"/>
            <w:vAlign w:val="top"/>
          </w:tcPr>
          <w:p w:rsidR="00AF6FBB" w:rsidRPr="00AF6FBB" w:rsidRDefault="00AF6FBB" w:rsidP="00AF6FBB">
            <w:pPr>
              <w:cnfStyle w:val="000000000000" w:firstRow="0" w:lastRow="0" w:firstColumn="0" w:lastColumn="0" w:oddVBand="0" w:evenVBand="0" w:oddHBand="0" w:evenHBand="0" w:firstRowFirstColumn="0" w:firstRowLastColumn="0" w:lastRowFirstColumn="0" w:lastRowLastColumn="0"/>
            </w:pPr>
            <w:r w:rsidRPr="000C7BEC">
              <w:t>8.7</w:t>
            </w:r>
          </w:p>
        </w:tc>
        <w:tc>
          <w:tcPr>
            <w:tcW w:w="2206" w:type="dxa"/>
            <w:vAlign w:val="top"/>
          </w:tcPr>
          <w:p w:rsidR="00AF6FBB" w:rsidRPr="00AF6FBB" w:rsidRDefault="00AF6FBB" w:rsidP="00AF6FBB">
            <w:pPr>
              <w:cnfStyle w:val="000000000000" w:firstRow="0" w:lastRow="0" w:firstColumn="0" w:lastColumn="0" w:oddVBand="0" w:evenVBand="0" w:oddHBand="0" w:evenHBand="0" w:firstRowFirstColumn="0" w:firstRowLastColumn="0" w:lastRowFirstColumn="0" w:lastRowLastColumn="0"/>
            </w:pPr>
            <w:r w:rsidRPr="000C7BEC">
              <w:t>9.9</w:t>
            </w:r>
          </w:p>
        </w:tc>
      </w:tr>
      <w:tr w:rsidR="00AF6FBB" w:rsidTr="00AF6F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2" w:type="dxa"/>
          </w:tcPr>
          <w:p w:rsidR="00AF6FBB" w:rsidRPr="00AF6FBB" w:rsidRDefault="00AF6FBB" w:rsidP="00AF6FBB">
            <w:r w:rsidRPr="000C7BEC">
              <w:t>4</w:t>
            </w:r>
          </w:p>
        </w:tc>
        <w:tc>
          <w:tcPr>
            <w:tcW w:w="1496" w:type="dxa"/>
            <w:vAlign w:val="top"/>
          </w:tcPr>
          <w:p w:rsidR="00AF6FBB" w:rsidRPr="00AF6FBB" w:rsidRDefault="00AF6FBB" w:rsidP="00AF6FBB">
            <w:pPr>
              <w:cnfStyle w:val="000000010000" w:firstRow="0" w:lastRow="0" w:firstColumn="0" w:lastColumn="0" w:oddVBand="0" w:evenVBand="0" w:oddHBand="0" w:evenHBand="1" w:firstRowFirstColumn="0" w:firstRowLastColumn="0" w:lastRowFirstColumn="0" w:lastRowLastColumn="0"/>
            </w:pPr>
            <w:r w:rsidRPr="000C7BEC">
              <w:t>11.5</w:t>
            </w:r>
          </w:p>
        </w:tc>
        <w:tc>
          <w:tcPr>
            <w:tcW w:w="1526" w:type="dxa"/>
            <w:vAlign w:val="top"/>
          </w:tcPr>
          <w:p w:rsidR="00AF6FBB" w:rsidRPr="00AF6FBB" w:rsidRDefault="00AF6FBB" w:rsidP="00AF6FBB">
            <w:pPr>
              <w:cnfStyle w:val="000000010000" w:firstRow="0" w:lastRow="0" w:firstColumn="0" w:lastColumn="0" w:oddVBand="0" w:evenVBand="0" w:oddHBand="0" w:evenHBand="1" w:firstRowFirstColumn="0" w:firstRowLastColumn="0" w:lastRowFirstColumn="0" w:lastRowLastColumn="0"/>
            </w:pPr>
            <w:r w:rsidRPr="000C7BEC">
              <w:t>12.8</w:t>
            </w:r>
          </w:p>
        </w:tc>
        <w:tc>
          <w:tcPr>
            <w:tcW w:w="232" w:type="dxa"/>
          </w:tcPr>
          <w:p w:rsidR="00AF6FBB" w:rsidRPr="000C7BEC" w:rsidRDefault="00AF6FBB" w:rsidP="00AF6FBB">
            <w:pPr>
              <w:cnfStyle w:val="000000010000" w:firstRow="0" w:lastRow="0" w:firstColumn="0" w:lastColumn="0" w:oddVBand="0" w:evenVBand="0" w:oddHBand="0" w:evenHBand="1" w:firstRowFirstColumn="0" w:firstRowLastColumn="0" w:lastRowFirstColumn="0" w:lastRowLastColumn="0"/>
            </w:pPr>
          </w:p>
        </w:tc>
        <w:tc>
          <w:tcPr>
            <w:tcW w:w="1951" w:type="dxa"/>
            <w:vAlign w:val="top"/>
          </w:tcPr>
          <w:p w:rsidR="00AF6FBB" w:rsidRPr="00AF6FBB" w:rsidRDefault="00AF6FBB" w:rsidP="00AF6FBB">
            <w:pPr>
              <w:cnfStyle w:val="000000010000" w:firstRow="0" w:lastRow="0" w:firstColumn="0" w:lastColumn="0" w:oddVBand="0" w:evenVBand="0" w:oddHBand="0" w:evenHBand="1" w:firstRowFirstColumn="0" w:firstRowLastColumn="0" w:lastRowFirstColumn="0" w:lastRowLastColumn="0"/>
            </w:pPr>
            <w:r w:rsidRPr="000C7BEC">
              <w:t>7.9</w:t>
            </w:r>
          </w:p>
        </w:tc>
        <w:tc>
          <w:tcPr>
            <w:tcW w:w="2206" w:type="dxa"/>
            <w:vAlign w:val="top"/>
          </w:tcPr>
          <w:p w:rsidR="00AF6FBB" w:rsidRPr="00AF6FBB" w:rsidRDefault="00AF6FBB" w:rsidP="00AF6FBB">
            <w:pPr>
              <w:cnfStyle w:val="000000010000" w:firstRow="0" w:lastRow="0" w:firstColumn="0" w:lastColumn="0" w:oddVBand="0" w:evenVBand="0" w:oddHBand="0" w:evenHBand="1" w:firstRowFirstColumn="0" w:firstRowLastColumn="0" w:lastRowFirstColumn="0" w:lastRowLastColumn="0"/>
            </w:pPr>
            <w:r w:rsidRPr="000C7BEC">
              <w:t>8.7</w:t>
            </w:r>
          </w:p>
        </w:tc>
      </w:tr>
      <w:tr w:rsidR="00AF6FBB" w:rsidTr="00AF6FBB">
        <w:tc>
          <w:tcPr>
            <w:cnfStyle w:val="001000000000" w:firstRow="0" w:lastRow="0" w:firstColumn="1" w:lastColumn="0" w:oddVBand="0" w:evenVBand="0" w:oddHBand="0" w:evenHBand="0" w:firstRowFirstColumn="0" w:firstRowLastColumn="0" w:lastRowFirstColumn="0" w:lastRowLastColumn="0"/>
            <w:tcW w:w="1282" w:type="dxa"/>
          </w:tcPr>
          <w:p w:rsidR="00AF6FBB" w:rsidRPr="00AF6FBB" w:rsidRDefault="00AF6FBB" w:rsidP="00AF6FBB">
            <w:r w:rsidRPr="000C7BEC">
              <w:t>5</w:t>
            </w:r>
          </w:p>
        </w:tc>
        <w:tc>
          <w:tcPr>
            <w:tcW w:w="1496" w:type="dxa"/>
            <w:vAlign w:val="top"/>
          </w:tcPr>
          <w:p w:rsidR="00AF6FBB" w:rsidRPr="00AF6FBB" w:rsidRDefault="00AF6FBB" w:rsidP="00AF6FBB">
            <w:pPr>
              <w:cnfStyle w:val="000000000000" w:firstRow="0" w:lastRow="0" w:firstColumn="0" w:lastColumn="0" w:oddVBand="0" w:evenVBand="0" w:oddHBand="0" w:evenHBand="0" w:firstRowFirstColumn="0" w:firstRowLastColumn="0" w:lastRowFirstColumn="0" w:lastRowLastColumn="0"/>
            </w:pPr>
            <w:r w:rsidRPr="000C7BEC">
              <w:t>11.5</w:t>
            </w:r>
          </w:p>
        </w:tc>
        <w:tc>
          <w:tcPr>
            <w:tcW w:w="1526" w:type="dxa"/>
            <w:vAlign w:val="top"/>
          </w:tcPr>
          <w:p w:rsidR="00AF6FBB" w:rsidRPr="00AF6FBB" w:rsidRDefault="00AF6FBB" w:rsidP="00AF6FBB">
            <w:pPr>
              <w:cnfStyle w:val="000000000000" w:firstRow="0" w:lastRow="0" w:firstColumn="0" w:lastColumn="0" w:oddVBand="0" w:evenVBand="0" w:oddHBand="0" w:evenHBand="0" w:firstRowFirstColumn="0" w:firstRowLastColumn="0" w:lastRowFirstColumn="0" w:lastRowLastColumn="0"/>
            </w:pPr>
            <w:r w:rsidRPr="000C7BEC">
              <w:t>12.4</w:t>
            </w:r>
          </w:p>
        </w:tc>
        <w:tc>
          <w:tcPr>
            <w:tcW w:w="232" w:type="dxa"/>
          </w:tcPr>
          <w:p w:rsidR="00AF6FBB" w:rsidRPr="000C7BEC" w:rsidRDefault="00AF6FBB" w:rsidP="00AF6FBB">
            <w:pPr>
              <w:cnfStyle w:val="000000000000" w:firstRow="0" w:lastRow="0" w:firstColumn="0" w:lastColumn="0" w:oddVBand="0" w:evenVBand="0" w:oddHBand="0" w:evenHBand="0" w:firstRowFirstColumn="0" w:firstRowLastColumn="0" w:lastRowFirstColumn="0" w:lastRowLastColumn="0"/>
            </w:pPr>
          </w:p>
        </w:tc>
        <w:tc>
          <w:tcPr>
            <w:tcW w:w="1951" w:type="dxa"/>
            <w:vAlign w:val="top"/>
          </w:tcPr>
          <w:p w:rsidR="00AF6FBB" w:rsidRPr="00AF6FBB" w:rsidRDefault="00AF6FBB" w:rsidP="00AF6FBB">
            <w:pPr>
              <w:cnfStyle w:val="000000000000" w:firstRow="0" w:lastRow="0" w:firstColumn="0" w:lastColumn="0" w:oddVBand="0" w:evenVBand="0" w:oddHBand="0" w:evenHBand="0" w:firstRowFirstColumn="0" w:firstRowLastColumn="0" w:lastRowFirstColumn="0" w:lastRowLastColumn="0"/>
            </w:pPr>
            <w:r w:rsidRPr="000C7BEC">
              <w:t>7.1</w:t>
            </w:r>
          </w:p>
        </w:tc>
        <w:tc>
          <w:tcPr>
            <w:tcW w:w="2206" w:type="dxa"/>
            <w:vAlign w:val="top"/>
          </w:tcPr>
          <w:p w:rsidR="00AF6FBB" w:rsidRPr="00AF6FBB" w:rsidRDefault="00AF6FBB" w:rsidP="00AF6FBB">
            <w:pPr>
              <w:cnfStyle w:val="000000000000" w:firstRow="0" w:lastRow="0" w:firstColumn="0" w:lastColumn="0" w:oddVBand="0" w:evenVBand="0" w:oddHBand="0" w:evenHBand="0" w:firstRowFirstColumn="0" w:firstRowLastColumn="0" w:lastRowFirstColumn="0" w:lastRowLastColumn="0"/>
            </w:pPr>
            <w:r w:rsidRPr="000C7BEC">
              <w:t>7.7</w:t>
            </w:r>
          </w:p>
        </w:tc>
      </w:tr>
      <w:tr w:rsidR="00AF6FBB" w:rsidTr="00AF6F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2" w:type="dxa"/>
          </w:tcPr>
          <w:p w:rsidR="00AF6FBB" w:rsidRPr="00AF6FBB" w:rsidRDefault="00AF6FBB" w:rsidP="00AF6FBB">
            <w:r w:rsidRPr="000C7BEC">
              <w:t>6</w:t>
            </w:r>
          </w:p>
        </w:tc>
        <w:tc>
          <w:tcPr>
            <w:tcW w:w="1496" w:type="dxa"/>
            <w:vAlign w:val="top"/>
          </w:tcPr>
          <w:p w:rsidR="00AF6FBB" w:rsidRPr="00AF6FBB" w:rsidRDefault="00AF6FBB" w:rsidP="00AF6FBB">
            <w:pPr>
              <w:cnfStyle w:val="000000010000" w:firstRow="0" w:lastRow="0" w:firstColumn="0" w:lastColumn="0" w:oddVBand="0" w:evenVBand="0" w:oddHBand="0" w:evenHBand="1" w:firstRowFirstColumn="0" w:firstRowLastColumn="0" w:lastRowFirstColumn="0" w:lastRowLastColumn="0"/>
            </w:pPr>
            <w:r w:rsidRPr="000C7BEC">
              <w:t>11.4</w:t>
            </w:r>
          </w:p>
        </w:tc>
        <w:tc>
          <w:tcPr>
            <w:tcW w:w="1526" w:type="dxa"/>
            <w:vAlign w:val="top"/>
          </w:tcPr>
          <w:p w:rsidR="00AF6FBB" w:rsidRPr="00AF6FBB" w:rsidRDefault="00AF6FBB" w:rsidP="00AF6FBB">
            <w:pPr>
              <w:cnfStyle w:val="000000010000" w:firstRow="0" w:lastRow="0" w:firstColumn="0" w:lastColumn="0" w:oddVBand="0" w:evenVBand="0" w:oddHBand="0" w:evenHBand="1" w:firstRowFirstColumn="0" w:firstRowLastColumn="0" w:lastRowFirstColumn="0" w:lastRowLastColumn="0"/>
            </w:pPr>
            <w:r w:rsidRPr="000C7BEC">
              <w:t>12.0</w:t>
            </w:r>
          </w:p>
        </w:tc>
        <w:tc>
          <w:tcPr>
            <w:tcW w:w="232" w:type="dxa"/>
          </w:tcPr>
          <w:p w:rsidR="00AF6FBB" w:rsidRPr="000C7BEC" w:rsidRDefault="00AF6FBB" w:rsidP="00AF6FBB">
            <w:pPr>
              <w:cnfStyle w:val="000000010000" w:firstRow="0" w:lastRow="0" w:firstColumn="0" w:lastColumn="0" w:oddVBand="0" w:evenVBand="0" w:oddHBand="0" w:evenHBand="1" w:firstRowFirstColumn="0" w:firstRowLastColumn="0" w:lastRowFirstColumn="0" w:lastRowLastColumn="0"/>
            </w:pPr>
          </w:p>
        </w:tc>
        <w:tc>
          <w:tcPr>
            <w:tcW w:w="1951" w:type="dxa"/>
            <w:vAlign w:val="top"/>
          </w:tcPr>
          <w:p w:rsidR="00AF6FBB" w:rsidRPr="00AF6FBB" w:rsidRDefault="00AF6FBB" w:rsidP="00AF6FBB">
            <w:pPr>
              <w:cnfStyle w:val="000000010000" w:firstRow="0" w:lastRow="0" w:firstColumn="0" w:lastColumn="0" w:oddVBand="0" w:evenVBand="0" w:oddHBand="0" w:evenHBand="1" w:firstRowFirstColumn="0" w:firstRowLastColumn="0" w:lastRowFirstColumn="0" w:lastRowLastColumn="0"/>
            </w:pPr>
            <w:r w:rsidRPr="000C7BEC">
              <w:t>6.5</w:t>
            </w:r>
          </w:p>
        </w:tc>
        <w:tc>
          <w:tcPr>
            <w:tcW w:w="2206" w:type="dxa"/>
            <w:vAlign w:val="top"/>
          </w:tcPr>
          <w:p w:rsidR="00AF6FBB" w:rsidRPr="00AF6FBB" w:rsidRDefault="00AF6FBB" w:rsidP="00AF6FBB">
            <w:pPr>
              <w:cnfStyle w:val="000000010000" w:firstRow="0" w:lastRow="0" w:firstColumn="0" w:lastColumn="0" w:oddVBand="0" w:evenVBand="0" w:oddHBand="0" w:evenHBand="1" w:firstRowFirstColumn="0" w:firstRowLastColumn="0" w:lastRowFirstColumn="0" w:lastRowLastColumn="0"/>
            </w:pPr>
            <w:r w:rsidRPr="000C7BEC">
              <w:t>6.8</w:t>
            </w:r>
          </w:p>
        </w:tc>
      </w:tr>
      <w:tr w:rsidR="00AF6FBB" w:rsidTr="00AF6FBB">
        <w:tc>
          <w:tcPr>
            <w:cnfStyle w:val="001000000000" w:firstRow="0" w:lastRow="0" w:firstColumn="1" w:lastColumn="0" w:oddVBand="0" w:evenVBand="0" w:oddHBand="0" w:evenHBand="0" w:firstRowFirstColumn="0" w:firstRowLastColumn="0" w:lastRowFirstColumn="0" w:lastRowLastColumn="0"/>
            <w:tcW w:w="1282" w:type="dxa"/>
          </w:tcPr>
          <w:p w:rsidR="00AF6FBB" w:rsidRPr="00AF6FBB" w:rsidRDefault="00AF6FBB" w:rsidP="00AF6FBB">
            <w:r w:rsidRPr="000C7BEC">
              <w:t>7</w:t>
            </w:r>
          </w:p>
        </w:tc>
        <w:tc>
          <w:tcPr>
            <w:tcW w:w="1496" w:type="dxa"/>
            <w:vAlign w:val="top"/>
          </w:tcPr>
          <w:p w:rsidR="00AF6FBB" w:rsidRPr="00AF6FBB" w:rsidRDefault="00AF6FBB" w:rsidP="00AF6FBB">
            <w:pPr>
              <w:cnfStyle w:val="000000000000" w:firstRow="0" w:lastRow="0" w:firstColumn="0" w:lastColumn="0" w:oddVBand="0" w:evenVBand="0" w:oddHBand="0" w:evenHBand="0" w:firstRowFirstColumn="0" w:firstRowLastColumn="0" w:lastRowFirstColumn="0" w:lastRowLastColumn="0"/>
            </w:pPr>
            <w:r w:rsidRPr="000C7BEC">
              <w:t>11.4</w:t>
            </w:r>
          </w:p>
        </w:tc>
        <w:tc>
          <w:tcPr>
            <w:tcW w:w="1526" w:type="dxa"/>
            <w:vAlign w:val="top"/>
          </w:tcPr>
          <w:p w:rsidR="00AF6FBB" w:rsidRPr="00AF6FBB" w:rsidRDefault="00AF6FBB" w:rsidP="00AF6FBB">
            <w:pPr>
              <w:cnfStyle w:val="000000000000" w:firstRow="0" w:lastRow="0" w:firstColumn="0" w:lastColumn="0" w:oddVBand="0" w:evenVBand="0" w:oddHBand="0" w:evenHBand="0" w:firstRowFirstColumn="0" w:firstRowLastColumn="0" w:lastRowFirstColumn="0" w:lastRowLastColumn="0"/>
            </w:pPr>
            <w:r w:rsidRPr="000C7BEC">
              <w:t>11.6</w:t>
            </w:r>
          </w:p>
        </w:tc>
        <w:tc>
          <w:tcPr>
            <w:tcW w:w="232" w:type="dxa"/>
          </w:tcPr>
          <w:p w:rsidR="00AF6FBB" w:rsidRPr="000C7BEC" w:rsidRDefault="00AF6FBB" w:rsidP="00AF6FBB">
            <w:pPr>
              <w:cnfStyle w:val="000000000000" w:firstRow="0" w:lastRow="0" w:firstColumn="0" w:lastColumn="0" w:oddVBand="0" w:evenVBand="0" w:oddHBand="0" w:evenHBand="0" w:firstRowFirstColumn="0" w:firstRowLastColumn="0" w:lastRowFirstColumn="0" w:lastRowLastColumn="0"/>
            </w:pPr>
          </w:p>
        </w:tc>
        <w:tc>
          <w:tcPr>
            <w:tcW w:w="1951" w:type="dxa"/>
            <w:vAlign w:val="top"/>
          </w:tcPr>
          <w:p w:rsidR="00AF6FBB" w:rsidRPr="00AF6FBB" w:rsidRDefault="00AF6FBB" w:rsidP="00AF6FBB">
            <w:pPr>
              <w:cnfStyle w:val="000000000000" w:firstRow="0" w:lastRow="0" w:firstColumn="0" w:lastColumn="0" w:oddVBand="0" w:evenVBand="0" w:oddHBand="0" w:evenHBand="0" w:firstRowFirstColumn="0" w:firstRowLastColumn="0" w:lastRowFirstColumn="0" w:lastRowLastColumn="0"/>
            </w:pPr>
            <w:r w:rsidRPr="000C7BEC">
              <w:t>5.8</w:t>
            </w:r>
          </w:p>
        </w:tc>
        <w:tc>
          <w:tcPr>
            <w:tcW w:w="2206" w:type="dxa"/>
            <w:vAlign w:val="top"/>
          </w:tcPr>
          <w:p w:rsidR="00AF6FBB" w:rsidRPr="00AF6FBB" w:rsidRDefault="00AF6FBB" w:rsidP="00AF6FBB">
            <w:pPr>
              <w:cnfStyle w:val="000000000000" w:firstRow="0" w:lastRow="0" w:firstColumn="0" w:lastColumn="0" w:oddVBand="0" w:evenVBand="0" w:oddHBand="0" w:evenHBand="0" w:firstRowFirstColumn="0" w:firstRowLastColumn="0" w:lastRowFirstColumn="0" w:lastRowLastColumn="0"/>
            </w:pPr>
            <w:r w:rsidRPr="000C7BEC">
              <w:t>6.0</w:t>
            </w:r>
          </w:p>
        </w:tc>
      </w:tr>
      <w:tr w:rsidR="00AF6FBB" w:rsidTr="00AF6F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2" w:type="dxa"/>
          </w:tcPr>
          <w:p w:rsidR="00AF6FBB" w:rsidRPr="00AF6FBB" w:rsidRDefault="00AF6FBB" w:rsidP="00AF6FBB">
            <w:r w:rsidRPr="000C7BEC">
              <w:t>8</w:t>
            </w:r>
          </w:p>
        </w:tc>
        <w:tc>
          <w:tcPr>
            <w:tcW w:w="1496" w:type="dxa"/>
            <w:vAlign w:val="top"/>
          </w:tcPr>
          <w:p w:rsidR="00AF6FBB" w:rsidRPr="00AF6FBB" w:rsidRDefault="00AF6FBB" w:rsidP="00AF6FBB">
            <w:pPr>
              <w:cnfStyle w:val="000000010000" w:firstRow="0" w:lastRow="0" w:firstColumn="0" w:lastColumn="0" w:oddVBand="0" w:evenVBand="0" w:oddHBand="0" w:evenHBand="1" w:firstRowFirstColumn="0" w:firstRowLastColumn="0" w:lastRowFirstColumn="0" w:lastRowLastColumn="0"/>
            </w:pPr>
            <w:r w:rsidRPr="000C7BEC">
              <w:t>11.3</w:t>
            </w:r>
          </w:p>
        </w:tc>
        <w:tc>
          <w:tcPr>
            <w:tcW w:w="1526" w:type="dxa"/>
            <w:vAlign w:val="top"/>
          </w:tcPr>
          <w:p w:rsidR="00AF6FBB" w:rsidRPr="00AF6FBB" w:rsidRDefault="00AF6FBB" w:rsidP="00AF6FBB">
            <w:pPr>
              <w:cnfStyle w:val="000000010000" w:firstRow="0" w:lastRow="0" w:firstColumn="0" w:lastColumn="0" w:oddVBand="0" w:evenVBand="0" w:oddHBand="0" w:evenHBand="1" w:firstRowFirstColumn="0" w:firstRowLastColumn="0" w:lastRowFirstColumn="0" w:lastRowLastColumn="0"/>
            </w:pPr>
            <w:r w:rsidRPr="000C7BEC">
              <w:t>11.2</w:t>
            </w:r>
          </w:p>
        </w:tc>
        <w:tc>
          <w:tcPr>
            <w:tcW w:w="232" w:type="dxa"/>
          </w:tcPr>
          <w:p w:rsidR="00AF6FBB" w:rsidRPr="000C7BEC" w:rsidRDefault="00AF6FBB" w:rsidP="00AF6FBB">
            <w:pPr>
              <w:cnfStyle w:val="000000010000" w:firstRow="0" w:lastRow="0" w:firstColumn="0" w:lastColumn="0" w:oddVBand="0" w:evenVBand="0" w:oddHBand="0" w:evenHBand="1" w:firstRowFirstColumn="0" w:firstRowLastColumn="0" w:lastRowFirstColumn="0" w:lastRowLastColumn="0"/>
            </w:pPr>
          </w:p>
        </w:tc>
        <w:tc>
          <w:tcPr>
            <w:tcW w:w="1951" w:type="dxa"/>
            <w:vAlign w:val="top"/>
          </w:tcPr>
          <w:p w:rsidR="00AF6FBB" w:rsidRPr="00AF6FBB" w:rsidRDefault="00AF6FBB" w:rsidP="00AF6FBB">
            <w:pPr>
              <w:cnfStyle w:val="000000010000" w:firstRow="0" w:lastRow="0" w:firstColumn="0" w:lastColumn="0" w:oddVBand="0" w:evenVBand="0" w:oddHBand="0" w:evenHBand="1" w:firstRowFirstColumn="0" w:firstRowLastColumn="0" w:lastRowFirstColumn="0" w:lastRowLastColumn="0"/>
            </w:pPr>
            <w:r w:rsidRPr="000C7BEC">
              <w:t>5.3</w:t>
            </w:r>
          </w:p>
        </w:tc>
        <w:tc>
          <w:tcPr>
            <w:tcW w:w="2206" w:type="dxa"/>
            <w:vAlign w:val="top"/>
          </w:tcPr>
          <w:p w:rsidR="00AF6FBB" w:rsidRPr="00AF6FBB" w:rsidRDefault="00AF6FBB" w:rsidP="00AF6FBB">
            <w:pPr>
              <w:cnfStyle w:val="000000010000" w:firstRow="0" w:lastRow="0" w:firstColumn="0" w:lastColumn="0" w:oddVBand="0" w:evenVBand="0" w:oddHBand="0" w:evenHBand="1" w:firstRowFirstColumn="0" w:firstRowLastColumn="0" w:lastRowFirstColumn="0" w:lastRowLastColumn="0"/>
            </w:pPr>
            <w:r w:rsidRPr="000C7BEC">
              <w:t>5.2</w:t>
            </w:r>
          </w:p>
        </w:tc>
      </w:tr>
      <w:tr w:rsidR="00AF6FBB" w:rsidTr="00AF6FBB">
        <w:tc>
          <w:tcPr>
            <w:cnfStyle w:val="001000000000" w:firstRow="0" w:lastRow="0" w:firstColumn="1" w:lastColumn="0" w:oddVBand="0" w:evenVBand="0" w:oddHBand="0" w:evenHBand="0" w:firstRowFirstColumn="0" w:firstRowLastColumn="0" w:lastRowFirstColumn="0" w:lastRowLastColumn="0"/>
            <w:tcW w:w="1282" w:type="dxa"/>
          </w:tcPr>
          <w:p w:rsidR="00AF6FBB" w:rsidRPr="00AF6FBB" w:rsidRDefault="00AF6FBB" w:rsidP="00AF6FBB">
            <w:r w:rsidRPr="000C7BEC">
              <w:t>9</w:t>
            </w:r>
          </w:p>
        </w:tc>
        <w:tc>
          <w:tcPr>
            <w:tcW w:w="1496" w:type="dxa"/>
            <w:vAlign w:val="top"/>
          </w:tcPr>
          <w:p w:rsidR="00AF6FBB" w:rsidRPr="00AF6FBB" w:rsidRDefault="00AF6FBB" w:rsidP="00AF6FBB">
            <w:pPr>
              <w:cnfStyle w:val="000000000000" w:firstRow="0" w:lastRow="0" w:firstColumn="0" w:lastColumn="0" w:oddVBand="0" w:evenVBand="0" w:oddHBand="0" w:evenHBand="0" w:firstRowFirstColumn="0" w:firstRowLastColumn="0" w:lastRowFirstColumn="0" w:lastRowLastColumn="0"/>
            </w:pPr>
            <w:r w:rsidRPr="000C7BEC">
              <w:t>11.2</w:t>
            </w:r>
          </w:p>
        </w:tc>
        <w:tc>
          <w:tcPr>
            <w:tcW w:w="1526" w:type="dxa"/>
            <w:vAlign w:val="top"/>
          </w:tcPr>
          <w:p w:rsidR="00AF6FBB" w:rsidRPr="00AF6FBB" w:rsidRDefault="00AF6FBB" w:rsidP="00AF6FBB">
            <w:pPr>
              <w:cnfStyle w:val="000000000000" w:firstRow="0" w:lastRow="0" w:firstColumn="0" w:lastColumn="0" w:oddVBand="0" w:evenVBand="0" w:oddHBand="0" w:evenHBand="0" w:firstRowFirstColumn="0" w:firstRowLastColumn="0" w:lastRowFirstColumn="0" w:lastRowLastColumn="0"/>
            </w:pPr>
            <w:r w:rsidRPr="000C7BEC">
              <w:t>10.8</w:t>
            </w:r>
          </w:p>
        </w:tc>
        <w:tc>
          <w:tcPr>
            <w:tcW w:w="232" w:type="dxa"/>
          </w:tcPr>
          <w:p w:rsidR="00AF6FBB" w:rsidRPr="000C7BEC" w:rsidRDefault="00AF6FBB" w:rsidP="00AF6FBB">
            <w:pPr>
              <w:cnfStyle w:val="000000000000" w:firstRow="0" w:lastRow="0" w:firstColumn="0" w:lastColumn="0" w:oddVBand="0" w:evenVBand="0" w:oddHBand="0" w:evenHBand="0" w:firstRowFirstColumn="0" w:firstRowLastColumn="0" w:lastRowFirstColumn="0" w:lastRowLastColumn="0"/>
            </w:pPr>
          </w:p>
        </w:tc>
        <w:tc>
          <w:tcPr>
            <w:tcW w:w="1951" w:type="dxa"/>
            <w:vAlign w:val="top"/>
          </w:tcPr>
          <w:p w:rsidR="00AF6FBB" w:rsidRPr="00AF6FBB" w:rsidRDefault="00AF6FBB" w:rsidP="00AF6FBB">
            <w:pPr>
              <w:cnfStyle w:val="000000000000" w:firstRow="0" w:lastRow="0" w:firstColumn="0" w:lastColumn="0" w:oddVBand="0" w:evenVBand="0" w:oddHBand="0" w:evenHBand="0" w:firstRowFirstColumn="0" w:firstRowLastColumn="0" w:lastRowFirstColumn="0" w:lastRowLastColumn="0"/>
            </w:pPr>
            <w:r w:rsidRPr="000C7BEC">
              <w:t>4.8</w:t>
            </w:r>
          </w:p>
        </w:tc>
        <w:tc>
          <w:tcPr>
            <w:tcW w:w="2206" w:type="dxa"/>
            <w:vAlign w:val="top"/>
          </w:tcPr>
          <w:p w:rsidR="00AF6FBB" w:rsidRPr="00AF6FBB" w:rsidRDefault="00AF6FBB" w:rsidP="00AF6FBB">
            <w:pPr>
              <w:cnfStyle w:val="000000000000" w:firstRow="0" w:lastRow="0" w:firstColumn="0" w:lastColumn="0" w:oddVBand="0" w:evenVBand="0" w:oddHBand="0" w:evenHBand="0" w:firstRowFirstColumn="0" w:firstRowLastColumn="0" w:lastRowFirstColumn="0" w:lastRowLastColumn="0"/>
            </w:pPr>
            <w:r w:rsidRPr="000C7BEC">
              <w:t>4.6</w:t>
            </w:r>
          </w:p>
        </w:tc>
      </w:tr>
      <w:tr w:rsidR="00AF6FBB" w:rsidTr="00AF6F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2" w:type="dxa"/>
          </w:tcPr>
          <w:p w:rsidR="00AF6FBB" w:rsidRPr="00AF6FBB" w:rsidRDefault="00AF6FBB" w:rsidP="00AF6FBB">
            <w:r w:rsidRPr="000C7BEC">
              <w:t>10</w:t>
            </w:r>
          </w:p>
        </w:tc>
        <w:tc>
          <w:tcPr>
            <w:tcW w:w="1496" w:type="dxa"/>
            <w:vAlign w:val="top"/>
          </w:tcPr>
          <w:p w:rsidR="00AF6FBB" w:rsidRPr="00AF6FBB" w:rsidRDefault="00AF6FBB" w:rsidP="00AF6FBB">
            <w:pPr>
              <w:cnfStyle w:val="000000010000" w:firstRow="0" w:lastRow="0" w:firstColumn="0" w:lastColumn="0" w:oddVBand="0" w:evenVBand="0" w:oddHBand="0" w:evenHBand="1" w:firstRowFirstColumn="0" w:firstRowLastColumn="0" w:lastRowFirstColumn="0" w:lastRowLastColumn="0"/>
            </w:pPr>
            <w:r w:rsidRPr="000C7BEC">
              <w:t>11.1</w:t>
            </w:r>
          </w:p>
        </w:tc>
        <w:tc>
          <w:tcPr>
            <w:tcW w:w="1526" w:type="dxa"/>
            <w:vAlign w:val="top"/>
          </w:tcPr>
          <w:p w:rsidR="00AF6FBB" w:rsidRPr="00AF6FBB" w:rsidRDefault="00AF6FBB" w:rsidP="00AF6FBB">
            <w:pPr>
              <w:cnfStyle w:val="000000010000" w:firstRow="0" w:lastRow="0" w:firstColumn="0" w:lastColumn="0" w:oddVBand="0" w:evenVBand="0" w:oddHBand="0" w:evenHBand="1" w:firstRowFirstColumn="0" w:firstRowLastColumn="0" w:lastRowFirstColumn="0" w:lastRowLastColumn="0"/>
            </w:pPr>
            <w:r w:rsidRPr="000C7BEC">
              <w:t>10.4</w:t>
            </w:r>
          </w:p>
        </w:tc>
        <w:tc>
          <w:tcPr>
            <w:tcW w:w="232" w:type="dxa"/>
          </w:tcPr>
          <w:p w:rsidR="00AF6FBB" w:rsidRPr="000C7BEC" w:rsidRDefault="00AF6FBB" w:rsidP="00AF6FBB">
            <w:pPr>
              <w:cnfStyle w:val="000000010000" w:firstRow="0" w:lastRow="0" w:firstColumn="0" w:lastColumn="0" w:oddVBand="0" w:evenVBand="0" w:oddHBand="0" w:evenHBand="1" w:firstRowFirstColumn="0" w:firstRowLastColumn="0" w:lastRowFirstColumn="0" w:lastRowLastColumn="0"/>
            </w:pPr>
          </w:p>
        </w:tc>
        <w:tc>
          <w:tcPr>
            <w:tcW w:w="1951" w:type="dxa"/>
            <w:vAlign w:val="top"/>
          </w:tcPr>
          <w:p w:rsidR="00AF6FBB" w:rsidRPr="00AF6FBB" w:rsidRDefault="00AF6FBB" w:rsidP="00AF6FBB">
            <w:pPr>
              <w:cnfStyle w:val="000000010000" w:firstRow="0" w:lastRow="0" w:firstColumn="0" w:lastColumn="0" w:oddVBand="0" w:evenVBand="0" w:oddHBand="0" w:evenHBand="1" w:firstRowFirstColumn="0" w:firstRowLastColumn="0" w:lastRowFirstColumn="0" w:lastRowLastColumn="0"/>
            </w:pPr>
            <w:r w:rsidRPr="000C7BEC">
              <w:t>4.3</w:t>
            </w:r>
          </w:p>
        </w:tc>
        <w:tc>
          <w:tcPr>
            <w:tcW w:w="2206" w:type="dxa"/>
            <w:vAlign w:val="top"/>
          </w:tcPr>
          <w:p w:rsidR="00AF6FBB" w:rsidRPr="00AF6FBB" w:rsidRDefault="00AF6FBB" w:rsidP="00AF6FBB">
            <w:pPr>
              <w:cnfStyle w:val="000000010000" w:firstRow="0" w:lastRow="0" w:firstColumn="0" w:lastColumn="0" w:oddVBand="0" w:evenVBand="0" w:oddHBand="0" w:evenHBand="1" w:firstRowFirstColumn="0" w:firstRowLastColumn="0" w:lastRowFirstColumn="0" w:lastRowLastColumn="0"/>
            </w:pPr>
            <w:r w:rsidRPr="000C7BEC">
              <w:t>4.0</w:t>
            </w:r>
          </w:p>
        </w:tc>
      </w:tr>
      <w:tr w:rsidR="00AF6FBB" w:rsidTr="00AF6FBB">
        <w:tc>
          <w:tcPr>
            <w:cnfStyle w:val="001000000000" w:firstRow="0" w:lastRow="0" w:firstColumn="1" w:lastColumn="0" w:oddVBand="0" w:evenVBand="0" w:oddHBand="0" w:evenHBand="0" w:firstRowFirstColumn="0" w:firstRowLastColumn="0" w:lastRowFirstColumn="0" w:lastRowLastColumn="0"/>
            <w:tcW w:w="1282" w:type="dxa"/>
          </w:tcPr>
          <w:p w:rsidR="00AF6FBB" w:rsidRPr="00AF6FBB" w:rsidRDefault="00AF6FBB" w:rsidP="00AF6FBB">
            <w:r w:rsidRPr="000C7BEC">
              <w:t>11</w:t>
            </w:r>
          </w:p>
        </w:tc>
        <w:tc>
          <w:tcPr>
            <w:tcW w:w="1496" w:type="dxa"/>
            <w:vAlign w:val="top"/>
          </w:tcPr>
          <w:p w:rsidR="00AF6FBB" w:rsidRPr="00AF6FBB" w:rsidRDefault="00AF6FBB" w:rsidP="00AF6FBB">
            <w:pPr>
              <w:cnfStyle w:val="000000000000" w:firstRow="0" w:lastRow="0" w:firstColumn="0" w:lastColumn="0" w:oddVBand="0" w:evenVBand="0" w:oddHBand="0" w:evenHBand="0" w:firstRowFirstColumn="0" w:firstRowLastColumn="0" w:lastRowFirstColumn="0" w:lastRowLastColumn="0"/>
            </w:pPr>
            <w:r w:rsidRPr="000C7BEC">
              <w:t>11.0</w:t>
            </w:r>
          </w:p>
        </w:tc>
        <w:tc>
          <w:tcPr>
            <w:tcW w:w="1526" w:type="dxa"/>
            <w:vAlign w:val="top"/>
          </w:tcPr>
          <w:p w:rsidR="00AF6FBB" w:rsidRPr="00AF6FBB" w:rsidRDefault="00AF6FBB" w:rsidP="00AF6FBB">
            <w:pPr>
              <w:cnfStyle w:val="000000000000" w:firstRow="0" w:lastRow="0" w:firstColumn="0" w:lastColumn="0" w:oddVBand="0" w:evenVBand="0" w:oddHBand="0" w:evenHBand="0" w:firstRowFirstColumn="0" w:firstRowLastColumn="0" w:lastRowFirstColumn="0" w:lastRowLastColumn="0"/>
            </w:pPr>
            <w:r w:rsidRPr="000C7BEC">
              <w:t>10.0</w:t>
            </w:r>
          </w:p>
        </w:tc>
        <w:tc>
          <w:tcPr>
            <w:tcW w:w="232" w:type="dxa"/>
          </w:tcPr>
          <w:p w:rsidR="00AF6FBB" w:rsidRPr="000C7BEC" w:rsidRDefault="00AF6FBB" w:rsidP="00AF6FBB">
            <w:pPr>
              <w:cnfStyle w:val="000000000000" w:firstRow="0" w:lastRow="0" w:firstColumn="0" w:lastColumn="0" w:oddVBand="0" w:evenVBand="0" w:oddHBand="0" w:evenHBand="0" w:firstRowFirstColumn="0" w:firstRowLastColumn="0" w:lastRowFirstColumn="0" w:lastRowLastColumn="0"/>
            </w:pPr>
          </w:p>
        </w:tc>
        <w:tc>
          <w:tcPr>
            <w:tcW w:w="1951" w:type="dxa"/>
            <w:vAlign w:val="top"/>
          </w:tcPr>
          <w:p w:rsidR="00AF6FBB" w:rsidRPr="00AF6FBB" w:rsidRDefault="00AF6FBB" w:rsidP="00AF6FBB">
            <w:pPr>
              <w:cnfStyle w:val="000000000000" w:firstRow="0" w:lastRow="0" w:firstColumn="0" w:lastColumn="0" w:oddVBand="0" w:evenVBand="0" w:oddHBand="0" w:evenHBand="0" w:firstRowFirstColumn="0" w:firstRowLastColumn="0" w:lastRowFirstColumn="0" w:lastRowLastColumn="0"/>
            </w:pPr>
            <w:r w:rsidRPr="000C7BEC">
              <w:t>3.9</w:t>
            </w:r>
          </w:p>
        </w:tc>
        <w:tc>
          <w:tcPr>
            <w:tcW w:w="2206" w:type="dxa"/>
            <w:vAlign w:val="top"/>
          </w:tcPr>
          <w:p w:rsidR="00AF6FBB" w:rsidRPr="00AF6FBB" w:rsidRDefault="00AF6FBB" w:rsidP="00AF6FBB">
            <w:pPr>
              <w:cnfStyle w:val="000000000000" w:firstRow="0" w:lastRow="0" w:firstColumn="0" w:lastColumn="0" w:oddVBand="0" w:evenVBand="0" w:oddHBand="0" w:evenHBand="0" w:firstRowFirstColumn="0" w:firstRowLastColumn="0" w:lastRowFirstColumn="0" w:lastRowLastColumn="0"/>
            </w:pPr>
            <w:r w:rsidRPr="000C7BEC">
              <w:t>3.5</w:t>
            </w:r>
          </w:p>
        </w:tc>
      </w:tr>
      <w:tr w:rsidR="00AF6FBB" w:rsidTr="00AF6F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2" w:type="dxa"/>
          </w:tcPr>
          <w:p w:rsidR="00AF6FBB" w:rsidRPr="00AF6FBB" w:rsidRDefault="00AF6FBB" w:rsidP="00AF6FBB">
            <w:r w:rsidRPr="000C7BEC">
              <w:t>12</w:t>
            </w:r>
          </w:p>
        </w:tc>
        <w:tc>
          <w:tcPr>
            <w:tcW w:w="1496" w:type="dxa"/>
            <w:vAlign w:val="top"/>
          </w:tcPr>
          <w:p w:rsidR="00AF6FBB" w:rsidRPr="00AF6FBB" w:rsidRDefault="00AF6FBB" w:rsidP="00AF6FBB">
            <w:pPr>
              <w:cnfStyle w:val="000000010000" w:firstRow="0" w:lastRow="0" w:firstColumn="0" w:lastColumn="0" w:oddVBand="0" w:evenVBand="0" w:oddHBand="0" w:evenHBand="1" w:firstRowFirstColumn="0" w:firstRowLastColumn="0" w:lastRowFirstColumn="0" w:lastRowLastColumn="0"/>
            </w:pPr>
            <w:r w:rsidRPr="000C7BEC">
              <w:t>10.9</w:t>
            </w:r>
          </w:p>
        </w:tc>
        <w:tc>
          <w:tcPr>
            <w:tcW w:w="1526" w:type="dxa"/>
            <w:vAlign w:val="top"/>
          </w:tcPr>
          <w:p w:rsidR="00AF6FBB" w:rsidRPr="00AF6FBB" w:rsidRDefault="00AF6FBB" w:rsidP="00AF6FBB">
            <w:pPr>
              <w:cnfStyle w:val="000000010000" w:firstRow="0" w:lastRow="0" w:firstColumn="0" w:lastColumn="0" w:oddVBand="0" w:evenVBand="0" w:oddHBand="0" w:evenHBand="1" w:firstRowFirstColumn="0" w:firstRowLastColumn="0" w:lastRowFirstColumn="0" w:lastRowLastColumn="0"/>
            </w:pPr>
            <w:r w:rsidRPr="000C7BEC">
              <w:t>9.6</w:t>
            </w:r>
          </w:p>
        </w:tc>
        <w:tc>
          <w:tcPr>
            <w:tcW w:w="232" w:type="dxa"/>
          </w:tcPr>
          <w:p w:rsidR="00AF6FBB" w:rsidRPr="000C7BEC" w:rsidRDefault="00AF6FBB" w:rsidP="00AF6FBB">
            <w:pPr>
              <w:cnfStyle w:val="000000010000" w:firstRow="0" w:lastRow="0" w:firstColumn="0" w:lastColumn="0" w:oddVBand="0" w:evenVBand="0" w:oddHBand="0" w:evenHBand="1" w:firstRowFirstColumn="0" w:firstRowLastColumn="0" w:lastRowFirstColumn="0" w:lastRowLastColumn="0"/>
            </w:pPr>
          </w:p>
        </w:tc>
        <w:tc>
          <w:tcPr>
            <w:tcW w:w="1951" w:type="dxa"/>
            <w:vAlign w:val="top"/>
          </w:tcPr>
          <w:p w:rsidR="00AF6FBB" w:rsidRPr="00AF6FBB" w:rsidRDefault="00AF6FBB" w:rsidP="00AF6FBB">
            <w:pPr>
              <w:cnfStyle w:val="000000010000" w:firstRow="0" w:lastRow="0" w:firstColumn="0" w:lastColumn="0" w:oddVBand="0" w:evenVBand="0" w:oddHBand="0" w:evenHBand="1" w:firstRowFirstColumn="0" w:firstRowLastColumn="0" w:lastRowFirstColumn="0" w:lastRowLastColumn="0"/>
            </w:pPr>
            <w:r w:rsidRPr="000C7BEC">
              <w:t>3.5</w:t>
            </w:r>
          </w:p>
        </w:tc>
        <w:tc>
          <w:tcPr>
            <w:tcW w:w="2206" w:type="dxa"/>
            <w:vAlign w:val="top"/>
          </w:tcPr>
          <w:p w:rsidR="00AF6FBB" w:rsidRPr="00AF6FBB" w:rsidRDefault="00AF6FBB" w:rsidP="00AF6FBB">
            <w:pPr>
              <w:cnfStyle w:val="000000010000" w:firstRow="0" w:lastRow="0" w:firstColumn="0" w:lastColumn="0" w:oddVBand="0" w:evenVBand="0" w:oddHBand="0" w:evenHBand="1" w:firstRowFirstColumn="0" w:firstRowLastColumn="0" w:lastRowFirstColumn="0" w:lastRowLastColumn="0"/>
            </w:pPr>
            <w:r w:rsidRPr="000C7BEC">
              <w:t>3.1</w:t>
            </w:r>
          </w:p>
        </w:tc>
      </w:tr>
      <w:tr w:rsidR="00AF6FBB" w:rsidTr="00AF6FBB">
        <w:tc>
          <w:tcPr>
            <w:cnfStyle w:val="001000000000" w:firstRow="0" w:lastRow="0" w:firstColumn="1" w:lastColumn="0" w:oddVBand="0" w:evenVBand="0" w:oddHBand="0" w:evenHBand="0" w:firstRowFirstColumn="0" w:firstRowLastColumn="0" w:lastRowFirstColumn="0" w:lastRowLastColumn="0"/>
            <w:tcW w:w="1282" w:type="dxa"/>
          </w:tcPr>
          <w:p w:rsidR="00AF6FBB" w:rsidRPr="00AF6FBB" w:rsidRDefault="00AF6FBB" w:rsidP="00AF6FBB">
            <w:r w:rsidRPr="000C7BEC">
              <w:t>13</w:t>
            </w:r>
          </w:p>
        </w:tc>
        <w:tc>
          <w:tcPr>
            <w:tcW w:w="1496" w:type="dxa"/>
            <w:vAlign w:val="top"/>
          </w:tcPr>
          <w:p w:rsidR="00AF6FBB" w:rsidRPr="00AF6FBB" w:rsidRDefault="00AF6FBB" w:rsidP="00AF6FBB">
            <w:pPr>
              <w:cnfStyle w:val="000000000000" w:firstRow="0" w:lastRow="0" w:firstColumn="0" w:lastColumn="0" w:oddVBand="0" w:evenVBand="0" w:oddHBand="0" w:evenHBand="0" w:firstRowFirstColumn="0" w:firstRowLastColumn="0" w:lastRowFirstColumn="0" w:lastRowLastColumn="0"/>
            </w:pPr>
            <w:r w:rsidRPr="000C7BEC">
              <w:t>10.8</w:t>
            </w:r>
          </w:p>
        </w:tc>
        <w:tc>
          <w:tcPr>
            <w:tcW w:w="1526" w:type="dxa"/>
            <w:vAlign w:val="top"/>
          </w:tcPr>
          <w:p w:rsidR="00AF6FBB" w:rsidRPr="00AF6FBB" w:rsidRDefault="00AF6FBB" w:rsidP="00AF6FBB">
            <w:pPr>
              <w:cnfStyle w:val="000000000000" w:firstRow="0" w:lastRow="0" w:firstColumn="0" w:lastColumn="0" w:oddVBand="0" w:evenVBand="0" w:oddHBand="0" w:evenHBand="0" w:firstRowFirstColumn="0" w:firstRowLastColumn="0" w:lastRowFirstColumn="0" w:lastRowLastColumn="0"/>
            </w:pPr>
            <w:r w:rsidRPr="000C7BEC">
              <w:t>9.2</w:t>
            </w:r>
          </w:p>
        </w:tc>
        <w:tc>
          <w:tcPr>
            <w:tcW w:w="232" w:type="dxa"/>
          </w:tcPr>
          <w:p w:rsidR="00AF6FBB" w:rsidRPr="000C7BEC" w:rsidRDefault="00AF6FBB" w:rsidP="00AF6FBB">
            <w:pPr>
              <w:cnfStyle w:val="000000000000" w:firstRow="0" w:lastRow="0" w:firstColumn="0" w:lastColumn="0" w:oddVBand="0" w:evenVBand="0" w:oddHBand="0" w:evenHBand="0" w:firstRowFirstColumn="0" w:firstRowLastColumn="0" w:lastRowFirstColumn="0" w:lastRowLastColumn="0"/>
            </w:pPr>
          </w:p>
        </w:tc>
        <w:tc>
          <w:tcPr>
            <w:tcW w:w="1951" w:type="dxa"/>
            <w:vAlign w:val="top"/>
          </w:tcPr>
          <w:p w:rsidR="00AF6FBB" w:rsidRPr="00AF6FBB" w:rsidRDefault="00AF6FBB" w:rsidP="00AF6FBB">
            <w:pPr>
              <w:cnfStyle w:val="000000000000" w:firstRow="0" w:lastRow="0" w:firstColumn="0" w:lastColumn="0" w:oddVBand="0" w:evenVBand="0" w:oddHBand="0" w:evenHBand="0" w:firstRowFirstColumn="0" w:firstRowLastColumn="0" w:lastRowFirstColumn="0" w:lastRowLastColumn="0"/>
            </w:pPr>
            <w:r w:rsidRPr="000C7BEC">
              <w:t>3.1</w:t>
            </w:r>
          </w:p>
        </w:tc>
        <w:tc>
          <w:tcPr>
            <w:tcW w:w="2206" w:type="dxa"/>
            <w:vAlign w:val="top"/>
          </w:tcPr>
          <w:p w:rsidR="00AF6FBB" w:rsidRPr="00AF6FBB" w:rsidRDefault="00AF6FBB" w:rsidP="00AF6FBB">
            <w:pPr>
              <w:cnfStyle w:val="000000000000" w:firstRow="0" w:lastRow="0" w:firstColumn="0" w:lastColumn="0" w:oddVBand="0" w:evenVBand="0" w:oddHBand="0" w:evenHBand="0" w:firstRowFirstColumn="0" w:firstRowLastColumn="0" w:lastRowFirstColumn="0" w:lastRowLastColumn="0"/>
            </w:pPr>
            <w:r w:rsidRPr="000C7BEC">
              <w:t>2.7</w:t>
            </w:r>
          </w:p>
        </w:tc>
      </w:tr>
      <w:tr w:rsidR="00AF6FBB" w:rsidTr="00AF6F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2" w:type="dxa"/>
          </w:tcPr>
          <w:p w:rsidR="00AF6FBB" w:rsidRPr="00AF6FBB" w:rsidRDefault="00AF6FBB" w:rsidP="00AF6FBB">
            <w:r w:rsidRPr="000C7BEC">
              <w:t>14</w:t>
            </w:r>
          </w:p>
        </w:tc>
        <w:tc>
          <w:tcPr>
            <w:tcW w:w="1496" w:type="dxa"/>
            <w:vAlign w:val="top"/>
          </w:tcPr>
          <w:p w:rsidR="00AF6FBB" w:rsidRPr="00AF6FBB" w:rsidRDefault="00AF6FBB" w:rsidP="00AF6FBB">
            <w:pPr>
              <w:cnfStyle w:val="000000010000" w:firstRow="0" w:lastRow="0" w:firstColumn="0" w:lastColumn="0" w:oddVBand="0" w:evenVBand="0" w:oddHBand="0" w:evenHBand="1" w:firstRowFirstColumn="0" w:firstRowLastColumn="0" w:lastRowFirstColumn="0" w:lastRowLastColumn="0"/>
            </w:pPr>
            <w:r w:rsidRPr="000C7BEC">
              <w:t>10.6</w:t>
            </w:r>
          </w:p>
        </w:tc>
        <w:tc>
          <w:tcPr>
            <w:tcW w:w="1526" w:type="dxa"/>
            <w:vAlign w:val="top"/>
          </w:tcPr>
          <w:p w:rsidR="00AF6FBB" w:rsidRPr="00AF6FBB" w:rsidRDefault="00AF6FBB" w:rsidP="00AF6FBB">
            <w:pPr>
              <w:cnfStyle w:val="000000010000" w:firstRow="0" w:lastRow="0" w:firstColumn="0" w:lastColumn="0" w:oddVBand="0" w:evenVBand="0" w:oddHBand="0" w:evenHBand="1" w:firstRowFirstColumn="0" w:firstRowLastColumn="0" w:lastRowFirstColumn="0" w:lastRowLastColumn="0"/>
            </w:pPr>
            <w:r w:rsidRPr="000C7BEC">
              <w:t>8.8</w:t>
            </w:r>
          </w:p>
        </w:tc>
        <w:tc>
          <w:tcPr>
            <w:tcW w:w="232" w:type="dxa"/>
          </w:tcPr>
          <w:p w:rsidR="00AF6FBB" w:rsidRPr="000C7BEC" w:rsidRDefault="00AF6FBB" w:rsidP="00AF6FBB">
            <w:pPr>
              <w:cnfStyle w:val="000000010000" w:firstRow="0" w:lastRow="0" w:firstColumn="0" w:lastColumn="0" w:oddVBand="0" w:evenVBand="0" w:oddHBand="0" w:evenHBand="1" w:firstRowFirstColumn="0" w:firstRowLastColumn="0" w:lastRowFirstColumn="0" w:lastRowLastColumn="0"/>
            </w:pPr>
          </w:p>
        </w:tc>
        <w:tc>
          <w:tcPr>
            <w:tcW w:w="1951" w:type="dxa"/>
            <w:vAlign w:val="top"/>
          </w:tcPr>
          <w:p w:rsidR="00AF6FBB" w:rsidRPr="00AF6FBB" w:rsidRDefault="00AF6FBB" w:rsidP="00AF6FBB">
            <w:pPr>
              <w:cnfStyle w:val="000000010000" w:firstRow="0" w:lastRow="0" w:firstColumn="0" w:lastColumn="0" w:oddVBand="0" w:evenVBand="0" w:oddHBand="0" w:evenHBand="1" w:firstRowFirstColumn="0" w:firstRowLastColumn="0" w:lastRowFirstColumn="0" w:lastRowLastColumn="0"/>
            </w:pPr>
            <w:r w:rsidRPr="000C7BEC">
              <w:t>2.8</w:t>
            </w:r>
          </w:p>
        </w:tc>
        <w:tc>
          <w:tcPr>
            <w:tcW w:w="2206" w:type="dxa"/>
            <w:vAlign w:val="top"/>
          </w:tcPr>
          <w:p w:rsidR="00AF6FBB" w:rsidRPr="00AF6FBB" w:rsidRDefault="00AF6FBB" w:rsidP="00AF6FBB">
            <w:pPr>
              <w:cnfStyle w:val="000000010000" w:firstRow="0" w:lastRow="0" w:firstColumn="0" w:lastColumn="0" w:oddVBand="0" w:evenVBand="0" w:oddHBand="0" w:evenHBand="1" w:firstRowFirstColumn="0" w:firstRowLastColumn="0" w:lastRowFirstColumn="0" w:lastRowLastColumn="0"/>
            </w:pPr>
            <w:r w:rsidRPr="000C7BEC">
              <w:t>2.3</w:t>
            </w:r>
          </w:p>
        </w:tc>
      </w:tr>
      <w:tr w:rsidR="00AF6FBB" w:rsidTr="00AF6FBB">
        <w:tc>
          <w:tcPr>
            <w:cnfStyle w:val="001000000000" w:firstRow="0" w:lastRow="0" w:firstColumn="1" w:lastColumn="0" w:oddVBand="0" w:evenVBand="0" w:oddHBand="0" w:evenHBand="0" w:firstRowFirstColumn="0" w:firstRowLastColumn="0" w:lastRowFirstColumn="0" w:lastRowLastColumn="0"/>
            <w:tcW w:w="1282" w:type="dxa"/>
          </w:tcPr>
          <w:p w:rsidR="00AF6FBB" w:rsidRPr="00AF6FBB" w:rsidRDefault="00AF6FBB" w:rsidP="00AF6FBB">
            <w:r w:rsidRPr="000C7BEC">
              <w:t>15</w:t>
            </w:r>
          </w:p>
        </w:tc>
        <w:tc>
          <w:tcPr>
            <w:tcW w:w="1496" w:type="dxa"/>
            <w:vAlign w:val="top"/>
          </w:tcPr>
          <w:p w:rsidR="00AF6FBB" w:rsidRPr="00AF6FBB" w:rsidRDefault="00AF6FBB" w:rsidP="00AF6FBB">
            <w:pPr>
              <w:cnfStyle w:val="000000000000" w:firstRow="0" w:lastRow="0" w:firstColumn="0" w:lastColumn="0" w:oddVBand="0" w:evenVBand="0" w:oddHBand="0" w:evenHBand="0" w:firstRowFirstColumn="0" w:firstRowLastColumn="0" w:lastRowFirstColumn="0" w:lastRowLastColumn="0"/>
            </w:pPr>
            <w:r w:rsidRPr="000C7BEC">
              <w:t>10.5</w:t>
            </w:r>
          </w:p>
        </w:tc>
        <w:tc>
          <w:tcPr>
            <w:tcW w:w="1526" w:type="dxa"/>
            <w:vAlign w:val="top"/>
          </w:tcPr>
          <w:p w:rsidR="00AF6FBB" w:rsidRPr="00AF6FBB" w:rsidRDefault="00AF6FBB" w:rsidP="00AF6FBB">
            <w:pPr>
              <w:cnfStyle w:val="000000000000" w:firstRow="0" w:lastRow="0" w:firstColumn="0" w:lastColumn="0" w:oddVBand="0" w:evenVBand="0" w:oddHBand="0" w:evenHBand="0" w:firstRowFirstColumn="0" w:firstRowLastColumn="0" w:lastRowFirstColumn="0" w:lastRowLastColumn="0"/>
            </w:pPr>
            <w:r w:rsidRPr="000C7BEC">
              <w:t>8.4</w:t>
            </w:r>
          </w:p>
        </w:tc>
        <w:tc>
          <w:tcPr>
            <w:tcW w:w="232" w:type="dxa"/>
          </w:tcPr>
          <w:p w:rsidR="00AF6FBB" w:rsidRPr="000C7BEC" w:rsidRDefault="00AF6FBB" w:rsidP="00AF6FBB">
            <w:pPr>
              <w:cnfStyle w:val="000000000000" w:firstRow="0" w:lastRow="0" w:firstColumn="0" w:lastColumn="0" w:oddVBand="0" w:evenVBand="0" w:oddHBand="0" w:evenHBand="0" w:firstRowFirstColumn="0" w:firstRowLastColumn="0" w:lastRowFirstColumn="0" w:lastRowLastColumn="0"/>
            </w:pPr>
          </w:p>
        </w:tc>
        <w:tc>
          <w:tcPr>
            <w:tcW w:w="1951" w:type="dxa"/>
            <w:vAlign w:val="top"/>
          </w:tcPr>
          <w:p w:rsidR="00AF6FBB" w:rsidRPr="00AF6FBB" w:rsidRDefault="00AF6FBB" w:rsidP="00AF6FBB">
            <w:pPr>
              <w:cnfStyle w:val="000000000000" w:firstRow="0" w:lastRow="0" w:firstColumn="0" w:lastColumn="0" w:oddVBand="0" w:evenVBand="0" w:oddHBand="0" w:evenHBand="0" w:firstRowFirstColumn="0" w:firstRowLastColumn="0" w:lastRowFirstColumn="0" w:lastRowLastColumn="0"/>
            </w:pPr>
            <w:r w:rsidRPr="000C7BEC">
              <w:t>2.5</w:t>
            </w:r>
          </w:p>
        </w:tc>
        <w:tc>
          <w:tcPr>
            <w:tcW w:w="2206" w:type="dxa"/>
            <w:vAlign w:val="top"/>
          </w:tcPr>
          <w:p w:rsidR="00AF6FBB" w:rsidRPr="00AF6FBB" w:rsidRDefault="00AF6FBB" w:rsidP="00AF6FBB">
            <w:pPr>
              <w:cnfStyle w:val="000000000000" w:firstRow="0" w:lastRow="0" w:firstColumn="0" w:lastColumn="0" w:oddVBand="0" w:evenVBand="0" w:oddHBand="0" w:evenHBand="0" w:firstRowFirstColumn="0" w:firstRowLastColumn="0" w:lastRowFirstColumn="0" w:lastRowLastColumn="0"/>
            </w:pPr>
            <w:r w:rsidRPr="000C7BEC">
              <w:t>2.0</w:t>
            </w:r>
          </w:p>
        </w:tc>
      </w:tr>
      <w:tr w:rsidR="00AF6FBB" w:rsidTr="00AF6F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2" w:type="dxa"/>
          </w:tcPr>
          <w:p w:rsidR="00AF6FBB" w:rsidRPr="00AF6FBB" w:rsidRDefault="00AF6FBB" w:rsidP="00AF6FBB">
            <w:r w:rsidRPr="000C7BEC">
              <w:t>16</w:t>
            </w:r>
          </w:p>
        </w:tc>
        <w:tc>
          <w:tcPr>
            <w:tcW w:w="1496" w:type="dxa"/>
            <w:vAlign w:val="top"/>
          </w:tcPr>
          <w:p w:rsidR="00AF6FBB" w:rsidRPr="00AF6FBB" w:rsidRDefault="00AF6FBB" w:rsidP="00AF6FBB">
            <w:pPr>
              <w:cnfStyle w:val="000000010000" w:firstRow="0" w:lastRow="0" w:firstColumn="0" w:lastColumn="0" w:oddVBand="0" w:evenVBand="0" w:oddHBand="0" w:evenHBand="1" w:firstRowFirstColumn="0" w:firstRowLastColumn="0" w:lastRowFirstColumn="0" w:lastRowLastColumn="0"/>
            </w:pPr>
            <w:r w:rsidRPr="000C7BEC">
              <w:t>10.3</w:t>
            </w:r>
          </w:p>
        </w:tc>
        <w:tc>
          <w:tcPr>
            <w:tcW w:w="1526" w:type="dxa"/>
            <w:vAlign w:val="top"/>
          </w:tcPr>
          <w:p w:rsidR="00AF6FBB" w:rsidRPr="00AF6FBB" w:rsidRDefault="00AF6FBB" w:rsidP="00AF6FBB">
            <w:pPr>
              <w:cnfStyle w:val="000000010000" w:firstRow="0" w:lastRow="0" w:firstColumn="0" w:lastColumn="0" w:oddVBand="0" w:evenVBand="0" w:oddHBand="0" w:evenHBand="1" w:firstRowFirstColumn="0" w:firstRowLastColumn="0" w:lastRowFirstColumn="0" w:lastRowLastColumn="0"/>
            </w:pPr>
            <w:r w:rsidRPr="000C7BEC">
              <w:t>8.0</w:t>
            </w:r>
          </w:p>
        </w:tc>
        <w:tc>
          <w:tcPr>
            <w:tcW w:w="232" w:type="dxa"/>
          </w:tcPr>
          <w:p w:rsidR="00AF6FBB" w:rsidRPr="000C7BEC" w:rsidRDefault="00AF6FBB" w:rsidP="00AF6FBB">
            <w:pPr>
              <w:cnfStyle w:val="000000010000" w:firstRow="0" w:lastRow="0" w:firstColumn="0" w:lastColumn="0" w:oddVBand="0" w:evenVBand="0" w:oddHBand="0" w:evenHBand="1" w:firstRowFirstColumn="0" w:firstRowLastColumn="0" w:lastRowFirstColumn="0" w:lastRowLastColumn="0"/>
            </w:pPr>
          </w:p>
        </w:tc>
        <w:tc>
          <w:tcPr>
            <w:tcW w:w="1951" w:type="dxa"/>
            <w:vAlign w:val="top"/>
          </w:tcPr>
          <w:p w:rsidR="00AF6FBB" w:rsidRPr="00AF6FBB" w:rsidRDefault="00AF6FBB" w:rsidP="00AF6FBB">
            <w:pPr>
              <w:cnfStyle w:val="000000010000" w:firstRow="0" w:lastRow="0" w:firstColumn="0" w:lastColumn="0" w:oddVBand="0" w:evenVBand="0" w:oddHBand="0" w:evenHBand="1" w:firstRowFirstColumn="0" w:firstRowLastColumn="0" w:lastRowFirstColumn="0" w:lastRowLastColumn="0"/>
            </w:pPr>
            <w:r w:rsidRPr="000C7BEC">
              <w:t>2.2</w:t>
            </w:r>
          </w:p>
        </w:tc>
        <w:tc>
          <w:tcPr>
            <w:tcW w:w="2206" w:type="dxa"/>
            <w:vAlign w:val="top"/>
          </w:tcPr>
          <w:p w:rsidR="00AF6FBB" w:rsidRPr="00AF6FBB" w:rsidRDefault="00AF6FBB" w:rsidP="00AF6FBB">
            <w:pPr>
              <w:cnfStyle w:val="000000010000" w:firstRow="0" w:lastRow="0" w:firstColumn="0" w:lastColumn="0" w:oddVBand="0" w:evenVBand="0" w:oddHBand="0" w:evenHBand="1" w:firstRowFirstColumn="0" w:firstRowLastColumn="0" w:lastRowFirstColumn="0" w:lastRowLastColumn="0"/>
            </w:pPr>
            <w:r w:rsidRPr="000C7BEC">
              <w:t>1.7</w:t>
            </w:r>
          </w:p>
        </w:tc>
      </w:tr>
      <w:tr w:rsidR="00AF6FBB" w:rsidTr="00AF6FBB">
        <w:tc>
          <w:tcPr>
            <w:cnfStyle w:val="001000000000" w:firstRow="0" w:lastRow="0" w:firstColumn="1" w:lastColumn="0" w:oddVBand="0" w:evenVBand="0" w:oddHBand="0" w:evenHBand="0" w:firstRowFirstColumn="0" w:firstRowLastColumn="0" w:lastRowFirstColumn="0" w:lastRowLastColumn="0"/>
            <w:tcW w:w="1282" w:type="dxa"/>
          </w:tcPr>
          <w:p w:rsidR="00AF6FBB" w:rsidRPr="00AF6FBB" w:rsidRDefault="00AF6FBB" w:rsidP="00AF6FBB">
            <w:r w:rsidRPr="000C7BEC">
              <w:t>17</w:t>
            </w:r>
          </w:p>
        </w:tc>
        <w:tc>
          <w:tcPr>
            <w:tcW w:w="1496" w:type="dxa"/>
            <w:vAlign w:val="top"/>
          </w:tcPr>
          <w:p w:rsidR="00AF6FBB" w:rsidRPr="00AF6FBB" w:rsidRDefault="00AF6FBB" w:rsidP="00AF6FBB">
            <w:pPr>
              <w:cnfStyle w:val="000000000000" w:firstRow="0" w:lastRow="0" w:firstColumn="0" w:lastColumn="0" w:oddVBand="0" w:evenVBand="0" w:oddHBand="0" w:evenHBand="0" w:firstRowFirstColumn="0" w:firstRowLastColumn="0" w:lastRowFirstColumn="0" w:lastRowLastColumn="0"/>
            </w:pPr>
            <w:r w:rsidRPr="000C7BEC">
              <w:t>10.1</w:t>
            </w:r>
          </w:p>
        </w:tc>
        <w:tc>
          <w:tcPr>
            <w:tcW w:w="1526" w:type="dxa"/>
            <w:vAlign w:val="top"/>
          </w:tcPr>
          <w:p w:rsidR="00AF6FBB" w:rsidRPr="00AF6FBB" w:rsidRDefault="00AF6FBB" w:rsidP="00AF6FBB">
            <w:pPr>
              <w:cnfStyle w:val="000000000000" w:firstRow="0" w:lastRow="0" w:firstColumn="0" w:lastColumn="0" w:oddVBand="0" w:evenVBand="0" w:oddHBand="0" w:evenHBand="0" w:firstRowFirstColumn="0" w:firstRowLastColumn="0" w:lastRowFirstColumn="0" w:lastRowLastColumn="0"/>
            </w:pPr>
            <w:r w:rsidRPr="000C7BEC">
              <w:t>7.6</w:t>
            </w:r>
          </w:p>
        </w:tc>
        <w:tc>
          <w:tcPr>
            <w:tcW w:w="232" w:type="dxa"/>
          </w:tcPr>
          <w:p w:rsidR="00AF6FBB" w:rsidRPr="000C7BEC" w:rsidRDefault="00AF6FBB" w:rsidP="00AF6FBB">
            <w:pPr>
              <w:cnfStyle w:val="000000000000" w:firstRow="0" w:lastRow="0" w:firstColumn="0" w:lastColumn="0" w:oddVBand="0" w:evenVBand="0" w:oddHBand="0" w:evenHBand="0" w:firstRowFirstColumn="0" w:firstRowLastColumn="0" w:lastRowFirstColumn="0" w:lastRowLastColumn="0"/>
            </w:pPr>
          </w:p>
        </w:tc>
        <w:tc>
          <w:tcPr>
            <w:tcW w:w="1951" w:type="dxa"/>
            <w:vAlign w:val="top"/>
          </w:tcPr>
          <w:p w:rsidR="00AF6FBB" w:rsidRPr="00AF6FBB" w:rsidRDefault="00AF6FBB" w:rsidP="00AF6FBB">
            <w:pPr>
              <w:cnfStyle w:val="000000000000" w:firstRow="0" w:lastRow="0" w:firstColumn="0" w:lastColumn="0" w:oddVBand="0" w:evenVBand="0" w:oddHBand="0" w:evenHBand="0" w:firstRowFirstColumn="0" w:firstRowLastColumn="0" w:lastRowFirstColumn="0" w:lastRowLastColumn="0"/>
            </w:pPr>
            <w:r w:rsidRPr="000C7BEC">
              <w:t>2.0</w:t>
            </w:r>
          </w:p>
        </w:tc>
        <w:tc>
          <w:tcPr>
            <w:tcW w:w="2206" w:type="dxa"/>
            <w:vAlign w:val="top"/>
          </w:tcPr>
          <w:p w:rsidR="00AF6FBB" w:rsidRPr="00AF6FBB" w:rsidRDefault="00AF6FBB" w:rsidP="00AF6FBB">
            <w:pPr>
              <w:cnfStyle w:val="000000000000" w:firstRow="0" w:lastRow="0" w:firstColumn="0" w:lastColumn="0" w:oddVBand="0" w:evenVBand="0" w:oddHBand="0" w:evenHBand="0" w:firstRowFirstColumn="0" w:firstRowLastColumn="0" w:lastRowFirstColumn="0" w:lastRowLastColumn="0"/>
            </w:pPr>
            <w:r w:rsidRPr="000C7BEC">
              <w:t>1.5</w:t>
            </w:r>
          </w:p>
        </w:tc>
      </w:tr>
      <w:tr w:rsidR="00AF6FBB" w:rsidTr="00AF6F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2" w:type="dxa"/>
          </w:tcPr>
          <w:p w:rsidR="00AF6FBB" w:rsidRPr="00AF6FBB" w:rsidRDefault="00AF6FBB" w:rsidP="00AF6FBB">
            <w:r w:rsidRPr="000C7BEC">
              <w:t>18</w:t>
            </w:r>
          </w:p>
        </w:tc>
        <w:tc>
          <w:tcPr>
            <w:tcW w:w="1496" w:type="dxa"/>
            <w:vAlign w:val="top"/>
          </w:tcPr>
          <w:p w:rsidR="00AF6FBB" w:rsidRPr="00AF6FBB" w:rsidRDefault="00AF6FBB" w:rsidP="00AF6FBB">
            <w:pPr>
              <w:cnfStyle w:val="000000010000" w:firstRow="0" w:lastRow="0" w:firstColumn="0" w:lastColumn="0" w:oddVBand="0" w:evenVBand="0" w:oddHBand="0" w:evenHBand="1" w:firstRowFirstColumn="0" w:firstRowLastColumn="0" w:lastRowFirstColumn="0" w:lastRowLastColumn="0"/>
            </w:pPr>
            <w:r w:rsidRPr="000C7BEC">
              <w:t>9.9</w:t>
            </w:r>
          </w:p>
        </w:tc>
        <w:tc>
          <w:tcPr>
            <w:tcW w:w="1526" w:type="dxa"/>
            <w:vAlign w:val="top"/>
          </w:tcPr>
          <w:p w:rsidR="00AF6FBB" w:rsidRPr="00AF6FBB" w:rsidRDefault="00AF6FBB" w:rsidP="00AF6FBB">
            <w:pPr>
              <w:cnfStyle w:val="000000010000" w:firstRow="0" w:lastRow="0" w:firstColumn="0" w:lastColumn="0" w:oddVBand="0" w:evenVBand="0" w:oddHBand="0" w:evenHBand="1" w:firstRowFirstColumn="0" w:firstRowLastColumn="0" w:lastRowFirstColumn="0" w:lastRowLastColumn="0"/>
            </w:pPr>
            <w:r w:rsidRPr="000C7BEC">
              <w:t>7.2</w:t>
            </w:r>
          </w:p>
        </w:tc>
        <w:tc>
          <w:tcPr>
            <w:tcW w:w="232" w:type="dxa"/>
          </w:tcPr>
          <w:p w:rsidR="00AF6FBB" w:rsidRPr="000C7BEC" w:rsidRDefault="00AF6FBB" w:rsidP="00AF6FBB">
            <w:pPr>
              <w:cnfStyle w:val="000000010000" w:firstRow="0" w:lastRow="0" w:firstColumn="0" w:lastColumn="0" w:oddVBand="0" w:evenVBand="0" w:oddHBand="0" w:evenHBand="1" w:firstRowFirstColumn="0" w:firstRowLastColumn="0" w:lastRowFirstColumn="0" w:lastRowLastColumn="0"/>
            </w:pPr>
          </w:p>
        </w:tc>
        <w:tc>
          <w:tcPr>
            <w:tcW w:w="1951" w:type="dxa"/>
            <w:vAlign w:val="top"/>
          </w:tcPr>
          <w:p w:rsidR="00AF6FBB" w:rsidRPr="00AF6FBB" w:rsidRDefault="00AF6FBB" w:rsidP="00AF6FBB">
            <w:pPr>
              <w:cnfStyle w:val="000000010000" w:firstRow="0" w:lastRow="0" w:firstColumn="0" w:lastColumn="0" w:oddVBand="0" w:evenVBand="0" w:oddHBand="0" w:evenHBand="1" w:firstRowFirstColumn="0" w:firstRowLastColumn="0" w:lastRowFirstColumn="0" w:lastRowLastColumn="0"/>
            </w:pPr>
            <w:r w:rsidRPr="000C7BEC">
              <w:t>1.8</w:t>
            </w:r>
          </w:p>
        </w:tc>
        <w:tc>
          <w:tcPr>
            <w:tcW w:w="2206" w:type="dxa"/>
            <w:vAlign w:val="top"/>
          </w:tcPr>
          <w:p w:rsidR="00AF6FBB" w:rsidRPr="00AF6FBB" w:rsidRDefault="00AF6FBB" w:rsidP="00AF6FBB">
            <w:pPr>
              <w:cnfStyle w:val="000000010000" w:firstRow="0" w:lastRow="0" w:firstColumn="0" w:lastColumn="0" w:oddVBand="0" w:evenVBand="0" w:oddHBand="0" w:evenHBand="1" w:firstRowFirstColumn="0" w:firstRowLastColumn="0" w:lastRowFirstColumn="0" w:lastRowLastColumn="0"/>
            </w:pPr>
            <w:r w:rsidRPr="000C7BEC">
              <w:t>1.3</w:t>
            </w:r>
          </w:p>
        </w:tc>
      </w:tr>
      <w:tr w:rsidR="00AF6FBB" w:rsidTr="00AF6FBB">
        <w:tc>
          <w:tcPr>
            <w:cnfStyle w:val="001000000000" w:firstRow="0" w:lastRow="0" w:firstColumn="1" w:lastColumn="0" w:oddVBand="0" w:evenVBand="0" w:oddHBand="0" w:evenHBand="0" w:firstRowFirstColumn="0" w:firstRowLastColumn="0" w:lastRowFirstColumn="0" w:lastRowLastColumn="0"/>
            <w:tcW w:w="1282" w:type="dxa"/>
          </w:tcPr>
          <w:p w:rsidR="00AF6FBB" w:rsidRPr="00AF6FBB" w:rsidRDefault="00AF6FBB" w:rsidP="00AF6FBB">
            <w:r w:rsidRPr="000C7BEC">
              <w:t>19</w:t>
            </w:r>
          </w:p>
        </w:tc>
        <w:tc>
          <w:tcPr>
            <w:tcW w:w="1496" w:type="dxa"/>
            <w:vAlign w:val="top"/>
          </w:tcPr>
          <w:p w:rsidR="00AF6FBB" w:rsidRPr="00AF6FBB" w:rsidRDefault="00AF6FBB" w:rsidP="00AF6FBB">
            <w:pPr>
              <w:cnfStyle w:val="000000000000" w:firstRow="0" w:lastRow="0" w:firstColumn="0" w:lastColumn="0" w:oddVBand="0" w:evenVBand="0" w:oddHBand="0" w:evenHBand="0" w:firstRowFirstColumn="0" w:firstRowLastColumn="0" w:lastRowFirstColumn="0" w:lastRowLastColumn="0"/>
            </w:pPr>
            <w:r w:rsidRPr="000C7BEC">
              <w:t>9.7</w:t>
            </w:r>
          </w:p>
        </w:tc>
        <w:tc>
          <w:tcPr>
            <w:tcW w:w="1526" w:type="dxa"/>
            <w:vAlign w:val="top"/>
          </w:tcPr>
          <w:p w:rsidR="00AF6FBB" w:rsidRPr="00AF6FBB" w:rsidRDefault="00AF6FBB" w:rsidP="00AF6FBB">
            <w:pPr>
              <w:cnfStyle w:val="000000000000" w:firstRow="0" w:lastRow="0" w:firstColumn="0" w:lastColumn="0" w:oddVBand="0" w:evenVBand="0" w:oddHBand="0" w:evenHBand="0" w:firstRowFirstColumn="0" w:firstRowLastColumn="0" w:lastRowFirstColumn="0" w:lastRowLastColumn="0"/>
            </w:pPr>
            <w:r w:rsidRPr="000C7BEC">
              <w:t>6.8</w:t>
            </w:r>
          </w:p>
        </w:tc>
        <w:tc>
          <w:tcPr>
            <w:tcW w:w="232" w:type="dxa"/>
          </w:tcPr>
          <w:p w:rsidR="00AF6FBB" w:rsidRPr="000C7BEC" w:rsidRDefault="00AF6FBB" w:rsidP="00AF6FBB">
            <w:pPr>
              <w:cnfStyle w:val="000000000000" w:firstRow="0" w:lastRow="0" w:firstColumn="0" w:lastColumn="0" w:oddVBand="0" w:evenVBand="0" w:oddHBand="0" w:evenHBand="0" w:firstRowFirstColumn="0" w:firstRowLastColumn="0" w:lastRowFirstColumn="0" w:lastRowLastColumn="0"/>
            </w:pPr>
          </w:p>
        </w:tc>
        <w:tc>
          <w:tcPr>
            <w:tcW w:w="1951" w:type="dxa"/>
            <w:vAlign w:val="top"/>
          </w:tcPr>
          <w:p w:rsidR="00AF6FBB" w:rsidRPr="00AF6FBB" w:rsidRDefault="00AF6FBB" w:rsidP="00AF6FBB">
            <w:pPr>
              <w:cnfStyle w:val="000000000000" w:firstRow="0" w:lastRow="0" w:firstColumn="0" w:lastColumn="0" w:oddVBand="0" w:evenVBand="0" w:oddHBand="0" w:evenHBand="0" w:firstRowFirstColumn="0" w:firstRowLastColumn="0" w:lastRowFirstColumn="0" w:lastRowLastColumn="0"/>
            </w:pPr>
            <w:r w:rsidRPr="000C7BEC">
              <w:t>1.6</w:t>
            </w:r>
          </w:p>
        </w:tc>
        <w:tc>
          <w:tcPr>
            <w:tcW w:w="2206" w:type="dxa"/>
            <w:vAlign w:val="top"/>
          </w:tcPr>
          <w:p w:rsidR="00AF6FBB" w:rsidRPr="00AF6FBB" w:rsidRDefault="00AF6FBB" w:rsidP="00AF6FBB">
            <w:pPr>
              <w:cnfStyle w:val="000000000000" w:firstRow="0" w:lastRow="0" w:firstColumn="0" w:lastColumn="0" w:oddVBand="0" w:evenVBand="0" w:oddHBand="0" w:evenHBand="0" w:firstRowFirstColumn="0" w:firstRowLastColumn="0" w:lastRowFirstColumn="0" w:lastRowLastColumn="0"/>
            </w:pPr>
            <w:r w:rsidRPr="000C7BEC">
              <w:t>1.1</w:t>
            </w:r>
          </w:p>
        </w:tc>
      </w:tr>
      <w:tr w:rsidR="00AF6FBB" w:rsidTr="00AF6F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2" w:type="dxa"/>
          </w:tcPr>
          <w:p w:rsidR="00AF6FBB" w:rsidRPr="00AF6FBB" w:rsidRDefault="00AF6FBB" w:rsidP="00AF6FBB">
            <w:r w:rsidRPr="000C7BEC">
              <w:t>20</w:t>
            </w:r>
          </w:p>
        </w:tc>
        <w:tc>
          <w:tcPr>
            <w:tcW w:w="1496" w:type="dxa"/>
            <w:vAlign w:val="top"/>
          </w:tcPr>
          <w:p w:rsidR="00AF6FBB" w:rsidRPr="00AF6FBB" w:rsidRDefault="00AF6FBB" w:rsidP="00AF6FBB">
            <w:pPr>
              <w:cnfStyle w:val="000000010000" w:firstRow="0" w:lastRow="0" w:firstColumn="0" w:lastColumn="0" w:oddVBand="0" w:evenVBand="0" w:oddHBand="0" w:evenHBand="1" w:firstRowFirstColumn="0" w:firstRowLastColumn="0" w:lastRowFirstColumn="0" w:lastRowLastColumn="0"/>
            </w:pPr>
            <w:r w:rsidRPr="000C7BEC">
              <w:t>9.4</w:t>
            </w:r>
          </w:p>
        </w:tc>
        <w:tc>
          <w:tcPr>
            <w:tcW w:w="1526" w:type="dxa"/>
            <w:vAlign w:val="top"/>
          </w:tcPr>
          <w:p w:rsidR="00AF6FBB" w:rsidRPr="00AF6FBB" w:rsidRDefault="00AF6FBB" w:rsidP="00AF6FBB">
            <w:pPr>
              <w:cnfStyle w:val="000000010000" w:firstRow="0" w:lastRow="0" w:firstColumn="0" w:lastColumn="0" w:oddVBand="0" w:evenVBand="0" w:oddHBand="0" w:evenHBand="1" w:firstRowFirstColumn="0" w:firstRowLastColumn="0" w:lastRowFirstColumn="0" w:lastRowLastColumn="0"/>
            </w:pPr>
            <w:r w:rsidRPr="000C7BEC">
              <w:t>6.4</w:t>
            </w:r>
          </w:p>
        </w:tc>
        <w:tc>
          <w:tcPr>
            <w:tcW w:w="232" w:type="dxa"/>
          </w:tcPr>
          <w:p w:rsidR="00AF6FBB" w:rsidRPr="000C7BEC" w:rsidRDefault="00AF6FBB" w:rsidP="00AF6FBB">
            <w:pPr>
              <w:cnfStyle w:val="000000010000" w:firstRow="0" w:lastRow="0" w:firstColumn="0" w:lastColumn="0" w:oddVBand="0" w:evenVBand="0" w:oddHBand="0" w:evenHBand="1" w:firstRowFirstColumn="0" w:firstRowLastColumn="0" w:lastRowFirstColumn="0" w:lastRowLastColumn="0"/>
            </w:pPr>
          </w:p>
        </w:tc>
        <w:tc>
          <w:tcPr>
            <w:tcW w:w="1951" w:type="dxa"/>
            <w:vAlign w:val="top"/>
          </w:tcPr>
          <w:p w:rsidR="00AF6FBB" w:rsidRPr="00AF6FBB" w:rsidRDefault="00AF6FBB" w:rsidP="00AF6FBB">
            <w:pPr>
              <w:cnfStyle w:val="000000010000" w:firstRow="0" w:lastRow="0" w:firstColumn="0" w:lastColumn="0" w:oddVBand="0" w:evenVBand="0" w:oddHBand="0" w:evenHBand="1" w:firstRowFirstColumn="0" w:firstRowLastColumn="0" w:lastRowFirstColumn="0" w:lastRowLastColumn="0"/>
            </w:pPr>
            <w:r w:rsidRPr="000C7BEC">
              <w:t>1.4</w:t>
            </w:r>
          </w:p>
        </w:tc>
        <w:tc>
          <w:tcPr>
            <w:tcW w:w="2206" w:type="dxa"/>
            <w:vAlign w:val="top"/>
          </w:tcPr>
          <w:p w:rsidR="00AF6FBB" w:rsidRPr="00AF6FBB" w:rsidRDefault="00AF6FBB" w:rsidP="00AF6FBB">
            <w:pPr>
              <w:cnfStyle w:val="000000010000" w:firstRow="0" w:lastRow="0" w:firstColumn="0" w:lastColumn="0" w:oddVBand="0" w:evenVBand="0" w:oddHBand="0" w:evenHBand="1" w:firstRowFirstColumn="0" w:firstRowLastColumn="0" w:lastRowFirstColumn="0" w:lastRowLastColumn="0"/>
            </w:pPr>
            <w:r w:rsidRPr="000C7BEC">
              <w:t>1.0</w:t>
            </w:r>
          </w:p>
        </w:tc>
      </w:tr>
      <w:tr w:rsidR="00AF6FBB" w:rsidTr="00AF6FBB">
        <w:tc>
          <w:tcPr>
            <w:cnfStyle w:val="001000000000" w:firstRow="0" w:lastRow="0" w:firstColumn="1" w:lastColumn="0" w:oddVBand="0" w:evenVBand="0" w:oddHBand="0" w:evenHBand="0" w:firstRowFirstColumn="0" w:firstRowLastColumn="0" w:lastRowFirstColumn="0" w:lastRowLastColumn="0"/>
            <w:tcW w:w="1282" w:type="dxa"/>
          </w:tcPr>
          <w:p w:rsidR="00AF6FBB" w:rsidRPr="00AF6FBB" w:rsidRDefault="00AF6FBB" w:rsidP="00AF6FBB">
            <w:r w:rsidRPr="000C7BEC">
              <w:t>21</w:t>
            </w:r>
          </w:p>
        </w:tc>
        <w:tc>
          <w:tcPr>
            <w:tcW w:w="1496" w:type="dxa"/>
            <w:vAlign w:val="top"/>
          </w:tcPr>
          <w:p w:rsidR="00AF6FBB" w:rsidRPr="00AF6FBB" w:rsidRDefault="00AF6FBB" w:rsidP="00AF6FBB">
            <w:pPr>
              <w:cnfStyle w:val="000000000000" w:firstRow="0" w:lastRow="0" w:firstColumn="0" w:lastColumn="0" w:oddVBand="0" w:evenVBand="0" w:oddHBand="0" w:evenHBand="0" w:firstRowFirstColumn="0" w:firstRowLastColumn="0" w:lastRowFirstColumn="0" w:lastRowLastColumn="0"/>
            </w:pPr>
            <w:r w:rsidRPr="000C7BEC">
              <w:t>9.2</w:t>
            </w:r>
          </w:p>
        </w:tc>
        <w:tc>
          <w:tcPr>
            <w:tcW w:w="1526" w:type="dxa"/>
            <w:vAlign w:val="top"/>
          </w:tcPr>
          <w:p w:rsidR="00AF6FBB" w:rsidRPr="00AF6FBB" w:rsidRDefault="00AF6FBB" w:rsidP="00AF6FBB">
            <w:pPr>
              <w:cnfStyle w:val="000000000000" w:firstRow="0" w:lastRow="0" w:firstColumn="0" w:lastColumn="0" w:oddVBand="0" w:evenVBand="0" w:oddHBand="0" w:evenHBand="0" w:firstRowFirstColumn="0" w:firstRowLastColumn="0" w:lastRowFirstColumn="0" w:lastRowLastColumn="0"/>
            </w:pPr>
            <w:r w:rsidRPr="000C7BEC">
              <w:t>6.0</w:t>
            </w:r>
          </w:p>
        </w:tc>
        <w:tc>
          <w:tcPr>
            <w:tcW w:w="232" w:type="dxa"/>
          </w:tcPr>
          <w:p w:rsidR="00AF6FBB" w:rsidRPr="000C7BEC" w:rsidRDefault="00AF6FBB" w:rsidP="00AF6FBB">
            <w:pPr>
              <w:cnfStyle w:val="000000000000" w:firstRow="0" w:lastRow="0" w:firstColumn="0" w:lastColumn="0" w:oddVBand="0" w:evenVBand="0" w:oddHBand="0" w:evenHBand="0" w:firstRowFirstColumn="0" w:firstRowLastColumn="0" w:lastRowFirstColumn="0" w:lastRowLastColumn="0"/>
            </w:pPr>
          </w:p>
        </w:tc>
        <w:tc>
          <w:tcPr>
            <w:tcW w:w="1951" w:type="dxa"/>
            <w:vAlign w:val="top"/>
          </w:tcPr>
          <w:p w:rsidR="00AF6FBB" w:rsidRPr="00AF6FBB" w:rsidRDefault="00AF6FBB" w:rsidP="00AF6FBB">
            <w:pPr>
              <w:cnfStyle w:val="000000000000" w:firstRow="0" w:lastRow="0" w:firstColumn="0" w:lastColumn="0" w:oddVBand="0" w:evenVBand="0" w:oddHBand="0" w:evenHBand="0" w:firstRowFirstColumn="0" w:firstRowLastColumn="0" w:lastRowFirstColumn="0" w:lastRowLastColumn="0"/>
            </w:pPr>
            <w:r w:rsidRPr="000C7BEC">
              <w:t>1.2</w:t>
            </w:r>
          </w:p>
        </w:tc>
        <w:tc>
          <w:tcPr>
            <w:tcW w:w="2206" w:type="dxa"/>
            <w:vAlign w:val="top"/>
          </w:tcPr>
          <w:p w:rsidR="00AF6FBB" w:rsidRPr="00AF6FBB" w:rsidRDefault="00AF6FBB" w:rsidP="00AF6FBB">
            <w:pPr>
              <w:cnfStyle w:val="000000000000" w:firstRow="0" w:lastRow="0" w:firstColumn="0" w:lastColumn="0" w:oddVBand="0" w:evenVBand="0" w:oddHBand="0" w:evenHBand="0" w:firstRowFirstColumn="0" w:firstRowLastColumn="0" w:lastRowFirstColumn="0" w:lastRowLastColumn="0"/>
            </w:pPr>
            <w:r w:rsidRPr="000C7BEC">
              <w:t>0.8</w:t>
            </w:r>
          </w:p>
        </w:tc>
      </w:tr>
      <w:tr w:rsidR="00AF6FBB" w:rsidTr="00AF6F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2" w:type="dxa"/>
          </w:tcPr>
          <w:p w:rsidR="00AF6FBB" w:rsidRPr="00AF6FBB" w:rsidRDefault="00AF6FBB" w:rsidP="00AF6FBB">
            <w:r w:rsidRPr="000C7BEC">
              <w:t>22</w:t>
            </w:r>
          </w:p>
        </w:tc>
        <w:tc>
          <w:tcPr>
            <w:tcW w:w="1496" w:type="dxa"/>
            <w:vAlign w:val="top"/>
          </w:tcPr>
          <w:p w:rsidR="00AF6FBB" w:rsidRPr="00AF6FBB" w:rsidRDefault="00AF6FBB" w:rsidP="00AF6FBB">
            <w:pPr>
              <w:cnfStyle w:val="000000010000" w:firstRow="0" w:lastRow="0" w:firstColumn="0" w:lastColumn="0" w:oddVBand="0" w:evenVBand="0" w:oddHBand="0" w:evenHBand="1" w:firstRowFirstColumn="0" w:firstRowLastColumn="0" w:lastRowFirstColumn="0" w:lastRowLastColumn="0"/>
            </w:pPr>
            <w:r w:rsidRPr="000C7BEC">
              <w:t>8.9</w:t>
            </w:r>
          </w:p>
        </w:tc>
        <w:tc>
          <w:tcPr>
            <w:tcW w:w="1526" w:type="dxa"/>
            <w:vAlign w:val="top"/>
          </w:tcPr>
          <w:p w:rsidR="00AF6FBB" w:rsidRPr="00AF6FBB" w:rsidRDefault="00AF6FBB" w:rsidP="00AF6FBB">
            <w:pPr>
              <w:cnfStyle w:val="000000010000" w:firstRow="0" w:lastRow="0" w:firstColumn="0" w:lastColumn="0" w:oddVBand="0" w:evenVBand="0" w:oddHBand="0" w:evenHBand="1" w:firstRowFirstColumn="0" w:firstRowLastColumn="0" w:lastRowFirstColumn="0" w:lastRowLastColumn="0"/>
            </w:pPr>
            <w:r w:rsidRPr="000C7BEC">
              <w:t>5.6</w:t>
            </w:r>
          </w:p>
        </w:tc>
        <w:tc>
          <w:tcPr>
            <w:tcW w:w="232" w:type="dxa"/>
          </w:tcPr>
          <w:p w:rsidR="00AF6FBB" w:rsidRPr="000C7BEC" w:rsidRDefault="00AF6FBB" w:rsidP="00AF6FBB">
            <w:pPr>
              <w:cnfStyle w:val="000000010000" w:firstRow="0" w:lastRow="0" w:firstColumn="0" w:lastColumn="0" w:oddVBand="0" w:evenVBand="0" w:oddHBand="0" w:evenHBand="1" w:firstRowFirstColumn="0" w:firstRowLastColumn="0" w:lastRowFirstColumn="0" w:lastRowLastColumn="0"/>
            </w:pPr>
          </w:p>
        </w:tc>
        <w:tc>
          <w:tcPr>
            <w:tcW w:w="1951" w:type="dxa"/>
            <w:vAlign w:val="top"/>
          </w:tcPr>
          <w:p w:rsidR="00AF6FBB" w:rsidRPr="00AF6FBB" w:rsidRDefault="00AF6FBB" w:rsidP="00AF6FBB">
            <w:pPr>
              <w:cnfStyle w:val="000000010000" w:firstRow="0" w:lastRow="0" w:firstColumn="0" w:lastColumn="0" w:oddVBand="0" w:evenVBand="0" w:oddHBand="0" w:evenHBand="1" w:firstRowFirstColumn="0" w:firstRowLastColumn="0" w:lastRowFirstColumn="0" w:lastRowLastColumn="0"/>
            </w:pPr>
            <w:r w:rsidRPr="000C7BEC">
              <w:t>1.1</w:t>
            </w:r>
          </w:p>
        </w:tc>
        <w:tc>
          <w:tcPr>
            <w:tcW w:w="2206" w:type="dxa"/>
            <w:vAlign w:val="top"/>
          </w:tcPr>
          <w:p w:rsidR="00AF6FBB" w:rsidRPr="00AF6FBB" w:rsidRDefault="00AF6FBB" w:rsidP="00AF6FBB">
            <w:pPr>
              <w:cnfStyle w:val="000000010000" w:firstRow="0" w:lastRow="0" w:firstColumn="0" w:lastColumn="0" w:oddVBand="0" w:evenVBand="0" w:oddHBand="0" w:evenHBand="1" w:firstRowFirstColumn="0" w:firstRowLastColumn="0" w:lastRowFirstColumn="0" w:lastRowLastColumn="0"/>
            </w:pPr>
            <w:r w:rsidRPr="000C7BEC">
              <w:t>0.7</w:t>
            </w:r>
          </w:p>
        </w:tc>
      </w:tr>
      <w:tr w:rsidR="00AF6FBB" w:rsidTr="00AF6FBB">
        <w:tc>
          <w:tcPr>
            <w:cnfStyle w:val="001000000000" w:firstRow="0" w:lastRow="0" w:firstColumn="1" w:lastColumn="0" w:oddVBand="0" w:evenVBand="0" w:oddHBand="0" w:evenHBand="0" w:firstRowFirstColumn="0" w:firstRowLastColumn="0" w:lastRowFirstColumn="0" w:lastRowLastColumn="0"/>
            <w:tcW w:w="1282" w:type="dxa"/>
          </w:tcPr>
          <w:p w:rsidR="00AF6FBB" w:rsidRPr="00AF6FBB" w:rsidRDefault="00AF6FBB" w:rsidP="00AF6FBB">
            <w:r w:rsidRPr="000C7BEC">
              <w:t>23</w:t>
            </w:r>
          </w:p>
        </w:tc>
        <w:tc>
          <w:tcPr>
            <w:tcW w:w="1496" w:type="dxa"/>
            <w:vAlign w:val="top"/>
          </w:tcPr>
          <w:p w:rsidR="00AF6FBB" w:rsidRPr="00AF6FBB" w:rsidRDefault="00AF6FBB" w:rsidP="00AF6FBB">
            <w:pPr>
              <w:cnfStyle w:val="000000000000" w:firstRow="0" w:lastRow="0" w:firstColumn="0" w:lastColumn="0" w:oddVBand="0" w:evenVBand="0" w:oddHBand="0" w:evenHBand="0" w:firstRowFirstColumn="0" w:firstRowLastColumn="0" w:lastRowFirstColumn="0" w:lastRowLastColumn="0"/>
            </w:pPr>
            <w:r w:rsidRPr="000C7BEC">
              <w:t>8.6</w:t>
            </w:r>
          </w:p>
        </w:tc>
        <w:tc>
          <w:tcPr>
            <w:tcW w:w="1526" w:type="dxa"/>
            <w:vAlign w:val="top"/>
          </w:tcPr>
          <w:p w:rsidR="00AF6FBB" w:rsidRPr="00AF6FBB" w:rsidRDefault="00AF6FBB" w:rsidP="00AF6FBB">
            <w:pPr>
              <w:cnfStyle w:val="000000000000" w:firstRow="0" w:lastRow="0" w:firstColumn="0" w:lastColumn="0" w:oddVBand="0" w:evenVBand="0" w:oddHBand="0" w:evenHBand="0" w:firstRowFirstColumn="0" w:firstRowLastColumn="0" w:lastRowFirstColumn="0" w:lastRowLastColumn="0"/>
            </w:pPr>
            <w:r w:rsidRPr="000C7BEC">
              <w:t>5.2</w:t>
            </w:r>
          </w:p>
        </w:tc>
        <w:tc>
          <w:tcPr>
            <w:tcW w:w="232" w:type="dxa"/>
          </w:tcPr>
          <w:p w:rsidR="00AF6FBB" w:rsidRPr="000C7BEC" w:rsidRDefault="00AF6FBB" w:rsidP="00AF6FBB">
            <w:pPr>
              <w:cnfStyle w:val="000000000000" w:firstRow="0" w:lastRow="0" w:firstColumn="0" w:lastColumn="0" w:oddVBand="0" w:evenVBand="0" w:oddHBand="0" w:evenHBand="0" w:firstRowFirstColumn="0" w:firstRowLastColumn="0" w:lastRowFirstColumn="0" w:lastRowLastColumn="0"/>
            </w:pPr>
          </w:p>
        </w:tc>
        <w:tc>
          <w:tcPr>
            <w:tcW w:w="1951" w:type="dxa"/>
            <w:vAlign w:val="top"/>
          </w:tcPr>
          <w:p w:rsidR="00AF6FBB" w:rsidRPr="00AF6FBB" w:rsidRDefault="00AF6FBB" w:rsidP="00AF6FBB">
            <w:pPr>
              <w:cnfStyle w:val="000000000000" w:firstRow="0" w:lastRow="0" w:firstColumn="0" w:lastColumn="0" w:oddVBand="0" w:evenVBand="0" w:oddHBand="0" w:evenHBand="0" w:firstRowFirstColumn="0" w:firstRowLastColumn="0" w:lastRowFirstColumn="0" w:lastRowLastColumn="0"/>
            </w:pPr>
            <w:r w:rsidRPr="000C7BEC">
              <w:t>1.0</w:t>
            </w:r>
          </w:p>
        </w:tc>
        <w:tc>
          <w:tcPr>
            <w:tcW w:w="2206" w:type="dxa"/>
            <w:vAlign w:val="top"/>
          </w:tcPr>
          <w:p w:rsidR="00AF6FBB" w:rsidRPr="00AF6FBB" w:rsidRDefault="00AF6FBB" w:rsidP="00AF6FBB">
            <w:pPr>
              <w:cnfStyle w:val="000000000000" w:firstRow="0" w:lastRow="0" w:firstColumn="0" w:lastColumn="0" w:oddVBand="0" w:evenVBand="0" w:oddHBand="0" w:evenHBand="0" w:firstRowFirstColumn="0" w:firstRowLastColumn="0" w:lastRowFirstColumn="0" w:lastRowLastColumn="0"/>
            </w:pPr>
            <w:r w:rsidRPr="000C7BEC">
              <w:t>0.6</w:t>
            </w:r>
          </w:p>
        </w:tc>
      </w:tr>
      <w:tr w:rsidR="00AF6FBB" w:rsidTr="00AF6F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2" w:type="dxa"/>
          </w:tcPr>
          <w:p w:rsidR="00AF6FBB" w:rsidRPr="00AF6FBB" w:rsidRDefault="00AF6FBB" w:rsidP="00AF6FBB">
            <w:r w:rsidRPr="000C7BEC">
              <w:t>24</w:t>
            </w:r>
          </w:p>
        </w:tc>
        <w:tc>
          <w:tcPr>
            <w:tcW w:w="1496" w:type="dxa"/>
            <w:vAlign w:val="top"/>
          </w:tcPr>
          <w:p w:rsidR="00AF6FBB" w:rsidRPr="00AF6FBB" w:rsidRDefault="00AF6FBB" w:rsidP="00AF6FBB">
            <w:pPr>
              <w:cnfStyle w:val="000000010000" w:firstRow="0" w:lastRow="0" w:firstColumn="0" w:lastColumn="0" w:oddVBand="0" w:evenVBand="0" w:oddHBand="0" w:evenHBand="1" w:firstRowFirstColumn="0" w:firstRowLastColumn="0" w:lastRowFirstColumn="0" w:lastRowLastColumn="0"/>
            </w:pPr>
            <w:r w:rsidRPr="000C7BEC">
              <w:t>8.3</w:t>
            </w:r>
          </w:p>
        </w:tc>
        <w:tc>
          <w:tcPr>
            <w:tcW w:w="1526" w:type="dxa"/>
            <w:vAlign w:val="top"/>
          </w:tcPr>
          <w:p w:rsidR="00AF6FBB" w:rsidRPr="00AF6FBB" w:rsidRDefault="00AF6FBB" w:rsidP="00AF6FBB">
            <w:pPr>
              <w:cnfStyle w:val="000000010000" w:firstRow="0" w:lastRow="0" w:firstColumn="0" w:lastColumn="0" w:oddVBand="0" w:evenVBand="0" w:oddHBand="0" w:evenHBand="1" w:firstRowFirstColumn="0" w:firstRowLastColumn="0" w:lastRowFirstColumn="0" w:lastRowLastColumn="0"/>
            </w:pPr>
            <w:r w:rsidRPr="000C7BEC">
              <w:t>4.8</w:t>
            </w:r>
          </w:p>
        </w:tc>
        <w:tc>
          <w:tcPr>
            <w:tcW w:w="232" w:type="dxa"/>
          </w:tcPr>
          <w:p w:rsidR="00AF6FBB" w:rsidRPr="000C7BEC" w:rsidRDefault="00AF6FBB" w:rsidP="00AF6FBB">
            <w:pPr>
              <w:cnfStyle w:val="000000010000" w:firstRow="0" w:lastRow="0" w:firstColumn="0" w:lastColumn="0" w:oddVBand="0" w:evenVBand="0" w:oddHBand="0" w:evenHBand="1" w:firstRowFirstColumn="0" w:firstRowLastColumn="0" w:lastRowFirstColumn="0" w:lastRowLastColumn="0"/>
            </w:pPr>
          </w:p>
        </w:tc>
        <w:tc>
          <w:tcPr>
            <w:tcW w:w="1951" w:type="dxa"/>
            <w:vAlign w:val="top"/>
          </w:tcPr>
          <w:p w:rsidR="00AF6FBB" w:rsidRPr="00AF6FBB" w:rsidRDefault="00AF6FBB" w:rsidP="00AF6FBB">
            <w:pPr>
              <w:cnfStyle w:val="000000010000" w:firstRow="0" w:lastRow="0" w:firstColumn="0" w:lastColumn="0" w:oddVBand="0" w:evenVBand="0" w:oddHBand="0" w:evenHBand="1" w:firstRowFirstColumn="0" w:firstRowLastColumn="0" w:lastRowFirstColumn="0" w:lastRowLastColumn="0"/>
            </w:pPr>
            <w:r w:rsidRPr="000C7BEC">
              <w:t>0.8</w:t>
            </w:r>
          </w:p>
        </w:tc>
        <w:tc>
          <w:tcPr>
            <w:tcW w:w="2206" w:type="dxa"/>
            <w:vAlign w:val="top"/>
          </w:tcPr>
          <w:p w:rsidR="00AF6FBB" w:rsidRPr="00AF6FBB" w:rsidRDefault="00AF6FBB" w:rsidP="00AF6FBB">
            <w:pPr>
              <w:cnfStyle w:val="000000010000" w:firstRow="0" w:lastRow="0" w:firstColumn="0" w:lastColumn="0" w:oddVBand="0" w:evenVBand="0" w:oddHBand="0" w:evenHBand="1" w:firstRowFirstColumn="0" w:firstRowLastColumn="0" w:lastRowFirstColumn="0" w:lastRowLastColumn="0"/>
            </w:pPr>
            <w:r w:rsidRPr="000C7BEC">
              <w:t>0.5</w:t>
            </w:r>
          </w:p>
        </w:tc>
      </w:tr>
      <w:tr w:rsidR="00AF6FBB" w:rsidTr="00AF6FBB">
        <w:tc>
          <w:tcPr>
            <w:cnfStyle w:val="001000000000" w:firstRow="0" w:lastRow="0" w:firstColumn="1" w:lastColumn="0" w:oddVBand="0" w:evenVBand="0" w:oddHBand="0" w:evenHBand="0" w:firstRowFirstColumn="0" w:firstRowLastColumn="0" w:lastRowFirstColumn="0" w:lastRowLastColumn="0"/>
            <w:tcW w:w="1282" w:type="dxa"/>
          </w:tcPr>
          <w:p w:rsidR="00AF6FBB" w:rsidRPr="00AF6FBB" w:rsidRDefault="00AF6FBB" w:rsidP="00AF6FBB">
            <w:r w:rsidRPr="000C7BEC">
              <w:t>25</w:t>
            </w:r>
          </w:p>
        </w:tc>
        <w:tc>
          <w:tcPr>
            <w:tcW w:w="1496" w:type="dxa"/>
            <w:vAlign w:val="top"/>
          </w:tcPr>
          <w:p w:rsidR="00AF6FBB" w:rsidRPr="00AF6FBB" w:rsidRDefault="00AF6FBB" w:rsidP="00AF6FBB">
            <w:pPr>
              <w:cnfStyle w:val="000000000000" w:firstRow="0" w:lastRow="0" w:firstColumn="0" w:lastColumn="0" w:oddVBand="0" w:evenVBand="0" w:oddHBand="0" w:evenHBand="0" w:firstRowFirstColumn="0" w:firstRowLastColumn="0" w:lastRowFirstColumn="0" w:lastRowLastColumn="0"/>
            </w:pPr>
            <w:r w:rsidRPr="000C7BEC">
              <w:t>8.0</w:t>
            </w:r>
          </w:p>
        </w:tc>
        <w:tc>
          <w:tcPr>
            <w:tcW w:w="1526" w:type="dxa"/>
            <w:vAlign w:val="top"/>
          </w:tcPr>
          <w:p w:rsidR="00AF6FBB" w:rsidRPr="00AF6FBB" w:rsidRDefault="00AF6FBB" w:rsidP="00AF6FBB">
            <w:pPr>
              <w:cnfStyle w:val="000000000000" w:firstRow="0" w:lastRow="0" w:firstColumn="0" w:lastColumn="0" w:oddVBand="0" w:evenVBand="0" w:oddHBand="0" w:evenHBand="0" w:firstRowFirstColumn="0" w:firstRowLastColumn="0" w:lastRowFirstColumn="0" w:lastRowLastColumn="0"/>
            </w:pPr>
            <w:r w:rsidRPr="000C7BEC">
              <w:t>4.4</w:t>
            </w:r>
          </w:p>
        </w:tc>
        <w:tc>
          <w:tcPr>
            <w:tcW w:w="232" w:type="dxa"/>
          </w:tcPr>
          <w:p w:rsidR="00AF6FBB" w:rsidRPr="000C7BEC" w:rsidRDefault="00AF6FBB" w:rsidP="00AF6FBB">
            <w:pPr>
              <w:cnfStyle w:val="000000000000" w:firstRow="0" w:lastRow="0" w:firstColumn="0" w:lastColumn="0" w:oddVBand="0" w:evenVBand="0" w:oddHBand="0" w:evenHBand="0" w:firstRowFirstColumn="0" w:firstRowLastColumn="0" w:lastRowFirstColumn="0" w:lastRowLastColumn="0"/>
            </w:pPr>
          </w:p>
        </w:tc>
        <w:tc>
          <w:tcPr>
            <w:tcW w:w="1951" w:type="dxa"/>
            <w:vAlign w:val="top"/>
          </w:tcPr>
          <w:p w:rsidR="00AF6FBB" w:rsidRPr="00AF6FBB" w:rsidRDefault="00AF6FBB" w:rsidP="00AF6FBB">
            <w:pPr>
              <w:cnfStyle w:val="000000000000" w:firstRow="0" w:lastRow="0" w:firstColumn="0" w:lastColumn="0" w:oddVBand="0" w:evenVBand="0" w:oddHBand="0" w:evenHBand="0" w:firstRowFirstColumn="0" w:firstRowLastColumn="0" w:lastRowFirstColumn="0" w:lastRowLastColumn="0"/>
            </w:pPr>
            <w:r w:rsidRPr="000C7BEC">
              <w:t>0.7</w:t>
            </w:r>
          </w:p>
        </w:tc>
        <w:tc>
          <w:tcPr>
            <w:tcW w:w="2206" w:type="dxa"/>
            <w:vAlign w:val="top"/>
          </w:tcPr>
          <w:p w:rsidR="00AF6FBB" w:rsidRPr="00AF6FBB" w:rsidRDefault="00AF6FBB" w:rsidP="00AF6FBB">
            <w:pPr>
              <w:cnfStyle w:val="000000000000" w:firstRow="0" w:lastRow="0" w:firstColumn="0" w:lastColumn="0" w:oddVBand="0" w:evenVBand="0" w:oddHBand="0" w:evenHBand="0" w:firstRowFirstColumn="0" w:firstRowLastColumn="0" w:lastRowFirstColumn="0" w:lastRowLastColumn="0"/>
            </w:pPr>
            <w:r w:rsidRPr="000C7BEC">
              <w:t>0.4</w:t>
            </w:r>
          </w:p>
        </w:tc>
      </w:tr>
      <w:tr w:rsidR="00AF6FBB" w:rsidTr="00AF6F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2" w:type="dxa"/>
          </w:tcPr>
          <w:p w:rsidR="00AF6FBB" w:rsidRPr="00AF6FBB" w:rsidRDefault="00AF6FBB" w:rsidP="00AF6FBB">
            <w:pPr>
              <w:rPr>
                <w:rStyle w:val="Strong"/>
              </w:rPr>
            </w:pPr>
            <w:r w:rsidRPr="000C7BEC">
              <w:rPr>
                <w:rStyle w:val="Strong"/>
              </w:rPr>
              <w:t>Total</w:t>
            </w:r>
          </w:p>
        </w:tc>
        <w:tc>
          <w:tcPr>
            <w:tcW w:w="1496" w:type="dxa"/>
            <w:vAlign w:val="top"/>
          </w:tcPr>
          <w:p w:rsidR="00AF6FBB" w:rsidRPr="00AF6FBB" w:rsidRDefault="00AF6FBB" w:rsidP="00AF6FBB">
            <w:pPr>
              <w:cnfStyle w:val="000000010000" w:firstRow="0" w:lastRow="0" w:firstColumn="0" w:lastColumn="0" w:oddVBand="0" w:evenVBand="0" w:oddHBand="0" w:evenHBand="1" w:firstRowFirstColumn="0" w:firstRowLastColumn="0" w:lastRowFirstColumn="0" w:lastRowLastColumn="0"/>
            </w:pPr>
            <w:r w:rsidRPr="000C7BEC">
              <w:t>260.2</w:t>
            </w:r>
          </w:p>
        </w:tc>
        <w:tc>
          <w:tcPr>
            <w:tcW w:w="1526" w:type="dxa"/>
            <w:vAlign w:val="top"/>
          </w:tcPr>
          <w:p w:rsidR="00AF6FBB" w:rsidRPr="00AF6FBB" w:rsidRDefault="00AF6FBB" w:rsidP="00AF6FBB">
            <w:pPr>
              <w:cnfStyle w:val="000000010000" w:firstRow="0" w:lastRow="0" w:firstColumn="0" w:lastColumn="0" w:oddVBand="0" w:evenVBand="0" w:oddHBand="0" w:evenHBand="1" w:firstRowFirstColumn="0" w:firstRowLastColumn="0" w:lastRowFirstColumn="0" w:lastRowLastColumn="0"/>
            </w:pPr>
            <w:r w:rsidRPr="000C7BEC">
              <w:t>230.0</w:t>
            </w:r>
          </w:p>
        </w:tc>
        <w:tc>
          <w:tcPr>
            <w:tcW w:w="232" w:type="dxa"/>
          </w:tcPr>
          <w:p w:rsidR="00AF6FBB" w:rsidRPr="000C7BEC" w:rsidRDefault="00AF6FBB" w:rsidP="00AF6FBB">
            <w:pPr>
              <w:cnfStyle w:val="000000010000" w:firstRow="0" w:lastRow="0" w:firstColumn="0" w:lastColumn="0" w:oddVBand="0" w:evenVBand="0" w:oddHBand="0" w:evenHBand="1" w:firstRowFirstColumn="0" w:firstRowLastColumn="0" w:lastRowFirstColumn="0" w:lastRowLastColumn="0"/>
              <w:rPr>
                <w:rStyle w:val="Strong"/>
              </w:rPr>
            </w:pPr>
          </w:p>
        </w:tc>
        <w:tc>
          <w:tcPr>
            <w:tcW w:w="1951" w:type="dxa"/>
            <w:vAlign w:val="top"/>
          </w:tcPr>
          <w:p w:rsidR="00AF6FBB" w:rsidRPr="00AF6FBB" w:rsidRDefault="00AF6FBB" w:rsidP="00AF6FBB">
            <w:pPr>
              <w:cnfStyle w:val="000000010000" w:firstRow="0" w:lastRow="0" w:firstColumn="0" w:lastColumn="0" w:oddVBand="0" w:evenVBand="0" w:oddHBand="0" w:evenHBand="1" w:firstRowFirstColumn="0" w:firstRowLastColumn="0" w:lastRowFirstColumn="0" w:lastRowLastColumn="0"/>
            </w:pPr>
            <w:r w:rsidRPr="000C7BEC">
              <w:t>100.0</w:t>
            </w:r>
          </w:p>
        </w:tc>
        <w:tc>
          <w:tcPr>
            <w:tcW w:w="2206" w:type="dxa"/>
            <w:vAlign w:val="top"/>
          </w:tcPr>
          <w:p w:rsidR="00AF6FBB" w:rsidRPr="00AF6FBB" w:rsidRDefault="00AF6FBB" w:rsidP="00AF6FBB">
            <w:pPr>
              <w:cnfStyle w:val="000000010000" w:firstRow="0" w:lastRow="0" w:firstColumn="0" w:lastColumn="0" w:oddVBand="0" w:evenVBand="0" w:oddHBand="0" w:evenHBand="1" w:firstRowFirstColumn="0" w:firstRowLastColumn="0" w:lastRowFirstColumn="0" w:lastRowLastColumn="0"/>
            </w:pPr>
            <w:r w:rsidRPr="000C7BEC">
              <w:t>100.0</w:t>
            </w:r>
          </w:p>
        </w:tc>
      </w:tr>
    </w:tbl>
    <w:p w:rsidR="00AF6FBB" w:rsidRDefault="00AF6FBB" w:rsidP="00AF6FBB">
      <w:pPr>
        <w:pStyle w:val="AERtablesource"/>
      </w:pPr>
      <w:r>
        <w:t>Source:</w:t>
      </w:r>
      <w:r>
        <w:tab/>
        <w:t>AER analysis.</w:t>
      </w:r>
    </w:p>
    <w:p w:rsidR="00AF6FBB" w:rsidRDefault="00AF6FBB" w:rsidP="00AF6FBB">
      <w:r>
        <w:lastRenderedPageBreak/>
        <w:t xml:space="preserve">To consider this point in practice, </w:t>
      </w:r>
      <w:r>
        <w:fldChar w:fldCharType="begin"/>
      </w:r>
      <w:r>
        <w:instrText xml:space="preserve"> REF _Ref460593273 \h </w:instrText>
      </w:r>
      <w:r>
        <w:fldChar w:fldCharType="separate"/>
      </w:r>
      <w:r w:rsidR="003179F2">
        <w:t>Table 2.</w:t>
      </w:r>
      <w:r w:rsidR="003179F2">
        <w:rPr>
          <w:noProof/>
        </w:rPr>
        <w:t>6</w:t>
      </w:r>
      <w:r>
        <w:fldChar w:fldCharType="end"/>
      </w:r>
      <w:r>
        <w:t xml:space="preserve"> shows the total building block revenue for Powerlink's 2012–17 final decision if we had ceased indexing the RAB at the beginning of the regulatory control period.</w:t>
      </w:r>
    </w:p>
    <w:p w:rsidR="00AF6FBB" w:rsidRDefault="00AF6FBB" w:rsidP="00AF6FBB">
      <w:pPr>
        <w:pStyle w:val="Caption"/>
      </w:pPr>
      <w:bookmarkStart w:id="117" w:name="_Ref460593273"/>
      <w:r>
        <w:t xml:space="preserve">Table </w:t>
      </w:r>
      <w:r w:rsidR="00E75663">
        <w:fldChar w:fldCharType="begin"/>
      </w:r>
      <w:r w:rsidR="00E75663">
        <w:instrText xml:space="preserve"> REF _Ref462055983 \r \h </w:instrText>
      </w:r>
      <w:r w:rsidR="00E75663">
        <w:fldChar w:fldCharType="separate"/>
      </w:r>
      <w:r w:rsidR="003179F2">
        <w:t>2</w:t>
      </w:r>
      <w:r w:rsidR="00E75663">
        <w:fldChar w:fldCharType="end"/>
      </w:r>
      <w:r w:rsidR="00E75663">
        <w:t>.</w:t>
      </w:r>
      <w:r w:rsidRPr="00AF6FBB">
        <w:fldChar w:fldCharType="begin"/>
      </w:r>
      <w:r>
        <w:instrText xml:space="preserve"> SEQ Table \* ARABIC </w:instrText>
      </w:r>
      <w:r w:rsidRPr="00AF6FBB">
        <w:fldChar w:fldCharType="separate"/>
      </w:r>
      <w:r w:rsidR="003179F2">
        <w:rPr>
          <w:noProof/>
        </w:rPr>
        <w:t>6</w:t>
      </w:r>
      <w:r w:rsidRPr="00AF6FBB">
        <w:fldChar w:fldCharType="end"/>
      </w:r>
      <w:bookmarkEnd w:id="117"/>
      <w:r>
        <w:tab/>
        <w:t>Comparison of building block revenue for Powerlink against a zero CPI approach</w:t>
      </w:r>
      <w:r w:rsidR="00796F23">
        <w:t xml:space="preserve"> ($ million, nominal)</w:t>
      </w:r>
    </w:p>
    <w:tbl>
      <w:tblPr>
        <w:tblStyle w:val="AERtable-numbers"/>
        <w:tblW w:w="5000" w:type="pct"/>
        <w:tblLook w:val="04A0" w:firstRow="1" w:lastRow="0" w:firstColumn="1" w:lastColumn="0" w:noHBand="0" w:noVBand="1"/>
      </w:tblPr>
      <w:tblGrid>
        <w:gridCol w:w="3038"/>
        <w:gridCol w:w="2891"/>
        <w:gridCol w:w="2764"/>
      </w:tblGrid>
      <w:tr w:rsidR="00AF6FBB" w:rsidTr="00AF6F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7" w:type="pct"/>
          </w:tcPr>
          <w:p w:rsidR="00AF6FBB" w:rsidRPr="00F7043A" w:rsidRDefault="00AF6FBB" w:rsidP="00AF6FBB"/>
        </w:tc>
        <w:tc>
          <w:tcPr>
            <w:tcW w:w="1663" w:type="pct"/>
          </w:tcPr>
          <w:p w:rsidR="00AF6FBB" w:rsidRPr="00AF6FBB" w:rsidRDefault="00AF6FBB" w:rsidP="00AF6FBB">
            <w:pPr>
              <w:cnfStyle w:val="100000000000" w:firstRow="1" w:lastRow="0" w:firstColumn="0" w:lastColumn="0" w:oddVBand="0" w:evenVBand="0" w:oddHBand="0" w:evenHBand="0" w:firstRowFirstColumn="0" w:firstRowLastColumn="0" w:lastRowFirstColumn="0" w:lastRowLastColumn="0"/>
            </w:pPr>
            <w:r>
              <w:t>AER final decision</w:t>
            </w:r>
          </w:p>
        </w:tc>
        <w:tc>
          <w:tcPr>
            <w:tcW w:w="1590" w:type="pct"/>
          </w:tcPr>
          <w:p w:rsidR="00AF6FBB" w:rsidRPr="00AF6FBB" w:rsidRDefault="00AF6FBB" w:rsidP="00AF6FBB">
            <w:pPr>
              <w:cnfStyle w:val="100000000000" w:firstRow="1" w:lastRow="0" w:firstColumn="0" w:lastColumn="0" w:oddVBand="0" w:evenVBand="0" w:oddHBand="0" w:evenHBand="0" w:firstRowFirstColumn="0" w:firstRowLastColumn="0" w:lastRowFirstColumn="0" w:lastRowLastColumn="0"/>
            </w:pPr>
            <w:r>
              <w:t>C</w:t>
            </w:r>
            <w:r w:rsidRPr="00AF6FBB">
              <w:t>PI set to 0 per cent</w:t>
            </w:r>
          </w:p>
        </w:tc>
      </w:tr>
      <w:tr w:rsidR="00AF6FBB" w:rsidTr="00AF6FBB">
        <w:tc>
          <w:tcPr>
            <w:cnfStyle w:val="001000000000" w:firstRow="0" w:lastRow="0" w:firstColumn="1" w:lastColumn="0" w:oddVBand="0" w:evenVBand="0" w:oddHBand="0" w:evenHBand="0" w:firstRowFirstColumn="0" w:firstRowLastColumn="0" w:lastRowFirstColumn="0" w:lastRowLastColumn="0"/>
            <w:tcW w:w="1747" w:type="pct"/>
          </w:tcPr>
          <w:p w:rsidR="00AF6FBB" w:rsidRPr="00AF6FBB" w:rsidRDefault="00AF6FBB" w:rsidP="00AF6FBB">
            <w:r w:rsidRPr="00612037">
              <w:t>Return on capital</w:t>
            </w:r>
          </w:p>
        </w:tc>
        <w:tc>
          <w:tcPr>
            <w:tcW w:w="1663" w:type="pct"/>
            <w:vAlign w:val="top"/>
          </w:tcPr>
          <w:p w:rsidR="00AF6FBB" w:rsidRPr="00AF6FBB" w:rsidRDefault="00AF6FBB" w:rsidP="00AF6FBB">
            <w:pPr>
              <w:cnfStyle w:val="000000000000" w:firstRow="0" w:lastRow="0" w:firstColumn="0" w:lastColumn="0" w:oddVBand="0" w:evenVBand="0" w:oddHBand="0" w:evenHBand="0" w:firstRowFirstColumn="0" w:firstRowLastColumn="0" w:lastRowFirstColumn="0" w:lastRowLastColumn="0"/>
            </w:pPr>
            <w:r w:rsidRPr="00612037">
              <w:t>3234</w:t>
            </w:r>
          </w:p>
        </w:tc>
        <w:tc>
          <w:tcPr>
            <w:tcW w:w="1590" w:type="pct"/>
            <w:vAlign w:val="top"/>
          </w:tcPr>
          <w:p w:rsidR="00AF6FBB" w:rsidRPr="00AF6FBB" w:rsidRDefault="00AF6FBB" w:rsidP="00AF6FBB">
            <w:pPr>
              <w:cnfStyle w:val="000000000000" w:firstRow="0" w:lastRow="0" w:firstColumn="0" w:lastColumn="0" w:oddVBand="0" w:evenVBand="0" w:oddHBand="0" w:evenHBand="0" w:firstRowFirstColumn="0" w:firstRowLastColumn="0" w:lastRowFirstColumn="0" w:lastRowLastColumn="0"/>
            </w:pPr>
            <w:r w:rsidRPr="00612037">
              <w:t>30</w:t>
            </w:r>
            <w:r w:rsidRPr="00AF6FBB">
              <w:t>87</w:t>
            </w:r>
          </w:p>
        </w:tc>
      </w:tr>
      <w:tr w:rsidR="00AF6FBB" w:rsidTr="00AF6F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7" w:type="pct"/>
          </w:tcPr>
          <w:p w:rsidR="00AF6FBB" w:rsidRPr="00AF6FBB" w:rsidRDefault="00AF6FBB" w:rsidP="00AF6FBB">
            <w:r w:rsidRPr="00612037">
              <w:t>Return of capital (regulatory depreciation)</w:t>
            </w:r>
          </w:p>
        </w:tc>
        <w:tc>
          <w:tcPr>
            <w:tcW w:w="1663" w:type="pct"/>
            <w:vAlign w:val="top"/>
          </w:tcPr>
          <w:p w:rsidR="00AF6FBB" w:rsidRPr="00AF6FBB" w:rsidRDefault="00AF6FBB" w:rsidP="00AF6FBB">
            <w:pPr>
              <w:cnfStyle w:val="000000010000" w:firstRow="0" w:lastRow="0" w:firstColumn="0" w:lastColumn="0" w:oddVBand="0" w:evenVBand="0" w:oddHBand="0" w:evenHBand="1" w:firstRowFirstColumn="0" w:firstRowLastColumn="0" w:lastRowFirstColumn="0" w:lastRowLastColumn="0"/>
            </w:pPr>
            <w:r w:rsidRPr="00612037">
              <w:t>372</w:t>
            </w:r>
          </w:p>
        </w:tc>
        <w:tc>
          <w:tcPr>
            <w:tcW w:w="1590" w:type="pct"/>
            <w:vAlign w:val="top"/>
          </w:tcPr>
          <w:p w:rsidR="00AF6FBB" w:rsidRPr="00AF6FBB" w:rsidRDefault="00AF6FBB" w:rsidP="00AF6FBB">
            <w:pPr>
              <w:cnfStyle w:val="000000010000" w:firstRow="0" w:lastRow="0" w:firstColumn="0" w:lastColumn="0" w:oddVBand="0" w:evenVBand="0" w:oddHBand="0" w:evenHBand="1" w:firstRowFirstColumn="0" w:firstRowLastColumn="0" w:lastRowFirstColumn="0" w:lastRowLastColumn="0"/>
            </w:pPr>
            <w:r w:rsidRPr="00612037">
              <w:t>124</w:t>
            </w:r>
            <w:r w:rsidRPr="00AF6FBB">
              <w:t>3</w:t>
            </w:r>
          </w:p>
        </w:tc>
      </w:tr>
      <w:tr w:rsidR="00AF6FBB" w:rsidTr="00AF6FBB">
        <w:tc>
          <w:tcPr>
            <w:cnfStyle w:val="001000000000" w:firstRow="0" w:lastRow="0" w:firstColumn="1" w:lastColumn="0" w:oddVBand="0" w:evenVBand="0" w:oddHBand="0" w:evenHBand="0" w:firstRowFirstColumn="0" w:firstRowLastColumn="0" w:lastRowFirstColumn="0" w:lastRowLastColumn="0"/>
            <w:tcW w:w="1747" w:type="pct"/>
          </w:tcPr>
          <w:p w:rsidR="00AF6FBB" w:rsidRPr="00AF6FBB" w:rsidRDefault="00AF6FBB" w:rsidP="00AF6FBB">
            <w:r w:rsidRPr="00612037">
              <w:t>Opex</w:t>
            </w:r>
          </w:p>
        </w:tc>
        <w:tc>
          <w:tcPr>
            <w:tcW w:w="1663" w:type="pct"/>
            <w:vAlign w:val="top"/>
          </w:tcPr>
          <w:p w:rsidR="00AF6FBB" w:rsidRPr="00AF6FBB" w:rsidRDefault="00AF6FBB" w:rsidP="00AF6FBB">
            <w:pPr>
              <w:cnfStyle w:val="000000000000" w:firstRow="0" w:lastRow="0" w:firstColumn="0" w:lastColumn="0" w:oddVBand="0" w:evenVBand="0" w:oddHBand="0" w:evenHBand="0" w:firstRowFirstColumn="0" w:firstRowLastColumn="0" w:lastRowFirstColumn="0" w:lastRowLastColumn="0"/>
            </w:pPr>
            <w:r w:rsidRPr="00612037">
              <w:t>1025</w:t>
            </w:r>
          </w:p>
        </w:tc>
        <w:tc>
          <w:tcPr>
            <w:tcW w:w="1590" w:type="pct"/>
            <w:vAlign w:val="top"/>
          </w:tcPr>
          <w:p w:rsidR="00AF6FBB" w:rsidRPr="00AF6FBB" w:rsidRDefault="00AF6FBB" w:rsidP="00AF6FBB">
            <w:pPr>
              <w:cnfStyle w:val="000000000000" w:firstRow="0" w:lastRow="0" w:firstColumn="0" w:lastColumn="0" w:oddVBand="0" w:evenVBand="0" w:oddHBand="0" w:evenHBand="0" w:firstRowFirstColumn="0" w:firstRowLastColumn="0" w:lastRowFirstColumn="0" w:lastRowLastColumn="0"/>
            </w:pPr>
            <w:r>
              <w:t>1024</w:t>
            </w:r>
          </w:p>
        </w:tc>
      </w:tr>
      <w:tr w:rsidR="00AF6FBB" w:rsidTr="00AF6F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7" w:type="pct"/>
          </w:tcPr>
          <w:p w:rsidR="00AF6FBB" w:rsidRPr="00AF6FBB" w:rsidRDefault="00AF6FBB" w:rsidP="00AF6FBB">
            <w:r w:rsidRPr="00612037">
              <w:t>Efficiency carryove</w:t>
            </w:r>
            <w:r w:rsidRPr="00AF6FBB">
              <w:t>r</w:t>
            </w:r>
          </w:p>
        </w:tc>
        <w:tc>
          <w:tcPr>
            <w:tcW w:w="1663" w:type="pct"/>
            <w:vAlign w:val="top"/>
          </w:tcPr>
          <w:p w:rsidR="00AF6FBB" w:rsidRPr="00AF6FBB" w:rsidRDefault="00AF6FBB" w:rsidP="00AF6FBB">
            <w:pPr>
              <w:cnfStyle w:val="000000010000" w:firstRow="0" w:lastRow="0" w:firstColumn="0" w:lastColumn="0" w:oddVBand="0" w:evenVBand="0" w:oddHBand="0" w:evenHBand="1" w:firstRowFirstColumn="0" w:firstRowLastColumn="0" w:lastRowFirstColumn="0" w:lastRowLastColumn="0"/>
            </w:pPr>
            <w:r w:rsidRPr="00612037">
              <w:t>–4</w:t>
            </w:r>
          </w:p>
        </w:tc>
        <w:tc>
          <w:tcPr>
            <w:tcW w:w="1590" w:type="pct"/>
            <w:vAlign w:val="top"/>
          </w:tcPr>
          <w:p w:rsidR="00AF6FBB" w:rsidRPr="00AF6FBB" w:rsidRDefault="00AF6FBB" w:rsidP="00AF6FBB">
            <w:pPr>
              <w:cnfStyle w:val="000000010000" w:firstRow="0" w:lastRow="0" w:firstColumn="0" w:lastColumn="0" w:oddVBand="0" w:evenVBand="0" w:oddHBand="0" w:evenHBand="1" w:firstRowFirstColumn="0" w:firstRowLastColumn="0" w:lastRowFirstColumn="0" w:lastRowLastColumn="0"/>
            </w:pPr>
            <w:r w:rsidRPr="00612037">
              <w:t>–4</w:t>
            </w:r>
          </w:p>
        </w:tc>
      </w:tr>
      <w:tr w:rsidR="00AF6FBB" w:rsidTr="00AF6FBB">
        <w:tc>
          <w:tcPr>
            <w:cnfStyle w:val="001000000000" w:firstRow="0" w:lastRow="0" w:firstColumn="1" w:lastColumn="0" w:oddVBand="0" w:evenVBand="0" w:oddHBand="0" w:evenHBand="0" w:firstRowFirstColumn="0" w:firstRowLastColumn="0" w:lastRowFirstColumn="0" w:lastRowLastColumn="0"/>
            <w:tcW w:w="1747" w:type="pct"/>
          </w:tcPr>
          <w:p w:rsidR="00AF6FBB" w:rsidRPr="00AF6FBB" w:rsidRDefault="00AF6FBB" w:rsidP="00AF6FBB">
            <w:r w:rsidRPr="00612037">
              <w:t>Tax</w:t>
            </w:r>
          </w:p>
        </w:tc>
        <w:tc>
          <w:tcPr>
            <w:tcW w:w="1663" w:type="pct"/>
            <w:vAlign w:val="top"/>
          </w:tcPr>
          <w:p w:rsidR="00AF6FBB" w:rsidRPr="00AF6FBB" w:rsidRDefault="00AF6FBB" w:rsidP="00AF6FBB">
            <w:pPr>
              <w:cnfStyle w:val="000000000000" w:firstRow="0" w:lastRow="0" w:firstColumn="0" w:lastColumn="0" w:oddVBand="0" w:evenVBand="0" w:oddHBand="0" w:evenHBand="0" w:firstRowFirstColumn="0" w:firstRowLastColumn="0" w:lastRowFirstColumn="0" w:lastRowLastColumn="0"/>
            </w:pPr>
            <w:r w:rsidRPr="00612037">
              <w:t>70</w:t>
            </w:r>
          </w:p>
        </w:tc>
        <w:tc>
          <w:tcPr>
            <w:tcW w:w="1590" w:type="pct"/>
            <w:vAlign w:val="top"/>
          </w:tcPr>
          <w:p w:rsidR="00AF6FBB" w:rsidRPr="00AF6FBB" w:rsidRDefault="00AF6FBB" w:rsidP="00AF6FBB">
            <w:pPr>
              <w:cnfStyle w:val="000000000000" w:firstRow="0" w:lastRow="0" w:firstColumn="0" w:lastColumn="0" w:oddVBand="0" w:evenVBand="0" w:oddHBand="0" w:evenHBand="0" w:firstRowFirstColumn="0" w:firstRowLastColumn="0" w:lastRowFirstColumn="0" w:lastRowLastColumn="0"/>
            </w:pPr>
            <w:r>
              <w:t>164</w:t>
            </w:r>
          </w:p>
        </w:tc>
      </w:tr>
      <w:tr w:rsidR="00AF6FBB" w:rsidTr="00AF6F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7" w:type="pct"/>
          </w:tcPr>
          <w:p w:rsidR="00AF6FBB" w:rsidRPr="00AF6FBB" w:rsidRDefault="00AF6FBB" w:rsidP="00AF6FBB">
            <w:pPr>
              <w:rPr>
                <w:rStyle w:val="Strong"/>
              </w:rPr>
            </w:pPr>
            <w:r w:rsidRPr="00F7043A">
              <w:rPr>
                <w:rStyle w:val="Strong"/>
              </w:rPr>
              <w:t>Total building block revenue requirement (unsmoothed)</w:t>
            </w:r>
          </w:p>
        </w:tc>
        <w:tc>
          <w:tcPr>
            <w:tcW w:w="1663" w:type="pct"/>
            <w:vAlign w:val="top"/>
          </w:tcPr>
          <w:p w:rsidR="00AF6FBB" w:rsidRPr="00AF6FBB" w:rsidRDefault="00AF6FBB" w:rsidP="00AF6FBB">
            <w:pPr>
              <w:cnfStyle w:val="000000010000" w:firstRow="0" w:lastRow="0" w:firstColumn="0" w:lastColumn="0" w:oddVBand="0" w:evenVBand="0" w:oddHBand="0" w:evenHBand="1" w:firstRowFirstColumn="0" w:firstRowLastColumn="0" w:lastRowFirstColumn="0" w:lastRowLastColumn="0"/>
              <w:rPr>
                <w:rStyle w:val="Strong"/>
              </w:rPr>
            </w:pPr>
            <w:r w:rsidRPr="00F7043A">
              <w:rPr>
                <w:rStyle w:val="Strong"/>
              </w:rPr>
              <w:t>4697</w:t>
            </w:r>
          </w:p>
        </w:tc>
        <w:tc>
          <w:tcPr>
            <w:tcW w:w="1590" w:type="pct"/>
            <w:vAlign w:val="top"/>
          </w:tcPr>
          <w:p w:rsidR="00AF6FBB" w:rsidRPr="00AF6FBB" w:rsidRDefault="00AF6FBB" w:rsidP="00AF6FBB">
            <w:pPr>
              <w:cnfStyle w:val="000000010000" w:firstRow="0" w:lastRow="0" w:firstColumn="0" w:lastColumn="0" w:oddVBand="0" w:evenVBand="0" w:oddHBand="0" w:evenHBand="1" w:firstRowFirstColumn="0" w:firstRowLastColumn="0" w:lastRowFirstColumn="0" w:lastRowLastColumn="0"/>
              <w:rPr>
                <w:rStyle w:val="Strong"/>
              </w:rPr>
            </w:pPr>
            <w:r w:rsidRPr="00F7043A">
              <w:rPr>
                <w:rStyle w:val="Strong"/>
              </w:rPr>
              <w:t>5</w:t>
            </w:r>
            <w:r w:rsidRPr="00AF6FBB">
              <w:rPr>
                <w:rStyle w:val="Strong"/>
              </w:rPr>
              <w:t>515</w:t>
            </w:r>
          </w:p>
        </w:tc>
      </w:tr>
      <w:tr w:rsidR="00AF6FBB" w:rsidTr="00AF6FBB">
        <w:tc>
          <w:tcPr>
            <w:cnfStyle w:val="001000000000" w:firstRow="0" w:lastRow="0" w:firstColumn="1" w:lastColumn="0" w:oddVBand="0" w:evenVBand="0" w:oddHBand="0" w:evenHBand="0" w:firstRowFirstColumn="0" w:firstRowLastColumn="0" w:lastRowFirstColumn="0" w:lastRowLastColumn="0"/>
            <w:tcW w:w="1747" w:type="pct"/>
          </w:tcPr>
          <w:p w:rsidR="00AF6FBB" w:rsidRPr="00AF6FBB" w:rsidRDefault="00AF6FBB" w:rsidP="00AF6FBB">
            <w:r>
              <w:t>Closing</w:t>
            </w:r>
            <w:r w:rsidRPr="00AF6FBB">
              <w:t xml:space="preserve"> RAB</w:t>
            </w:r>
          </w:p>
        </w:tc>
        <w:tc>
          <w:tcPr>
            <w:tcW w:w="1663" w:type="pct"/>
            <w:vAlign w:val="top"/>
          </w:tcPr>
          <w:p w:rsidR="00AF6FBB" w:rsidRPr="00AF6FBB" w:rsidRDefault="00AF6FBB" w:rsidP="00AF6FBB">
            <w:pPr>
              <w:cnfStyle w:val="000000000000" w:firstRow="0" w:lastRow="0" w:firstColumn="0" w:lastColumn="0" w:oddVBand="0" w:evenVBand="0" w:oddHBand="0" w:evenHBand="0" w:firstRowFirstColumn="0" w:firstRowLastColumn="0" w:lastRowFirstColumn="0" w:lastRowLastColumn="0"/>
            </w:pPr>
            <w:r>
              <w:t>8</w:t>
            </w:r>
            <w:r w:rsidRPr="00AF6FBB">
              <w:t>812</w:t>
            </w:r>
          </w:p>
        </w:tc>
        <w:tc>
          <w:tcPr>
            <w:tcW w:w="1590" w:type="pct"/>
            <w:vAlign w:val="top"/>
          </w:tcPr>
          <w:p w:rsidR="00AF6FBB" w:rsidRPr="00AF6FBB" w:rsidRDefault="00AF6FBB" w:rsidP="00AF6FBB">
            <w:pPr>
              <w:cnfStyle w:val="000000000000" w:firstRow="0" w:lastRow="0" w:firstColumn="0" w:lastColumn="0" w:oddVBand="0" w:evenVBand="0" w:oddHBand="0" w:evenHBand="0" w:firstRowFirstColumn="0" w:firstRowLastColumn="0" w:lastRowFirstColumn="0" w:lastRowLastColumn="0"/>
            </w:pPr>
            <w:r>
              <w:t>8012</w:t>
            </w:r>
          </w:p>
        </w:tc>
      </w:tr>
    </w:tbl>
    <w:p w:rsidR="00AF6FBB" w:rsidRDefault="00AF6FBB" w:rsidP="00AF6FBB">
      <w:pPr>
        <w:pStyle w:val="AERtablesource"/>
      </w:pPr>
      <w:r>
        <w:t>Source:</w:t>
      </w:r>
      <w:r>
        <w:tab/>
        <w:t>AER analysis.</w:t>
      </w:r>
    </w:p>
    <w:p w:rsidR="00AF6FBB" w:rsidRDefault="00AF6FBB" w:rsidP="00AF6FBB">
      <w:r>
        <w:t>The examples illustrate two important impacts of indexation:</w:t>
      </w:r>
    </w:p>
    <w:p w:rsidR="00AF6FBB" w:rsidRDefault="00AF6FBB" w:rsidP="00AF6FBB">
      <w:pPr>
        <w:pStyle w:val="AERbulletlistfirststyle"/>
      </w:pPr>
      <w:r>
        <w:t>In the initial period where indexation is not applied, the upward impact on the depreciation allowance results in higher total revenue. This means that consumers pay more in the short term. Therefore, compared to an indexed RAB approach, the unindexed RAB approach is less smooth over time.</w:t>
      </w:r>
    </w:p>
    <w:p w:rsidR="00AF6FBB" w:rsidRDefault="00AF6FBB" w:rsidP="00AF6FBB">
      <w:pPr>
        <w:pStyle w:val="AERbulletlistfirststyle"/>
      </w:pPr>
      <w:r>
        <w:t>However, this faster rate of depreciation means that the RAB is smaller at the end of the period. This ultimately translates to lower costs for consumers in the later years of the asset's life.</w:t>
      </w:r>
    </w:p>
    <w:p w:rsidR="00AF6FBB" w:rsidRDefault="00AF6FBB" w:rsidP="00AF6FBB">
      <w:r>
        <w:t xml:space="preserve">For these reasons, we are not persuaded by the CCP members' submission about the revenue impact of an indexed RAB when combined with a nominal rate of return. In particular, the CCP members' approach will violate the NPV principle which is central to the building block revenue framework. </w:t>
      </w:r>
    </w:p>
    <w:p w:rsidR="00AF6FBB" w:rsidRDefault="00AF6FBB" w:rsidP="00AF6FBB">
      <w:pPr>
        <w:pStyle w:val="Heading9"/>
      </w:pPr>
      <w:bookmarkStart w:id="118" w:name="_Ref460417270"/>
      <w:bookmarkStart w:id="119" w:name="_Toc462045314"/>
      <w:bookmarkStart w:id="120" w:name="_Toc462749200"/>
      <w:r>
        <w:t>The impact of benchmarks on the rate of return</w:t>
      </w:r>
      <w:bookmarkEnd w:id="118"/>
      <w:bookmarkEnd w:id="119"/>
      <w:bookmarkEnd w:id="120"/>
    </w:p>
    <w:p w:rsidR="00AF6FBB" w:rsidRPr="00AF6FBB" w:rsidRDefault="00AF6FBB" w:rsidP="00666263">
      <w:r>
        <w:t>For the reasons set out in the previous section, we are not persuaded that our estimates of the returns on debt and equity are incompatible with the requirements of the NER, and more specifically with the rules governing indexation of the RAB. However, in addition to these reasons</w:t>
      </w:r>
      <w:r w:rsidRPr="00AF6FBB">
        <w:t xml:space="preserve">, we consider the CCP submissions from panel members Hugh Grant and David Headberry have not addressed the implications of </w:t>
      </w:r>
      <w:r w:rsidRPr="00AF6FBB">
        <w:lastRenderedPageBreak/>
        <w:t>benchmark characteristics on the rate of return.</w:t>
      </w:r>
      <w:r w:rsidRPr="00AF6FBB">
        <w:rPr>
          <w:rStyle w:val="FootnoteReference"/>
        </w:rPr>
        <w:footnoteReference w:id="75"/>
      </w:r>
      <w:r w:rsidRPr="00AF6FBB">
        <w:t xml:space="preserve"> In particular, these submissions have not addressed the impact of:</w:t>
      </w:r>
    </w:p>
    <w:p w:rsidR="00AF6FBB" w:rsidRDefault="00AF6FBB" w:rsidP="00AF6FBB">
      <w:pPr>
        <w:pStyle w:val="AERbulletlistfirststyle"/>
      </w:pPr>
      <w:r>
        <w:t>Return on equity—our return on equity approach employs the Sharpe-Lintner CAPM as a foundation model.</w:t>
      </w:r>
      <w:r>
        <w:rPr>
          <w:rStyle w:val="FootnoteReference"/>
        </w:rPr>
        <w:footnoteReference w:id="76"/>
      </w:r>
      <w:r>
        <w:t xml:space="preserve"> In the Sharpe-Lintner CAPM, the market risk premium reflects the expected level of market portfolio returns, but this is adjusted by the equity beta. The equity beta captures the covariance of the benchmark equity or portfolio with the market returns. In the case of regulated service providers, our benchmark equity beta sample is based on close comparators to these service providers. This results in equity beta observations of less than 1, meaning that our ultimate estimated return on equity is lower than the average equity in the market holding the term of expected returns constant.</w:t>
      </w:r>
    </w:p>
    <w:p w:rsidR="00AF6FBB" w:rsidRDefault="00AF6FBB" w:rsidP="00AF6FBB">
      <w:pPr>
        <w:pStyle w:val="AERbulletlistfirststyle"/>
      </w:pPr>
      <w:r>
        <w:t>Return on debt</w:t>
      </w:r>
      <w:r w:rsidRPr="00AF6FBB">
        <w:t>—</w:t>
      </w:r>
      <w:r>
        <w:t>the return on debt is set with regard to a benchmark credit rating. Credit ratings are a measure of the creditworthiness of investments, reflecting the likelihood of debt defaulting and the probable loss in the event of default. Where credit ratings are relatively stronger, issuers of debt would generally be expected to borrow more cheaply. Importantly, relatively high levels of gearing would typically result in lower credit ratings. However, due to the security provided by the regulatory regime, regulated service providers are typically able to carry higher than average levels of gearing to maintain a particular credit rating. Because debt is cheaper than equity, this results in a lower estimated overall rate of return than an average company in the market at the same term and credit rating.</w:t>
      </w:r>
      <w:r>
        <w:rPr>
          <w:rStyle w:val="FootnoteReference"/>
        </w:rPr>
        <w:footnoteReference w:id="77"/>
      </w:r>
      <w:r>
        <w:t xml:space="preserve"> For example, S&amp;P observes that:</w:t>
      </w:r>
      <w:r>
        <w:rPr>
          <w:rStyle w:val="FootnoteReference"/>
        </w:rPr>
        <w:footnoteReference w:id="78"/>
      </w:r>
    </w:p>
    <w:p w:rsidR="00AF6FBB" w:rsidRPr="00D313E4" w:rsidRDefault="00AF6FBB" w:rsidP="00AF6FBB">
      <w:pPr>
        <w:pStyle w:val="AERquote"/>
      </w:pPr>
      <w:r w:rsidRPr="00D313E4">
        <w:t>S&amp;P does consider balance sheet leverage, or gearing, as part of its rating of network utilities, however such balance sheet leverage is not typically considered as important for a network utility’s financial risk profile as the cashflow metrics described above under ‘Cashflow Adequacy’.</w:t>
      </w:r>
    </w:p>
    <w:p w:rsidR="00AF6FBB" w:rsidRDefault="00AF6FBB" w:rsidP="00AF6FBB">
      <w:pPr>
        <w:pStyle w:val="AERquote"/>
      </w:pPr>
      <w:r w:rsidRPr="00D313E4">
        <w:t>Tightly regulated transmission and distribution utilities generally face limited business risk—this translates into stable revenues. As a result, they can operate with... high leverage.</w:t>
      </w:r>
    </w:p>
    <w:p w:rsidR="00AF6FBB" w:rsidRDefault="00AF6FBB" w:rsidP="00AF6FBB">
      <w:r>
        <w:t>In one submission, the CCP members have set out estimates of Powerlink's and Energex's actual gearing.</w:t>
      </w:r>
      <w:r>
        <w:rPr>
          <w:rStyle w:val="FootnoteReference"/>
        </w:rPr>
        <w:footnoteReference w:id="79"/>
      </w:r>
      <w:r>
        <w:t xml:space="preserve"> They calculated these levels of gearing based on analysis </w:t>
      </w:r>
      <w:r>
        <w:lastRenderedPageBreak/>
        <w:t>of Powerlink's and Energex's actual levels of equity and debt investment. The CCP members then compared these to the 60 per cent benchmark gearing estimate that we determined in the rate of return guideline and have consistently adopted. Specifically:</w:t>
      </w:r>
    </w:p>
    <w:p w:rsidR="00AF6FBB" w:rsidRDefault="00AF6FBB" w:rsidP="00AF6FBB">
      <w:pPr>
        <w:pStyle w:val="AERbulletlistfirststyle"/>
      </w:pPr>
      <w:r>
        <w:t>the CCP members estimated that Powerlink's actual gearing is approximately 84 per cent debt (and 16 per cent equity)</w:t>
      </w:r>
    </w:p>
    <w:p w:rsidR="00AF6FBB" w:rsidRDefault="00AF6FBB" w:rsidP="00AF6FBB">
      <w:pPr>
        <w:pStyle w:val="AERbulletlistfirststyle"/>
      </w:pPr>
      <w:r>
        <w:t>the CCP members estimated that Energex's actual gearing is approximately 80 per cent debt (and 20 per cent equity).</w:t>
      </w:r>
    </w:p>
    <w:p w:rsidR="00AF6FBB" w:rsidRDefault="00AF6FBB" w:rsidP="00AF6FBB">
      <w:r>
        <w:t>Having regard to the CCP members' analysis, we are not persuaded that we should depart from the benchmark gearing established in the rate of return guideline. We have reached this conclusion for the following reasons:</w:t>
      </w:r>
    </w:p>
    <w:p w:rsidR="00AF6FBB" w:rsidRDefault="00AF6FBB" w:rsidP="00AF6FBB">
      <w:pPr>
        <w:pStyle w:val="AERbulletlistfirststyle"/>
      </w:pPr>
      <w:r>
        <w:t>Our estimate of benchmark gearing is based on observed market information for a sample of close benchmark comparators,</w:t>
      </w:r>
      <w:r>
        <w:rPr>
          <w:rStyle w:val="FootnoteReference"/>
        </w:rPr>
        <w:footnoteReference w:id="80"/>
      </w:r>
      <w:r>
        <w:t xml:space="preserve"> most of which are regulated network service providers.</w:t>
      </w:r>
      <w:r>
        <w:rPr>
          <w:rStyle w:val="FootnoteReference"/>
        </w:rPr>
        <w:footnoteReference w:id="81"/>
      </w:r>
      <w:r>
        <w:t xml:space="preserve"> </w:t>
      </w:r>
    </w:p>
    <w:p w:rsidR="00AF6FBB" w:rsidRDefault="00AF6FBB" w:rsidP="00AF6FBB">
      <w:pPr>
        <w:pStyle w:val="AERbulletlistfirststyle"/>
      </w:pPr>
      <w:r>
        <w:t>I</w:t>
      </w:r>
      <w:r w:rsidRPr="00ED2A48">
        <w:t xml:space="preserve">t is in the nature of a benchmark that some firms will deviate from the benchmark level. This is a necessary feature of an incentive regime. By using a benchmark, service providers can benefit by outperforming the benchmark in the short term. Then, by regularly collecting and reviewing data on our benchmarks, we can </w:t>
      </w:r>
      <w:r>
        <w:t>incorporate</w:t>
      </w:r>
      <w:r w:rsidRPr="00ED2A48">
        <w:t xml:space="preserve"> this outperformance </w:t>
      </w:r>
      <w:r>
        <w:t xml:space="preserve">in our estimates </w:t>
      </w:r>
      <w:r w:rsidRPr="00ED2A48">
        <w:t>and share the benefits with customers.</w:t>
      </w:r>
    </w:p>
    <w:p w:rsidR="00AF6FBB" w:rsidRDefault="00AF6FBB" w:rsidP="00AF6FBB">
      <w:pPr>
        <w:pStyle w:val="AERbulletlistfirststyle"/>
      </w:pPr>
      <w:r>
        <w:t>To the extent that the benchmark sample systematically adopts higher gearing than the benchmark level, this would likely lead us to reflect that change in the benchmark gearing estimate. The CCP members' submission has not been specific about whether it considers we should set individual gearing levels for individual companies. This appears to be the implication of its proposed approach for Powerlink. This is inconsistent with a benchmark approach.</w:t>
      </w:r>
    </w:p>
    <w:p w:rsidR="00AF6FBB" w:rsidRDefault="00AF6FBB" w:rsidP="00AF6FBB">
      <w:pPr>
        <w:pStyle w:val="AERbulletlistfirststyle"/>
      </w:pPr>
      <w:r>
        <w:t>However, in further correspondence, CCP member Hugh Grant has clarified that he considers we should adopt an average gearing of all businesses in the NEM.</w:t>
      </w:r>
      <w:r>
        <w:rPr>
          <w:rStyle w:val="FootnoteReference"/>
        </w:rPr>
        <w:footnoteReference w:id="82"/>
      </w:r>
      <w:r>
        <w:t xml:space="preserve"> This is not consistent with the proposed approach in the main CCP members' submission, which is based exclusively on calculations of Powerlink's gearing.</w:t>
      </w:r>
      <w:r>
        <w:rPr>
          <w:rStyle w:val="FootnoteReference"/>
        </w:rPr>
        <w:footnoteReference w:id="83"/>
      </w:r>
      <w:r>
        <w:t xml:space="preserve"> However, this proposed NEM-wide average would include service providers that are not a close fit to the benchmark efficient service provider with respect to raising capital.</w:t>
      </w:r>
    </w:p>
    <w:p w:rsidR="00AF6FBB" w:rsidRDefault="00AF6FBB" w:rsidP="00AF6FBB">
      <w:pPr>
        <w:pStyle w:val="AERbulletlistfirststyle"/>
      </w:pPr>
      <w:r>
        <w:lastRenderedPageBreak/>
        <w:t>Importantly, neither Powerlink nor Energex are part of our benchmark sample</w:t>
      </w:r>
      <w:r w:rsidR="00272E70">
        <w:t xml:space="preserve"> for gearing</w:t>
      </w:r>
      <w:r>
        <w:t xml:space="preserve">. Due to their government ownership, these service providers are not </w:t>
      </w:r>
      <w:r w:rsidR="00272E70">
        <w:t xml:space="preserve">directly </w:t>
      </w:r>
      <w:r>
        <w:t>comparable to the benchmark efficient entity</w:t>
      </w:r>
      <w:r w:rsidR="00272E70">
        <w:t xml:space="preserve"> in this respect</w:t>
      </w:r>
      <w:r>
        <w:t>. As concluded by the AEMC:</w:t>
      </w:r>
      <w:r>
        <w:rPr>
          <w:rStyle w:val="FootnoteReference"/>
        </w:rPr>
        <w:footnoteReference w:id="84"/>
      </w:r>
    </w:p>
    <w:p w:rsidR="00AF6FBB" w:rsidRDefault="00AF6FBB" w:rsidP="00AF6FBB">
      <w:pPr>
        <w:pStyle w:val="AERquote"/>
      </w:pPr>
      <w:r w:rsidRPr="004C20E3">
        <w:t>If state-owned businesses issued their own bonds, without a government guarantee, they would face materially similar borrowing costs to privately-owned service providers. In the absence of competitive neutrality provisions, electricity consumers are unlikely to be better off from defining a separate benchmark for state-owned service. The most appropriate benchmark to use in the regulatory framework for all service providers, regardless of ownership in general, is the efficient private sector service provider.</w:t>
      </w:r>
    </w:p>
    <w:p w:rsidR="00AF6FBB" w:rsidRDefault="00AF6FBB" w:rsidP="00AF6FBB">
      <w:pPr>
        <w:pStyle w:val="Heading9"/>
      </w:pPr>
      <w:bookmarkStart w:id="121" w:name="_Ref460417284"/>
      <w:bookmarkStart w:id="122" w:name="_Toc462045315"/>
      <w:bookmarkStart w:id="123" w:name="_Toc462749201"/>
      <w:r>
        <w:t>The CCP members' proposed approach</w:t>
      </w:r>
      <w:bookmarkEnd w:id="121"/>
      <w:bookmarkEnd w:id="122"/>
      <w:bookmarkEnd w:id="123"/>
    </w:p>
    <w:p w:rsidR="00AF6FBB" w:rsidRDefault="00AF6FBB" w:rsidP="00AF6FBB">
      <w:r>
        <w:t>CCP members Hugh Grant and David Headberry have proposed that we should address the issues with the rate of return by:</w:t>
      </w:r>
    </w:p>
    <w:p w:rsidR="00AF6FBB" w:rsidRDefault="00AF6FBB" w:rsidP="00AF6FBB">
      <w:pPr>
        <w:pStyle w:val="AERbulletlistfirststyle"/>
      </w:pPr>
      <w:r>
        <w:t>applying a market return on equity to 10 per cent of Powerlink's RAB</w:t>
      </w:r>
    </w:p>
    <w:p w:rsidR="00AF6FBB" w:rsidRDefault="00AF6FBB" w:rsidP="00AF6FBB">
      <w:pPr>
        <w:pStyle w:val="AERbulletlistfirststyle"/>
      </w:pPr>
      <w:r>
        <w:t>applying a market return on debt to 55 per cent of Powerlink's RAB.</w:t>
      </w:r>
      <w:r>
        <w:rPr>
          <w:rStyle w:val="FootnoteReference"/>
        </w:rPr>
        <w:footnoteReference w:id="85"/>
      </w:r>
    </w:p>
    <w:p w:rsidR="00AF6FBB" w:rsidRDefault="00AF6FBB" w:rsidP="00AF6FBB">
      <w:r>
        <w:t xml:space="preserve">In total, this results in a weighted average cost of capital applying to 65 per cent of Powerlink's RAB. </w:t>
      </w:r>
    </w:p>
    <w:p w:rsidR="00AF6FBB" w:rsidRDefault="00AF6FBB" w:rsidP="00AF6FBB">
      <w:r>
        <w:t xml:space="preserve">This approach violates the NPV=0 principle. On this basis, we consider the CCP members' proposed approach is inconsistent with good regulatory practice, and with the NER. </w:t>
      </w:r>
    </w:p>
    <w:p w:rsidR="00AF6FBB" w:rsidRDefault="00AF6FBB" w:rsidP="00AF6FBB">
      <w:r>
        <w:t>To demonstrate this conclusion, we have replicated the examples from above, and included an example of the CCP members' approach for comparison. Specifically, the CCP members' approach in the following examples is calculated as follows:</w:t>
      </w:r>
    </w:p>
    <w:p w:rsidR="00AF6FBB" w:rsidRDefault="00AF6FBB" w:rsidP="00AF6FBB">
      <w:pPr>
        <w:pStyle w:val="AERbulletlistfirststyle"/>
      </w:pPr>
      <w:r>
        <w:t xml:space="preserve">we adopt the same starting assumptions as the example in section </w:t>
      </w:r>
      <w:r>
        <w:fldChar w:fldCharType="begin"/>
      </w:r>
      <w:r>
        <w:instrText xml:space="preserve"> REF _Ref460417261 \r \h </w:instrText>
      </w:r>
      <w:r>
        <w:fldChar w:fldCharType="separate"/>
      </w:r>
      <w:r w:rsidR="003179F2">
        <w:t>A.1.1</w:t>
      </w:r>
      <w:r>
        <w:fldChar w:fldCharType="end"/>
      </w:r>
    </w:p>
    <w:p w:rsidR="00AF6FBB" w:rsidRDefault="00AF6FBB" w:rsidP="00AF6FBB">
      <w:pPr>
        <w:pStyle w:val="AERbulletlistfirststyle"/>
      </w:pPr>
      <w:r>
        <w:t>we allow the CCP members' approach to follow the AER's approach for the first two regulatory control periods in the example (10 years). This is to make the example more realistic, given our approach is already underway for Powerlink. The choice of when the CCP members' approach is introduced has some impact on the specific estimated NPV, but it does not change the ultimate conclusion under any chosen 'start-date' during the 25 year asset life in the example.</w:t>
      </w:r>
    </w:p>
    <w:p w:rsidR="00AF6FBB" w:rsidRDefault="00AF6FBB" w:rsidP="00AF6FBB">
      <w:pPr>
        <w:pStyle w:val="AERbulletlistfirststyle"/>
      </w:pPr>
      <w:r>
        <w:t>starting in year 11, we:</w:t>
      </w:r>
    </w:p>
    <w:p w:rsidR="00AF6FBB" w:rsidRDefault="00AF6FBB" w:rsidP="00AF6FBB">
      <w:pPr>
        <w:pStyle w:val="AERbulletlistsecondstyle"/>
      </w:pPr>
      <w:r>
        <w:t>apply the same return on equity to 10 per cent of the RAB</w:t>
      </w:r>
    </w:p>
    <w:p w:rsidR="00AF6FBB" w:rsidRDefault="00AF6FBB" w:rsidP="00AF6FBB">
      <w:pPr>
        <w:pStyle w:val="AERbulletlistsecondstyle"/>
      </w:pPr>
      <w:r>
        <w:t>apply the same return on debt to 55 per cent of the RAB</w:t>
      </w:r>
    </w:p>
    <w:p w:rsidR="00AF6FBB" w:rsidRDefault="00AF6FBB" w:rsidP="00AF6FBB">
      <w:pPr>
        <w:pStyle w:val="AERbulletlistsecondstyle"/>
      </w:pPr>
      <w:r>
        <w:lastRenderedPageBreak/>
        <w:t>leave depreciation unchanged, as the CCP members' submission is silent on the impact of their approach on depreciation.</w:t>
      </w:r>
    </w:p>
    <w:p w:rsidR="00AF6FBB" w:rsidRDefault="00AF6FBB" w:rsidP="00AF6FBB">
      <w:r>
        <w:fldChar w:fldCharType="begin"/>
      </w:r>
      <w:r>
        <w:instrText xml:space="preserve"> REF _Ref459378057 \h </w:instrText>
      </w:r>
      <w:r>
        <w:fldChar w:fldCharType="separate"/>
      </w:r>
      <w:r w:rsidR="003179F2">
        <w:t>Figure 2.</w:t>
      </w:r>
      <w:r w:rsidR="003179F2">
        <w:rPr>
          <w:noProof/>
        </w:rPr>
        <w:t>4</w:t>
      </w:r>
      <w:r>
        <w:fldChar w:fldCharType="end"/>
      </w:r>
      <w:r>
        <w:t xml:space="preserve"> shows the impact of this approach on the return on capital. The depreciation allowance and RAB values remain consistent with the AER approach.</w:t>
      </w:r>
    </w:p>
    <w:p w:rsidR="00AF6FBB" w:rsidRDefault="00AF6FBB" w:rsidP="00AF6FBB">
      <w:pPr>
        <w:pStyle w:val="Caption"/>
      </w:pPr>
      <w:bookmarkStart w:id="124" w:name="_Ref459378057"/>
      <w:r>
        <w:t xml:space="preserve">Figure </w:t>
      </w:r>
      <w:r w:rsidR="00E75663">
        <w:fldChar w:fldCharType="begin"/>
      </w:r>
      <w:r w:rsidR="00E75663">
        <w:instrText xml:space="preserve"> REF _Ref462055943 \r \h </w:instrText>
      </w:r>
      <w:r w:rsidR="00E75663">
        <w:fldChar w:fldCharType="separate"/>
      </w:r>
      <w:r w:rsidR="003179F2">
        <w:t>2</w:t>
      </w:r>
      <w:r w:rsidR="00E75663">
        <w:fldChar w:fldCharType="end"/>
      </w:r>
      <w:r w:rsidR="00E75663">
        <w:t>.</w:t>
      </w:r>
      <w:r w:rsidRPr="00AF6FBB">
        <w:fldChar w:fldCharType="begin"/>
      </w:r>
      <w:r>
        <w:instrText xml:space="preserve"> SEQ Figure \* ARABIC </w:instrText>
      </w:r>
      <w:r w:rsidRPr="00AF6FBB">
        <w:fldChar w:fldCharType="separate"/>
      </w:r>
      <w:r w:rsidR="003179F2">
        <w:rPr>
          <w:noProof/>
        </w:rPr>
        <w:t>4</w:t>
      </w:r>
      <w:r w:rsidRPr="00AF6FBB">
        <w:fldChar w:fldCharType="end"/>
      </w:r>
      <w:bookmarkEnd w:id="124"/>
      <w:r>
        <w:tab/>
        <w:t>Rate of return comparison under the CCP members' proposed approach ($ million, nominal)</w:t>
      </w:r>
    </w:p>
    <w:p w:rsidR="00AF6FBB" w:rsidRDefault="00AF6FBB" w:rsidP="00AF6FBB">
      <w:pPr>
        <w:pStyle w:val="AERtablesource"/>
      </w:pPr>
      <w:r w:rsidRPr="00AF6FBB">
        <w:rPr>
          <w:noProof/>
          <w:lang w:eastAsia="en-AU"/>
        </w:rPr>
        <w:drawing>
          <wp:inline distT="0" distB="0" distL="0" distR="0" wp14:anchorId="0DF2B55C" wp14:editId="332440E5">
            <wp:extent cx="5175849" cy="3446510"/>
            <wp:effectExtent l="0" t="0" r="635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73955" cy="3445249"/>
                    </a:xfrm>
                    <a:prstGeom prst="rect">
                      <a:avLst/>
                    </a:prstGeom>
                    <a:noFill/>
                  </pic:spPr>
                </pic:pic>
              </a:graphicData>
            </a:graphic>
          </wp:inline>
        </w:drawing>
      </w:r>
    </w:p>
    <w:p w:rsidR="00AF6FBB" w:rsidRDefault="00AF6FBB" w:rsidP="00AF6FBB">
      <w:pPr>
        <w:pStyle w:val="AERtablesource"/>
      </w:pPr>
      <w:r>
        <w:t>Source:</w:t>
      </w:r>
      <w:r>
        <w:tab/>
        <w:t>AER analysis.</w:t>
      </w:r>
    </w:p>
    <w:p w:rsidR="00AF6FBB" w:rsidRDefault="00AF6FBB" w:rsidP="00AF6FBB">
      <w:r>
        <w:fldChar w:fldCharType="begin"/>
      </w:r>
      <w:r>
        <w:instrText xml:space="preserve"> REF _Ref460593059 \h </w:instrText>
      </w:r>
      <w:r>
        <w:fldChar w:fldCharType="separate"/>
      </w:r>
      <w:r w:rsidR="003179F2">
        <w:t>Table 2.</w:t>
      </w:r>
      <w:r w:rsidR="003179F2">
        <w:rPr>
          <w:noProof/>
        </w:rPr>
        <w:t>7</w:t>
      </w:r>
      <w:r>
        <w:fldChar w:fldCharType="end"/>
      </w:r>
      <w:r>
        <w:t xml:space="preserve"> sets out the cash flows for the example and the impact on the NPV of the investment. It illustrates that either an indexed or unindexed RAB will satisfy the NPV=0 principle if it is applied consistently, but the CCP members' proposed approach does not achieve this requirement.</w:t>
      </w:r>
    </w:p>
    <w:p w:rsidR="00E75663" w:rsidRDefault="00E75663">
      <w:pPr>
        <w:spacing w:line="240" w:lineRule="auto"/>
      </w:pPr>
      <w:r>
        <w:br w:type="page"/>
      </w:r>
    </w:p>
    <w:p w:rsidR="00AF6FBB" w:rsidRDefault="00AF6FBB" w:rsidP="00AF6FBB">
      <w:pPr>
        <w:pStyle w:val="Caption"/>
      </w:pPr>
      <w:bookmarkStart w:id="125" w:name="_Ref460593059"/>
      <w:r>
        <w:lastRenderedPageBreak/>
        <w:t xml:space="preserve">Table </w:t>
      </w:r>
      <w:r w:rsidR="00E75663">
        <w:fldChar w:fldCharType="begin"/>
      </w:r>
      <w:r w:rsidR="00E75663">
        <w:instrText xml:space="preserve"> REF _Ref462056001 \r \h </w:instrText>
      </w:r>
      <w:r w:rsidR="00E75663">
        <w:fldChar w:fldCharType="separate"/>
      </w:r>
      <w:r w:rsidR="003179F2">
        <w:t>2</w:t>
      </w:r>
      <w:r w:rsidR="00E75663">
        <w:fldChar w:fldCharType="end"/>
      </w:r>
      <w:r w:rsidR="00E75663">
        <w:t>.</w:t>
      </w:r>
      <w:r w:rsidRPr="00AF6FBB">
        <w:fldChar w:fldCharType="begin"/>
      </w:r>
      <w:r>
        <w:instrText xml:space="preserve"> SEQ Table \* ARABIC </w:instrText>
      </w:r>
      <w:r w:rsidRPr="00AF6FBB">
        <w:fldChar w:fldCharType="separate"/>
      </w:r>
      <w:r w:rsidR="003179F2">
        <w:rPr>
          <w:noProof/>
        </w:rPr>
        <w:t>7</w:t>
      </w:r>
      <w:r w:rsidRPr="00AF6FBB">
        <w:fldChar w:fldCharType="end"/>
      </w:r>
      <w:bookmarkEnd w:id="125"/>
      <w:r>
        <w:tab/>
        <w:t>Impact of the CCP members' approach on net present values ($ million)</w:t>
      </w:r>
    </w:p>
    <w:tbl>
      <w:tblPr>
        <w:tblStyle w:val="AERtable-numbers"/>
        <w:tblW w:w="8708" w:type="dxa"/>
        <w:tblLook w:val="04A0" w:firstRow="1" w:lastRow="0" w:firstColumn="1" w:lastColumn="0" w:noHBand="0" w:noVBand="1"/>
      </w:tblPr>
      <w:tblGrid>
        <w:gridCol w:w="867"/>
        <w:gridCol w:w="1106"/>
        <w:gridCol w:w="1106"/>
        <w:gridCol w:w="1106"/>
        <w:gridCol w:w="232"/>
        <w:gridCol w:w="1430"/>
        <w:gridCol w:w="1430"/>
        <w:gridCol w:w="1431"/>
      </w:tblGrid>
      <w:tr w:rsidR="00AF6FBB" w:rsidTr="00AF6F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7" w:type="dxa"/>
          </w:tcPr>
          <w:p w:rsidR="00AF6FBB" w:rsidRPr="00AF6FBB" w:rsidRDefault="00AF6FBB" w:rsidP="00AF6FBB">
            <w:r>
              <w:t>Year</w:t>
            </w:r>
          </w:p>
        </w:tc>
        <w:tc>
          <w:tcPr>
            <w:tcW w:w="1106" w:type="dxa"/>
          </w:tcPr>
          <w:p w:rsidR="00AF6FBB" w:rsidRPr="00AF6FBB" w:rsidRDefault="00AF6FBB" w:rsidP="00AF6FBB">
            <w:pPr>
              <w:cnfStyle w:val="100000000000" w:firstRow="1" w:lastRow="0" w:firstColumn="0" w:lastColumn="0" w:oddVBand="0" w:evenVBand="0" w:oddHBand="0" w:evenHBand="0" w:firstRowFirstColumn="0" w:firstRowLastColumn="0" w:lastRowFirstColumn="0" w:lastRowLastColumn="0"/>
            </w:pPr>
            <w:r>
              <w:t>AER cash flows</w:t>
            </w:r>
            <w:r>
              <w:br/>
              <w:t>(nominal)</w:t>
            </w:r>
          </w:p>
        </w:tc>
        <w:tc>
          <w:tcPr>
            <w:tcW w:w="1106" w:type="dxa"/>
          </w:tcPr>
          <w:p w:rsidR="00AF6FBB" w:rsidRPr="00AF6FBB" w:rsidRDefault="00AF6FBB" w:rsidP="00AF6FBB">
            <w:pPr>
              <w:cnfStyle w:val="100000000000" w:firstRow="1" w:lastRow="0" w:firstColumn="0" w:lastColumn="0" w:oddVBand="0" w:evenVBand="0" w:oddHBand="0" w:evenHBand="0" w:firstRowFirstColumn="0" w:firstRowLastColumn="0" w:lastRowFirstColumn="0" w:lastRowLastColumn="0"/>
            </w:pPr>
            <w:r>
              <w:t>U</w:t>
            </w:r>
            <w:r w:rsidRPr="00AF6FBB">
              <w:t>nindexed RAB cash flows (nominal)</w:t>
            </w:r>
          </w:p>
        </w:tc>
        <w:tc>
          <w:tcPr>
            <w:tcW w:w="1106" w:type="dxa"/>
          </w:tcPr>
          <w:p w:rsidR="00AF6FBB" w:rsidRPr="00AF6FBB" w:rsidRDefault="00AF6FBB" w:rsidP="00AF6FBB">
            <w:pPr>
              <w:cnfStyle w:val="100000000000" w:firstRow="1" w:lastRow="0" w:firstColumn="0" w:lastColumn="0" w:oddVBand="0" w:evenVBand="0" w:oddHBand="0" w:evenHBand="0" w:firstRowFirstColumn="0" w:firstRowLastColumn="0" w:lastRowFirstColumn="0" w:lastRowLastColumn="0"/>
            </w:pPr>
            <w:r>
              <w:t>CCP</w:t>
            </w:r>
            <w:r>
              <w:br/>
              <w:t>approach</w:t>
            </w:r>
            <w:r>
              <w:br/>
              <w:t>cash flows (nominal)</w:t>
            </w:r>
          </w:p>
        </w:tc>
        <w:tc>
          <w:tcPr>
            <w:tcW w:w="232" w:type="dxa"/>
          </w:tcPr>
          <w:p w:rsidR="00AF6FBB" w:rsidRDefault="00AF6FBB" w:rsidP="00AF6FBB">
            <w:pPr>
              <w:cnfStyle w:val="100000000000" w:firstRow="1" w:lastRow="0" w:firstColumn="0" w:lastColumn="0" w:oddVBand="0" w:evenVBand="0" w:oddHBand="0" w:evenHBand="0" w:firstRowFirstColumn="0" w:firstRowLastColumn="0" w:lastRowFirstColumn="0" w:lastRowLastColumn="0"/>
            </w:pPr>
          </w:p>
        </w:tc>
        <w:tc>
          <w:tcPr>
            <w:tcW w:w="1430" w:type="dxa"/>
          </w:tcPr>
          <w:p w:rsidR="00AF6FBB" w:rsidRPr="00AF6FBB" w:rsidRDefault="00AF6FBB" w:rsidP="00AF6FBB">
            <w:pPr>
              <w:cnfStyle w:val="100000000000" w:firstRow="1" w:lastRow="0" w:firstColumn="0" w:lastColumn="0" w:oddVBand="0" w:evenVBand="0" w:oddHBand="0" w:evenHBand="0" w:firstRowFirstColumn="0" w:firstRowLastColumn="0" w:lastRowFirstColumn="0" w:lastRowLastColumn="0"/>
            </w:pPr>
            <w:r>
              <w:t>AER</w:t>
            </w:r>
            <w:r>
              <w:br/>
            </w:r>
            <w:r w:rsidRPr="00AF6FBB">
              <w:t>cash flows (discounted for NPV)</w:t>
            </w:r>
          </w:p>
        </w:tc>
        <w:tc>
          <w:tcPr>
            <w:tcW w:w="1430" w:type="dxa"/>
          </w:tcPr>
          <w:p w:rsidR="00AF6FBB" w:rsidRPr="00AF6FBB" w:rsidRDefault="00AF6FBB" w:rsidP="00AF6FBB">
            <w:pPr>
              <w:cnfStyle w:val="100000000000" w:firstRow="1" w:lastRow="0" w:firstColumn="0" w:lastColumn="0" w:oddVBand="0" w:evenVBand="0" w:oddHBand="0" w:evenHBand="0" w:firstRowFirstColumn="0" w:firstRowLastColumn="0" w:lastRowFirstColumn="0" w:lastRowLastColumn="0"/>
            </w:pPr>
            <w:r>
              <w:t>Unindexed</w:t>
            </w:r>
            <w:r w:rsidRPr="00AF6FBB">
              <w:t xml:space="preserve"> RAB cash flows</w:t>
            </w:r>
            <w:r w:rsidRPr="00AF6FBB">
              <w:br/>
              <w:t>(discounted for NPV)</w:t>
            </w:r>
          </w:p>
        </w:tc>
        <w:tc>
          <w:tcPr>
            <w:tcW w:w="1431" w:type="dxa"/>
          </w:tcPr>
          <w:p w:rsidR="00AF6FBB" w:rsidRPr="00AF6FBB" w:rsidRDefault="00AF6FBB" w:rsidP="00AF6FBB">
            <w:pPr>
              <w:cnfStyle w:val="100000000000" w:firstRow="1" w:lastRow="0" w:firstColumn="0" w:lastColumn="0" w:oddVBand="0" w:evenVBand="0" w:oddHBand="0" w:evenHBand="0" w:firstRowFirstColumn="0" w:firstRowLastColumn="0" w:lastRowFirstColumn="0" w:lastRowLastColumn="0"/>
            </w:pPr>
            <w:r>
              <w:t>CCP</w:t>
            </w:r>
            <w:r w:rsidRPr="00AF6FBB">
              <w:t xml:space="preserve"> approach</w:t>
            </w:r>
            <w:r w:rsidRPr="00AF6FBB">
              <w:br/>
              <w:t>cash flows (discounted for NPV)</w:t>
            </w:r>
          </w:p>
        </w:tc>
      </w:tr>
      <w:tr w:rsidR="00AF6FBB" w:rsidRPr="000C7BEC" w:rsidTr="00AF6FBB">
        <w:tc>
          <w:tcPr>
            <w:cnfStyle w:val="001000000000" w:firstRow="0" w:lastRow="0" w:firstColumn="1" w:lastColumn="0" w:oddVBand="0" w:evenVBand="0" w:oddHBand="0" w:evenHBand="0" w:firstRowFirstColumn="0" w:firstRowLastColumn="0" w:lastRowFirstColumn="0" w:lastRowLastColumn="0"/>
            <w:tcW w:w="867" w:type="dxa"/>
          </w:tcPr>
          <w:p w:rsidR="00AF6FBB" w:rsidRPr="00AF6FBB" w:rsidRDefault="00AF6FBB" w:rsidP="00AF6FBB">
            <w:r w:rsidRPr="004D1BC6">
              <w:t>1</w:t>
            </w:r>
          </w:p>
        </w:tc>
        <w:tc>
          <w:tcPr>
            <w:tcW w:w="1106" w:type="dxa"/>
            <w:vAlign w:val="top"/>
          </w:tcPr>
          <w:p w:rsidR="00AF6FBB" w:rsidRPr="00AF6FBB" w:rsidRDefault="00AF6FBB" w:rsidP="00AF6FBB">
            <w:pPr>
              <w:cnfStyle w:val="000000000000" w:firstRow="0" w:lastRow="0" w:firstColumn="0" w:lastColumn="0" w:oddVBand="0" w:evenVBand="0" w:oddHBand="0" w:evenHBand="0" w:firstRowFirstColumn="0" w:firstRowLastColumn="0" w:lastRowFirstColumn="0" w:lastRowLastColumn="0"/>
            </w:pPr>
            <w:r w:rsidRPr="004D1BC6">
              <w:t>11.6</w:t>
            </w:r>
          </w:p>
        </w:tc>
        <w:tc>
          <w:tcPr>
            <w:tcW w:w="1106" w:type="dxa"/>
            <w:vAlign w:val="top"/>
          </w:tcPr>
          <w:p w:rsidR="00AF6FBB" w:rsidRPr="00AF6FBB" w:rsidRDefault="00AF6FBB" w:rsidP="00AF6FBB">
            <w:pPr>
              <w:cnfStyle w:val="000000000000" w:firstRow="0" w:lastRow="0" w:firstColumn="0" w:lastColumn="0" w:oddVBand="0" w:evenVBand="0" w:oddHBand="0" w:evenHBand="0" w:firstRowFirstColumn="0" w:firstRowLastColumn="0" w:lastRowFirstColumn="0" w:lastRowLastColumn="0"/>
            </w:pPr>
            <w:r w:rsidRPr="004D1BC6">
              <w:t>14.0</w:t>
            </w:r>
          </w:p>
        </w:tc>
        <w:tc>
          <w:tcPr>
            <w:tcW w:w="1106" w:type="dxa"/>
            <w:vAlign w:val="top"/>
          </w:tcPr>
          <w:p w:rsidR="00AF6FBB" w:rsidRPr="00AF6FBB" w:rsidRDefault="00AF6FBB" w:rsidP="00AF6FBB">
            <w:pPr>
              <w:cnfStyle w:val="000000000000" w:firstRow="0" w:lastRow="0" w:firstColumn="0" w:lastColumn="0" w:oddVBand="0" w:evenVBand="0" w:oddHBand="0" w:evenHBand="0" w:firstRowFirstColumn="0" w:firstRowLastColumn="0" w:lastRowFirstColumn="0" w:lastRowLastColumn="0"/>
            </w:pPr>
            <w:r w:rsidRPr="004D1BC6">
              <w:t>11.6</w:t>
            </w:r>
          </w:p>
        </w:tc>
        <w:tc>
          <w:tcPr>
            <w:tcW w:w="232" w:type="dxa"/>
          </w:tcPr>
          <w:p w:rsidR="00AF6FBB" w:rsidRPr="004D1BC6" w:rsidRDefault="00AF6FBB" w:rsidP="00AF6FBB">
            <w:pPr>
              <w:cnfStyle w:val="000000000000" w:firstRow="0" w:lastRow="0" w:firstColumn="0" w:lastColumn="0" w:oddVBand="0" w:evenVBand="0" w:oddHBand="0" w:evenHBand="0" w:firstRowFirstColumn="0" w:firstRowLastColumn="0" w:lastRowFirstColumn="0" w:lastRowLastColumn="0"/>
            </w:pPr>
          </w:p>
        </w:tc>
        <w:tc>
          <w:tcPr>
            <w:tcW w:w="1430" w:type="dxa"/>
            <w:vAlign w:val="top"/>
          </w:tcPr>
          <w:p w:rsidR="00AF6FBB" w:rsidRPr="00AF6FBB" w:rsidRDefault="00AF6FBB" w:rsidP="00AF6FBB">
            <w:pPr>
              <w:cnfStyle w:val="000000000000" w:firstRow="0" w:lastRow="0" w:firstColumn="0" w:lastColumn="0" w:oddVBand="0" w:evenVBand="0" w:oddHBand="0" w:evenHBand="0" w:firstRowFirstColumn="0" w:firstRowLastColumn="0" w:lastRowFirstColumn="0" w:lastRowLastColumn="0"/>
            </w:pPr>
            <w:r w:rsidRPr="004D1BC6">
              <w:t>10.5</w:t>
            </w:r>
          </w:p>
        </w:tc>
        <w:tc>
          <w:tcPr>
            <w:tcW w:w="1430" w:type="dxa"/>
            <w:vAlign w:val="top"/>
          </w:tcPr>
          <w:p w:rsidR="00AF6FBB" w:rsidRPr="00AF6FBB" w:rsidRDefault="00AF6FBB" w:rsidP="00AF6FBB">
            <w:pPr>
              <w:cnfStyle w:val="000000000000" w:firstRow="0" w:lastRow="0" w:firstColumn="0" w:lastColumn="0" w:oddVBand="0" w:evenVBand="0" w:oddHBand="0" w:evenHBand="0" w:firstRowFirstColumn="0" w:firstRowLastColumn="0" w:lastRowFirstColumn="0" w:lastRowLastColumn="0"/>
            </w:pPr>
            <w:r w:rsidRPr="004D1BC6">
              <w:t>12.7</w:t>
            </w:r>
          </w:p>
        </w:tc>
        <w:tc>
          <w:tcPr>
            <w:tcW w:w="1431" w:type="dxa"/>
            <w:vAlign w:val="top"/>
          </w:tcPr>
          <w:p w:rsidR="00AF6FBB" w:rsidRPr="00AF6FBB" w:rsidRDefault="00AF6FBB" w:rsidP="00AF6FBB">
            <w:pPr>
              <w:cnfStyle w:val="000000000000" w:firstRow="0" w:lastRow="0" w:firstColumn="0" w:lastColumn="0" w:oddVBand="0" w:evenVBand="0" w:oddHBand="0" w:evenHBand="0" w:firstRowFirstColumn="0" w:firstRowLastColumn="0" w:lastRowFirstColumn="0" w:lastRowLastColumn="0"/>
            </w:pPr>
            <w:r w:rsidRPr="004D1BC6">
              <w:t>10.5</w:t>
            </w:r>
          </w:p>
        </w:tc>
      </w:tr>
      <w:tr w:rsidR="00AF6FBB" w:rsidRPr="000C7BEC" w:rsidTr="00AF6F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7" w:type="dxa"/>
          </w:tcPr>
          <w:p w:rsidR="00AF6FBB" w:rsidRPr="00AF6FBB" w:rsidRDefault="00AF6FBB" w:rsidP="00AF6FBB">
            <w:r w:rsidRPr="004D1BC6">
              <w:t>2</w:t>
            </w:r>
          </w:p>
        </w:tc>
        <w:tc>
          <w:tcPr>
            <w:tcW w:w="1106" w:type="dxa"/>
            <w:vAlign w:val="top"/>
          </w:tcPr>
          <w:p w:rsidR="00AF6FBB" w:rsidRPr="00AF6FBB" w:rsidRDefault="00AF6FBB" w:rsidP="00AF6FBB">
            <w:pPr>
              <w:cnfStyle w:val="000000010000" w:firstRow="0" w:lastRow="0" w:firstColumn="0" w:lastColumn="0" w:oddVBand="0" w:evenVBand="0" w:oddHBand="0" w:evenHBand="1" w:firstRowFirstColumn="0" w:firstRowLastColumn="0" w:lastRowFirstColumn="0" w:lastRowLastColumn="0"/>
            </w:pPr>
            <w:r w:rsidRPr="004D1BC6">
              <w:t>11.6</w:t>
            </w:r>
          </w:p>
        </w:tc>
        <w:tc>
          <w:tcPr>
            <w:tcW w:w="1106" w:type="dxa"/>
            <w:vAlign w:val="top"/>
          </w:tcPr>
          <w:p w:rsidR="00AF6FBB" w:rsidRPr="00AF6FBB" w:rsidRDefault="00AF6FBB" w:rsidP="00AF6FBB">
            <w:pPr>
              <w:cnfStyle w:val="000000010000" w:firstRow="0" w:lastRow="0" w:firstColumn="0" w:lastColumn="0" w:oddVBand="0" w:evenVBand="0" w:oddHBand="0" w:evenHBand="1" w:firstRowFirstColumn="0" w:firstRowLastColumn="0" w:lastRowFirstColumn="0" w:lastRowLastColumn="0"/>
            </w:pPr>
            <w:r w:rsidRPr="004D1BC6">
              <w:t>13.6</w:t>
            </w:r>
          </w:p>
        </w:tc>
        <w:tc>
          <w:tcPr>
            <w:tcW w:w="1106" w:type="dxa"/>
            <w:vAlign w:val="top"/>
          </w:tcPr>
          <w:p w:rsidR="00AF6FBB" w:rsidRPr="00AF6FBB" w:rsidRDefault="00AF6FBB" w:rsidP="00AF6FBB">
            <w:pPr>
              <w:cnfStyle w:val="000000010000" w:firstRow="0" w:lastRow="0" w:firstColumn="0" w:lastColumn="0" w:oddVBand="0" w:evenVBand="0" w:oddHBand="0" w:evenHBand="1" w:firstRowFirstColumn="0" w:firstRowLastColumn="0" w:lastRowFirstColumn="0" w:lastRowLastColumn="0"/>
            </w:pPr>
            <w:r w:rsidRPr="004D1BC6">
              <w:t>11.6</w:t>
            </w:r>
          </w:p>
        </w:tc>
        <w:tc>
          <w:tcPr>
            <w:tcW w:w="232" w:type="dxa"/>
          </w:tcPr>
          <w:p w:rsidR="00AF6FBB" w:rsidRPr="004D1BC6" w:rsidRDefault="00AF6FBB" w:rsidP="00AF6FBB">
            <w:pPr>
              <w:cnfStyle w:val="000000010000" w:firstRow="0" w:lastRow="0" w:firstColumn="0" w:lastColumn="0" w:oddVBand="0" w:evenVBand="0" w:oddHBand="0" w:evenHBand="1" w:firstRowFirstColumn="0" w:firstRowLastColumn="0" w:lastRowFirstColumn="0" w:lastRowLastColumn="0"/>
            </w:pPr>
          </w:p>
        </w:tc>
        <w:tc>
          <w:tcPr>
            <w:tcW w:w="1430" w:type="dxa"/>
            <w:vAlign w:val="top"/>
          </w:tcPr>
          <w:p w:rsidR="00AF6FBB" w:rsidRPr="00AF6FBB" w:rsidRDefault="00AF6FBB" w:rsidP="00AF6FBB">
            <w:pPr>
              <w:cnfStyle w:val="000000010000" w:firstRow="0" w:lastRow="0" w:firstColumn="0" w:lastColumn="0" w:oddVBand="0" w:evenVBand="0" w:oddHBand="0" w:evenHBand="1" w:firstRowFirstColumn="0" w:firstRowLastColumn="0" w:lastRowFirstColumn="0" w:lastRowLastColumn="0"/>
            </w:pPr>
            <w:r w:rsidRPr="004D1BC6">
              <w:t>9.6</w:t>
            </w:r>
          </w:p>
        </w:tc>
        <w:tc>
          <w:tcPr>
            <w:tcW w:w="1430" w:type="dxa"/>
            <w:vAlign w:val="top"/>
          </w:tcPr>
          <w:p w:rsidR="00AF6FBB" w:rsidRPr="00AF6FBB" w:rsidRDefault="00AF6FBB" w:rsidP="00AF6FBB">
            <w:pPr>
              <w:cnfStyle w:val="000000010000" w:firstRow="0" w:lastRow="0" w:firstColumn="0" w:lastColumn="0" w:oddVBand="0" w:evenVBand="0" w:oddHBand="0" w:evenHBand="1" w:firstRowFirstColumn="0" w:firstRowLastColumn="0" w:lastRowFirstColumn="0" w:lastRowLastColumn="0"/>
            </w:pPr>
            <w:r w:rsidRPr="004D1BC6">
              <w:t>11.2</w:t>
            </w:r>
          </w:p>
        </w:tc>
        <w:tc>
          <w:tcPr>
            <w:tcW w:w="1431" w:type="dxa"/>
            <w:vAlign w:val="top"/>
          </w:tcPr>
          <w:p w:rsidR="00AF6FBB" w:rsidRPr="00AF6FBB" w:rsidRDefault="00AF6FBB" w:rsidP="00AF6FBB">
            <w:pPr>
              <w:cnfStyle w:val="000000010000" w:firstRow="0" w:lastRow="0" w:firstColumn="0" w:lastColumn="0" w:oddVBand="0" w:evenVBand="0" w:oddHBand="0" w:evenHBand="1" w:firstRowFirstColumn="0" w:firstRowLastColumn="0" w:lastRowFirstColumn="0" w:lastRowLastColumn="0"/>
            </w:pPr>
            <w:r w:rsidRPr="004D1BC6">
              <w:t>9.6</w:t>
            </w:r>
          </w:p>
        </w:tc>
      </w:tr>
      <w:tr w:rsidR="00AF6FBB" w:rsidRPr="000C7BEC" w:rsidTr="00AF6FBB">
        <w:tc>
          <w:tcPr>
            <w:cnfStyle w:val="001000000000" w:firstRow="0" w:lastRow="0" w:firstColumn="1" w:lastColumn="0" w:oddVBand="0" w:evenVBand="0" w:oddHBand="0" w:evenHBand="0" w:firstRowFirstColumn="0" w:firstRowLastColumn="0" w:lastRowFirstColumn="0" w:lastRowLastColumn="0"/>
            <w:tcW w:w="867" w:type="dxa"/>
          </w:tcPr>
          <w:p w:rsidR="00AF6FBB" w:rsidRPr="00AF6FBB" w:rsidRDefault="00AF6FBB" w:rsidP="00AF6FBB">
            <w:r w:rsidRPr="004D1BC6">
              <w:t>3</w:t>
            </w:r>
          </w:p>
        </w:tc>
        <w:tc>
          <w:tcPr>
            <w:tcW w:w="1106" w:type="dxa"/>
            <w:vAlign w:val="top"/>
          </w:tcPr>
          <w:p w:rsidR="00AF6FBB" w:rsidRPr="00AF6FBB" w:rsidRDefault="00AF6FBB" w:rsidP="00AF6FBB">
            <w:pPr>
              <w:cnfStyle w:val="000000000000" w:firstRow="0" w:lastRow="0" w:firstColumn="0" w:lastColumn="0" w:oddVBand="0" w:evenVBand="0" w:oddHBand="0" w:evenHBand="0" w:firstRowFirstColumn="0" w:firstRowLastColumn="0" w:lastRowFirstColumn="0" w:lastRowLastColumn="0"/>
            </w:pPr>
            <w:r w:rsidRPr="004D1BC6">
              <w:t>11.6</w:t>
            </w:r>
          </w:p>
        </w:tc>
        <w:tc>
          <w:tcPr>
            <w:tcW w:w="1106" w:type="dxa"/>
            <w:vAlign w:val="top"/>
          </w:tcPr>
          <w:p w:rsidR="00AF6FBB" w:rsidRPr="00AF6FBB" w:rsidRDefault="00AF6FBB" w:rsidP="00AF6FBB">
            <w:pPr>
              <w:cnfStyle w:val="000000000000" w:firstRow="0" w:lastRow="0" w:firstColumn="0" w:lastColumn="0" w:oddVBand="0" w:evenVBand="0" w:oddHBand="0" w:evenHBand="0" w:firstRowFirstColumn="0" w:firstRowLastColumn="0" w:lastRowFirstColumn="0" w:lastRowLastColumn="0"/>
            </w:pPr>
            <w:r w:rsidRPr="004D1BC6">
              <w:t>13.2</w:t>
            </w:r>
          </w:p>
        </w:tc>
        <w:tc>
          <w:tcPr>
            <w:tcW w:w="1106" w:type="dxa"/>
            <w:vAlign w:val="top"/>
          </w:tcPr>
          <w:p w:rsidR="00AF6FBB" w:rsidRPr="00AF6FBB" w:rsidRDefault="00AF6FBB" w:rsidP="00AF6FBB">
            <w:pPr>
              <w:cnfStyle w:val="000000000000" w:firstRow="0" w:lastRow="0" w:firstColumn="0" w:lastColumn="0" w:oddVBand="0" w:evenVBand="0" w:oddHBand="0" w:evenHBand="0" w:firstRowFirstColumn="0" w:firstRowLastColumn="0" w:lastRowFirstColumn="0" w:lastRowLastColumn="0"/>
            </w:pPr>
            <w:r w:rsidRPr="004D1BC6">
              <w:t>11.6</w:t>
            </w:r>
          </w:p>
        </w:tc>
        <w:tc>
          <w:tcPr>
            <w:tcW w:w="232" w:type="dxa"/>
          </w:tcPr>
          <w:p w:rsidR="00AF6FBB" w:rsidRPr="004D1BC6" w:rsidRDefault="00AF6FBB" w:rsidP="00AF6FBB">
            <w:pPr>
              <w:cnfStyle w:val="000000000000" w:firstRow="0" w:lastRow="0" w:firstColumn="0" w:lastColumn="0" w:oddVBand="0" w:evenVBand="0" w:oddHBand="0" w:evenHBand="0" w:firstRowFirstColumn="0" w:firstRowLastColumn="0" w:lastRowFirstColumn="0" w:lastRowLastColumn="0"/>
            </w:pPr>
          </w:p>
        </w:tc>
        <w:tc>
          <w:tcPr>
            <w:tcW w:w="1430" w:type="dxa"/>
            <w:vAlign w:val="top"/>
          </w:tcPr>
          <w:p w:rsidR="00AF6FBB" w:rsidRPr="00AF6FBB" w:rsidRDefault="00AF6FBB" w:rsidP="00AF6FBB">
            <w:pPr>
              <w:cnfStyle w:val="000000000000" w:firstRow="0" w:lastRow="0" w:firstColumn="0" w:lastColumn="0" w:oddVBand="0" w:evenVBand="0" w:oddHBand="0" w:evenHBand="0" w:firstRowFirstColumn="0" w:firstRowLastColumn="0" w:lastRowFirstColumn="0" w:lastRowLastColumn="0"/>
            </w:pPr>
            <w:r w:rsidRPr="004D1BC6">
              <w:t>8.7</w:t>
            </w:r>
          </w:p>
        </w:tc>
        <w:tc>
          <w:tcPr>
            <w:tcW w:w="1430" w:type="dxa"/>
            <w:vAlign w:val="top"/>
          </w:tcPr>
          <w:p w:rsidR="00AF6FBB" w:rsidRPr="00AF6FBB" w:rsidRDefault="00AF6FBB" w:rsidP="00AF6FBB">
            <w:pPr>
              <w:cnfStyle w:val="000000000000" w:firstRow="0" w:lastRow="0" w:firstColumn="0" w:lastColumn="0" w:oddVBand="0" w:evenVBand="0" w:oddHBand="0" w:evenHBand="0" w:firstRowFirstColumn="0" w:firstRowLastColumn="0" w:lastRowFirstColumn="0" w:lastRowLastColumn="0"/>
            </w:pPr>
            <w:r w:rsidRPr="004D1BC6">
              <w:t>9.9</w:t>
            </w:r>
          </w:p>
        </w:tc>
        <w:tc>
          <w:tcPr>
            <w:tcW w:w="1431" w:type="dxa"/>
            <w:vAlign w:val="top"/>
          </w:tcPr>
          <w:p w:rsidR="00AF6FBB" w:rsidRPr="00AF6FBB" w:rsidRDefault="00AF6FBB" w:rsidP="00AF6FBB">
            <w:pPr>
              <w:cnfStyle w:val="000000000000" w:firstRow="0" w:lastRow="0" w:firstColumn="0" w:lastColumn="0" w:oddVBand="0" w:evenVBand="0" w:oddHBand="0" w:evenHBand="0" w:firstRowFirstColumn="0" w:firstRowLastColumn="0" w:lastRowFirstColumn="0" w:lastRowLastColumn="0"/>
            </w:pPr>
            <w:r w:rsidRPr="004D1BC6">
              <w:t>8.7</w:t>
            </w:r>
          </w:p>
        </w:tc>
      </w:tr>
      <w:tr w:rsidR="00AF6FBB" w:rsidRPr="000C7BEC" w:rsidTr="00AF6F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7" w:type="dxa"/>
          </w:tcPr>
          <w:p w:rsidR="00AF6FBB" w:rsidRPr="00AF6FBB" w:rsidRDefault="00AF6FBB" w:rsidP="00AF6FBB">
            <w:r w:rsidRPr="004D1BC6">
              <w:t>4</w:t>
            </w:r>
          </w:p>
        </w:tc>
        <w:tc>
          <w:tcPr>
            <w:tcW w:w="1106" w:type="dxa"/>
            <w:vAlign w:val="top"/>
          </w:tcPr>
          <w:p w:rsidR="00AF6FBB" w:rsidRPr="00AF6FBB" w:rsidRDefault="00AF6FBB" w:rsidP="00AF6FBB">
            <w:pPr>
              <w:cnfStyle w:val="000000010000" w:firstRow="0" w:lastRow="0" w:firstColumn="0" w:lastColumn="0" w:oddVBand="0" w:evenVBand="0" w:oddHBand="0" w:evenHBand="1" w:firstRowFirstColumn="0" w:firstRowLastColumn="0" w:lastRowFirstColumn="0" w:lastRowLastColumn="0"/>
            </w:pPr>
            <w:r w:rsidRPr="004D1BC6">
              <w:t>11.5</w:t>
            </w:r>
          </w:p>
        </w:tc>
        <w:tc>
          <w:tcPr>
            <w:tcW w:w="1106" w:type="dxa"/>
            <w:vAlign w:val="top"/>
          </w:tcPr>
          <w:p w:rsidR="00AF6FBB" w:rsidRPr="00AF6FBB" w:rsidRDefault="00AF6FBB" w:rsidP="00AF6FBB">
            <w:pPr>
              <w:cnfStyle w:val="000000010000" w:firstRow="0" w:lastRow="0" w:firstColumn="0" w:lastColumn="0" w:oddVBand="0" w:evenVBand="0" w:oddHBand="0" w:evenHBand="1" w:firstRowFirstColumn="0" w:firstRowLastColumn="0" w:lastRowFirstColumn="0" w:lastRowLastColumn="0"/>
            </w:pPr>
            <w:r w:rsidRPr="004D1BC6">
              <w:t>12.8</w:t>
            </w:r>
          </w:p>
        </w:tc>
        <w:tc>
          <w:tcPr>
            <w:tcW w:w="1106" w:type="dxa"/>
            <w:vAlign w:val="top"/>
          </w:tcPr>
          <w:p w:rsidR="00AF6FBB" w:rsidRPr="00AF6FBB" w:rsidRDefault="00AF6FBB" w:rsidP="00AF6FBB">
            <w:pPr>
              <w:cnfStyle w:val="000000010000" w:firstRow="0" w:lastRow="0" w:firstColumn="0" w:lastColumn="0" w:oddVBand="0" w:evenVBand="0" w:oddHBand="0" w:evenHBand="1" w:firstRowFirstColumn="0" w:firstRowLastColumn="0" w:lastRowFirstColumn="0" w:lastRowLastColumn="0"/>
            </w:pPr>
            <w:r w:rsidRPr="004D1BC6">
              <w:t>11.5</w:t>
            </w:r>
          </w:p>
        </w:tc>
        <w:tc>
          <w:tcPr>
            <w:tcW w:w="232" w:type="dxa"/>
          </w:tcPr>
          <w:p w:rsidR="00AF6FBB" w:rsidRPr="004D1BC6" w:rsidRDefault="00AF6FBB" w:rsidP="00AF6FBB">
            <w:pPr>
              <w:cnfStyle w:val="000000010000" w:firstRow="0" w:lastRow="0" w:firstColumn="0" w:lastColumn="0" w:oddVBand="0" w:evenVBand="0" w:oddHBand="0" w:evenHBand="1" w:firstRowFirstColumn="0" w:firstRowLastColumn="0" w:lastRowFirstColumn="0" w:lastRowLastColumn="0"/>
            </w:pPr>
          </w:p>
        </w:tc>
        <w:tc>
          <w:tcPr>
            <w:tcW w:w="1430" w:type="dxa"/>
            <w:vAlign w:val="top"/>
          </w:tcPr>
          <w:p w:rsidR="00AF6FBB" w:rsidRPr="00AF6FBB" w:rsidRDefault="00AF6FBB" w:rsidP="00AF6FBB">
            <w:pPr>
              <w:cnfStyle w:val="000000010000" w:firstRow="0" w:lastRow="0" w:firstColumn="0" w:lastColumn="0" w:oddVBand="0" w:evenVBand="0" w:oddHBand="0" w:evenHBand="1" w:firstRowFirstColumn="0" w:firstRowLastColumn="0" w:lastRowFirstColumn="0" w:lastRowLastColumn="0"/>
            </w:pPr>
            <w:r w:rsidRPr="004D1BC6">
              <w:t>7.9</w:t>
            </w:r>
          </w:p>
        </w:tc>
        <w:tc>
          <w:tcPr>
            <w:tcW w:w="1430" w:type="dxa"/>
            <w:vAlign w:val="top"/>
          </w:tcPr>
          <w:p w:rsidR="00AF6FBB" w:rsidRPr="00AF6FBB" w:rsidRDefault="00AF6FBB" w:rsidP="00AF6FBB">
            <w:pPr>
              <w:cnfStyle w:val="000000010000" w:firstRow="0" w:lastRow="0" w:firstColumn="0" w:lastColumn="0" w:oddVBand="0" w:evenVBand="0" w:oddHBand="0" w:evenHBand="1" w:firstRowFirstColumn="0" w:firstRowLastColumn="0" w:lastRowFirstColumn="0" w:lastRowLastColumn="0"/>
            </w:pPr>
            <w:r w:rsidRPr="004D1BC6">
              <w:t>8.7</w:t>
            </w:r>
          </w:p>
        </w:tc>
        <w:tc>
          <w:tcPr>
            <w:tcW w:w="1431" w:type="dxa"/>
            <w:vAlign w:val="top"/>
          </w:tcPr>
          <w:p w:rsidR="00AF6FBB" w:rsidRPr="00AF6FBB" w:rsidRDefault="00AF6FBB" w:rsidP="00AF6FBB">
            <w:pPr>
              <w:cnfStyle w:val="000000010000" w:firstRow="0" w:lastRow="0" w:firstColumn="0" w:lastColumn="0" w:oddVBand="0" w:evenVBand="0" w:oddHBand="0" w:evenHBand="1" w:firstRowFirstColumn="0" w:firstRowLastColumn="0" w:lastRowFirstColumn="0" w:lastRowLastColumn="0"/>
            </w:pPr>
            <w:r w:rsidRPr="004D1BC6">
              <w:t>7.9</w:t>
            </w:r>
          </w:p>
        </w:tc>
      </w:tr>
      <w:tr w:rsidR="00AF6FBB" w:rsidRPr="000C7BEC" w:rsidTr="00AF6FBB">
        <w:tc>
          <w:tcPr>
            <w:cnfStyle w:val="001000000000" w:firstRow="0" w:lastRow="0" w:firstColumn="1" w:lastColumn="0" w:oddVBand="0" w:evenVBand="0" w:oddHBand="0" w:evenHBand="0" w:firstRowFirstColumn="0" w:firstRowLastColumn="0" w:lastRowFirstColumn="0" w:lastRowLastColumn="0"/>
            <w:tcW w:w="867" w:type="dxa"/>
          </w:tcPr>
          <w:p w:rsidR="00AF6FBB" w:rsidRPr="00AF6FBB" w:rsidRDefault="00AF6FBB" w:rsidP="00AF6FBB">
            <w:r w:rsidRPr="004D1BC6">
              <w:t>5</w:t>
            </w:r>
          </w:p>
        </w:tc>
        <w:tc>
          <w:tcPr>
            <w:tcW w:w="1106" w:type="dxa"/>
            <w:vAlign w:val="top"/>
          </w:tcPr>
          <w:p w:rsidR="00AF6FBB" w:rsidRPr="00AF6FBB" w:rsidRDefault="00AF6FBB" w:rsidP="00AF6FBB">
            <w:pPr>
              <w:cnfStyle w:val="000000000000" w:firstRow="0" w:lastRow="0" w:firstColumn="0" w:lastColumn="0" w:oddVBand="0" w:evenVBand="0" w:oddHBand="0" w:evenHBand="0" w:firstRowFirstColumn="0" w:firstRowLastColumn="0" w:lastRowFirstColumn="0" w:lastRowLastColumn="0"/>
            </w:pPr>
            <w:r w:rsidRPr="004D1BC6">
              <w:t>11.5</w:t>
            </w:r>
          </w:p>
        </w:tc>
        <w:tc>
          <w:tcPr>
            <w:tcW w:w="1106" w:type="dxa"/>
            <w:vAlign w:val="top"/>
          </w:tcPr>
          <w:p w:rsidR="00AF6FBB" w:rsidRPr="00AF6FBB" w:rsidRDefault="00AF6FBB" w:rsidP="00AF6FBB">
            <w:pPr>
              <w:cnfStyle w:val="000000000000" w:firstRow="0" w:lastRow="0" w:firstColumn="0" w:lastColumn="0" w:oddVBand="0" w:evenVBand="0" w:oddHBand="0" w:evenHBand="0" w:firstRowFirstColumn="0" w:firstRowLastColumn="0" w:lastRowFirstColumn="0" w:lastRowLastColumn="0"/>
            </w:pPr>
            <w:r w:rsidRPr="004D1BC6">
              <w:t>12.4</w:t>
            </w:r>
          </w:p>
        </w:tc>
        <w:tc>
          <w:tcPr>
            <w:tcW w:w="1106" w:type="dxa"/>
            <w:vAlign w:val="top"/>
          </w:tcPr>
          <w:p w:rsidR="00AF6FBB" w:rsidRPr="00AF6FBB" w:rsidRDefault="00AF6FBB" w:rsidP="00AF6FBB">
            <w:pPr>
              <w:cnfStyle w:val="000000000000" w:firstRow="0" w:lastRow="0" w:firstColumn="0" w:lastColumn="0" w:oddVBand="0" w:evenVBand="0" w:oddHBand="0" w:evenHBand="0" w:firstRowFirstColumn="0" w:firstRowLastColumn="0" w:lastRowFirstColumn="0" w:lastRowLastColumn="0"/>
            </w:pPr>
            <w:r w:rsidRPr="004D1BC6">
              <w:t>11.5</w:t>
            </w:r>
          </w:p>
        </w:tc>
        <w:tc>
          <w:tcPr>
            <w:tcW w:w="232" w:type="dxa"/>
          </w:tcPr>
          <w:p w:rsidR="00AF6FBB" w:rsidRPr="004D1BC6" w:rsidRDefault="00AF6FBB" w:rsidP="00AF6FBB">
            <w:pPr>
              <w:cnfStyle w:val="000000000000" w:firstRow="0" w:lastRow="0" w:firstColumn="0" w:lastColumn="0" w:oddVBand="0" w:evenVBand="0" w:oddHBand="0" w:evenHBand="0" w:firstRowFirstColumn="0" w:firstRowLastColumn="0" w:lastRowFirstColumn="0" w:lastRowLastColumn="0"/>
            </w:pPr>
          </w:p>
        </w:tc>
        <w:tc>
          <w:tcPr>
            <w:tcW w:w="1430" w:type="dxa"/>
            <w:vAlign w:val="top"/>
          </w:tcPr>
          <w:p w:rsidR="00AF6FBB" w:rsidRPr="00AF6FBB" w:rsidRDefault="00AF6FBB" w:rsidP="00AF6FBB">
            <w:pPr>
              <w:cnfStyle w:val="000000000000" w:firstRow="0" w:lastRow="0" w:firstColumn="0" w:lastColumn="0" w:oddVBand="0" w:evenVBand="0" w:oddHBand="0" w:evenHBand="0" w:firstRowFirstColumn="0" w:firstRowLastColumn="0" w:lastRowFirstColumn="0" w:lastRowLastColumn="0"/>
            </w:pPr>
            <w:r w:rsidRPr="004D1BC6">
              <w:t>7.1</w:t>
            </w:r>
          </w:p>
        </w:tc>
        <w:tc>
          <w:tcPr>
            <w:tcW w:w="1430" w:type="dxa"/>
            <w:vAlign w:val="top"/>
          </w:tcPr>
          <w:p w:rsidR="00AF6FBB" w:rsidRPr="00AF6FBB" w:rsidRDefault="00AF6FBB" w:rsidP="00AF6FBB">
            <w:pPr>
              <w:cnfStyle w:val="000000000000" w:firstRow="0" w:lastRow="0" w:firstColumn="0" w:lastColumn="0" w:oddVBand="0" w:evenVBand="0" w:oddHBand="0" w:evenHBand="0" w:firstRowFirstColumn="0" w:firstRowLastColumn="0" w:lastRowFirstColumn="0" w:lastRowLastColumn="0"/>
            </w:pPr>
            <w:r w:rsidRPr="004D1BC6">
              <w:t>7.7</w:t>
            </w:r>
          </w:p>
        </w:tc>
        <w:tc>
          <w:tcPr>
            <w:tcW w:w="1431" w:type="dxa"/>
            <w:vAlign w:val="top"/>
          </w:tcPr>
          <w:p w:rsidR="00AF6FBB" w:rsidRPr="00AF6FBB" w:rsidRDefault="00AF6FBB" w:rsidP="00AF6FBB">
            <w:pPr>
              <w:cnfStyle w:val="000000000000" w:firstRow="0" w:lastRow="0" w:firstColumn="0" w:lastColumn="0" w:oddVBand="0" w:evenVBand="0" w:oddHBand="0" w:evenHBand="0" w:firstRowFirstColumn="0" w:firstRowLastColumn="0" w:lastRowFirstColumn="0" w:lastRowLastColumn="0"/>
            </w:pPr>
            <w:r w:rsidRPr="004D1BC6">
              <w:t>7.1</w:t>
            </w:r>
          </w:p>
        </w:tc>
      </w:tr>
      <w:tr w:rsidR="00AF6FBB" w:rsidRPr="000C7BEC" w:rsidTr="00AF6F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7" w:type="dxa"/>
          </w:tcPr>
          <w:p w:rsidR="00AF6FBB" w:rsidRPr="00AF6FBB" w:rsidRDefault="00AF6FBB" w:rsidP="00AF6FBB">
            <w:r w:rsidRPr="004D1BC6">
              <w:t>6</w:t>
            </w:r>
          </w:p>
        </w:tc>
        <w:tc>
          <w:tcPr>
            <w:tcW w:w="1106" w:type="dxa"/>
            <w:vAlign w:val="top"/>
          </w:tcPr>
          <w:p w:rsidR="00AF6FBB" w:rsidRPr="00AF6FBB" w:rsidRDefault="00AF6FBB" w:rsidP="00AF6FBB">
            <w:pPr>
              <w:cnfStyle w:val="000000010000" w:firstRow="0" w:lastRow="0" w:firstColumn="0" w:lastColumn="0" w:oddVBand="0" w:evenVBand="0" w:oddHBand="0" w:evenHBand="1" w:firstRowFirstColumn="0" w:firstRowLastColumn="0" w:lastRowFirstColumn="0" w:lastRowLastColumn="0"/>
            </w:pPr>
            <w:r w:rsidRPr="004D1BC6">
              <w:t>11.4</w:t>
            </w:r>
          </w:p>
        </w:tc>
        <w:tc>
          <w:tcPr>
            <w:tcW w:w="1106" w:type="dxa"/>
            <w:vAlign w:val="top"/>
          </w:tcPr>
          <w:p w:rsidR="00AF6FBB" w:rsidRPr="00AF6FBB" w:rsidRDefault="00AF6FBB" w:rsidP="00AF6FBB">
            <w:pPr>
              <w:cnfStyle w:val="000000010000" w:firstRow="0" w:lastRow="0" w:firstColumn="0" w:lastColumn="0" w:oddVBand="0" w:evenVBand="0" w:oddHBand="0" w:evenHBand="1" w:firstRowFirstColumn="0" w:firstRowLastColumn="0" w:lastRowFirstColumn="0" w:lastRowLastColumn="0"/>
            </w:pPr>
            <w:r w:rsidRPr="004D1BC6">
              <w:t>12.0</w:t>
            </w:r>
          </w:p>
        </w:tc>
        <w:tc>
          <w:tcPr>
            <w:tcW w:w="1106" w:type="dxa"/>
            <w:vAlign w:val="top"/>
          </w:tcPr>
          <w:p w:rsidR="00AF6FBB" w:rsidRPr="00AF6FBB" w:rsidRDefault="00AF6FBB" w:rsidP="00AF6FBB">
            <w:pPr>
              <w:cnfStyle w:val="000000010000" w:firstRow="0" w:lastRow="0" w:firstColumn="0" w:lastColumn="0" w:oddVBand="0" w:evenVBand="0" w:oddHBand="0" w:evenHBand="1" w:firstRowFirstColumn="0" w:firstRowLastColumn="0" w:lastRowFirstColumn="0" w:lastRowLastColumn="0"/>
            </w:pPr>
            <w:r w:rsidRPr="004D1BC6">
              <w:t>11.4</w:t>
            </w:r>
          </w:p>
        </w:tc>
        <w:tc>
          <w:tcPr>
            <w:tcW w:w="232" w:type="dxa"/>
          </w:tcPr>
          <w:p w:rsidR="00AF6FBB" w:rsidRPr="004D1BC6" w:rsidRDefault="00AF6FBB" w:rsidP="00AF6FBB">
            <w:pPr>
              <w:cnfStyle w:val="000000010000" w:firstRow="0" w:lastRow="0" w:firstColumn="0" w:lastColumn="0" w:oddVBand="0" w:evenVBand="0" w:oddHBand="0" w:evenHBand="1" w:firstRowFirstColumn="0" w:firstRowLastColumn="0" w:lastRowFirstColumn="0" w:lastRowLastColumn="0"/>
            </w:pPr>
          </w:p>
        </w:tc>
        <w:tc>
          <w:tcPr>
            <w:tcW w:w="1430" w:type="dxa"/>
            <w:vAlign w:val="top"/>
          </w:tcPr>
          <w:p w:rsidR="00AF6FBB" w:rsidRPr="00AF6FBB" w:rsidRDefault="00AF6FBB" w:rsidP="00AF6FBB">
            <w:pPr>
              <w:cnfStyle w:val="000000010000" w:firstRow="0" w:lastRow="0" w:firstColumn="0" w:lastColumn="0" w:oddVBand="0" w:evenVBand="0" w:oddHBand="0" w:evenHBand="1" w:firstRowFirstColumn="0" w:firstRowLastColumn="0" w:lastRowFirstColumn="0" w:lastRowLastColumn="0"/>
            </w:pPr>
            <w:r w:rsidRPr="004D1BC6">
              <w:t>6.5</w:t>
            </w:r>
          </w:p>
        </w:tc>
        <w:tc>
          <w:tcPr>
            <w:tcW w:w="1430" w:type="dxa"/>
            <w:vAlign w:val="top"/>
          </w:tcPr>
          <w:p w:rsidR="00AF6FBB" w:rsidRPr="00AF6FBB" w:rsidRDefault="00AF6FBB" w:rsidP="00AF6FBB">
            <w:pPr>
              <w:cnfStyle w:val="000000010000" w:firstRow="0" w:lastRow="0" w:firstColumn="0" w:lastColumn="0" w:oddVBand="0" w:evenVBand="0" w:oddHBand="0" w:evenHBand="1" w:firstRowFirstColumn="0" w:firstRowLastColumn="0" w:lastRowFirstColumn="0" w:lastRowLastColumn="0"/>
            </w:pPr>
            <w:r w:rsidRPr="004D1BC6">
              <w:t>6.8</w:t>
            </w:r>
          </w:p>
        </w:tc>
        <w:tc>
          <w:tcPr>
            <w:tcW w:w="1431" w:type="dxa"/>
            <w:vAlign w:val="top"/>
          </w:tcPr>
          <w:p w:rsidR="00AF6FBB" w:rsidRPr="00AF6FBB" w:rsidRDefault="00AF6FBB" w:rsidP="00AF6FBB">
            <w:pPr>
              <w:cnfStyle w:val="000000010000" w:firstRow="0" w:lastRow="0" w:firstColumn="0" w:lastColumn="0" w:oddVBand="0" w:evenVBand="0" w:oddHBand="0" w:evenHBand="1" w:firstRowFirstColumn="0" w:firstRowLastColumn="0" w:lastRowFirstColumn="0" w:lastRowLastColumn="0"/>
            </w:pPr>
            <w:r w:rsidRPr="004D1BC6">
              <w:t>6.5</w:t>
            </w:r>
          </w:p>
        </w:tc>
      </w:tr>
      <w:tr w:rsidR="00AF6FBB" w:rsidRPr="000C7BEC" w:rsidTr="00AF6FBB">
        <w:tc>
          <w:tcPr>
            <w:cnfStyle w:val="001000000000" w:firstRow="0" w:lastRow="0" w:firstColumn="1" w:lastColumn="0" w:oddVBand="0" w:evenVBand="0" w:oddHBand="0" w:evenHBand="0" w:firstRowFirstColumn="0" w:firstRowLastColumn="0" w:lastRowFirstColumn="0" w:lastRowLastColumn="0"/>
            <w:tcW w:w="867" w:type="dxa"/>
          </w:tcPr>
          <w:p w:rsidR="00AF6FBB" w:rsidRPr="00AF6FBB" w:rsidRDefault="00AF6FBB" w:rsidP="00AF6FBB">
            <w:r w:rsidRPr="004D1BC6">
              <w:t>7</w:t>
            </w:r>
          </w:p>
        </w:tc>
        <w:tc>
          <w:tcPr>
            <w:tcW w:w="1106" w:type="dxa"/>
            <w:vAlign w:val="top"/>
          </w:tcPr>
          <w:p w:rsidR="00AF6FBB" w:rsidRPr="00AF6FBB" w:rsidRDefault="00AF6FBB" w:rsidP="00AF6FBB">
            <w:pPr>
              <w:cnfStyle w:val="000000000000" w:firstRow="0" w:lastRow="0" w:firstColumn="0" w:lastColumn="0" w:oddVBand="0" w:evenVBand="0" w:oddHBand="0" w:evenHBand="0" w:firstRowFirstColumn="0" w:firstRowLastColumn="0" w:lastRowFirstColumn="0" w:lastRowLastColumn="0"/>
            </w:pPr>
            <w:r w:rsidRPr="004D1BC6">
              <w:t>11.4</w:t>
            </w:r>
          </w:p>
        </w:tc>
        <w:tc>
          <w:tcPr>
            <w:tcW w:w="1106" w:type="dxa"/>
            <w:vAlign w:val="top"/>
          </w:tcPr>
          <w:p w:rsidR="00AF6FBB" w:rsidRPr="00AF6FBB" w:rsidRDefault="00AF6FBB" w:rsidP="00AF6FBB">
            <w:pPr>
              <w:cnfStyle w:val="000000000000" w:firstRow="0" w:lastRow="0" w:firstColumn="0" w:lastColumn="0" w:oddVBand="0" w:evenVBand="0" w:oddHBand="0" w:evenHBand="0" w:firstRowFirstColumn="0" w:firstRowLastColumn="0" w:lastRowFirstColumn="0" w:lastRowLastColumn="0"/>
            </w:pPr>
            <w:r w:rsidRPr="004D1BC6">
              <w:t>11.6</w:t>
            </w:r>
          </w:p>
        </w:tc>
        <w:tc>
          <w:tcPr>
            <w:tcW w:w="1106" w:type="dxa"/>
            <w:vAlign w:val="top"/>
          </w:tcPr>
          <w:p w:rsidR="00AF6FBB" w:rsidRPr="00AF6FBB" w:rsidRDefault="00AF6FBB" w:rsidP="00AF6FBB">
            <w:pPr>
              <w:cnfStyle w:val="000000000000" w:firstRow="0" w:lastRow="0" w:firstColumn="0" w:lastColumn="0" w:oddVBand="0" w:evenVBand="0" w:oddHBand="0" w:evenHBand="0" w:firstRowFirstColumn="0" w:firstRowLastColumn="0" w:lastRowFirstColumn="0" w:lastRowLastColumn="0"/>
            </w:pPr>
            <w:r w:rsidRPr="004D1BC6">
              <w:t>11.4</w:t>
            </w:r>
          </w:p>
        </w:tc>
        <w:tc>
          <w:tcPr>
            <w:tcW w:w="232" w:type="dxa"/>
          </w:tcPr>
          <w:p w:rsidR="00AF6FBB" w:rsidRPr="004D1BC6" w:rsidRDefault="00AF6FBB" w:rsidP="00AF6FBB">
            <w:pPr>
              <w:cnfStyle w:val="000000000000" w:firstRow="0" w:lastRow="0" w:firstColumn="0" w:lastColumn="0" w:oddVBand="0" w:evenVBand="0" w:oddHBand="0" w:evenHBand="0" w:firstRowFirstColumn="0" w:firstRowLastColumn="0" w:lastRowFirstColumn="0" w:lastRowLastColumn="0"/>
            </w:pPr>
          </w:p>
        </w:tc>
        <w:tc>
          <w:tcPr>
            <w:tcW w:w="1430" w:type="dxa"/>
            <w:vAlign w:val="top"/>
          </w:tcPr>
          <w:p w:rsidR="00AF6FBB" w:rsidRPr="00AF6FBB" w:rsidRDefault="00AF6FBB" w:rsidP="00AF6FBB">
            <w:pPr>
              <w:cnfStyle w:val="000000000000" w:firstRow="0" w:lastRow="0" w:firstColumn="0" w:lastColumn="0" w:oddVBand="0" w:evenVBand="0" w:oddHBand="0" w:evenHBand="0" w:firstRowFirstColumn="0" w:firstRowLastColumn="0" w:lastRowFirstColumn="0" w:lastRowLastColumn="0"/>
            </w:pPr>
            <w:r w:rsidRPr="004D1BC6">
              <w:t>5.8</w:t>
            </w:r>
          </w:p>
        </w:tc>
        <w:tc>
          <w:tcPr>
            <w:tcW w:w="1430" w:type="dxa"/>
            <w:vAlign w:val="top"/>
          </w:tcPr>
          <w:p w:rsidR="00AF6FBB" w:rsidRPr="00AF6FBB" w:rsidRDefault="00AF6FBB" w:rsidP="00AF6FBB">
            <w:pPr>
              <w:cnfStyle w:val="000000000000" w:firstRow="0" w:lastRow="0" w:firstColumn="0" w:lastColumn="0" w:oddVBand="0" w:evenVBand="0" w:oddHBand="0" w:evenHBand="0" w:firstRowFirstColumn="0" w:firstRowLastColumn="0" w:lastRowFirstColumn="0" w:lastRowLastColumn="0"/>
            </w:pPr>
            <w:r w:rsidRPr="004D1BC6">
              <w:t>6.0</w:t>
            </w:r>
          </w:p>
        </w:tc>
        <w:tc>
          <w:tcPr>
            <w:tcW w:w="1431" w:type="dxa"/>
            <w:vAlign w:val="top"/>
          </w:tcPr>
          <w:p w:rsidR="00AF6FBB" w:rsidRPr="00AF6FBB" w:rsidRDefault="00AF6FBB" w:rsidP="00AF6FBB">
            <w:pPr>
              <w:cnfStyle w:val="000000000000" w:firstRow="0" w:lastRow="0" w:firstColumn="0" w:lastColumn="0" w:oddVBand="0" w:evenVBand="0" w:oddHBand="0" w:evenHBand="0" w:firstRowFirstColumn="0" w:firstRowLastColumn="0" w:lastRowFirstColumn="0" w:lastRowLastColumn="0"/>
            </w:pPr>
            <w:r w:rsidRPr="004D1BC6">
              <w:t>5.8</w:t>
            </w:r>
          </w:p>
        </w:tc>
      </w:tr>
      <w:tr w:rsidR="00AF6FBB" w:rsidRPr="000C7BEC" w:rsidTr="00AF6F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7" w:type="dxa"/>
          </w:tcPr>
          <w:p w:rsidR="00AF6FBB" w:rsidRPr="00AF6FBB" w:rsidRDefault="00AF6FBB" w:rsidP="00AF6FBB">
            <w:r w:rsidRPr="004D1BC6">
              <w:t>8</w:t>
            </w:r>
          </w:p>
        </w:tc>
        <w:tc>
          <w:tcPr>
            <w:tcW w:w="1106" w:type="dxa"/>
            <w:vAlign w:val="top"/>
          </w:tcPr>
          <w:p w:rsidR="00AF6FBB" w:rsidRPr="00AF6FBB" w:rsidRDefault="00AF6FBB" w:rsidP="00AF6FBB">
            <w:pPr>
              <w:cnfStyle w:val="000000010000" w:firstRow="0" w:lastRow="0" w:firstColumn="0" w:lastColumn="0" w:oddVBand="0" w:evenVBand="0" w:oddHBand="0" w:evenHBand="1" w:firstRowFirstColumn="0" w:firstRowLastColumn="0" w:lastRowFirstColumn="0" w:lastRowLastColumn="0"/>
            </w:pPr>
            <w:r w:rsidRPr="004D1BC6">
              <w:t>11.3</w:t>
            </w:r>
          </w:p>
        </w:tc>
        <w:tc>
          <w:tcPr>
            <w:tcW w:w="1106" w:type="dxa"/>
            <w:vAlign w:val="top"/>
          </w:tcPr>
          <w:p w:rsidR="00AF6FBB" w:rsidRPr="00AF6FBB" w:rsidRDefault="00AF6FBB" w:rsidP="00AF6FBB">
            <w:pPr>
              <w:cnfStyle w:val="000000010000" w:firstRow="0" w:lastRow="0" w:firstColumn="0" w:lastColumn="0" w:oddVBand="0" w:evenVBand="0" w:oddHBand="0" w:evenHBand="1" w:firstRowFirstColumn="0" w:firstRowLastColumn="0" w:lastRowFirstColumn="0" w:lastRowLastColumn="0"/>
            </w:pPr>
            <w:r w:rsidRPr="004D1BC6">
              <w:t>11.2</w:t>
            </w:r>
          </w:p>
        </w:tc>
        <w:tc>
          <w:tcPr>
            <w:tcW w:w="1106" w:type="dxa"/>
            <w:vAlign w:val="top"/>
          </w:tcPr>
          <w:p w:rsidR="00AF6FBB" w:rsidRPr="00AF6FBB" w:rsidRDefault="00AF6FBB" w:rsidP="00AF6FBB">
            <w:pPr>
              <w:cnfStyle w:val="000000010000" w:firstRow="0" w:lastRow="0" w:firstColumn="0" w:lastColumn="0" w:oddVBand="0" w:evenVBand="0" w:oddHBand="0" w:evenHBand="1" w:firstRowFirstColumn="0" w:firstRowLastColumn="0" w:lastRowFirstColumn="0" w:lastRowLastColumn="0"/>
            </w:pPr>
            <w:r w:rsidRPr="004D1BC6">
              <w:t>11.3</w:t>
            </w:r>
          </w:p>
        </w:tc>
        <w:tc>
          <w:tcPr>
            <w:tcW w:w="232" w:type="dxa"/>
          </w:tcPr>
          <w:p w:rsidR="00AF6FBB" w:rsidRPr="004D1BC6" w:rsidRDefault="00AF6FBB" w:rsidP="00AF6FBB">
            <w:pPr>
              <w:cnfStyle w:val="000000010000" w:firstRow="0" w:lastRow="0" w:firstColumn="0" w:lastColumn="0" w:oddVBand="0" w:evenVBand="0" w:oddHBand="0" w:evenHBand="1" w:firstRowFirstColumn="0" w:firstRowLastColumn="0" w:lastRowFirstColumn="0" w:lastRowLastColumn="0"/>
            </w:pPr>
          </w:p>
        </w:tc>
        <w:tc>
          <w:tcPr>
            <w:tcW w:w="1430" w:type="dxa"/>
            <w:vAlign w:val="top"/>
          </w:tcPr>
          <w:p w:rsidR="00AF6FBB" w:rsidRPr="00AF6FBB" w:rsidRDefault="00AF6FBB" w:rsidP="00AF6FBB">
            <w:pPr>
              <w:cnfStyle w:val="000000010000" w:firstRow="0" w:lastRow="0" w:firstColumn="0" w:lastColumn="0" w:oddVBand="0" w:evenVBand="0" w:oddHBand="0" w:evenHBand="1" w:firstRowFirstColumn="0" w:firstRowLastColumn="0" w:lastRowFirstColumn="0" w:lastRowLastColumn="0"/>
            </w:pPr>
            <w:r w:rsidRPr="004D1BC6">
              <w:t>5.3</w:t>
            </w:r>
          </w:p>
        </w:tc>
        <w:tc>
          <w:tcPr>
            <w:tcW w:w="1430" w:type="dxa"/>
            <w:vAlign w:val="top"/>
          </w:tcPr>
          <w:p w:rsidR="00AF6FBB" w:rsidRPr="00AF6FBB" w:rsidRDefault="00AF6FBB" w:rsidP="00AF6FBB">
            <w:pPr>
              <w:cnfStyle w:val="000000010000" w:firstRow="0" w:lastRow="0" w:firstColumn="0" w:lastColumn="0" w:oddVBand="0" w:evenVBand="0" w:oddHBand="0" w:evenHBand="1" w:firstRowFirstColumn="0" w:firstRowLastColumn="0" w:lastRowFirstColumn="0" w:lastRowLastColumn="0"/>
            </w:pPr>
            <w:r w:rsidRPr="004D1BC6">
              <w:t>5.2</w:t>
            </w:r>
          </w:p>
        </w:tc>
        <w:tc>
          <w:tcPr>
            <w:tcW w:w="1431" w:type="dxa"/>
            <w:vAlign w:val="top"/>
          </w:tcPr>
          <w:p w:rsidR="00AF6FBB" w:rsidRPr="00AF6FBB" w:rsidRDefault="00AF6FBB" w:rsidP="00AF6FBB">
            <w:pPr>
              <w:cnfStyle w:val="000000010000" w:firstRow="0" w:lastRow="0" w:firstColumn="0" w:lastColumn="0" w:oddVBand="0" w:evenVBand="0" w:oddHBand="0" w:evenHBand="1" w:firstRowFirstColumn="0" w:firstRowLastColumn="0" w:lastRowFirstColumn="0" w:lastRowLastColumn="0"/>
            </w:pPr>
            <w:r w:rsidRPr="004D1BC6">
              <w:t>5.3</w:t>
            </w:r>
          </w:p>
        </w:tc>
      </w:tr>
      <w:tr w:rsidR="00AF6FBB" w:rsidRPr="000C7BEC" w:rsidTr="00AF6FBB">
        <w:tc>
          <w:tcPr>
            <w:cnfStyle w:val="001000000000" w:firstRow="0" w:lastRow="0" w:firstColumn="1" w:lastColumn="0" w:oddVBand="0" w:evenVBand="0" w:oddHBand="0" w:evenHBand="0" w:firstRowFirstColumn="0" w:firstRowLastColumn="0" w:lastRowFirstColumn="0" w:lastRowLastColumn="0"/>
            <w:tcW w:w="867" w:type="dxa"/>
          </w:tcPr>
          <w:p w:rsidR="00AF6FBB" w:rsidRPr="00AF6FBB" w:rsidRDefault="00AF6FBB" w:rsidP="00AF6FBB">
            <w:r w:rsidRPr="004D1BC6">
              <w:t>9</w:t>
            </w:r>
          </w:p>
        </w:tc>
        <w:tc>
          <w:tcPr>
            <w:tcW w:w="1106" w:type="dxa"/>
            <w:vAlign w:val="top"/>
          </w:tcPr>
          <w:p w:rsidR="00AF6FBB" w:rsidRPr="00AF6FBB" w:rsidRDefault="00AF6FBB" w:rsidP="00AF6FBB">
            <w:pPr>
              <w:cnfStyle w:val="000000000000" w:firstRow="0" w:lastRow="0" w:firstColumn="0" w:lastColumn="0" w:oddVBand="0" w:evenVBand="0" w:oddHBand="0" w:evenHBand="0" w:firstRowFirstColumn="0" w:firstRowLastColumn="0" w:lastRowFirstColumn="0" w:lastRowLastColumn="0"/>
            </w:pPr>
            <w:r w:rsidRPr="004D1BC6">
              <w:t>11.2</w:t>
            </w:r>
          </w:p>
        </w:tc>
        <w:tc>
          <w:tcPr>
            <w:tcW w:w="1106" w:type="dxa"/>
            <w:vAlign w:val="top"/>
          </w:tcPr>
          <w:p w:rsidR="00AF6FBB" w:rsidRPr="00AF6FBB" w:rsidRDefault="00AF6FBB" w:rsidP="00AF6FBB">
            <w:pPr>
              <w:cnfStyle w:val="000000000000" w:firstRow="0" w:lastRow="0" w:firstColumn="0" w:lastColumn="0" w:oddVBand="0" w:evenVBand="0" w:oddHBand="0" w:evenHBand="0" w:firstRowFirstColumn="0" w:firstRowLastColumn="0" w:lastRowFirstColumn="0" w:lastRowLastColumn="0"/>
            </w:pPr>
            <w:r w:rsidRPr="004D1BC6">
              <w:t>10.8</w:t>
            </w:r>
          </w:p>
        </w:tc>
        <w:tc>
          <w:tcPr>
            <w:tcW w:w="1106" w:type="dxa"/>
            <w:vAlign w:val="top"/>
          </w:tcPr>
          <w:p w:rsidR="00AF6FBB" w:rsidRPr="00AF6FBB" w:rsidRDefault="00AF6FBB" w:rsidP="00AF6FBB">
            <w:pPr>
              <w:cnfStyle w:val="000000000000" w:firstRow="0" w:lastRow="0" w:firstColumn="0" w:lastColumn="0" w:oddVBand="0" w:evenVBand="0" w:oddHBand="0" w:evenHBand="0" w:firstRowFirstColumn="0" w:firstRowLastColumn="0" w:lastRowFirstColumn="0" w:lastRowLastColumn="0"/>
            </w:pPr>
            <w:r w:rsidRPr="004D1BC6">
              <w:t>11.2</w:t>
            </w:r>
          </w:p>
        </w:tc>
        <w:tc>
          <w:tcPr>
            <w:tcW w:w="232" w:type="dxa"/>
          </w:tcPr>
          <w:p w:rsidR="00AF6FBB" w:rsidRPr="004D1BC6" w:rsidRDefault="00AF6FBB" w:rsidP="00AF6FBB">
            <w:pPr>
              <w:cnfStyle w:val="000000000000" w:firstRow="0" w:lastRow="0" w:firstColumn="0" w:lastColumn="0" w:oddVBand="0" w:evenVBand="0" w:oddHBand="0" w:evenHBand="0" w:firstRowFirstColumn="0" w:firstRowLastColumn="0" w:lastRowFirstColumn="0" w:lastRowLastColumn="0"/>
            </w:pPr>
          </w:p>
        </w:tc>
        <w:tc>
          <w:tcPr>
            <w:tcW w:w="1430" w:type="dxa"/>
            <w:vAlign w:val="top"/>
          </w:tcPr>
          <w:p w:rsidR="00AF6FBB" w:rsidRPr="00AF6FBB" w:rsidRDefault="00AF6FBB" w:rsidP="00AF6FBB">
            <w:pPr>
              <w:cnfStyle w:val="000000000000" w:firstRow="0" w:lastRow="0" w:firstColumn="0" w:lastColumn="0" w:oddVBand="0" w:evenVBand="0" w:oddHBand="0" w:evenHBand="0" w:firstRowFirstColumn="0" w:firstRowLastColumn="0" w:lastRowFirstColumn="0" w:lastRowLastColumn="0"/>
            </w:pPr>
            <w:r w:rsidRPr="004D1BC6">
              <w:t>4.8</w:t>
            </w:r>
          </w:p>
        </w:tc>
        <w:tc>
          <w:tcPr>
            <w:tcW w:w="1430" w:type="dxa"/>
            <w:vAlign w:val="top"/>
          </w:tcPr>
          <w:p w:rsidR="00AF6FBB" w:rsidRPr="00AF6FBB" w:rsidRDefault="00AF6FBB" w:rsidP="00AF6FBB">
            <w:pPr>
              <w:cnfStyle w:val="000000000000" w:firstRow="0" w:lastRow="0" w:firstColumn="0" w:lastColumn="0" w:oddVBand="0" w:evenVBand="0" w:oddHBand="0" w:evenHBand="0" w:firstRowFirstColumn="0" w:firstRowLastColumn="0" w:lastRowFirstColumn="0" w:lastRowLastColumn="0"/>
            </w:pPr>
            <w:r w:rsidRPr="004D1BC6">
              <w:t>4.6</w:t>
            </w:r>
          </w:p>
        </w:tc>
        <w:tc>
          <w:tcPr>
            <w:tcW w:w="1431" w:type="dxa"/>
            <w:vAlign w:val="top"/>
          </w:tcPr>
          <w:p w:rsidR="00AF6FBB" w:rsidRPr="00AF6FBB" w:rsidRDefault="00AF6FBB" w:rsidP="00AF6FBB">
            <w:pPr>
              <w:cnfStyle w:val="000000000000" w:firstRow="0" w:lastRow="0" w:firstColumn="0" w:lastColumn="0" w:oddVBand="0" w:evenVBand="0" w:oddHBand="0" w:evenHBand="0" w:firstRowFirstColumn="0" w:firstRowLastColumn="0" w:lastRowFirstColumn="0" w:lastRowLastColumn="0"/>
            </w:pPr>
            <w:r w:rsidRPr="004D1BC6">
              <w:t>4.8</w:t>
            </w:r>
          </w:p>
        </w:tc>
      </w:tr>
      <w:tr w:rsidR="00AF6FBB" w:rsidRPr="000C7BEC" w:rsidTr="00AF6F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7" w:type="dxa"/>
          </w:tcPr>
          <w:p w:rsidR="00AF6FBB" w:rsidRPr="00AF6FBB" w:rsidRDefault="00AF6FBB" w:rsidP="00AF6FBB">
            <w:r w:rsidRPr="004D1BC6">
              <w:t>10</w:t>
            </w:r>
          </w:p>
        </w:tc>
        <w:tc>
          <w:tcPr>
            <w:tcW w:w="1106" w:type="dxa"/>
            <w:vAlign w:val="top"/>
          </w:tcPr>
          <w:p w:rsidR="00AF6FBB" w:rsidRPr="00AF6FBB" w:rsidRDefault="00AF6FBB" w:rsidP="00AF6FBB">
            <w:pPr>
              <w:cnfStyle w:val="000000010000" w:firstRow="0" w:lastRow="0" w:firstColumn="0" w:lastColumn="0" w:oddVBand="0" w:evenVBand="0" w:oddHBand="0" w:evenHBand="1" w:firstRowFirstColumn="0" w:firstRowLastColumn="0" w:lastRowFirstColumn="0" w:lastRowLastColumn="0"/>
            </w:pPr>
            <w:r w:rsidRPr="004D1BC6">
              <w:t>11.1</w:t>
            </w:r>
          </w:p>
        </w:tc>
        <w:tc>
          <w:tcPr>
            <w:tcW w:w="1106" w:type="dxa"/>
            <w:vAlign w:val="top"/>
          </w:tcPr>
          <w:p w:rsidR="00AF6FBB" w:rsidRPr="00AF6FBB" w:rsidRDefault="00AF6FBB" w:rsidP="00AF6FBB">
            <w:pPr>
              <w:cnfStyle w:val="000000010000" w:firstRow="0" w:lastRow="0" w:firstColumn="0" w:lastColumn="0" w:oddVBand="0" w:evenVBand="0" w:oddHBand="0" w:evenHBand="1" w:firstRowFirstColumn="0" w:firstRowLastColumn="0" w:lastRowFirstColumn="0" w:lastRowLastColumn="0"/>
            </w:pPr>
            <w:r w:rsidRPr="004D1BC6">
              <w:t>10.4</w:t>
            </w:r>
          </w:p>
        </w:tc>
        <w:tc>
          <w:tcPr>
            <w:tcW w:w="1106" w:type="dxa"/>
            <w:vAlign w:val="top"/>
          </w:tcPr>
          <w:p w:rsidR="00AF6FBB" w:rsidRPr="00AF6FBB" w:rsidRDefault="00AF6FBB" w:rsidP="00AF6FBB">
            <w:pPr>
              <w:cnfStyle w:val="000000010000" w:firstRow="0" w:lastRow="0" w:firstColumn="0" w:lastColumn="0" w:oddVBand="0" w:evenVBand="0" w:oddHBand="0" w:evenHBand="1" w:firstRowFirstColumn="0" w:firstRowLastColumn="0" w:lastRowFirstColumn="0" w:lastRowLastColumn="0"/>
            </w:pPr>
            <w:r w:rsidRPr="004D1BC6">
              <w:t>11.1</w:t>
            </w:r>
          </w:p>
        </w:tc>
        <w:tc>
          <w:tcPr>
            <w:tcW w:w="232" w:type="dxa"/>
          </w:tcPr>
          <w:p w:rsidR="00AF6FBB" w:rsidRPr="004D1BC6" w:rsidRDefault="00AF6FBB" w:rsidP="00AF6FBB">
            <w:pPr>
              <w:cnfStyle w:val="000000010000" w:firstRow="0" w:lastRow="0" w:firstColumn="0" w:lastColumn="0" w:oddVBand="0" w:evenVBand="0" w:oddHBand="0" w:evenHBand="1" w:firstRowFirstColumn="0" w:firstRowLastColumn="0" w:lastRowFirstColumn="0" w:lastRowLastColumn="0"/>
            </w:pPr>
          </w:p>
        </w:tc>
        <w:tc>
          <w:tcPr>
            <w:tcW w:w="1430" w:type="dxa"/>
            <w:vAlign w:val="top"/>
          </w:tcPr>
          <w:p w:rsidR="00AF6FBB" w:rsidRPr="00AF6FBB" w:rsidRDefault="00AF6FBB" w:rsidP="00AF6FBB">
            <w:pPr>
              <w:cnfStyle w:val="000000010000" w:firstRow="0" w:lastRow="0" w:firstColumn="0" w:lastColumn="0" w:oddVBand="0" w:evenVBand="0" w:oddHBand="0" w:evenHBand="1" w:firstRowFirstColumn="0" w:firstRowLastColumn="0" w:lastRowFirstColumn="0" w:lastRowLastColumn="0"/>
            </w:pPr>
            <w:r w:rsidRPr="004D1BC6">
              <w:t>4.3</w:t>
            </w:r>
          </w:p>
        </w:tc>
        <w:tc>
          <w:tcPr>
            <w:tcW w:w="1430" w:type="dxa"/>
            <w:vAlign w:val="top"/>
          </w:tcPr>
          <w:p w:rsidR="00AF6FBB" w:rsidRPr="00AF6FBB" w:rsidRDefault="00AF6FBB" w:rsidP="00AF6FBB">
            <w:pPr>
              <w:cnfStyle w:val="000000010000" w:firstRow="0" w:lastRow="0" w:firstColumn="0" w:lastColumn="0" w:oddVBand="0" w:evenVBand="0" w:oddHBand="0" w:evenHBand="1" w:firstRowFirstColumn="0" w:firstRowLastColumn="0" w:lastRowFirstColumn="0" w:lastRowLastColumn="0"/>
            </w:pPr>
            <w:r w:rsidRPr="004D1BC6">
              <w:t>4.0</w:t>
            </w:r>
          </w:p>
        </w:tc>
        <w:tc>
          <w:tcPr>
            <w:tcW w:w="1431" w:type="dxa"/>
            <w:vAlign w:val="top"/>
          </w:tcPr>
          <w:p w:rsidR="00AF6FBB" w:rsidRPr="00AF6FBB" w:rsidRDefault="00AF6FBB" w:rsidP="00AF6FBB">
            <w:pPr>
              <w:cnfStyle w:val="000000010000" w:firstRow="0" w:lastRow="0" w:firstColumn="0" w:lastColumn="0" w:oddVBand="0" w:evenVBand="0" w:oddHBand="0" w:evenHBand="1" w:firstRowFirstColumn="0" w:firstRowLastColumn="0" w:lastRowFirstColumn="0" w:lastRowLastColumn="0"/>
            </w:pPr>
            <w:r w:rsidRPr="004D1BC6">
              <w:t>4.3</w:t>
            </w:r>
          </w:p>
        </w:tc>
      </w:tr>
      <w:tr w:rsidR="00AF6FBB" w:rsidRPr="000C7BEC" w:rsidTr="00AF6FBB">
        <w:tc>
          <w:tcPr>
            <w:cnfStyle w:val="001000000000" w:firstRow="0" w:lastRow="0" w:firstColumn="1" w:lastColumn="0" w:oddVBand="0" w:evenVBand="0" w:oddHBand="0" w:evenHBand="0" w:firstRowFirstColumn="0" w:firstRowLastColumn="0" w:lastRowFirstColumn="0" w:lastRowLastColumn="0"/>
            <w:tcW w:w="867" w:type="dxa"/>
          </w:tcPr>
          <w:p w:rsidR="00AF6FBB" w:rsidRPr="00AF6FBB" w:rsidRDefault="00AF6FBB" w:rsidP="00AF6FBB">
            <w:r w:rsidRPr="004D1BC6">
              <w:t>11</w:t>
            </w:r>
          </w:p>
        </w:tc>
        <w:tc>
          <w:tcPr>
            <w:tcW w:w="1106" w:type="dxa"/>
            <w:vAlign w:val="top"/>
          </w:tcPr>
          <w:p w:rsidR="00AF6FBB" w:rsidRPr="00AF6FBB" w:rsidRDefault="00AF6FBB" w:rsidP="00AF6FBB">
            <w:pPr>
              <w:cnfStyle w:val="000000000000" w:firstRow="0" w:lastRow="0" w:firstColumn="0" w:lastColumn="0" w:oddVBand="0" w:evenVBand="0" w:oddHBand="0" w:evenHBand="0" w:firstRowFirstColumn="0" w:firstRowLastColumn="0" w:lastRowFirstColumn="0" w:lastRowLastColumn="0"/>
            </w:pPr>
            <w:r w:rsidRPr="004D1BC6">
              <w:t>11.0</w:t>
            </w:r>
          </w:p>
        </w:tc>
        <w:tc>
          <w:tcPr>
            <w:tcW w:w="1106" w:type="dxa"/>
            <w:vAlign w:val="top"/>
          </w:tcPr>
          <w:p w:rsidR="00AF6FBB" w:rsidRPr="00AF6FBB" w:rsidRDefault="00AF6FBB" w:rsidP="00AF6FBB">
            <w:pPr>
              <w:cnfStyle w:val="000000000000" w:firstRow="0" w:lastRow="0" w:firstColumn="0" w:lastColumn="0" w:oddVBand="0" w:evenVBand="0" w:oddHBand="0" w:evenHBand="0" w:firstRowFirstColumn="0" w:firstRowLastColumn="0" w:lastRowFirstColumn="0" w:lastRowLastColumn="0"/>
            </w:pPr>
            <w:r w:rsidRPr="004D1BC6">
              <w:t>10.0</w:t>
            </w:r>
          </w:p>
        </w:tc>
        <w:tc>
          <w:tcPr>
            <w:tcW w:w="1106" w:type="dxa"/>
            <w:vAlign w:val="top"/>
          </w:tcPr>
          <w:p w:rsidR="00AF6FBB" w:rsidRPr="00AF6FBB" w:rsidRDefault="00AF6FBB" w:rsidP="00AF6FBB">
            <w:pPr>
              <w:cnfStyle w:val="000000000000" w:firstRow="0" w:lastRow="0" w:firstColumn="0" w:lastColumn="0" w:oddVBand="0" w:evenVBand="0" w:oddHBand="0" w:evenHBand="0" w:firstRowFirstColumn="0" w:firstRowLastColumn="0" w:lastRowFirstColumn="0" w:lastRowLastColumn="0"/>
            </w:pPr>
            <w:r w:rsidRPr="004D1BC6">
              <w:t>8.3</w:t>
            </w:r>
          </w:p>
        </w:tc>
        <w:tc>
          <w:tcPr>
            <w:tcW w:w="232" w:type="dxa"/>
          </w:tcPr>
          <w:p w:rsidR="00AF6FBB" w:rsidRPr="004D1BC6" w:rsidRDefault="00AF6FBB" w:rsidP="00AF6FBB">
            <w:pPr>
              <w:cnfStyle w:val="000000000000" w:firstRow="0" w:lastRow="0" w:firstColumn="0" w:lastColumn="0" w:oddVBand="0" w:evenVBand="0" w:oddHBand="0" w:evenHBand="0" w:firstRowFirstColumn="0" w:firstRowLastColumn="0" w:lastRowFirstColumn="0" w:lastRowLastColumn="0"/>
            </w:pPr>
          </w:p>
        </w:tc>
        <w:tc>
          <w:tcPr>
            <w:tcW w:w="1430" w:type="dxa"/>
            <w:vAlign w:val="top"/>
          </w:tcPr>
          <w:p w:rsidR="00AF6FBB" w:rsidRPr="00AF6FBB" w:rsidRDefault="00AF6FBB" w:rsidP="00AF6FBB">
            <w:pPr>
              <w:cnfStyle w:val="000000000000" w:firstRow="0" w:lastRow="0" w:firstColumn="0" w:lastColumn="0" w:oddVBand="0" w:evenVBand="0" w:oddHBand="0" w:evenHBand="0" w:firstRowFirstColumn="0" w:firstRowLastColumn="0" w:lastRowFirstColumn="0" w:lastRowLastColumn="0"/>
            </w:pPr>
            <w:r w:rsidRPr="004D1BC6">
              <w:t>3.9</w:t>
            </w:r>
          </w:p>
        </w:tc>
        <w:tc>
          <w:tcPr>
            <w:tcW w:w="1430" w:type="dxa"/>
            <w:vAlign w:val="top"/>
          </w:tcPr>
          <w:p w:rsidR="00AF6FBB" w:rsidRPr="00AF6FBB" w:rsidRDefault="00AF6FBB" w:rsidP="00AF6FBB">
            <w:pPr>
              <w:cnfStyle w:val="000000000000" w:firstRow="0" w:lastRow="0" w:firstColumn="0" w:lastColumn="0" w:oddVBand="0" w:evenVBand="0" w:oddHBand="0" w:evenHBand="0" w:firstRowFirstColumn="0" w:firstRowLastColumn="0" w:lastRowFirstColumn="0" w:lastRowLastColumn="0"/>
            </w:pPr>
            <w:r w:rsidRPr="004D1BC6">
              <w:t>3.5</w:t>
            </w:r>
          </w:p>
        </w:tc>
        <w:tc>
          <w:tcPr>
            <w:tcW w:w="1431" w:type="dxa"/>
            <w:vAlign w:val="top"/>
          </w:tcPr>
          <w:p w:rsidR="00AF6FBB" w:rsidRPr="00AF6FBB" w:rsidRDefault="00AF6FBB" w:rsidP="00AF6FBB">
            <w:pPr>
              <w:cnfStyle w:val="000000000000" w:firstRow="0" w:lastRow="0" w:firstColumn="0" w:lastColumn="0" w:oddVBand="0" w:evenVBand="0" w:oddHBand="0" w:evenHBand="0" w:firstRowFirstColumn="0" w:firstRowLastColumn="0" w:lastRowFirstColumn="0" w:lastRowLastColumn="0"/>
            </w:pPr>
            <w:r w:rsidRPr="004D1BC6">
              <w:t>2.9</w:t>
            </w:r>
          </w:p>
        </w:tc>
      </w:tr>
      <w:tr w:rsidR="00AF6FBB" w:rsidRPr="000C7BEC" w:rsidTr="00AF6F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7" w:type="dxa"/>
          </w:tcPr>
          <w:p w:rsidR="00AF6FBB" w:rsidRPr="00AF6FBB" w:rsidRDefault="00AF6FBB" w:rsidP="00AF6FBB">
            <w:r w:rsidRPr="004D1BC6">
              <w:t>12</w:t>
            </w:r>
          </w:p>
        </w:tc>
        <w:tc>
          <w:tcPr>
            <w:tcW w:w="1106" w:type="dxa"/>
            <w:vAlign w:val="top"/>
          </w:tcPr>
          <w:p w:rsidR="00AF6FBB" w:rsidRPr="00AF6FBB" w:rsidRDefault="00AF6FBB" w:rsidP="00AF6FBB">
            <w:pPr>
              <w:cnfStyle w:val="000000010000" w:firstRow="0" w:lastRow="0" w:firstColumn="0" w:lastColumn="0" w:oddVBand="0" w:evenVBand="0" w:oddHBand="0" w:evenHBand="1" w:firstRowFirstColumn="0" w:firstRowLastColumn="0" w:lastRowFirstColumn="0" w:lastRowLastColumn="0"/>
            </w:pPr>
            <w:r w:rsidRPr="004D1BC6">
              <w:t>10.9</w:t>
            </w:r>
          </w:p>
        </w:tc>
        <w:tc>
          <w:tcPr>
            <w:tcW w:w="1106" w:type="dxa"/>
            <w:vAlign w:val="top"/>
          </w:tcPr>
          <w:p w:rsidR="00AF6FBB" w:rsidRPr="00AF6FBB" w:rsidRDefault="00AF6FBB" w:rsidP="00AF6FBB">
            <w:pPr>
              <w:cnfStyle w:val="000000010000" w:firstRow="0" w:lastRow="0" w:firstColumn="0" w:lastColumn="0" w:oddVBand="0" w:evenVBand="0" w:oddHBand="0" w:evenHBand="1" w:firstRowFirstColumn="0" w:firstRowLastColumn="0" w:lastRowFirstColumn="0" w:lastRowLastColumn="0"/>
            </w:pPr>
            <w:r w:rsidRPr="004D1BC6">
              <w:t>9.6</w:t>
            </w:r>
          </w:p>
        </w:tc>
        <w:tc>
          <w:tcPr>
            <w:tcW w:w="1106" w:type="dxa"/>
            <w:vAlign w:val="top"/>
          </w:tcPr>
          <w:p w:rsidR="00AF6FBB" w:rsidRPr="00AF6FBB" w:rsidRDefault="00AF6FBB" w:rsidP="00AF6FBB">
            <w:pPr>
              <w:cnfStyle w:val="000000010000" w:firstRow="0" w:lastRow="0" w:firstColumn="0" w:lastColumn="0" w:oddVBand="0" w:evenVBand="0" w:oddHBand="0" w:evenHBand="1" w:firstRowFirstColumn="0" w:firstRowLastColumn="0" w:lastRowFirstColumn="0" w:lastRowLastColumn="0"/>
            </w:pPr>
            <w:r w:rsidRPr="004D1BC6">
              <w:t>8.3</w:t>
            </w:r>
          </w:p>
        </w:tc>
        <w:tc>
          <w:tcPr>
            <w:tcW w:w="232" w:type="dxa"/>
          </w:tcPr>
          <w:p w:rsidR="00AF6FBB" w:rsidRPr="004D1BC6" w:rsidRDefault="00AF6FBB" w:rsidP="00AF6FBB">
            <w:pPr>
              <w:cnfStyle w:val="000000010000" w:firstRow="0" w:lastRow="0" w:firstColumn="0" w:lastColumn="0" w:oddVBand="0" w:evenVBand="0" w:oddHBand="0" w:evenHBand="1" w:firstRowFirstColumn="0" w:firstRowLastColumn="0" w:lastRowFirstColumn="0" w:lastRowLastColumn="0"/>
            </w:pPr>
          </w:p>
        </w:tc>
        <w:tc>
          <w:tcPr>
            <w:tcW w:w="1430" w:type="dxa"/>
            <w:vAlign w:val="top"/>
          </w:tcPr>
          <w:p w:rsidR="00AF6FBB" w:rsidRPr="00AF6FBB" w:rsidRDefault="00AF6FBB" w:rsidP="00AF6FBB">
            <w:pPr>
              <w:cnfStyle w:val="000000010000" w:firstRow="0" w:lastRow="0" w:firstColumn="0" w:lastColumn="0" w:oddVBand="0" w:evenVBand="0" w:oddHBand="0" w:evenHBand="1" w:firstRowFirstColumn="0" w:firstRowLastColumn="0" w:lastRowFirstColumn="0" w:lastRowLastColumn="0"/>
            </w:pPr>
            <w:r w:rsidRPr="004D1BC6">
              <w:t>3.5</w:t>
            </w:r>
          </w:p>
        </w:tc>
        <w:tc>
          <w:tcPr>
            <w:tcW w:w="1430" w:type="dxa"/>
            <w:vAlign w:val="top"/>
          </w:tcPr>
          <w:p w:rsidR="00AF6FBB" w:rsidRPr="00AF6FBB" w:rsidRDefault="00AF6FBB" w:rsidP="00AF6FBB">
            <w:pPr>
              <w:cnfStyle w:val="000000010000" w:firstRow="0" w:lastRow="0" w:firstColumn="0" w:lastColumn="0" w:oddVBand="0" w:evenVBand="0" w:oddHBand="0" w:evenHBand="1" w:firstRowFirstColumn="0" w:firstRowLastColumn="0" w:lastRowFirstColumn="0" w:lastRowLastColumn="0"/>
            </w:pPr>
            <w:r w:rsidRPr="004D1BC6">
              <w:t>3.1</w:t>
            </w:r>
          </w:p>
        </w:tc>
        <w:tc>
          <w:tcPr>
            <w:tcW w:w="1431" w:type="dxa"/>
            <w:vAlign w:val="top"/>
          </w:tcPr>
          <w:p w:rsidR="00AF6FBB" w:rsidRPr="00AF6FBB" w:rsidRDefault="00AF6FBB" w:rsidP="00AF6FBB">
            <w:pPr>
              <w:cnfStyle w:val="000000010000" w:firstRow="0" w:lastRow="0" w:firstColumn="0" w:lastColumn="0" w:oddVBand="0" w:evenVBand="0" w:oddHBand="0" w:evenHBand="1" w:firstRowFirstColumn="0" w:firstRowLastColumn="0" w:lastRowFirstColumn="0" w:lastRowLastColumn="0"/>
            </w:pPr>
            <w:r w:rsidRPr="004D1BC6">
              <w:t>2.7</w:t>
            </w:r>
          </w:p>
        </w:tc>
      </w:tr>
      <w:tr w:rsidR="00AF6FBB" w:rsidRPr="000C7BEC" w:rsidTr="00AF6FBB">
        <w:tc>
          <w:tcPr>
            <w:cnfStyle w:val="001000000000" w:firstRow="0" w:lastRow="0" w:firstColumn="1" w:lastColumn="0" w:oddVBand="0" w:evenVBand="0" w:oddHBand="0" w:evenHBand="0" w:firstRowFirstColumn="0" w:firstRowLastColumn="0" w:lastRowFirstColumn="0" w:lastRowLastColumn="0"/>
            <w:tcW w:w="867" w:type="dxa"/>
          </w:tcPr>
          <w:p w:rsidR="00AF6FBB" w:rsidRPr="00AF6FBB" w:rsidRDefault="00AF6FBB" w:rsidP="00AF6FBB">
            <w:r w:rsidRPr="004D1BC6">
              <w:t>13</w:t>
            </w:r>
          </w:p>
        </w:tc>
        <w:tc>
          <w:tcPr>
            <w:tcW w:w="1106" w:type="dxa"/>
            <w:vAlign w:val="top"/>
          </w:tcPr>
          <w:p w:rsidR="00AF6FBB" w:rsidRPr="00AF6FBB" w:rsidRDefault="00AF6FBB" w:rsidP="00AF6FBB">
            <w:pPr>
              <w:cnfStyle w:val="000000000000" w:firstRow="0" w:lastRow="0" w:firstColumn="0" w:lastColumn="0" w:oddVBand="0" w:evenVBand="0" w:oddHBand="0" w:evenHBand="0" w:firstRowFirstColumn="0" w:firstRowLastColumn="0" w:lastRowFirstColumn="0" w:lastRowLastColumn="0"/>
            </w:pPr>
            <w:r w:rsidRPr="004D1BC6">
              <w:t>10.8</w:t>
            </w:r>
          </w:p>
        </w:tc>
        <w:tc>
          <w:tcPr>
            <w:tcW w:w="1106" w:type="dxa"/>
            <w:vAlign w:val="top"/>
          </w:tcPr>
          <w:p w:rsidR="00AF6FBB" w:rsidRPr="00AF6FBB" w:rsidRDefault="00AF6FBB" w:rsidP="00AF6FBB">
            <w:pPr>
              <w:cnfStyle w:val="000000000000" w:firstRow="0" w:lastRow="0" w:firstColumn="0" w:lastColumn="0" w:oddVBand="0" w:evenVBand="0" w:oddHBand="0" w:evenHBand="0" w:firstRowFirstColumn="0" w:firstRowLastColumn="0" w:lastRowFirstColumn="0" w:lastRowLastColumn="0"/>
            </w:pPr>
            <w:r w:rsidRPr="004D1BC6">
              <w:t>9.2</w:t>
            </w:r>
          </w:p>
        </w:tc>
        <w:tc>
          <w:tcPr>
            <w:tcW w:w="1106" w:type="dxa"/>
            <w:vAlign w:val="top"/>
          </w:tcPr>
          <w:p w:rsidR="00AF6FBB" w:rsidRPr="00AF6FBB" w:rsidRDefault="00AF6FBB" w:rsidP="00AF6FBB">
            <w:pPr>
              <w:cnfStyle w:val="000000000000" w:firstRow="0" w:lastRow="0" w:firstColumn="0" w:lastColumn="0" w:oddVBand="0" w:evenVBand="0" w:oddHBand="0" w:evenHBand="0" w:firstRowFirstColumn="0" w:firstRowLastColumn="0" w:lastRowFirstColumn="0" w:lastRowLastColumn="0"/>
            </w:pPr>
            <w:r w:rsidRPr="004D1BC6">
              <w:t>8.3</w:t>
            </w:r>
          </w:p>
        </w:tc>
        <w:tc>
          <w:tcPr>
            <w:tcW w:w="232" w:type="dxa"/>
          </w:tcPr>
          <w:p w:rsidR="00AF6FBB" w:rsidRPr="004D1BC6" w:rsidRDefault="00AF6FBB" w:rsidP="00AF6FBB">
            <w:pPr>
              <w:cnfStyle w:val="000000000000" w:firstRow="0" w:lastRow="0" w:firstColumn="0" w:lastColumn="0" w:oddVBand="0" w:evenVBand="0" w:oddHBand="0" w:evenHBand="0" w:firstRowFirstColumn="0" w:firstRowLastColumn="0" w:lastRowFirstColumn="0" w:lastRowLastColumn="0"/>
            </w:pPr>
          </w:p>
        </w:tc>
        <w:tc>
          <w:tcPr>
            <w:tcW w:w="1430" w:type="dxa"/>
            <w:vAlign w:val="top"/>
          </w:tcPr>
          <w:p w:rsidR="00AF6FBB" w:rsidRPr="00AF6FBB" w:rsidRDefault="00AF6FBB" w:rsidP="00AF6FBB">
            <w:pPr>
              <w:cnfStyle w:val="000000000000" w:firstRow="0" w:lastRow="0" w:firstColumn="0" w:lastColumn="0" w:oddVBand="0" w:evenVBand="0" w:oddHBand="0" w:evenHBand="0" w:firstRowFirstColumn="0" w:firstRowLastColumn="0" w:lastRowFirstColumn="0" w:lastRowLastColumn="0"/>
            </w:pPr>
            <w:r w:rsidRPr="004D1BC6">
              <w:t>3.1</w:t>
            </w:r>
          </w:p>
        </w:tc>
        <w:tc>
          <w:tcPr>
            <w:tcW w:w="1430" w:type="dxa"/>
            <w:vAlign w:val="top"/>
          </w:tcPr>
          <w:p w:rsidR="00AF6FBB" w:rsidRPr="00AF6FBB" w:rsidRDefault="00AF6FBB" w:rsidP="00AF6FBB">
            <w:pPr>
              <w:cnfStyle w:val="000000000000" w:firstRow="0" w:lastRow="0" w:firstColumn="0" w:lastColumn="0" w:oddVBand="0" w:evenVBand="0" w:oddHBand="0" w:evenHBand="0" w:firstRowFirstColumn="0" w:firstRowLastColumn="0" w:lastRowFirstColumn="0" w:lastRowLastColumn="0"/>
            </w:pPr>
            <w:r w:rsidRPr="004D1BC6">
              <w:t>2.7</w:t>
            </w:r>
          </w:p>
        </w:tc>
        <w:tc>
          <w:tcPr>
            <w:tcW w:w="1431" w:type="dxa"/>
            <w:vAlign w:val="top"/>
          </w:tcPr>
          <w:p w:rsidR="00AF6FBB" w:rsidRPr="00AF6FBB" w:rsidRDefault="00AF6FBB" w:rsidP="00AF6FBB">
            <w:pPr>
              <w:cnfStyle w:val="000000000000" w:firstRow="0" w:lastRow="0" w:firstColumn="0" w:lastColumn="0" w:oddVBand="0" w:evenVBand="0" w:oddHBand="0" w:evenHBand="0" w:firstRowFirstColumn="0" w:firstRowLastColumn="0" w:lastRowFirstColumn="0" w:lastRowLastColumn="0"/>
            </w:pPr>
            <w:r w:rsidRPr="004D1BC6">
              <w:t>2.4</w:t>
            </w:r>
          </w:p>
        </w:tc>
      </w:tr>
      <w:tr w:rsidR="00AF6FBB" w:rsidRPr="000C7BEC" w:rsidTr="00AF6F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7" w:type="dxa"/>
          </w:tcPr>
          <w:p w:rsidR="00AF6FBB" w:rsidRPr="00AF6FBB" w:rsidRDefault="00AF6FBB" w:rsidP="00AF6FBB">
            <w:r w:rsidRPr="004D1BC6">
              <w:t>14</w:t>
            </w:r>
          </w:p>
        </w:tc>
        <w:tc>
          <w:tcPr>
            <w:tcW w:w="1106" w:type="dxa"/>
            <w:vAlign w:val="top"/>
          </w:tcPr>
          <w:p w:rsidR="00AF6FBB" w:rsidRPr="00AF6FBB" w:rsidRDefault="00AF6FBB" w:rsidP="00AF6FBB">
            <w:pPr>
              <w:cnfStyle w:val="000000010000" w:firstRow="0" w:lastRow="0" w:firstColumn="0" w:lastColumn="0" w:oddVBand="0" w:evenVBand="0" w:oddHBand="0" w:evenHBand="1" w:firstRowFirstColumn="0" w:firstRowLastColumn="0" w:lastRowFirstColumn="0" w:lastRowLastColumn="0"/>
            </w:pPr>
            <w:r w:rsidRPr="004D1BC6">
              <w:t>10.6</w:t>
            </w:r>
          </w:p>
        </w:tc>
        <w:tc>
          <w:tcPr>
            <w:tcW w:w="1106" w:type="dxa"/>
            <w:vAlign w:val="top"/>
          </w:tcPr>
          <w:p w:rsidR="00AF6FBB" w:rsidRPr="00AF6FBB" w:rsidRDefault="00AF6FBB" w:rsidP="00AF6FBB">
            <w:pPr>
              <w:cnfStyle w:val="000000010000" w:firstRow="0" w:lastRow="0" w:firstColumn="0" w:lastColumn="0" w:oddVBand="0" w:evenVBand="0" w:oddHBand="0" w:evenHBand="1" w:firstRowFirstColumn="0" w:firstRowLastColumn="0" w:lastRowFirstColumn="0" w:lastRowLastColumn="0"/>
            </w:pPr>
            <w:r w:rsidRPr="004D1BC6">
              <w:t>8.8</w:t>
            </w:r>
          </w:p>
        </w:tc>
        <w:tc>
          <w:tcPr>
            <w:tcW w:w="1106" w:type="dxa"/>
            <w:vAlign w:val="top"/>
          </w:tcPr>
          <w:p w:rsidR="00AF6FBB" w:rsidRPr="00AF6FBB" w:rsidRDefault="00AF6FBB" w:rsidP="00AF6FBB">
            <w:pPr>
              <w:cnfStyle w:val="000000010000" w:firstRow="0" w:lastRow="0" w:firstColumn="0" w:lastColumn="0" w:oddVBand="0" w:evenVBand="0" w:oddHBand="0" w:evenHBand="1" w:firstRowFirstColumn="0" w:firstRowLastColumn="0" w:lastRowFirstColumn="0" w:lastRowLastColumn="0"/>
            </w:pPr>
            <w:r w:rsidRPr="004D1BC6">
              <w:t>8.3</w:t>
            </w:r>
          </w:p>
        </w:tc>
        <w:tc>
          <w:tcPr>
            <w:tcW w:w="232" w:type="dxa"/>
          </w:tcPr>
          <w:p w:rsidR="00AF6FBB" w:rsidRPr="004D1BC6" w:rsidRDefault="00AF6FBB" w:rsidP="00AF6FBB">
            <w:pPr>
              <w:cnfStyle w:val="000000010000" w:firstRow="0" w:lastRow="0" w:firstColumn="0" w:lastColumn="0" w:oddVBand="0" w:evenVBand="0" w:oddHBand="0" w:evenHBand="1" w:firstRowFirstColumn="0" w:firstRowLastColumn="0" w:lastRowFirstColumn="0" w:lastRowLastColumn="0"/>
            </w:pPr>
          </w:p>
        </w:tc>
        <w:tc>
          <w:tcPr>
            <w:tcW w:w="1430" w:type="dxa"/>
            <w:vAlign w:val="top"/>
          </w:tcPr>
          <w:p w:rsidR="00AF6FBB" w:rsidRPr="00AF6FBB" w:rsidRDefault="00AF6FBB" w:rsidP="00AF6FBB">
            <w:pPr>
              <w:cnfStyle w:val="000000010000" w:firstRow="0" w:lastRow="0" w:firstColumn="0" w:lastColumn="0" w:oddVBand="0" w:evenVBand="0" w:oddHBand="0" w:evenHBand="1" w:firstRowFirstColumn="0" w:firstRowLastColumn="0" w:lastRowFirstColumn="0" w:lastRowLastColumn="0"/>
            </w:pPr>
            <w:r w:rsidRPr="004D1BC6">
              <w:t>2.8</w:t>
            </w:r>
          </w:p>
        </w:tc>
        <w:tc>
          <w:tcPr>
            <w:tcW w:w="1430" w:type="dxa"/>
            <w:vAlign w:val="top"/>
          </w:tcPr>
          <w:p w:rsidR="00AF6FBB" w:rsidRPr="00AF6FBB" w:rsidRDefault="00AF6FBB" w:rsidP="00AF6FBB">
            <w:pPr>
              <w:cnfStyle w:val="000000010000" w:firstRow="0" w:lastRow="0" w:firstColumn="0" w:lastColumn="0" w:oddVBand="0" w:evenVBand="0" w:oddHBand="0" w:evenHBand="1" w:firstRowFirstColumn="0" w:firstRowLastColumn="0" w:lastRowFirstColumn="0" w:lastRowLastColumn="0"/>
            </w:pPr>
            <w:r w:rsidRPr="004D1BC6">
              <w:t>2.3</w:t>
            </w:r>
          </w:p>
        </w:tc>
        <w:tc>
          <w:tcPr>
            <w:tcW w:w="1431" w:type="dxa"/>
            <w:vAlign w:val="top"/>
          </w:tcPr>
          <w:p w:rsidR="00AF6FBB" w:rsidRPr="00AF6FBB" w:rsidRDefault="00AF6FBB" w:rsidP="00AF6FBB">
            <w:pPr>
              <w:cnfStyle w:val="000000010000" w:firstRow="0" w:lastRow="0" w:firstColumn="0" w:lastColumn="0" w:oddVBand="0" w:evenVBand="0" w:oddHBand="0" w:evenHBand="1" w:firstRowFirstColumn="0" w:firstRowLastColumn="0" w:lastRowFirstColumn="0" w:lastRowLastColumn="0"/>
            </w:pPr>
            <w:r w:rsidRPr="004D1BC6">
              <w:t>2.2</w:t>
            </w:r>
          </w:p>
        </w:tc>
      </w:tr>
      <w:tr w:rsidR="00AF6FBB" w:rsidRPr="000C7BEC" w:rsidTr="00AF6FBB">
        <w:tc>
          <w:tcPr>
            <w:cnfStyle w:val="001000000000" w:firstRow="0" w:lastRow="0" w:firstColumn="1" w:lastColumn="0" w:oddVBand="0" w:evenVBand="0" w:oddHBand="0" w:evenHBand="0" w:firstRowFirstColumn="0" w:firstRowLastColumn="0" w:lastRowFirstColumn="0" w:lastRowLastColumn="0"/>
            <w:tcW w:w="867" w:type="dxa"/>
          </w:tcPr>
          <w:p w:rsidR="00AF6FBB" w:rsidRPr="00AF6FBB" w:rsidRDefault="00AF6FBB" w:rsidP="00AF6FBB">
            <w:r w:rsidRPr="004D1BC6">
              <w:t>15</w:t>
            </w:r>
          </w:p>
        </w:tc>
        <w:tc>
          <w:tcPr>
            <w:tcW w:w="1106" w:type="dxa"/>
            <w:vAlign w:val="top"/>
          </w:tcPr>
          <w:p w:rsidR="00AF6FBB" w:rsidRPr="00AF6FBB" w:rsidRDefault="00AF6FBB" w:rsidP="00AF6FBB">
            <w:pPr>
              <w:cnfStyle w:val="000000000000" w:firstRow="0" w:lastRow="0" w:firstColumn="0" w:lastColumn="0" w:oddVBand="0" w:evenVBand="0" w:oddHBand="0" w:evenHBand="0" w:firstRowFirstColumn="0" w:firstRowLastColumn="0" w:lastRowFirstColumn="0" w:lastRowLastColumn="0"/>
            </w:pPr>
            <w:r w:rsidRPr="004D1BC6">
              <w:t>10.5</w:t>
            </w:r>
          </w:p>
        </w:tc>
        <w:tc>
          <w:tcPr>
            <w:tcW w:w="1106" w:type="dxa"/>
            <w:vAlign w:val="top"/>
          </w:tcPr>
          <w:p w:rsidR="00AF6FBB" w:rsidRPr="00AF6FBB" w:rsidRDefault="00AF6FBB" w:rsidP="00AF6FBB">
            <w:pPr>
              <w:cnfStyle w:val="000000000000" w:firstRow="0" w:lastRow="0" w:firstColumn="0" w:lastColumn="0" w:oddVBand="0" w:evenVBand="0" w:oddHBand="0" w:evenHBand="0" w:firstRowFirstColumn="0" w:firstRowLastColumn="0" w:lastRowFirstColumn="0" w:lastRowLastColumn="0"/>
            </w:pPr>
            <w:r w:rsidRPr="004D1BC6">
              <w:t>8.4</w:t>
            </w:r>
          </w:p>
        </w:tc>
        <w:tc>
          <w:tcPr>
            <w:tcW w:w="1106" w:type="dxa"/>
            <w:vAlign w:val="top"/>
          </w:tcPr>
          <w:p w:rsidR="00AF6FBB" w:rsidRPr="00AF6FBB" w:rsidRDefault="00AF6FBB" w:rsidP="00AF6FBB">
            <w:pPr>
              <w:cnfStyle w:val="000000000000" w:firstRow="0" w:lastRow="0" w:firstColumn="0" w:lastColumn="0" w:oddVBand="0" w:evenVBand="0" w:oddHBand="0" w:evenHBand="0" w:firstRowFirstColumn="0" w:firstRowLastColumn="0" w:lastRowFirstColumn="0" w:lastRowLastColumn="0"/>
            </w:pPr>
            <w:r w:rsidRPr="004D1BC6">
              <w:t>8.3</w:t>
            </w:r>
          </w:p>
        </w:tc>
        <w:tc>
          <w:tcPr>
            <w:tcW w:w="232" w:type="dxa"/>
          </w:tcPr>
          <w:p w:rsidR="00AF6FBB" w:rsidRPr="004D1BC6" w:rsidRDefault="00AF6FBB" w:rsidP="00AF6FBB">
            <w:pPr>
              <w:cnfStyle w:val="000000000000" w:firstRow="0" w:lastRow="0" w:firstColumn="0" w:lastColumn="0" w:oddVBand="0" w:evenVBand="0" w:oddHBand="0" w:evenHBand="0" w:firstRowFirstColumn="0" w:firstRowLastColumn="0" w:lastRowFirstColumn="0" w:lastRowLastColumn="0"/>
            </w:pPr>
          </w:p>
        </w:tc>
        <w:tc>
          <w:tcPr>
            <w:tcW w:w="1430" w:type="dxa"/>
            <w:vAlign w:val="top"/>
          </w:tcPr>
          <w:p w:rsidR="00AF6FBB" w:rsidRPr="00AF6FBB" w:rsidRDefault="00AF6FBB" w:rsidP="00AF6FBB">
            <w:pPr>
              <w:cnfStyle w:val="000000000000" w:firstRow="0" w:lastRow="0" w:firstColumn="0" w:lastColumn="0" w:oddVBand="0" w:evenVBand="0" w:oddHBand="0" w:evenHBand="0" w:firstRowFirstColumn="0" w:firstRowLastColumn="0" w:lastRowFirstColumn="0" w:lastRowLastColumn="0"/>
            </w:pPr>
            <w:r w:rsidRPr="004D1BC6">
              <w:t>2.5</w:t>
            </w:r>
          </w:p>
        </w:tc>
        <w:tc>
          <w:tcPr>
            <w:tcW w:w="1430" w:type="dxa"/>
            <w:vAlign w:val="top"/>
          </w:tcPr>
          <w:p w:rsidR="00AF6FBB" w:rsidRPr="00AF6FBB" w:rsidRDefault="00AF6FBB" w:rsidP="00AF6FBB">
            <w:pPr>
              <w:cnfStyle w:val="000000000000" w:firstRow="0" w:lastRow="0" w:firstColumn="0" w:lastColumn="0" w:oddVBand="0" w:evenVBand="0" w:oddHBand="0" w:evenHBand="0" w:firstRowFirstColumn="0" w:firstRowLastColumn="0" w:lastRowFirstColumn="0" w:lastRowLastColumn="0"/>
            </w:pPr>
            <w:r w:rsidRPr="004D1BC6">
              <w:t>2.0</w:t>
            </w:r>
          </w:p>
        </w:tc>
        <w:tc>
          <w:tcPr>
            <w:tcW w:w="1431" w:type="dxa"/>
            <w:vAlign w:val="top"/>
          </w:tcPr>
          <w:p w:rsidR="00AF6FBB" w:rsidRPr="00AF6FBB" w:rsidRDefault="00AF6FBB" w:rsidP="00AF6FBB">
            <w:pPr>
              <w:cnfStyle w:val="000000000000" w:firstRow="0" w:lastRow="0" w:firstColumn="0" w:lastColumn="0" w:oddVBand="0" w:evenVBand="0" w:oddHBand="0" w:evenHBand="0" w:firstRowFirstColumn="0" w:firstRowLastColumn="0" w:lastRowFirstColumn="0" w:lastRowLastColumn="0"/>
            </w:pPr>
            <w:r w:rsidRPr="004D1BC6">
              <w:t>2.0</w:t>
            </w:r>
          </w:p>
        </w:tc>
      </w:tr>
      <w:tr w:rsidR="00AF6FBB" w:rsidRPr="000C7BEC" w:rsidTr="00AF6F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7" w:type="dxa"/>
          </w:tcPr>
          <w:p w:rsidR="00AF6FBB" w:rsidRPr="00AF6FBB" w:rsidRDefault="00AF6FBB" w:rsidP="00AF6FBB">
            <w:r w:rsidRPr="004D1BC6">
              <w:t>16</w:t>
            </w:r>
          </w:p>
        </w:tc>
        <w:tc>
          <w:tcPr>
            <w:tcW w:w="1106" w:type="dxa"/>
            <w:vAlign w:val="top"/>
          </w:tcPr>
          <w:p w:rsidR="00AF6FBB" w:rsidRPr="00AF6FBB" w:rsidRDefault="00AF6FBB" w:rsidP="00AF6FBB">
            <w:pPr>
              <w:cnfStyle w:val="000000010000" w:firstRow="0" w:lastRow="0" w:firstColumn="0" w:lastColumn="0" w:oddVBand="0" w:evenVBand="0" w:oddHBand="0" w:evenHBand="1" w:firstRowFirstColumn="0" w:firstRowLastColumn="0" w:lastRowFirstColumn="0" w:lastRowLastColumn="0"/>
            </w:pPr>
            <w:r w:rsidRPr="004D1BC6">
              <w:t>10.3</w:t>
            </w:r>
          </w:p>
        </w:tc>
        <w:tc>
          <w:tcPr>
            <w:tcW w:w="1106" w:type="dxa"/>
            <w:vAlign w:val="top"/>
          </w:tcPr>
          <w:p w:rsidR="00AF6FBB" w:rsidRPr="00AF6FBB" w:rsidRDefault="00AF6FBB" w:rsidP="00AF6FBB">
            <w:pPr>
              <w:cnfStyle w:val="000000010000" w:firstRow="0" w:lastRow="0" w:firstColumn="0" w:lastColumn="0" w:oddVBand="0" w:evenVBand="0" w:oddHBand="0" w:evenHBand="1" w:firstRowFirstColumn="0" w:firstRowLastColumn="0" w:lastRowFirstColumn="0" w:lastRowLastColumn="0"/>
            </w:pPr>
            <w:r w:rsidRPr="004D1BC6">
              <w:t>8.0</w:t>
            </w:r>
          </w:p>
        </w:tc>
        <w:tc>
          <w:tcPr>
            <w:tcW w:w="1106" w:type="dxa"/>
            <w:vAlign w:val="top"/>
          </w:tcPr>
          <w:p w:rsidR="00AF6FBB" w:rsidRPr="00AF6FBB" w:rsidRDefault="00AF6FBB" w:rsidP="00AF6FBB">
            <w:pPr>
              <w:cnfStyle w:val="000000010000" w:firstRow="0" w:lastRow="0" w:firstColumn="0" w:lastColumn="0" w:oddVBand="0" w:evenVBand="0" w:oddHBand="0" w:evenHBand="1" w:firstRowFirstColumn="0" w:firstRowLastColumn="0" w:lastRowFirstColumn="0" w:lastRowLastColumn="0"/>
            </w:pPr>
            <w:r w:rsidRPr="004D1BC6">
              <w:t>8.3</w:t>
            </w:r>
          </w:p>
        </w:tc>
        <w:tc>
          <w:tcPr>
            <w:tcW w:w="232" w:type="dxa"/>
          </w:tcPr>
          <w:p w:rsidR="00AF6FBB" w:rsidRPr="004D1BC6" w:rsidRDefault="00AF6FBB" w:rsidP="00AF6FBB">
            <w:pPr>
              <w:cnfStyle w:val="000000010000" w:firstRow="0" w:lastRow="0" w:firstColumn="0" w:lastColumn="0" w:oddVBand="0" w:evenVBand="0" w:oddHBand="0" w:evenHBand="1" w:firstRowFirstColumn="0" w:firstRowLastColumn="0" w:lastRowFirstColumn="0" w:lastRowLastColumn="0"/>
            </w:pPr>
          </w:p>
        </w:tc>
        <w:tc>
          <w:tcPr>
            <w:tcW w:w="1430" w:type="dxa"/>
            <w:vAlign w:val="top"/>
          </w:tcPr>
          <w:p w:rsidR="00AF6FBB" w:rsidRPr="00AF6FBB" w:rsidRDefault="00AF6FBB" w:rsidP="00AF6FBB">
            <w:pPr>
              <w:cnfStyle w:val="000000010000" w:firstRow="0" w:lastRow="0" w:firstColumn="0" w:lastColumn="0" w:oddVBand="0" w:evenVBand="0" w:oddHBand="0" w:evenHBand="1" w:firstRowFirstColumn="0" w:firstRowLastColumn="0" w:lastRowFirstColumn="0" w:lastRowLastColumn="0"/>
            </w:pPr>
            <w:r w:rsidRPr="004D1BC6">
              <w:t>2.2</w:t>
            </w:r>
          </w:p>
        </w:tc>
        <w:tc>
          <w:tcPr>
            <w:tcW w:w="1430" w:type="dxa"/>
            <w:vAlign w:val="top"/>
          </w:tcPr>
          <w:p w:rsidR="00AF6FBB" w:rsidRPr="00AF6FBB" w:rsidRDefault="00AF6FBB" w:rsidP="00AF6FBB">
            <w:pPr>
              <w:cnfStyle w:val="000000010000" w:firstRow="0" w:lastRow="0" w:firstColumn="0" w:lastColumn="0" w:oddVBand="0" w:evenVBand="0" w:oddHBand="0" w:evenHBand="1" w:firstRowFirstColumn="0" w:firstRowLastColumn="0" w:lastRowFirstColumn="0" w:lastRowLastColumn="0"/>
            </w:pPr>
            <w:r w:rsidRPr="004D1BC6">
              <w:t>1.7</w:t>
            </w:r>
          </w:p>
        </w:tc>
        <w:tc>
          <w:tcPr>
            <w:tcW w:w="1431" w:type="dxa"/>
            <w:vAlign w:val="top"/>
          </w:tcPr>
          <w:p w:rsidR="00AF6FBB" w:rsidRPr="00AF6FBB" w:rsidRDefault="00AF6FBB" w:rsidP="00AF6FBB">
            <w:pPr>
              <w:cnfStyle w:val="000000010000" w:firstRow="0" w:lastRow="0" w:firstColumn="0" w:lastColumn="0" w:oddVBand="0" w:evenVBand="0" w:oddHBand="0" w:evenHBand="1" w:firstRowFirstColumn="0" w:firstRowLastColumn="0" w:lastRowFirstColumn="0" w:lastRowLastColumn="0"/>
            </w:pPr>
            <w:r w:rsidRPr="004D1BC6">
              <w:t>1.8</w:t>
            </w:r>
          </w:p>
        </w:tc>
      </w:tr>
      <w:tr w:rsidR="00AF6FBB" w:rsidRPr="000C7BEC" w:rsidTr="00AF6FBB">
        <w:tc>
          <w:tcPr>
            <w:cnfStyle w:val="001000000000" w:firstRow="0" w:lastRow="0" w:firstColumn="1" w:lastColumn="0" w:oddVBand="0" w:evenVBand="0" w:oddHBand="0" w:evenHBand="0" w:firstRowFirstColumn="0" w:firstRowLastColumn="0" w:lastRowFirstColumn="0" w:lastRowLastColumn="0"/>
            <w:tcW w:w="867" w:type="dxa"/>
          </w:tcPr>
          <w:p w:rsidR="00AF6FBB" w:rsidRPr="00AF6FBB" w:rsidRDefault="00AF6FBB" w:rsidP="00AF6FBB">
            <w:r w:rsidRPr="004D1BC6">
              <w:t>17</w:t>
            </w:r>
          </w:p>
        </w:tc>
        <w:tc>
          <w:tcPr>
            <w:tcW w:w="1106" w:type="dxa"/>
            <w:vAlign w:val="top"/>
          </w:tcPr>
          <w:p w:rsidR="00AF6FBB" w:rsidRPr="00AF6FBB" w:rsidRDefault="00AF6FBB" w:rsidP="00AF6FBB">
            <w:pPr>
              <w:cnfStyle w:val="000000000000" w:firstRow="0" w:lastRow="0" w:firstColumn="0" w:lastColumn="0" w:oddVBand="0" w:evenVBand="0" w:oddHBand="0" w:evenHBand="0" w:firstRowFirstColumn="0" w:firstRowLastColumn="0" w:lastRowFirstColumn="0" w:lastRowLastColumn="0"/>
            </w:pPr>
            <w:r w:rsidRPr="004D1BC6">
              <w:t>10.1</w:t>
            </w:r>
          </w:p>
        </w:tc>
        <w:tc>
          <w:tcPr>
            <w:tcW w:w="1106" w:type="dxa"/>
            <w:vAlign w:val="top"/>
          </w:tcPr>
          <w:p w:rsidR="00AF6FBB" w:rsidRPr="00AF6FBB" w:rsidRDefault="00AF6FBB" w:rsidP="00AF6FBB">
            <w:pPr>
              <w:cnfStyle w:val="000000000000" w:firstRow="0" w:lastRow="0" w:firstColumn="0" w:lastColumn="0" w:oddVBand="0" w:evenVBand="0" w:oddHBand="0" w:evenHBand="0" w:firstRowFirstColumn="0" w:firstRowLastColumn="0" w:lastRowFirstColumn="0" w:lastRowLastColumn="0"/>
            </w:pPr>
            <w:r w:rsidRPr="004D1BC6">
              <w:t>7.6</w:t>
            </w:r>
          </w:p>
        </w:tc>
        <w:tc>
          <w:tcPr>
            <w:tcW w:w="1106" w:type="dxa"/>
            <w:vAlign w:val="top"/>
          </w:tcPr>
          <w:p w:rsidR="00AF6FBB" w:rsidRPr="00AF6FBB" w:rsidRDefault="00AF6FBB" w:rsidP="00AF6FBB">
            <w:pPr>
              <w:cnfStyle w:val="000000000000" w:firstRow="0" w:lastRow="0" w:firstColumn="0" w:lastColumn="0" w:oddVBand="0" w:evenVBand="0" w:oddHBand="0" w:evenHBand="0" w:firstRowFirstColumn="0" w:firstRowLastColumn="0" w:lastRowFirstColumn="0" w:lastRowLastColumn="0"/>
            </w:pPr>
            <w:r w:rsidRPr="004D1BC6">
              <w:t>8.2</w:t>
            </w:r>
          </w:p>
        </w:tc>
        <w:tc>
          <w:tcPr>
            <w:tcW w:w="232" w:type="dxa"/>
          </w:tcPr>
          <w:p w:rsidR="00AF6FBB" w:rsidRPr="004D1BC6" w:rsidRDefault="00AF6FBB" w:rsidP="00AF6FBB">
            <w:pPr>
              <w:cnfStyle w:val="000000000000" w:firstRow="0" w:lastRow="0" w:firstColumn="0" w:lastColumn="0" w:oddVBand="0" w:evenVBand="0" w:oddHBand="0" w:evenHBand="0" w:firstRowFirstColumn="0" w:firstRowLastColumn="0" w:lastRowFirstColumn="0" w:lastRowLastColumn="0"/>
            </w:pPr>
          </w:p>
        </w:tc>
        <w:tc>
          <w:tcPr>
            <w:tcW w:w="1430" w:type="dxa"/>
            <w:vAlign w:val="top"/>
          </w:tcPr>
          <w:p w:rsidR="00AF6FBB" w:rsidRPr="00AF6FBB" w:rsidRDefault="00AF6FBB" w:rsidP="00AF6FBB">
            <w:pPr>
              <w:cnfStyle w:val="000000000000" w:firstRow="0" w:lastRow="0" w:firstColumn="0" w:lastColumn="0" w:oddVBand="0" w:evenVBand="0" w:oddHBand="0" w:evenHBand="0" w:firstRowFirstColumn="0" w:firstRowLastColumn="0" w:lastRowFirstColumn="0" w:lastRowLastColumn="0"/>
            </w:pPr>
            <w:r w:rsidRPr="004D1BC6">
              <w:t>2.0</w:t>
            </w:r>
          </w:p>
        </w:tc>
        <w:tc>
          <w:tcPr>
            <w:tcW w:w="1430" w:type="dxa"/>
            <w:vAlign w:val="top"/>
          </w:tcPr>
          <w:p w:rsidR="00AF6FBB" w:rsidRPr="00AF6FBB" w:rsidRDefault="00AF6FBB" w:rsidP="00AF6FBB">
            <w:pPr>
              <w:cnfStyle w:val="000000000000" w:firstRow="0" w:lastRow="0" w:firstColumn="0" w:lastColumn="0" w:oddVBand="0" w:evenVBand="0" w:oddHBand="0" w:evenHBand="0" w:firstRowFirstColumn="0" w:firstRowLastColumn="0" w:lastRowFirstColumn="0" w:lastRowLastColumn="0"/>
            </w:pPr>
            <w:r w:rsidRPr="004D1BC6">
              <w:t>1.5</w:t>
            </w:r>
          </w:p>
        </w:tc>
        <w:tc>
          <w:tcPr>
            <w:tcW w:w="1431" w:type="dxa"/>
            <w:vAlign w:val="top"/>
          </w:tcPr>
          <w:p w:rsidR="00AF6FBB" w:rsidRPr="00AF6FBB" w:rsidRDefault="00AF6FBB" w:rsidP="00AF6FBB">
            <w:pPr>
              <w:cnfStyle w:val="000000000000" w:firstRow="0" w:lastRow="0" w:firstColumn="0" w:lastColumn="0" w:oddVBand="0" w:evenVBand="0" w:oddHBand="0" w:evenHBand="0" w:firstRowFirstColumn="0" w:firstRowLastColumn="0" w:lastRowFirstColumn="0" w:lastRowLastColumn="0"/>
            </w:pPr>
            <w:r w:rsidRPr="004D1BC6">
              <w:t>1.6</w:t>
            </w:r>
          </w:p>
        </w:tc>
      </w:tr>
      <w:tr w:rsidR="00AF6FBB" w:rsidRPr="000C7BEC" w:rsidTr="00AF6F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7" w:type="dxa"/>
          </w:tcPr>
          <w:p w:rsidR="00AF6FBB" w:rsidRPr="00AF6FBB" w:rsidRDefault="00AF6FBB" w:rsidP="00AF6FBB">
            <w:r w:rsidRPr="004D1BC6">
              <w:t>18</w:t>
            </w:r>
          </w:p>
        </w:tc>
        <w:tc>
          <w:tcPr>
            <w:tcW w:w="1106" w:type="dxa"/>
            <w:vAlign w:val="top"/>
          </w:tcPr>
          <w:p w:rsidR="00AF6FBB" w:rsidRPr="00AF6FBB" w:rsidRDefault="00AF6FBB" w:rsidP="00AF6FBB">
            <w:pPr>
              <w:cnfStyle w:val="000000010000" w:firstRow="0" w:lastRow="0" w:firstColumn="0" w:lastColumn="0" w:oddVBand="0" w:evenVBand="0" w:oddHBand="0" w:evenHBand="1" w:firstRowFirstColumn="0" w:firstRowLastColumn="0" w:lastRowFirstColumn="0" w:lastRowLastColumn="0"/>
            </w:pPr>
            <w:r w:rsidRPr="004D1BC6">
              <w:t>9.9</w:t>
            </w:r>
          </w:p>
        </w:tc>
        <w:tc>
          <w:tcPr>
            <w:tcW w:w="1106" w:type="dxa"/>
            <w:vAlign w:val="top"/>
          </w:tcPr>
          <w:p w:rsidR="00AF6FBB" w:rsidRPr="00AF6FBB" w:rsidRDefault="00AF6FBB" w:rsidP="00AF6FBB">
            <w:pPr>
              <w:cnfStyle w:val="000000010000" w:firstRow="0" w:lastRow="0" w:firstColumn="0" w:lastColumn="0" w:oddVBand="0" w:evenVBand="0" w:oddHBand="0" w:evenHBand="1" w:firstRowFirstColumn="0" w:firstRowLastColumn="0" w:lastRowFirstColumn="0" w:lastRowLastColumn="0"/>
            </w:pPr>
            <w:r w:rsidRPr="004D1BC6">
              <w:t>7.2</w:t>
            </w:r>
          </w:p>
        </w:tc>
        <w:tc>
          <w:tcPr>
            <w:tcW w:w="1106" w:type="dxa"/>
            <w:vAlign w:val="top"/>
          </w:tcPr>
          <w:p w:rsidR="00AF6FBB" w:rsidRPr="00AF6FBB" w:rsidRDefault="00AF6FBB" w:rsidP="00AF6FBB">
            <w:pPr>
              <w:cnfStyle w:val="000000010000" w:firstRow="0" w:lastRow="0" w:firstColumn="0" w:lastColumn="0" w:oddVBand="0" w:evenVBand="0" w:oddHBand="0" w:evenHBand="1" w:firstRowFirstColumn="0" w:firstRowLastColumn="0" w:lastRowFirstColumn="0" w:lastRowLastColumn="0"/>
            </w:pPr>
            <w:r w:rsidRPr="004D1BC6">
              <w:t>8.2</w:t>
            </w:r>
          </w:p>
        </w:tc>
        <w:tc>
          <w:tcPr>
            <w:tcW w:w="232" w:type="dxa"/>
          </w:tcPr>
          <w:p w:rsidR="00AF6FBB" w:rsidRPr="004D1BC6" w:rsidRDefault="00AF6FBB" w:rsidP="00AF6FBB">
            <w:pPr>
              <w:cnfStyle w:val="000000010000" w:firstRow="0" w:lastRow="0" w:firstColumn="0" w:lastColumn="0" w:oddVBand="0" w:evenVBand="0" w:oddHBand="0" w:evenHBand="1" w:firstRowFirstColumn="0" w:firstRowLastColumn="0" w:lastRowFirstColumn="0" w:lastRowLastColumn="0"/>
            </w:pPr>
          </w:p>
        </w:tc>
        <w:tc>
          <w:tcPr>
            <w:tcW w:w="1430" w:type="dxa"/>
            <w:vAlign w:val="top"/>
          </w:tcPr>
          <w:p w:rsidR="00AF6FBB" w:rsidRPr="00AF6FBB" w:rsidRDefault="00AF6FBB" w:rsidP="00AF6FBB">
            <w:pPr>
              <w:cnfStyle w:val="000000010000" w:firstRow="0" w:lastRow="0" w:firstColumn="0" w:lastColumn="0" w:oddVBand="0" w:evenVBand="0" w:oddHBand="0" w:evenHBand="1" w:firstRowFirstColumn="0" w:firstRowLastColumn="0" w:lastRowFirstColumn="0" w:lastRowLastColumn="0"/>
            </w:pPr>
            <w:r w:rsidRPr="004D1BC6">
              <w:t>1.8</w:t>
            </w:r>
          </w:p>
        </w:tc>
        <w:tc>
          <w:tcPr>
            <w:tcW w:w="1430" w:type="dxa"/>
            <w:vAlign w:val="top"/>
          </w:tcPr>
          <w:p w:rsidR="00AF6FBB" w:rsidRPr="00AF6FBB" w:rsidRDefault="00AF6FBB" w:rsidP="00AF6FBB">
            <w:pPr>
              <w:cnfStyle w:val="000000010000" w:firstRow="0" w:lastRow="0" w:firstColumn="0" w:lastColumn="0" w:oddVBand="0" w:evenVBand="0" w:oddHBand="0" w:evenHBand="1" w:firstRowFirstColumn="0" w:firstRowLastColumn="0" w:lastRowFirstColumn="0" w:lastRowLastColumn="0"/>
            </w:pPr>
            <w:r w:rsidRPr="004D1BC6">
              <w:t>1.3</w:t>
            </w:r>
          </w:p>
        </w:tc>
        <w:tc>
          <w:tcPr>
            <w:tcW w:w="1431" w:type="dxa"/>
            <w:vAlign w:val="top"/>
          </w:tcPr>
          <w:p w:rsidR="00AF6FBB" w:rsidRPr="00AF6FBB" w:rsidRDefault="00AF6FBB" w:rsidP="00AF6FBB">
            <w:pPr>
              <w:cnfStyle w:val="000000010000" w:firstRow="0" w:lastRow="0" w:firstColumn="0" w:lastColumn="0" w:oddVBand="0" w:evenVBand="0" w:oddHBand="0" w:evenHBand="1" w:firstRowFirstColumn="0" w:firstRowLastColumn="0" w:lastRowFirstColumn="0" w:lastRowLastColumn="0"/>
            </w:pPr>
            <w:r w:rsidRPr="004D1BC6">
              <w:t>1.5</w:t>
            </w:r>
          </w:p>
        </w:tc>
      </w:tr>
      <w:tr w:rsidR="00AF6FBB" w:rsidRPr="000C7BEC" w:rsidTr="00AF6FBB">
        <w:tc>
          <w:tcPr>
            <w:cnfStyle w:val="001000000000" w:firstRow="0" w:lastRow="0" w:firstColumn="1" w:lastColumn="0" w:oddVBand="0" w:evenVBand="0" w:oddHBand="0" w:evenHBand="0" w:firstRowFirstColumn="0" w:firstRowLastColumn="0" w:lastRowFirstColumn="0" w:lastRowLastColumn="0"/>
            <w:tcW w:w="867" w:type="dxa"/>
          </w:tcPr>
          <w:p w:rsidR="00AF6FBB" w:rsidRPr="00AF6FBB" w:rsidRDefault="00AF6FBB" w:rsidP="00AF6FBB">
            <w:r w:rsidRPr="004D1BC6">
              <w:t>19</w:t>
            </w:r>
          </w:p>
        </w:tc>
        <w:tc>
          <w:tcPr>
            <w:tcW w:w="1106" w:type="dxa"/>
            <w:vAlign w:val="top"/>
          </w:tcPr>
          <w:p w:rsidR="00AF6FBB" w:rsidRPr="00AF6FBB" w:rsidRDefault="00AF6FBB" w:rsidP="00AF6FBB">
            <w:pPr>
              <w:cnfStyle w:val="000000000000" w:firstRow="0" w:lastRow="0" w:firstColumn="0" w:lastColumn="0" w:oddVBand="0" w:evenVBand="0" w:oddHBand="0" w:evenHBand="0" w:firstRowFirstColumn="0" w:firstRowLastColumn="0" w:lastRowFirstColumn="0" w:lastRowLastColumn="0"/>
            </w:pPr>
            <w:r w:rsidRPr="004D1BC6">
              <w:t>9.7</w:t>
            </w:r>
          </w:p>
        </w:tc>
        <w:tc>
          <w:tcPr>
            <w:tcW w:w="1106" w:type="dxa"/>
            <w:vAlign w:val="top"/>
          </w:tcPr>
          <w:p w:rsidR="00AF6FBB" w:rsidRPr="00AF6FBB" w:rsidRDefault="00AF6FBB" w:rsidP="00AF6FBB">
            <w:pPr>
              <w:cnfStyle w:val="000000000000" w:firstRow="0" w:lastRow="0" w:firstColumn="0" w:lastColumn="0" w:oddVBand="0" w:evenVBand="0" w:oddHBand="0" w:evenHBand="0" w:firstRowFirstColumn="0" w:firstRowLastColumn="0" w:lastRowFirstColumn="0" w:lastRowLastColumn="0"/>
            </w:pPr>
            <w:r w:rsidRPr="004D1BC6">
              <w:t>6.8</w:t>
            </w:r>
          </w:p>
        </w:tc>
        <w:tc>
          <w:tcPr>
            <w:tcW w:w="1106" w:type="dxa"/>
            <w:vAlign w:val="top"/>
          </w:tcPr>
          <w:p w:rsidR="00AF6FBB" w:rsidRPr="00AF6FBB" w:rsidRDefault="00AF6FBB" w:rsidP="00AF6FBB">
            <w:pPr>
              <w:cnfStyle w:val="000000000000" w:firstRow="0" w:lastRow="0" w:firstColumn="0" w:lastColumn="0" w:oddVBand="0" w:evenVBand="0" w:oddHBand="0" w:evenHBand="0" w:firstRowFirstColumn="0" w:firstRowLastColumn="0" w:lastRowFirstColumn="0" w:lastRowLastColumn="0"/>
            </w:pPr>
            <w:r w:rsidRPr="004D1BC6">
              <w:t>8.1</w:t>
            </w:r>
          </w:p>
        </w:tc>
        <w:tc>
          <w:tcPr>
            <w:tcW w:w="232" w:type="dxa"/>
          </w:tcPr>
          <w:p w:rsidR="00AF6FBB" w:rsidRPr="004D1BC6" w:rsidRDefault="00AF6FBB" w:rsidP="00AF6FBB">
            <w:pPr>
              <w:cnfStyle w:val="000000000000" w:firstRow="0" w:lastRow="0" w:firstColumn="0" w:lastColumn="0" w:oddVBand="0" w:evenVBand="0" w:oddHBand="0" w:evenHBand="0" w:firstRowFirstColumn="0" w:firstRowLastColumn="0" w:lastRowFirstColumn="0" w:lastRowLastColumn="0"/>
            </w:pPr>
          </w:p>
        </w:tc>
        <w:tc>
          <w:tcPr>
            <w:tcW w:w="1430" w:type="dxa"/>
            <w:vAlign w:val="top"/>
          </w:tcPr>
          <w:p w:rsidR="00AF6FBB" w:rsidRPr="00AF6FBB" w:rsidRDefault="00AF6FBB" w:rsidP="00AF6FBB">
            <w:pPr>
              <w:cnfStyle w:val="000000000000" w:firstRow="0" w:lastRow="0" w:firstColumn="0" w:lastColumn="0" w:oddVBand="0" w:evenVBand="0" w:oddHBand="0" w:evenHBand="0" w:firstRowFirstColumn="0" w:firstRowLastColumn="0" w:lastRowFirstColumn="0" w:lastRowLastColumn="0"/>
            </w:pPr>
            <w:r w:rsidRPr="004D1BC6">
              <w:t>1.6</w:t>
            </w:r>
          </w:p>
        </w:tc>
        <w:tc>
          <w:tcPr>
            <w:tcW w:w="1430" w:type="dxa"/>
            <w:vAlign w:val="top"/>
          </w:tcPr>
          <w:p w:rsidR="00AF6FBB" w:rsidRPr="00AF6FBB" w:rsidRDefault="00AF6FBB" w:rsidP="00AF6FBB">
            <w:pPr>
              <w:cnfStyle w:val="000000000000" w:firstRow="0" w:lastRow="0" w:firstColumn="0" w:lastColumn="0" w:oddVBand="0" w:evenVBand="0" w:oddHBand="0" w:evenHBand="0" w:firstRowFirstColumn="0" w:firstRowLastColumn="0" w:lastRowFirstColumn="0" w:lastRowLastColumn="0"/>
            </w:pPr>
            <w:r w:rsidRPr="004D1BC6">
              <w:t>1.1</w:t>
            </w:r>
          </w:p>
        </w:tc>
        <w:tc>
          <w:tcPr>
            <w:tcW w:w="1431" w:type="dxa"/>
            <w:vAlign w:val="top"/>
          </w:tcPr>
          <w:p w:rsidR="00AF6FBB" w:rsidRPr="00AF6FBB" w:rsidRDefault="00AF6FBB" w:rsidP="00AF6FBB">
            <w:pPr>
              <w:cnfStyle w:val="000000000000" w:firstRow="0" w:lastRow="0" w:firstColumn="0" w:lastColumn="0" w:oddVBand="0" w:evenVBand="0" w:oddHBand="0" w:evenHBand="0" w:firstRowFirstColumn="0" w:firstRowLastColumn="0" w:lastRowFirstColumn="0" w:lastRowLastColumn="0"/>
            </w:pPr>
            <w:r w:rsidRPr="004D1BC6">
              <w:t>1.3</w:t>
            </w:r>
          </w:p>
        </w:tc>
      </w:tr>
      <w:tr w:rsidR="00AF6FBB" w:rsidRPr="000C7BEC" w:rsidTr="00AF6F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7" w:type="dxa"/>
          </w:tcPr>
          <w:p w:rsidR="00AF6FBB" w:rsidRPr="00AF6FBB" w:rsidRDefault="00AF6FBB" w:rsidP="00AF6FBB">
            <w:r w:rsidRPr="004D1BC6">
              <w:t>20</w:t>
            </w:r>
          </w:p>
        </w:tc>
        <w:tc>
          <w:tcPr>
            <w:tcW w:w="1106" w:type="dxa"/>
            <w:vAlign w:val="top"/>
          </w:tcPr>
          <w:p w:rsidR="00AF6FBB" w:rsidRPr="00AF6FBB" w:rsidRDefault="00AF6FBB" w:rsidP="00AF6FBB">
            <w:pPr>
              <w:cnfStyle w:val="000000010000" w:firstRow="0" w:lastRow="0" w:firstColumn="0" w:lastColumn="0" w:oddVBand="0" w:evenVBand="0" w:oddHBand="0" w:evenHBand="1" w:firstRowFirstColumn="0" w:firstRowLastColumn="0" w:lastRowFirstColumn="0" w:lastRowLastColumn="0"/>
            </w:pPr>
            <w:r w:rsidRPr="004D1BC6">
              <w:t>9.4</w:t>
            </w:r>
          </w:p>
        </w:tc>
        <w:tc>
          <w:tcPr>
            <w:tcW w:w="1106" w:type="dxa"/>
            <w:vAlign w:val="top"/>
          </w:tcPr>
          <w:p w:rsidR="00AF6FBB" w:rsidRPr="00AF6FBB" w:rsidRDefault="00AF6FBB" w:rsidP="00AF6FBB">
            <w:pPr>
              <w:cnfStyle w:val="000000010000" w:firstRow="0" w:lastRow="0" w:firstColumn="0" w:lastColumn="0" w:oddVBand="0" w:evenVBand="0" w:oddHBand="0" w:evenHBand="1" w:firstRowFirstColumn="0" w:firstRowLastColumn="0" w:lastRowFirstColumn="0" w:lastRowLastColumn="0"/>
            </w:pPr>
            <w:r w:rsidRPr="004D1BC6">
              <w:t>6.4</w:t>
            </w:r>
          </w:p>
        </w:tc>
        <w:tc>
          <w:tcPr>
            <w:tcW w:w="1106" w:type="dxa"/>
            <w:vAlign w:val="top"/>
          </w:tcPr>
          <w:p w:rsidR="00AF6FBB" w:rsidRPr="00AF6FBB" w:rsidRDefault="00AF6FBB" w:rsidP="00AF6FBB">
            <w:pPr>
              <w:cnfStyle w:val="000000010000" w:firstRow="0" w:lastRow="0" w:firstColumn="0" w:lastColumn="0" w:oddVBand="0" w:evenVBand="0" w:oddHBand="0" w:evenHBand="1" w:firstRowFirstColumn="0" w:firstRowLastColumn="0" w:lastRowFirstColumn="0" w:lastRowLastColumn="0"/>
            </w:pPr>
            <w:r w:rsidRPr="004D1BC6">
              <w:t>8.1</w:t>
            </w:r>
          </w:p>
        </w:tc>
        <w:tc>
          <w:tcPr>
            <w:tcW w:w="232" w:type="dxa"/>
          </w:tcPr>
          <w:p w:rsidR="00AF6FBB" w:rsidRPr="004D1BC6" w:rsidRDefault="00AF6FBB" w:rsidP="00AF6FBB">
            <w:pPr>
              <w:cnfStyle w:val="000000010000" w:firstRow="0" w:lastRow="0" w:firstColumn="0" w:lastColumn="0" w:oddVBand="0" w:evenVBand="0" w:oddHBand="0" w:evenHBand="1" w:firstRowFirstColumn="0" w:firstRowLastColumn="0" w:lastRowFirstColumn="0" w:lastRowLastColumn="0"/>
            </w:pPr>
          </w:p>
        </w:tc>
        <w:tc>
          <w:tcPr>
            <w:tcW w:w="1430" w:type="dxa"/>
            <w:vAlign w:val="top"/>
          </w:tcPr>
          <w:p w:rsidR="00AF6FBB" w:rsidRPr="00AF6FBB" w:rsidRDefault="00AF6FBB" w:rsidP="00AF6FBB">
            <w:pPr>
              <w:cnfStyle w:val="000000010000" w:firstRow="0" w:lastRow="0" w:firstColumn="0" w:lastColumn="0" w:oddVBand="0" w:evenVBand="0" w:oddHBand="0" w:evenHBand="1" w:firstRowFirstColumn="0" w:firstRowLastColumn="0" w:lastRowFirstColumn="0" w:lastRowLastColumn="0"/>
            </w:pPr>
            <w:r w:rsidRPr="004D1BC6">
              <w:t>1.4</w:t>
            </w:r>
          </w:p>
        </w:tc>
        <w:tc>
          <w:tcPr>
            <w:tcW w:w="1430" w:type="dxa"/>
            <w:vAlign w:val="top"/>
          </w:tcPr>
          <w:p w:rsidR="00AF6FBB" w:rsidRPr="00AF6FBB" w:rsidRDefault="00AF6FBB" w:rsidP="00AF6FBB">
            <w:pPr>
              <w:cnfStyle w:val="000000010000" w:firstRow="0" w:lastRow="0" w:firstColumn="0" w:lastColumn="0" w:oddVBand="0" w:evenVBand="0" w:oddHBand="0" w:evenHBand="1" w:firstRowFirstColumn="0" w:firstRowLastColumn="0" w:lastRowFirstColumn="0" w:lastRowLastColumn="0"/>
            </w:pPr>
            <w:r w:rsidRPr="004D1BC6">
              <w:t>1.0</w:t>
            </w:r>
          </w:p>
        </w:tc>
        <w:tc>
          <w:tcPr>
            <w:tcW w:w="1431" w:type="dxa"/>
            <w:vAlign w:val="top"/>
          </w:tcPr>
          <w:p w:rsidR="00AF6FBB" w:rsidRPr="00AF6FBB" w:rsidRDefault="00AF6FBB" w:rsidP="00AF6FBB">
            <w:pPr>
              <w:cnfStyle w:val="000000010000" w:firstRow="0" w:lastRow="0" w:firstColumn="0" w:lastColumn="0" w:oddVBand="0" w:evenVBand="0" w:oddHBand="0" w:evenHBand="1" w:firstRowFirstColumn="0" w:firstRowLastColumn="0" w:lastRowFirstColumn="0" w:lastRowLastColumn="0"/>
            </w:pPr>
            <w:r w:rsidRPr="004D1BC6">
              <w:t>1.2</w:t>
            </w:r>
          </w:p>
        </w:tc>
      </w:tr>
      <w:tr w:rsidR="00AF6FBB" w:rsidRPr="000C7BEC" w:rsidTr="00AF6FBB">
        <w:tc>
          <w:tcPr>
            <w:cnfStyle w:val="001000000000" w:firstRow="0" w:lastRow="0" w:firstColumn="1" w:lastColumn="0" w:oddVBand="0" w:evenVBand="0" w:oddHBand="0" w:evenHBand="0" w:firstRowFirstColumn="0" w:firstRowLastColumn="0" w:lastRowFirstColumn="0" w:lastRowLastColumn="0"/>
            <w:tcW w:w="867" w:type="dxa"/>
          </w:tcPr>
          <w:p w:rsidR="00AF6FBB" w:rsidRPr="00AF6FBB" w:rsidRDefault="00AF6FBB" w:rsidP="00AF6FBB">
            <w:r w:rsidRPr="004D1BC6">
              <w:t>21</w:t>
            </w:r>
          </w:p>
        </w:tc>
        <w:tc>
          <w:tcPr>
            <w:tcW w:w="1106" w:type="dxa"/>
            <w:vAlign w:val="top"/>
          </w:tcPr>
          <w:p w:rsidR="00AF6FBB" w:rsidRPr="00AF6FBB" w:rsidRDefault="00AF6FBB" w:rsidP="00AF6FBB">
            <w:pPr>
              <w:cnfStyle w:val="000000000000" w:firstRow="0" w:lastRow="0" w:firstColumn="0" w:lastColumn="0" w:oddVBand="0" w:evenVBand="0" w:oddHBand="0" w:evenHBand="0" w:firstRowFirstColumn="0" w:firstRowLastColumn="0" w:lastRowFirstColumn="0" w:lastRowLastColumn="0"/>
            </w:pPr>
            <w:r w:rsidRPr="004D1BC6">
              <w:t>9.2</w:t>
            </w:r>
          </w:p>
        </w:tc>
        <w:tc>
          <w:tcPr>
            <w:tcW w:w="1106" w:type="dxa"/>
            <w:vAlign w:val="top"/>
          </w:tcPr>
          <w:p w:rsidR="00AF6FBB" w:rsidRPr="00AF6FBB" w:rsidRDefault="00AF6FBB" w:rsidP="00AF6FBB">
            <w:pPr>
              <w:cnfStyle w:val="000000000000" w:firstRow="0" w:lastRow="0" w:firstColumn="0" w:lastColumn="0" w:oddVBand="0" w:evenVBand="0" w:oddHBand="0" w:evenHBand="0" w:firstRowFirstColumn="0" w:firstRowLastColumn="0" w:lastRowFirstColumn="0" w:lastRowLastColumn="0"/>
            </w:pPr>
            <w:r w:rsidRPr="004D1BC6">
              <w:t>6.0</w:t>
            </w:r>
          </w:p>
        </w:tc>
        <w:tc>
          <w:tcPr>
            <w:tcW w:w="1106" w:type="dxa"/>
            <w:vAlign w:val="top"/>
          </w:tcPr>
          <w:p w:rsidR="00AF6FBB" w:rsidRPr="00AF6FBB" w:rsidRDefault="00AF6FBB" w:rsidP="00AF6FBB">
            <w:pPr>
              <w:cnfStyle w:val="000000000000" w:firstRow="0" w:lastRow="0" w:firstColumn="0" w:lastColumn="0" w:oddVBand="0" w:evenVBand="0" w:oddHBand="0" w:evenHBand="0" w:firstRowFirstColumn="0" w:firstRowLastColumn="0" w:lastRowFirstColumn="0" w:lastRowLastColumn="0"/>
            </w:pPr>
            <w:r w:rsidRPr="004D1BC6">
              <w:t>8.0</w:t>
            </w:r>
          </w:p>
        </w:tc>
        <w:tc>
          <w:tcPr>
            <w:tcW w:w="232" w:type="dxa"/>
          </w:tcPr>
          <w:p w:rsidR="00AF6FBB" w:rsidRPr="004D1BC6" w:rsidRDefault="00AF6FBB" w:rsidP="00AF6FBB">
            <w:pPr>
              <w:cnfStyle w:val="000000000000" w:firstRow="0" w:lastRow="0" w:firstColumn="0" w:lastColumn="0" w:oddVBand="0" w:evenVBand="0" w:oddHBand="0" w:evenHBand="0" w:firstRowFirstColumn="0" w:firstRowLastColumn="0" w:lastRowFirstColumn="0" w:lastRowLastColumn="0"/>
            </w:pPr>
          </w:p>
        </w:tc>
        <w:tc>
          <w:tcPr>
            <w:tcW w:w="1430" w:type="dxa"/>
            <w:vAlign w:val="top"/>
          </w:tcPr>
          <w:p w:rsidR="00AF6FBB" w:rsidRPr="00AF6FBB" w:rsidRDefault="00AF6FBB" w:rsidP="00AF6FBB">
            <w:pPr>
              <w:cnfStyle w:val="000000000000" w:firstRow="0" w:lastRow="0" w:firstColumn="0" w:lastColumn="0" w:oddVBand="0" w:evenVBand="0" w:oddHBand="0" w:evenHBand="0" w:firstRowFirstColumn="0" w:firstRowLastColumn="0" w:lastRowFirstColumn="0" w:lastRowLastColumn="0"/>
            </w:pPr>
            <w:r w:rsidRPr="004D1BC6">
              <w:t>1.2</w:t>
            </w:r>
          </w:p>
        </w:tc>
        <w:tc>
          <w:tcPr>
            <w:tcW w:w="1430" w:type="dxa"/>
            <w:vAlign w:val="top"/>
          </w:tcPr>
          <w:p w:rsidR="00AF6FBB" w:rsidRPr="00AF6FBB" w:rsidRDefault="00AF6FBB" w:rsidP="00AF6FBB">
            <w:pPr>
              <w:cnfStyle w:val="000000000000" w:firstRow="0" w:lastRow="0" w:firstColumn="0" w:lastColumn="0" w:oddVBand="0" w:evenVBand="0" w:oddHBand="0" w:evenHBand="0" w:firstRowFirstColumn="0" w:firstRowLastColumn="0" w:lastRowFirstColumn="0" w:lastRowLastColumn="0"/>
            </w:pPr>
            <w:r w:rsidRPr="004D1BC6">
              <w:t>0.8</w:t>
            </w:r>
          </w:p>
        </w:tc>
        <w:tc>
          <w:tcPr>
            <w:tcW w:w="1431" w:type="dxa"/>
            <w:vAlign w:val="top"/>
          </w:tcPr>
          <w:p w:rsidR="00AF6FBB" w:rsidRPr="00AF6FBB" w:rsidRDefault="00AF6FBB" w:rsidP="00AF6FBB">
            <w:pPr>
              <w:cnfStyle w:val="000000000000" w:firstRow="0" w:lastRow="0" w:firstColumn="0" w:lastColumn="0" w:oddVBand="0" w:evenVBand="0" w:oddHBand="0" w:evenHBand="0" w:firstRowFirstColumn="0" w:firstRowLastColumn="0" w:lastRowFirstColumn="0" w:lastRowLastColumn="0"/>
            </w:pPr>
            <w:r w:rsidRPr="004D1BC6">
              <w:t>1.1</w:t>
            </w:r>
          </w:p>
        </w:tc>
      </w:tr>
      <w:tr w:rsidR="00AF6FBB" w:rsidRPr="000C7BEC" w:rsidTr="00AF6F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7" w:type="dxa"/>
          </w:tcPr>
          <w:p w:rsidR="00AF6FBB" w:rsidRPr="00AF6FBB" w:rsidRDefault="00AF6FBB" w:rsidP="00AF6FBB">
            <w:r w:rsidRPr="004D1BC6">
              <w:t>22</w:t>
            </w:r>
          </w:p>
        </w:tc>
        <w:tc>
          <w:tcPr>
            <w:tcW w:w="1106" w:type="dxa"/>
            <w:vAlign w:val="top"/>
          </w:tcPr>
          <w:p w:rsidR="00AF6FBB" w:rsidRPr="00AF6FBB" w:rsidRDefault="00AF6FBB" w:rsidP="00AF6FBB">
            <w:pPr>
              <w:cnfStyle w:val="000000010000" w:firstRow="0" w:lastRow="0" w:firstColumn="0" w:lastColumn="0" w:oddVBand="0" w:evenVBand="0" w:oddHBand="0" w:evenHBand="1" w:firstRowFirstColumn="0" w:firstRowLastColumn="0" w:lastRowFirstColumn="0" w:lastRowLastColumn="0"/>
            </w:pPr>
            <w:r w:rsidRPr="004D1BC6">
              <w:t>8.9</w:t>
            </w:r>
          </w:p>
        </w:tc>
        <w:tc>
          <w:tcPr>
            <w:tcW w:w="1106" w:type="dxa"/>
            <w:vAlign w:val="top"/>
          </w:tcPr>
          <w:p w:rsidR="00AF6FBB" w:rsidRPr="00AF6FBB" w:rsidRDefault="00AF6FBB" w:rsidP="00AF6FBB">
            <w:pPr>
              <w:cnfStyle w:val="000000010000" w:firstRow="0" w:lastRow="0" w:firstColumn="0" w:lastColumn="0" w:oddVBand="0" w:evenVBand="0" w:oddHBand="0" w:evenHBand="1" w:firstRowFirstColumn="0" w:firstRowLastColumn="0" w:lastRowFirstColumn="0" w:lastRowLastColumn="0"/>
            </w:pPr>
            <w:r w:rsidRPr="004D1BC6">
              <w:t>5.6</w:t>
            </w:r>
          </w:p>
        </w:tc>
        <w:tc>
          <w:tcPr>
            <w:tcW w:w="1106" w:type="dxa"/>
            <w:vAlign w:val="top"/>
          </w:tcPr>
          <w:p w:rsidR="00AF6FBB" w:rsidRPr="00AF6FBB" w:rsidRDefault="00AF6FBB" w:rsidP="00AF6FBB">
            <w:pPr>
              <w:cnfStyle w:val="000000010000" w:firstRow="0" w:lastRow="0" w:firstColumn="0" w:lastColumn="0" w:oddVBand="0" w:evenVBand="0" w:oddHBand="0" w:evenHBand="1" w:firstRowFirstColumn="0" w:firstRowLastColumn="0" w:lastRowFirstColumn="0" w:lastRowLastColumn="0"/>
            </w:pPr>
            <w:r w:rsidRPr="004D1BC6">
              <w:t>8.0</w:t>
            </w:r>
          </w:p>
        </w:tc>
        <w:tc>
          <w:tcPr>
            <w:tcW w:w="232" w:type="dxa"/>
          </w:tcPr>
          <w:p w:rsidR="00AF6FBB" w:rsidRPr="004D1BC6" w:rsidRDefault="00AF6FBB" w:rsidP="00AF6FBB">
            <w:pPr>
              <w:cnfStyle w:val="000000010000" w:firstRow="0" w:lastRow="0" w:firstColumn="0" w:lastColumn="0" w:oddVBand="0" w:evenVBand="0" w:oddHBand="0" w:evenHBand="1" w:firstRowFirstColumn="0" w:firstRowLastColumn="0" w:lastRowFirstColumn="0" w:lastRowLastColumn="0"/>
            </w:pPr>
          </w:p>
        </w:tc>
        <w:tc>
          <w:tcPr>
            <w:tcW w:w="1430" w:type="dxa"/>
            <w:vAlign w:val="top"/>
          </w:tcPr>
          <w:p w:rsidR="00AF6FBB" w:rsidRPr="00AF6FBB" w:rsidRDefault="00AF6FBB" w:rsidP="00AF6FBB">
            <w:pPr>
              <w:cnfStyle w:val="000000010000" w:firstRow="0" w:lastRow="0" w:firstColumn="0" w:lastColumn="0" w:oddVBand="0" w:evenVBand="0" w:oddHBand="0" w:evenHBand="1" w:firstRowFirstColumn="0" w:firstRowLastColumn="0" w:lastRowFirstColumn="0" w:lastRowLastColumn="0"/>
            </w:pPr>
            <w:r w:rsidRPr="004D1BC6">
              <w:t>1.1</w:t>
            </w:r>
          </w:p>
        </w:tc>
        <w:tc>
          <w:tcPr>
            <w:tcW w:w="1430" w:type="dxa"/>
            <w:vAlign w:val="top"/>
          </w:tcPr>
          <w:p w:rsidR="00AF6FBB" w:rsidRPr="00AF6FBB" w:rsidRDefault="00AF6FBB" w:rsidP="00AF6FBB">
            <w:pPr>
              <w:cnfStyle w:val="000000010000" w:firstRow="0" w:lastRow="0" w:firstColumn="0" w:lastColumn="0" w:oddVBand="0" w:evenVBand="0" w:oddHBand="0" w:evenHBand="1" w:firstRowFirstColumn="0" w:firstRowLastColumn="0" w:lastRowFirstColumn="0" w:lastRowLastColumn="0"/>
            </w:pPr>
            <w:r w:rsidRPr="004D1BC6">
              <w:t>0.7</w:t>
            </w:r>
          </w:p>
        </w:tc>
        <w:tc>
          <w:tcPr>
            <w:tcW w:w="1431" w:type="dxa"/>
            <w:vAlign w:val="top"/>
          </w:tcPr>
          <w:p w:rsidR="00AF6FBB" w:rsidRPr="00AF6FBB" w:rsidRDefault="00AF6FBB" w:rsidP="00AF6FBB">
            <w:pPr>
              <w:cnfStyle w:val="000000010000" w:firstRow="0" w:lastRow="0" w:firstColumn="0" w:lastColumn="0" w:oddVBand="0" w:evenVBand="0" w:oddHBand="0" w:evenHBand="1" w:firstRowFirstColumn="0" w:firstRowLastColumn="0" w:lastRowFirstColumn="0" w:lastRowLastColumn="0"/>
            </w:pPr>
            <w:r w:rsidRPr="004D1BC6">
              <w:t>1.0</w:t>
            </w:r>
          </w:p>
        </w:tc>
      </w:tr>
      <w:tr w:rsidR="00AF6FBB" w:rsidRPr="000C7BEC" w:rsidTr="00AF6FBB">
        <w:tc>
          <w:tcPr>
            <w:cnfStyle w:val="001000000000" w:firstRow="0" w:lastRow="0" w:firstColumn="1" w:lastColumn="0" w:oddVBand="0" w:evenVBand="0" w:oddHBand="0" w:evenHBand="0" w:firstRowFirstColumn="0" w:firstRowLastColumn="0" w:lastRowFirstColumn="0" w:lastRowLastColumn="0"/>
            <w:tcW w:w="867" w:type="dxa"/>
          </w:tcPr>
          <w:p w:rsidR="00AF6FBB" w:rsidRPr="00AF6FBB" w:rsidRDefault="00AF6FBB" w:rsidP="00AF6FBB">
            <w:r w:rsidRPr="004D1BC6">
              <w:t>23</w:t>
            </w:r>
          </w:p>
        </w:tc>
        <w:tc>
          <w:tcPr>
            <w:tcW w:w="1106" w:type="dxa"/>
            <w:vAlign w:val="top"/>
          </w:tcPr>
          <w:p w:rsidR="00AF6FBB" w:rsidRPr="00AF6FBB" w:rsidRDefault="00AF6FBB" w:rsidP="00AF6FBB">
            <w:pPr>
              <w:cnfStyle w:val="000000000000" w:firstRow="0" w:lastRow="0" w:firstColumn="0" w:lastColumn="0" w:oddVBand="0" w:evenVBand="0" w:oddHBand="0" w:evenHBand="0" w:firstRowFirstColumn="0" w:firstRowLastColumn="0" w:lastRowFirstColumn="0" w:lastRowLastColumn="0"/>
            </w:pPr>
            <w:r w:rsidRPr="004D1BC6">
              <w:t>8.6</w:t>
            </w:r>
          </w:p>
        </w:tc>
        <w:tc>
          <w:tcPr>
            <w:tcW w:w="1106" w:type="dxa"/>
            <w:vAlign w:val="top"/>
          </w:tcPr>
          <w:p w:rsidR="00AF6FBB" w:rsidRPr="00AF6FBB" w:rsidRDefault="00AF6FBB" w:rsidP="00AF6FBB">
            <w:pPr>
              <w:cnfStyle w:val="000000000000" w:firstRow="0" w:lastRow="0" w:firstColumn="0" w:lastColumn="0" w:oddVBand="0" w:evenVBand="0" w:oddHBand="0" w:evenHBand="0" w:firstRowFirstColumn="0" w:firstRowLastColumn="0" w:lastRowFirstColumn="0" w:lastRowLastColumn="0"/>
            </w:pPr>
            <w:r w:rsidRPr="004D1BC6">
              <w:t>5.2</w:t>
            </w:r>
          </w:p>
        </w:tc>
        <w:tc>
          <w:tcPr>
            <w:tcW w:w="1106" w:type="dxa"/>
            <w:vAlign w:val="top"/>
          </w:tcPr>
          <w:p w:rsidR="00AF6FBB" w:rsidRPr="00AF6FBB" w:rsidRDefault="00AF6FBB" w:rsidP="00AF6FBB">
            <w:pPr>
              <w:cnfStyle w:val="000000000000" w:firstRow="0" w:lastRow="0" w:firstColumn="0" w:lastColumn="0" w:oddVBand="0" w:evenVBand="0" w:oddHBand="0" w:evenHBand="0" w:firstRowFirstColumn="0" w:firstRowLastColumn="0" w:lastRowFirstColumn="0" w:lastRowLastColumn="0"/>
            </w:pPr>
            <w:r w:rsidRPr="004D1BC6">
              <w:t>7.9</w:t>
            </w:r>
          </w:p>
        </w:tc>
        <w:tc>
          <w:tcPr>
            <w:tcW w:w="232" w:type="dxa"/>
          </w:tcPr>
          <w:p w:rsidR="00AF6FBB" w:rsidRPr="004D1BC6" w:rsidRDefault="00AF6FBB" w:rsidP="00AF6FBB">
            <w:pPr>
              <w:cnfStyle w:val="000000000000" w:firstRow="0" w:lastRow="0" w:firstColumn="0" w:lastColumn="0" w:oddVBand="0" w:evenVBand="0" w:oddHBand="0" w:evenHBand="0" w:firstRowFirstColumn="0" w:firstRowLastColumn="0" w:lastRowFirstColumn="0" w:lastRowLastColumn="0"/>
            </w:pPr>
          </w:p>
        </w:tc>
        <w:tc>
          <w:tcPr>
            <w:tcW w:w="1430" w:type="dxa"/>
            <w:vAlign w:val="top"/>
          </w:tcPr>
          <w:p w:rsidR="00AF6FBB" w:rsidRPr="00AF6FBB" w:rsidRDefault="00AF6FBB" w:rsidP="00AF6FBB">
            <w:pPr>
              <w:cnfStyle w:val="000000000000" w:firstRow="0" w:lastRow="0" w:firstColumn="0" w:lastColumn="0" w:oddVBand="0" w:evenVBand="0" w:oddHBand="0" w:evenHBand="0" w:firstRowFirstColumn="0" w:firstRowLastColumn="0" w:lastRowFirstColumn="0" w:lastRowLastColumn="0"/>
            </w:pPr>
            <w:r w:rsidRPr="004D1BC6">
              <w:t>1.0</w:t>
            </w:r>
          </w:p>
        </w:tc>
        <w:tc>
          <w:tcPr>
            <w:tcW w:w="1430" w:type="dxa"/>
            <w:vAlign w:val="top"/>
          </w:tcPr>
          <w:p w:rsidR="00AF6FBB" w:rsidRPr="00AF6FBB" w:rsidRDefault="00AF6FBB" w:rsidP="00AF6FBB">
            <w:pPr>
              <w:cnfStyle w:val="000000000000" w:firstRow="0" w:lastRow="0" w:firstColumn="0" w:lastColumn="0" w:oddVBand="0" w:evenVBand="0" w:oddHBand="0" w:evenHBand="0" w:firstRowFirstColumn="0" w:firstRowLastColumn="0" w:lastRowFirstColumn="0" w:lastRowLastColumn="0"/>
            </w:pPr>
            <w:r w:rsidRPr="004D1BC6">
              <w:t>0.6</w:t>
            </w:r>
          </w:p>
        </w:tc>
        <w:tc>
          <w:tcPr>
            <w:tcW w:w="1431" w:type="dxa"/>
            <w:vAlign w:val="top"/>
          </w:tcPr>
          <w:p w:rsidR="00AF6FBB" w:rsidRPr="00AF6FBB" w:rsidRDefault="00AF6FBB" w:rsidP="00AF6FBB">
            <w:pPr>
              <w:cnfStyle w:val="000000000000" w:firstRow="0" w:lastRow="0" w:firstColumn="0" w:lastColumn="0" w:oddVBand="0" w:evenVBand="0" w:oddHBand="0" w:evenHBand="0" w:firstRowFirstColumn="0" w:firstRowLastColumn="0" w:lastRowFirstColumn="0" w:lastRowLastColumn="0"/>
            </w:pPr>
            <w:r w:rsidRPr="004D1BC6">
              <w:t>0.9</w:t>
            </w:r>
          </w:p>
        </w:tc>
      </w:tr>
      <w:tr w:rsidR="00AF6FBB" w:rsidRPr="000C7BEC" w:rsidTr="00AF6F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7" w:type="dxa"/>
          </w:tcPr>
          <w:p w:rsidR="00AF6FBB" w:rsidRPr="00AF6FBB" w:rsidRDefault="00AF6FBB" w:rsidP="00AF6FBB">
            <w:r w:rsidRPr="004D1BC6">
              <w:t>24</w:t>
            </w:r>
          </w:p>
        </w:tc>
        <w:tc>
          <w:tcPr>
            <w:tcW w:w="1106" w:type="dxa"/>
            <w:vAlign w:val="top"/>
          </w:tcPr>
          <w:p w:rsidR="00AF6FBB" w:rsidRPr="00AF6FBB" w:rsidRDefault="00AF6FBB" w:rsidP="00AF6FBB">
            <w:pPr>
              <w:cnfStyle w:val="000000010000" w:firstRow="0" w:lastRow="0" w:firstColumn="0" w:lastColumn="0" w:oddVBand="0" w:evenVBand="0" w:oddHBand="0" w:evenHBand="1" w:firstRowFirstColumn="0" w:firstRowLastColumn="0" w:lastRowFirstColumn="0" w:lastRowLastColumn="0"/>
            </w:pPr>
            <w:r w:rsidRPr="004D1BC6">
              <w:t>8.3</w:t>
            </w:r>
          </w:p>
        </w:tc>
        <w:tc>
          <w:tcPr>
            <w:tcW w:w="1106" w:type="dxa"/>
            <w:vAlign w:val="top"/>
          </w:tcPr>
          <w:p w:rsidR="00AF6FBB" w:rsidRPr="00AF6FBB" w:rsidRDefault="00AF6FBB" w:rsidP="00AF6FBB">
            <w:pPr>
              <w:cnfStyle w:val="000000010000" w:firstRow="0" w:lastRow="0" w:firstColumn="0" w:lastColumn="0" w:oddVBand="0" w:evenVBand="0" w:oddHBand="0" w:evenHBand="1" w:firstRowFirstColumn="0" w:firstRowLastColumn="0" w:lastRowFirstColumn="0" w:lastRowLastColumn="0"/>
            </w:pPr>
            <w:r w:rsidRPr="004D1BC6">
              <w:t>4.8</w:t>
            </w:r>
          </w:p>
        </w:tc>
        <w:tc>
          <w:tcPr>
            <w:tcW w:w="1106" w:type="dxa"/>
            <w:vAlign w:val="top"/>
          </w:tcPr>
          <w:p w:rsidR="00AF6FBB" w:rsidRPr="00AF6FBB" w:rsidRDefault="00AF6FBB" w:rsidP="00AF6FBB">
            <w:pPr>
              <w:cnfStyle w:val="000000010000" w:firstRow="0" w:lastRow="0" w:firstColumn="0" w:lastColumn="0" w:oddVBand="0" w:evenVBand="0" w:oddHBand="0" w:evenHBand="1" w:firstRowFirstColumn="0" w:firstRowLastColumn="0" w:lastRowFirstColumn="0" w:lastRowLastColumn="0"/>
            </w:pPr>
            <w:r w:rsidRPr="004D1BC6">
              <w:t>7.8</w:t>
            </w:r>
          </w:p>
        </w:tc>
        <w:tc>
          <w:tcPr>
            <w:tcW w:w="232" w:type="dxa"/>
          </w:tcPr>
          <w:p w:rsidR="00AF6FBB" w:rsidRPr="004D1BC6" w:rsidRDefault="00AF6FBB" w:rsidP="00AF6FBB">
            <w:pPr>
              <w:cnfStyle w:val="000000010000" w:firstRow="0" w:lastRow="0" w:firstColumn="0" w:lastColumn="0" w:oddVBand="0" w:evenVBand="0" w:oddHBand="0" w:evenHBand="1" w:firstRowFirstColumn="0" w:firstRowLastColumn="0" w:lastRowFirstColumn="0" w:lastRowLastColumn="0"/>
            </w:pPr>
          </w:p>
        </w:tc>
        <w:tc>
          <w:tcPr>
            <w:tcW w:w="1430" w:type="dxa"/>
            <w:vAlign w:val="top"/>
          </w:tcPr>
          <w:p w:rsidR="00AF6FBB" w:rsidRPr="00AF6FBB" w:rsidRDefault="00AF6FBB" w:rsidP="00AF6FBB">
            <w:pPr>
              <w:cnfStyle w:val="000000010000" w:firstRow="0" w:lastRow="0" w:firstColumn="0" w:lastColumn="0" w:oddVBand="0" w:evenVBand="0" w:oddHBand="0" w:evenHBand="1" w:firstRowFirstColumn="0" w:firstRowLastColumn="0" w:lastRowFirstColumn="0" w:lastRowLastColumn="0"/>
            </w:pPr>
            <w:r w:rsidRPr="004D1BC6">
              <w:t>0.8</w:t>
            </w:r>
          </w:p>
        </w:tc>
        <w:tc>
          <w:tcPr>
            <w:tcW w:w="1430" w:type="dxa"/>
            <w:vAlign w:val="top"/>
          </w:tcPr>
          <w:p w:rsidR="00AF6FBB" w:rsidRPr="00AF6FBB" w:rsidRDefault="00AF6FBB" w:rsidP="00AF6FBB">
            <w:pPr>
              <w:cnfStyle w:val="000000010000" w:firstRow="0" w:lastRow="0" w:firstColumn="0" w:lastColumn="0" w:oddVBand="0" w:evenVBand="0" w:oddHBand="0" w:evenHBand="1" w:firstRowFirstColumn="0" w:firstRowLastColumn="0" w:lastRowFirstColumn="0" w:lastRowLastColumn="0"/>
            </w:pPr>
            <w:r w:rsidRPr="004D1BC6">
              <w:t>0.5</w:t>
            </w:r>
          </w:p>
        </w:tc>
        <w:tc>
          <w:tcPr>
            <w:tcW w:w="1431" w:type="dxa"/>
            <w:vAlign w:val="top"/>
          </w:tcPr>
          <w:p w:rsidR="00AF6FBB" w:rsidRPr="00AF6FBB" w:rsidRDefault="00AF6FBB" w:rsidP="00AF6FBB">
            <w:pPr>
              <w:cnfStyle w:val="000000010000" w:firstRow="0" w:lastRow="0" w:firstColumn="0" w:lastColumn="0" w:oddVBand="0" w:evenVBand="0" w:oddHBand="0" w:evenHBand="1" w:firstRowFirstColumn="0" w:firstRowLastColumn="0" w:lastRowFirstColumn="0" w:lastRowLastColumn="0"/>
            </w:pPr>
            <w:r w:rsidRPr="004D1BC6">
              <w:t>0.8</w:t>
            </w:r>
          </w:p>
        </w:tc>
      </w:tr>
      <w:tr w:rsidR="00AF6FBB" w:rsidRPr="000C7BEC" w:rsidTr="00AF6FBB">
        <w:tc>
          <w:tcPr>
            <w:cnfStyle w:val="001000000000" w:firstRow="0" w:lastRow="0" w:firstColumn="1" w:lastColumn="0" w:oddVBand="0" w:evenVBand="0" w:oddHBand="0" w:evenHBand="0" w:firstRowFirstColumn="0" w:firstRowLastColumn="0" w:lastRowFirstColumn="0" w:lastRowLastColumn="0"/>
            <w:tcW w:w="867" w:type="dxa"/>
          </w:tcPr>
          <w:p w:rsidR="00AF6FBB" w:rsidRPr="00AF6FBB" w:rsidRDefault="00AF6FBB" w:rsidP="00AF6FBB">
            <w:r w:rsidRPr="004D1BC6">
              <w:t>25</w:t>
            </w:r>
          </w:p>
        </w:tc>
        <w:tc>
          <w:tcPr>
            <w:tcW w:w="1106" w:type="dxa"/>
            <w:vAlign w:val="top"/>
          </w:tcPr>
          <w:p w:rsidR="00AF6FBB" w:rsidRPr="00AF6FBB" w:rsidRDefault="00AF6FBB" w:rsidP="00AF6FBB">
            <w:pPr>
              <w:cnfStyle w:val="000000000000" w:firstRow="0" w:lastRow="0" w:firstColumn="0" w:lastColumn="0" w:oddVBand="0" w:evenVBand="0" w:oddHBand="0" w:evenHBand="0" w:firstRowFirstColumn="0" w:firstRowLastColumn="0" w:lastRowFirstColumn="0" w:lastRowLastColumn="0"/>
            </w:pPr>
            <w:r w:rsidRPr="004D1BC6">
              <w:t>8.0</w:t>
            </w:r>
          </w:p>
        </w:tc>
        <w:tc>
          <w:tcPr>
            <w:tcW w:w="1106" w:type="dxa"/>
            <w:vAlign w:val="top"/>
          </w:tcPr>
          <w:p w:rsidR="00AF6FBB" w:rsidRPr="00AF6FBB" w:rsidRDefault="00AF6FBB" w:rsidP="00AF6FBB">
            <w:pPr>
              <w:cnfStyle w:val="000000000000" w:firstRow="0" w:lastRow="0" w:firstColumn="0" w:lastColumn="0" w:oddVBand="0" w:evenVBand="0" w:oddHBand="0" w:evenHBand="0" w:firstRowFirstColumn="0" w:firstRowLastColumn="0" w:lastRowFirstColumn="0" w:lastRowLastColumn="0"/>
            </w:pPr>
            <w:r w:rsidRPr="004D1BC6">
              <w:t>4.4</w:t>
            </w:r>
          </w:p>
        </w:tc>
        <w:tc>
          <w:tcPr>
            <w:tcW w:w="1106" w:type="dxa"/>
            <w:vAlign w:val="top"/>
          </w:tcPr>
          <w:p w:rsidR="00AF6FBB" w:rsidRPr="00AF6FBB" w:rsidRDefault="00AF6FBB" w:rsidP="00AF6FBB">
            <w:pPr>
              <w:cnfStyle w:val="000000000000" w:firstRow="0" w:lastRow="0" w:firstColumn="0" w:lastColumn="0" w:oddVBand="0" w:evenVBand="0" w:oddHBand="0" w:evenHBand="0" w:firstRowFirstColumn="0" w:firstRowLastColumn="0" w:lastRowFirstColumn="0" w:lastRowLastColumn="0"/>
            </w:pPr>
            <w:r w:rsidRPr="004D1BC6">
              <w:t>7.7</w:t>
            </w:r>
          </w:p>
        </w:tc>
        <w:tc>
          <w:tcPr>
            <w:tcW w:w="232" w:type="dxa"/>
          </w:tcPr>
          <w:p w:rsidR="00AF6FBB" w:rsidRPr="004D1BC6" w:rsidRDefault="00AF6FBB" w:rsidP="00AF6FBB">
            <w:pPr>
              <w:cnfStyle w:val="000000000000" w:firstRow="0" w:lastRow="0" w:firstColumn="0" w:lastColumn="0" w:oddVBand="0" w:evenVBand="0" w:oddHBand="0" w:evenHBand="0" w:firstRowFirstColumn="0" w:firstRowLastColumn="0" w:lastRowFirstColumn="0" w:lastRowLastColumn="0"/>
            </w:pPr>
          </w:p>
        </w:tc>
        <w:tc>
          <w:tcPr>
            <w:tcW w:w="1430" w:type="dxa"/>
            <w:vAlign w:val="top"/>
          </w:tcPr>
          <w:p w:rsidR="00AF6FBB" w:rsidRPr="00AF6FBB" w:rsidRDefault="00AF6FBB" w:rsidP="00AF6FBB">
            <w:pPr>
              <w:cnfStyle w:val="000000000000" w:firstRow="0" w:lastRow="0" w:firstColumn="0" w:lastColumn="0" w:oddVBand="0" w:evenVBand="0" w:oddHBand="0" w:evenHBand="0" w:firstRowFirstColumn="0" w:firstRowLastColumn="0" w:lastRowFirstColumn="0" w:lastRowLastColumn="0"/>
            </w:pPr>
            <w:r w:rsidRPr="004D1BC6">
              <w:t>0.7</w:t>
            </w:r>
          </w:p>
        </w:tc>
        <w:tc>
          <w:tcPr>
            <w:tcW w:w="1430" w:type="dxa"/>
            <w:vAlign w:val="top"/>
          </w:tcPr>
          <w:p w:rsidR="00AF6FBB" w:rsidRPr="00AF6FBB" w:rsidRDefault="00AF6FBB" w:rsidP="00AF6FBB">
            <w:pPr>
              <w:cnfStyle w:val="000000000000" w:firstRow="0" w:lastRow="0" w:firstColumn="0" w:lastColumn="0" w:oddVBand="0" w:evenVBand="0" w:oddHBand="0" w:evenHBand="0" w:firstRowFirstColumn="0" w:firstRowLastColumn="0" w:lastRowFirstColumn="0" w:lastRowLastColumn="0"/>
            </w:pPr>
            <w:r w:rsidRPr="004D1BC6">
              <w:t>0.4</w:t>
            </w:r>
          </w:p>
        </w:tc>
        <w:tc>
          <w:tcPr>
            <w:tcW w:w="1431" w:type="dxa"/>
            <w:vAlign w:val="top"/>
          </w:tcPr>
          <w:p w:rsidR="00AF6FBB" w:rsidRPr="00AF6FBB" w:rsidRDefault="00AF6FBB" w:rsidP="00AF6FBB">
            <w:pPr>
              <w:cnfStyle w:val="000000000000" w:firstRow="0" w:lastRow="0" w:firstColumn="0" w:lastColumn="0" w:oddVBand="0" w:evenVBand="0" w:oddHBand="0" w:evenHBand="0" w:firstRowFirstColumn="0" w:firstRowLastColumn="0" w:lastRowFirstColumn="0" w:lastRowLastColumn="0"/>
            </w:pPr>
            <w:r w:rsidRPr="004D1BC6">
              <w:t>0.7</w:t>
            </w:r>
          </w:p>
        </w:tc>
      </w:tr>
      <w:tr w:rsidR="00AF6FBB" w:rsidRPr="000C7BEC" w:rsidTr="00AF6F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7" w:type="dxa"/>
          </w:tcPr>
          <w:p w:rsidR="00AF6FBB" w:rsidRPr="00AF6FBB" w:rsidRDefault="00AF6FBB" w:rsidP="00AF6FBB">
            <w:pPr>
              <w:rPr>
                <w:rStyle w:val="Strong"/>
              </w:rPr>
            </w:pPr>
            <w:r w:rsidRPr="004D1BC6">
              <w:rPr>
                <w:rStyle w:val="Strong"/>
              </w:rPr>
              <w:t>Total</w:t>
            </w:r>
          </w:p>
        </w:tc>
        <w:tc>
          <w:tcPr>
            <w:tcW w:w="1106" w:type="dxa"/>
            <w:vAlign w:val="top"/>
          </w:tcPr>
          <w:p w:rsidR="00AF6FBB" w:rsidRPr="00AF6FBB" w:rsidRDefault="00AF6FBB" w:rsidP="00AF6FBB">
            <w:pPr>
              <w:cnfStyle w:val="000000010000" w:firstRow="0" w:lastRow="0" w:firstColumn="0" w:lastColumn="0" w:oddVBand="0" w:evenVBand="0" w:oddHBand="0" w:evenHBand="1" w:firstRowFirstColumn="0" w:firstRowLastColumn="0" w:lastRowFirstColumn="0" w:lastRowLastColumn="0"/>
            </w:pPr>
            <w:r w:rsidRPr="004D1BC6">
              <w:t>260.2</w:t>
            </w:r>
          </w:p>
        </w:tc>
        <w:tc>
          <w:tcPr>
            <w:tcW w:w="1106" w:type="dxa"/>
            <w:vAlign w:val="top"/>
          </w:tcPr>
          <w:p w:rsidR="00AF6FBB" w:rsidRPr="00AF6FBB" w:rsidRDefault="00AF6FBB" w:rsidP="00AF6FBB">
            <w:pPr>
              <w:cnfStyle w:val="000000010000" w:firstRow="0" w:lastRow="0" w:firstColumn="0" w:lastColumn="0" w:oddVBand="0" w:evenVBand="0" w:oddHBand="0" w:evenHBand="1" w:firstRowFirstColumn="0" w:firstRowLastColumn="0" w:lastRowFirstColumn="0" w:lastRowLastColumn="0"/>
            </w:pPr>
            <w:r w:rsidRPr="004D1BC6">
              <w:t>230.0</w:t>
            </w:r>
          </w:p>
        </w:tc>
        <w:tc>
          <w:tcPr>
            <w:tcW w:w="1106" w:type="dxa"/>
            <w:vAlign w:val="top"/>
          </w:tcPr>
          <w:p w:rsidR="00AF6FBB" w:rsidRPr="00AF6FBB" w:rsidRDefault="00AF6FBB" w:rsidP="00AF6FBB">
            <w:pPr>
              <w:cnfStyle w:val="000000010000" w:firstRow="0" w:lastRow="0" w:firstColumn="0" w:lastColumn="0" w:oddVBand="0" w:evenVBand="0" w:oddHBand="0" w:evenHBand="1" w:firstRowFirstColumn="0" w:firstRowLastColumn="0" w:lastRowFirstColumn="0" w:lastRowLastColumn="0"/>
            </w:pPr>
            <w:r w:rsidRPr="004D1BC6">
              <w:t>236.0</w:t>
            </w:r>
          </w:p>
        </w:tc>
        <w:tc>
          <w:tcPr>
            <w:tcW w:w="232" w:type="dxa"/>
          </w:tcPr>
          <w:p w:rsidR="00AF6FBB" w:rsidRPr="004D1BC6" w:rsidRDefault="00AF6FBB" w:rsidP="00AF6FBB">
            <w:pPr>
              <w:cnfStyle w:val="000000010000" w:firstRow="0" w:lastRow="0" w:firstColumn="0" w:lastColumn="0" w:oddVBand="0" w:evenVBand="0" w:oddHBand="0" w:evenHBand="1" w:firstRowFirstColumn="0" w:firstRowLastColumn="0" w:lastRowFirstColumn="0" w:lastRowLastColumn="0"/>
              <w:rPr>
                <w:rStyle w:val="Strong"/>
              </w:rPr>
            </w:pPr>
          </w:p>
        </w:tc>
        <w:tc>
          <w:tcPr>
            <w:tcW w:w="1430" w:type="dxa"/>
            <w:vAlign w:val="top"/>
          </w:tcPr>
          <w:p w:rsidR="00AF6FBB" w:rsidRPr="00AF6FBB" w:rsidRDefault="00AF6FBB" w:rsidP="00AF6FBB">
            <w:pPr>
              <w:cnfStyle w:val="000000010000" w:firstRow="0" w:lastRow="0" w:firstColumn="0" w:lastColumn="0" w:oddVBand="0" w:evenVBand="0" w:oddHBand="0" w:evenHBand="1" w:firstRowFirstColumn="0" w:firstRowLastColumn="0" w:lastRowFirstColumn="0" w:lastRowLastColumn="0"/>
            </w:pPr>
            <w:r w:rsidRPr="004D1BC6">
              <w:t>100.0</w:t>
            </w:r>
          </w:p>
        </w:tc>
        <w:tc>
          <w:tcPr>
            <w:tcW w:w="1430" w:type="dxa"/>
            <w:vAlign w:val="top"/>
          </w:tcPr>
          <w:p w:rsidR="00AF6FBB" w:rsidRPr="00AF6FBB" w:rsidRDefault="00AF6FBB" w:rsidP="00AF6FBB">
            <w:pPr>
              <w:cnfStyle w:val="000000010000" w:firstRow="0" w:lastRow="0" w:firstColumn="0" w:lastColumn="0" w:oddVBand="0" w:evenVBand="0" w:oddHBand="0" w:evenHBand="1" w:firstRowFirstColumn="0" w:firstRowLastColumn="0" w:lastRowFirstColumn="0" w:lastRowLastColumn="0"/>
            </w:pPr>
            <w:r w:rsidRPr="004D1BC6">
              <w:t>100.0</w:t>
            </w:r>
          </w:p>
        </w:tc>
        <w:tc>
          <w:tcPr>
            <w:tcW w:w="1431" w:type="dxa"/>
            <w:vAlign w:val="top"/>
          </w:tcPr>
          <w:p w:rsidR="00AF6FBB" w:rsidRPr="00AF6FBB" w:rsidRDefault="00AF6FBB" w:rsidP="00AF6FBB">
            <w:pPr>
              <w:cnfStyle w:val="000000010000" w:firstRow="0" w:lastRow="0" w:firstColumn="0" w:lastColumn="0" w:oddVBand="0" w:evenVBand="0" w:oddHBand="0" w:evenHBand="1" w:firstRowFirstColumn="0" w:firstRowLastColumn="0" w:lastRowFirstColumn="0" w:lastRowLastColumn="0"/>
            </w:pPr>
            <w:r w:rsidRPr="004D1BC6">
              <w:t>94.4</w:t>
            </w:r>
          </w:p>
        </w:tc>
      </w:tr>
    </w:tbl>
    <w:p w:rsidR="00AF6FBB" w:rsidRDefault="00AF6FBB" w:rsidP="00AF6FBB">
      <w:pPr>
        <w:pStyle w:val="AERtablesource"/>
      </w:pPr>
      <w:r>
        <w:t>Source:</w:t>
      </w:r>
      <w:r>
        <w:tab/>
        <w:t>AER analysis.</w:t>
      </w:r>
    </w:p>
    <w:p w:rsidR="00AF6FBB" w:rsidRDefault="00AF6FBB" w:rsidP="00AF6FBB">
      <w:r>
        <w:lastRenderedPageBreak/>
        <w:t>The key results in this table can be established by comparing the total revenues of the different approaches in the columns with labels referring to 'discounted for NPV':</w:t>
      </w:r>
    </w:p>
    <w:p w:rsidR="00AF6FBB" w:rsidRDefault="00666263" w:rsidP="00AF6FBB">
      <w:pPr>
        <w:pStyle w:val="AERbulletlistfirststyle"/>
      </w:pPr>
      <w:r>
        <w:t>U</w:t>
      </w:r>
      <w:r w:rsidR="00AF6FBB">
        <w:t>nder either the AER's approach (indexed RAB, nominal WACC, depreciation offset) or the unindexed RAB approach (unindexed RAB, nominal WACC, zero depreciation offset) the NPVs are the same and are equal to the starting value of the investment ($100 million).</w:t>
      </w:r>
    </w:p>
    <w:p w:rsidR="00AF6FBB" w:rsidRPr="006B7509" w:rsidRDefault="00666263" w:rsidP="00AF6FBB">
      <w:pPr>
        <w:pStyle w:val="AERbulletlistfirststyle"/>
      </w:pPr>
      <w:r>
        <w:t>H</w:t>
      </w:r>
      <w:r w:rsidR="00AF6FBB">
        <w:t xml:space="preserve">owever, under the CCP members' proposed approach, the total of cash flows in NPV terms is lower, and specifically is below the initial value of the investment. </w:t>
      </w:r>
    </w:p>
    <w:p w:rsidR="00AF6FBB" w:rsidRDefault="00AF6FBB" w:rsidP="00AF6FBB">
      <w:pPr>
        <w:pStyle w:val="Heading9"/>
      </w:pPr>
      <w:bookmarkStart w:id="126" w:name="_Ref460416771"/>
      <w:bookmarkStart w:id="127" w:name="_Toc462045316"/>
      <w:bookmarkStart w:id="128" w:name="_Toc462749202"/>
      <w:r>
        <w:t>Regulatory depreciation</w:t>
      </w:r>
      <w:bookmarkEnd w:id="126"/>
      <w:bookmarkEnd w:id="127"/>
      <w:bookmarkEnd w:id="128"/>
    </w:p>
    <w:p w:rsidR="00AF6FBB" w:rsidRDefault="00AF6FBB" w:rsidP="00AF6FBB">
      <w:pPr>
        <w:rPr>
          <w:rStyle w:val="AERbody"/>
        </w:rPr>
      </w:pPr>
      <w:r w:rsidRPr="00B06CAD">
        <w:rPr>
          <w:rStyle w:val="AERbody"/>
        </w:rPr>
        <w:t>The regulatory depreciation allowance is a building block component of the annual building block</w:t>
      </w:r>
      <w:r>
        <w:rPr>
          <w:rStyle w:val="AERbody"/>
        </w:rPr>
        <w:t xml:space="preserve"> revenue requirement.</w:t>
      </w:r>
      <w:r>
        <w:rPr>
          <w:rStyle w:val="FootnoteReference"/>
        </w:rPr>
        <w:footnoteReference w:id="86"/>
      </w:r>
      <w:r w:rsidRPr="00B06CAD">
        <w:rPr>
          <w:rStyle w:val="AERbody"/>
        </w:rPr>
        <w:t xml:space="preserve"> Higher (or quicker) depreciation leads to higher revenues over the regulatory</w:t>
      </w:r>
      <w:r>
        <w:rPr>
          <w:rStyle w:val="AERbody"/>
        </w:rPr>
        <w:t xml:space="preserve"> </w:t>
      </w:r>
      <w:r w:rsidRPr="00B06CAD">
        <w:rPr>
          <w:rStyle w:val="AERbody"/>
        </w:rPr>
        <w:t>control period. It also causes the RAB to reduce more quickly (</w:t>
      </w:r>
      <w:r>
        <w:rPr>
          <w:rStyle w:val="AERbody"/>
        </w:rPr>
        <w:t xml:space="preserve">excluding the impact of </w:t>
      </w:r>
      <w:r w:rsidRPr="00B06CAD">
        <w:rPr>
          <w:rStyle w:val="AERbody"/>
        </w:rPr>
        <w:t>further capex). This</w:t>
      </w:r>
      <w:r>
        <w:rPr>
          <w:rStyle w:val="AERbody"/>
        </w:rPr>
        <w:t xml:space="preserve"> </w:t>
      </w:r>
      <w:r w:rsidRPr="00B06CAD">
        <w:rPr>
          <w:rStyle w:val="AERbody"/>
        </w:rPr>
        <w:t xml:space="preserve">reduces the return on capital allowance, although this impact is usually </w:t>
      </w:r>
      <w:r>
        <w:rPr>
          <w:rStyle w:val="AERbody"/>
        </w:rPr>
        <w:t>smaller than</w:t>
      </w:r>
      <w:r w:rsidRPr="00B06CAD">
        <w:rPr>
          <w:rStyle w:val="AERbody"/>
        </w:rPr>
        <w:t xml:space="preserve"> the increased</w:t>
      </w:r>
      <w:r>
        <w:rPr>
          <w:rStyle w:val="AERbody"/>
        </w:rPr>
        <w:t xml:space="preserve"> </w:t>
      </w:r>
      <w:r w:rsidRPr="00B06CAD">
        <w:rPr>
          <w:rStyle w:val="AERbody"/>
        </w:rPr>
        <w:t>depreciation allowance</w:t>
      </w:r>
      <w:r>
        <w:rPr>
          <w:rStyle w:val="AERbody"/>
        </w:rPr>
        <w:t xml:space="preserve"> in the short to medium term</w:t>
      </w:r>
      <w:r w:rsidRPr="00B06CAD">
        <w:rPr>
          <w:rStyle w:val="AERbody"/>
        </w:rPr>
        <w:t>.</w:t>
      </w:r>
      <w:r>
        <w:rPr>
          <w:rStyle w:val="FootnoteReference"/>
        </w:rPr>
        <w:footnoteReference w:id="87"/>
      </w:r>
    </w:p>
    <w:p w:rsidR="00AF6FBB" w:rsidRDefault="00AF6FBB" w:rsidP="00AF6FBB">
      <w:pPr>
        <w:rPr>
          <w:rStyle w:val="AERbody"/>
        </w:rPr>
      </w:pPr>
      <w:r w:rsidRPr="00B06CAD">
        <w:rPr>
          <w:rStyle w:val="AERbody"/>
        </w:rPr>
        <w:t>Ultimately, however, a TNSP can only recover the capex it has incurred on assets once. The</w:t>
      </w:r>
      <w:r>
        <w:rPr>
          <w:rStyle w:val="AERbody"/>
        </w:rPr>
        <w:t xml:space="preserve"> </w:t>
      </w:r>
      <w:r w:rsidRPr="00B06CAD">
        <w:rPr>
          <w:rStyle w:val="AERbody"/>
        </w:rPr>
        <w:t>depreciation allowance reflects how quickly the RAB is being recovered and is based on the</w:t>
      </w:r>
      <w:r>
        <w:rPr>
          <w:rStyle w:val="AERbody"/>
        </w:rPr>
        <w:t xml:space="preserve"> </w:t>
      </w:r>
      <w:r w:rsidRPr="00B06CAD">
        <w:rPr>
          <w:rStyle w:val="AERbody"/>
        </w:rPr>
        <w:t>remaining and standard asset lives used in the depreciation calculation.</w:t>
      </w:r>
      <w:r>
        <w:rPr>
          <w:rStyle w:val="AERbody"/>
        </w:rPr>
        <w:t xml:space="preserve"> It </w:t>
      </w:r>
      <w:r w:rsidRPr="00B06CAD">
        <w:rPr>
          <w:rStyle w:val="AERbody"/>
        </w:rPr>
        <w:t>also depends on the level of the opening RAB and the forecast capex.</w:t>
      </w:r>
      <w:r>
        <w:rPr>
          <w:rStyle w:val="AERbody"/>
        </w:rPr>
        <w:t xml:space="preserve"> </w:t>
      </w:r>
      <w:r w:rsidRPr="00B06CAD">
        <w:rPr>
          <w:rStyle w:val="AERbody"/>
        </w:rPr>
        <w:t>Any increase in these factors also increases the depreciation allowance.</w:t>
      </w:r>
    </w:p>
    <w:p w:rsidR="00AF6FBB" w:rsidRDefault="00AF6FBB" w:rsidP="00AF6FBB">
      <w:r>
        <w:t>The RAB has to be maintained in real terms, meaning the RAB must be indexed for expected inflation.</w:t>
      </w:r>
      <w:r>
        <w:rPr>
          <w:rStyle w:val="FootnoteReference"/>
        </w:rPr>
        <w:footnoteReference w:id="88"/>
      </w:r>
      <w:r>
        <w:t xml:space="preserve"> The return on capital building block has</w:t>
      </w:r>
      <w:r w:rsidDel="007158C3">
        <w:t xml:space="preserve"> </w:t>
      </w:r>
      <w:r>
        <w:t>to be calculated using a nominal rate of return (WACC) applied to the opening RAB.</w:t>
      </w:r>
      <w:r>
        <w:rPr>
          <w:rStyle w:val="FootnoteReference"/>
        </w:rPr>
        <w:footnoteReference w:id="89"/>
      </w:r>
      <w:r>
        <w:t xml:space="preserve"> As noted in attachment 1, the total annual building block </w:t>
      </w:r>
      <w:r w:rsidRPr="007158C3">
        <w:t xml:space="preserve">revenue requirement </w:t>
      </w:r>
      <w:r>
        <w:t xml:space="preserve">is calculated </w:t>
      </w:r>
      <w:r w:rsidRPr="007158C3">
        <w:t xml:space="preserve">by adding </w:t>
      </w:r>
      <w:r>
        <w:t xml:space="preserve">up the </w:t>
      </w:r>
      <w:r w:rsidRPr="007158C3">
        <w:t>return on capital</w:t>
      </w:r>
      <w:r>
        <w:t>,</w:t>
      </w:r>
      <w:r w:rsidRPr="007158C3">
        <w:t xml:space="preserve"> </w:t>
      </w:r>
      <w:r>
        <w:t>depreciation, opex, tax and revenue adjustments building blocks</w:t>
      </w:r>
      <w:r w:rsidRPr="007158C3">
        <w:t>.</w:t>
      </w:r>
      <w:r>
        <w:t xml:space="preserve"> Because inflation on the RAB is accounted for in both the return on capital—based on a nominal rate—and the depreciation</w:t>
      </w:r>
      <w:r w:rsidRPr="007158C3">
        <w:t xml:space="preserve"> </w:t>
      </w:r>
      <w:r>
        <w:t>calculations—based on an indexed RAB—</w:t>
      </w:r>
      <w:r w:rsidRPr="007158C3">
        <w:t xml:space="preserve">an adjustment </w:t>
      </w:r>
      <w:r>
        <w:t xml:space="preserve">must be </w:t>
      </w:r>
      <w:r w:rsidRPr="007158C3">
        <w:t xml:space="preserve">made </w:t>
      </w:r>
      <w:r>
        <w:t xml:space="preserve">to </w:t>
      </w:r>
      <w:r w:rsidRPr="007158C3">
        <w:t xml:space="preserve">the revenue requirement </w:t>
      </w:r>
      <w:r>
        <w:t>to prevent compensating twice for inflation</w:t>
      </w:r>
      <w:r w:rsidRPr="007158C3">
        <w:t>.</w:t>
      </w:r>
    </w:p>
    <w:p w:rsidR="00AF6FBB" w:rsidRDefault="00AF6FBB" w:rsidP="00AF6FBB">
      <w:r w:rsidRPr="00C9216A">
        <w:t xml:space="preserve">To avoid this double compensation, we make an adjustment by subtracting the annual indexation gain </w:t>
      </w:r>
      <w:r>
        <w:t xml:space="preserve">on the RAB </w:t>
      </w:r>
      <w:r w:rsidRPr="00C9216A">
        <w:t>from the calculation of total revenue</w:t>
      </w:r>
      <w:r>
        <w:t>.</w:t>
      </w:r>
      <w:r>
        <w:rPr>
          <w:rStyle w:val="FootnoteReference"/>
        </w:rPr>
        <w:footnoteReference w:id="90"/>
      </w:r>
      <w:r>
        <w:t xml:space="preserve"> Our standard approach is to subtract the indexation of the opening RAB—</w:t>
      </w:r>
      <w:r w:rsidRPr="00C9216A">
        <w:t xml:space="preserve">the opening RAB </w:t>
      </w:r>
      <w:r>
        <w:lastRenderedPageBreak/>
        <w:t xml:space="preserve">multiplied </w:t>
      </w:r>
      <w:r w:rsidRPr="00C9216A">
        <w:t xml:space="preserve">by the </w:t>
      </w:r>
      <w:r>
        <w:t>expected inflation</w:t>
      </w:r>
      <w:r w:rsidRPr="00C9216A">
        <w:t xml:space="preserve"> </w:t>
      </w:r>
      <w:r>
        <w:t>for</w:t>
      </w:r>
      <w:r w:rsidRPr="00C9216A">
        <w:t xml:space="preserve"> the year</w:t>
      </w:r>
      <w:r>
        <w:t xml:space="preserve">—from the </w:t>
      </w:r>
      <w:r w:rsidRPr="00C9216A">
        <w:t>RAB depreciation. The</w:t>
      </w:r>
      <w:r>
        <w:t xml:space="preserve"> net</w:t>
      </w:r>
      <w:r w:rsidRPr="00C9216A">
        <w:t xml:space="preserve"> result of this calculation is </w:t>
      </w:r>
      <w:r>
        <w:t>referred to as</w:t>
      </w:r>
      <w:r w:rsidRPr="00C9216A">
        <w:t xml:space="preserve"> regulatory depreciation.</w:t>
      </w:r>
      <w:r>
        <w:rPr>
          <w:rStyle w:val="FootnoteReference"/>
        </w:rPr>
        <w:footnoteReference w:id="91"/>
      </w:r>
      <w:r>
        <w:t xml:space="preserve"> Regulatory depreciation </w:t>
      </w:r>
      <w:r w:rsidRPr="00C9216A">
        <w:t xml:space="preserve">is </w:t>
      </w:r>
      <w:r>
        <w:t xml:space="preserve">the amount </w:t>
      </w:r>
      <w:r w:rsidRPr="00C9216A">
        <w:t>used in the building block calculation of total revenue</w:t>
      </w:r>
      <w:r>
        <w:t xml:space="preserve"> to ensure</w:t>
      </w:r>
      <w:r w:rsidRPr="00C9216A">
        <w:t xml:space="preserve"> that the revenue equation is consistent with</w:t>
      </w:r>
      <w:r>
        <w:t xml:space="preserve"> the</w:t>
      </w:r>
      <w:r w:rsidRPr="00C9216A">
        <w:t xml:space="preserve"> use of a RAB</w:t>
      </w:r>
      <w:r>
        <w:t>,</w:t>
      </w:r>
      <w:r w:rsidRPr="00C9216A">
        <w:t xml:space="preserve"> which is </w:t>
      </w:r>
      <w:r>
        <w:t>indexed for inflation annually</w:t>
      </w:r>
      <w:r w:rsidRPr="00C9216A">
        <w:t>.</w:t>
      </w:r>
    </w:p>
    <w:p w:rsidR="00AF6FBB" w:rsidRDefault="00AF6FBB" w:rsidP="00AF6FBB">
      <w:pPr>
        <w:rPr>
          <w:rStyle w:val="AERbody"/>
        </w:rPr>
      </w:pPr>
      <w:r>
        <w:rPr>
          <w:rStyle w:val="AERbody"/>
        </w:rPr>
        <w:t>T</w:t>
      </w:r>
      <w:r w:rsidRPr="00B85B6D">
        <w:rPr>
          <w:rStyle w:val="AERbody"/>
        </w:rPr>
        <w:t>h</w:t>
      </w:r>
      <w:r>
        <w:rPr>
          <w:rStyle w:val="AERbody"/>
        </w:rPr>
        <w:t>is approach</w:t>
      </w:r>
      <w:r w:rsidRPr="00B85B6D">
        <w:rPr>
          <w:rStyle w:val="AERbody"/>
        </w:rPr>
        <w:t xml:space="preserve"> produces the same </w:t>
      </w:r>
      <w:r>
        <w:rPr>
          <w:rStyle w:val="AERbody"/>
        </w:rPr>
        <w:t xml:space="preserve">total </w:t>
      </w:r>
      <w:r w:rsidRPr="00B85B6D">
        <w:rPr>
          <w:rStyle w:val="AERbody"/>
        </w:rPr>
        <w:t>revenue requirement and RAB as if a real rate of return had been used in combination with a</w:t>
      </w:r>
      <w:r>
        <w:rPr>
          <w:rStyle w:val="AERbody"/>
        </w:rPr>
        <w:t>n indexed</w:t>
      </w:r>
      <w:r w:rsidRPr="00B85B6D">
        <w:rPr>
          <w:rStyle w:val="AERbody"/>
        </w:rPr>
        <w:t xml:space="preserve"> RAB.</w:t>
      </w:r>
      <w:r>
        <w:rPr>
          <w:rStyle w:val="AERbody"/>
        </w:rPr>
        <w:t xml:space="preserve"> Under an alternative approach where</w:t>
      </w:r>
      <w:r w:rsidRPr="00B85B6D">
        <w:rPr>
          <w:rStyle w:val="AERbody"/>
        </w:rPr>
        <w:t xml:space="preserve"> a nominal rate of return </w:t>
      </w:r>
      <w:r>
        <w:rPr>
          <w:rStyle w:val="AERbody"/>
        </w:rPr>
        <w:t xml:space="preserve">was </w:t>
      </w:r>
      <w:r w:rsidRPr="00B85B6D">
        <w:rPr>
          <w:rStyle w:val="AERbody"/>
        </w:rPr>
        <w:t>used in combination with a</w:t>
      </w:r>
      <w:r>
        <w:rPr>
          <w:rStyle w:val="AERbody"/>
        </w:rPr>
        <w:t>n</w:t>
      </w:r>
      <w:r w:rsidRPr="00B85B6D">
        <w:rPr>
          <w:rStyle w:val="AERbody"/>
        </w:rPr>
        <w:t xml:space="preserve"> </w:t>
      </w:r>
      <w:r>
        <w:rPr>
          <w:rStyle w:val="AERbody"/>
        </w:rPr>
        <w:t xml:space="preserve">un-indexed (historical cost) </w:t>
      </w:r>
      <w:r w:rsidRPr="00B85B6D">
        <w:rPr>
          <w:rStyle w:val="AERbody"/>
        </w:rPr>
        <w:t>RAB</w:t>
      </w:r>
      <w:r>
        <w:rPr>
          <w:rStyle w:val="AERbody"/>
        </w:rPr>
        <w:t>, no adjustment to the depreciation calculation of total revenue would be required. T</w:t>
      </w:r>
      <w:r w:rsidRPr="00B85B6D">
        <w:rPr>
          <w:rStyle w:val="AERbody"/>
        </w:rPr>
        <w:t xml:space="preserve">his </w:t>
      </w:r>
      <w:r>
        <w:rPr>
          <w:rStyle w:val="AERbody"/>
        </w:rPr>
        <w:t xml:space="preserve">alternative approach </w:t>
      </w:r>
      <w:r w:rsidRPr="00B85B6D">
        <w:rPr>
          <w:rStyle w:val="AERbody"/>
        </w:rPr>
        <w:t>produces a different time path of</w:t>
      </w:r>
      <w:r>
        <w:rPr>
          <w:rStyle w:val="AERbody"/>
        </w:rPr>
        <w:t xml:space="preserve"> total</w:t>
      </w:r>
      <w:r w:rsidRPr="00B85B6D">
        <w:rPr>
          <w:rStyle w:val="AERbody"/>
        </w:rPr>
        <w:t xml:space="preserve"> revenue compared to </w:t>
      </w:r>
      <w:r>
        <w:rPr>
          <w:rStyle w:val="AERbody"/>
        </w:rPr>
        <w:t xml:space="preserve">our standard </w:t>
      </w:r>
      <w:r w:rsidRPr="00B85B6D">
        <w:rPr>
          <w:rStyle w:val="AERbody"/>
        </w:rPr>
        <w:t xml:space="preserve">approach. </w:t>
      </w:r>
      <w:r w:rsidRPr="003667D4">
        <w:rPr>
          <w:rStyle w:val="AERbody"/>
        </w:rPr>
        <w:t xml:space="preserve">In particular, </w:t>
      </w:r>
      <w:r>
        <w:rPr>
          <w:rStyle w:val="AERbody"/>
        </w:rPr>
        <w:t>overall revenues would be higher early in the asset's life (as a result of more depreciation being returned to the TNSP) and lower in the future—producing a steeper downward sloping profile of total revenue.</w:t>
      </w:r>
      <w:r>
        <w:rPr>
          <w:rStyle w:val="FootnoteReference"/>
        </w:rPr>
        <w:footnoteReference w:id="92"/>
      </w:r>
      <w:r>
        <w:rPr>
          <w:rStyle w:val="AERbody"/>
        </w:rPr>
        <w:t xml:space="preserve"> Under both approaches, the total revenues being recovered are in present value neutral terms—that is, returning the initial cost of the RAB. </w:t>
      </w:r>
    </w:p>
    <w:p w:rsidR="00AF6FBB" w:rsidRDefault="00AF6FBB" w:rsidP="00AF6FBB">
      <w:pPr>
        <w:pStyle w:val="Heading8"/>
      </w:pPr>
      <w:bookmarkStart w:id="129" w:name="_Toc462045317"/>
      <w:bookmarkStart w:id="130" w:name="_Ref462055655"/>
      <w:bookmarkStart w:id="131" w:name="_Toc462749203"/>
      <w:r>
        <w:t>The CCP members' analysis of profitability outcomes</w:t>
      </w:r>
      <w:bookmarkEnd w:id="129"/>
      <w:bookmarkEnd w:id="130"/>
      <w:bookmarkEnd w:id="131"/>
    </w:p>
    <w:p w:rsidR="00AF6FBB" w:rsidRDefault="00AF6FBB" w:rsidP="00AF6FBB">
      <w:r>
        <w:t>In addition to identifying specific issues with building block revenue inputs, CCP members Hugh Grant and David Headberry submitted analysis on Powerlink's 'actual' return on equity. In particular, the CCP members submitted that:</w:t>
      </w:r>
      <w:r>
        <w:rPr>
          <w:rStyle w:val="FootnoteReference"/>
        </w:rPr>
        <w:footnoteReference w:id="93"/>
      </w:r>
    </w:p>
    <w:p w:rsidR="00AF6FBB" w:rsidRDefault="00AF6FBB" w:rsidP="00AF6FBB">
      <w:pPr>
        <w:pStyle w:val="AERquotebullet1"/>
      </w:pPr>
      <w:r>
        <w:t>Powerlink achieved actual return on equity levels of 18% to 75%, which amounted to 1.5–8.1 times the AER's theoretical return on equity levels. …</w:t>
      </w:r>
    </w:p>
    <w:p w:rsidR="00AF6FBB" w:rsidRDefault="00AF6FBB" w:rsidP="00AF6FBB">
      <w:pPr>
        <w:pStyle w:val="AERquotebullet1"/>
      </w:pPr>
      <w:r>
        <w:t>By comparison, most ASX50 companies have struggled to achieve annual return on equity levels of 5% over that period. …</w:t>
      </w:r>
    </w:p>
    <w:p w:rsidR="00AF6FBB" w:rsidRPr="000E4C6D" w:rsidRDefault="00AF6FBB" w:rsidP="00AF6FBB">
      <w:pPr>
        <w:pStyle w:val="AERquote"/>
      </w:pPr>
      <w:r>
        <w:t xml:space="preserve">This demonstrates the deficiencies with the AER's return on capital determination methodology and how the AER is inappropriately providing </w:t>
      </w:r>
      <w:r w:rsidRPr="008633C7">
        <w:rPr>
          <w:rStyle w:val="Emphasis"/>
        </w:rPr>
        <w:t>guaranteed returns on</w:t>
      </w:r>
      <w:r>
        <w:t xml:space="preserve"> </w:t>
      </w:r>
      <w:r w:rsidRPr="008633C7">
        <w:rPr>
          <w:rStyle w:val="IntenseEmphasis"/>
        </w:rPr>
        <w:t>artificial</w:t>
      </w:r>
      <w:r>
        <w:t xml:space="preserve"> </w:t>
      </w:r>
      <w:r w:rsidRPr="008633C7">
        <w:rPr>
          <w:rStyle w:val="Emphasis"/>
        </w:rPr>
        <w:t>investments</w:t>
      </w:r>
      <w:r>
        <w:t xml:space="preserve">. (emphasis in original) </w:t>
      </w:r>
    </w:p>
    <w:p w:rsidR="00AF6FBB" w:rsidRDefault="00AF6FBB" w:rsidP="00AF6FBB">
      <w:r>
        <w:t>The CCP members submitted that the 'extraordinary profitability levels' show that the AER's approach is incorrect.</w:t>
      </w:r>
      <w:r>
        <w:rPr>
          <w:rStyle w:val="FootnoteReference"/>
        </w:rPr>
        <w:footnoteReference w:id="94"/>
      </w:r>
    </w:p>
    <w:p w:rsidR="00AF6FBB" w:rsidRDefault="00AF6FBB" w:rsidP="00AF6FBB">
      <w:r>
        <w:t>After review of the CCP members' late submissions on these issues, we do not consider that this analysis demonstrates that the AER approach is incorrect.</w:t>
      </w:r>
      <w:r>
        <w:rPr>
          <w:rStyle w:val="FootnoteReference"/>
        </w:rPr>
        <w:footnoteReference w:id="95"/>
      </w:r>
      <w:r>
        <w:t xml:space="preserve"> Although </w:t>
      </w:r>
      <w:r>
        <w:lastRenderedPageBreak/>
        <w:t>we do not agree with the CCP members' analysis, we do agree that there is some merit to the analysis of profitability outcomes.</w:t>
      </w:r>
      <w:r>
        <w:rPr>
          <w:rStyle w:val="FootnoteReference"/>
        </w:rPr>
        <w:footnoteReference w:id="96"/>
      </w:r>
      <w:r>
        <w:t xml:space="preserve"> However, we recognise that there are factors that need to be addressed when implementing this analysis. The most significant of these issues is the value of the initial equity investment in Powerlink. We consider that the CCP members have underestimated the value of this initial equity stake, and so overestimated the 'actual' return on equity and relative profitability of Powerlink. </w:t>
      </w:r>
    </w:p>
    <w:p w:rsidR="00AF6FBB" w:rsidRDefault="00AF6FBB" w:rsidP="00AF6FBB">
      <w:pPr>
        <w:pStyle w:val="HeadingItalic"/>
      </w:pPr>
      <w:r>
        <w:t>Outperformance and incentive regulation</w:t>
      </w:r>
    </w:p>
    <w:p w:rsidR="00AF6FBB" w:rsidRDefault="00AF6FBB" w:rsidP="00AF6FBB">
      <w:r>
        <w:t>At the highest level, the CCP members' analysis attempts to draw conclusions about the regulatory regime based on a limited set of observed market ‘outperformance’. However, there are a number of important conceptual reasons why this might not lead to the conclusion that the regulatory regime was systematically overcompensating service providers:</w:t>
      </w:r>
    </w:p>
    <w:p w:rsidR="00AF6FBB" w:rsidRDefault="00AF6FBB" w:rsidP="00AF6FBB">
      <w:pPr>
        <w:pStyle w:val="AERbulletlistfirststyle"/>
      </w:pPr>
      <w:r>
        <w:t>S</w:t>
      </w:r>
      <w:r w:rsidRPr="00834BB5">
        <w:t>ome amount of outperformance is to be expected in an</w:t>
      </w:r>
      <w:r>
        <w:t xml:space="preserve"> incentive regime. By design, if the service provider can outperform the regime within a regulatory control period, we can then use its outturn performance to inform our revenue decision for the next regulatory control period. Over time, this should encourage service providers towards efficiency and share benefits of the outperformance with customers. </w:t>
      </w:r>
    </w:p>
    <w:p w:rsidR="00AF6FBB" w:rsidRDefault="00AF6FBB" w:rsidP="00AF6FBB">
      <w:pPr>
        <w:pStyle w:val="AERbulletlistfirststyle"/>
      </w:pPr>
      <w:r>
        <w:t>Even where market outperformance (</w:t>
      </w:r>
      <w:r w:rsidRPr="00011890">
        <w:rPr>
          <w:rStyle w:val="Emphasis"/>
        </w:rPr>
        <w:t>ex post</w:t>
      </w:r>
      <w:r>
        <w:t>) is observed, this does not mean that the outperformance was guaranteed in advance (</w:t>
      </w:r>
      <w:r w:rsidRPr="00011890">
        <w:rPr>
          <w:rStyle w:val="Emphasis"/>
        </w:rPr>
        <w:t>ex ante</w:t>
      </w:r>
      <w:r>
        <w:t>) and may simply reflect an outcome towards the high end of the spread of possible outcomes.</w:t>
      </w:r>
    </w:p>
    <w:p w:rsidR="00AF6FBB" w:rsidRDefault="00AF6FBB" w:rsidP="00AF6FBB">
      <w:pPr>
        <w:pStyle w:val="AERbulletlistfirststyle"/>
      </w:pPr>
      <w:r>
        <w:t xml:space="preserve">We cannot readily observe the commensurate level of </w:t>
      </w:r>
      <w:r w:rsidRPr="004A07DE">
        <w:rPr>
          <w:rStyle w:val="Emphasis"/>
        </w:rPr>
        <w:t>ex ante</w:t>
      </w:r>
      <w:r>
        <w:t xml:space="preserve"> risk associated with outperformance, which is observed </w:t>
      </w:r>
      <w:r w:rsidRPr="004A07DE">
        <w:rPr>
          <w:rStyle w:val="Emphasis"/>
        </w:rPr>
        <w:t>ex post</w:t>
      </w:r>
      <w:r>
        <w:t>. For example, a business adopting an above-benchmark gearing level accepts a higher level of risk than the benchmark.</w:t>
      </w:r>
      <w:r>
        <w:rPr>
          <w:rStyle w:val="FootnoteReference"/>
        </w:rPr>
        <w:footnoteReference w:id="97"/>
      </w:r>
      <w:r>
        <w:t xml:space="preserve"> We would expect to observe, on average, higher returns as a consequence of this higher risk strategy.</w:t>
      </w:r>
    </w:p>
    <w:p w:rsidR="00796F23" w:rsidRDefault="00AF6FBB" w:rsidP="00AF6FBB">
      <w:r>
        <w:t>The CCP members' submission does not address these issues.</w:t>
      </w:r>
    </w:p>
    <w:p w:rsidR="00796F23" w:rsidRDefault="00796F23">
      <w:pPr>
        <w:spacing w:line="240" w:lineRule="auto"/>
      </w:pPr>
      <w:r>
        <w:br w:type="page"/>
      </w:r>
    </w:p>
    <w:p w:rsidR="00AF6FBB" w:rsidRDefault="00AF6FBB" w:rsidP="00AF6FBB">
      <w:pPr>
        <w:pStyle w:val="HeadingItalic"/>
      </w:pPr>
      <w:r>
        <w:lastRenderedPageBreak/>
        <w:t>Characteristics of the regulated benchmark</w:t>
      </w:r>
    </w:p>
    <w:p w:rsidR="00AF6FBB" w:rsidRDefault="00AF6FBB" w:rsidP="00AF6FBB">
      <w:r>
        <w:t>Another difficulty when undertaking profitability analysis is that available real-world examples differ in many ways from the (unobservable) theoretical regulated benchmark. Therefore, a key underlying principle is to consider the differences between the available data and the benchmark, and make adjustments where possible to ensure an 'apples to apples' comparison. Where adjustments are not possible, we must have regard to the materiality of the differences before drawing any conclusions.</w:t>
      </w:r>
    </w:p>
    <w:p w:rsidR="00AF6FBB" w:rsidRDefault="00AF6FBB" w:rsidP="00AF6FBB">
      <w:r>
        <w:t>We consider that any comparison against the AER's regulated return on equity should be on a like-for-like basis, excluding one–off and unregulated revenue. However, the CCP members' submissions appear to include one–off and unregulated revenue for Powerlink.</w:t>
      </w:r>
      <w:r>
        <w:rPr>
          <w:rStyle w:val="FootnoteReference"/>
        </w:rPr>
        <w:footnoteReference w:id="98"/>
      </w:r>
      <w:r>
        <w:t xml:space="preserve"> This causes overestimation of Powerlink's profitability relative to the regulated benchmark.</w:t>
      </w:r>
    </w:p>
    <w:p w:rsidR="00AF6FBB" w:rsidRDefault="00AF6FBB" w:rsidP="00AF6FBB">
      <w:pPr>
        <w:pStyle w:val="HeadingItalic"/>
      </w:pPr>
      <w:r>
        <w:t>Obtaining accurate data</w:t>
      </w:r>
    </w:p>
    <w:p w:rsidR="00AF6FBB" w:rsidRDefault="00AF6FBB" w:rsidP="00AF6FBB">
      <w:r>
        <w:t xml:space="preserve">This issue relates to availability of reliable data as an input to the analysis of profitability outcomes. This is best illustrated with regard to a specific example in the CCP members' analysis. </w:t>
      </w:r>
    </w:p>
    <w:p w:rsidR="00AF6FBB" w:rsidRDefault="00AF6FBB" w:rsidP="00AF6FBB">
      <w:r>
        <w:t>The value of initial shareholder equity is a key determinant of the actual return on equity under the CCP members' approach. Conceptually, this should reflect the actual capital investment in the network by the Queensland Government as it built the network over many decades.</w:t>
      </w:r>
      <w:r>
        <w:rPr>
          <w:rStyle w:val="FootnoteReference"/>
        </w:rPr>
        <w:footnoteReference w:id="99"/>
      </w:r>
      <w:r>
        <w:t xml:space="preserve"> However, this historical data is not readily available.</w:t>
      </w:r>
      <w:r>
        <w:rPr>
          <w:rStyle w:val="FootnoteReference"/>
        </w:rPr>
        <w:footnoteReference w:id="100"/>
      </w:r>
      <w:r>
        <w:t xml:space="preserve"> Instead, the CCP members start their analysis as at 30 June 2000 using figures taken from Powerlink's oldest available financial report.</w:t>
      </w:r>
      <w:r>
        <w:rPr>
          <w:rStyle w:val="FootnoteReference"/>
        </w:rPr>
        <w:footnoteReference w:id="101"/>
      </w:r>
      <w:r>
        <w:t xml:space="preserve"> This is problematic because the book value of share capital ($401 million) is used without adjusting for the time that has passed between the initial investment and the valuation date.</w:t>
      </w:r>
      <w:r>
        <w:rPr>
          <w:rStyle w:val="FootnoteReference"/>
        </w:rPr>
        <w:footnoteReference w:id="102"/>
      </w:r>
      <w:r>
        <w:t xml:space="preserve"> Further, Powerlink's asset revaluation reserve (</w:t>
      </w:r>
      <w:r w:rsidR="002D5B75">
        <w:t xml:space="preserve">$620 million </w:t>
      </w:r>
      <w:r>
        <w:t xml:space="preserve">as at 30 June 2000) is excluded, on the grounds that this is 'commonly accepted' when valuing businesses. We do not accept this is the case. If the valuation is to use balance sheet values as at June 2000 (because this is the best available proxy for the market value of equity), reserves </w:t>
      </w:r>
      <w:r>
        <w:lastRenderedPageBreak/>
        <w:t>should be included in the calculation of shareholder's equity,</w:t>
      </w:r>
      <w:r>
        <w:rPr>
          <w:rStyle w:val="FootnoteReference"/>
        </w:rPr>
        <w:footnoteReference w:id="103"/>
      </w:r>
      <w:r>
        <w:t xml:space="preserve"> in accordance with commonly accepted valuation practices.</w:t>
      </w:r>
      <w:r>
        <w:rPr>
          <w:rStyle w:val="FootnoteReference"/>
        </w:rPr>
        <w:footnoteReference w:id="104"/>
      </w:r>
    </w:p>
    <w:p w:rsidR="00AF6FBB" w:rsidRDefault="00AF6FBB" w:rsidP="00AF6FBB">
      <w:r>
        <w:t>The net effect of undervaluing and misdating the initial investment in Powerlink is that the return on equity for Powerlink is overstated. This is a large effect—doubling the initial equity investment approximately halves the reported return on equity. The absence of reliable data on initial shareholder equity means it is difficult to accept the CCP members' profitability analysis.</w:t>
      </w:r>
    </w:p>
    <w:p w:rsidR="0054020F" w:rsidRDefault="0054020F" w:rsidP="00D2675A"/>
    <w:sectPr w:rsidR="0054020F" w:rsidSect="00CF42AA">
      <w:headerReference w:type="default" r:id="rId17"/>
      <w:footerReference w:type="even" r:id="rId18"/>
      <w:footerReference w:type="default" r:id="rId19"/>
      <w:footerReference w:type="first" r:id="rId20"/>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263" w:rsidRPr="00290C63" w:rsidRDefault="00666263" w:rsidP="00290C63">
      <w:r>
        <w:separator/>
      </w:r>
    </w:p>
    <w:p w:rsidR="00666263" w:rsidRDefault="00666263"/>
  </w:endnote>
  <w:endnote w:type="continuationSeparator" w:id="0">
    <w:p w:rsidR="00666263" w:rsidRPr="00290C63" w:rsidRDefault="00666263" w:rsidP="00290C63">
      <w:r>
        <w:continuationSeparator/>
      </w:r>
    </w:p>
    <w:p w:rsidR="00666263" w:rsidRDefault="006662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utami">
    <w:panose1 w:val="020B0502040204020203"/>
    <w:charset w:val="01"/>
    <w:family w:val="roman"/>
    <w:notTrueType/>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4388892"/>
      <w:docPartObj>
        <w:docPartGallery w:val="Page Numbers (Bottom of Page)"/>
        <w:docPartUnique/>
      </w:docPartObj>
    </w:sdtPr>
    <w:sdtEndPr/>
    <w:sdtContent>
      <w:p w:rsidR="003179F2" w:rsidRPr="003179F2" w:rsidRDefault="003179F2" w:rsidP="003179F2">
        <w:pPr>
          <w:pStyle w:val="Footer"/>
        </w:pPr>
        <w:r w:rsidRPr="00C41448">
          <w:fldChar w:fldCharType="begin"/>
        </w:r>
        <w:r>
          <w:instrText xml:space="preserve"> PAGE   \* MERGEFORMAT </w:instrText>
        </w:r>
        <w:r w:rsidRPr="00C41448">
          <w:fldChar w:fldCharType="separate"/>
        </w:r>
        <w:r w:rsidR="004B2301">
          <w:rPr>
            <w:noProof/>
          </w:rPr>
          <w:t>2-0</w:t>
        </w:r>
        <w:r w:rsidRPr="00C41448">
          <w:fldChar w:fldCharType="end"/>
        </w:r>
        <w:r w:rsidRPr="00C41448">
          <w:t xml:space="preserve">      </w:t>
        </w:r>
        <w:r>
          <w:t>Attachment 2 – Regulatory asset base</w:t>
        </w:r>
        <w:r w:rsidRPr="00C41448">
          <w:t xml:space="preserve"> | </w:t>
        </w:r>
        <w:r>
          <w:t>Powerlink transmission draft determination</w:t>
        </w:r>
        <w:r w:rsidRPr="00C41448">
          <w:t xml:space="preserve"> 201</w:t>
        </w:r>
        <w:r>
          <w:t>7</w:t>
        </w:r>
        <w:r w:rsidRPr="00C41448">
          <w:t>–</w:t>
        </w:r>
        <w:r>
          <w:t>22</w:t>
        </w:r>
      </w:p>
    </w:sdtContent>
  </w:sdt>
  <w:p w:rsidR="00666263" w:rsidRPr="00671211" w:rsidRDefault="00666263" w:rsidP="006712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263" w:rsidRPr="00671211" w:rsidRDefault="00666263" w:rsidP="0067121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6285315"/>
      <w:docPartObj>
        <w:docPartGallery w:val="Page Numbers (Bottom of Page)"/>
        <w:docPartUnique/>
      </w:docPartObj>
    </w:sdtPr>
    <w:sdtEndPr/>
    <w:sdtContent>
      <w:sdt>
        <w:sdtPr>
          <w:id w:val="-897594666"/>
          <w:docPartObj>
            <w:docPartGallery w:val="Page Numbers (Bottom of Page)"/>
            <w:docPartUnique/>
          </w:docPartObj>
        </w:sdtPr>
        <w:sdtEndPr/>
        <w:sdtContent>
          <w:p w:rsidR="003179F2" w:rsidRPr="003179F2" w:rsidRDefault="003179F2" w:rsidP="003179F2">
            <w:pPr>
              <w:pStyle w:val="Footer"/>
            </w:pPr>
            <w:r w:rsidRPr="00C41448">
              <w:fldChar w:fldCharType="begin"/>
            </w:r>
            <w:r>
              <w:instrText xml:space="preserve"> PAGE   \* MERGEFORMAT </w:instrText>
            </w:r>
            <w:r w:rsidRPr="00C41448">
              <w:fldChar w:fldCharType="separate"/>
            </w:r>
            <w:r w:rsidR="004B2301">
              <w:rPr>
                <w:noProof/>
              </w:rPr>
              <w:t>2-37</w:t>
            </w:r>
            <w:r w:rsidRPr="00C41448">
              <w:fldChar w:fldCharType="end"/>
            </w:r>
            <w:r w:rsidRPr="00C41448">
              <w:t xml:space="preserve">      </w:t>
            </w:r>
            <w:r>
              <w:t>Attachment 2 – Regulatory asset base</w:t>
            </w:r>
            <w:r w:rsidRPr="00C41448">
              <w:t xml:space="preserve"> | </w:t>
            </w:r>
            <w:r>
              <w:t>Powerlink transmission draft determination</w:t>
            </w:r>
            <w:r w:rsidRPr="00C41448">
              <w:t xml:space="preserve"> 201</w:t>
            </w:r>
            <w:r>
              <w:t>7</w:t>
            </w:r>
            <w:r w:rsidRPr="00C41448">
              <w:t>–</w:t>
            </w:r>
            <w:r>
              <w:t>22</w:t>
            </w:r>
          </w:p>
        </w:sdtContent>
      </w:sdt>
      <w:p w:rsidR="003179F2" w:rsidRPr="003179F2" w:rsidRDefault="004B2301" w:rsidP="003179F2">
        <w:pPr>
          <w:pStyle w:val="Footer"/>
        </w:pPr>
      </w:p>
    </w:sdtContent>
  </w:sdt>
  <w:p w:rsidR="00666263" w:rsidRPr="00671211" w:rsidRDefault="00666263" w:rsidP="0067121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263" w:rsidRPr="00671211" w:rsidRDefault="00666263" w:rsidP="006712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263" w:rsidRPr="00290C63" w:rsidRDefault="00666263" w:rsidP="00290C63">
      <w:r>
        <w:separator/>
      </w:r>
    </w:p>
    <w:p w:rsidR="00666263" w:rsidRDefault="00666263"/>
  </w:footnote>
  <w:footnote w:type="continuationSeparator" w:id="0">
    <w:p w:rsidR="00666263" w:rsidRPr="00290C63" w:rsidRDefault="00666263" w:rsidP="00290C63">
      <w:r>
        <w:continuationSeparator/>
      </w:r>
    </w:p>
    <w:p w:rsidR="00666263" w:rsidRDefault="00666263"/>
  </w:footnote>
  <w:footnote w:id="1">
    <w:p w:rsidR="00666263" w:rsidRDefault="00666263" w:rsidP="0054020F">
      <w:pPr>
        <w:pStyle w:val="FootnoteText"/>
      </w:pPr>
      <w:r>
        <w:rPr>
          <w:rStyle w:val="FootnoteReference"/>
        </w:rPr>
        <w:footnoteRef/>
      </w:r>
      <w:r>
        <w:t xml:space="preserve"> </w:t>
      </w:r>
      <w:r>
        <w:tab/>
        <w:t>NER, cll. 6A.6.1.</w:t>
      </w:r>
    </w:p>
  </w:footnote>
  <w:footnote w:id="2">
    <w:p w:rsidR="00666263" w:rsidRDefault="00666263" w:rsidP="0054020F">
      <w:pPr>
        <w:pStyle w:val="FootnoteText"/>
      </w:pPr>
      <w:r>
        <w:rPr>
          <w:rStyle w:val="FootnoteReference"/>
        </w:rPr>
        <w:footnoteRef/>
      </w:r>
      <w:r>
        <w:t xml:space="preserve"> </w:t>
      </w:r>
      <w:r>
        <w:tab/>
        <w:t>NER, cll. 6A.4.2(3A) and (4).</w:t>
      </w:r>
    </w:p>
  </w:footnote>
  <w:footnote w:id="3">
    <w:p w:rsidR="00666263" w:rsidRDefault="00666263" w:rsidP="0054020F">
      <w:pPr>
        <w:pStyle w:val="FootnoteText"/>
      </w:pPr>
      <w:r>
        <w:rPr>
          <w:rStyle w:val="FootnoteReference"/>
        </w:rPr>
        <w:footnoteRef/>
      </w:r>
      <w:r>
        <w:t xml:space="preserve"> </w:t>
      </w:r>
      <w:r>
        <w:tab/>
        <w:t>NER, cll. 6A.5.4(a)(1) and (b)(1).</w:t>
      </w:r>
    </w:p>
  </w:footnote>
  <w:footnote w:id="4">
    <w:p w:rsidR="00666263" w:rsidRDefault="00666263" w:rsidP="0054020F">
      <w:pPr>
        <w:pStyle w:val="FootnoteText"/>
      </w:pPr>
      <w:r>
        <w:rPr>
          <w:rStyle w:val="FootnoteReference"/>
        </w:rPr>
        <w:footnoteRef/>
      </w:r>
      <w:r>
        <w:t xml:space="preserve"> </w:t>
      </w:r>
      <w:r>
        <w:tab/>
        <w:t>NER, cll. 6A.5.4(a)(2) and (3).</w:t>
      </w:r>
    </w:p>
  </w:footnote>
  <w:footnote w:id="5">
    <w:p w:rsidR="00666263" w:rsidRDefault="00666263">
      <w:pPr>
        <w:pStyle w:val="FootnoteText"/>
      </w:pPr>
      <w:r>
        <w:rPr>
          <w:rStyle w:val="FootnoteReference"/>
        </w:rPr>
        <w:footnoteRef/>
      </w:r>
      <w:r>
        <w:t xml:space="preserve"> </w:t>
      </w:r>
      <w:r>
        <w:tab/>
        <w:t>This RAB value is based on as-incurred capex.</w:t>
      </w:r>
    </w:p>
  </w:footnote>
  <w:footnote w:id="6">
    <w:p w:rsidR="00666263" w:rsidRDefault="00666263" w:rsidP="00520CCB">
      <w:pPr>
        <w:pStyle w:val="FootnoteText"/>
      </w:pPr>
      <w:r>
        <w:rPr>
          <w:rStyle w:val="FootnoteReference"/>
        </w:rPr>
        <w:footnoteRef/>
      </w:r>
      <w:r>
        <w:t xml:space="preserve"> </w:t>
      </w:r>
      <w:r>
        <w:tab/>
      </w:r>
      <w:r w:rsidRPr="000B1C0F">
        <w:t>The end of period adjustment will be positive (negative) if actual capex is higher (lower) than the estimate approved at the 201</w:t>
      </w:r>
      <w:r>
        <w:t>2</w:t>
      </w:r>
      <w:r w:rsidRPr="000B1C0F">
        <w:t>–1</w:t>
      </w:r>
      <w:r>
        <w:t>7</w:t>
      </w:r>
      <w:r w:rsidRPr="000B1C0F">
        <w:t xml:space="preserve"> determination.</w:t>
      </w:r>
    </w:p>
  </w:footnote>
  <w:footnote w:id="7">
    <w:p w:rsidR="00666263" w:rsidRDefault="00666263" w:rsidP="00280C49">
      <w:pPr>
        <w:pStyle w:val="FootnoteText"/>
      </w:pPr>
      <w:r>
        <w:rPr>
          <w:rStyle w:val="FootnoteReference"/>
        </w:rPr>
        <w:footnoteRef/>
      </w:r>
      <w:r>
        <w:t xml:space="preserve"> </w:t>
      </w:r>
      <w:r>
        <w:tab/>
        <w:t>NER, cl. S6A.2.2B(a).</w:t>
      </w:r>
    </w:p>
  </w:footnote>
  <w:footnote w:id="8">
    <w:p w:rsidR="00666263" w:rsidRDefault="00666263">
      <w:pPr>
        <w:pStyle w:val="FootnoteText"/>
      </w:pPr>
      <w:r>
        <w:rPr>
          <w:rStyle w:val="FootnoteReference"/>
        </w:rPr>
        <w:footnoteRef/>
      </w:r>
      <w:r>
        <w:t xml:space="preserve"> </w:t>
      </w:r>
      <w:r>
        <w:tab/>
        <w:t xml:space="preserve">Powerlink, </w:t>
      </w:r>
      <w:r w:rsidRPr="008066C5">
        <w:rPr>
          <w:rStyle w:val="AERtextitalic"/>
        </w:rPr>
        <w:t>Revenue proposal</w:t>
      </w:r>
      <w:r>
        <w:t>, January 2016, p. 87.</w:t>
      </w:r>
    </w:p>
  </w:footnote>
  <w:footnote w:id="9">
    <w:p w:rsidR="00666263" w:rsidRDefault="00666263" w:rsidP="0020722B">
      <w:pPr>
        <w:pStyle w:val="FootnoteText"/>
      </w:pPr>
      <w:r>
        <w:rPr>
          <w:rStyle w:val="FootnoteReference"/>
        </w:rPr>
        <w:footnoteRef/>
      </w:r>
      <w:r>
        <w:t xml:space="preserve"> </w:t>
      </w:r>
      <w:r>
        <w:tab/>
      </w:r>
      <w:r w:rsidRPr="00CA5F79">
        <w:t>NER, c</w:t>
      </w:r>
      <w:r>
        <w:t>l</w:t>
      </w:r>
      <w:r w:rsidRPr="00CA5F79">
        <w:t>l. S6A</w:t>
      </w:r>
      <w:r>
        <w:t>.</w:t>
      </w:r>
      <w:r w:rsidRPr="00CA5F79">
        <w:t>2.1(f)(3) and (6).</w:t>
      </w:r>
    </w:p>
  </w:footnote>
  <w:footnote w:id="10">
    <w:p w:rsidR="00666263" w:rsidRDefault="00666263" w:rsidP="0020722B">
      <w:pPr>
        <w:pStyle w:val="FootnoteText"/>
      </w:pPr>
      <w:r>
        <w:rPr>
          <w:rStyle w:val="FootnoteReference"/>
        </w:rPr>
        <w:footnoteRef/>
      </w:r>
      <w:r>
        <w:t xml:space="preserve"> </w:t>
      </w:r>
      <w:r>
        <w:tab/>
      </w:r>
      <w:r w:rsidRPr="00CA5F79">
        <w:t>NER, c</w:t>
      </w:r>
      <w:r>
        <w:t>l</w:t>
      </w:r>
      <w:r w:rsidRPr="00CA5F79">
        <w:t>l. S6A.2.1(f)(8) and S6A.2.3.</w:t>
      </w:r>
    </w:p>
  </w:footnote>
  <w:footnote w:id="11">
    <w:p w:rsidR="00666263" w:rsidRDefault="00666263" w:rsidP="0020722B">
      <w:pPr>
        <w:pStyle w:val="FootnoteText"/>
      </w:pPr>
      <w:r>
        <w:rPr>
          <w:rStyle w:val="FootnoteReference"/>
        </w:rPr>
        <w:footnoteRef/>
      </w:r>
      <w:r>
        <w:t xml:space="preserve"> </w:t>
      </w:r>
      <w:r>
        <w:tab/>
      </w:r>
      <w:r w:rsidRPr="00CA5F79">
        <w:t>NER, c</w:t>
      </w:r>
      <w:r>
        <w:t>ll</w:t>
      </w:r>
      <w:r w:rsidRPr="00CA5F79">
        <w:t>.</w:t>
      </w:r>
      <w:r w:rsidRPr="00034550">
        <w:t xml:space="preserve"> </w:t>
      </w:r>
      <w:r w:rsidRPr="00CA5F79">
        <w:t>6A.6.1(b)</w:t>
      </w:r>
      <w:r>
        <w:t xml:space="preserve">, </w:t>
      </w:r>
      <w:r w:rsidRPr="00CA5F79">
        <w:t>6A.6.1(e)</w:t>
      </w:r>
      <w:r>
        <w:t xml:space="preserve"> and</w:t>
      </w:r>
      <w:r w:rsidRPr="00CA5F79">
        <w:t xml:space="preserve"> S6A</w:t>
      </w:r>
      <w:r>
        <w:t>.1</w:t>
      </w:r>
      <w:r w:rsidRPr="00CA5F79">
        <w:t>.</w:t>
      </w:r>
      <w:r>
        <w:t>3</w:t>
      </w:r>
      <w:r w:rsidRPr="00CA5F79">
        <w:t>(</w:t>
      </w:r>
      <w:r>
        <w:t>5</w:t>
      </w:r>
      <w:r w:rsidRPr="00CA5F79">
        <w:t>)</w:t>
      </w:r>
      <w:r>
        <w:t>.</w:t>
      </w:r>
    </w:p>
  </w:footnote>
  <w:footnote w:id="12">
    <w:p w:rsidR="00666263" w:rsidRDefault="00666263" w:rsidP="003652DF">
      <w:pPr>
        <w:pStyle w:val="FootnoteText"/>
      </w:pPr>
      <w:r>
        <w:rPr>
          <w:rStyle w:val="FootnoteReference"/>
        </w:rPr>
        <w:footnoteRef/>
      </w:r>
      <w:r>
        <w:t xml:space="preserve"> </w:t>
      </w:r>
      <w:r>
        <w:tab/>
        <w:t>The roll forward commences in the final year of the 2007–12 regulatory control period to allow us to adjust for the difference between actual 2011–12 capex and the estimated 2011–12 capex used in our 2012 transmission determination. See NER, cl. S6A.2.1(f)(3).</w:t>
      </w:r>
    </w:p>
  </w:footnote>
  <w:footnote w:id="13">
    <w:p w:rsidR="00666263" w:rsidRDefault="00666263" w:rsidP="0020722B">
      <w:pPr>
        <w:pStyle w:val="FootnoteText"/>
      </w:pPr>
      <w:r>
        <w:rPr>
          <w:rStyle w:val="FootnoteReference"/>
        </w:rPr>
        <w:footnoteRef/>
      </w:r>
      <w:r>
        <w:t xml:space="preserve"> </w:t>
      </w:r>
      <w:r>
        <w:tab/>
      </w:r>
      <w:r w:rsidRPr="006F6224">
        <w:t>NER, c</w:t>
      </w:r>
      <w:r>
        <w:t>l</w:t>
      </w:r>
      <w:r w:rsidRPr="006F6224">
        <w:t>. 6A.6.1(e)(3).</w:t>
      </w:r>
    </w:p>
  </w:footnote>
  <w:footnote w:id="14">
    <w:p w:rsidR="00666263" w:rsidRDefault="00666263" w:rsidP="0020722B">
      <w:pPr>
        <w:pStyle w:val="FootnoteText"/>
      </w:pPr>
      <w:r>
        <w:rPr>
          <w:rStyle w:val="FootnoteReference"/>
        </w:rPr>
        <w:footnoteRef/>
      </w:r>
      <w:r>
        <w:t xml:space="preserve"> </w:t>
      </w:r>
      <w:r>
        <w:tab/>
      </w:r>
      <w:r w:rsidRPr="006F6224">
        <w:t>NER, c</w:t>
      </w:r>
      <w:r>
        <w:t>l</w:t>
      </w:r>
      <w:r w:rsidRPr="006F6224">
        <w:t>. S6A.2.1(f)(4).</w:t>
      </w:r>
    </w:p>
  </w:footnote>
  <w:footnote w:id="15">
    <w:p w:rsidR="00666263" w:rsidRDefault="00666263" w:rsidP="0020722B">
      <w:pPr>
        <w:pStyle w:val="FootnoteText"/>
      </w:pPr>
      <w:r>
        <w:rPr>
          <w:rStyle w:val="FootnoteReference"/>
        </w:rPr>
        <w:footnoteRef/>
      </w:r>
      <w:r>
        <w:t xml:space="preserve"> </w:t>
      </w:r>
      <w:r>
        <w:tab/>
      </w:r>
      <w:r w:rsidRPr="006F6224">
        <w:t>NER, c</w:t>
      </w:r>
      <w:r>
        <w:t>l</w:t>
      </w:r>
      <w:r w:rsidRPr="006F6224">
        <w:t>. S6A.2.2A.</w:t>
      </w:r>
    </w:p>
  </w:footnote>
  <w:footnote w:id="16">
    <w:p w:rsidR="00666263" w:rsidRDefault="00666263" w:rsidP="0020722B">
      <w:pPr>
        <w:pStyle w:val="FootnoteText"/>
      </w:pPr>
      <w:r>
        <w:rPr>
          <w:rStyle w:val="FootnoteReference"/>
        </w:rPr>
        <w:footnoteRef/>
      </w:r>
      <w:r>
        <w:t xml:space="preserve"> </w:t>
      </w:r>
      <w:r>
        <w:tab/>
        <w:t xml:space="preserve">AER, </w:t>
      </w:r>
      <w:r w:rsidRPr="000B006F">
        <w:rPr>
          <w:rStyle w:val="AERtextitalic"/>
        </w:rPr>
        <w:t xml:space="preserve">Capital </w:t>
      </w:r>
      <w:r>
        <w:rPr>
          <w:rStyle w:val="AERtextitalic"/>
        </w:rPr>
        <w:t>e</w:t>
      </w:r>
      <w:r w:rsidRPr="000B006F">
        <w:rPr>
          <w:rStyle w:val="AERtextitalic"/>
        </w:rPr>
        <w:t xml:space="preserve">xpenditure </w:t>
      </w:r>
      <w:r>
        <w:rPr>
          <w:rStyle w:val="AERtextitalic"/>
        </w:rPr>
        <w:t>i</w:t>
      </w:r>
      <w:r w:rsidRPr="000B006F">
        <w:rPr>
          <w:rStyle w:val="AERtextitalic"/>
        </w:rPr>
        <w:t xml:space="preserve">ncentive </w:t>
      </w:r>
      <w:r>
        <w:rPr>
          <w:rStyle w:val="AERtextitalic"/>
        </w:rPr>
        <w:t>g</w:t>
      </w:r>
      <w:r w:rsidRPr="000B006F">
        <w:rPr>
          <w:rStyle w:val="AERtextitalic"/>
        </w:rPr>
        <w:t>uideline</w:t>
      </w:r>
      <w:r>
        <w:t>, November 2013, pp. 12–20.</w:t>
      </w:r>
      <w:r w:rsidRPr="00953101">
        <w:t xml:space="preserve"> </w:t>
      </w:r>
    </w:p>
    <w:p w:rsidR="00666263" w:rsidRDefault="00666263" w:rsidP="0020722B">
      <w:pPr>
        <w:pStyle w:val="FootnoteText"/>
      </w:pPr>
      <w:r>
        <w:tab/>
        <w:t xml:space="preserve">Under the NER, cl S6A.2.2A(b), the exclusion of </w:t>
      </w:r>
      <w:r w:rsidRPr="00166EE4">
        <w:t>inefficient</w:t>
      </w:r>
      <w:r>
        <w:t xml:space="preserve"> capex could only come from three areas: overspend in capex , margin paid to third party and capitalisation of opex as defined in cll. S6A.2.2A (c), (d) and (e) of the NER.</w:t>
      </w:r>
    </w:p>
  </w:footnote>
  <w:footnote w:id="17">
    <w:p w:rsidR="00666263" w:rsidRDefault="00666263" w:rsidP="0020722B">
      <w:pPr>
        <w:pStyle w:val="FootnoteText"/>
      </w:pPr>
      <w:r>
        <w:rPr>
          <w:rStyle w:val="FootnoteReference"/>
        </w:rPr>
        <w:footnoteRef/>
      </w:r>
      <w:r>
        <w:t xml:space="preserve"> </w:t>
      </w:r>
      <w:r>
        <w:tab/>
      </w:r>
      <w:r w:rsidRPr="006F6224">
        <w:t>NER, c</w:t>
      </w:r>
      <w:r>
        <w:t>l</w:t>
      </w:r>
      <w:r w:rsidRPr="006F6224">
        <w:t>.11.63.</w:t>
      </w:r>
    </w:p>
  </w:footnote>
  <w:footnote w:id="18">
    <w:p w:rsidR="00666263" w:rsidRDefault="00666263" w:rsidP="003652DF">
      <w:pPr>
        <w:pStyle w:val="FootnoteText"/>
      </w:pPr>
      <w:r>
        <w:rPr>
          <w:rStyle w:val="FootnoteReference"/>
        </w:rPr>
        <w:footnoteRef/>
      </w:r>
      <w:r>
        <w:t xml:space="preserve"> </w:t>
      </w:r>
      <w:r>
        <w:tab/>
        <w:t>NER, cl. S6A.2.2(a1). The two year lag ensures that actual capex (instead of estimated capex) is available when the review of past capex commences.</w:t>
      </w:r>
    </w:p>
  </w:footnote>
  <w:footnote w:id="19">
    <w:p w:rsidR="00666263" w:rsidRDefault="00666263" w:rsidP="0020722B">
      <w:pPr>
        <w:pStyle w:val="FootnoteText"/>
      </w:pPr>
      <w:r>
        <w:rPr>
          <w:rStyle w:val="FootnoteReference"/>
        </w:rPr>
        <w:footnoteRef/>
      </w:r>
      <w:r>
        <w:t xml:space="preserve"> </w:t>
      </w:r>
      <w:r>
        <w:tab/>
        <w:t>We will update any estimated capex with actual capex at the time of the next reset.</w:t>
      </w:r>
    </w:p>
  </w:footnote>
  <w:footnote w:id="20">
    <w:p w:rsidR="00666263" w:rsidRDefault="00666263">
      <w:pPr>
        <w:pStyle w:val="FootnoteText"/>
      </w:pPr>
      <w:r>
        <w:rPr>
          <w:rStyle w:val="FootnoteReference"/>
        </w:rPr>
        <w:footnoteRef/>
      </w:r>
      <w:r>
        <w:t xml:space="preserve"> </w:t>
      </w:r>
      <w:r>
        <w:tab/>
        <w:t>For example, we make adjustment for movements in provisions if the actual capex amounts reported in the RIN include capitalised provisions.</w:t>
      </w:r>
    </w:p>
  </w:footnote>
  <w:footnote w:id="21">
    <w:p w:rsidR="00666263" w:rsidRDefault="00666263" w:rsidP="0020722B">
      <w:pPr>
        <w:pStyle w:val="FootnoteText"/>
      </w:pPr>
      <w:r>
        <w:rPr>
          <w:rStyle w:val="FootnoteReference"/>
        </w:rPr>
        <w:footnoteRef/>
      </w:r>
      <w:r>
        <w:t xml:space="preserve"> </w:t>
      </w:r>
      <w:r>
        <w:tab/>
      </w:r>
      <w:r w:rsidRPr="006F6224">
        <w:t>NER, c</w:t>
      </w:r>
      <w:r>
        <w:t>l</w:t>
      </w:r>
      <w:r w:rsidRPr="006F6224">
        <w:t>. S6A.2.1(f)(5).</w:t>
      </w:r>
    </w:p>
  </w:footnote>
  <w:footnote w:id="22">
    <w:p w:rsidR="00666263" w:rsidRDefault="00666263" w:rsidP="0020722B">
      <w:pPr>
        <w:pStyle w:val="FootnoteText"/>
      </w:pPr>
      <w:r>
        <w:rPr>
          <w:rStyle w:val="FootnoteReference"/>
        </w:rPr>
        <w:footnoteRef/>
      </w:r>
      <w:r>
        <w:t xml:space="preserve"> </w:t>
      </w:r>
      <w:r>
        <w:tab/>
      </w:r>
      <w:r w:rsidRPr="006F6224">
        <w:t>NER, c</w:t>
      </w:r>
      <w:r>
        <w:t>l</w:t>
      </w:r>
      <w:r w:rsidRPr="006F6224">
        <w:t>. 6A 4.2(a1).</w:t>
      </w:r>
    </w:p>
  </w:footnote>
  <w:footnote w:id="23">
    <w:p w:rsidR="00666263" w:rsidRDefault="00666263" w:rsidP="00EA459E">
      <w:pPr>
        <w:pStyle w:val="FootnoteText"/>
      </w:pPr>
      <w:r>
        <w:rPr>
          <w:rStyle w:val="FootnoteReference"/>
        </w:rPr>
        <w:footnoteRef/>
      </w:r>
      <w:r>
        <w:t xml:space="preserve"> </w:t>
      </w:r>
      <w:r>
        <w:tab/>
      </w:r>
      <w:r w:rsidRPr="000C066A">
        <w:rPr>
          <w:rStyle w:val="AERtexthighlight"/>
          <w:shd w:val="clear" w:color="auto" w:fill="auto"/>
        </w:rPr>
        <w:t xml:space="preserve">The use of actual depreciation is consistent with the depreciation approach established in the 2012–17 </w:t>
      </w:r>
      <w:r w:rsidRPr="001173DE">
        <w:rPr>
          <w:rStyle w:val="AERtexthighlight"/>
          <w:shd w:val="clear" w:color="auto" w:fill="auto"/>
        </w:rPr>
        <w:t>transmission determination</w:t>
      </w:r>
      <w:r w:rsidRPr="00671AB7">
        <w:rPr>
          <w:rStyle w:val="AERtexthighlight"/>
          <w:shd w:val="clear" w:color="auto" w:fill="auto"/>
        </w:rPr>
        <w:t xml:space="preserve"> for Powerlink</w:t>
      </w:r>
      <w:r w:rsidRPr="008E569A">
        <w:rPr>
          <w:rStyle w:val="AERtexthighlight"/>
          <w:shd w:val="clear" w:color="auto" w:fill="auto"/>
        </w:rPr>
        <w:t xml:space="preserve">, which reflected the rules at the time. </w:t>
      </w:r>
    </w:p>
  </w:footnote>
  <w:footnote w:id="24">
    <w:p w:rsidR="00666263" w:rsidRDefault="00666263" w:rsidP="0020722B">
      <w:pPr>
        <w:pStyle w:val="FootnoteText"/>
      </w:pPr>
      <w:r>
        <w:rPr>
          <w:rStyle w:val="FootnoteReference"/>
        </w:rPr>
        <w:footnoteRef/>
      </w:r>
      <w:r>
        <w:t xml:space="preserve"> </w:t>
      </w:r>
      <w:r>
        <w:tab/>
      </w:r>
      <w:r w:rsidRPr="006F6224">
        <w:t>NER, c</w:t>
      </w:r>
      <w:r>
        <w:t>l</w:t>
      </w:r>
      <w:r w:rsidRPr="006F6224">
        <w:t>. S6A.2.1(f)(6).</w:t>
      </w:r>
    </w:p>
  </w:footnote>
  <w:footnote w:id="25">
    <w:p w:rsidR="00666263" w:rsidRDefault="00666263" w:rsidP="0020722B">
      <w:pPr>
        <w:pStyle w:val="FootnoteText"/>
      </w:pPr>
      <w:r>
        <w:rPr>
          <w:rStyle w:val="FootnoteReference"/>
        </w:rPr>
        <w:footnoteRef/>
      </w:r>
      <w:r>
        <w:t xml:space="preserve"> </w:t>
      </w:r>
      <w:r>
        <w:tab/>
      </w:r>
      <w:r w:rsidRPr="006F6224">
        <w:t>NER, c</w:t>
      </w:r>
      <w:r>
        <w:t>l</w:t>
      </w:r>
      <w:r w:rsidRPr="006F6224">
        <w:t>. S6A.2.2B(a).</w:t>
      </w:r>
    </w:p>
  </w:footnote>
  <w:footnote w:id="26">
    <w:p w:rsidR="00666263" w:rsidRDefault="00666263" w:rsidP="0020722B">
      <w:pPr>
        <w:pStyle w:val="FootnoteText"/>
      </w:pPr>
      <w:r>
        <w:rPr>
          <w:rStyle w:val="FootnoteReference"/>
        </w:rPr>
        <w:footnoteRef/>
      </w:r>
      <w:r>
        <w:t xml:space="preserve"> </w:t>
      </w:r>
      <w:r>
        <w:tab/>
      </w:r>
      <w:r w:rsidRPr="006F6224">
        <w:t>NER, c</w:t>
      </w:r>
      <w:r>
        <w:t>l</w:t>
      </w:r>
      <w:r w:rsidRPr="006F6224">
        <w:t>. S6A.2.2B(c).</w:t>
      </w:r>
    </w:p>
  </w:footnote>
  <w:footnote w:id="27">
    <w:p w:rsidR="00666263" w:rsidRDefault="00666263" w:rsidP="0054020F">
      <w:pPr>
        <w:pStyle w:val="FootnoteText"/>
      </w:pPr>
      <w:r>
        <w:rPr>
          <w:rStyle w:val="FootnoteReference"/>
        </w:rPr>
        <w:footnoteRef/>
      </w:r>
      <w:r>
        <w:t xml:space="preserve"> </w:t>
      </w:r>
      <w:r>
        <w:tab/>
      </w:r>
      <w:r w:rsidRPr="008D04DA">
        <w:t xml:space="preserve">The size of the RAB also impacts the </w:t>
      </w:r>
      <w:r>
        <w:t xml:space="preserve">benchmark </w:t>
      </w:r>
      <w:r w:rsidRPr="008D04DA">
        <w:t>debt raising cost allowance. However, this amount is usually relatively small and therefore not a significant determinant of revenues overall.</w:t>
      </w:r>
    </w:p>
  </w:footnote>
  <w:footnote w:id="28">
    <w:p w:rsidR="00666263" w:rsidRDefault="00666263" w:rsidP="0054020F">
      <w:pPr>
        <w:pStyle w:val="FootnoteText"/>
      </w:pPr>
      <w:r>
        <w:rPr>
          <w:rStyle w:val="FootnoteReference"/>
        </w:rPr>
        <w:footnoteRef/>
      </w:r>
      <w:r>
        <w:t xml:space="preserve"> </w:t>
      </w:r>
      <w:r>
        <w:tab/>
        <w:t xml:space="preserve">Net capex is gross capex less disposals. </w:t>
      </w:r>
      <w:r w:rsidRPr="008D04DA">
        <w:t xml:space="preserve">The </w:t>
      </w:r>
      <w:r>
        <w:t>rate of return</w:t>
      </w:r>
      <w:r w:rsidRPr="008D04DA">
        <w:t xml:space="preserve"> </w:t>
      </w:r>
      <w:r>
        <w:t xml:space="preserve">or WACC </w:t>
      </w:r>
      <w:r w:rsidRPr="008D04DA">
        <w:t>also influences the size of the capex</w:t>
      </w:r>
      <w:r>
        <w:t xml:space="preserve">. This is because </w:t>
      </w:r>
      <w:r w:rsidRPr="008D04DA">
        <w:t xml:space="preserve">capex is not depreciated in the year it is first </w:t>
      </w:r>
      <w:r>
        <w:t xml:space="preserve">incurred, but </w:t>
      </w:r>
      <w:r w:rsidRPr="008D04DA">
        <w:t>added to the RAB</w:t>
      </w:r>
      <w:r>
        <w:t xml:space="preserve"> at the end of the year. Instead,</w:t>
      </w:r>
      <w:r w:rsidRPr="008D04DA">
        <w:t xml:space="preserve"> the capex amount is escalated by half a WACC to arrive at an end of year value. It then begins depreciating the following year.</w:t>
      </w:r>
    </w:p>
  </w:footnote>
  <w:footnote w:id="29">
    <w:p w:rsidR="00666263" w:rsidRDefault="00666263" w:rsidP="00591C47">
      <w:pPr>
        <w:pStyle w:val="FootnoteText"/>
      </w:pPr>
      <w:r>
        <w:rPr>
          <w:rStyle w:val="FootnoteReference"/>
        </w:rPr>
        <w:footnoteRef/>
      </w:r>
      <w:r>
        <w:t xml:space="preserve"> </w:t>
      </w:r>
      <w:r>
        <w:tab/>
      </w:r>
      <w:r w:rsidRPr="00D475D3">
        <w:t>NER, cl</w:t>
      </w:r>
      <w:r>
        <w:t>l</w:t>
      </w:r>
      <w:r w:rsidRPr="00D475D3">
        <w:t xml:space="preserve">. </w:t>
      </w:r>
      <w:r>
        <w:t xml:space="preserve">6A.5.4(b)(1) and </w:t>
      </w:r>
      <w:r w:rsidRPr="00D475D3">
        <w:t>6A.6.1(e)(3).</w:t>
      </w:r>
    </w:p>
  </w:footnote>
  <w:footnote w:id="30">
    <w:p w:rsidR="00666263" w:rsidRDefault="00666263">
      <w:pPr>
        <w:pStyle w:val="FootnoteText"/>
      </w:pPr>
      <w:r>
        <w:rPr>
          <w:rStyle w:val="FootnoteReference"/>
        </w:rPr>
        <w:footnoteRef/>
      </w:r>
      <w:r>
        <w:t xml:space="preserve"> </w:t>
      </w:r>
      <w:r>
        <w:tab/>
        <w:t>NER, cll. 6A.6.2(a) and 6A.6.2(d)(2).</w:t>
      </w:r>
    </w:p>
  </w:footnote>
  <w:footnote w:id="31">
    <w:p w:rsidR="00666263" w:rsidRDefault="00666263">
      <w:pPr>
        <w:pStyle w:val="FootnoteText"/>
      </w:pPr>
      <w:r>
        <w:rPr>
          <w:rStyle w:val="FootnoteReference"/>
        </w:rPr>
        <w:footnoteRef/>
      </w:r>
      <w:r>
        <w:t xml:space="preserve"> </w:t>
      </w:r>
      <w:r>
        <w:tab/>
        <w:t>NER, cl. 6A.5.4(b)(1)(ii).</w:t>
      </w:r>
    </w:p>
  </w:footnote>
  <w:footnote w:id="32">
    <w:p w:rsidR="00666263" w:rsidRDefault="00666263" w:rsidP="00AC0983">
      <w:pPr>
        <w:pStyle w:val="FootnoteText"/>
      </w:pPr>
      <w:r>
        <w:rPr>
          <w:rStyle w:val="FootnoteReference"/>
        </w:rPr>
        <w:footnoteRef/>
      </w:r>
      <w:r>
        <w:t xml:space="preserve"> </w:t>
      </w:r>
      <w:r>
        <w:tab/>
      </w:r>
      <w:r w:rsidRPr="00B06CAD">
        <w:t xml:space="preserve">If the asset lives are extremely long, such that the </w:t>
      </w:r>
      <w:r>
        <w:t>RAB</w:t>
      </w:r>
      <w:r w:rsidRPr="00B06CAD">
        <w:t xml:space="preserve"> depreciation rate is lower than the inflation rate, then</w:t>
      </w:r>
      <w:r>
        <w:t xml:space="preserve"> </w:t>
      </w:r>
      <w:r w:rsidRPr="00B06CAD">
        <w:t xml:space="preserve">negative regulatory depreciation can emerge. The indexation adjustment is greater than the </w:t>
      </w:r>
      <w:r>
        <w:t>RAB</w:t>
      </w:r>
      <w:r w:rsidRPr="00B06CAD">
        <w:t xml:space="preserve"> depreciation in</w:t>
      </w:r>
      <w:r>
        <w:t xml:space="preserve"> </w:t>
      </w:r>
      <w:r w:rsidRPr="00B06CAD">
        <w:t>such circumstances</w:t>
      </w:r>
      <w:r>
        <w:t xml:space="preserve">. Please also refer to section 5.3.1 of attachment 5 of this draft decision for further explanation of the offsetting adjustment to the depreciation.  </w:t>
      </w:r>
    </w:p>
  </w:footnote>
  <w:footnote w:id="33">
    <w:p w:rsidR="00666263" w:rsidRDefault="00666263" w:rsidP="00AC0983">
      <w:pPr>
        <w:pStyle w:val="FootnoteText"/>
      </w:pPr>
      <w:r>
        <w:rPr>
          <w:rStyle w:val="FootnoteReference"/>
        </w:rPr>
        <w:footnoteRef/>
      </w:r>
      <w:r>
        <w:t xml:space="preserve"> </w:t>
      </w:r>
      <w:r>
        <w:tab/>
        <w:t>A change of approach from an indexed RAB to an un-indexed RAB would result in an initial step change increase in revenues to preserve NPV neutrality.</w:t>
      </w:r>
    </w:p>
  </w:footnote>
  <w:footnote w:id="34">
    <w:p w:rsidR="00666263" w:rsidRDefault="00666263" w:rsidP="00C56491">
      <w:pPr>
        <w:pStyle w:val="FootnoteText"/>
      </w:pPr>
      <w:r>
        <w:rPr>
          <w:rStyle w:val="FootnoteReference"/>
        </w:rPr>
        <w:footnoteRef/>
      </w:r>
      <w:r>
        <w:t xml:space="preserve"> </w:t>
      </w:r>
      <w:r>
        <w:tab/>
        <w:t xml:space="preserve">CCP (Hugh Grant and David Headberry), </w:t>
      </w:r>
      <w:r w:rsidRPr="00C56491">
        <w:rPr>
          <w:rStyle w:val="AERtextitalic"/>
        </w:rPr>
        <w:t>Submission to the AER</w:t>
      </w:r>
      <w:r>
        <w:rPr>
          <w:rStyle w:val="AERtextitalic"/>
        </w:rPr>
        <w:t>,</w:t>
      </w:r>
      <w:r w:rsidRPr="00C56491">
        <w:rPr>
          <w:rStyle w:val="AERtextitalic"/>
        </w:rPr>
        <w:t xml:space="preserve"> Powerlink Queensland 2018–22 Revenue Proposal</w:t>
      </w:r>
      <w:r>
        <w:t>, 20 </w:t>
      </w:r>
      <w:r w:rsidRPr="00C56491">
        <w:t>June</w:t>
      </w:r>
      <w:r>
        <w:t xml:space="preserve"> </w:t>
      </w:r>
      <w:r w:rsidRPr="00C56491">
        <w:t>2016</w:t>
      </w:r>
      <w:r>
        <w:t xml:space="preserve">, p. 3. </w:t>
      </w:r>
    </w:p>
  </w:footnote>
  <w:footnote w:id="35">
    <w:p w:rsidR="00666263" w:rsidRDefault="00666263" w:rsidP="003652DF">
      <w:pPr>
        <w:pStyle w:val="FootnoteText"/>
      </w:pPr>
      <w:r>
        <w:rPr>
          <w:rStyle w:val="FootnoteReference"/>
        </w:rPr>
        <w:footnoteRef/>
      </w:r>
      <w:r>
        <w:t xml:space="preserve"> </w:t>
      </w:r>
      <w:r>
        <w:tab/>
        <w:t>These capex values are consistent with those used for the RAB roll forward and include a half-WACC adjustment to take the values to end of year terms.</w:t>
      </w:r>
    </w:p>
  </w:footnote>
  <w:footnote w:id="36">
    <w:p w:rsidR="00666263" w:rsidRDefault="00666263" w:rsidP="0054020F">
      <w:pPr>
        <w:pStyle w:val="FootnoteText"/>
      </w:pPr>
      <w:r>
        <w:rPr>
          <w:rStyle w:val="FootnoteReference"/>
        </w:rPr>
        <w:footnoteRef/>
      </w:r>
      <w:r>
        <w:t xml:space="preserve"> </w:t>
      </w:r>
      <w:r>
        <w:tab/>
      </w:r>
      <w:r w:rsidRPr="002F3335">
        <w:t>If capex causes the RAB incr</w:t>
      </w:r>
      <w:r>
        <w:t xml:space="preserve">ease—return on capital, </w:t>
      </w:r>
      <w:r w:rsidRPr="002F3335">
        <w:t>depreciation</w:t>
      </w:r>
      <w:r>
        <w:t>, and debt raising costs all</w:t>
      </w:r>
      <w:r w:rsidRPr="002F3335">
        <w:t xml:space="preserve"> increase</w:t>
      </w:r>
      <w:r>
        <w:t xml:space="preserve"> too</w:t>
      </w:r>
      <w:r w:rsidRPr="002F3335">
        <w:t>. If a reduction in depreciation causes the RAB increase, revenue could increase or decrease. In this case</w:t>
      </w:r>
      <w:r>
        <w:t>,</w:t>
      </w:r>
      <w:r w:rsidRPr="002F3335">
        <w:t xml:space="preserve"> the higher return on capital is offset (perhaps more than offset) by the reduction in depreciation allowance. Inflation naturally increases the RAB in nominal terms. However, the real impact from changing the inflation forecast is inconsequential as revenues are updated annual</w:t>
      </w:r>
      <w:r>
        <w:t>ly</w:t>
      </w:r>
      <w:r w:rsidRPr="002F3335">
        <w:t xml:space="preserve"> by actual </w:t>
      </w:r>
      <w:r>
        <w:t xml:space="preserve">inflation </w:t>
      </w:r>
      <w:r w:rsidRPr="002F3335">
        <w:t>and the X factor, which is generally unaffected by the assumed</w:t>
      </w:r>
      <w:r>
        <w:t xml:space="preserve"> forecast</w:t>
      </w:r>
      <w:r w:rsidRPr="002F3335">
        <w:t xml:space="preserve"> inflation rate.</w:t>
      </w:r>
    </w:p>
  </w:footnote>
  <w:footnote w:id="37">
    <w:p w:rsidR="00666263" w:rsidRDefault="00666263" w:rsidP="007133AC">
      <w:pPr>
        <w:pStyle w:val="FootnoteText"/>
      </w:pPr>
      <w:r>
        <w:rPr>
          <w:rStyle w:val="FootnoteReference"/>
        </w:rPr>
        <w:footnoteRef/>
      </w:r>
      <w:r>
        <w:t xml:space="preserve"> </w:t>
      </w:r>
      <w:r>
        <w:tab/>
        <w:t>This RAB value is based on as-incurred capex.</w:t>
      </w:r>
    </w:p>
  </w:footnote>
  <w:footnote w:id="38">
    <w:p w:rsidR="00666263" w:rsidRDefault="00666263" w:rsidP="009A78D0">
      <w:pPr>
        <w:pStyle w:val="FootnoteText"/>
      </w:pPr>
      <w:r>
        <w:rPr>
          <w:rStyle w:val="FootnoteReference"/>
        </w:rPr>
        <w:footnoteRef/>
      </w:r>
      <w:r>
        <w:t xml:space="preserve"> </w:t>
      </w:r>
      <w:r>
        <w:tab/>
        <w:t xml:space="preserve">At the time of this draft decision, the roll forward of Powerlink's RAB includes estimated capex values for 2015–16 and 2016–17. </w:t>
      </w:r>
      <w:r w:rsidRPr="0014090A">
        <w:t xml:space="preserve">We will update the </w:t>
      </w:r>
      <w:r>
        <w:t>2015–16 estimated capex with actuals</w:t>
      </w:r>
      <w:r w:rsidRPr="0014090A">
        <w:t xml:space="preserve"> in the final decision</w:t>
      </w:r>
      <w:r>
        <w:t xml:space="preserve">. We may also update the 2016–17 estimated capex with a revised estimate in the final decision. </w:t>
      </w:r>
    </w:p>
  </w:footnote>
  <w:footnote w:id="39">
    <w:p w:rsidR="00666263" w:rsidRDefault="00666263">
      <w:pPr>
        <w:pStyle w:val="FootnoteText"/>
      </w:pPr>
      <w:r>
        <w:rPr>
          <w:rStyle w:val="FootnoteReference"/>
        </w:rPr>
        <w:footnoteRef/>
      </w:r>
      <w:r>
        <w:t xml:space="preserve"> </w:t>
      </w:r>
      <w:r>
        <w:tab/>
        <w:t xml:space="preserve">In our final decision we will update the estimate for 2016–17 expected inflation with actual CPI. </w:t>
      </w:r>
      <w:r w:rsidRPr="00EE107D">
        <w:t xml:space="preserve">The </w:t>
      </w:r>
      <w:r>
        <w:t>March</w:t>
      </w:r>
      <w:r w:rsidRPr="00EE107D">
        <w:t xml:space="preserve"> quarter CPI is used as a proxy fo</w:t>
      </w:r>
      <w:r>
        <w:t xml:space="preserve">r the June </w:t>
      </w:r>
      <w:r w:rsidRPr="00EE107D">
        <w:t xml:space="preserve">financial year in </w:t>
      </w:r>
      <w:r>
        <w:t>Powerlink's</w:t>
      </w:r>
      <w:r w:rsidRPr="00EE107D">
        <w:t xml:space="preserve"> 20</w:t>
      </w:r>
      <w:r>
        <w:t>12–</w:t>
      </w:r>
      <w:r w:rsidRPr="00EE107D">
        <w:t>1</w:t>
      </w:r>
      <w:r>
        <w:t>7</w:t>
      </w:r>
      <w:r w:rsidRPr="00EE107D">
        <w:t xml:space="preserve"> regulatory control peri</w:t>
      </w:r>
      <w:r>
        <w:t>od.</w:t>
      </w:r>
    </w:p>
  </w:footnote>
  <w:footnote w:id="40">
    <w:p w:rsidR="00666263" w:rsidRDefault="00666263">
      <w:pPr>
        <w:pStyle w:val="FootnoteText"/>
      </w:pPr>
      <w:r>
        <w:rPr>
          <w:rStyle w:val="FootnoteReference"/>
        </w:rPr>
        <w:footnoteRef/>
      </w:r>
      <w:r>
        <w:t xml:space="preserve"> </w:t>
      </w:r>
      <w:r>
        <w:tab/>
        <w:t>This involves an upward adjustment of $5180 to gross actual capex in 2014–15.</w:t>
      </w:r>
    </w:p>
  </w:footnote>
  <w:footnote w:id="41">
    <w:p w:rsidR="00666263" w:rsidRDefault="00666263">
      <w:pPr>
        <w:pStyle w:val="FootnoteText"/>
      </w:pPr>
      <w:r>
        <w:rPr>
          <w:rStyle w:val="FootnoteReference"/>
        </w:rPr>
        <w:footnoteRef/>
      </w:r>
      <w:r>
        <w:t xml:space="preserve"> </w:t>
      </w:r>
      <w:r>
        <w:tab/>
        <w:t>This involves an upward adjustment of around $2800 to gross actual capex in 2012–13.</w:t>
      </w:r>
    </w:p>
  </w:footnote>
  <w:footnote w:id="42">
    <w:p w:rsidR="00666263" w:rsidRDefault="00666263" w:rsidP="00BE3FAF">
      <w:pPr>
        <w:pStyle w:val="FootnoteText"/>
      </w:pPr>
      <w:r>
        <w:rPr>
          <w:rStyle w:val="FootnoteReference"/>
        </w:rPr>
        <w:footnoteRef/>
      </w:r>
      <w:r>
        <w:t xml:space="preserve"> </w:t>
      </w:r>
      <w:r>
        <w:tab/>
        <w:t>NER, cl. 6A.14.2(b).</w:t>
      </w:r>
    </w:p>
  </w:footnote>
  <w:footnote w:id="43">
    <w:p w:rsidR="00666263" w:rsidRDefault="00666263" w:rsidP="00873BAB">
      <w:pPr>
        <w:pStyle w:val="FootnoteText"/>
      </w:pPr>
      <w:r>
        <w:rPr>
          <w:rStyle w:val="FootnoteReference"/>
        </w:rPr>
        <w:footnoteRef/>
      </w:r>
      <w:r>
        <w:t xml:space="preserve"> </w:t>
      </w:r>
      <w:r>
        <w:tab/>
        <w:t xml:space="preserve">Cotton Australia, </w:t>
      </w:r>
      <w:r w:rsidRPr="00F65322">
        <w:rPr>
          <w:rStyle w:val="AERtextitalic"/>
        </w:rPr>
        <w:t xml:space="preserve">Powerlink </w:t>
      </w:r>
      <w:r>
        <w:rPr>
          <w:rStyle w:val="AERtextitalic"/>
        </w:rPr>
        <w:t xml:space="preserve">electricity transmission </w:t>
      </w:r>
      <w:r w:rsidRPr="00F65322">
        <w:rPr>
          <w:rStyle w:val="AERtextitalic"/>
        </w:rPr>
        <w:t>re</w:t>
      </w:r>
      <w:r>
        <w:rPr>
          <w:rStyle w:val="AERtextitalic"/>
        </w:rPr>
        <w:t>venue proposal 2017–20</w:t>
      </w:r>
      <w:r w:rsidRPr="00F65322">
        <w:rPr>
          <w:rStyle w:val="AERtextitalic"/>
        </w:rPr>
        <w:t>22</w:t>
      </w:r>
      <w:r>
        <w:t>,</w:t>
      </w:r>
      <w:r w:rsidRPr="008A7C88">
        <w:t xml:space="preserve"> 2 May 2016</w:t>
      </w:r>
      <w:r>
        <w:t>, pp. 2–3.</w:t>
      </w:r>
    </w:p>
  </w:footnote>
  <w:footnote w:id="44">
    <w:p w:rsidR="00666263" w:rsidRDefault="00666263" w:rsidP="00BE3FAF">
      <w:pPr>
        <w:pStyle w:val="FootnoteText"/>
      </w:pPr>
      <w:r>
        <w:rPr>
          <w:rStyle w:val="FootnoteReference"/>
        </w:rPr>
        <w:footnoteRef/>
      </w:r>
      <w:r>
        <w:t xml:space="preserve"> </w:t>
      </w:r>
      <w:r>
        <w:tab/>
        <w:t>NER, cl. 11.63.</w:t>
      </w:r>
    </w:p>
  </w:footnote>
  <w:footnote w:id="45">
    <w:p w:rsidR="00666263" w:rsidRDefault="00666263" w:rsidP="00BE3FAF">
      <w:pPr>
        <w:pStyle w:val="FootnoteText"/>
      </w:pPr>
      <w:r>
        <w:rPr>
          <w:rStyle w:val="FootnoteReference"/>
        </w:rPr>
        <w:footnoteRef/>
      </w:r>
      <w:r>
        <w:t xml:space="preserve"> </w:t>
      </w:r>
      <w:r>
        <w:tab/>
      </w:r>
      <w:r w:rsidRPr="00BE3FAF">
        <w:rPr>
          <w:rStyle w:val="AERtexthighlight"/>
          <w:shd w:val="clear" w:color="auto" w:fill="auto"/>
        </w:rPr>
        <w:t xml:space="preserve">NER, cl. </w:t>
      </w:r>
      <w:r>
        <w:t>S6A.2.2A(a1).</w:t>
      </w:r>
    </w:p>
  </w:footnote>
  <w:footnote w:id="46">
    <w:p w:rsidR="00666263" w:rsidRDefault="00666263">
      <w:pPr>
        <w:pStyle w:val="FootnoteText"/>
      </w:pPr>
      <w:r>
        <w:rPr>
          <w:rStyle w:val="FootnoteReference"/>
        </w:rPr>
        <w:footnoteRef/>
      </w:r>
      <w:r>
        <w:t xml:space="preserve"> </w:t>
      </w:r>
      <w:r>
        <w:tab/>
        <w:t>NER, cl. S6A.2.2A(c).</w:t>
      </w:r>
    </w:p>
  </w:footnote>
  <w:footnote w:id="47">
    <w:p w:rsidR="00666263" w:rsidRDefault="00666263" w:rsidP="00BE3FAF">
      <w:pPr>
        <w:pStyle w:val="FootnoteText"/>
      </w:pPr>
      <w:r>
        <w:rPr>
          <w:rStyle w:val="FootnoteReference"/>
        </w:rPr>
        <w:footnoteRef/>
      </w:r>
      <w:r>
        <w:t xml:space="preserve"> </w:t>
      </w:r>
      <w:r>
        <w:tab/>
        <w:t xml:space="preserve">Here, 'inefficiency' of past capex refers to three specific assessments (labelled the overspending, margin and capitalisation requirements) detailed in NER, cl. S6A.2.2A. The details of our ex post assessment approach for capex are set out in AER, </w:t>
      </w:r>
      <w:r w:rsidRPr="00965D78">
        <w:rPr>
          <w:rStyle w:val="Emphasis"/>
        </w:rPr>
        <w:t>Capital expenditure incentive guideline</w:t>
      </w:r>
      <w:r>
        <w:t>, November 2013, pp. 12–20.</w:t>
      </w:r>
    </w:p>
  </w:footnote>
  <w:footnote w:id="48">
    <w:p w:rsidR="00666263" w:rsidRDefault="00666263" w:rsidP="00800E2A">
      <w:pPr>
        <w:pStyle w:val="FootnoteText"/>
      </w:pPr>
      <w:r>
        <w:rPr>
          <w:rStyle w:val="FootnoteReference"/>
        </w:rPr>
        <w:footnoteRef/>
      </w:r>
      <w:r>
        <w:t xml:space="preserve"> </w:t>
      </w:r>
      <w:r>
        <w:tab/>
      </w:r>
      <w:r w:rsidRPr="00800E2A">
        <w:rPr>
          <w:rStyle w:val="AERtexthighlight"/>
          <w:shd w:val="clear" w:color="auto" w:fill="auto"/>
        </w:rPr>
        <w:t>The use of actual depreciation is consistent with the depreciation approach established in the 2012–17 transmission determination for Powerlink, which reflected the rules at the time.</w:t>
      </w:r>
    </w:p>
  </w:footnote>
  <w:footnote w:id="49">
    <w:p w:rsidR="00666263" w:rsidRDefault="00666263" w:rsidP="00BE3FAF">
      <w:pPr>
        <w:pStyle w:val="FootnoteText"/>
      </w:pPr>
      <w:r>
        <w:rPr>
          <w:rStyle w:val="FootnoteReference"/>
        </w:rPr>
        <w:footnoteRef/>
      </w:r>
      <w:r>
        <w:t xml:space="preserve"> </w:t>
      </w:r>
      <w:r>
        <w:tab/>
        <w:t>NER, cll. 6A.5A(a), 6A.6.7(a), 6A.6.7(c) and 6A.14.2(b).</w:t>
      </w:r>
    </w:p>
  </w:footnote>
  <w:footnote w:id="50">
    <w:p w:rsidR="00666263" w:rsidRDefault="00666263">
      <w:pPr>
        <w:pStyle w:val="FootnoteText"/>
      </w:pPr>
      <w:r>
        <w:rPr>
          <w:rStyle w:val="FootnoteReference"/>
        </w:rPr>
        <w:footnoteRef/>
      </w:r>
      <w:r>
        <w:t xml:space="preserve"> </w:t>
      </w:r>
      <w:r>
        <w:tab/>
      </w:r>
      <w:r w:rsidRPr="00A51CDE">
        <w:t xml:space="preserve">Powerlink, </w:t>
      </w:r>
      <w:r w:rsidRPr="002D5B75">
        <w:rPr>
          <w:rStyle w:val="Emphasis"/>
        </w:rPr>
        <w:t>Regulatory proposal</w:t>
      </w:r>
      <w:r w:rsidRPr="00A51CDE">
        <w:t>, January 2016</w:t>
      </w:r>
      <w:r>
        <w:t>, p.86.</w:t>
      </w:r>
    </w:p>
  </w:footnote>
  <w:footnote w:id="51">
    <w:p w:rsidR="00666263" w:rsidRDefault="00666263" w:rsidP="00F10827">
      <w:pPr>
        <w:pStyle w:val="FootnoteText"/>
      </w:pPr>
      <w:r>
        <w:rPr>
          <w:rStyle w:val="FootnoteReference"/>
        </w:rPr>
        <w:footnoteRef/>
      </w:r>
      <w:r>
        <w:t xml:space="preserve"> </w:t>
      </w:r>
      <w:r>
        <w:tab/>
        <w:t xml:space="preserve">Cotton Australia, </w:t>
      </w:r>
      <w:r w:rsidRPr="00F65322">
        <w:rPr>
          <w:rStyle w:val="AERtextitalic"/>
        </w:rPr>
        <w:t xml:space="preserve">Powerlink </w:t>
      </w:r>
      <w:r>
        <w:rPr>
          <w:rStyle w:val="AERtextitalic"/>
        </w:rPr>
        <w:t xml:space="preserve">electricity transmission </w:t>
      </w:r>
      <w:r w:rsidRPr="00F65322">
        <w:rPr>
          <w:rStyle w:val="AERtextitalic"/>
        </w:rPr>
        <w:t>re</w:t>
      </w:r>
      <w:r>
        <w:rPr>
          <w:rStyle w:val="AERtextitalic"/>
        </w:rPr>
        <w:t>venue proposal 2017–20</w:t>
      </w:r>
      <w:r w:rsidRPr="00F65322">
        <w:rPr>
          <w:rStyle w:val="AERtextitalic"/>
        </w:rPr>
        <w:t>22</w:t>
      </w:r>
      <w:r>
        <w:t>,</w:t>
      </w:r>
      <w:r w:rsidRPr="008A7C88">
        <w:t xml:space="preserve"> 2 May 2016</w:t>
      </w:r>
      <w:r>
        <w:t>, p. 3.</w:t>
      </w:r>
    </w:p>
  </w:footnote>
  <w:footnote w:id="52">
    <w:p w:rsidR="00666263" w:rsidRDefault="00666263">
      <w:pPr>
        <w:pStyle w:val="FootnoteText"/>
      </w:pPr>
      <w:r>
        <w:rPr>
          <w:rStyle w:val="FootnoteReference"/>
        </w:rPr>
        <w:footnoteRef/>
      </w:r>
      <w:r>
        <w:t xml:space="preserve"> </w:t>
      </w:r>
      <w:r>
        <w:tab/>
        <w:t xml:space="preserve">CCP (Hugh Grant), </w:t>
      </w:r>
      <w:r w:rsidRPr="003D454A">
        <w:rPr>
          <w:rStyle w:val="AERtextitalic"/>
        </w:rPr>
        <w:t>Preliminary perspectives, Powerlink's 2018–22 revenue proposal</w:t>
      </w:r>
      <w:r>
        <w:t>, 15 March 2016 (presentation slides).</w:t>
      </w:r>
    </w:p>
  </w:footnote>
  <w:footnote w:id="53">
    <w:p w:rsidR="00666263" w:rsidRDefault="00666263">
      <w:pPr>
        <w:pStyle w:val="FootnoteText"/>
      </w:pPr>
      <w:r>
        <w:rPr>
          <w:rStyle w:val="FootnoteReference"/>
        </w:rPr>
        <w:footnoteRef/>
      </w:r>
      <w:r>
        <w:t xml:space="preserve"> </w:t>
      </w:r>
      <w:r>
        <w:tab/>
        <w:t xml:space="preserve">CCP (Hugh Grant and David Headberry), </w:t>
      </w:r>
      <w:r w:rsidRPr="003D454A">
        <w:rPr>
          <w:rStyle w:val="AERtextitalic"/>
        </w:rPr>
        <w:t>Submission to the AER, Powerlink Queensland 2018–22 revenue proposal</w:t>
      </w:r>
      <w:r>
        <w:t>, 20 June 2016.</w:t>
      </w:r>
    </w:p>
  </w:footnote>
  <w:footnote w:id="54">
    <w:p w:rsidR="00666263" w:rsidRDefault="00666263" w:rsidP="000C33CB">
      <w:pPr>
        <w:pStyle w:val="FootnoteText"/>
      </w:pPr>
      <w:r>
        <w:rPr>
          <w:rStyle w:val="FootnoteReference"/>
        </w:rPr>
        <w:footnoteRef/>
      </w:r>
      <w:r>
        <w:t xml:space="preserve"> </w:t>
      </w:r>
      <w:r>
        <w:tab/>
      </w:r>
      <w:r w:rsidRPr="00D475D3">
        <w:t>NER, cl. 6A.6.1(e)(3).</w:t>
      </w:r>
    </w:p>
  </w:footnote>
  <w:footnote w:id="55">
    <w:p w:rsidR="00666263" w:rsidRDefault="00666263">
      <w:pPr>
        <w:pStyle w:val="FootnoteText"/>
      </w:pPr>
      <w:r>
        <w:rPr>
          <w:rStyle w:val="FootnoteReference"/>
        </w:rPr>
        <w:footnoteRef/>
      </w:r>
      <w:r>
        <w:t xml:space="preserve"> </w:t>
      </w:r>
      <w:r>
        <w:tab/>
        <w:t>NER, cl. 6A.5.4(b)(1)(ii).</w:t>
      </w:r>
    </w:p>
  </w:footnote>
  <w:footnote w:id="56">
    <w:p w:rsidR="00666263" w:rsidRDefault="00666263">
      <w:pPr>
        <w:pStyle w:val="FootnoteText"/>
      </w:pPr>
      <w:r>
        <w:rPr>
          <w:rStyle w:val="FootnoteReference"/>
        </w:rPr>
        <w:footnoteRef/>
      </w:r>
      <w:r>
        <w:t xml:space="preserve"> </w:t>
      </w:r>
      <w:r>
        <w:tab/>
        <w:t>NER, cl. 6A.6.2(a).</w:t>
      </w:r>
    </w:p>
  </w:footnote>
  <w:footnote w:id="57">
    <w:p w:rsidR="00666263" w:rsidRDefault="00666263" w:rsidP="001173DE">
      <w:pPr>
        <w:pStyle w:val="FootnoteText"/>
      </w:pPr>
      <w:r>
        <w:rPr>
          <w:rStyle w:val="FootnoteReference"/>
        </w:rPr>
        <w:footnoteRef/>
      </w:r>
      <w:r>
        <w:t xml:space="preserve"> </w:t>
      </w:r>
      <w:r>
        <w:tab/>
      </w:r>
      <w:r w:rsidRPr="00C56491">
        <w:t>CCP</w:t>
      </w:r>
      <w:r>
        <w:t xml:space="preserve"> (Hugh Grant and David Headberry), </w:t>
      </w:r>
      <w:r w:rsidRPr="00C56491">
        <w:rPr>
          <w:rStyle w:val="AERtextitalic"/>
        </w:rPr>
        <w:t>Submission to the AER</w:t>
      </w:r>
      <w:r>
        <w:rPr>
          <w:rStyle w:val="AERtextitalic"/>
        </w:rPr>
        <w:t>, Powerlink Queensland 2018–22 revenue p</w:t>
      </w:r>
      <w:r w:rsidRPr="00C56491">
        <w:rPr>
          <w:rStyle w:val="AERtextitalic"/>
        </w:rPr>
        <w:t>roposal</w:t>
      </w:r>
      <w:r>
        <w:t>, 20 </w:t>
      </w:r>
      <w:r w:rsidRPr="00C56491">
        <w:t>June</w:t>
      </w:r>
      <w:r>
        <w:t xml:space="preserve"> </w:t>
      </w:r>
      <w:r w:rsidRPr="00C56491">
        <w:t>2016</w:t>
      </w:r>
      <w:r>
        <w:t xml:space="preserve">, p. 3. </w:t>
      </w:r>
    </w:p>
  </w:footnote>
  <w:footnote w:id="58">
    <w:p w:rsidR="00666263" w:rsidRDefault="00666263">
      <w:pPr>
        <w:pStyle w:val="FootnoteText"/>
      </w:pPr>
      <w:r>
        <w:rPr>
          <w:rStyle w:val="FootnoteReference"/>
        </w:rPr>
        <w:footnoteRef/>
      </w:r>
      <w:r>
        <w:t xml:space="preserve">   </w:t>
      </w:r>
      <w:r>
        <w:tab/>
        <w:t>This is also discussed in attachment 5.</w:t>
      </w:r>
    </w:p>
  </w:footnote>
  <w:footnote w:id="59">
    <w:p w:rsidR="00666263" w:rsidRDefault="00666263">
      <w:pPr>
        <w:pStyle w:val="FootnoteText"/>
      </w:pPr>
      <w:r>
        <w:rPr>
          <w:rStyle w:val="FootnoteReference"/>
        </w:rPr>
        <w:footnoteRef/>
      </w:r>
      <w:r>
        <w:t xml:space="preserve"> </w:t>
      </w:r>
      <w:r>
        <w:tab/>
        <w:t>NEL, cl. 7.</w:t>
      </w:r>
    </w:p>
  </w:footnote>
  <w:footnote w:id="60">
    <w:p w:rsidR="00666263" w:rsidRDefault="00666263" w:rsidP="00B0136C">
      <w:pPr>
        <w:pStyle w:val="FootnoteText"/>
      </w:pPr>
      <w:r>
        <w:rPr>
          <w:rStyle w:val="FootnoteReference"/>
        </w:rPr>
        <w:footnoteRef/>
      </w:r>
      <w:r>
        <w:t xml:space="preserve"> </w:t>
      </w:r>
      <w:r>
        <w:tab/>
        <w:t xml:space="preserve">CCP (Hugh Grant and David Headberry), </w:t>
      </w:r>
      <w:r w:rsidRPr="00C56491">
        <w:rPr>
          <w:rStyle w:val="AERtextitalic"/>
        </w:rPr>
        <w:t>Submission to the AER</w:t>
      </w:r>
      <w:r>
        <w:rPr>
          <w:rStyle w:val="AERtextitalic"/>
        </w:rPr>
        <w:t>, Powerlink Queensland 2018–22 r</w:t>
      </w:r>
      <w:r w:rsidRPr="00C56491">
        <w:rPr>
          <w:rStyle w:val="AERtextitalic"/>
        </w:rPr>
        <w:t xml:space="preserve">evenue </w:t>
      </w:r>
      <w:r>
        <w:rPr>
          <w:rStyle w:val="AERtextitalic"/>
        </w:rPr>
        <w:t>p</w:t>
      </w:r>
      <w:r w:rsidRPr="00C56491">
        <w:rPr>
          <w:rStyle w:val="AERtextitalic"/>
        </w:rPr>
        <w:t>roposal</w:t>
      </w:r>
      <w:r>
        <w:t>, 20 </w:t>
      </w:r>
      <w:r w:rsidRPr="00C56491">
        <w:t>June</w:t>
      </w:r>
      <w:r>
        <w:t xml:space="preserve"> </w:t>
      </w:r>
      <w:r w:rsidRPr="00C56491">
        <w:t>2016</w:t>
      </w:r>
      <w:r>
        <w:t>, p. 41.</w:t>
      </w:r>
    </w:p>
  </w:footnote>
  <w:footnote w:id="61">
    <w:p w:rsidR="00666263" w:rsidRDefault="00666263" w:rsidP="00B0136C">
      <w:pPr>
        <w:pStyle w:val="FootnoteText"/>
      </w:pPr>
      <w:r>
        <w:rPr>
          <w:rStyle w:val="FootnoteReference"/>
        </w:rPr>
        <w:footnoteRef/>
      </w:r>
      <w:r>
        <w:t xml:space="preserve"> </w:t>
      </w:r>
      <w:r>
        <w:tab/>
        <w:t>Given the late receipt of these submissions, our analysis is ongoing.</w:t>
      </w:r>
    </w:p>
  </w:footnote>
  <w:footnote w:id="62">
    <w:p w:rsidR="00666263" w:rsidRDefault="00666263" w:rsidP="001173DE">
      <w:pPr>
        <w:pStyle w:val="FootnoteText"/>
      </w:pPr>
      <w:r>
        <w:rPr>
          <w:rStyle w:val="FootnoteReference"/>
        </w:rPr>
        <w:footnoteRef/>
      </w:r>
      <w:r>
        <w:t xml:space="preserve"> </w:t>
      </w:r>
      <w:r>
        <w:tab/>
        <w:t xml:space="preserve">AER, </w:t>
      </w:r>
      <w:r>
        <w:rPr>
          <w:rStyle w:val="AERtextitalic"/>
        </w:rPr>
        <w:t>F</w:t>
      </w:r>
      <w:r w:rsidRPr="00A473C7">
        <w:rPr>
          <w:rStyle w:val="AERtextitalic"/>
        </w:rPr>
        <w:t>inal decision</w:t>
      </w:r>
      <w:r>
        <w:rPr>
          <w:rStyle w:val="AERtextitalic"/>
        </w:rPr>
        <w:t>:</w:t>
      </w:r>
      <w:r w:rsidRPr="00A473C7">
        <w:rPr>
          <w:rStyle w:val="AERtextitalic"/>
        </w:rPr>
        <w:t xml:space="preserve"> Framework and </w:t>
      </w:r>
      <w:r>
        <w:rPr>
          <w:rStyle w:val="AERtextitalic"/>
        </w:rPr>
        <w:t>a</w:t>
      </w:r>
      <w:r w:rsidRPr="00A473C7">
        <w:rPr>
          <w:rStyle w:val="AERtextitalic"/>
        </w:rPr>
        <w:t>pproach for Powerlin</w:t>
      </w:r>
      <w:r>
        <w:rPr>
          <w:rStyle w:val="AERtextitalic"/>
        </w:rPr>
        <w:t>k</w:t>
      </w:r>
      <w:r>
        <w:t>, June 2015, pp. 11–12.</w:t>
      </w:r>
    </w:p>
  </w:footnote>
  <w:footnote w:id="63">
    <w:p w:rsidR="00666263" w:rsidRDefault="00666263" w:rsidP="001173DE">
      <w:pPr>
        <w:pStyle w:val="FootnoteText"/>
      </w:pPr>
      <w:r>
        <w:rPr>
          <w:rStyle w:val="FootnoteReference"/>
        </w:rPr>
        <w:footnoteRef/>
      </w:r>
      <w:r>
        <w:t xml:space="preserve"> </w:t>
      </w:r>
      <w:r>
        <w:tab/>
      </w:r>
      <w:r w:rsidRPr="00BC2C2F">
        <w:t>Our ex post capex measures are set out in the capex incentives guideline, AER,</w:t>
      </w:r>
      <w:r w:rsidRPr="00A03DB4">
        <w:rPr>
          <w:rStyle w:val="AERtextitalic"/>
        </w:rPr>
        <w:t xml:space="preserve"> Capital expenditure incentive guideline for electricity network service providers</w:t>
      </w:r>
      <w:r w:rsidRPr="00BC2C2F">
        <w:t xml:space="preserve">, November 2013, pp. 13–19, 20–21. The guideline also sets out how all our capex incentive measures are consistent with the capex incentive objective. </w:t>
      </w:r>
      <w:r>
        <w:t xml:space="preserve"> </w:t>
      </w:r>
    </w:p>
  </w:footnote>
  <w:footnote w:id="64">
    <w:p w:rsidR="00666263" w:rsidRDefault="00666263" w:rsidP="00AF6FBB">
      <w:pPr>
        <w:pStyle w:val="FootnoteText"/>
      </w:pPr>
      <w:r>
        <w:rPr>
          <w:rStyle w:val="FootnoteReference"/>
        </w:rPr>
        <w:footnoteRef/>
      </w:r>
      <w:r>
        <w:t xml:space="preserve"> </w:t>
      </w:r>
      <w:r>
        <w:tab/>
        <w:t>The three CCP members with specific responsibility for responding to the Powerlink proposal were Jo De Silva, Hugh Grant and David Headberry.</w:t>
      </w:r>
    </w:p>
  </w:footnote>
  <w:footnote w:id="65">
    <w:p w:rsidR="00666263" w:rsidRDefault="00666263" w:rsidP="00AF6FBB">
      <w:pPr>
        <w:pStyle w:val="FootnoteText"/>
      </w:pPr>
      <w:r>
        <w:rPr>
          <w:rStyle w:val="FootnoteReference"/>
        </w:rPr>
        <w:footnoteRef/>
      </w:r>
      <w:r>
        <w:t xml:space="preserve"> </w:t>
      </w:r>
      <w:r>
        <w:tab/>
        <w:t xml:space="preserve">CCP (Hugh Grant), </w:t>
      </w:r>
      <w:r w:rsidRPr="003D454A">
        <w:rPr>
          <w:rStyle w:val="AERtextitalic"/>
        </w:rPr>
        <w:t>Preliminary perspectives, Powerlink's 2018–22 revenue proposal</w:t>
      </w:r>
      <w:r>
        <w:t>, 15 March 2016 (presentation slides).</w:t>
      </w:r>
    </w:p>
  </w:footnote>
  <w:footnote w:id="66">
    <w:p w:rsidR="00666263" w:rsidRDefault="00666263" w:rsidP="00AF6FBB">
      <w:pPr>
        <w:pStyle w:val="FootnoteText"/>
      </w:pPr>
      <w:r>
        <w:rPr>
          <w:rStyle w:val="FootnoteReference"/>
        </w:rPr>
        <w:footnoteRef/>
      </w:r>
      <w:r>
        <w:t xml:space="preserve"> </w:t>
      </w:r>
      <w:r>
        <w:tab/>
        <w:t xml:space="preserve">CCP (Jo De Silva), </w:t>
      </w:r>
      <w:r w:rsidRPr="003D454A">
        <w:rPr>
          <w:rStyle w:val="AERtextitalic"/>
        </w:rPr>
        <w:t>Submission to the Australian Energy Regulator on Powerlink's Regulatory Proposal 2017–22</w:t>
      </w:r>
      <w:r>
        <w:t>, 28 April 2016.</w:t>
      </w:r>
    </w:p>
  </w:footnote>
  <w:footnote w:id="67">
    <w:p w:rsidR="00666263" w:rsidRDefault="00666263" w:rsidP="00AF6FBB">
      <w:pPr>
        <w:pStyle w:val="FootnoteText"/>
      </w:pPr>
      <w:r>
        <w:rPr>
          <w:rStyle w:val="FootnoteReference"/>
        </w:rPr>
        <w:footnoteRef/>
      </w:r>
      <w:r>
        <w:t xml:space="preserve"> </w:t>
      </w:r>
      <w:r>
        <w:tab/>
        <w:t xml:space="preserve">CCP (Hugh Grant and David Headberry), </w:t>
      </w:r>
      <w:r w:rsidRPr="003D454A">
        <w:rPr>
          <w:rStyle w:val="AERtextitalic"/>
        </w:rPr>
        <w:t>Submission to the AER, Powerlink Queensland 2018–22 revenue proposal</w:t>
      </w:r>
      <w:r>
        <w:t>, 20 June 2016.</w:t>
      </w:r>
    </w:p>
  </w:footnote>
  <w:footnote w:id="68">
    <w:p w:rsidR="00666263" w:rsidRDefault="00666263" w:rsidP="00AF6FBB">
      <w:pPr>
        <w:pStyle w:val="FootnoteText"/>
      </w:pPr>
      <w:r>
        <w:rPr>
          <w:rStyle w:val="FootnoteReference"/>
        </w:rPr>
        <w:footnoteRef/>
      </w:r>
      <w:r>
        <w:t xml:space="preserve"> </w:t>
      </w:r>
      <w:r>
        <w:tab/>
        <w:t xml:space="preserve">CCP (Hugh Grant), </w:t>
      </w:r>
      <w:r w:rsidRPr="0040113F">
        <w:rPr>
          <w:rStyle w:val="Emphasis"/>
        </w:rPr>
        <w:t>Addressing the RAB/WACC disconnect issues within the current rules</w:t>
      </w:r>
      <w:r>
        <w:t xml:space="preserve">, 18 July 2016; and CCP (Hugh Grant), </w:t>
      </w:r>
      <w:r w:rsidRPr="003D454A">
        <w:rPr>
          <w:rStyle w:val="AERtextitalic"/>
        </w:rPr>
        <w:t>The methodology for the comparison of the electricity networks' return on equity with the returns of ASX 50 companies—in the context of the Powerlink/Telstra comparison</w:t>
      </w:r>
      <w:r>
        <w:t>, 26 July 2016.</w:t>
      </w:r>
    </w:p>
  </w:footnote>
  <w:footnote w:id="69">
    <w:p w:rsidR="00666263" w:rsidRDefault="00666263" w:rsidP="00AF6FBB">
      <w:pPr>
        <w:pStyle w:val="FootnoteText"/>
      </w:pPr>
      <w:r>
        <w:rPr>
          <w:rStyle w:val="FootnoteReference"/>
        </w:rPr>
        <w:footnoteRef/>
      </w:r>
      <w:r>
        <w:t xml:space="preserve"> </w:t>
      </w:r>
      <w:r>
        <w:tab/>
        <w:t xml:space="preserve">ResponseAbility (Hugh Grant, Executive Director), </w:t>
      </w:r>
      <w:r w:rsidRPr="00FF37C6">
        <w:rPr>
          <w:rStyle w:val="Emphasis"/>
        </w:rPr>
        <w:t>Assets or liabilities?, The need to apply fair regulatory values to Australia's electricity networks</w:t>
      </w:r>
      <w:r>
        <w:t>, 5 May 2016.</w:t>
      </w:r>
    </w:p>
  </w:footnote>
  <w:footnote w:id="70">
    <w:p w:rsidR="00666263" w:rsidRDefault="00666263" w:rsidP="00AF6FBB">
      <w:pPr>
        <w:pStyle w:val="FootnoteText"/>
      </w:pPr>
      <w:r>
        <w:rPr>
          <w:rStyle w:val="FootnoteReference"/>
        </w:rPr>
        <w:footnoteRef/>
      </w:r>
      <w:r>
        <w:t xml:space="preserve"> </w:t>
      </w:r>
      <w:r>
        <w:tab/>
        <w:t>CCP comments that are not directly related to these core capital issues are addressed in the relevant areas of our draft decision attachments.</w:t>
      </w:r>
    </w:p>
  </w:footnote>
  <w:footnote w:id="71">
    <w:p w:rsidR="00666263" w:rsidRDefault="00666263" w:rsidP="00AF6FBB">
      <w:pPr>
        <w:pStyle w:val="FootnoteText"/>
      </w:pPr>
      <w:r>
        <w:rPr>
          <w:rStyle w:val="FootnoteReference"/>
        </w:rPr>
        <w:footnoteRef/>
      </w:r>
      <w:r>
        <w:t xml:space="preserve"> </w:t>
      </w:r>
      <w:r>
        <w:tab/>
        <w:t xml:space="preserve">CCP (Hugh Grant and David Headberry), </w:t>
      </w:r>
      <w:r w:rsidRPr="003D454A">
        <w:rPr>
          <w:rStyle w:val="AERtextitalic"/>
        </w:rPr>
        <w:t>Submission to the AER, Powerlink Queensland 2018–22 revenue proposal</w:t>
      </w:r>
      <w:r>
        <w:t>, 20 June 2016. p. 3.</w:t>
      </w:r>
    </w:p>
  </w:footnote>
  <w:footnote w:id="72">
    <w:p w:rsidR="00666263" w:rsidRDefault="00666263" w:rsidP="00AF6FBB">
      <w:pPr>
        <w:pStyle w:val="FootnoteText"/>
      </w:pPr>
      <w:r>
        <w:rPr>
          <w:rStyle w:val="FootnoteReference"/>
        </w:rPr>
        <w:footnoteRef/>
      </w:r>
      <w:r>
        <w:t xml:space="preserve"> </w:t>
      </w:r>
      <w:r>
        <w:tab/>
        <w:t xml:space="preserve">For background on the NPV=0 principle and why it is important for meeting the rate of return objective and NEO, see Graham Partington and Stephen Satchell, </w:t>
      </w:r>
      <w:r w:rsidRPr="004617A1">
        <w:rPr>
          <w:rStyle w:val="Emphasis"/>
        </w:rPr>
        <w:t>Report to the AER: Discussion on the allowed cost of debt</w:t>
      </w:r>
      <w:r>
        <w:t>, 5 May 2016, p. 14.</w:t>
      </w:r>
    </w:p>
  </w:footnote>
  <w:footnote w:id="73">
    <w:p w:rsidR="00666263" w:rsidRDefault="00666263" w:rsidP="00AF6FBB">
      <w:pPr>
        <w:pStyle w:val="FootnoteText"/>
      </w:pPr>
      <w:r>
        <w:rPr>
          <w:rStyle w:val="FootnoteReference"/>
        </w:rPr>
        <w:footnoteRef/>
      </w:r>
      <w:r>
        <w:t xml:space="preserve"> </w:t>
      </w:r>
      <w:r>
        <w:tab/>
        <w:t>NER cl. 6A.5.4(b)(1) and 6A.6.1(e)(3).</w:t>
      </w:r>
    </w:p>
  </w:footnote>
  <w:footnote w:id="74">
    <w:p w:rsidR="00666263" w:rsidRDefault="00666263" w:rsidP="00AF6FBB">
      <w:pPr>
        <w:pStyle w:val="FootnoteText"/>
      </w:pPr>
      <w:r>
        <w:rPr>
          <w:rStyle w:val="FootnoteReference"/>
        </w:rPr>
        <w:footnoteRef/>
      </w:r>
      <w:r>
        <w:t xml:space="preserve"> </w:t>
      </w:r>
      <w:r>
        <w:tab/>
        <w:t>This is because a dollar today, if it is not spent, can be invested and generate a return. If we assume the WACC is 10 per cent, as per this example, a $1 investment today is worth $1.10 next year. Holding other things constant, this means that investors are indifferent between $1 today and $1.10 tomorrow. When comparing two streams of cash flows, it is necessary to account for this difference.</w:t>
      </w:r>
    </w:p>
  </w:footnote>
  <w:footnote w:id="75">
    <w:p w:rsidR="00666263" w:rsidRDefault="00666263" w:rsidP="00AF6FBB">
      <w:pPr>
        <w:pStyle w:val="FootnoteText"/>
      </w:pPr>
      <w:r>
        <w:rPr>
          <w:rStyle w:val="FootnoteReference"/>
        </w:rPr>
        <w:footnoteRef/>
      </w:r>
      <w:r>
        <w:t xml:space="preserve"> </w:t>
      </w:r>
      <w:r>
        <w:tab/>
        <w:t xml:space="preserve">CCP (Hugh Grant and David Headberry), </w:t>
      </w:r>
      <w:r w:rsidRPr="003D454A">
        <w:rPr>
          <w:rStyle w:val="AERtextitalic"/>
        </w:rPr>
        <w:t>Submission to the AER, Powerlink Queensland 2018–22 revenue proposal</w:t>
      </w:r>
      <w:r>
        <w:t xml:space="preserve">, 20 June 2016; and CCP (Hugh Grant), </w:t>
      </w:r>
      <w:r w:rsidRPr="003D454A">
        <w:rPr>
          <w:rStyle w:val="AERtextitalic"/>
        </w:rPr>
        <w:t>The methodology for the comparison of the electricity networks' return on equity with the returns of ASX 50 companies—in the context of the Powerlink/Telstra comparison</w:t>
      </w:r>
      <w:r>
        <w:t>, 26 July 2016.</w:t>
      </w:r>
    </w:p>
  </w:footnote>
  <w:footnote w:id="76">
    <w:p w:rsidR="00666263" w:rsidRDefault="00666263" w:rsidP="00AF6FBB">
      <w:pPr>
        <w:pStyle w:val="FootnoteText"/>
      </w:pPr>
      <w:r>
        <w:rPr>
          <w:rStyle w:val="FootnoteReference"/>
        </w:rPr>
        <w:footnoteRef/>
      </w:r>
      <w:r>
        <w:t xml:space="preserve"> </w:t>
      </w:r>
      <w:r>
        <w:tab/>
        <w:t xml:space="preserve">Our approach to the return on equity is detailed in attachment 3. </w:t>
      </w:r>
    </w:p>
  </w:footnote>
  <w:footnote w:id="77">
    <w:p w:rsidR="00666263" w:rsidRDefault="00666263" w:rsidP="00AF6FBB">
      <w:pPr>
        <w:pStyle w:val="FootnoteText"/>
      </w:pPr>
      <w:r>
        <w:rPr>
          <w:rStyle w:val="FootnoteReference"/>
        </w:rPr>
        <w:footnoteRef/>
      </w:r>
      <w:r>
        <w:t xml:space="preserve"> </w:t>
      </w:r>
      <w:r>
        <w:tab/>
        <w:t>To expand, this is because a higher proportion of the rate of return is made up by relatively cheaper debt when compared against other companies at the same credit rating.</w:t>
      </w:r>
    </w:p>
  </w:footnote>
  <w:footnote w:id="78">
    <w:p w:rsidR="00666263" w:rsidRDefault="00666263" w:rsidP="00AF6FBB">
      <w:pPr>
        <w:pStyle w:val="FootnoteText"/>
      </w:pPr>
      <w:r>
        <w:rPr>
          <w:rStyle w:val="FootnoteReference"/>
        </w:rPr>
        <w:footnoteRef/>
      </w:r>
      <w:r>
        <w:t xml:space="preserve"> </w:t>
      </w:r>
      <w:r>
        <w:tab/>
      </w:r>
      <w:r w:rsidRPr="00D313E4">
        <w:t xml:space="preserve">Australia Ratings, </w:t>
      </w:r>
      <w:r w:rsidRPr="00D313E4">
        <w:rPr>
          <w:rStyle w:val="AERtextitalic"/>
        </w:rPr>
        <w:t>Assessment of implied credit ratings arising from the Australian Energy Regulator's draft decision on access arrangements for APA GasNet Australia (Operations) Pty Ltd for 2013–17</w:t>
      </w:r>
      <w:r w:rsidRPr="00D313E4">
        <w:t>, November 2012, p.</w:t>
      </w:r>
      <w:r>
        <w:t> </w:t>
      </w:r>
      <w:r w:rsidRPr="00D313E4">
        <w:t>21.</w:t>
      </w:r>
    </w:p>
  </w:footnote>
  <w:footnote w:id="79">
    <w:p w:rsidR="00666263" w:rsidRDefault="00666263" w:rsidP="00AF6FBB">
      <w:pPr>
        <w:pStyle w:val="FootnoteText"/>
      </w:pPr>
      <w:r>
        <w:rPr>
          <w:rStyle w:val="FootnoteReference"/>
        </w:rPr>
        <w:footnoteRef/>
      </w:r>
      <w:r>
        <w:t xml:space="preserve"> </w:t>
      </w:r>
      <w:r>
        <w:tab/>
        <w:t xml:space="preserve">CCP (Hugh Grant and David Headberry), </w:t>
      </w:r>
      <w:r w:rsidRPr="003D454A">
        <w:rPr>
          <w:rStyle w:val="AERtextitalic"/>
        </w:rPr>
        <w:t>Submission to the AER, Powerlink Queensland 2018–22 revenue proposal</w:t>
      </w:r>
      <w:r>
        <w:t>, 20 June 2016, pp. 36–37.</w:t>
      </w:r>
    </w:p>
  </w:footnote>
  <w:footnote w:id="80">
    <w:p w:rsidR="00666263" w:rsidRDefault="00666263" w:rsidP="00AF6FBB">
      <w:pPr>
        <w:pStyle w:val="FootnoteText"/>
      </w:pPr>
      <w:r>
        <w:rPr>
          <w:rStyle w:val="FootnoteReference"/>
        </w:rPr>
        <w:footnoteRef/>
      </w:r>
      <w:r>
        <w:t xml:space="preserve"> </w:t>
      </w:r>
      <w:r>
        <w:tab/>
        <w:t>Specifically, Alinta, AGL, APA Group, Diversified Utility and Energy Trusts (DUET), Envestra Ltd, GasNet, Hasting Diversified Funds, SP AusNet and Spark Infrastructure.</w:t>
      </w:r>
    </w:p>
  </w:footnote>
  <w:footnote w:id="81">
    <w:p w:rsidR="00666263" w:rsidRDefault="00666263" w:rsidP="00AF6FBB">
      <w:pPr>
        <w:pStyle w:val="FootnoteText"/>
      </w:pPr>
      <w:r>
        <w:rPr>
          <w:rStyle w:val="FootnoteReference"/>
        </w:rPr>
        <w:footnoteRef/>
      </w:r>
      <w:r>
        <w:t xml:space="preserve"> </w:t>
      </w:r>
      <w:r>
        <w:tab/>
        <w:t>Specifically, we estimate benchmark gearing as 1 – market value of equity/(market value of equity + book value of debt). Ideally we would also use the market value of debt, but since this information is not observable we use the book value of debt as a proxy.</w:t>
      </w:r>
    </w:p>
  </w:footnote>
  <w:footnote w:id="82">
    <w:p w:rsidR="00666263" w:rsidRDefault="00666263" w:rsidP="00AF6FBB">
      <w:pPr>
        <w:pStyle w:val="FootnoteText"/>
      </w:pPr>
      <w:r>
        <w:rPr>
          <w:rStyle w:val="FootnoteReference"/>
        </w:rPr>
        <w:footnoteRef/>
      </w:r>
      <w:r>
        <w:t xml:space="preserve"> </w:t>
      </w:r>
      <w:r>
        <w:tab/>
        <w:t xml:space="preserve">CCP (Hugh Grant), </w:t>
      </w:r>
      <w:r>
        <w:rPr>
          <w:rStyle w:val="AERtextitalic"/>
        </w:rPr>
        <w:t>Addressing the RAB/WACC disconnect issues within the current rules</w:t>
      </w:r>
      <w:r>
        <w:t>, 18 July 2016, p. 3.</w:t>
      </w:r>
    </w:p>
  </w:footnote>
  <w:footnote w:id="83">
    <w:p w:rsidR="00666263" w:rsidRDefault="00666263" w:rsidP="00AF6FBB">
      <w:pPr>
        <w:pStyle w:val="FootnoteText"/>
      </w:pPr>
      <w:r>
        <w:rPr>
          <w:rStyle w:val="FootnoteReference"/>
        </w:rPr>
        <w:footnoteRef/>
      </w:r>
      <w:r>
        <w:t xml:space="preserve"> </w:t>
      </w:r>
      <w:r>
        <w:tab/>
        <w:t xml:space="preserve">We have had limited time to review the CCP members' calculations underlying the estimate of Powerlink's actual gearing because this submission was provided late. CCP (Hugh Grant and David Headberry), </w:t>
      </w:r>
      <w:r w:rsidRPr="003D454A">
        <w:rPr>
          <w:rStyle w:val="AERtextitalic"/>
        </w:rPr>
        <w:t>Submission to the AER, Powerlink Queensland 2018–22 revenue proposal</w:t>
      </w:r>
      <w:r>
        <w:t>, 20 June 2016, pp. 36–37.</w:t>
      </w:r>
    </w:p>
  </w:footnote>
  <w:footnote w:id="84">
    <w:p w:rsidR="00666263" w:rsidRDefault="00666263" w:rsidP="00AF6FBB">
      <w:pPr>
        <w:pStyle w:val="FootnoteText"/>
      </w:pPr>
      <w:r>
        <w:rPr>
          <w:rStyle w:val="FootnoteReference"/>
        </w:rPr>
        <w:footnoteRef/>
      </w:r>
      <w:r>
        <w:t xml:space="preserve"> </w:t>
      </w:r>
      <w:r>
        <w:tab/>
      </w:r>
      <w:r w:rsidRPr="004C20E3">
        <w:t xml:space="preserve">AEMC, </w:t>
      </w:r>
      <w:r w:rsidRPr="00E735DF">
        <w:rPr>
          <w:rStyle w:val="AERtextitalic"/>
        </w:rPr>
        <w:t>Final rule change determination</w:t>
      </w:r>
      <w:r w:rsidRPr="004C20E3">
        <w:t>, November 2012, p. 72.</w:t>
      </w:r>
    </w:p>
  </w:footnote>
  <w:footnote w:id="85">
    <w:p w:rsidR="00666263" w:rsidRDefault="00666263" w:rsidP="00AF6FBB">
      <w:pPr>
        <w:pStyle w:val="FootnoteText"/>
      </w:pPr>
      <w:r>
        <w:rPr>
          <w:rStyle w:val="FootnoteReference"/>
        </w:rPr>
        <w:footnoteRef/>
      </w:r>
      <w:r>
        <w:t xml:space="preserve"> </w:t>
      </w:r>
      <w:r>
        <w:tab/>
        <w:t xml:space="preserve">CCP (Hugh Grant and David Headberry), </w:t>
      </w:r>
      <w:r w:rsidRPr="00E735DF">
        <w:rPr>
          <w:rStyle w:val="AERtextitalic"/>
        </w:rPr>
        <w:t>Submission to the AER</w:t>
      </w:r>
      <w:r>
        <w:rPr>
          <w:rStyle w:val="AERtextitalic"/>
        </w:rPr>
        <w:t>,</w:t>
      </w:r>
      <w:r w:rsidRPr="00E735DF">
        <w:rPr>
          <w:rStyle w:val="AERtextitalic"/>
        </w:rPr>
        <w:t xml:space="preserve"> Powerlink Queensland 2018–22 revenue proposal</w:t>
      </w:r>
      <w:r>
        <w:t>, 20 June 2016, p. 3.</w:t>
      </w:r>
    </w:p>
  </w:footnote>
  <w:footnote w:id="86">
    <w:p w:rsidR="00666263" w:rsidRDefault="00666263" w:rsidP="00AF6FBB">
      <w:pPr>
        <w:pStyle w:val="FootnoteText"/>
      </w:pPr>
      <w:r>
        <w:rPr>
          <w:rStyle w:val="FootnoteReference"/>
        </w:rPr>
        <w:footnoteRef/>
      </w:r>
      <w:r>
        <w:t xml:space="preserve"> </w:t>
      </w:r>
      <w:r>
        <w:tab/>
        <w:t>T</w:t>
      </w:r>
      <w:r w:rsidRPr="00B06CAD">
        <w:t>he PTRM</w:t>
      </w:r>
      <w:r>
        <w:t xml:space="preserve"> distinguishes</w:t>
      </w:r>
      <w:r w:rsidRPr="00B06CAD">
        <w:t xml:space="preserve"> between straight-line depreciation and regulatory depreciation</w:t>
      </w:r>
      <w:r>
        <w:t>,</w:t>
      </w:r>
      <w:r w:rsidRPr="00B06CAD">
        <w:t xml:space="preserve"> </w:t>
      </w:r>
      <w:r>
        <w:t>t</w:t>
      </w:r>
      <w:r w:rsidRPr="00B06CAD">
        <w:t>he difference being</w:t>
      </w:r>
      <w:r>
        <w:t xml:space="preserve"> </w:t>
      </w:r>
      <w:r w:rsidRPr="00B06CAD">
        <w:t>that regulatory depreciation is the straight-line depreciation minus the indexation adjustment.</w:t>
      </w:r>
    </w:p>
  </w:footnote>
  <w:footnote w:id="87">
    <w:p w:rsidR="00666263" w:rsidRDefault="00666263" w:rsidP="00AF6FBB">
      <w:pPr>
        <w:pStyle w:val="FootnoteText"/>
      </w:pPr>
      <w:r>
        <w:rPr>
          <w:rStyle w:val="FootnoteReference"/>
        </w:rPr>
        <w:footnoteRef/>
      </w:r>
      <w:r>
        <w:t xml:space="preserve"> </w:t>
      </w:r>
      <w:r>
        <w:tab/>
        <w:t xml:space="preserve">This is generally the case because the reduction in the RAB amount feeds into the higher depreciation building block, whereas the reduced return on capital building block is proportionate to the lower RAB multiplied by the WACC. </w:t>
      </w:r>
    </w:p>
  </w:footnote>
  <w:footnote w:id="88">
    <w:p w:rsidR="00666263" w:rsidRDefault="00666263" w:rsidP="00AF6FBB">
      <w:pPr>
        <w:pStyle w:val="FootnoteText"/>
      </w:pPr>
      <w:r>
        <w:rPr>
          <w:rStyle w:val="FootnoteReference"/>
        </w:rPr>
        <w:footnoteRef/>
      </w:r>
      <w:r>
        <w:t xml:space="preserve"> </w:t>
      </w:r>
      <w:r>
        <w:tab/>
      </w:r>
      <w:r w:rsidRPr="00D475D3">
        <w:t>NER, cl</w:t>
      </w:r>
      <w:r>
        <w:t>l</w:t>
      </w:r>
      <w:r w:rsidRPr="00D475D3">
        <w:t>.</w:t>
      </w:r>
      <w:r>
        <w:t>6A.5.4(b)(1) and</w:t>
      </w:r>
      <w:r w:rsidRPr="00D475D3">
        <w:t xml:space="preserve"> 6A.6.1(e)(3).</w:t>
      </w:r>
    </w:p>
  </w:footnote>
  <w:footnote w:id="89">
    <w:p w:rsidR="00666263" w:rsidRDefault="00666263" w:rsidP="00AF6FBB">
      <w:pPr>
        <w:pStyle w:val="FootnoteText"/>
      </w:pPr>
      <w:r>
        <w:rPr>
          <w:rStyle w:val="FootnoteReference"/>
        </w:rPr>
        <w:footnoteRef/>
      </w:r>
      <w:r>
        <w:t xml:space="preserve"> </w:t>
      </w:r>
      <w:r>
        <w:tab/>
        <w:t>NER, cll. 6A.6.2(a) and 6A.6.2(d)(2).</w:t>
      </w:r>
    </w:p>
  </w:footnote>
  <w:footnote w:id="90">
    <w:p w:rsidR="00666263" w:rsidRDefault="00666263" w:rsidP="00AF6FBB">
      <w:pPr>
        <w:pStyle w:val="FootnoteText"/>
      </w:pPr>
      <w:r>
        <w:rPr>
          <w:rStyle w:val="FootnoteReference"/>
        </w:rPr>
        <w:footnoteRef/>
      </w:r>
      <w:r>
        <w:t xml:space="preserve"> </w:t>
      </w:r>
      <w:r>
        <w:tab/>
        <w:t>NER, cl. 6A.5.4(b)(1)(ii).</w:t>
      </w:r>
    </w:p>
  </w:footnote>
  <w:footnote w:id="91">
    <w:p w:rsidR="00666263" w:rsidRDefault="00666263" w:rsidP="00AF6FBB">
      <w:pPr>
        <w:pStyle w:val="FootnoteText"/>
      </w:pPr>
      <w:r>
        <w:rPr>
          <w:rStyle w:val="FootnoteReference"/>
        </w:rPr>
        <w:footnoteRef/>
      </w:r>
      <w:r>
        <w:t xml:space="preserve"> </w:t>
      </w:r>
      <w:r>
        <w:tab/>
      </w:r>
      <w:r w:rsidRPr="00B06CAD">
        <w:t xml:space="preserve">If the asset lives are extremely long, such that the </w:t>
      </w:r>
      <w:r>
        <w:t>RAB</w:t>
      </w:r>
      <w:r w:rsidRPr="00B06CAD">
        <w:t xml:space="preserve"> depreciation rate is lower than the inflation rate, then</w:t>
      </w:r>
      <w:r>
        <w:t xml:space="preserve"> </w:t>
      </w:r>
      <w:r w:rsidRPr="00B06CAD">
        <w:t xml:space="preserve">negative regulatory depreciation can emerge. The indexation adjustment is greater than the </w:t>
      </w:r>
      <w:r>
        <w:t>RAB</w:t>
      </w:r>
      <w:r w:rsidRPr="00B06CAD">
        <w:t xml:space="preserve"> depreciation in</w:t>
      </w:r>
      <w:r>
        <w:t xml:space="preserve"> </w:t>
      </w:r>
      <w:r w:rsidRPr="00B06CAD">
        <w:t>such circumstances</w:t>
      </w:r>
    </w:p>
  </w:footnote>
  <w:footnote w:id="92">
    <w:p w:rsidR="00666263" w:rsidRDefault="00666263" w:rsidP="00AF6FBB">
      <w:pPr>
        <w:pStyle w:val="FootnoteText"/>
      </w:pPr>
      <w:r>
        <w:rPr>
          <w:rStyle w:val="FootnoteReference"/>
        </w:rPr>
        <w:footnoteRef/>
      </w:r>
      <w:r>
        <w:t xml:space="preserve"> </w:t>
      </w:r>
      <w:r>
        <w:tab/>
        <w:t>A change of approach from an indexed RAB to an un-indexed RAB would result in an initial step change increase in revenues to preserve NPV neutrality.</w:t>
      </w:r>
    </w:p>
  </w:footnote>
  <w:footnote w:id="93">
    <w:p w:rsidR="00666263" w:rsidRDefault="00666263" w:rsidP="00AF6FBB">
      <w:pPr>
        <w:pStyle w:val="FootnoteText"/>
      </w:pPr>
      <w:r>
        <w:rPr>
          <w:rStyle w:val="FootnoteReference"/>
        </w:rPr>
        <w:footnoteRef/>
      </w:r>
      <w:r>
        <w:t xml:space="preserve"> </w:t>
      </w:r>
      <w:r>
        <w:tab/>
        <w:t xml:space="preserve">CCP (Hugh Grant and David Headberry), </w:t>
      </w:r>
      <w:r w:rsidRPr="00C56491">
        <w:rPr>
          <w:rStyle w:val="AERtextitalic"/>
        </w:rPr>
        <w:t>Submission to the AER</w:t>
      </w:r>
      <w:r>
        <w:rPr>
          <w:rStyle w:val="AERtextitalic"/>
        </w:rPr>
        <w:t>, Powerlink Queensland 2018–22 revenue p</w:t>
      </w:r>
      <w:r w:rsidRPr="00C56491">
        <w:rPr>
          <w:rStyle w:val="AERtextitalic"/>
        </w:rPr>
        <w:t>roposal</w:t>
      </w:r>
      <w:r>
        <w:t>, 20 </w:t>
      </w:r>
      <w:r w:rsidRPr="00C56491">
        <w:t>June</w:t>
      </w:r>
      <w:r>
        <w:t xml:space="preserve"> </w:t>
      </w:r>
      <w:r w:rsidRPr="00C56491">
        <w:t>2016</w:t>
      </w:r>
      <w:r>
        <w:t xml:space="preserve">, p. 38. </w:t>
      </w:r>
    </w:p>
  </w:footnote>
  <w:footnote w:id="94">
    <w:p w:rsidR="00666263" w:rsidRDefault="00666263" w:rsidP="00AF6FBB">
      <w:pPr>
        <w:pStyle w:val="FootnoteText"/>
      </w:pPr>
      <w:r>
        <w:rPr>
          <w:rStyle w:val="FootnoteReference"/>
        </w:rPr>
        <w:footnoteRef/>
      </w:r>
      <w:r>
        <w:t xml:space="preserve"> </w:t>
      </w:r>
      <w:r>
        <w:tab/>
        <w:t xml:space="preserve">CCP (Hugh Grant and David Headberry), </w:t>
      </w:r>
      <w:r w:rsidRPr="00C56491">
        <w:rPr>
          <w:rStyle w:val="AERtextitalic"/>
        </w:rPr>
        <w:t>Submission to the AER</w:t>
      </w:r>
      <w:r>
        <w:rPr>
          <w:rStyle w:val="AERtextitalic"/>
        </w:rPr>
        <w:t>, Powerlink Queensland 2018–22 r</w:t>
      </w:r>
      <w:r w:rsidRPr="00C56491">
        <w:rPr>
          <w:rStyle w:val="AERtextitalic"/>
        </w:rPr>
        <w:t xml:space="preserve">evenue </w:t>
      </w:r>
      <w:r>
        <w:rPr>
          <w:rStyle w:val="AERtextitalic"/>
        </w:rPr>
        <w:t>p</w:t>
      </w:r>
      <w:r w:rsidRPr="00C56491">
        <w:rPr>
          <w:rStyle w:val="AERtextitalic"/>
        </w:rPr>
        <w:t>roposal</w:t>
      </w:r>
      <w:r>
        <w:t>, 20 </w:t>
      </w:r>
      <w:r w:rsidRPr="00C56491">
        <w:t>June</w:t>
      </w:r>
      <w:r>
        <w:t xml:space="preserve"> </w:t>
      </w:r>
      <w:r w:rsidRPr="00C56491">
        <w:t>2016</w:t>
      </w:r>
      <w:r>
        <w:t>, p. 41.</w:t>
      </w:r>
    </w:p>
  </w:footnote>
  <w:footnote w:id="95">
    <w:p w:rsidR="00666263" w:rsidRDefault="00666263" w:rsidP="00AF6FBB">
      <w:pPr>
        <w:pStyle w:val="FootnoteText"/>
      </w:pPr>
      <w:r>
        <w:rPr>
          <w:rStyle w:val="FootnoteReference"/>
        </w:rPr>
        <w:footnoteRef/>
      </w:r>
      <w:r>
        <w:t xml:space="preserve"> </w:t>
      </w:r>
      <w:r>
        <w:tab/>
        <w:t xml:space="preserve">Given the late receipt of these submissions, our analysis is ongoing. CCP (Hugh Grant and David Headberry), </w:t>
      </w:r>
      <w:r w:rsidRPr="00C56491">
        <w:rPr>
          <w:rStyle w:val="AERtextitalic"/>
        </w:rPr>
        <w:t>Submission to the AER</w:t>
      </w:r>
      <w:r>
        <w:rPr>
          <w:rStyle w:val="AERtextitalic"/>
        </w:rPr>
        <w:t>,</w:t>
      </w:r>
      <w:r w:rsidRPr="00C56491">
        <w:rPr>
          <w:rStyle w:val="AERtextitalic"/>
        </w:rPr>
        <w:t xml:space="preserve"> Powe</w:t>
      </w:r>
      <w:r>
        <w:rPr>
          <w:rStyle w:val="AERtextitalic"/>
        </w:rPr>
        <w:t>rlink Queensland 2018–22 r</w:t>
      </w:r>
      <w:r w:rsidRPr="00C56491">
        <w:rPr>
          <w:rStyle w:val="AERtextitalic"/>
        </w:rPr>
        <w:t xml:space="preserve">evenue </w:t>
      </w:r>
      <w:r>
        <w:rPr>
          <w:rStyle w:val="AERtextitalic"/>
        </w:rPr>
        <w:t>p</w:t>
      </w:r>
      <w:r w:rsidRPr="00C56491">
        <w:rPr>
          <w:rStyle w:val="AERtextitalic"/>
        </w:rPr>
        <w:t>roposal</w:t>
      </w:r>
      <w:r>
        <w:t>, 20 </w:t>
      </w:r>
      <w:r w:rsidRPr="00C56491">
        <w:t>June</w:t>
      </w:r>
      <w:r>
        <w:t xml:space="preserve"> </w:t>
      </w:r>
      <w:r w:rsidRPr="00C56491">
        <w:t>2016</w:t>
      </w:r>
      <w:r>
        <w:t xml:space="preserve">, pp 31–47; and CCP (Hugh Grant), </w:t>
      </w:r>
      <w:r w:rsidRPr="003D454A">
        <w:rPr>
          <w:rStyle w:val="AERtextitalic"/>
        </w:rPr>
        <w:t>The methodology for the comparison of the electricity networks' return on equity with the returns of ASX 50 companies—in the context of the Powerlink/Telstra comparison</w:t>
      </w:r>
      <w:r>
        <w:t>, 26 July 2016.</w:t>
      </w:r>
    </w:p>
  </w:footnote>
  <w:footnote w:id="96">
    <w:p w:rsidR="00666263" w:rsidRDefault="00666263" w:rsidP="00AF6FBB">
      <w:pPr>
        <w:pStyle w:val="FootnoteText"/>
      </w:pPr>
      <w:r>
        <w:rPr>
          <w:rStyle w:val="FootnoteReference"/>
        </w:rPr>
        <w:footnoteRef/>
      </w:r>
      <w:r>
        <w:t xml:space="preserve"> </w:t>
      </w:r>
      <w:r>
        <w:tab/>
        <w:t>However, as we explain below, such an analysis needs to be carefully interpreted with due regard to</w:t>
      </w:r>
      <w:r w:rsidR="00F96B02">
        <w:t xml:space="preserve"> the</w:t>
      </w:r>
      <w:r>
        <w:t xml:space="preserve"> framework for incentive regulation, the characteristics of the regulated benchmark, and any differences between the available data and this benchmark.</w:t>
      </w:r>
    </w:p>
  </w:footnote>
  <w:footnote w:id="97">
    <w:p w:rsidR="00666263" w:rsidRDefault="00666263" w:rsidP="00AF6FBB">
      <w:pPr>
        <w:pStyle w:val="FootnoteText"/>
      </w:pPr>
      <w:r>
        <w:rPr>
          <w:rStyle w:val="FootnoteReference"/>
        </w:rPr>
        <w:footnoteRef/>
      </w:r>
      <w:r>
        <w:t xml:space="preserve"> </w:t>
      </w:r>
      <w:r>
        <w:tab/>
        <w:t>The CCP members submit</w:t>
      </w:r>
      <w:r w:rsidR="00F96B02">
        <w:t>ted</w:t>
      </w:r>
      <w:r>
        <w:t xml:space="preserve"> that, based on an 'optimised' RAB, Powerlink has gearing around 84 per cent, above the benchmark 60 per cent gearing. CCP (Hugh Grant and David Headberry), </w:t>
      </w:r>
      <w:r w:rsidRPr="00C56491">
        <w:rPr>
          <w:rStyle w:val="AERtextitalic"/>
        </w:rPr>
        <w:t>Submission to the AER</w:t>
      </w:r>
      <w:r>
        <w:rPr>
          <w:rStyle w:val="AERtextitalic"/>
        </w:rPr>
        <w:t>,</w:t>
      </w:r>
      <w:r w:rsidRPr="00C56491">
        <w:rPr>
          <w:rStyle w:val="AERtextitalic"/>
        </w:rPr>
        <w:t xml:space="preserve"> Powe</w:t>
      </w:r>
      <w:r>
        <w:rPr>
          <w:rStyle w:val="AERtextitalic"/>
        </w:rPr>
        <w:t>rlink Queensland 2018–22 r</w:t>
      </w:r>
      <w:r w:rsidRPr="00C56491">
        <w:rPr>
          <w:rStyle w:val="AERtextitalic"/>
        </w:rPr>
        <w:t xml:space="preserve">evenue </w:t>
      </w:r>
      <w:r>
        <w:rPr>
          <w:rStyle w:val="AERtextitalic"/>
        </w:rPr>
        <w:t>p</w:t>
      </w:r>
      <w:r w:rsidRPr="00C56491">
        <w:rPr>
          <w:rStyle w:val="AERtextitalic"/>
        </w:rPr>
        <w:t>roposal</w:t>
      </w:r>
      <w:r>
        <w:t>, 20 </w:t>
      </w:r>
      <w:r w:rsidRPr="00C56491">
        <w:t>June</w:t>
      </w:r>
      <w:r>
        <w:t xml:space="preserve"> </w:t>
      </w:r>
      <w:r w:rsidRPr="00C56491">
        <w:t>2016</w:t>
      </w:r>
      <w:r>
        <w:t>, p. 36.</w:t>
      </w:r>
    </w:p>
  </w:footnote>
  <w:footnote w:id="98">
    <w:p w:rsidR="00666263" w:rsidRDefault="00666263" w:rsidP="00AF6FBB">
      <w:pPr>
        <w:pStyle w:val="FootnoteText"/>
      </w:pPr>
      <w:r>
        <w:rPr>
          <w:rStyle w:val="FootnoteReference"/>
        </w:rPr>
        <w:footnoteRef/>
      </w:r>
      <w:r>
        <w:t xml:space="preserve"> </w:t>
      </w:r>
      <w:r>
        <w:tab/>
        <w:t>For example, the CCP members included Powerlink's April 2013 special interim dividend  of $339.2 million ($nominal) even though it is a one-off event; and included unregulated revenue in the net profit after tax each year.</w:t>
      </w:r>
    </w:p>
  </w:footnote>
  <w:footnote w:id="99">
    <w:p w:rsidR="00666263" w:rsidRDefault="00666263" w:rsidP="00AF6FBB">
      <w:pPr>
        <w:pStyle w:val="FootnoteText"/>
      </w:pPr>
      <w:r>
        <w:rPr>
          <w:rStyle w:val="FootnoteReference"/>
        </w:rPr>
        <w:footnoteRef/>
      </w:r>
      <w:r>
        <w:t xml:space="preserve"> </w:t>
      </w:r>
      <w:r>
        <w:tab/>
        <w:t>It is also necessary to adjust cash flows for the time value of money.</w:t>
      </w:r>
    </w:p>
  </w:footnote>
  <w:footnote w:id="100">
    <w:p w:rsidR="00666263" w:rsidRDefault="00666263" w:rsidP="00AF6FBB">
      <w:pPr>
        <w:pStyle w:val="FootnoteText"/>
      </w:pPr>
      <w:r>
        <w:rPr>
          <w:rStyle w:val="FootnoteReference"/>
        </w:rPr>
        <w:footnoteRef/>
      </w:r>
      <w:r>
        <w:t xml:space="preserve"> </w:t>
      </w:r>
      <w:r>
        <w:tab/>
        <w:t xml:space="preserve">Older data may be difficult to obtain  because there was no separate reporting of state government investment in the electricity networks. Powerlink was established as a government owned corporation in January 1995, but only became an independent entity in 1997. Powerlink Queensland, </w:t>
      </w:r>
      <w:r w:rsidRPr="00E969FA">
        <w:rPr>
          <w:rStyle w:val="Emphasis"/>
        </w:rPr>
        <w:t>Working together,</w:t>
      </w:r>
      <w:r>
        <w:t xml:space="preserve"> </w:t>
      </w:r>
      <w:r>
        <w:rPr>
          <w:rStyle w:val="Emphasis"/>
        </w:rPr>
        <w:t>Annual report 04/05</w:t>
      </w:r>
      <w:r>
        <w:t>, 7 September 2005, p. 3.</w:t>
      </w:r>
    </w:p>
  </w:footnote>
  <w:footnote w:id="101">
    <w:p w:rsidR="00666263" w:rsidRDefault="00666263" w:rsidP="00AF6FBB">
      <w:pPr>
        <w:pStyle w:val="FootnoteText"/>
      </w:pPr>
      <w:r>
        <w:rPr>
          <w:rStyle w:val="FootnoteReference"/>
        </w:rPr>
        <w:footnoteRef/>
      </w:r>
      <w:r>
        <w:t xml:space="preserve"> </w:t>
      </w:r>
      <w:r>
        <w:tab/>
        <w:t>The earliest annual report on the Powerlink website is for 2001–02; this report contains figures for the previous financial year (2000–01).</w:t>
      </w:r>
    </w:p>
  </w:footnote>
  <w:footnote w:id="102">
    <w:p w:rsidR="00666263" w:rsidRDefault="00666263" w:rsidP="00AF6FBB">
      <w:pPr>
        <w:pStyle w:val="FootnoteText"/>
      </w:pPr>
      <w:r>
        <w:rPr>
          <w:rStyle w:val="FootnoteReference"/>
        </w:rPr>
        <w:footnoteRef/>
      </w:r>
      <w:r>
        <w:t xml:space="preserve"> </w:t>
      </w:r>
      <w:r>
        <w:tab/>
        <w:t xml:space="preserve">The CCP members value the initial equity at $427 million, comprised of $401 million in share capital and $26 million in retained earnings. CCP (Hugh Grant), </w:t>
      </w:r>
      <w:r w:rsidRPr="00763B68">
        <w:rPr>
          <w:rStyle w:val="Emphasis"/>
        </w:rPr>
        <w:t>The methodology for the comparisons of the Electricity Networks' return on equity with the returns of ASX 50 companies - in the context of the Powerlink/Telstra comparison</w:t>
      </w:r>
      <w:r>
        <w:t>, 26 July 2016, p. 1.</w:t>
      </w:r>
    </w:p>
  </w:footnote>
  <w:footnote w:id="103">
    <w:p w:rsidR="00666263" w:rsidRDefault="00666263" w:rsidP="00AF6FBB">
      <w:pPr>
        <w:pStyle w:val="FootnoteText"/>
      </w:pPr>
      <w:r>
        <w:rPr>
          <w:rStyle w:val="FootnoteReference"/>
        </w:rPr>
        <w:footnoteRef/>
      </w:r>
      <w:r>
        <w:t xml:space="preserve"> </w:t>
      </w:r>
      <w:r>
        <w:tab/>
        <w:t xml:space="preserve">Powerlink noted that its treatment of revaluation reserves was consistent with the relevant Australian Accounting Standards. Powerlink, </w:t>
      </w:r>
      <w:r w:rsidRPr="000B0F76">
        <w:rPr>
          <w:rStyle w:val="Emphasis"/>
        </w:rPr>
        <w:t>Letter re: Powerlink 2019–22 revenue proposal – AER public forum</w:t>
      </w:r>
      <w:r>
        <w:t>, 28 April 2016, p. 2</w:t>
      </w:r>
    </w:p>
  </w:footnote>
  <w:footnote w:id="104">
    <w:p w:rsidR="00666263" w:rsidRDefault="00666263" w:rsidP="00AF6FBB">
      <w:pPr>
        <w:pStyle w:val="FootnoteText"/>
      </w:pPr>
      <w:r>
        <w:rPr>
          <w:rStyle w:val="FootnoteReference"/>
        </w:rPr>
        <w:footnoteRef/>
      </w:r>
      <w:r>
        <w:t xml:space="preserve"> </w:t>
      </w:r>
      <w:r>
        <w:tab/>
        <w:t xml:space="preserve">Richard Brealey, Stewart Myers, Graham Partington and David Robinson, </w:t>
      </w:r>
      <w:r w:rsidRPr="00BE5209">
        <w:rPr>
          <w:rStyle w:val="Emphasis"/>
        </w:rPr>
        <w:t>Principles of Corporate Finance</w:t>
      </w:r>
      <w:r>
        <w:t xml:space="preserve">, 2007 (First Australian Edition), pp. 834–835, 846–848,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263" w:rsidRDefault="006662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2">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5">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7">
    <w:nsid w:val="5D652712"/>
    <w:multiLevelType w:val="hybridMultilevel"/>
    <w:tmpl w:val="372E2ED0"/>
    <w:lvl w:ilvl="0" w:tplc="0C090001">
      <w:start w:val="1"/>
      <w:numFmt w:val="bullet"/>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8">
    <w:nsid w:val="5ECE4384"/>
    <w:multiLevelType w:val="multilevel"/>
    <w:tmpl w:val="38B62B6E"/>
    <w:lvl w:ilvl="0">
      <w:start w:val="2"/>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0">
    <w:nsid w:val="676B3545"/>
    <w:multiLevelType w:val="hybridMultilevel"/>
    <w:tmpl w:val="8A50C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3">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4"/>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9"/>
  </w:num>
  <w:num w:numId="13">
    <w:abstractNumId w:val="19"/>
  </w:num>
  <w:num w:numId="14">
    <w:abstractNumId w:val="11"/>
  </w:num>
  <w:num w:numId="15">
    <w:abstractNumId w:val="14"/>
  </w:num>
  <w:num w:numId="16">
    <w:abstractNumId w:val="22"/>
  </w:num>
  <w:num w:numId="17">
    <w:abstractNumId w:val="10"/>
  </w:num>
  <w:num w:numId="18">
    <w:abstractNumId w:val="16"/>
  </w:num>
  <w:num w:numId="19">
    <w:abstractNumId w:val="23"/>
  </w:num>
  <w:num w:numId="20">
    <w:abstractNumId w:val="31"/>
  </w:num>
  <w:num w:numId="21">
    <w:abstractNumId w:val="26"/>
  </w:num>
  <w:num w:numId="22">
    <w:abstractNumId w:val="24"/>
  </w:num>
  <w:num w:numId="23">
    <w:abstractNumId w:val="17"/>
  </w:num>
  <w:num w:numId="24">
    <w:abstractNumId w:val="25"/>
  </w:num>
  <w:num w:numId="25">
    <w:abstractNumId w:val="28"/>
  </w:num>
  <w:num w:numId="26">
    <w:abstractNumId w:val="18"/>
  </w:num>
  <w:num w:numId="27">
    <w:abstractNumId w:val="15"/>
  </w:num>
  <w:num w:numId="28">
    <w:abstractNumId w:val="33"/>
  </w:num>
  <w:num w:numId="29">
    <w:abstractNumId w:val="20"/>
  </w:num>
  <w:num w:numId="30">
    <w:abstractNumId w:val="9"/>
  </w:num>
  <w:num w:numId="31">
    <w:abstractNumId w:val="32"/>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17"/>
    <w:lvlOverride w:ilvl="3">
      <w:lvl w:ilvl="3">
        <w:start w:val="1"/>
        <w:numFmt w:val="decimal"/>
        <w:lvlText w:val="%2.%3.%4"/>
        <w:lvlJc w:val="left"/>
        <w:pPr>
          <w:tabs>
            <w:tab w:val="num" w:pos="0"/>
          </w:tabs>
          <w:ind w:left="0" w:hanging="851"/>
        </w:pPr>
        <w:rPr>
          <w:rFonts w:hint="default"/>
        </w:rPr>
      </w:lvl>
    </w:lvlOverride>
  </w:num>
  <w:num w:numId="33">
    <w:abstractNumId w:val="13"/>
  </w:num>
  <w:num w:numId="3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21"/>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num>
  <w:num w:numId="39">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30"/>
  </w:num>
  <w:num w:numId="42">
    <w:abstractNumId w:val="11"/>
    <w:lvlOverride w:ilvl="0">
      <w:startOverride w:val="1"/>
    </w:lvlOverride>
  </w:num>
  <w:num w:numId="43">
    <w:abstractNumId w:val="11"/>
    <w:lvlOverride w:ilvl="0">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wgRpAPU2+6JI7dvEP9iXuyoSOHClfjmgvu1cAWgmyhc=" w:saltValue="ze0QFp3sy0nVrf9Yl8ZihA==" w:algorithmName="SHA-256"/>
  <w:defaultTabStop w:val="340"/>
  <w:characterSpacingControl w:val="doNotCompress"/>
  <w:hdrShapeDefaults>
    <o:shapedefaults v:ext="edit" spidmax="323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mleco\aer - draft decision powerlink transmission determination - attachment 2 - regulatory asset base - september 2016 (D2015-00169217).docx"/>
  </w:docVars>
  <w:rsids>
    <w:rsidRoot w:val="00961A4A"/>
    <w:rsid w:val="000051DC"/>
    <w:rsid w:val="00006178"/>
    <w:rsid w:val="0000658F"/>
    <w:rsid w:val="0001507B"/>
    <w:rsid w:val="00015708"/>
    <w:rsid w:val="00020016"/>
    <w:rsid w:val="00021202"/>
    <w:rsid w:val="00021C2B"/>
    <w:rsid w:val="0002498B"/>
    <w:rsid w:val="0002517F"/>
    <w:rsid w:val="00026187"/>
    <w:rsid w:val="000266FC"/>
    <w:rsid w:val="000273B3"/>
    <w:rsid w:val="00027E2D"/>
    <w:rsid w:val="0003369C"/>
    <w:rsid w:val="00034550"/>
    <w:rsid w:val="0003578C"/>
    <w:rsid w:val="00041A97"/>
    <w:rsid w:val="000438AB"/>
    <w:rsid w:val="00044DA3"/>
    <w:rsid w:val="00045B73"/>
    <w:rsid w:val="000474DF"/>
    <w:rsid w:val="00055A67"/>
    <w:rsid w:val="00060FB3"/>
    <w:rsid w:val="000611CA"/>
    <w:rsid w:val="00061F9A"/>
    <w:rsid w:val="00063247"/>
    <w:rsid w:val="0006624E"/>
    <w:rsid w:val="00066EBF"/>
    <w:rsid w:val="00070F9F"/>
    <w:rsid w:val="0007137B"/>
    <w:rsid w:val="00073B74"/>
    <w:rsid w:val="00076416"/>
    <w:rsid w:val="000805A8"/>
    <w:rsid w:val="000814B8"/>
    <w:rsid w:val="0008190B"/>
    <w:rsid w:val="000836D9"/>
    <w:rsid w:val="00085663"/>
    <w:rsid w:val="00085EBF"/>
    <w:rsid w:val="00091B15"/>
    <w:rsid w:val="00095186"/>
    <w:rsid w:val="00096973"/>
    <w:rsid w:val="00096A1E"/>
    <w:rsid w:val="000A0E71"/>
    <w:rsid w:val="000A1C0C"/>
    <w:rsid w:val="000A3020"/>
    <w:rsid w:val="000A4840"/>
    <w:rsid w:val="000A62C1"/>
    <w:rsid w:val="000A6A79"/>
    <w:rsid w:val="000A6C7B"/>
    <w:rsid w:val="000B08B2"/>
    <w:rsid w:val="000B0A7B"/>
    <w:rsid w:val="000B1173"/>
    <w:rsid w:val="000B4A72"/>
    <w:rsid w:val="000B5827"/>
    <w:rsid w:val="000B7037"/>
    <w:rsid w:val="000C02D1"/>
    <w:rsid w:val="000C066A"/>
    <w:rsid w:val="000C0C63"/>
    <w:rsid w:val="000C2B40"/>
    <w:rsid w:val="000C33CB"/>
    <w:rsid w:val="000C4E87"/>
    <w:rsid w:val="000C5255"/>
    <w:rsid w:val="000D07A7"/>
    <w:rsid w:val="000D122C"/>
    <w:rsid w:val="000D75B0"/>
    <w:rsid w:val="000E1819"/>
    <w:rsid w:val="000E4821"/>
    <w:rsid w:val="000E4AA9"/>
    <w:rsid w:val="000E6C72"/>
    <w:rsid w:val="000E797C"/>
    <w:rsid w:val="000E7F39"/>
    <w:rsid w:val="000F19E6"/>
    <w:rsid w:val="000F44B5"/>
    <w:rsid w:val="00100EA2"/>
    <w:rsid w:val="00101AA1"/>
    <w:rsid w:val="00102338"/>
    <w:rsid w:val="00104566"/>
    <w:rsid w:val="00104FF6"/>
    <w:rsid w:val="001114AA"/>
    <w:rsid w:val="00115743"/>
    <w:rsid w:val="00116EB2"/>
    <w:rsid w:val="001173DE"/>
    <w:rsid w:val="0012132C"/>
    <w:rsid w:val="00122D7E"/>
    <w:rsid w:val="001239B7"/>
    <w:rsid w:val="00124609"/>
    <w:rsid w:val="00126A4C"/>
    <w:rsid w:val="001270E3"/>
    <w:rsid w:val="00132D43"/>
    <w:rsid w:val="00133366"/>
    <w:rsid w:val="00133F47"/>
    <w:rsid w:val="00134029"/>
    <w:rsid w:val="00134FF7"/>
    <w:rsid w:val="00142C2D"/>
    <w:rsid w:val="00144C96"/>
    <w:rsid w:val="0014573B"/>
    <w:rsid w:val="001463A3"/>
    <w:rsid w:val="0015073A"/>
    <w:rsid w:val="00152B29"/>
    <w:rsid w:val="001573E4"/>
    <w:rsid w:val="00160756"/>
    <w:rsid w:val="00161DC8"/>
    <w:rsid w:val="00166760"/>
    <w:rsid w:val="0017232E"/>
    <w:rsid w:val="00174102"/>
    <w:rsid w:val="001754EE"/>
    <w:rsid w:val="0017646A"/>
    <w:rsid w:val="00180157"/>
    <w:rsid w:val="001809BC"/>
    <w:rsid w:val="00180E97"/>
    <w:rsid w:val="001820B4"/>
    <w:rsid w:val="00184351"/>
    <w:rsid w:val="00184AC8"/>
    <w:rsid w:val="00185BA5"/>
    <w:rsid w:val="00185CB9"/>
    <w:rsid w:val="00185DBE"/>
    <w:rsid w:val="00186ADC"/>
    <w:rsid w:val="00186F77"/>
    <w:rsid w:val="001877A4"/>
    <w:rsid w:val="001926A4"/>
    <w:rsid w:val="00192AD5"/>
    <w:rsid w:val="00194597"/>
    <w:rsid w:val="0019473C"/>
    <w:rsid w:val="00194E00"/>
    <w:rsid w:val="0019745E"/>
    <w:rsid w:val="00197B16"/>
    <w:rsid w:val="001A530D"/>
    <w:rsid w:val="001A5FB3"/>
    <w:rsid w:val="001A673B"/>
    <w:rsid w:val="001A7155"/>
    <w:rsid w:val="001B45A0"/>
    <w:rsid w:val="001B680E"/>
    <w:rsid w:val="001D055E"/>
    <w:rsid w:val="001E0AD1"/>
    <w:rsid w:val="001E1B3F"/>
    <w:rsid w:val="001E28A8"/>
    <w:rsid w:val="001E7161"/>
    <w:rsid w:val="001F05A4"/>
    <w:rsid w:val="001F3D4A"/>
    <w:rsid w:val="001F492E"/>
    <w:rsid w:val="001F64EF"/>
    <w:rsid w:val="001F6DA3"/>
    <w:rsid w:val="002010BC"/>
    <w:rsid w:val="002016E7"/>
    <w:rsid w:val="00202E03"/>
    <w:rsid w:val="002033B9"/>
    <w:rsid w:val="00203DB1"/>
    <w:rsid w:val="002043D0"/>
    <w:rsid w:val="0020492C"/>
    <w:rsid w:val="00204EC9"/>
    <w:rsid w:val="00206505"/>
    <w:rsid w:val="0020722B"/>
    <w:rsid w:val="0020743F"/>
    <w:rsid w:val="00216C93"/>
    <w:rsid w:val="00223051"/>
    <w:rsid w:val="00224DB9"/>
    <w:rsid w:val="0022569A"/>
    <w:rsid w:val="0023005C"/>
    <w:rsid w:val="00231012"/>
    <w:rsid w:val="00233775"/>
    <w:rsid w:val="0023414B"/>
    <w:rsid w:val="00243635"/>
    <w:rsid w:val="00247079"/>
    <w:rsid w:val="00247C8D"/>
    <w:rsid w:val="00251745"/>
    <w:rsid w:val="002552BA"/>
    <w:rsid w:val="00260016"/>
    <w:rsid w:val="00263AC0"/>
    <w:rsid w:val="00264264"/>
    <w:rsid w:val="0026689B"/>
    <w:rsid w:val="0026772D"/>
    <w:rsid w:val="00272E70"/>
    <w:rsid w:val="002730B2"/>
    <w:rsid w:val="00274C7E"/>
    <w:rsid w:val="00276B01"/>
    <w:rsid w:val="002777CF"/>
    <w:rsid w:val="00280C49"/>
    <w:rsid w:val="002810F2"/>
    <w:rsid w:val="00283E06"/>
    <w:rsid w:val="00286874"/>
    <w:rsid w:val="00290C63"/>
    <w:rsid w:val="00291A99"/>
    <w:rsid w:val="00293B6D"/>
    <w:rsid w:val="00294B08"/>
    <w:rsid w:val="0029518C"/>
    <w:rsid w:val="002963DD"/>
    <w:rsid w:val="00296B65"/>
    <w:rsid w:val="002A7DEF"/>
    <w:rsid w:val="002B0696"/>
    <w:rsid w:val="002B3A64"/>
    <w:rsid w:val="002B5968"/>
    <w:rsid w:val="002C0222"/>
    <w:rsid w:val="002C1499"/>
    <w:rsid w:val="002C233C"/>
    <w:rsid w:val="002C517B"/>
    <w:rsid w:val="002D3509"/>
    <w:rsid w:val="002D4A43"/>
    <w:rsid w:val="002D5457"/>
    <w:rsid w:val="002D5B75"/>
    <w:rsid w:val="002D72E8"/>
    <w:rsid w:val="002D79AD"/>
    <w:rsid w:val="002E268F"/>
    <w:rsid w:val="002E78DD"/>
    <w:rsid w:val="002E7B22"/>
    <w:rsid w:val="002F12EC"/>
    <w:rsid w:val="002F7986"/>
    <w:rsid w:val="0030019C"/>
    <w:rsid w:val="00301B40"/>
    <w:rsid w:val="00301C82"/>
    <w:rsid w:val="003029EE"/>
    <w:rsid w:val="00304D38"/>
    <w:rsid w:val="00305CC8"/>
    <w:rsid w:val="00307F6D"/>
    <w:rsid w:val="00314D83"/>
    <w:rsid w:val="0031571F"/>
    <w:rsid w:val="003177A2"/>
    <w:rsid w:val="003179F2"/>
    <w:rsid w:val="00317E02"/>
    <w:rsid w:val="003271B5"/>
    <w:rsid w:val="00327A1E"/>
    <w:rsid w:val="00327E28"/>
    <w:rsid w:val="00331264"/>
    <w:rsid w:val="00334C8D"/>
    <w:rsid w:val="003378BD"/>
    <w:rsid w:val="00337DED"/>
    <w:rsid w:val="003424EA"/>
    <w:rsid w:val="00342C2F"/>
    <w:rsid w:val="003436EB"/>
    <w:rsid w:val="00343A18"/>
    <w:rsid w:val="00345744"/>
    <w:rsid w:val="003512BE"/>
    <w:rsid w:val="003518B3"/>
    <w:rsid w:val="00353E79"/>
    <w:rsid w:val="00364EA0"/>
    <w:rsid w:val="003652DF"/>
    <w:rsid w:val="00366981"/>
    <w:rsid w:val="003677BB"/>
    <w:rsid w:val="00370678"/>
    <w:rsid w:val="0037214E"/>
    <w:rsid w:val="00372C85"/>
    <w:rsid w:val="00373845"/>
    <w:rsid w:val="003744E3"/>
    <w:rsid w:val="00375F71"/>
    <w:rsid w:val="00376219"/>
    <w:rsid w:val="0037663E"/>
    <w:rsid w:val="0037699E"/>
    <w:rsid w:val="00377A29"/>
    <w:rsid w:val="00377C69"/>
    <w:rsid w:val="0038415D"/>
    <w:rsid w:val="0038461C"/>
    <w:rsid w:val="003846F1"/>
    <w:rsid w:val="00390E6A"/>
    <w:rsid w:val="00393ABE"/>
    <w:rsid w:val="00395DB6"/>
    <w:rsid w:val="00397398"/>
    <w:rsid w:val="003A371A"/>
    <w:rsid w:val="003A59CD"/>
    <w:rsid w:val="003A67DF"/>
    <w:rsid w:val="003A6B00"/>
    <w:rsid w:val="003B30B2"/>
    <w:rsid w:val="003B484F"/>
    <w:rsid w:val="003B504B"/>
    <w:rsid w:val="003B5179"/>
    <w:rsid w:val="003B685C"/>
    <w:rsid w:val="003B7FBA"/>
    <w:rsid w:val="003C6537"/>
    <w:rsid w:val="003C6A13"/>
    <w:rsid w:val="003C764A"/>
    <w:rsid w:val="003C78BA"/>
    <w:rsid w:val="003D41F1"/>
    <w:rsid w:val="003D42AB"/>
    <w:rsid w:val="003D5B94"/>
    <w:rsid w:val="003D6867"/>
    <w:rsid w:val="003E0D3A"/>
    <w:rsid w:val="003E3AAB"/>
    <w:rsid w:val="003E7FE9"/>
    <w:rsid w:val="003F0438"/>
    <w:rsid w:val="003F07D4"/>
    <w:rsid w:val="003F174D"/>
    <w:rsid w:val="003F2329"/>
    <w:rsid w:val="00400FD2"/>
    <w:rsid w:val="00403711"/>
    <w:rsid w:val="00404C52"/>
    <w:rsid w:val="0040620E"/>
    <w:rsid w:val="00406998"/>
    <w:rsid w:val="0041545B"/>
    <w:rsid w:val="004156D5"/>
    <w:rsid w:val="00415BA9"/>
    <w:rsid w:val="00415F31"/>
    <w:rsid w:val="0041691D"/>
    <w:rsid w:val="0042000C"/>
    <w:rsid w:val="0042090E"/>
    <w:rsid w:val="00421F27"/>
    <w:rsid w:val="00422BC6"/>
    <w:rsid w:val="004238D8"/>
    <w:rsid w:val="00423A77"/>
    <w:rsid w:val="004324F4"/>
    <w:rsid w:val="00434544"/>
    <w:rsid w:val="00445D43"/>
    <w:rsid w:val="00446CD2"/>
    <w:rsid w:val="0045777E"/>
    <w:rsid w:val="00465258"/>
    <w:rsid w:val="00471B92"/>
    <w:rsid w:val="00476221"/>
    <w:rsid w:val="004766F5"/>
    <w:rsid w:val="00480B4B"/>
    <w:rsid w:val="004833E3"/>
    <w:rsid w:val="004838D8"/>
    <w:rsid w:val="00485DC4"/>
    <w:rsid w:val="00487F30"/>
    <w:rsid w:val="00494D04"/>
    <w:rsid w:val="004A40BA"/>
    <w:rsid w:val="004A43D1"/>
    <w:rsid w:val="004A492B"/>
    <w:rsid w:val="004B1B8E"/>
    <w:rsid w:val="004B2301"/>
    <w:rsid w:val="004B4412"/>
    <w:rsid w:val="004C057A"/>
    <w:rsid w:val="004C1A2C"/>
    <w:rsid w:val="004C348C"/>
    <w:rsid w:val="004C462E"/>
    <w:rsid w:val="004C5A98"/>
    <w:rsid w:val="004C6CA3"/>
    <w:rsid w:val="004C7F5E"/>
    <w:rsid w:val="004D343C"/>
    <w:rsid w:val="004D372A"/>
    <w:rsid w:val="004D4C74"/>
    <w:rsid w:val="004D55BA"/>
    <w:rsid w:val="004D720C"/>
    <w:rsid w:val="004E0FA7"/>
    <w:rsid w:val="004E22EC"/>
    <w:rsid w:val="004F0BFA"/>
    <w:rsid w:val="004F13DA"/>
    <w:rsid w:val="004F4D69"/>
    <w:rsid w:val="004F6883"/>
    <w:rsid w:val="004F6A0E"/>
    <w:rsid w:val="004F6BB3"/>
    <w:rsid w:val="004F6EE1"/>
    <w:rsid w:val="004F7F77"/>
    <w:rsid w:val="005009CD"/>
    <w:rsid w:val="00504E5F"/>
    <w:rsid w:val="0051337E"/>
    <w:rsid w:val="00513FA7"/>
    <w:rsid w:val="0051768F"/>
    <w:rsid w:val="00517BC0"/>
    <w:rsid w:val="00520CCB"/>
    <w:rsid w:val="00522DC2"/>
    <w:rsid w:val="00527329"/>
    <w:rsid w:val="00527B63"/>
    <w:rsid w:val="00530128"/>
    <w:rsid w:val="00532467"/>
    <w:rsid w:val="005332A9"/>
    <w:rsid w:val="0053603C"/>
    <w:rsid w:val="00537871"/>
    <w:rsid w:val="0054020F"/>
    <w:rsid w:val="00542FE9"/>
    <w:rsid w:val="00544598"/>
    <w:rsid w:val="00544C8D"/>
    <w:rsid w:val="00544DFD"/>
    <w:rsid w:val="00556B1E"/>
    <w:rsid w:val="00564A4D"/>
    <w:rsid w:val="0056598C"/>
    <w:rsid w:val="00566E0B"/>
    <w:rsid w:val="00567BA5"/>
    <w:rsid w:val="00571B35"/>
    <w:rsid w:val="00571B43"/>
    <w:rsid w:val="00571D57"/>
    <w:rsid w:val="00573A3B"/>
    <w:rsid w:val="00577716"/>
    <w:rsid w:val="00577A09"/>
    <w:rsid w:val="005829C2"/>
    <w:rsid w:val="00584D8F"/>
    <w:rsid w:val="00587A18"/>
    <w:rsid w:val="00587ADE"/>
    <w:rsid w:val="00591C47"/>
    <w:rsid w:val="00592C95"/>
    <w:rsid w:val="005A0B15"/>
    <w:rsid w:val="005A0BEC"/>
    <w:rsid w:val="005A267A"/>
    <w:rsid w:val="005A404D"/>
    <w:rsid w:val="005A42EE"/>
    <w:rsid w:val="005B08B1"/>
    <w:rsid w:val="005B1E3C"/>
    <w:rsid w:val="005B34D8"/>
    <w:rsid w:val="005B37CF"/>
    <w:rsid w:val="005B3909"/>
    <w:rsid w:val="005B4A68"/>
    <w:rsid w:val="005B6518"/>
    <w:rsid w:val="005B704A"/>
    <w:rsid w:val="005B72D7"/>
    <w:rsid w:val="005C045F"/>
    <w:rsid w:val="005C16FE"/>
    <w:rsid w:val="005C1FAB"/>
    <w:rsid w:val="005C21A4"/>
    <w:rsid w:val="005C26CC"/>
    <w:rsid w:val="005C4463"/>
    <w:rsid w:val="005C50FC"/>
    <w:rsid w:val="005D3D88"/>
    <w:rsid w:val="005D48C4"/>
    <w:rsid w:val="005D6208"/>
    <w:rsid w:val="005D6366"/>
    <w:rsid w:val="005D7BA2"/>
    <w:rsid w:val="005E36C2"/>
    <w:rsid w:val="005E36E0"/>
    <w:rsid w:val="005E4AF4"/>
    <w:rsid w:val="005F387E"/>
    <w:rsid w:val="00601E0B"/>
    <w:rsid w:val="0060258B"/>
    <w:rsid w:val="00607CBC"/>
    <w:rsid w:val="00610EF9"/>
    <w:rsid w:val="00612F4F"/>
    <w:rsid w:val="00614EA0"/>
    <w:rsid w:val="00615C6B"/>
    <w:rsid w:val="00617D4C"/>
    <w:rsid w:val="00621DCE"/>
    <w:rsid w:val="00621FC5"/>
    <w:rsid w:val="00624F2C"/>
    <w:rsid w:val="00632D6D"/>
    <w:rsid w:val="00636569"/>
    <w:rsid w:val="00636EF9"/>
    <w:rsid w:val="00642C3E"/>
    <w:rsid w:val="00644A01"/>
    <w:rsid w:val="00651E2D"/>
    <w:rsid w:val="00652324"/>
    <w:rsid w:val="0065474E"/>
    <w:rsid w:val="006577FB"/>
    <w:rsid w:val="0066104A"/>
    <w:rsid w:val="00663066"/>
    <w:rsid w:val="00663DAD"/>
    <w:rsid w:val="00664206"/>
    <w:rsid w:val="006649E7"/>
    <w:rsid w:val="00666263"/>
    <w:rsid w:val="00666634"/>
    <w:rsid w:val="00671211"/>
    <w:rsid w:val="00671692"/>
    <w:rsid w:val="00671AB7"/>
    <w:rsid w:val="00675E20"/>
    <w:rsid w:val="00676679"/>
    <w:rsid w:val="006838DD"/>
    <w:rsid w:val="00683C89"/>
    <w:rsid w:val="00691B53"/>
    <w:rsid w:val="00697D0B"/>
    <w:rsid w:val="006A12BA"/>
    <w:rsid w:val="006A3223"/>
    <w:rsid w:val="006A4739"/>
    <w:rsid w:val="006A66A1"/>
    <w:rsid w:val="006B032D"/>
    <w:rsid w:val="006B2395"/>
    <w:rsid w:val="006B315D"/>
    <w:rsid w:val="006B40AC"/>
    <w:rsid w:val="006B4CF9"/>
    <w:rsid w:val="006B797C"/>
    <w:rsid w:val="006B7AC8"/>
    <w:rsid w:val="006C1736"/>
    <w:rsid w:val="006C2AB0"/>
    <w:rsid w:val="006C329B"/>
    <w:rsid w:val="006C6303"/>
    <w:rsid w:val="006C6E5C"/>
    <w:rsid w:val="006D550F"/>
    <w:rsid w:val="006D6146"/>
    <w:rsid w:val="006D7F7E"/>
    <w:rsid w:val="006E0CFF"/>
    <w:rsid w:val="006F0D92"/>
    <w:rsid w:val="006F267D"/>
    <w:rsid w:val="006F2AFC"/>
    <w:rsid w:val="006F3B36"/>
    <w:rsid w:val="0070011E"/>
    <w:rsid w:val="00701CAB"/>
    <w:rsid w:val="007023BB"/>
    <w:rsid w:val="00704DD7"/>
    <w:rsid w:val="00707563"/>
    <w:rsid w:val="007133AC"/>
    <w:rsid w:val="00715F61"/>
    <w:rsid w:val="00721CA4"/>
    <w:rsid w:val="00722132"/>
    <w:rsid w:val="007228F7"/>
    <w:rsid w:val="0072348C"/>
    <w:rsid w:val="00724A37"/>
    <w:rsid w:val="007303C3"/>
    <w:rsid w:val="00731188"/>
    <w:rsid w:val="007356CC"/>
    <w:rsid w:val="007368E6"/>
    <w:rsid w:val="007375DF"/>
    <w:rsid w:val="007429BE"/>
    <w:rsid w:val="00743223"/>
    <w:rsid w:val="00743349"/>
    <w:rsid w:val="0074403A"/>
    <w:rsid w:val="00746E01"/>
    <w:rsid w:val="00751DCD"/>
    <w:rsid w:val="00755084"/>
    <w:rsid w:val="00757364"/>
    <w:rsid w:val="00757BDF"/>
    <w:rsid w:val="007609D0"/>
    <w:rsid w:val="00761454"/>
    <w:rsid w:val="0076193D"/>
    <w:rsid w:val="00763E5D"/>
    <w:rsid w:val="00767740"/>
    <w:rsid w:val="00767B5E"/>
    <w:rsid w:val="00775460"/>
    <w:rsid w:val="00777EE6"/>
    <w:rsid w:val="00782EEA"/>
    <w:rsid w:val="007909B4"/>
    <w:rsid w:val="00790E86"/>
    <w:rsid w:val="007949D7"/>
    <w:rsid w:val="00796F23"/>
    <w:rsid w:val="007A0143"/>
    <w:rsid w:val="007A34C2"/>
    <w:rsid w:val="007A396C"/>
    <w:rsid w:val="007A4B02"/>
    <w:rsid w:val="007A6B34"/>
    <w:rsid w:val="007B0BE3"/>
    <w:rsid w:val="007B1816"/>
    <w:rsid w:val="007B186E"/>
    <w:rsid w:val="007B25DC"/>
    <w:rsid w:val="007B2C72"/>
    <w:rsid w:val="007B3789"/>
    <w:rsid w:val="007B3C2A"/>
    <w:rsid w:val="007B651F"/>
    <w:rsid w:val="007B7BB5"/>
    <w:rsid w:val="007C18C4"/>
    <w:rsid w:val="007C1C53"/>
    <w:rsid w:val="007C284C"/>
    <w:rsid w:val="007C28CE"/>
    <w:rsid w:val="007C3479"/>
    <w:rsid w:val="007C4B82"/>
    <w:rsid w:val="007C74BB"/>
    <w:rsid w:val="007C7F64"/>
    <w:rsid w:val="007D0A95"/>
    <w:rsid w:val="007D0EB5"/>
    <w:rsid w:val="007D456E"/>
    <w:rsid w:val="007D5837"/>
    <w:rsid w:val="007E4904"/>
    <w:rsid w:val="007E4CB5"/>
    <w:rsid w:val="007E4DAE"/>
    <w:rsid w:val="007F066B"/>
    <w:rsid w:val="007F4EAB"/>
    <w:rsid w:val="007F4F20"/>
    <w:rsid w:val="007F5B16"/>
    <w:rsid w:val="007F6D36"/>
    <w:rsid w:val="007F7C9D"/>
    <w:rsid w:val="00800E2A"/>
    <w:rsid w:val="008033C4"/>
    <w:rsid w:val="008066C5"/>
    <w:rsid w:val="00806731"/>
    <w:rsid w:val="00806C88"/>
    <w:rsid w:val="0081034E"/>
    <w:rsid w:val="00810806"/>
    <w:rsid w:val="00815882"/>
    <w:rsid w:val="00820454"/>
    <w:rsid w:val="00822AC7"/>
    <w:rsid w:val="00822E86"/>
    <w:rsid w:val="00824DA2"/>
    <w:rsid w:val="00827EC6"/>
    <w:rsid w:val="00834121"/>
    <w:rsid w:val="008344F6"/>
    <w:rsid w:val="0083510F"/>
    <w:rsid w:val="00837BF3"/>
    <w:rsid w:val="008415DE"/>
    <w:rsid w:val="008420DE"/>
    <w:rsid w:val="00844AC2"/>
    <w:rsid w:val="00845865"/>
    <w:rsid w:val="0084606F"/>
    <w:rsid w:val="0084799B"/>
    <w:rsid w:val="00850C90"/>
    <w:rsid w:val="00851209"/>
    <w:rsid w:val="0085171F"/>
    <w:rsid w:val="00856110"/>
    <w:rsid w:val="00863F63"/>
    <w:rsid w:val="00864045"/>
    <w:rsid w:val="008652E3"/>
    <w:rsid w:val="008658A1"/>
    <w:rsid w:val="0086716A"/>
    <w:rsid w:val="008703C4"/>
    <w:rsid w:val="00870613"/>
    <w:rsid w:val="0087380F"/>
    <w:rsid w:val="00873BAB"/>
    <w:rsid w:val="0087648F"/>
    <w:rsid w:val="00876612"/>
    <w:rsid w:val="00880D7C"/>
    <w:rsid w:val="00882BB1"/>
    <w:rsid w:val="008837AC"/>
    <w:rsid w:val="008909DC"/>
    <w:rsid w:val="00894255"/>
    <w:rsid w:val="008945AD"/>
    <w:rsid w:val="008A0645"/>
    <w:rsid w:val="008A1C02"/>
    <w:rsid w:val="008A370D"/>
    <w:rsid w:val="008A587D"/>
    <w:rsid w:val="008A75FB"/>
    <w:rsid w:val="008A7C88"/>
    <w:rsid w:val="008B16B0"/>
    <w:rsid w:val="008B1BD5"/>
    <w:rsid w:val="008B35CD"/>
    <w:rsid w:val="008B4093"/>
    <w:rsid w:val="008B5FCC"/>
    <w:rsid w:val="008B7F36"/>
    <w:rsid w:val="008C357F"/>
    <w:rsid w:val="008C5252"/>
    <w:rsid w:val="008C5486"/>
    <w:rsid w:val="008D1661"/>
    <w:rsid w:val="008D27E0"/>
    <w:rsid w:val="008D2AB1"/>
    <w:rsid w:val="008D5F90"/>
    <w:rsid w:val="008D6800"/>
    <w:rsid w:val="008D72F1"/>
    <w:rsid w:val="008E4089"/>
    <w:rsid w:val="008E4CB8"/>
    <w:rsid w:val="008E569A"/>
    <w:rsid w:val="008E5AFF"/>
    <w:rsid w:val="008E7031"/>
    <w:rsid w:val="008E77DE"/>
    <w:rsid w:val="008F040C"/>
    <w:rsid w:val="008F07A3"/>
    <w:rsid w:val="008F3322"/>
    <w:rsid w:val="008F3519"/>
    <w:rsid w:val="008F3A0D"/>
    <w:rsid w:val="009001B6"/>
    <w:rsid w:val="00900E1B"/>
    <w:rsid w:val="0090131F"/>
    <w:rsid w:val="00907683"/>
    <w:rsid w:val="009132B7"/>
    <w:rsid w:val="00916A2C"/>
    <w:rsid w:val="009233EE"/>
    <w:rsid w:val="00930B1A"/>
    <w:rsid w:val="00932612"/>
    <w:rsid w:val="009327DC"/>
    <w:rsid w:val="009338D9"/>
    <w:rsid w:val="009339BD"/>
    <w:rsid w:val="009356CF"/>
    <w:rsid w:val="00945E53"/>
    <w:rsid w:val="009460AA"/>
    <w:rsid w:val="00951978"/>
    <w:rsid w:val="00952C8B"/>
    <w:rsid w:val="00961A4A"/>
    <w:rsid w:val="00964458"/>
    <w:rsid w:val="009661DE"/>
    <w:rsid w:val="00972C7C"/>
    <w:rsid w:val="009776F4"/>
    <w:rsid w:val="00982DA2"/>
    <w:rsid w:val="00983C25"/>
    <w:rsid w:val="0098466D"/>
    <w:rsid w:val="009856B7"/>
    <w:rsid w:val="009859D6"/>
    <w:rsid w:val="00985C86"/>
    <w:rsid w:val="009A5FC3"/>
    <w:rsid w:val="009A78D0"/>
    <w:rsid w:val="009B6F84"/>
    <w:rsid w:val="009B74B0"/>
    <w:rsid w:val="009C0152"/>
    <w:rsid w:val="009C1A74"/>
    <w:rsid w:val="009C3D42"/>
    <w:rsid w:val="009C491E"/>
    <w:rsid w:val="009D0DF1"/>
    <w:rsid w:val="009D1989"/>
    <w:rsid w:val="009D22D6"/>
    <w:rsid w:val="009D2C84"/>
    <w:rsid w:val="009D3906"/>
    <w:rsid w:val="009D6B46"/>
    <w:rsid w:val="009E35B6"/>
    <w:rsid w:val="009E41D9"/>
    <w:rsid w:val="009E4535"/>
    <w:rsid w:val="009E5882"/>
    <w:rsid w:val="009E5ABC"/>
    <w:rsid w:val="009F2E7B"/>
    <w:rsid w:val="009F3BBA"/>
    <w:rsid w:val="009F43B4"/>
    <w:rsid w:val="009F4940"/>
    <w:rsid w:val="009F5BA1"/>
    <w:rsid w:val="00A00F3D"/>
    <w:rsid w:val="00A02A88"/>
    <w:rsid w:val="00A04012"/>
    <w:rsid w:val="00A046FA"/>
    <w:rsid w:val="00A0562E"/>
    <w:rsid w:val="00A0726D"/>
    <w:rsid w:val="00A073AE"/>
    <w:rsid w:val="00A12204"/>
    <w:rsid w:val="00A12750"/>
    <w:rsid w:val="00A13CB0"/>
    <w:rsid w:val="00A1561F"/>
    <w:rsid w:val="00A16544"/>
    <w:rsid w:val="00A16AA0"/>
    <w:rsid w:val="00A16D05"/>
    <w:rsid w:val="00A307E2"/>
    <w:rsid w:val="00A30BF5"/>
    <w:rsid w:val="00A31BE6"/>
    <w:rsid w:val="00A32FBB"/>
    <w:rsid w:val="00A40068"/>
    <w:rsid w:val="00A40BE9"/>
    <w:rsid w:val="00A428EE"/>
    <w:rsid w:val="00A43F6F"/>
    <w:rsid w:val="00A443C2"/>
    <w:rsid w:val="00A4478A"/>
    <w:rsid w:val="00A44852"/>
    <w:rsid w:val="00A473C7"/>
    <w:rsid w:val="00A50502"/>
    <w:rsid w:val="00A51CDE"/>
    <w:rsid w:val="00A51D01"/>
    <w:rsid w:val="00A53409"/>
    <w:rsid w:val="00A53796"/>
    <w:rsid w:val="00A53848"/>
    <w:rsid w:val="00A56945"/>
    <w:rsid w:val="00A56A6E"/>
    <w:rsid w:val="00A57D04"/>
    <w:rsid w:val="00A60A26"/>
    <w:rsid w:val="00A61598"/>
    <w:rsid w:val="00A61777"/>
    <w:rsid w:val="00A63646"/>
    <w:rsid w:val="00A63914"/>
    <w:rsid w:val="00A66FB7"/>
    <w:rsid w:val="00A76D63"/>
    <w:rsid w:val="00A816C3"/>
    <w:rsid w:val="00A84A99"/>
    <w:rsid w:val="00A84F46"/>
    <w:rsid w:val="00A85E87"/>
    <w:rsid w:val="00A86AEA"/>
    <w:rsid w:val="00A871F4"/>
    <w:rsid w:val="00A9431A"/>
    <w:rsid w:val="00A95988"/>
    <w:rsid w:val="00A959DF"/>
    <w:rsid w:val="00A9618C"/>
    <w:rsid w:val="00A97A1B"/>
    <w:rsid w:val="00AA2927"/>
    <w:rsid w:val="00AA4A88"/>
    <w:rsid w:val="00AA66A1"/>
    <w:rsid w:val="00AB2CB8"/>
    <w:rsid w:val="00AB4617"/>
    <w:rsid w:val="00AC0983"/>
    <w:rsid w:val="00AC1B2C"/>
    <w:rsid w:val="00AC2A15"/>
    <w:rsid w:val="00AC3264"/>
    <w:rsid w:val="00AC46AD"/>
    <w:rsid w:val="00AC4D2D"/>
    <w:rsid w:val="00AC58EC"/>
    <w:rsid w:val="00AC7282"/>
    <w:rsid w:val="00AC7961"/>
    <w:rsid w:val="00AD1304"/>
    <w:rsid w:val="00AD314E"/>
    <w:rsid w:val="00AD5FCD"/>
    <w:rsid w:val="00AD6B48"/>
    <w:rsid w:val="00AD7A3A"/>
    <w:rsid w:val="00AE1BF1"/>
    <w:rsid w:val="00AE23AB"/>
    <w:rsid w:val="00AE58FB"/>
    <w:rsid w:val="00AE5AF0"/>
    <w:rsid w:val="00AE663D"/>
    <w:rsid w:val="00AE73B3"/>
    <w:rsid w:val="00AF07E7"/>
    <w:rsid w:val="00AF0DD2"/>
    <w:rsid w:val="00AF31E1"/>
    <w:rsid w:val="00AF3BBA"/>
    <w:rsid w:val="00AF4231"/>
    <w:rsid w:val="00AF6FBB"/>
    <w:rsid w:val="00B00B0E"/>
    <w:rsid w:val="00B00B26"/>
    <w:rsid w:val="00B0136C"/>
    <w:rsid w:val="00B02385"/>
    <w:rsid w:val="00B02F9D"/>
    <w:rsid w:val="00B05766"/>
    <w:rsid w:val="00B13048"/>
    <w:rsid w:val="00B13883"/>
    <w:rsid w:val="00B1716D"/>
    <w:rsid w:val="00B17A1D"/>
    <w:rsid w:val="00B207A0"/>
    <w:rsid w:val="00B21C21"/>
    <w:rsid w:val="00B22F54"/>
    <w:rsid w:val="00B24A7E"/>
    <w:rsid w:val="00B25C0C"/>
    <w:rsid w:val="00B27E0B"/>
    <w:rsid w:val="00B304B5"/>
    <w:rsid w:val="00B308A9"/>
    <w:rsid w:val="00B31047"/>
    <w:rsid w:val="00B33148"/>
    <w:rsid w:val="00B35CDF"/>
    <w:rsid w:val="00B403C2"/>
    <w:rsid w:val="00B405A1"/>
    <w:rsid w:val="00B41BF5"/>
    <w:rsid w:val="00B43E38"/>
    <w:rsid w:val="00B4438A"/>
    <w:rsid w:val="00B45AA2"/>
    <w:rsid w:val="00B479CA"/>
    <w:rsid w:val="00B5084F"/>
    <w:rsid w:val="00B514DD"/>
    <w:rsid w:val="00B52AF0"/>
    <w:rsid w:val="00B52B98"/>
    <w:rsid w:val="00B53D5F"/>
    <w:rsid w:val="00B54051"/>
    <w:rsid w:val="00B561BD"/>
    <w:rsid w:val="00B56E03"/>
    <w:rsid w:val="00B62765"/>
    <w:rsid w:val="00B62C6E"/>
    <w:rsid w:val="00B65DF5"/>
    <w:rsid w:val="00B72DF1"/>
    <w:rsid w:val="00B73896"/>
    <w:rsid w:val="00B7679F"/>
    <w:rsid w:val="00B77159"/>
    <w:rsid w:val="00B8080B"/>
    <w:rsid w:val="00B82223"/>
    <w:rsid w:val="00B87BA5"/>
    <w:rsid w:val="00B87C39"/>
    <w:rsid w:val="00B932A9"/>
    <w:rsid w:val="00B93891"/>
    <w:rsid w:val="00B9562D"/>
    <w:rsid w:val="00B95B78"/>
    <w:rsid w:val="00BA21DA"/>
    <w:rsid w:val="00BA2B60"/>
    <w:rsid w:val="00BA3C93"/>
    <w:rsid w:val="00BA4665"/>
    <w:rsid w:val="00BA5DCF"/>
    <w:rsid w:val="00BA7FD7"/>
    <w:rsid w:val="00BB1681"/>
    <w:rsid w:val="00BB2FB2"/>
    <w:rsid w:val="00BB3304"/>
    <w:rsid w:val="00BB6551"/>
    <w:rsid w:val="00BC3016"/>
    <w:rsid w:val="00BC4A10"/>
    <w:rsid w:val="00BD30F4"/>
    <w:rsid w:val="00BD3446"/>
    <w:rsid w:val="00BD59CF"/>
    <w:rsid w:val="00BE1312"/>
    <w:rsid w:val="00BE1F1B"/>
    <w:rsid w:val="00BE3F89"/>
    <w:rsid w:val="00BE3FAF"/>
    <w:rsid w:val="00BE47B5"/>
    <w:rsid w:val="00BE5FCE"/>
    <w:rsid w:val="00C0079E"/>
    <w:rsid w:val="00C0572A"/>
    <w:rsid w:val="00C07D69"/>
    <w:rsid w:val="00C10A7B"/>
    <w:rsid w:val="00C11929"/>
    <w:rsid w:val="00C1213B"/>
    <w:rsid w:val="00C13EBD"/>
    <w:rsid w:val="00C1631B"/>
    <w:rsid w:val="00C163AB"/>
    <w:rsid w:val="00C170F0"/>
    <w:rsid w:val="00C25962"/>
    <w:rsid w:val="00C25FA6"/>
    <w:rsid w:val="00C3099D"/>
    <w:rsid w:val="00C33011"/>
    <w:rsid w:val="00C362C1"/>
    <w:rsid w:val="00C41950"/>
    <w:rsid w:val="00C42C3B"/>
    <w:rsid w:val="00C469BF"/>
    <w:rsid w:val="00C51672"/>
    <w:rsid w:val="00C538A9"/>
    <w:rsid w:val="00C53B5A"/>
    <w:rsid w:val="00C53E41"/>
    <w:rsid w:val="00C54909"/>
    <w:rsid w:val="00C54AF3"/>
    <w:rsid w:val="00C54F5A"/>
    <w:rsid w:val="00C56491"/>
    <w:rsid w:val="00C569B4"/>
    <w:rsid w:val="00C57DDE"/>
    <w:rsid w:val="00C60394"/>
    <w:rsid w:val="00C61468"/>
    <w:rsid w:val="00C61A97"/>
    <w:rsid w:val="00C61E44"/>
    <w:rsid w:val="00C64FF3"/>
    <w:rsid w:val="00C661B7"/>
    <w:rsid w:val="00C662AD"/>
    <w:rsid w:val="00C67A92"/>
    <w:rsid w:val="00C71280"/>
    <w:rsid w:val="00C717BF"/>
    <w:rsid w:val="00C71CD5"/>
    <w:rsid w:val="00C76178"/>
    <w:rsid w:val="00C84560"/>
    <w:rsid w:val="00C86679"/>
    <w:rsid w:val="00C8792F"/>
    <w:rsid w:val="00C90472"/>
    <w:rsid w:val="00C91D6E"/>
    <w:rsid w:val="00CA489E"/>
    <w:rsid w:val="00CB0279"/>
    <w:rsid w:val="00CB0A6B"/>
    <w:rsid w:val="00CB666B"/>
    <w:rsid w:val="00CB734B"/>
    <w:rsid w:val="00CB7AC7"/>
    <w:rsid w:val="00CC18F7"/>
    <w:rsid w:val="00CC41B6"/>
    <w:rsid w:val="00CC5CBE"/>
    <w:rsid w:val="00CC6A41"/>
    <w:rsid w:val="00CC7ADA"/>
    <w:rsid w:val="00CC7F1D"/>
    <w:rsid w:val="00CD0A88"/>
    <w:rsid w:val="00CD125D"/>
    <w:rsid w:val="00CD283C"/>
    <w:rsid w:val="00CD34AB"/>
    <w:rsid w:val="00CD3641"/>
    <w:rsid w:val="00CD66EA"/>
    <w:rsid w:val="00CD7432"/>
    <w:rsid w:val="00CE0FA5"/>
    <w:rsid w:val="00CE2A23"/>
    <w:rsid w:val="00CE31C8"/>
    <w:rsid w:val="00CE41CD"/>
    <w:rsid w:val="00CE484B"/>
    <w:rsid w:val="00CE7CBA"/>
    <w:rsid w:val="00CF05E0"/>
    <w:rsid w:val="00CF0DEE"/>
    <w:rsid w:val="00CF42AA"/>
    <w:rsid w:val="00CF5EAA"/>
    <w:rsid w:val="00CF6AE3"/>
    <w:rsid w:val="00CF77BB"/>
    <w:rsid w:val="00D006AE"/>
    <w:rsid w:val="00D00905"/>
    <w:rsid w:val="00D010C1"/>
    <w:rsid w:val="00D01CF0"/>
    <w:rsid w:val="00D02887"/>
    <w:rsid w:val="00D0442A"/>
    <w:rsid w:val="00D12A7B"/>
    <w:rsid w:val="00D12ADB"/>
    <w:rsid w:val="00D15E63"/>
    <w:rsid w:val="00D25A39"/>
    <w:rsid w:val="00D2675A"/>
    <w:rsid w:val="00D27CFA"/>
    <w:rsid w:val="00D310FA"/>
    <w:rsid w:val="00D325C6"/>
    <w:rsid w:val="00D37213"/>
    <w:rsid w:val="00D4360D"/>
    <w:rsid w:val="00D436DC"/>
    <w:rsid w:val="00D5607F"/>
    <w:rsid w:val="00D61388"/>
    <w:rsid w:val="00D61A54"/>
    <w:rsid w:val="00D62108"/>
    <w:rsid w:val="00D64AA4"/>
    <w:rsid w:val="00D64DEA"/>
    <w:rsid w:val="00D64F84"/>
    <w:rsid w:val="00D663CD"/>
    <w:rsid w:val="00D6726A"/>
    <w:rsid w:val="00D7001B"/>
    <w:rsid w:val="00D7160D"/>
    <w:rsid w:val="00D7168E"/>
    <w:rsid w:val="00D71E57"/>
    <w:rsid w:val="00D72D27"/>
    <w:rsid w:val="00D7786B"/>
    <w:rsid w:val="00D80893"/>
    <w:rsid w:val="00D82519"/>
    <w:rsid w:val="00D84854"/>
    <w:rsid w:val="00D922C0"/>
    <w:rsid w:val="00D924AE"/>
    <w:rsid w:val="00D92CF1"/>
    <w:rsid w:val="00D92D38"/>
    <w:rsid w:val="00D950F5"/>
    <w:rsid w:val="00D97379"/>
    <w:rsid w:val="00DA17F2"/>
    <w:rsid w:val="00DA4752"/>
    <w:rsid w:val="00DA4C09"/>
    <w:rsid w:val="00DA61F3"/>
    <w:rsid w:val="00DA7CB3"/>
    <w:rsid w:val="00DB0D00"/>
    <w:rsid w:val="00DB0F93"/>
    <w:rsid w:val="00DB1A67"/>
    <w:rsid w:val="00DB24EA"/>
    <w:rsid w:val="00DB3721"/>
    <w:rsid w:val="00DB43D7"/>
    <w:rsid w:val="00DB5074"/>
    <w:rsid w:val="00DB6CDB"/>
    <w:rsid w:val="00DC0281"/>
    <w:rsid w:val="00DC1930"/>
    <w:rsid w:val="00DC1C76"/>
    <w:rsid w:val="00DC4DBF"/>
    <w:rsid w:val="00DC4E19"/>
    <w:rsid w:val="00DC65FE"/>
    <w:rsid w:val="00DC77B9"/>
    <w:rsid w:val="00DC7981"/>
    <w:rsid w:val="00DD432B"/>
    <w:rsid w:val="00DD4C07"/>
    <w:rsid w:val="00DD577D"/>
    <w:rsid w:val="00DD5ADC"/>
    <w:rsid w:val="00DE1093"/>
    <w:rsid w:val="00DE4EFA"/>
    <w:rsid w:val="00DE5520"/>
    <w:rsid w:val="00DE563D"/>
    <w:rsid w:val="00DE7AB5"/>
    <w:rsid w:val="00DF0152"/>
    <w:rsid w:val="00DF1958"/>
    <w:rsid w:val="00E02387"/>
    <w:rsid w:val="00E04818"/>
    <w:rsid w:val="00E06442"/>
    <w:rsid w:val="00E06952"/>
    <w:rsid w:val="00E10AD3"/>
    <w:rsid w:val="00E11E61"/>
    <w:rsid w:val="00E157B2"/>
    <w:rsid w:val="00E16055"/>
    <w:rsid w:val="00E2332D"/>
    <w:rsid w:val="00E23993"/>
    <w:rsid w:val="00E2574F"/>
    <w:rsid w:val="00E25951"/>
    <w:rsid w:val="00E25B8C"/>
    <w:rsid w:val="00E31CF6"/>
    <w:rsid w:val="00E33061"/>
    <w:rsid w:val="00E33C42"/>
    <w:rsid w:val="00E34A4A"/>
    <w:rsid w:val="00E35AFC"/>
    <w:rsid w:val="00E41D39"/>
    <w:rsid w:val="00E50A02"/>
    <w:rsid w:val="00E54106"/>
    <w:rsid w:val="00E54697"/>
    <w:rsid w:val="00E57A08"/>
    <w:rsid w:val="00E63631"/>
    <w:rsid w:val="00E64C2A"/>
    <w:rsid w:val="00E65C85"/>
    <w:rsid w:val="00E66199"/>
    <w:rsid w:val="00E70526"/>
    <w:rsid w:val="00E754B4"/>
    <w:rsid w:val="00E755EC"/>
    <w:rsid w:val="00E75663"/>
    <w:rsid w:val="00E7624D"/>
    <w:rsid w:val="00E81724"/>
    <w:rsid w:val="00E819A4"/>
    <w:rsid w:val="00E833FA"/>
    <w:rsid w:val="00E84B74"/>
    <w:rsid w:val="00E87066"/>
    <w:rsid w:val="00E966BF"/>
    <w:rsid w:val="00EA0C04"/>
    <w:rsid w:val="00EA3D42"/>
    <w:rsid w:val="00EA459E"/>
    <w:rsid w:val="00EA65D5"/>
    <w:rsid w:val="00EA6B1B"/>
    <w:rsid w:val="00EB1CBD"/>
    <w:rsid w:val="00EB3A34"/>
    <w:rsid w:val="00EB3C3F"/>
    <w:rsid w:val="00EB5F22"/>
    <w:rsid w:val="00EC04F1"/>
    <w:rsid w:val="00EC237F"/>
    <w:rsid w:val="00EC573A"/>
    <w:rsid w:val="00ED35C8"/>
    <w:rsid w:val="00ED3968"/>
    <w:rsid w:val="00ED7323"/>
    <w:rsid w:val="00EE28F3"/>
    <w:rsid w:val="00EE3713"/>
    <w:rsid w:val="00EE50D1"/>
    <w:rsid w:val="00EE7614"/>
    <w:rsid w:val="00EF5110"/>
    <w:rsid w:val="00EF5890"/>
    <w:rsid w:val="00EF76BA"/>
    <w:rsid w:val="00F0231A"/>
    <w:rsid w:val="00F03463"/>
    <w:rsid w:val="00F036B7"/>
    <w:rsid w:val="00F0700F"/>
    <w:rsid w:val="00F07F1F"/>
    <w:rsid w:val="00F10411"/>
    <w:rsid w:val="00F10827"/>
    <w:rsid w:val="00F10A9A"/>
    <w:rsid w:val="00F11B2D"/>
    <w:rsid w:val="00F121C2"/>
    <w:rsid w:val="00F1485B"/>
    <w:rsid w:val="00F15882"/>
    <w:rsid w:val="00F16887"/>
    <w:rsid w:val="00F170C7"/>
    <w:rsid w:val="00F171E0"/>
    <w:rsid w:val="00F20BD3"/>
    <w:rsid w:val="00F218A0"/>
    <w:rsid w:val="00F322E9"/>
    <w:rsid w:val="00F3231B"/>
    <w:rsid w:val="00F33808"/>
    <w:rsid w:val="00F373A5"/>
    <w:rsid w:val="00F37864"/>
    <w:rsid w:val="00F404F9"/>
    <w:rsid w:val="00F44B0A"/>
    <w:rsid w:val="00F47559"/>
    <w:rsid w:val="00F50B30"/>
    <w:rsid w:val="00F51F5F"/>
    <w:rsid w:val="00F52B72"/>
    <w:rsid w:val="00F52D75"/>
    <w:rsid w:val="00F55582"/>
    <w:rsid w:val="00F57647"/>
    <w:rsid w:val="00F57DD0"/>
    <w:rsid w:val="00F62A14"/>
    <w:rsid w:val="00F644AB"/>
    <w:rsid w:val="00F64C7B"/>
    <w:rsid w:val="00F665F4"/>
    <w:rsid w:val="00F676DD"/>
    <w:rsid w:val="00F67AB6"/>
    <w:rsid w:val="00F70028"/>
    <w:rsid w:val="00F70434"/>
    <w:rsid w:val="00F75A26"/>
    <w:rsid w:val="00F76706"/>
    <w:rsid w:val="00F77D6D"/>
    <w:rsid w:val="00F80206"/>
    <w:rsid w:val="00F83034"/>
    <w:rsid w:val="00F83FAD"/>
    <w:rsid w:val="00F844C6"/>
    <w:rsid w:val="00F92FA6"/>
    <w:rsid w:val="00F9353B"/>
    <w:rsid w:val="00F937F1"/>
    <w:rsid w:val="00F94CF8"/>
    <w:rsid w:val="00F952A0"/>
    <w:rsid w:val="00F96B02"/>
    <w:rsid w:val="00FA31B1"/>
    <w:rsid w:val="00FA3320"/>
    <w:rsid w:val="00FA3C7F"/>
    <w:rsid w:val="00FA5FDC"/>
    <w:rsid w:val="00FA6246"/>
    <w:rsid w:val="00FB0E78"/>
    <w:rsid w:val="00FB24ED"/>
    <w:rsid w:val="00FB2C7C"/>
    <w:rsid w:val="00FB3304"/>
    <w:rsid w:val="00FB5005"/>
    <w:rsid w:val="00FB60FE"/>
    <w:rsid w:val="00FB74E2"/>
    <w:rsid w:val="00FB778B"/>
    <w:rsid w:val="00FC172F"/>
    <w:rsid w:val="00FC48E2"/>
    <w:rsid w:val="00FD5614"/>
    <w:rsid w:val="00FD5E78"/>
    <w:rsid w:val="00FE0BE1"/>
    <w:rsid w:val="00FE11BB"/>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3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2"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2"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583221389">
      <w:bodyDiv w:val="1"/>
      <w:marLeft w:val="0"/>
      <w:marRight w:val="0"/>
      <w:marTop w:val="0"/>
      <w:marBottom w:val="0"/>
      <w:divBdr>
        <w:top w:val="none" w:sz="0" w:space="0" w:color="auto"/>
        <w:left w:val="none" w:sz="0" w:space="0" w:color="auto"/>
        <w:bottom w:val="none" w:sz="0" w:space="0" w:color="auto"/>
        <w:right w:val="none" w:sz="0" w:space="0" w:color="auto"/>
      </w:divBdr>
    </w:div>
    <w:div w:id="1670019783">
      <w:bodyDiv w:val="1"/>
      <w:marLeft w:val="0"/>
      <w:marRight w:val="0"/>
      <w:marTop w:val="0"/>
      <w:marBottom w:val="0"/>
      <w:divBdr>
        <w:top w:val="none" w:sz="0" w:space="0" w:color="auto"/>
        <w:left w:val="none" w:sz="0" w:space="0" w:color="auto"/>
        <w:bottom w:val="none" w:sz="0" w:space="0" w:color="auto"/>
        <w:right w:val="none" w:sz="0" w:space="0" w:color="auto"/>
      </w:divBdr>
    </w:div>
    <w:div w:id="1796751414">
      <w:bodyDiv w:val="1"/>
      <w:marLeft w:val="0"/>
      <w:marRight w:val="0"/>
      <w:marTop w:val="0"/>
      <w:marBottom w:val="0"/>
      <w:divBdr>
        <w:top w:val="none" w:sz="0" w:space="0" w:color="auto"/>
        <w:left w:val="none" w:sz="0" w:space="0" w:color="auto"/>
        <w:bottom w:val="none" w:sz="0" w:space="0" w:color="auto"/>
        <w:right w:val="none" w:sz="0" w:space="0" w:color="auto"/>
      </w:divBdr>
    </w:div>
    <w:div w:id="1808818772">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 w:id="201530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ERInquiry@aer.gov.au" TargetMode="External"/><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2D46D9FE.dotm</Template>
  <TotalTime>0</TotalTime>
  <Pages>38</Pages>
  <Words>9388</Words>
  <Characters>53514</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AER draft decision - Powerlink - Attachment 2 - Regulatory asset base (RAB)</vt:lpstr>
    </vt:vector>
  </TitlesOfParts>
  <Company>ACCC</Company>
  <LinksUpToDate>false</LinksUpToDate>
  <CharactersWithSpaces>62777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 draft decision - Powerlink - Attachment 2 - Regulatory asset base (RAB)</dc:title>
  <dc:creator>AER</dc:creator>
  <cp:lastModifiedBy>Le Cornu, Matthew</cp:lastModifiedBy>
  <cp:revision>2</cp:revision>
  <cp:lastPrinted>2016-09-27T04:17:00Z</cp:lastPrinted>
  <dcterms:created xsi:type="dcterms:W3CDTF">2016-09-27T23:13:00Z</dcterms:created>
  <dcterms:modified xsi:type="dcterms:W3CDTF">2016-09-27T23:13:00Z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\\cdchnas-evs02\home$\mleco\aer - draft decision powerlink transmission determination - attachment 2 - regulatory asset base - september 2016 (D2015-00169217).docx</vt:lpwstr>
  </property>
</Properties>
</file>