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vanish/>
          <w:sz w:val="36"/>
          <w:szCs w:val="36"/>
          <w:highlight w:val="yellow"/>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0177AB42" wp14:editId="66F1ABCF">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059242D" wp14:editId="56CDC0F1">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37699E" w:rsidP="008F07A3">
          <w:pPr>
            <w:pStyle w:val="ReportSubtitle"/>
          </w:pPr>
          <w:r>
            <w:t xml:space="preserve">Attachment </w:t>
          </w:r>
          <w:r w:rsidR="007A4B02">
            <w:t>7</w:t>
          </w:r>
          <w:r w:rsidR="000474DF">
            <w:t xml:space="preserve"> </w:t>
          </w:r>
          <w:r w:rsidR="00185BA5">
            <w:t>–</w:t>
          </w:r>
          <w:r w:rsidR="000474DF">
            <w:t xml:space="preserve"> </w:t>
          </w:r>
          <w:r w:rsidR="007A4B02">
            <w:t>Operating expenditure</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116E61">
        <w:t>1</w:t>
      </w:r>
      <w:r w:rsidR="006C1BC1">
        <w:t>3</w:t>
      </w:r>
      <w:bookmarkStart w:id="1" w:name="_GoBack"/>
      <w:bookmarkEnd w:id="1"/>
      <w:r w:rsidR="00116E61">
        <w:t>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34828866"/>
      <w:bookmarkStart w:id="5" w:name="_Toc462752392"/>
      <w:r>
        <w:lastRenderedPageBreak/>
        <w:t>Note</w:t>
      </w:r>
      <w:bookmarkEnd w:id="2"/>
      <w:bookmarkEnd w:id="3"/>
      <w:bookmarkEnd w:id="4"/>
      <w:bookmarkEnd w:id="5"/>
    </w:p>
    <w:p w:rsidR="00761454" w:rsidRDefault="00761454" w:rsidP="00761454">
      <w:pPr>
        <w:numPr>
          <w:ilvl w:val="0"/>
          <w:numId w:val="24"/>
        </w:numPr>
      </w:pPr>
      <w:r>
        <w:t xml:space="preserve">This </w:t>
      </w:r>
      <w:r w:rsidR="004F53C3">
        <w:t>attachment</w:t>
      </w:r>
      <w:r>
        <w:t xml:space="preserve"> forms part of the AER's </w:t>
      </w:r>
      <w:r w:rsidR="000474DF">
        <w:t xml:space="preserve">draft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6" w:name="_Toc404354899"/>
      <w:bookmarkStart w:id="7" w:name="_Toc404353070"/>
      <w:bookmarkStart w:id="8" w:name="_Toc404684201"/>
      <w:bookmarkStart w:id="9" w:name="_Toc404700923"/>
      <w:r>
        <w:br w:type="page"/>
      </w:r>
    </w:p>
    <w:bookmarkEnd w:id="6"/>
    <w:bookmarkEnd w:id="7"/>
    <w:bookmarkEnd w:id="8"/>
    <w:bookmarkEnd w:id="9"/>
    <w:p w:rsidR="00CE2A23" w:rsidRPr="008F07A3" w:rsidRDefault="00CE2A23" w:rsidP="00CE2A23">
      <w:pPr>
        <w:numPr>
          <w:ilvl w:val="0"/>
          <w:numId w:val="24"/>
        </w:numPr>
        <w:sectPr w:rsidR="00CE2A23" w:rsidRPr="008F07A3" w:rsidSect="00317E02">
          <w:footerReference w:type="default" r:id="rId12"/>
          <w:pgSz w:w="11906" w:h="16838" w:code="9"/>
          <w:pgMar w:top="1440" w:right="1700" w:bottom="1582" w:left="1729" w:header="720" w:footer="0" w:gutter="0"/>
          <w:pgNumType w:start="0" w:chapStyle="1"/>
          <w:cols w:space="720"/>
          <w:docGrid w:linePitch="326"/>
        </w:sectPr>
      </w:pPr>
    </w:p>
    <w:sdt>
      <w:sdtPr>
        <w:rPr>
          <w:rFonts w:eastAsiaTheme="minorHAnsi" w:cstheme="minorBidi"/>
          <w:b w:val="0"/>
          <w:bCs w:val="0"/>
          <w:vanish/>
          <w:color w:val="auto"/>
          <w:sz w:val="22"/>
          <w:szCs w:val="22"/>
          <w:highlight w:val="yellow"/>
          <w:lang w:val="en-AU" w:eastAsia="en-US"/>
        </w:rPr>
        <w:id w:val="-1901198352"/>
        <w:docPartObj>
          <w:docPartGallery w:val="Table of Contents"/>
          <w:docPartUnique/>
        </w:docPartObj>
      </w:sdtPr>
      <w:sdtEndPr/>
      <w:sdtContent>
        <w:p w:rsidR="006F3367" w:rsidRPr="006F3367" w:rsidRDefault="006F3367" w:rsidP="006F3367">
          <w:pPr>
            <w:pStyle w:val="TOCHeading"/>
          </w:pPr>
          <w:r w:rsidRPr="006F3367">
            <w:t>Contents</w:t>
          </w:r>
        </w:p>
        <w:p w:rsidR="00943BFB" w:rsidRDefault="006F3367">
          <w:pPr>
            <w:pStyle w:val="TOC1"/>
            <w:rPr>
              <w:rFonts w:asciiTheme="minorHAnsi" w:eastAsiaTheme="minorEastAsia" w:hAnsiTheme="minorHAnsi"/>
              <w:b w:val="0"/>
              <w:color w:val="auto"/>
              <w:sz w:val="22"/>
              <w:lang w:val="en-AU" w:eastAsia="en-AU"/>
            </w:rPr>
          </w:pPr>
          <w:r w:rsidRPr="006F3367">
            <w:fldChar w:fldCharType="begin"/>
          </w:r>
          <w:r w:rsidRPr="006F3367">
            <w:instrText xml:space="preserve"> TOC \o "1-3" \h \z \u </w:instrText>
          </w:r>
          <w:r w:rsidRPr="006F3367">
            <w:fldChar w:fldCharType="separate"/>
          </w:r>
          <w:hyperlink w:anchor="_Toc462752392" w:history="1">
            <w:r w:rsidR="00943BFB" w:rsidRPr="003E30A4">
              <w:rPr>
                <w:rStyle w:val="Hyperlink"/>
              </w:rPr>
              <w:t>Note</w:t>
            </w:r>
            <w:r w:rsidR="00943BFB">
              <w:rPr>
                <w:webHidden/>
              </w:rPr>
              <w:tab/>
            </w:r>
            <w:r w:rsidR="00943BFB">
              <w:rPr>
                <w:webHidden/>
              </w:rPr>
              <w:fldChar w:fldCharType="begin"/>
            </w:r>
            <w:r w:rsidR="00943BFB">
              <w:rPr>
                <w:webHidden/>
              </w:rPr>
              <w:instrText xml:space="preserve"> PAGEREF _Toc462752392 \h </w:instrText>
            </w:r>
            <w:r w:rsidR="00943BFB">
              <w:rPr>
                <w:webHidden/>
              </w:rPr>
            </w:r>
            <w:r w:rsidR="00943BFB">
              <w:rPr>
                <w:webHidden/>
              </w:rPr>
              <w:fldChar w:fldCharType="separate"/>
            </w:r>
            <w:r w:rsidR="00943BFB">
              <w:rPr>
                <w:webHidden/>
              </w:rPr>
              <w:t>7-2</w:t>
            </w:r>
            <w:r w:rsidR="00943BFB">
              <w:rPr>
                <w:webHidden/>
              </w:rPr>
              <w:fldChar w:fldCharType="end"/>
            </w:r>
          </w:hyperlink>
        </w:p>
        <w:p w:rsidR="00943BFB" w:rsidRDefault="006C1BC1">
          <w:pPr>
            <w:pStyle w:val="TOC1"/>
            <w:rPr>
              <w:rFonts w:asciiTheme="minorHAnsi" w:eastAsiaTheme="minorEastAsia" w:hAnsiTheme="minorHAnsi"/>
              <w:b w:val="0"/>
              <w:color w:val="auto"/>
              <w:sz w:val="22"/>
              <w:lang w:val="en-AU" w:eastAsia="en-AU"/>
            </w:rPr>
          </w:pPr>
          <w:hyperlink w:anchor="_Toc462752393" w:history="1">
            <w:r w:rsidR="00943BFB" w:rsidRPr="003E30A4">
              <w:rPr>
                <w:rStyle w:val="Hyperlink"/>
              </w:rPr>
              <w:t>Shortened forms</w:t>
            </w:r>
            <w:r w:rsidR="00943BFB">
              <w:rPr>
                <w:webHidden/>
              </w:rPr>
              <w:tab/>
            </w:r>
            <w:r w:rsidR="00943BFB">
              <w:rPr>
                <w:webHidden/>
              </w:rPr>
              <w:fldChar w:fldCharType="begin"/>
            </w:r>
            <w:r w:rsidR="00943BFB">
              <w:rPr>
                <w:webHidden/>
              </w:rPr>
              <w:instrText xml:space="preserve"> PAGEREF _Toc462752393 \h </w:instrText>
            </w:r>
            <w:r w:rsidR="00943BFB">
              <w:rPr>
                <w:webHidden/>
              </w:rPr>
            </w:r>
            <w:r w:rsidR="00943BFB">
              <w:rPr>
                <w:webHidden/>
              </w:rPr>
              <w:fldChar w:fldCharType="separate"/>
            </w:r>
            <w:r w:rsidR="00943BFB">
              <w:rPr>
                <w:webHidden/>
              </w:rPr>
              <w:t>7-4</w:t>
            </w:r>
            <w:r w:rsidR="00943BFB">
              <w:rPr>
                <w:webHidden/>
              </w:rPr>
              <w:fldChar w:fldCharType="end"/>
            </w:r>
          </w:hyperlink>
        </w:p>
        <w:p w:rsidR="00943BFB" w:rsidRDefault="006C1BC1">
          <w:pPr>
            <w:pStyle w:val="TOC1"/>
            <w:rPr>
              <w:rFonts w:asciiTheme="minorHAnsi" w:eastAsiaTheme="minorEastAsia" w:hAnsiTheme="minorHAnsi"/>
              <w:b w:val="0"/>
              <w:color w:val="auto"/>
              <w:sz w:val="22"/>
              <w:lang w:val="en-AU" w:eastAsia="en-AU"/>
            </w:rPr>
          </w:pPr>
          <w:hyperlink w:anchor="_Toc462752394" w:history="1">
            <w:r w:rsidR="00943BFB" w:rsidRPr="003E30A4">
              <w:rPr>
                <w:rStyle w:val="Hyperlink"/>
              </w:rPr>
              <w:t>7</w:t>
            </w:r>
            <w:r w:rsidR="00943BFB">
              <w:rPr>
                <w:rFonts w:asciiTheme="minorHAnsi" w:eastAsiaTheme="minorEastAsia" w:hAnsiTheme="minorHAnsi"/>
                <w:b w:val="0"/>
                <w:color w:val="auto"/>
                <w:sz w:val="22"/>
                <w:lang w:val="en-AU" w:eastAsia="en-AU"/>
              </w:rPr>
              <w:tab/>
            </w:r>
            <w:r w:rsidR="00943BFB" w:rsidRPr="003E30A4">
              <w:rPr>
                <w:rStyle w:val="Hyperlink"/>
              </w:rPr>
              <w:t>Operating expenditure</w:t>
            </w:r>
            <w:r w:rsidR="00943BFB">
              <w:rPr>
                <w:webHidden/>
              </w:rPr>
              <w:tab/>
            </w:r>
            <w:r w:rsidR="00943BFB">
              <w:rPr>
                <w:webHidden/>
              </w:rPr>
              <w:fldChar w:fldCharType="begin"/>
            </w:r>
            <w:r w:rsidR="00943BFB">
              <w:rPr>
                <w:webHidden/>
              </w:rPr>
              <w:instrText xml:space="preserve"> PAGEREF _Toc462752394 \h </w:instrText>
            </w:r>
            <w:r w:rsidR="00943BFB">
              <w:rPr>
                <w:webHidden/>
              </w:rPr>
            </w:r>
            <w:r w:rsidR="00943BFB">
              <w:rPr>
                <w:webHidden/>
              </w:rPr>
              <w:fldChar w:fldCharType="separate"/>
            </w:r>
            <w:r w:rsidR="00943BFB">
              <w:rPr>
                <w:webHidden/>
              </w:rPr>
              <w:t>7-6</w:t>
            </w:r>
            <w:r w:rsidR="00943BFB">
              <w:rPr>
                <w:webHidden/>
              </w:rPr>
              <w:fldChar w:fldCharType="end"/>
            </w:r>
          </w:hyperlink>
        </w:p>
        <w:p w:rsidR="00943BFB" w:rsidRDefault="006C1BC1">
          <w:pPr>
            <w:pStyle w:val="TOC2"/>
            <w:rPr>
              <w:rFonts w:asciiTheme="minorHAnsi" w:eastAsiaTheme="minorEastAsia" w:hAnsiTheme="minorHAnsi"/>
              <w:b w:val="0"/>
              <w:color w:val="auto"/>
              <w:sz w:val="22"/>
              <w:lang w:eastAsia="en-AU"/>
            </w:rPr>
          </w:pPr>
          <w:hyperlink w:anchor="_Toc462752395" w:history="1">
            <w:r w:rsidR="00943BFB" w:rsidRPr="003E30A4">
              <w:rPr>
                <w:rStyle w:val="Hyperlink"/>
              </w:rPr>
              <w:t>7.1</w:t>
            </w:r>
            <w:r w:rsidR="00943BFB">
              <w:rPr>
                <w:rFonts w:asciiTheme="minorHAnsi" w:eastAsiaTheme="minorEastAsia" w:hAnsiTheme="minorHAnsi"/>
                <w:b w:val="0"/>
                <w:color w:val="auto"/>
                <w:sz w:val="22"/>
                <w:lang w:eastAsia="en-AU"/>
              </w:rPr>
              <w:tab/>
            </w:r>
            <w:r w:rsidR="00943BFB" w:rsidRPr="003E30A4">
              <w:rPr>
                <w:rStyle w:val="Hyperlink"/>
              </w:rPr>
              <w:t>Draft decision</w:t>
            </w:r>
            <w:r w:rsidR="00943BFB">
              <w:rPr>
                <w:webHidden/>
              </w:rPr>
              <w:tab/>
            </w:r>
            <w:r w:rsidR="00943BFB">
              <w:rPr>
                <w:webHidden/>
              </w:rPr>
              <w:fldChar w:fldCharType="begin"/>
            </w:r>
            <w:r w:rsidR="00943BFB">
              <w:rPr>
                <w:webHidden/>
              </w:rPr>
              <w:instrText xml:space="preserve"> PAGEREF _Toc462752395 \h </w:instrText>
            </w:r>
            <w:r w:rsidR="00943BFB">
              <w:rPr>
                <w:webHidden/>
              </w:rPr>
            </w:r>
            <w:r w:rsidR="00943BFB">
              <w:rPr>
                <w:webHidden/>
              </w:rPr>
              <w:fldChar w:fldCharType="separate"/>
            </w:r>
            <w:r w:rsidR="00943BFB">
              <w:rPr>
                <w:webHidden/>
              </w:rPr>
              <w:t>7-6</w:t>
            </w:r>
            <w:r w:rsidR="00943BFB">
              <w:rPr>
                <w:webHidden/>
              </w:rPr>
              <w:fldChar w:fldCharType="end"/>
            </w:r>
          </w:hyperlink>
        </w:p>
        <w:p w:rsidR="00943BFB" w:rsidRDefault="006C1BC1">
          <w:pPr>
            <w:pStyle w:val="TOC2"/>
            <w:rPr>
              <w:rFonts w:asciiTheme="minorHAnsi" w:eastAsiaTheme="minorEastAsia" w:hAnsiTheme="minorHAnsi"/>
              <w:b w:val="0"/>
              <w:color w:val="auto"/>
              <w:sz w:val="22"/>
              <w:lang w:eastAsia="en-AU"/>
            </w:rPr>
          </w:pPr>
          <w:hyperlink w:anchor="_Toc462752396" w:history="1">
            <w:r w:rsidR="00943BFB" w:rsidRPr="003E30A4">
              <w:rPr>
                <w:rStyle w:val="Hyperlink"/>
              </w:rPr>
              <w:t>7.2</w:t>
            </w:r>
            <w:r w:rsidR="00943BFB">
              <w:rPr>
                <w:rFonts w:asciiTheme="minorHAnsi" w:eastAsiaTheme="minorEastAsia" w:hAnsiTheme="minorHAnsi"/>
                <w:b w:val="0"/>
                <w:color w:val="auto"/>
                <w:sz w:val="22"/>
                <w:lang w:eastAsia="en-AU"/>
              </w:rPr>
              <w:tab/>
            </w:r>
            <w:r w:rsidR="00943BFB" w:rsidRPr="003E30A4">
              <w:rPr>
                <w:rStyle w:val="Hyperlink"/>
              </w:rPr>
              <w:t>Powerlink’s proposal</w:t>
            </w:r>
            <w:r w:rsidR="00943BFB">
              <w:rPr>
                <w:webHidden/>
              </w:rPr>
              <w:tab/>
            </w:r>
            <w:r w:rsidR="00943BFB">
              <w:rPr>
                <w:webHidden/>
              </w:rPr>
              <w:fldChar w:fldCharType="begin"/>
            </w:r>
            <w:r w:rsidR="00943BFB">
              <w:rPr>
                <w:webHidden/>
              </w:rPr>
              <w:instrText xml:space="preserve"> PAGEREF _Toc462752396 \h </w:instrText>
            </w:r>
            <w:r w:rsidR="00943BFB">
              <w:rPr>
                <w:webHidden/>
              </w:rPr>
            </w:r>
            <w:r w:rsidR="00943BFB">
              <w:rPr>
                <w:webHidden/>
              </w:rPr>
              <w:fldChar w:fldCharType="separate"/>
            </w:r>
            <w:r w:rsidR="00943BFB">
              <w:rPr>
                <w:webHidden/>
              </w:rPr>
              <w:t>7-7</w:t>
            </w:r>
            <w:r w:rsidR="00943BFB">
              <w:rPr>
                <w:webHidden/>
              </w:rPr>
              <w:fldChar w:fldCharType="end"/>
            </w:r>
          </w:hyperlink>
        </w:p>
        <w:p w:rsidR="00943BFB" w:rsidRDefault="006C1BC1">
          <w:pPr>
            <w:pStyle w:val="TOC3"/>
            <w:rPr>
              <w:rFonts w:asciiTheme="minorHAnsi" w:eastAsiaTheme="minorEastAsia" w:hAnsiTheme="minorHAnsi"/>
              <w:lang w:eastAsia="en-AU"/>
            </w:rPr>
          </w:pPr>
          <w:hyperlink w:anchor="_Toc462752397" w:history="1">
            <w:r w:rsidR="00943BFB" w:rsidRPr="003E30A4">
              <w:rPr>
                <w:rStyle w:val="Hyperlink"/>
              </w:rPr>
              <w:t>7.2.1</w:t>
            </w:r>
            <w:r w:rsidR="00943BFB">
              <w:rPr>
                <w:rFonts w:asciiTheme="minorHAnsi" w:eastAsiaTheme="minorEastAsia" w:hAnsiTheme="minorHAnsi"/>
                <w:lang w:eastAsia="en-AU"/>
              </w:rPr>
              <w:tab/>
            </w:r>
            <w:r w:rsidR="00943BFB" w:rsidRPr="003E30A4">
              <w:rPr>
                <w:rStyle w:val="Hyperlink"/>
              </w:rPr>
              <w:t>Submissions on Powerlink's proposal</w:t>
            </w:r>
            <w:r w:rsidR="00943BFB">
              <w:rPr>
                <w:webHidden/>
              </w:rPr>
              <w:tab/>
            </w:r>
            <w:r w:rsidR="00943BFB">
              <w:rPr>
                <w:webHidden/>
              </w:rPr>
              <w:fldChar w:fldCharType="begin"/>
            </w:r>
            <w:r w:rsidR="00943BFB">
              <w:rPr>
                <w:webHidden/>
              </w:rPr>
              <w:instrText xml:space="preserve"> PAGEREF _Toc462752397 \h </w:instrText>
            </w:r>
            <w:r w:rsidR="00943BFB">
              <w:rPr>
                <w:webHidden/>
              </w:rPr>
            </w:r>
            <w:r w:rsidR="00943BFB">
              <w:rPr>
                <w:webHidden/>
              </w:rPr>
              <w:fldChar w:fldCharType="separate"/>
            </w:r>
            <w:r w:rsidR="00943BFB">
              <w:rPr>
                <w:webHidden/>
              </w:rPr>
              <w:t>7-10</w:t>
            </w:r>
            <w:r w:rsidR="00943BFB">
              <w:rPr>
                <w:webHidden/>
              </w:rPr>
              <w:fldChar w:fldCharType="end"/>
            </w:r>
          </w:hyperlink>
        </w:p>
        <w:p w:rsidR="00943BFB" w:rsidRDefault="006C1BC1">
          <w:pPr>
            <w:pStyle w:val="TOC2"/>
            <w:rPr>
              <w:rFonts w:asciiTheme="minorHAnsi" w:eastAsiaTheme="minorEastAsia" w:hAnsiTheme="minorHAnsi"/>
              <w:b w:val="0"/>
              <w:color w:val="auto"/>
              <w:sz w:val="22"/>
              <w:lang w:eastAsia="en-AU"/>
            </w:rPr>
          </w:pPr>
          <w:hyperlink w:anchor="_Toc462752398" w:history="1">
            <w:r w:rsidR="00943BFB" w:rsidRPr="003E30A4">
              <w:rPr>
                <w:rStyle w:val="Hyperlink"/>
              </w:rPr>
              <w:t>7.3</w:t>
            </w:r>
            <w:r w:rsidR="00943BFB">
              <w:rPr>
                <w:rFonts w:asciiTheme="minorHAnsi" w:eastAsiaTheme="minorEastAsia" w:hAnsiTheme="minorHAnsi"/>
                <w:b w:val="0"/>
                <w:color w:val="auto"/>
                <w:sz w:val="22"/>
                <w:lang w:eastAsia="en-AU"/>
              </w:rPr>
              <w:tab/>
            </w:r>
            <w:r w:rsidR="00943BFB" w:rsidRPr="003E30A4">
              <w:rPr>
                <w:rStyle w:val="Hyperlink"/>
              </w:rPr>
              <w:t>Assessment approach</w:t>
            </w:r>
            <w:r w:rsidR="00943BFB">
              <w:rPr>
                <w:webHidden/>
              </w:rPr>
              <w:tab/>
            </w:r>
            <w:r w:rsidR="00943BFB">
              <w:rPr>
                <w:webHidden/>
              </w:rPr>
              <w:fldChar w:fldCharType="begin"/>
            </w:r>
            <w:r w:rsidR="00943BFB">
              <w:rPr>
                <w:webHidden/>
              </w:rPr>
              <w:instrText xml:space="preserve"> PAGEREF _Toc462752398 \h </w:instrText>
            </w:r>
            <w:r w:rsidR="00943BFB">
              <w:rPr>
                <w:webHidden/>
              </w:rPr>
            </w:r>
            <w:r w:rsidR="00943BFB">
              <w:rPr>
                <w:webHidden/>
              </w:rPr>
              <w:fldChar w:fldCharType="separate"/>
            </w:r>
            <w:r w:rsidR="00943BFB">
              <w:rPr>
                <w:webHidden/>
              </w:rPr>
              <w:t>7-12</w:t>
            </w:r>
            <w:r w:rsidR="00943BFB">
              <w:rPr>
                <w:webHidden/>
              </w:rPr>
              <w:fldChar w:fldCharType="end"/>
            </w:r>
          </w:hyperlink>
        </w:p>
        <w:p w:rsidR="00943BFB" w:rsidRDefault="006C1BC1">
          <w:pPr>
            <w:pStyle w:val="TOC3"/>
            <w:rPr>
              <w:rFonts w:asciiTheme="minorHAnsi" w:eastAsiaTheme="minorEastAsia" w:hAnsiTheme="minorHAnsi"/>
              <w:lang w:eastAsia="en-AU"/>
            </w:rPr>
          </w:pPr>
          <w:hyperlink w:anchor="_Toc462752399" w:history="1">
            <w:r w:rsidR="00943BFB" w:rsidRPr="003E30A4">
              <w:rPr>
                <w:rStyle w:val="Hyperlink"/>
              </w:rPr>
              <w:t>7.3.1</w:t>
            </w:r>
            <w:r w:rsidR="00943BFB">
              <w:rPr>
                <w:rFonts w:asciiTheme="minorHAnsi" w:eastAsiaTheme="minorEastAsia" w:hAnsiTheme="minorHAnsi"/>
                <w:lang w:eastAsia="en-AU"/>
              </w:rPr>
              <w:tab/>
            </w:r>
            <w:r w:rsidR="00943BFB" w:rsidRPr="003E30A4">
              <w:rPr>
                <w:rStyle w:val="Hyperlink"/>
              </w:rPr>
              <w:t>The National Electricity Objective, and the opex criteria, objective and factors</w:t>
            </w:r>
            <w:r w:rsidR="00943BFB">
              <w:rPr>
                <w:webHidden/>
              </w:rPr>
              <w:tab/>
            </w:r>
            <w:r w:rsidR="00943BFB">
              <w:rPr>
                <w:webHidden/>
              </w:rPr>
              <w:fldChar w:fldCharType="begin"/>
            </w:r>
            <w:r w:rsidR="00943BFB">
              <w:rPr>
                <w:webHidden/>
              </w:rPr>
              <w:instrText xml:space="preserve"> PAGEREF _Toc462752399 \h </w:instrText>
            </w:r>
            <w:r w:rsidR="00943BFB">
              <w:rPr>
                <w:webHidden/>
              </w:rPr>
            </w:r>
            <w:r w:rsidR="00943BFB">
              <w:rPr>
                <w:webHidden/>
              </w:rPr>
              <w:fldChar w:fldCharType="separate"/>
            </w:r>
            <w:r w:rsidR="00943BFB">
              <w:rPr>
                <w:webHidden/>
              </w:rPr>
              <w:t>7-13</w:t>
            </w:r>
            <w:r w:rsidR="00943BFB">
              <w:rPr>
                <w:webHidden/>
              </w:rPr>
              <w:fldChar w:fldCharType="end"/>
            </w:r>
          </w:hyperlink>
        </w:p>
        <w:p w:rsidR="00943BFB" w:rsidRDefault="006C1BC1">
          <w:pPr>
            <w:pStyle w:val="TOC2"/>
            <w:rPr>
              <w:rFonts w:asciiTheme="minorHAnsi" w:eastAsiaTheme="minorEastAsia" w:hAnsiTheme="minorHAnsi"/>
              <w:b w:val="0"/>
              <w:color w:val="auto"/>
              <w:sz w:val="22"/>
              <w:lang w:eastAsia="en-AU"/>
            </w:rPr>
          </w:pPr>
          <w:hyperlink w:anchor="_Toc462752400" w:history="1">
            <w:r w:rsidR="00943BFB" w:rsidRPr="003E30A4">
              <w:rPr>
                <w:rStyle w:val="Hyperlink"/>
              </w:rPr>
              <w:t>7.4</w:t>
            </w:r>
            <w:r w:rsidR="00943BFB">
              <w:rPr>
                <w:rFonts w:asciiTheme="minorHAnsi" w:eastAsiaTheme="minorEastAsia" w:hAnsiTheme="minorHAnsi"/>
                <w:b w:val="0"/>
                <w:color w:val="auto"/>
                <w:sz w:val="22"/>
                <w:lang w:eastAsia="en-AU"/>
              </w:rPr>
              <w:tab/>
            </w:r>
            <w:r w:rsidR="00943BFB" w:rsidRPr="003E30A4">
              <w:rPr>
                <w:rStyle w:val="Hyperlink"/>
              </w:rPr>
              <w:t>Reasons for draft decision</w:t>
            </w:r>
            <w:r w:rsidR="00943BFB">
              <w:rPr>
                <w:webHidden/>
              </w:rPr>
              <w:tab/>
            </w:r>
            <w:r w:rsidR="00943BFB">
              <w:rPr>
                <w:webHidden/>
              </w:rPr>
              <w:fldChar w:fldCharType="begin"/>
            </w:r>
            <w:r w:rsidR="00943BFB">
              <w:rPr>
                <w:webHidden/>
              </w:rPr>
              <w:instrText xml:space="preserve"> PAGEREF _Toc462752400 \h </w:instrText>
            </w:r>
            <w:r w:rsidR="00943BFB">
              <w:rPr>
                <w:webHidden/>
              </w:rPr>
            </w:r>
            <w:r w:rsidR="00943BFB">
              <w:rPr>
                <w:webHidden/>
              </w:rPr>
              <w:fldChar w:fldCharType="separate"/>
            </w:r>
            <w:r w:rsidR="00943BFB">
              <w:rPr>
                <w:webHidden/>
              </w:rPr>
              <w:t>7-13</w:t>
            </w:r>
            <w:r w:rsidR="00943BFB">
              <w:rPr>
                <w:webHidden/>
              </w:rPr>
              <w:fldChar w:fldCharType="end"/>
            </w:r>
          </w:hyperlink>
        </w:p>
        <w:p w:rsidR="00943BFB" w:rsidRDefault="006C1BC1">
          <w:pPr>
            <w:pStyle w:val="TOC3"/>
            <w:rPr>
              <w:rFonts w:asciiTheme="minorHAnsi" w:eastAsiaTheme="minorEastAsia" w:hAnsiTheme="minorHAnsi"/>
              <w:lang w:eastAsia="en-AU"/>
            </w:rPr>
          </w:pPr>
          <w:hyperlink w:anchor="_Toc462752401" w:history="1">
            <w:r w:rsidR="00943BFB" w:rsidRPr="003E30A4">
              <w:rPr>
                <w:rStyle w:val="Hyperlink"/>
              </w:rPr>
              <w:t>7.4.1</w:t>
            </w:r>
            <w:r w:rsidR="00943BFB">
              <w:rPr>
                <w:rFonts w:asciiTheme="minorHAnsi" w:eastAsiaTheme="minorEastAsia" w:hAnsiTheme="minorHAnsi"/>
                <w:lang w:eastAsia="en-AU"/>
              </w:rPr>
              <w:tab/>
            </w:r>
            <w:r w:rsidR="00943BFB" w:rsidRPr="003E30A4">
              <w:rPr>
                <w:rStyle w:val="Hyperlink"/>
              </w:rPr>
              <w:t>Base opex</w:t>
            </w:r>
            <w:r w:rsidR="00943BFB">
              <w:rPr>
                <w:webHidden/>
              </w:rPr>
              <w:tab/>
            </w:r>
            <w:r w:rsidR="00943BFB">
              <w:rPr>
                <w:webHidden/>
              </w:rPr>
              <w:fldChar w:fldCharType="begin"/>
            </w:r>
            <w:r w:rsidR="00943BFB">
              <w:rPr>
                <w:webHidden/>
              </w:rPr>
              <w:instrText xml:space="preserve"> PAGEREF _Toc462752401 \h </w:instrText>
            </w:r>
            <w:r w:rsidR="00943BFB">
              <w:rPr>
                <w:webHidden/>
              </w:rPr>
            </w:r>
            <w:r w:rsidR="00943BFB">
              <w:rPr>
                <w:webHidden/>
              </w:rPr>
              <w:fldChar w:fldCharType="separate"/>
            </w:r>
            <w:r w:rsidR="00943BFB">
              <w:rPr>
                <w:webHidden/>
              </w:rPr>
              <w:t>7-14</w:t>
            </w:r>
            <w:r w:rsidR="00943BFB">
              <w:rPr>
                <w:webHidden/>
              </w:rPr>
              <w:fldChar w:fldCharType="end"/>
            </w:r>
          </w:hyperlink>
        </w:p>
        <w:p w:rsidR="00943BFB" w:rsidRDefault="006C1BC1">
          <w:pPr>
            <w:pStyle w:val="TOC3"/>
            <w:rPr>
              <w:rFonts w:asciiTheme="minorHAnsi" w:eastAsiaTheme="minorEastAsia" w:hAnsiTheme="minorHAnsi"/>
              <w:lang w:eastAsia="en-AU"/>
            </w:rPr>
          </w:pPr>
          <w:hyperlink w:anchor="_Toc462752402" w:history="1">
            <w:r w:rsidR="00943BFB" w:rsidRPr="003E30A4">
              <w:rPr>
                <w:rStyle w:val="Hyperlink"/>
              </w:rPr>
              <w:t>7.4.2</w:t>
            </w:r>
            <w:r w:rsidR="00943BFB">
              <w:rPr>
                <w:rFonts w:asciiTheme="minorHAnsi" w:eastAsiaTheme="minorEastAsia" w:hAnsiTheme="minorHAnsi"/>
                <w:lang w:eastAsia="en-AU"/>
              </w:rPr>
              <w:tab/>
            </w:r>
            <w:r w:rsidR="00943BFB" w:rsidRPr="003E30A4">
              <w:rPr>
                <w:rStyle w:val="Hyperlink"/>
              </w:rPr>
              <w:t>Rate of change</w:t>
            </w:r>
            <w:r w:rsidR="00943BFB">
              <w:rPr>
                <w:webHidden/>
              </w:rPr>
              <w:tab/>
            </w:r>
            <w:r w:rsidR="00943BFB">
              <w:rPr>
                <w:webHidden/>
              </w:rPr>
              <w:fldChar w:fldCharType="begin"/>
            </w:r>
            <w:r w:rsidR="00943BFB">
              <w:rPr>
                <w:webHidden/>
              </w:rPr>
              <w:instrText xml:space="preserve"> PAGEREF _Toc462752402 \h </w:instrText>
            </w:r>
            <w:r w:rsidR="00943BFB">
              <w:rPr>
                <w:webHidden/>
              </w:rPr>
            </w:r>
            <w:r w:rsidR="00943BFB">
              <w:rPr>
                <w:webHidden/>
              </w:rPr>
              <w:fldChar w:fldCharType="separate"/>
            </w:r>
            <w:r w:rsidR="00943BFB">
              <w:rPr>
                <w:webHidden/>
              </w:rPr>
              <w:t>7-16</w:t>
            </w:r>
            <w:r w:rsidR="00943BFB">
              <w:rPr>
                <w:webHidden/>
              </w:rPr>
              <w:fldChar w:fldCharType="end"/>
            </w:r>
          </w:hyperlink>
        </w:p>
        <w:p w:rsidR="00943BFB" w:rsidRDefault="006C1BC1">
          <w:pPr>
            <w:pStyle w:val="TOC3"/>
            <w:rPr>
              <w:rFonts w:asciiTheme="minorHAnsi" w:eastAsiaTheme="minorEastAsia" w:hAnsiTheme="minorHAnsi"/>
              <w:lang w:eastAsia="en-AU"/>
            </w:rPr>
          </w:pPr>
          <w:hyperlink w:anchor="_Toc462752403" w:history="1">
            <w:r w:rsidR="00943BFB" w:rsidRPr="003E30A4">
              <w:rPr>
                <w:rStyle w:val="Hyperlink"/>
              </w:rPr>
              <w:t>7.4.3</w:t>
            </w:r>
            <w:r w:rsidR="00943BFB">
              <w:rPr>
                <w:rFonts w:asciiTheme="minorHAnsi" w:eastAsiaTheme="minorEastAsia" w:hAnsiTheme="minorHAnsi"/>
                <w:lang w:eastAsia="en-AU"/>
              </w:rPr>
              <w:tab/>
            </w:r>
            <w:r w:rsidR="00943BFB" w:rsidRPr="003E30A4">
              <w:rPr>
                <w:rStyle w:val="Hyperlink"/>
              </w:rPr>
              <w:t>Step changes and category specific forecasts</w:t>
            </w:r>
            <w:r w:rsidR="00943BFB">
              <w:rPr>
                <w:webHidden/>
              </w:rPr>
              <w:tab/>
            </w:r>
            <w:r w:rsidR="00943BFB">
              <w:rPr>
                <w:webHidden/>
              </w:rPr>
              <w:fldChar w:fldCharType="begin"/>
            </w:r>
            <w:r w:rsidR="00943BFB">
              <w:rPr>
                <w:webHidden/>
              </w:rPr>
              <w:instrText xml:space="preserve"> PAGEREF _Toc462752403 \h </w:instrText>
            </w:r>
            <w:r w:rsidR="00943BFB">
              <w:rPr>
                <w:webHidden/>
              </w:rPr>
            </w:r>
            <w:r w:rsidR="00943BFB">
              <w:rPr>
                <w:webHidden/>
              </w:rPr>
              <w:fldChar w:fldCharType="separate"/>
            </w:r>
            <w:r w:rsidR="00943BFB">
              <w:rPr>
                <w:webHidden/>
              </w:rPr>
              <w:t>7-20</w:t>
            </w:r>
            <w:r w:rsidR="00943BFB">
              <w:rPr>
                <w:webHidden/>
              </w:rPr>
              <w:fldChar w:fldCharType="end"/>
            </w:r>
          </w:hyperlink>
        </w:p>
        <w:p w:rsidR="00943BFB" w:rsidRDefault="006C1BC1">
          <w:pPr>
            <w:pStyle w:val="TOC3"/>
            <w:rPr>
              <w:rFonts w:asciiTheme="minorHAnsi" w:eastAsiaTheme="minorEastAsia" w:hAnsiTheme="minorHAnsi"/>
              <w:lang w:eastAsia="en-AU"/>
            </w:rPr>
          </w:pPr>
          <w:hyperlink w:anchor="_Toc462752404" w:history="1">
            <w:r w:rsidR="00943BFB" w:rsidRPr="003E30A4">
              <w:rPr>
                <w:rStyle w:val="Hyperlink"/>
              </w:rPr>
              <w:t>7.4.4</w:t>
            </w:r>
            <w:r w:rsidR="00943BFB">
              <w:rPr>
                <w:rFonts w:asciiTheme="minorHAnsi" w:eastAsiaTheme="minorEastAsia" w:hAnsiTheme="minorHAnsi"/>
                <w:lang w:eastAsia="en-AU"/>
              </w:rPr>
              <w:tab/>
            </w:r>
            <w:r w:rsidR="00943BFB" w:rsidRPr="003E30A4">
              <w:rPr>
                <w:rStyle w:val="Hyperlink"/>
              </w:rPr>
              <w:t>Safety and reliability</w:t>
            </w:r>
            <w:r w:rsidR="00943BFB">
              <w:rPr>
                <w:webHidden/>
              </w:rPr>
              <w:tab/>
            </w:r>
            <w:r w:rsidR="00943BFB">
              <w:rPr>
                <w:webHidden/>
              </w:rPr>
              <w:fldChar w:fldCharType="begin"/>
            </w:r>
            <w:r w:rsidR="00943BFB">
              <w:rPr>
                <w:webHidden/>
              </w:rPr>
              <w:instrText xml:space="preserve"> PAGEREF _Toc462752404 \h </w:instrText>
            </w:r>
            <w:r w:rsidR="00943BFB">
              <w:rPr>
                <w:webHidden/>
              </w:rPr>
            </w:r>
            <w:r w:rsidR="00943BFB">
              <w:rPr>
                <w:webHidden/>
              </w:rPr>
              <w:fldChar w:fldCharType="separate"/>
            </w:r>
            <w:r w:rsidR="00943BFB">
              <w:rPr>
                <w:webHidden/>
              </w:rPr>
              <w:t>7-21</w:t>
            </w:r>
            <w:r w:rsidR="00943BFB">
              <w:rPr>
                <w:webHidden/>
              </w:rPr>
              <w:fldChar w:fldCharType="end"/>
            </w:r>
          </w:hyperlink>
        </w:p>
        <w:p w:rsidR="00943BFB" w:rsidRDefault="006C1BC1">
          <w:pPr>
            <w:pStyle w:val="TOC3"/>
            <w:rPr>
              <w:rFonts w:asciiTheme="minorHAnsi" w:eastAsiaTheme="minorEastAsia" w:hAnsiTheme="minorHAnsi"/>
              <w:lang w:eastAsia="en-AU"/>
            </w:rPr>
          </w:pPr>
          <w:hyperlink w:anchor="_Toc462752405" w:history="1">
            <w:r w:rsidR="00943BFB" w:rsidRPr="003E30A4">
              <w:rPr>
                <w:rStyle w:val="Hyperlink"/>
              </w:rPr>
              <w:t>7.4.5</w:t>
            </w:r>
            <w:r w:rsidR="00943BFB">
              <w:rPr>
                <w:rFonts w:asciiTheme="minorHAnsi" w:eastAsiaTheme="minorEastAsia" w:hAnsiTheme="minorHAnsi"/>
                <w:lang w:eastAsia="en-AU"/>
              </w:rPr>
              <w:tab/>
            </w:r>
            <w:r w:rsidR="00943BFB" w:rsidRPr="003E30A4">
              <w:rPr>
                <w:rStyle w:val="Hyperlink"/>
              </w:rPr>
              <w:t>Interrelationships</w:t>
            </w:r>
            <w:r w:rsidR="00943BFB">
              <w:rPr>
                <w:webHidden/>
              </w:rPr>
              <w:tab/>
            </w:r>
            <w:r w:rsidR="00943BFB">
              <w:rPr>
                <w:webHidden/>
              </w:rPr>
              <w:fldChar w:fldCharType="begin"/>
            </w:r>
            <w:r w:rsidR="00943BFB">
              <w:rPr>
                <w:webHidden/>
              </w:rPr>
              <w:instrText xml:space="preserve"> PAGEREF _Toc462752405 \h </w:instrText>
            </w:r>
            <w:r w:rsidR="00943BFB">
              <w:rPr>
                <w:webHidden/>
              </w:rPr>
            </w:r>
            <w:r w:rsidR="00943BFB">
              <w:rPr>
                <w:webHidden/>
              </w:rPr>
              <w:fldChar w:fldCharType="separate"/>
            </w:r>
            <w:r w:rsidR="00943BFB">
              <w:rPr>
                <w:webHidden/>
              </w:rPr>
              <w:t>7-22</w:t>
            </w:r>
            <w:r w:rsidR="00943BFB">
              <w:rPr>
                <w:webHidden/>
              </w:rPr>
              <w:fldChar w:fldCharType="end"/>
            </w:r>
          </w:hyperlink>
        </w:p>
        <w:p w:rsidR="00943BFB" w:rsidRDefault="006C1BC1">
          <w:pPr>
            <w:pStyle w:val="TOC3"/>
            <w:rPr>
              <w:rFonts w:asciiTheme="minorHAnsi" w:eastAsiaTheme="minorEastAsia" w:hAnsiTheme="minorHAnsi"/>
              <w:lang w:eastAsia="en-AU"/>
            </w:rPr>
          </w:pPr>
          <w:hyperlink w:anchor="_Toc462752406" w:history="1">
            <w:r w:rsidR="00943BFB" w:rsidRPr="003E30A4">
              <w:rPr>
                <w:rStyle w:val="Hyperlink"/>
              </w:rPr>
              <w:t>7.4.6</w:t>
            </w:r>
            <w:r w:rsidR="00943BFB">
              <w:rPr>
                <w:rFonts w:asciiTheme="minorHAnsi" w:eastAsiaTheme="minorEastAsia" w:hAnsiTheme="minorHAnsi"/>
                <w:lang w:eastAsia="en-AU"/>
              </w:rPr>
              <w:tab/>
            </w:r>
            <w:r w:rsidR="00943BFB" w:rsidRPr="003E30A4">
              <w:rPr>
                <w:rStyle w:val="Hyperlink"/>
              </w:rPr>
              <w:t>Summary of submissions on Powerlink's opex proposal</w:t>
            </w:r>
            <w:r w:rsidR="00943BFB">
              <w:rPr>
                <w:webHidden/>
              </w:rPr>
              <w:tab/>
            </w:r>
            <w:r w:rsidR="00943BFB">
              <w:rPr>
                <w:webHidden/>
              </w:rPr>
              <w:fldChar w:fldCharType="begin"/>
            </w:r>
            <w:r w:rsidR="00943BFB">
              <w:rPr>
                <w:webHidden/>
              </w:rPr>
              <w:instrText xml:space="preserve"> PAGEREF _Toc462752406 \h </w:instrText>
            </w:r>
            <w:r w:rsidR="00943BFB">
              <w:rPr>
                <w:webHidden/>
              </w:rPr>
            </w:r>
            <w:r w:rsidR="00943BFB">
              <w:rPr>
                <w:webHidden/>
              </w:rPr>
              <w:fldChar w:fldCharType="separate"/>
            </w:r>
            <w:r w:rsidR="00943BFB">
              <w:rPr>
                <w:webHidden/>
              </w:rPr>
              <w:t>7-22</w:t>
            </w:r>
            <w:r w:rsidR="00943BFB">
              <w:rPr>
                <w:webHidden/>
              </w:rPr>
              <w:fldChar w:fldCharType="end"/>
            </w:r>
          </w:hyperlink>
        </w:p>
        <w:p w:rsidR="00943BFB" w:rsidRDefault="006C1BC1">
          <w:pPr>
            <w:pStyle w:val="TOC3"/>
            <w:rPr>
              <w:rFonts w:asciiTheme="minorHAnsi" w:eastAsiaTheme="minorEastAsia" w:hAnsiTheme="minorHAnsi"/>
              <w:lang w:eastAsia="en-AU"/>
            </w:rPr>
          </w:pPr>
          <w:hyperlink w:anchor="_Toc462752407" w:history="1">
            <w:r w:rsidR="00943BFB" w:rsidRPr="003E30A4">
              <w:rPr>
                <w:rStyle w:val="Hyperlink"/>
              </w:rPr>
              <w:t>7.4.7</w:t>
            </w:r>
            <w:r w:rsidR="00943BFB">
              <w:rPr>
                <w:rFonts w:asciiTheme="minorHAnsi" w:eastAsiaTheme="minorEastAsia" w:hAnsiTheme="minorHAnsi"/>
                <w:lang w:eastAsia="en-AU"/>
              </w:rPr>
              <w:tab/>
            </w:r>
            <w:r w:rsidR="00943BFB" w:rsidRPr="003E30A4">
              <w:rPr>
                <w:rStyle w:val="Hyperlink"/>
              </w:rPr>
              <w:t>Assessment of opex factors under the Rules</w:t>
            </w:r>
            <w:r w:rsidR="00943BFB">
              <w:rPr>
                <w:webHidden/>
              </w:rPr>
              <w:tab/>
            </w:r>
            <w:r w:rsidR="00943BFB">
              <w:rPr>
                <w:webHidden/>
              </w:rPr>
              <w:fldChar w:fldCharType="begin"/>
            </w:r>
            <w:r w:rsidR="00943BFB">
              <w:rPr>
                <w:webHidden/>
              </w:rPr>
              <w:instrText xml:space="preserve"> PAGEREF _Toc462752407 \h </w:instrText>
            </w:r>
            <w:r w:rsidR="00943BFB">
              <w:rPr>
                <w:webHidden/>
              </w:rPr>
            </w:r>
            <w:r w:rsidR="00943BFB">
              <w:rPr>
                <w:webHidden/>
              </w:rPr>
              <w:fldChar w:fldCharType="separate"/>
            </w:r>
            <w:r w:rsidR="00943BFB">
              <w:rPr>
                <w:webHidden/>
              </w:rPr>
              <w:t>7-25</w:t>
            </w:r>
            <w:r w:rsidR="00943BFB">
              <w:rPr>
                <w:webHidden/>
              </w:rPr>
              <w:fldChar w:fldCharType="end"/>
            </w:r>
          </w:hyperlink>
        </w:p>
        <w:p w:rsidR="006F3367" w:rsidRPr="006F3367" w:rsidRDefault="006F3367">
          <w:r w:rsidRPr="006F3367">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0" w:name="_Toc404700925"/>
      <w:bookmarkStart w:id="11" w:name="_Toc434828868"/>
      <w:bookmarkStart w:id="12" w:name="_Toc462752393"/>
      <w:r>
        <w:lastRenderedPageBreak/>
        <w:t>Shortened forms</w:t>
      </w:r>
      <w:bookmarkEnd w:id="10"/>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7A4B02" w:rsidP="007A4B0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34828869"/>
      <w:bookmarkStart w:id="72" w:name="_Toc462752394"/>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Operating expenditure</w:t>
      </w:r>
      <w:bookmarkEnd w:id="71"/>
      <w:bookmarkEnd w:id="72"/>
    </w:p>
    <w:p w:rsidR="003D1279" w:rsidRDefault="009D08D8" w:rsidP="00132D43">
      <w:r w:rsidRPr="009D08D8">
        <w:t>Operating expenditure (opex) refers to the opera</w:t>
      </w:r>
      <w:r>
        <w:t>ting, maintenance and other non-</w:t>
      </w:r>
      <w:r w:rsidRPr="009D08D8">
        <w:t>capital expenses incurred in the provision of network services. Forecast opex for standard control services is one of the building blocks we use to determine a service provider's revenue requirement.</w:t>
      </w:r>
      <w:r w:rsidR="005C4D18">
        <w:t xml:space="preserve"> </w:t>
      </w:r>
    </w:p>
    <w:p w:rsidR="00132D43" w:rsidRPr="00132D43" w:rsidRDefault="003D1279" w:rsidP="00132D43">
      <w:r w:rsidRPr="00865DDD">
        <w:rPr>
          <w:rStyle w:val="AERbody"/>
        </w:rPr>
        <w:t xml:space="preserve">This attachment </w:t>
      </w:r>
      <w:r>
        <w:rPr>
          <w:rStyle w:val="AERbody"/>
        </w:rPr>
        <w:t>outlines</w:t>
      </w:r>
      <w:r w:rsidRPr="00865DDD">
        <w:rPr>
          <w:rStyle w:val="AERbody"/>
        </w:rPr>
        <w:t xml:space="preserve"> our assessment of </w:t>
      </w:r>
      <w:r w:rsidR="00AE22F6">
        <w:rPr>
          <w:rStyle w:val="AERbody"/>
        </w:rPr>
        <w:t xml:space="preserve">Powerlink's proposed </w:t>
      </w:r>
      <w:r w:rsidRPr="00865DDD">
        <w:rPr>
          <w:rStyle w:val="AERbody"/>
        </w:rPr>
        <w:t>opex</w:t>
      </w:r>
      <w:r>
        <w:rPr>
          <w:rStyle w:val="AERbody"/>
        </w:rPr>
        <w:t xml:space="preserve"> for the </w:t>
      </w:r>
      <w:r>
        <w:rPr>
          <w:rStyle w:val="AERbody"/>
        </w:rPr>
        <w:br/>
        <w:t>2017–</w:t>
      </w:r>
      <w:r w:rsidR="00374BF5">
        <w:rPr>
          <w:rStyle w:val="AERbody"/>
        </w:rPr>
        <w:t>22</w:t>
      </w:r>
      <w:r>
        <w:rPr>
          <w:rStyle w:val="AERbody"/>
        </w:rPr>
        <w:t xml:space="preserve"> regulatory </w:t>
      </w:r>
      <w:proofErr w:type="gramStart"/>
      <w:r>
        <w:rPr>
          <w:rStyle w:val="AERbody"/>
        </w:rPr>
        <w:t>period</w:t>
      </w:r>
      <w:proofErr w:type="gramEnd"/>
      <w:r w:rsidR="005C4D18">
        <w:t>.</w:t>
      </w:r>
    </w:p>
    <w:p w:rsidR="00132D43" w:rsidRDefault="00132D43" w:rsidP="00132D43">
      <w:pPr>
        <w:pStyle w:val="Heading2"/>
      </w:pPr>
      <w:bookmarkStart w:id="73" w:name="_Toc434828870"/>
      <w:bookmarkStart w:id="74" w:name="_Toc462752395"/>
      <w:r>
        <w:t>Draft decision</w:t>
      </w:r>
      <w:bookmarkEnd w:id="73"/>
      <w:bookmarkEnd w:id="74"/>
    </w:p>
    <w:p w:rsidR="00A01843" w:rsidRPr="002A0CBA" w:rsidRDefault="00A01843" w:rsidP="00BF1806">
      <w:r w:rsidRPr="002A0CBA">
        <w:t xml:space="preserve">Our draft decision is to accept </w:t>
      </w:r>
      <w:r>
        <w:t>Powerlink</w:t>
      </w:r>
      <w:r w:rsidRPr="002A0CBA">
        <w:t>'</w:t>
      </w:r>
      <w:r>
        <w:t xml:space="preserve">s opex forecast of $976.7 </w:t>
      </w:r>
      <w:r w:rsidRPr="002A0CBA">
        <w:t>million ($2016–17) over the 2017</w:t>
      </w:r>
      <w:r>
        <w:t>–22</w:t>
      </w:r>
      <w:r w:rsidRPr="002A0CBA">
        <w:t xml:space="preserve"> regulatory period.</w:t>
      </w:r>
      <w:r>
        <w:t xml:space="preserve"> Powerlink's </w:t>
      </w:r>
      <w:r w:rsidRPr="00575880">
        <w:t xml:space="preserve">proposal </w:t>
      </w:r>
      <w:r>
        <w:t>is lower</w:t>
      </w:r>
      <w:r w:rsidRPr="00575880">
        <w:t xml:space="preserve"> </w:t>
      </w:r>
      <w:r>
        <w:t xml:space="preserve">(in real terms) than </w:t>
      </w:r>
      <w:r w:rsidRPr="00575880">
        <w:t>its annual opex spend in the 201</w:t>
      </w:r>
      <w:r>
        <w:t>2</w:t>
      </w:r>
      <w:r w:rsidRPr="00575880">
        <w:t>–17 regulatory period</w:t>
      </w:r>
      <w:r w:rsidR="007B531D">
        <w:t xml:space="preserve"> (section 7.2)</w:t>
      </w:r>
      <w:r w:rsidRPr="002A0CBA">
        <w:t>.</w:t>
      </w:r>
    </w:p>
    <w:p w:rsidR="00374BF5" w:rsidRDefault="00A01843" w:rsidP="004D12CF">
      <w:r>
        <w:t xml:space="preserve">We developed an alternative estimate of </w:t>
      </w:r>
      <w:r w:rsidR="0072177F">
        <w:t xml:space="preserve">Powerlink's </w:t>
      </w:r>
      <w:r>
        <w:t xml:space="preserve">efficient costs to assess </w:t>
      </w:r>
      <w:r w:rsidR="007B531D">
        <w:t xml:space="preserve">its </w:t>
      </w:r>
      <w:r>
        <w:t>proposal. We used our standard 'base-step-trend' approach (section 7.3).</w:t>
      </w:r>
      <w:r>
        <w:rPr>
          <w:rStyle w:val="FootnoteReference"/>
        </w:rPr>
        <w:footnoteReference w:id="1"/>
      </w:r>
      <w:r>
        <w:t xml:space="preserve"> This is a </w:t>
      </w:r>
      <w:r w:rsidR="00374BF5">
        <w:t>'</w:t>
      </w:r>
      <w:r>
        <w:t>top-down model</w:t>
      </w:r>
      <w:r w:rsidR="00374BF5">
        <w:t>'</w:t>
      </w:r>
      <w:r>
        <w:t xml:space="preserve"> that allows us to leave the day-to-day decisions to the business—and is consistent with an economic, incentive-based regulatory framework.</w:t>
      </w:r>
      <w:r w:rsidR="004D12CF" w:rsidRPr="004D12CF">
        <w:t xml:space="preserve"> </w:t>
      </w:r>
    </w:p>
    <w:p w:rsidR="00597356" w:rsidRDefault="007D6876" w:rsidP="007D6876">
      <w:r w:rsidRPr="007D6876">
        <w:t>Our benchmarking indicate</w:t>
      </w:r>
      <w:r w:rsidR="001913EA">
        <w:t>s</w:t>
      </w:r>
      <w:r w:rsidRPr="007D6876">
        <w:t xml:space="preserve"> Powerlink has not been operating as efficiently as other transmission businesses in the National Electricity Market (NEM). </w:t>
      </w:r>
      <w:r w:rsidR="007C6063">
        <w:t>Consumer Challenge Panel (</w:t>
      </w:r>
      <w:r w:rsidRPr="007D6876">
        <w:t>CCP</w:t>
      </w:r>
      <w:r w:rsidR="007C6063">
        <w:t>)</w:t>
      </w:r>
      <w:r w:rsidRPr="007D6876">
        <w:t xml:space="preserve"> </w:t>
      </w:r>
      <w:r w:rsidR="008D69E9">
        <w:t>members made a submission stating</w:t>
      </w:r>
      <w:r w:rsidRPr="007D6876">
        <w:t xml:space="preserve"> we should apply benchmarking to determine Powerlink’s efficient base year opex.</w:t>
      </w:r>
      <w:r w:rsidR="008D69E9">
        <w:rPr>
          <w:rStyle w:val="FootnoteReference"/>
        </w:rPr>
        <w:footnoteReference w:id="2"/>
      </w:r>
      <w:r w:rsidRPr="007D6876">
        <w:t xml:space="preserve"> However, our benchmarking of transmission businesses is not sufficiently robust to support an alternative forecast of base opex at this stage of its development. Our benchmarking is limited by the small sample size of transmission businesses in the NEM</w:t>
      </w:r>
      <w:r w:rsidR="00354442">
        <w:t>—</w:t>
      </w:r>
      <w:r w:rsidRPr="007D6876">
        <w:t xml:space="preserve">among other things. </w:t>
      </w:r>
    </w:p>
    <w:p w:rsidR="007D6876" w:rsidRPr="007D6876" w:rsidRDefault="00B20243" w:rsidP="007D6876">
      <w:r>
        <w:t>Powerlink acknowledged</w:t>
      </w:r>
      <w:r w:rsidR="007D6876" w:rsidRPr="007D6876">
        <w:t xml:space="preserve"> it has scope to be more efficient and has included efficiency measures in its proposal that </w:t>
      </w:r>
      <w:r w:rsidR="007176BF">
        <w:t>in effect</w:t>
      </w:r>
      <w:r w:rsidR="007176BF" w:rsidRPr="007D6876" w:rsidDel="007176BF">
        <w:t xml:space="preserve"> </w:t>
      </w:r>
      <w:r w:rsidR="007D6876" w:rsidRPr="007D6876">
        <w:t xml:space="preserve">reduce its base opex by </w:t>
      </w:r>
      <w:r w:rsidR="000F1B1C">
        <w:t>12.2</w:t>
      </w:r>
      <w:r w:rsidR="005E5CF5">
        <w:t> per c</w:t>
      </w:r>
      <w:r>
        <w:t>ent. Powerlink made</w:t>
      </w:r>
      <w:r w:rsidR="007D6876" w:rsidRPr="007D6876">
        <w:t xml:space="preserve"> an efficiency adjustment to base year opex</w:t>
      </w:r>
      <w:r w:rsidR="007C6063">
        <w:t xml:space="preserve"> and</w:t>
      </w:r>
      <w:r>
        <w:t xml:space="preserve"> </w:t>
      </w:r>
      <w:r w:rsidR="007176BF">
        <w:t>includes</w:t>
      </w:r>
      <w:r w:rsidR="007176BF" w:rsidRPr="007D6876">
        <w:t xml:space="preserve"> </w:t>
      </w:r>
      <w:r w:rsidR="00A304EB">
        <w:t>efficiency gains made in the previous regulatory period</w:t>
      </w:r>
      <w:r>
        <w:t>. Powerlink state</w:t>
      </w:r>
      <w:r w:rsidR="00784A8D">
        <w:t>d</w:t>
      </w:r>
      <w:r w:rsidR="007D6876" w:rsidRPr="007D6876">
        <w:t xml:space="preserve"> its opex proposal maintains current levels of reliability while delivering real annual reductions in forecast </w:t>
      </w:r>
      <w:r w:rsidR="003D21D5">
        <w:t>opex</w:t>
      </w:r>
      <w:r w:rsidR="007D6876" w:rsidRPr="007D6876">
        <w:t>.</w:t>
      </w:r>
      <w:r w:rsidR="00354442">
        <w:rPr>
          <w:rStyle w:val="FootnoteReference"/>
        </w:rPr>
        <w:footnoteReference w:id="3"/>
      </w:r>
    </w:p>
    <w:p w:rsidR="005D1942" w:rsidRDefault="007D6876" w:rsidP="007D6876">
      <w:r w:rsidRPr="007D6876">
        <w:t>We have included Powerlink’s efficiency adjustments in our alternative estimate as an efficiency cut to base opex</w:t>
      </w:r>
      <w:r w:rsidR="00D254B3">
        <w:t xml:space="preserve"> (section 7.4.1)</w:t>
      </w:r>
      <w:r w:rsidRPr="007D6876">
        <w:t xml:space="preserve">. </w:t>
      </w:r>
    </w:p>
    <w:p w:rsidR="007D6876" w:rsidRPr="007D6876" w:rsidRDefault="007D6876" w:rsidP="007D6876">
      <w:r w:rsidRPr="007D6876">
        <w:lastRenderedPageBreak/>
        <w:t>Our alternative estimate of forecast total opex is $</w:t>
      </w:r>
      <w:r w:rsidR="005A534F">
        <w:t>994.7</w:t>
      </w:r>
      <w:r w:rsidRPr="007D6876">
        <w:t xml:space="preserve"> million ($2016–17).</w:t>
      </w:r>
      <w:r>
        <w:rPr>
          <w:rStyle w:val="FootnoteReference"/>
        </w:rPr>
        <w:footnoteReference w:id="4"/>
      </w:r>
      <w:r>
        <w:t xml:space="preserve"> </w:t>
      </w:r>
      <w:r w:rsidRPr="007D6876">
        <w:t>This is $</w:t>
      </w:r>
      <w:r w:rsidR="005A534F">
        <w:t>18.0</w:t>
      </w:r>
      <w:r w:rsidRPr="007D6876">
        <w:t xml:space="preserve"> million (</w:t>
      </w:r>
      <w:r w:rsidR="005A534F">
        <w:t>1.8</w:t>
      </w:r>
      <w:r w:rsidRPr="007D6876">
        <w:t xml:space="preserve"> per cent) higher than Powerlink's proposal. </w:t>
      </w:r>
    </w:p>
    <w:p w:rsidR="007D6876" w:rsidRDefault="007D6876" w:rsidP="007D6876">
      <w:r w:rsidRPr="007D6876">
        <w:t>The key difference between our estimate and Powerlink's forecast is different assumptions about productivity growth over 2017</w:t>
      </w:r>
      <w:r w:rsidR="001913EA">
        <w:t>–</w:t>
      </w:r>
      <w:r w:rsidRPr="007D6876">
        <w:t>22</w:t>
      </w:r>
      <w:r w:rsidR="00D254B3">
        <w:t xml:space="preserve"> (section 7.4.2)</w:t>
      </w:r>
      <w:r w:rsidRPr="007D6876">
        <w:t xml:space="preserve">. Powerlink forecast higher productivity growth </w:t>
      </w:r>
      <w:r w:rsidR="000B1AC5">
        <w:t>of 1.2 per </w:t>
      </w:r>
      <w:r w:rsidRPr="007D6876">
        <w:t>cent. Our estimate includes productivity growth</w:t>
      </w:r>
      <w:r w:rsidR="000B1AC5">
        <w:t xml:space="preserve"> of 0.2 per cent, which is </w:t>
      </w:r>
      <w:r w:rsidR="00354442">
        <w:t>based on</w:t>
      </w:r>
      <w:r w:rsidRPr="007D6876">
        <w:t xml:space="preserve"> historical</w:t>
      </w:r>
      <w:r w:rsidR="00354442">
        <w:t xml:space="preserve"> industry-wide </w:t>
      </w:r>
      <w:r w:rsidR="001913EA">
        <w:t>trends—</w:t>
      </w:r>
      <w:r w:rsidRPr="007D6876">
        <w:t>consistent with our stand</w:t>
      </w:r>
      <w:r w:rsidR="00B20243">
        <w:t>ard approach. Powerlink state</w:t>
      </w:r>
      <w:r w:rsidR="000B30A8">
        <w:t>d</w:t>
      </w:r>
      <w:r w:rsidRPr="007D6876">
        <w:t xml:space="preserve"> its forecast productivity</w:t>
      </w:r>
      <w:r w:rsidR="00354442">
        <w:t xml:space="preserve"> gains are based on a detailed </w:t>
      </w:r>
      <w:r w:rsidRPr="007D6876">
        <w:t xml:space="preserve">line-by-line assessment of potential efficiencies across its opex program. </w:t>
      </w:r>
      <w:r w:rsidR="007609B2">
        <w:t>We have considered the supporting information Powerlink has put forward and w</w:t>
      </w:r>
      <w:r w:rsidR="00E67B83" w:rsidRPr="00E67B83">
        <w:t>e accept Powerlink's judgement that it will be able to meet its forecast productivity improvements.</w:t>
      </w:r>
    </w:p>
    <w:p w:rsidR="00132D43" w:rsidRDefault="00132D43" w:rsidP="00132D43">
      <w:pPr>
        <w:pStyle w:val="Heading2"/>
      </w:pPr>
      <w:bookmarkStart w:id="75" w:name="_Toc434828871"/>
      <w:bookmarkStart w:id="76" w:name="_Toc462752396"/>
      <w:r>
        <w:t>Powerlink’s proposal</w:t>
      </w:r>
      <w:bookmarkEnd w:id="75"/>
      <w:bookmarkEnd w:id="76"/>
    </w:p>
    <w:p w:rsidR="00D06CCA" w:rsidRDefault="005C4D18" w:rsidP="002E1780">
      <w:r>
        <w:t xml:space="preserve">Powerlink proposed total opex of </w:t>
      </w:r>
      <w:r w:rsidR="005F1DF5">
        <w:t>$</w:t>
      </w:r>
      <w:r w:rsidR="004A4783">
        <w:t>959</w:t>
      </w:r>
      <w:r w:rsidR="005F1DF5">
        <w:t>.</w:t>
      </w:r>
      <w:r w:rsidR="004A4783">
        <w:t>1</w:t>
      </w:r>
      <w:r w:rsidR="00D06CCA">
        <w:t xml:space="preserve"> million </w:t>
      </w:r>
      <w:r w:rsidR="00C00254">
        <w:t>($2016–17)</w:t>
      </w:r>
      <w:r w:rsidR="00D06CCA">
        <w:t xml:space="preserve"> for the 201</w:t>
      </w:r>
      <w:r w:rsidR="004A4783">
        <w:t>7–</w:t>
      </w:r>
      <w:r w:rsidR="00D06CCA">
        <w:t>22 regulatory control period (excluding de</w:t>
      </w:r>
      <w:r w:rsidR="005F1DF5">
        <w:t>b</w:t>
      </w:r>
      <w:r w:rsidR="00132C21">
        <w:t>t raising costs</w:t>
      </w:r>
      <w:r w:rsidR="005F1DF5">
        <w:t xml:space="preserve"> totalling $</w:t>
      </w:r>
      <w:r w:rsidR="004A4783">
        <w:t>17</w:t>
      </w:r>
      <w:r w:rsidR="005F1DF5">
        <w:t>.</w:t>
      </w:r>
      <w:r w:rsidR="004A4783">
        <w:t>6</w:t>
      </w:r>
      <w:r w:rsidR="00D06CCA">
        <w:t xml:space="preserve"> million). Powerlink's proposed total opex forecast is set out in</w:t>
      </w:r>
      <w:r w:rsidR="00395566">
        <w:t xml:space="preserve"> </w:t>
      </w:r>
      <w:r w:rsidR="00395566">
        <w:fldChar w:fldCharType="begin"/>
      </w:r>
      <w:r w:rsidR="00395566">
        <w:instrText xml:space="preserve"> REF _Ref461549630 \h </w:instrText>
      </w:r>
      <w:r w:rsidR="00395566">
        <w:fldChar w:fldCharType="separate"/>
      </w:r>
      <w:r w:rsidR="00943BFB">
        <w:t xml:space="preserve">Table </w:t>
      </w:r>
      <w:r w:rsidR="00943BFB">
        <w:rPr>
          <w:noProof/>
        </w:rPr>
        <w:t>7</w:t>
      </w:r>
      <w:r w:rsidR="00943BFB">
        <w:t>.</w:t>
      </w:r>
      <w:r w:rsidR="00943BFB">
        <w:rPr>
          <w:noProof/>
        </w:rPr>
        <w:t>1</w:t>
      </w:r>
      <w:r w:rsidR="00395566">
        <w:fldChar w:fldCharType="end"/>
      </w:r>
      <w:r w:rsidR="00D06CCA">
        <w:t>.</w:t>
      </w:r>
      <w:r w:rsidR="006F25B8">
        <w:t xml:space="preserve"> </w:t>
      </w:r>
    </w:p>
    <w:p w:rsidR="00D06CCA" w:rsidRPr="00D06CCA" w:rsidRDefault="00395566" w:rsidP="00395566">
      <w:pPr>
        <w:pStyle w:val="Caption"/>
      </w:pPr>
      <w:bookmarkStart w:id="77" w:name="_Ref461549630"/>
      <w:proofErr w:type="gramStart"/>
      <w:r>
        <w:t xml:space="preserve">Table </w:t>
      </w:r>
      <w:r w:rsidR="006C1BC1">
        <w:fldChar w:fldCharType="begin"/>
      </w:r>
      <w:r w:rsidR="006C1BC1">
        <w:instrText xml:space="preserve"> STYLEREF 1 \s </w:instrText>
      </w:r>
      <w:r w:rsidR="006C1BC1">
        <w:fldChar w:fldCharType="separate"/>
      </w:r>
      <w:r w:rsidR="00943BFB">
        <w:rPr>
          <w:noProof/>
        </w:rPr>
        <w:t>7</w:t>
      </w:r>
      <w:r w:rsidR="006C1BC1">
        <w:rPr>
          <w:noProof/>
        </w:rPr>
        <w:fldChar w:fldCharType="end"/>
      </w:r>
      <w:r>
        <w:t>.</w:t>
      </w:r>
      <w:proofErr w:type="gramEnd"/>
      <w:r w:rsidR="006C1BC1">
        <w:fldChar w:fldCharType="begin"/>
      </w:r>
      <w:r w:rsidR="006C1BC1">
        <w:instrText xml:space="preserve"> SEQ Table \* ARABIC \s 1 </w:instrText>
      </w:r>
      <w:r w:rsidR="006C1BC1">
        <w:fldChar w:fldCharType="separate"/>
      </w:r>
      <w:r w:rsidR="00943BFB">
        <w:rPr>
          <w:noProof/>
        </w:rPr>
        <w:t>1</w:t>
      </w:r>
      <w:r w:rsidR="006C1BC1">
        <w:rPr>
          <w:noProof/>
        </w:rPr>
        <w:fldChar w:fldCharType="end"/>
      </w:r>
      <w:bookmarkEnd w:id="77"/>
      <w:r w:rsidR="00D06CCA" w:rsidRPr="00D06CCA">
        <w:tab/>
        <w:t>P</w:t>
      </w:r>
      <w:r w:rsidR="00F91469">
        <w:t>owerlink's p</w:t>
      </w:r>
      <w:r w:rsidR="00D06CCA" w:rsidRPr="00D06CCA">
        <w:t xml:space="preserve">roposed opex ($million, </w:t>
      </w:r>
      <w:r w:rsidR="00132C2E">
        <w:t>2016–17</w:t>
      </w:r>
      <w:r w:rsidR="00D06CCA" w:rsidRPr="00D06CCA">
        <w:t>)</w:t>
      </w:r>
    </w:p>
    <w:tbl>
      <w:tblPr>
        <w:tblStyle w:val="AERtable-numbers"/>
        <w:tblW w:w="0" w:type="auto"/>
        <w:tblLook w:val="04A0" w:firstRow="1" w:lastRow="0" w:firstColumn="1" w:lastColumn="0" w:noHBand="0" w:noVBand="1"/>
      </w:tblPr>
      <w:tblGrid>
        <w:gridCol w:w="3085"/>
        <w:gridCol w:w="934"/>
        <w:gridCol w:w="935"/>
        <w:gridCol w:w="935"/>
        <w:gridCol w:w="934"/>
        <w:gridCol w:w="935"/>
        <w:gridCol w:w="935"/>
      </w:tblGrid>
      <w:tr w:rsidR="004A4783" w:rsidRPr="00B1577E" w:rsidTr="00B84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A4783" w:rsidRPr="00B1577E" w:rsidRDefault="004A4783" w:rsidP="00D06CCA"/>
        </w:tc>
        <w:tc>
          <w:tcPr>
            <w:tcW w:w="934" w:type="dxa"/>
          </w:tcPr>
          <w:p w:rsidR="004A4783" w:rsidRPr="00D06CCA" w:rsidRDefault="004A4783" w:rsidP="00D06CCA">
            <w:pPr>
              <w:cnfStyle w:val="100000000000" w:firstRow="1" w:lastRow="0" w:firstColumn="0" w:lastColumn="0" w:oddVBand="0" w:evenVBand="0" w:oddHBand="0" w:evenHBand="0" w:firstRowFirstColumn="0" w:firstRowLastColumn="0" w:lastRowFirstColumn="0" w:lastRowLastColumn="0"/>
            </w:pPr>
            <w:r w:rsidRPr="00B1577E">
              <w:t>2017</w:t>
            </w:r>
            <w:r w:rsidRPr="00D06CCA">
              <w:t>–18</w:t>
            </w:r>
          </w:p>
        </w:tc>
        <w:tc>
          <w:tcPr>
            <w:tcW w:w="935" w:type="dxa"/>
          </w:tcPr>
          <w:p w:rsidR="004A4783" w:rsidRPr="00D06CCA" w:rsidRDefault="004A4783" w:rsidP="00D06CCA">
            <w:pPr>
              <w:cnfStyle w:val="100000000000" w:firstRow="1" w:lastRow="0" w:firstColumn="0" w:lastColumn="0" w:oddVBand="0" w:evenVBand="0" w:oddHBand="0" w:evenHBand="0" w:firstRowFirstColumn="0" w:firstRowLastColumn="0" w:lastRowFirstColumn="0" w:lastRowLastColumn="0"/>
            </w:pPr>
            <w:r w:rsidRPr="00B1577E">
              <w:t>2018</w:t>
            </w:r>
            <w:r w:rsidRPr="00D06CCA">
              <w:t>–19</w:t>
            </w:r>
          </w:p>
        </w:tc>
        <w:tc>
          <w:tcPr>
            <w:tcW w:w="935" w:type="dxa"/>
          </w:tcPr>
          <w:p w:rsidR="004A4783" w:rsidRPr="00B1577E" w:rsidRDefault="004A4783" w:rsidP="00D06CCA">
            <w:pPr>
              <w:cnfStyle w:val="100000000000" w:firstRow="1" w:lastRow="0" w:firstColumn="0" w:lastColumn="0" w:oddVBand="0" w:evenVBand="0" w:oddHBand="0" w:evenHBand="0" w:firstRowFirstColumn="0" w:firstRowLastColumn="0" w:lastRowFirstColumn="0" w:lastRowLastColumn="0"/>
            </w:pPr>
            <w:r>
              <w:t>2019-20</w:t>
            </w:r>
          </w:p>
        </w:tc>
        <w:tc>
          <w:tcPr>
            <w:tcW w:w="934" w:type="dxa"/>
          </w:tcPr>
          <w:p w:rsidR="004A4783" w:rsidRPr="00B1577E" w:rsidRDefault="004A4783" w:rsidP="00D06CCA">
            <w:pPr>
              <w:cnfStyle w:val="100000000000" w:firstRow="1" w:lastRow="0" w:firstColumn="0" w:lastColumn="0" w:oddVBand="0" w:evenVBand="0" w:oddHBand="0" w:evenHBand="0" w:firstRowFirstColumn="0" w:firstRowLastColumn="0" w:lastRowFirstColumn="0" w:lastRowLastColumn="0"/>
            </w:pPr>
            <w:r>
              <w:t>2020-21</w:t>
            </w:r>
          </w:p>
        </w:tc>
        <w:tc>
          <w:tcPr>
            <w:tcW w:w="935" w:type="dxa"/>
          </w:tcPr>
          <w:p w:rsidR="004A4783" w:rsidRPr="00B1577E" w:rsidRDefault="004A4783" w:rsidP="00D06CCA">
            <w:pPr>
              <w:cnfStyle w:val="100000000000" w:firstRow="1" w:lastRow="0" w:firstColumn="0" w:lastColumn="0" w:oddVBand="0" w:evenVBand="0" w:oddHBand="0" w:evenHBand="0" w:firstRowFirstColumn="0" w:firstRowLastColumn="0" w:lastRowFirstColumn="0" w:lastRowLastColumn="0"/>
            </w:pPr>
            <w:r>
              <w:t>2021-22</w:t>
            </w:r>
          </w:p>
        </w:tc>
        <w:tc>
          <w:tcPr>
            <w:tcW w:w="935" w:type="dxa"/>
          </w:tcPr>
          <w:p w:rsidR="004A4783" w:rsidRDefault="004A4783" w:rsidP="00D06CCA">
            <w:pPr>
              <w:cnfStyle w:val="100000000000" w:firstRow="1" w:lastRow="0" w:firstColumn="0" w:lastColumn="0" w:oddVBand="0" w:evenVBand="0" w:oddHBand="0" w:evenHBand="0" w:firstRowFirstColumn="0" w:firstRowLastColumn="0" w:lastRowFirstColumn="0" w:lastRowLastColumn="0"/>
            </w:pPr>
            <w:r>
              <w:t xml:space="preserve">Total </w:t>
            </w:r>
          </w:p>
        </w:tc>
      </w:tr>
      <w:tr w:rsidR="004A4783" w:rsidRPr="00B1577E" w:rsidTr="00B84130">
        <w:tc>
          <w:tcPr>
            <w:cnfStyle w:val="001000000000" w:firstRow="0" w:lastRow="0" w:firstColumn="1" w:lastColumn="0" w:oddVBand="0" w:evenVBand="0" w:oddHBand="0" w:evenHBand="0" w:firstRowFirstColumn="0" w:firstRowLastColumn="0" w:lastRowFirstColumn="0" w:lastRowLastColumn="0"/>
            <w:tcW w:w="3085" w:type="dxa"/>
          </w:tcPr>
          <w:p w:rsidR="004A4783" w:rsidRPr="00D06CCA" w:rsidRDefault="004A4783" w:rsidP="00D06CCA">
            <w:r w:rsidRPr="00B1577E">
              <w:t>Total opex ex</w:t>
            </w:r>
            <w:r w:rsidRPr="00D06CCA">
              <w:t>cluding debt raising costs</w:t>
            </w:r>
          </w:p>
        </w:tc>
        <w:tc>
          <w:tcPr>
            <w:tcW w:w="934" w:type="dxa"/>
          </w:tcPr>
          <w:p w:rsidR="004A4783" w:rsidRPr="00D06CCA" w:rsidRDefault="004A4783" w:rsidP="00D06CCA">
            <w:pPr>
              <w:cnfStyle w:val="000000000000" w:firstRow="0" w:lastRow="0" w:firstColumn="0" w:lastColumn="0" w:oddVBand="0" w:evenVBand="0" w:oddHBand="0" w:evenHBand="0" w:firstRowFirstColumn="0" w:firstRowLastColumn="0" w:lastRowFirstColumn="0" w:lastRowLastColumn="0"/>
            </w:pPr>
            <w:r>
              <w:t>193.3</w:t>
            </w:r>
          </w:p>
        </w:tc>
        <w:tc>
          <w:tcPr>
            <w:tcW w:w="935" w:type="dxa"/>
          </w:tcPr>
          <w:p w:rsidR="004A4783" w:rsidRPr="00D06CCA" w:rsidRDefault="004A4783" w:rsidP="00D06CCA">
            <w:pPr>
              <w:cnfStyle w:val="000000000000" w:firstRow="0" w:lastRow="0" w:firstColumn="0" w:lastColumn="0" w:oddVBand="0" w:evenVBand="0" w:oddHBand="0" w:evenHBand="0" w:firstRowFirstColumn="0" w:firstRowLastColumn="0" w:lastRowFirstColumn="0" w:lastRowLastColumn="0"/>
            </w:pPr>
            <w:r>
              <w:t>192.5</w:t>
            </w:r>
          </w:p>
        </w:tc>
        <w:tc>
          <w:tcPr>
            <w:tcW w:w="935" w:type="dxa"/>
          </w:tcPr>
          <w:p w:rsidR="004A4783" w:rsidRDefault="004A4783" w:rsidP="00D06CCA">
            <w:pPr>
              <w:cnfStyle w:val="000000000000" w:firstRow="0" w:lastRow="0" w:firstColumn="0" w:lastColumn="0" w:oddVBand="0" w:evenVBand="0" w:oddHBand="0" w:evenHBand="0" w:firstRowFirstColumn="0" w:firstRowLastColumn="0" w:lastRowFirstColumn="0" w:lastRowLastColumn="0"/>
            </w:pPr>
            <w:r>
              <w:t>191.6</w:t>
            </w:r>
          </w:p>
        </w:tc>
        <w:tc>
          <w:tcPr>
            <w:tcW w:w="934" w:type="dxa"/>
          </w:tcPr>
          <w:p w:rsidR="004A4783" w:rsidRDefault="004A4783" w:rsidP="004A4783">
            <w:pPr>
              <w:cnfStyle w:val="000000000000" w:firstRow="0" w:lastRow="0" w:firstColumn="0" w:lastColumn="0" w:oddVBand="0" w:evenVBand="0" w:oddHBand="0" w:evenHBand="0" w:firstRowFirstColumn="0" w:firstRowLastColumn="0" w:lastRowFirstColumn="0" w:lastRowLastColumn="0"/>
            </w:pPr>
            <w:r>
              <w:t>190.9</w:t>
            </w:r>
          </w:p>
        </w:tc>
        <w:tc>
          <w:tcPr>
            <w:tcW w:w="935" w:type="dxa"/>
          </w:tcPr>
          <w:p w:rsidR="004A4783" w:rsidRDefault="004A4783" w:rsidP="004A4783">
            <w:pPr>
              <w:cnfStyle w:val="000000000000" w:firstRow="0" w:lastRow="0" w:firstColumn="0" w:lastColumn="0" w:oddVBand="0" w:evenVBand="0" w:oddHBand="0" w:evenHBand="0" w:firstRowFirstColumn="0" w:firstRowLastColumn="0" w:lastRowFirstColumn="0" w:lastRowLastColumn="0"/>
            </w:pPr>
            <w:r>
              <w:t>190.8</w:t>
            </w:r>
          </w:p>
        </w:tc>
        <w:tc>
          <w:tcPr>
            <w:tcW w:w="935" w:type="dxa"/>
          </w:tcPr>
          <w:p w:rsidR="004A4783" w:rsidRDefault="004A4783" w:rsidP="00D06CCA">
            <w:pPr>
              <w:cnfStyle w:val="000000000000" w:firstRow="0" w:lastRow="0" w:firstColumn="0" w:lastColumn="0" w:oddVBand="0" w:evenVBand="0" w:oddHBand="0" w:evenHBand="0" w:firstRowFirstColumn="0" w:firstRowLastColumn="0" w:lastRowFirstColumn="0" w:lastRowLastColumn="0"/>
            </w:pPr>
            <w:r>
              <w:t>959.1</w:t>
            </w:r>
          </w:p>
        </w:tc>
      </w:tr>
      <w:tr w:rsidR="004A4783" w:rsidRPr="00B1577E" w:rsidTr="00B841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A4783" w:rsidRPr="00D06CCA" w:rsidRDefault="004A4783" w:rsidP="00D06CCA">
            <w:r w:rsidRPr="002A5633">
              <w:t>Debt raising costs</w:t>
            </w:r>
          </w:p>
        </w:tc>
        <w:tc>
          <w:tcPr>
            <w:tcW w:w="934" w:type="dxa"/>
            <w:vAlign w:val="top"/>
          </w:tcPr>
          <w:p w:rsidR="004A4783" w:rsidRPr="00D06CCA" w:rsidRDefault="005B7BAD" w:rsidP="00D06CCA">
            <w:pPr>
              <w:cnfStyle w:val="000000010000" w:firstRow="0" w:lastRow="0" w:firstColumn="0" w:lastColumn="0" w:oddVBand="0" w:evenVBand="0" w:oddHBand="0" w:evenHBand="1" w:firstRowFirstColumn="0" w:firstRowLastColumn="0" w:lastRowFirstColumn="0" w:lastRowLastColumn="0"/>
            </w:pPr>
            <w:r>
              <w:t>3.6</w:t>
            </w:r>
          </w:p>
        </w:tc>
        <w:tc>
          <w:tcPr>
            <w:tcW w:w="935" w:type="dxa"/>
            <w:vAlign w:val="top"/>
          </w:tcPr>
          <w:p w:rsidR="004A4783" w:rsidRPr="00D06CCA" w:rsidRDefault="005B7BAD" w:rsidP="00D06CCA">
            <w:pPr>
              <w:cnfStyle w:val="000000010000" w:firstRow="0" w:lastRow="0" w:firstColumn="0" w:lastColumn="0" w:oddVBand="0" w:evenVBand="0" w:oddHBand="0" w:evenHBand="1" w:firstRowFirstColumn="0" w:firstRowLastColumn="0" w:lastRowFirstColumn="0" w:lastRowLastColumn="0"/>
            </w:pPr>
            <w:r>
              <w:t>3.</w:t>
            </w:r>
            <w:r w:rsidR="005B641B">
              <w:t>6</w:t>
            </w:r>
          </w:p>
        </w:tc>
        <w:tc>
          <w:tcPr>
            <w:tcW w:w="935" w:type="dxa"/>
          </w:tcPr>
          <w:p w:rsidR="004A4783" w:rsidRDefault="005B7BAD" w:rsidP="00D06CCA">
            <w:pPr>
              <w:cnfStyle w:val="000000010000" w:firstRow="0" w:lastRow="0" w:firstColumn="0" w:lastColumn="0" w:oddVBand="0" w:evenVBand="0" w:oddHBand="0" w:evenHBand="1" w:firstRowFirstColumn="0" w:firstRowLastColumn="0" w:lastRowFirstColumn="0" w:lastRowLastColumn="0"/>
            </w:pPr>
            <w:r>
              <w:t>3.5</w:t>
            </w:r>
          </w:p>
        </w:tc>
        <w:tc>
          <w:tcPr>
            <w:tcW w:w="934" w:type="dxa"/>
          </w:tcPr>
          <w:p w:rsidR="004A4783" w:rsidRDefault="005B7BAD" w:rsidP="00D06CCA">
            <w:pPr>
              <w:cnfStyle w:val="000000010000" w:firstRow="0" w:lastRow="0" w:firstColumn="0" w:lastColumn="0" w:oddVBand="0" w:evenVBand="0" w:oddHBand="0" w:evenHBand="1" w:firstRowFirstColumn="0" w:firstRowLastColumn="0" w:lastRowFirstColumn="0" w:lastRowLastColumn="0"/>
            </w:pPr>
            <w:r>
              <w:t>3.5</w:t>
            </w:r>
          </w:p>
        </w:tc>
        <w:tc>
          <w:tcPr>
            <w:tcW w:w="935" w:type="dxa"/>
          </w:tcPr>
          <w:p w:rsidR="004A4783" w:rsidRDefault="005B7BAD" w:rsidP="00D06CCA">
            <w:pPr>
              <w:cnfStyle w:val="000000010000" w:firstRow="0" w:lastRow="0" w:firstColumn="0" w:lastColumn="0" w:oddVBand="0" w:evenVBand="0" w:oddHBand="0" w:evenHBand="1" w:firstRowFirstColumn="0" w:firstRowLastColumn="0" w:lastRowFirstColumn="0" w:lastRowLastColumn="0"/>
            </w:pPr>
            <w:r>
              <w:t>3.</w:t>
            </w:r>
            <w:r w:rsidR="005B641B">
              <w:t>4</w:t>
            </w:r>
          </w:p>
        </w:tc>
        <w:tc>
          <w:tcPr>
            <w:tcW w:w="935" w:type="dxa"/>
          </w:tcPr>
          <w:p w:rsidR="004A4783" w:rsidRDefault="005B7BAD" w:rsidP="00D06CCA">
            <w:pPr>
              <w:cnfStyle w:val="000000010000" w:firstRow="0" w:lastRow="0" w:firstColumn="0" w:lastColumn="0" w:oddVBand="0" w:evenVBand="0" w:oddHBand="0" w:evenHBand="1" w:firstRowFirstColumn="0" w:firstRowLastColumn="0" w:lastRowFirstColumn="0" w:lastRowLastColumn="0"/>
            </w:pPr>
            <w:r>
              <w:t>17.6</w:t>
            </w:r>
          </w:p>
        </w:tc>
      </w:tr>
      <w:tr w:rsidR="004A4783" w:rsidRPr="002A5633" w:rsidTr="00B84130">
        <w:tc>
          <w:tcPr>
            <w:cnfStyle w:val="001000000000" w:firstRow="0" w:lastRow="0" w:firstColumn="1" w:lastColumn="0" w:oddVBand="0" w:evenVBand="0" w:oddHBand="0" w:evenHBand="0" w:firstRowFirstColumn="0" w:firstRowLastColumn="0" w:lastRowFirstColumn="0" w:lastRowLastColumn="0"/>
            <w:tcW w:w="3085" w:type="dxa"/>
          </w:tcPr>
          <w:p w:rsidR="004A4783" w:rsidRPr="00D06CCA" w:rsidRDefault="004A4783" w:rsidP="00D06CCA">
            <w:pPr>
              <w:rPr>
                <w:rStyle w:val="Strong"/>
              </w:rPr>
            </w:pPr>
            <w:r w:rsidRPr="002A5633">
              <w:rPr>
                <w:rStyle w:val="Strong"/>
              </w:rPr>
              <w:t>Total opex</w:t>
            </w:r>
          </w:p>
        </w:tc>
        <w:tc>
          <w:tcPr>
            <w:tcW w:w="934" w:type="dxa"/>
            <w:vAlign w:val="top"/>
          </w:tcPr>
          <w:p w:rsidR="004A4783" w:rsidRPr="00216417" w:rsidRDefault="005B7BAD" w:rsidP="00D06CC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196.9</w:t>
            </w:r>
          </w:p>
        </w:tc>
        <w:tc>
          <w:tcPr>
            <w:tcW w:w="935" w:type="dxa"/>
            <w:vAlign w:val="top"/>
          </w:tcPr>
          <w:p w:rsidR="004A4783" w:rsidRPr="00216417" w:rsidRDefault="005B7BAD" w:rsidP="00D06CC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196.0</w:t>
            </w:r>
          </w:p>
        </w:tc>
        <w:tc>
          <w:tcPr>
            <w:tcW w:w="935" w:type="dxa"/>
          </w:tcPr>
          <w:p w:rsidR="004A4783" w:rsidRPr="00216417" w:rsidRDefault="005B7BAD" w:rsidP="00D06CC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195.1</w:t>
            </w:r>
          </w:p>
        </w:tc>
        <w:tc>
          <w:tcPr>
            <w:tcW w:w="934" w:type="dxa"/>
          </w:tcPr>
          <w:p w:rsidR="004A4783" w:rsidRPr="00216417" w:rsidRDefault="005B7BAD" w:rsidP="00D06CC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194.4</w:t>
            </w:r>
          </w:p>
        </w:tc>
        <w:tc>
          <w:tcPr>
            <w:tcW w:w="935" w:type="dxa"/>
          </w:tcPr>
          <w:p w:rsidR="004A4783" w:rsidRPr="00216417" w:rsidRDefault="005B7BAD" w:rsidP="00D06CC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194.3</w:t>
            </w:r>
          </w:p>
        </w:tc>
        <w:tc>
          <w:tcPr>
            <w:tcW w:w="935" w:type="dxa"/>
          </w:tcPr>
          <w:p w:rsidR="004A4783" w:rsidRPr="00216417" w:rsidRDefault="000705BF" w:rsidP="00D06CC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976.7</w:t>
            </w:r>
          </w:p>
        </w:tc>
      </w:tr>
    </w:tbl>
    <w:p w:rsidR="005F1DF5" w:rsidRPr="000705BF" w:rsidRDefault="00D06CCA" w:rsidP="000705BF">
      <w:pPr>
        <w:pStyle w:val="AERtablesource"/>
      </w:pPr>
      <w:r w:rsidRPr="000705BF">
        <w:t>Source:</w:t>
      </w:r>
      <w:r w:rsidRPr="000705BF">
        <w:tab/>
      </w:r>
      <w:r w:rsidR="005F1DF5" w:rsidRPr="000705BF">
        <w:tab/>
      </w:r>
      <w:r w:rsidR="005B641B">
        <w:t xml:space="preserve">Powerlink, </w:t>
      </w:r>
      <w:r w:rsidR="00C65FB2">
        <w:rPr>
          <w:rStyle w:val="AERtextitalic"/>
        </w:rPr>
        <w:t>Revenue proposal</w:t>
      </w:r>
      <w:r w:rsidR="005B641B">
        <w:t>, January 2016, Opex model</w:t>
      </w:r>
      <w:r w:rsidR="000705BF" w:rsidRPr="000705BF">
        <w:rPr>
          <w:rStyle w:val="Emphasis"/>
          <w:i w:val="0"/>
          <w:iCs w:val="0"/>
        </w:rPr>
        <w:t xml:space="preserve">. </w:t>
      </w:r>
    </w:p>
    <w:p w:rsidR="0020569B" w:rsidRDefault="0020569B" w:rsidP="0020569B">
      <w:r>
        <w:t xml:space="preserve">Powerlink </w:t>
      </w:r>
      <w:r w:rsidRPr="006F25B8">
        <w:t xml:space="preserve">forecast cost savings </w:t>
      </w:r>
      <w:r w:rsidR="00774CF8">
        <w:t>for</w:t>
      </w:r>
      <w:r w:rsidRPr="006F25B8">
        <w:t xml:space="preserve"> </w:t>
      </w:r>
      <w:r w:rsidR="00EF0997">
        <w:t>2017–22</w:t>
      </w:r>
      <w:r w:rsidR="00E66C9F">
        <w:t xml:space="preserve">, including </w:t>
      </w:r>
      <w:r w:rsidRPr="006F25B8">
        <w:t xml:space="preserve">efficiency improvements to base </w:t>
      </w:r>
      <w:r w:rsidR="00774CF8">
        <w:t xml:space="preserve">year </w:t>
      </w:r>
      <w:r w:rsidRPr="006F25B8">
        <w:t xml:space="preserve">opex and </w:t>
      </w:r>
      <w:r w:rsidR="00D26F4B">
        <w:t xml:space="preserve">strong </w:t>
      </w:r>
      <w:r w:rsidRPr="006F25B8">
        <w:t>productivity growth</w:t>
      </w:r>
      <w:r w:rsidR="00D26F4B">
        <w:t xml:space="preserve"> in its proposal</w:t>
      </w:r>
      <w:r w:rsidR="00B20243">
        <w:t>. Powerlink stated</w:t>
      </w:r>
      <w:r w:rsidRPr="006F25B8">
        <w:t xml:space="preserve"> it is reforming business processes that are aligned with </w:t>
      </w:r>
      <w:r w:rsidR="00EF0997">
        <w:t xml:space="preserve">driving </w:t>
      </w:r>
      <w:r w:rsidRPr="006F25B8">
        <w:t>efficiency and cost reduction</w:t>
      </w:r>
      <w:r w:rsidR="00EF0997">
        <w:t>,</w:t>
      </w:r>
      <w:r w:rsidRPr="006F25B8">
        <w:t xml:space="preserve"> and reviewing resource levels to align </w:t>
      </w:r>
      <w:r w:rsidR="00354442">
        <w:t xml:space="preserve">them </w:t>
      </w:r>
      <w:r w:rsidRPr="006F25B8">
        <w:t>with evolving requirements.</w:t>
      </w:r>
      <w:r w:rsidR="00EF0997">
        <w:rPr>
          <w:rStyle w:val="FootnoteReference"/>
        </w:rPr>
        <w:footnoteReference w:id="5"/>
      </w:r>
      <w:r>
        <w:t xml:space="preserve"> </w:t>
      </w:r>
    </w:p>
    <w:p w:rsidR="00D9001C" w:rsidRDefault="00D9001C" w:rsidP="00D9001C">
      <w:r w:rsidRPr="0075599D">
        <w:t xml:space="preserve">Figure 7.1 shows </w:t>
      </w:r>
      <w:r>
        <w:t xml:space="preserve">Powerlink's opex forecast as well as its </w:t>
      </w:r>
      <w:r w:rsidRPr="0075599D">
        <w:t>past actual opex</w:t>
      </w:r>
      <w:r>
        <w:t xml:space="preserve"> and</w:t>
      </w:r>
      <w:r w:rsidRPr="0075599D">
        <w:t xml:space="preserve"> </w:t>
      </w:r>
      <w:r>
        <w:t xml:space="preserve">our </w:t>
      </w:r>
      <w:r w:rsidRPr="0075599D">
        <w:t>previous regulatory decisions.</w:t>
      </w:r>
    </w:p>
    <w:p w:rsidR="00D9001C" w:rsidRDefault="00D9001C" w:rsidP="00D9001C">
      <w:pPr>
        <w:pStyle w:val="Caption"/>
      </w:pPr>
      <w:proofErr w:type="gramStart"/>
      <w:r>
        <w:lastRenderedPageBreak/>
        <w:t xml:space="preserve">Figure </w:t>
      </w:r>
      <w:r w:rsidRPr="00D9001C">
        <w:fldChar w:fldCharType="begin"/>
      </w:r>
      <w:r>
        <w:instrText xml:space="preserve"> STYLEREF 1 \s </w:instrText>
      </w:r>
      <w:r w:rsidRPr="00D9001C">
        <w:fldChar w:fldCharType="separate"/>
      </w:r>
      <w:r w:rsidR="00943BFB">
        <w:rPr>
          <w:noProof/>
        </w:rPr>
        <w:t>7</w:t>
      </w:r>
      <w:r w:rsidRPr="00D9001C">
        <w:fldChar w:fldCharType="end"/>
      </w:r>
      <w:r>
        <w:t>.</w:t>
      </w:r>
      <w:proofErr w:type="gramEnd"/>
      <w:r w:rsidRPr="00D9001C">
        <w:fldChar w:fldCharType="begin"/>
      </w:r>
      <w:r>
        <w:instrText xml:space="preserve"> SEQ Figure \* ARABIC \s 1 </w:instrText>
      </w:r>
      <w:r w:rsidRPr="00D9001C">
        <w:fldChar w:fldCharType="separate"/>
      </w:r>
      <w:r w:rsidR="00943BFB">
        <w:rPr>
          <w:noProof/>
        </w:rPr>
        <w:t>1</w:t>
      </w:r>
      <w:r w:rsidRPr="00D9001C">
        <w:fldChar w:fldCharType="end"/>
      </w:r>
      <w:r>
        <w:tab/>
        <w:t>Historical and forecast opex ($ million, 2016–17)</w:t>
      </w:r>
    </w:p>
    <w:p w:rsidR="00D9001C" w:rsidRDefault="00A70D7E" w:rsidP="00D9001C">
      <w:r w:rsidRPr="00A70D7E">
        <w:t xml:space="preserve"> </w:t>
      </w:r>
      <w:r w:rsidRPr="00A70D7E">
        <w:rPr>
          <w:noProof/>
          <w:lang w:eastAsia="en-AU"/>
        </w:rPr>
        <w:drawing>
          <wp:inline distT="0" distB="0" distL="0" distR="0" wp14:anchorId="0E6D4F3C" wp14:editId="1285627A">
            <wp:extent cx="5382895" cy="3579103"/>
            <wp:effectExtent l="0" t="0" r="825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579103"/>
                    </a:xfrm>
                    <a:prstGeom prst="rect">
                      <a:avLst/>
                    </a:prstGeom>
                    <a:noFill/>
                    <a:ln>
                      <a:noFill/>
                    </a:ln>
                  </pic:spPr>
                </pic:pic>
              </a:graphicData>
            </a:graphic>
          </wp:inline>
        </w:drawing>
      </w:r>
    </w:p>
    <w:p w:rsidR="00D9001C" w:rsidRPr="0075599D" w:rsidRDefault="00D9001C" w:rsidP="00D9001C">
      <w:pPr>
        <w:pStyle w:val="AERtablesource"/>
      </w:pPr>
      <w:r>
        <w:t>Note:</w:t>
      </w:r>
      <w:r>
        <w:tab/>
        <w:t>Excludes debt raising costs and network support costs.</w:t>
      </w:r>
    </w:p>
    <w:p w:rsidR="0020569B" w:rsidRDefault="0020569B" w:rsidP="0020569B">
      <w:r w:rsidRPr="00301482">
        <w:t>In</w:t>
      </w:r>
      <w:r w:rsidR="00D26F4B">
        <w:t xml:space="preserve"> Figure 7.2</w:t>
      </w:r>
      <w:r w:rsidRPr="00301482">
        <w:t xml:space="preserve"> we separate </w:t>
      </w:r>
      <w:r>
        <w:t xml:space="preserve">Powerlink's </w:t>
      </w:r>
      <w:r w:rsidRPr="00301482">
        <w:t xml:space="preserve">opex </w:t>
      </w:r>
      <w:r w:rsidR="00EF0997">
        <w:t xml:space="preserve">proposal </w:t>
      </w:r>
      <w:r w:rsidRPr="00301482">
        <w:t>into the different elements that make up its forecast</w:t>
      </w:r>
      <w:r>
        <w:t xml:space="preserve"> for the 2017–22 regulatory control period</w:t>
      </w:r>
      <w:r w:rsidRPr="00301482">
        <w:t>.</w:t>
      </w:r>
    </w:p>
    <w:p w:rsidR="002E1780" w:rsidRDefault="006F25B8" w:rsidP="006F25B8">
      <w:pPr>
        <w:pStyle w:val="Caption"/>
      </w:pPr>
      <w:r w:rsidRPr="006F25B8">
        <w:lastRenderedPageBreak/>
        <w:t>Figure 7.</w:t>
      </w:r>
      <w:r w:rsidR="00FF5291">
        <w:t>2</w:t>
      </w:r>
      <w:r w:rsidRPr="006F25B8">
        <w:tab/>
      </w:r>
      <w:r>
        <w:t>Powerlink's</w:t>
      </w:r>
      <w:r w:rsidRPr="006F25B8">
        <w:t xml:space="preserve"> opex forecast ($ million, 2016–17)</w:t>
      </w:r>
      <w:r w:rsidR="00DC73CE">
        <w:t xml:space="preserve"> </w:t>
      </w:r>
    </w:p>
    <w:p w:rsidR="0020569B" w:rsidRDefault="0020569B" w:rsidP="006F25B8">
      <w:r w:rsidRPr="0020569B">
        <w:rPr>
          <w:noProof/>
          <w:lang w:eastAsia="en-AU"/>
        </w:rPr>
        <w:drawing>
          <wp:inline distT="0" distB="0" distL="0" distR="0" wp14:anchorId="1DC0FB77" wp14:editId="0F7BC1C0">
            <wp:extent cx="5382895" cy="3579103"/>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579103"/>
                    </a:xfrm>
                    <a:prstGeom prst="rect">
                      <a:avLst/>
                    </a:prstGeom>
                    <a:noFill/>
                    <a:ln>
                      <a:noFill/>
                    </a:ln>
                  </pic:spPr>
                </pic:pic>
              </a:graphicData>
            </a:graphic>
          </wp:inline>
        </w:drawing>
      </w:r>
    </w:p>
    <w:p w:rsidR="0020569B" w:rsidRDefault="0020569B" w:rsidP="0020569B">
      <w:pPr>
        <w:pStyle w:val="AERtablesource"/>
      </w:pPr>
      <w:r w:rsidRPr="0020569B">
        <w:t>Source:</w:t>
      </w:r>
      <w:r w:rsidRPr="0020569B">
        <w:tab/>
        <w:t>AER analysis.</w:t>
      </w:r>
    </w:p>
    <w:p w:rsidR="00D136CD" w:rsidRDefault="00FF5291" w:rsidP="006F25B8">
      <w:r w:rsidRPr="00FF5291">
        <w:t xml:space="preserve">The key elements of </w:t>
      </w:r>
      <w:r w:rsidR="00920668">
        <w:t>Powerlink's</w:t>
      </w:r>
      <w:r w:rsidRPr="00FF5291">
        <w:t xml:space="preserve"> proposal are:</w:t>
      </w:r>
    </w:p>
    <w:p w:rsidR="00852493" w:rsidRDefault="00C7354F" w:rsidP="00852493">
      <w:pPr>
        <w:pStyle w:val="AERbulletlistfirststyle"/>
      </w:pPr>
      <w:r w:rsidRPr="00C7354F">
        <w:t xml:space="preserve">Powerlink used the </w:t>
      </w:r>
      <w:r w:rsidR="00A66BCD">
        <w:t>actual opex it incurred in 2014–</w:t>
      </w:r>
      <w:r w:rsidRPr="00C7354F">
        <w:t xml:space="preserve">15 as the base for forecasting its opex over </w:t>
      </w:r>
      <w:r w:rsidR="00A66BCD">
        <w:t>2017–</w:t>
      </w:r>
      <w:r w:rsidR="00EF0997">
        <w:t>22</w:t>
      </w:r>
      <w:r w:rsidRPr="00C7354F">
        <w:t xml:space="preserve">. If no other adjustments were made, this would lead to </w:t>
      </w:r>
      <w:r w:rsidR="00D60C69">
        <w:t xml:space="preserve">a </w:t>
      </w:r>
      <w:r w:rsidRPr="00C7354F">
        <w:t xml:space="preserve">base opex of $1112.3 million </w:t>
      </w:r>
      <w:r w:rsidR="00C00254">
        <w:t>($2016–17)</w:t>
      </w:r>
      <w:r w:rsidRPr="00C7354F">
        <w:t xml:space="preserve"> for </w:t>
      </w:r>
      <w:r w:rsidR="00EF0997">
        <w:t>2017</w:t>
      </w:r>
      <w:r w:rsidR="00811CD1">
        <w:t>–</w:t>
      </w:r>
      <w:r w:rsidR="00EF0997">
        <w:t>22</w:t>
      </w:r>
      <w:r w:rsidRPr="00C7354F">
        <w:t xml:space="preserve">. </w:t>
      </w:r>
    </w:p>
    <w:p w:rsidR="00852493" w:rsidRPr="00852493" w:rsidRDefault="00852493" w:rsidP="00852493">
      <w:pPr>
        <w:pStyle w:val="AERbulletlistsecondstyle"/>
      </w:pPr>
      <w:r w:rsidRPr="00852493">
        <w:t>Powerlink removed non-recurrent costs from its base opex, comprising G20 preparation works and cancelled projects. This decreased its forecast by $</w:t>
      </w:r>
      <w:r w:rsidR="00F91469">
        <w:t>67.6</w:t>
      </w:r>
      <w:r w:rsidRPr="00852493">
        <w:t xml:space="preserve"> million. </w:t>
      </w:r>
    </w:p>
    <w:p w:rsidR="00852493" w:rsidRDefault="00852493" w:rsidP="00852493">
      <w:pPr>
        <w:pStyle w:val="AERbulletlistsecondstyle"/>
      </w:pPr>
      <w:r w:rsidRPr="00852493">
        <w:t xml:space="preserve">Powerlink </w:t>
      </w:r>
      <w:r w:rsidR="004A7A12">
        <w:t xml:space="preserve">also </w:t>
      </w:r>
      <w:r w:rsidRPr="00852493">
        <w:t xml:space="preserve">removed identified work program efficiencies from its base opex. These included vegetation management, refurbishment and workforce efficiency costs (including redundancy). This decreased its forecast by </w:t>
      </w:r>
      <w:r w:rsidR="00F91469">
        <w:br/>
      </w:r>
      <w:r w:rsidRPr="00852493">
        <w:t>$</w:t>
      </w:r>
      <w:r w:rsidR="00F91469">
        <w:t>50.7</w:t>
      </w:r>
      <w:r w:rsidRPr="00852493">
        <w:t xml:space="preserve"> million.</w:t>
      </w:r>
    </w:p>
    <w:p w:rsidR="00C17B50" w:rsidRDefault="00C17B50" w:rsidP="00C17B50">
      <w:pPr>
        <w:pStyle w:val="AERbulletlistfirststyle"/>
      </w:pPr>
      <w:r>
        <w:t>Powerlink</w:t>
      </w:r>
      <w:r w:rsidRPr="00323D34">
        <w:t xml:space="preserve"> removed </w:t>
      </w:r>
      <w:r>
        <w:t>cost items</w:t>
      </w:r>
      <w:r w:rsidRPr="00323D34">
        <w:t xml:space="preserve"> </w:t>
      </w:r>
      <w:r>
        <w:t>comprising n</w:t>
      </w:r>
      <w:r w:rsidRPr="00323D34">
        <w:t xml:space="preserve">etwork </w:t>
      </w:r>
      <w:r>
        <w:t>s</w:t>
      </w:r>
      <w:r w:rsidRPr="00323D34">
        <w:t>upport</w:t>
      </w:r>
      <w:r>
        <w:t>, s</w:t>
      </w:r>
      <w:r w:rsidRPr="00323D34">
        <w:t>elf-</w:t>
      </w:r>
      <w:r>
        <w:t>i</w:t>
      </w:r>
      <w:r w:rsidRPr="00323D34">
        <w:t>nsurance</w:t>
      </w:r>
      <w:r>
        <w:t>, insurance premiums and the AEMC levy</w:t>
      </w:r>
      <w:r w:rsidRPr="00323D34">
        <w:t xml:space="preserve"> from its base </w:t>
      </w:r>
      <w:r>
        <w:t>opex, instead including</w:t>
      </w:r>
      <w:r w:rsidRPr="00323D34">
        <w:t xml:space="preserve"> category specific forecast</w:t>
      </w:r>
      <w:r>
        <w:t>s for these items outside of the base-step-trend approach</w:t>
      </w:r>
      <w:r w:rsidRPr="00323D34">
        <w:t>.</w:t>
      </w:r>
      <w:r>
        <w:t xml:space="preserve"> </w:t>
      </w:r>
      <w:r w:rsidRPr="00323D34">
        <w:t>T</w:t>
      </w:r>
      <w:r>
        <w:t>his decreased its forecast by $</w:t>
      </w:r>
      <w:r w:rsidR="00C00254">
        <w:t>9.0</w:t>
      </w:r>
      <w:r w:rsidRPr="00323D34">
        <w:t xml:space="preserve"> million </w:t>
      </w:r>
      <w:r w:rsidR="00C00254">
        <w:t>($2016–17)</w:t>
      </w:r>
      <w:r w:rsidRPr="00323D34">
        <w:t>.</w:t>
      </w:r>
    </w:p>
    <w:p w:rsidR="00852493" w:rsidRPr="00852493" w:rsidRDefault="0005723A" w:rsidP="0005723A">
      <w:pPr>
        <w:pStyle w:val="AERbulletlistfirststyle"/>
      </w:pPr>
      <w:r w:rsidRPr="0005723A">
        <w:t xml:space="preserve">To forecast the increase in opex between the base year </w:t>
      </w:r>
      <w:r w:rsidR="00E5029C">
        <w:t xml:space="preserve">(2014-15) </w:t>
      </w:r>
      <w:r w:rsidRPr="0005723A">
        <w:t xml:space="preserve">and </w:t>
      </w:r>
      <w:r w:rsidR="00E5029C">
        <w:t xml:space="preserve">commencement of the </w:t>
      </w:r>
      <w:r w:rsidRPr="0005723A">
        <w:t>2017–</w:t>
      </w:r>
      <w:r w:rsidR="00100570">
        <w:t>22</w:t>
      </w:r>
      <w:r w:rsidR="00100570" w:rsidRPr="0005723A">
        <w:t xml:space="preserve"> </w:t>
      </w:r>
      <w:r w:rsidRPr="0005723A">
        <w:t xml:space="preserve">regulatory control </w:t>
      </w:r>
      <w:proofErr w:type="gramStart"/>
      <w:r w:rsidRPr="0005723A">
        <w:t>period</w:t>
      </w:r>
      <w:proofErr w:type="gramEnd"/>
      <w:r w:rsidRPr="0005723A">
        <w:t xml:space="preserve">, Powerlink added the </w:t>
      </w:r>
      <w:r w:rsidRPr="0005723A">
        <w:lastRenderedPageBreak/>
        <w:t xml:space="preserve">growth it forecast in prices, output and productivity. This </w:t>
      </w:r>
      <w:r>
        <w:t>differs from</w:t>
      </w:r>
      <w:r w:rsidRPr="0005723A">
        <w:t xml:space="preserve"> the approach set out in our Expenditure forecast assessment guideline (the Guideline).</w:t>
      </w:r>
      <w:r>
        <w:rPr>
          <w:rStyle w:val="FootnoteReference"/>
        </w:rPr>
        <w:footnoteReference w:id="6"/>
      </w:r>
      <w:r>
        <w:t xml:space="preserve"> </w:t>
      </w:r>
      <w:r w:rsidR="00E36DB6" w:rsidRPr="00852493" w:rsidDel="005017A3">
        <w:t>T</w:t>
      </w:r>
      <w:r w:rsidR="00E36DB6" w:rsidDel="005017A3">
        <w:t>his decreased its forecast by $13.7</w:t>
      </w:r>
      <w:r w:rsidR="00E36DB6" w:rsidRPr="00852493" w:rsidDel="005017A3">
        <w:t xml:space="preserve"> million </w:t>
      </w:r>
      <w:r w:rsidR="00E36DB6" w:rsidDel="005017A3">
        <w:t>($2016–17)</w:t>
      </w:r>
      <w:r w:rsidR="00E36DB6" w:rsidRPr="00852493" w:rsidDel="005017A3">
        <w:t xml:space="preserve">. </w:t>
      </w:r>
    </w:p>
    <w:p w:rsidR="00C7354F" w:rsidRDefault="00C7354F" w:rsidP="00C7354F">
      <w:pPr>
        <w:pStyle w:val="AERbulletlistfirststyle"/>
      </w:pPr>
      <w:r w:rsidRPr="002B0D3A">
        <w:t xml:space="preserve">Powerlink </w:t>
      </w:r>
      <w:r>
        <w:t>d</w:t>
      </w:r>
      <w:r w:rsidR="00811CD1">
        <w:t>id</w:t>
      </w:r>
      <w:r w:rsidRPr="002B0D3A">
        <w:t xml:space="preserve"> not includ</w:t>
      </w:r>
      <w:r>
        <w:t>e</w:t>
      </w:r>
      <w:r w:rsidRPr="002B0D3A">
        <w:t xml:space="preserve"> any step changes </w:t>
      </w:r>
      <w:r>
        <w:t xml:space="preserve">in costs </w:t>
      </w:r>
      <w:r w:rsidRPr="002B0D3A">
        <w:t xml:space="preserve">for </w:t>
      </w:r>
      <w:r w:rsidR="00EF0997">
        <w:t>2017</w:t>
      </w:r>
      <w:r w:rsidR="00C00254">
        <w:t>–</w:t>
      </w:r>
      <w:r w:rsidR="00EF0997">
        <w:t>22</w:t>
      </w:r>
      <w:r>
        <w:t xml:space="preserve"> regulatory control </w:t>
      </w:r>
      <w:proofErr w:type="gramStart"/>
      <w:r>
        <w:t>period</w:t>
      </w:r>
      <w:proofErr w:type="gramEnd"/>
      <w:r w:rsidRPr="002B0D3A">
        <w:t xml:space="preserve">. Powerlink identifies a range of legislative changes that could impact its </w:t>
      </w:r>
      <w:r>
        <w:t>costs</w:t>
      </w:r>
      <w:r w:rsidRPr="002B0D3A">
        <w:t xml:space="preserve"> but </w:t>
      </w:r>
      <w:r w:rsidR="00745AC0" w:rsidRPr="002B0D3A">
        <w:t>consider</w:t>
      </w:r>
      <w:r w:rsidR="00745AC0">
        <w:t>ed</w:t>
      </w:r>
      <w:r w:rsidR="00745AC0" w:rsidRPr="002B0D3A">
        <w:t xml:space="preserve"> </w:t>
      </w:r>
      <w:r>
        <w:t>these can be</w:t>
      </w:r>
      <w:r w:rsidRPr="002B0D3A">
        <w:t xml:space="preserve"> managed within</w:t>
      </w:r>
      <w:r>
        <w:t xml:space="preserve"> base year </w:t>
      </w:r>
      <w:r w:rsidRPr="002B0D3A">
        <w:t>opex.</w:t>
      </w:r>
    </w:p>
    <w:p w:rsidR="00C7354F" w:rsidRDefault="00C7354F" w:rsidP="005528BD">
      <w:pPr>
        <w:pStyle w:val="AERbulletlistfirststyle"/>
      </w:pPr>
      <w:r>
        <w:t xml:space="preserve">Powerlink forecast growth </w:t>
      </w:r>
      <w:r w:rsidR="00B84130">
        <w:t xml:space="preserve">in </w:t>
      </w:r>
      <w:r w:rsidR="00304B18">
        <w:t xml:space="preserve">prices </w:t>
      </w:r>
      <w:r w:rsidR="00B84130">
        <w:t xml:space="preserve">of </w:t>
      </w:r>
      <w:r w:rsidR="005528BD">
        <w:t>labour and non-labour</w:t>
      </w:r>
      <w:r w:rsidR="00304B18">
        <w:t xml:space="preserve"> inputs</w:t>
      </w:r>
      <w:r>
        <w:t>. This increased its forecast opex by</w:t>
      </w:r>
      <w:r w:rsidR="005528BD">
        <w:t xml:space="preserve"> $</w:t>
      </w:r>
      <w:r w:rsidR="00C00254">
        <w:t>16.3</w:t>
      </w:r>
      <w:r w:rsidR="005528BD">
        <w:t xml:space="preserve"> million </w:t>
      </w:r>
      <w:r w:rsidR="00C00254">
        <w:t>($2016–17)</w:t>
      </w:r>
      <w:r w:rsidR="00B84130">
        <w:t>. Specifically, it forecast</w:t>
      </w:r>
      <w:r w:rsidR="00C00254">
        <w:t>:</w:t>
      </w:r>
    </w:p>
    <w:p w:rsidR="00304B18" w:rsidRDefault="00C00254" w:rsidP="00C7354F">
      <w:pPr>
        <w:pStyle w:val="AERbulletlistsecondstyle"/>
      </w:pPr>
      <w:r>
        <w:t>l</w:t>
      </w:r>
      <w:r w:rsidR="00304B18">
        <w:t>abour</w:t>
      </w:r>
      <w:r w:rsidR="005528BD" w:rsidRPr="005528BD">
        <w:t xml:space="preserve"> price </w:t>
      </w:r>
      <w:r w:rsidR="005528BD">
        <w:t>growth</w:t>
      </w:r>
      <w:r w:rsidR="005528BD" w:rsidRPr="005528BD">
        <w:t xml:space="preserve"> </w:t>
      </w:r>
      <w:r w:rsidR="005528BD">
        <w:t xml:space="preserve">using its internal enterprise agreement plus an average of </w:t>
      </w:r>
      <w:r w:rsidR="00304B18">
        <w:t xml:space="preserve">the BIS Shrapnel and </w:t>
      </w:r>
      <w:r w:rsidR="005528BD" w:rsidRPr="005528BD">
        <w:t>Deloitte Access Economics forecast</w:t>
      </w:r>
      <w:r>
        <w:t xml:space="preserve">s of growth in the </w:t>
      </w:r>
      <w:r w:rsidR="00AC7CEF">
        <w:t>wage price index (</w:t>
      </w:r>
      <w:r>
        <w:t>WPI</w:t>
      </w:r>
      <w:r w:rsidR="00AC7CEF">
        <w:t>)</w:t>
      </w:r>
      <w:r>
        <w:t xml:space="preserve"> for the utilities industry</w:t>
      </w:r>
    </w:p>
    <w:p w:rsidR="00304B18" w:rsidRPr="00304B18" w:rsidRDefault="00C00254" w:rsidP="00304B18">
      <w:pPr>
        <w:pStyle w:val="AERbulletlistsecondstyle"/>
      </w:pPr>
      <w:proofErr w:type="gramStart"/>
      <w:r>
        <w:t>n</w:t>
      </w:r>
      <w:r w:rsidR="00304B18">
        <w:t>on-labour</w:t>
      </w:r>
      <w:proofErr w:type="gramEnd"/>
      <w:r w:rsidR="00304B18">
        <w:t xml:space="preserve"> price</w:t>
      </w:r>
      <w:r>
        <w:t>s would not grow in real term</w:t>
      </w:r>
      <w:r w:rsidR="00B21F65">
        <w:t>s</w:t>
      </w:r>
      <w:r>
        <w:t>, that is, they would grow at the same rate as the</w:t>
      </w:r>
      <w:r w:rsidR="00304B18">
        <w:t xml:space="preserve"> </w:t>
      </w:r>
      <w:r w:rsidR="00304B18" w:rsidRPr="00304B18">
        <w:t>CPI</w:t>
      </w:r>
      <w:r w:rsidR="00304B18">
        <w:t>.</w:t>
      </w:r>
    </w:p>
    <w:p w:rsidR="00C7354F" w:rsidRDefault="00C7354F" w:rsidP="00304B18">
      <w:pPr>
        <w:pStyle w:val="AERbulletlistfirststyle"/>
      </w:pPr>
      <w:r>
        <w:t>Powerlink forecast growth in output</w:t>
      </w:r>
      <w:r w:rsidR="00C17B50">
        <w:t xml:space="preserve"> using </w:t>
      </w:r>
      <w:r w:rsidR="00C00254">
        <w:t>the same</w:t>
      </w:r>
      <w:r w:rsidR="00C17B50">
        <w:t xml:space="preserve"> approach</w:t>
      </w:r>
      <w:r w:rsidR="00C00254">
        <w:t xml:space="preserve"> we use</w:t>
      </w:r>
      <w:r>
        <w:t xml:space="preserve">. This increased its forecast opex by </w:t>
      </w:r>
      <w:r w:rsidR="00304B18">
        <w:t>$</w:t>
      </w:r>
      <w:r w:rsidR="00C00254">
        <w:t>2.7</w:t>
      </w:r>
      <w:r w:rsidR="00304B18">
        <w:t xml:space="preserve"> million </w:t>
      </w:r>
      <w:r w:rsidR="00C00254">
        <w:t>($2016–17)</w:t>
      </w:r>
      <w:r w:rsidR="00D60C69">
        <w:t>.</w:t>
      </w:r>
    </w:p>
    <w:p w:rsidR="00C7354F" w:rsidRDefault="00C7354F" w:rsidP="00C7354F">
      <w:pPr>
        <w:pStyle w:val="AERbulletlistfirststyle"/>
      </w:pPr>
      <w:r>
        <w:t>Powerlink</w:t>
      </w:r>
      <w:r w:rsidRPr="00C7354F">
        <w:t xml:space="preserve"> </w:t>
      </w:r>
      <w:r w:rsidR="00C00254">
        <w:t>forecast</w:t>
      </w:r>
      <w:r w:rsidR="00852493">
        <w:t xml:space="preserve"> </w:t>
      </w:r>
      <w:r>
        <w:t>productivity</w:t>
      </w:r>
      <w:r w:rsidR="00852493">
        <w:t xml:space="preserve"> </w:t>
      </w:r>
      <w:r w:rsidR="00C00254">
        <w:t xml:space="preserve">to </w:t>
      </w:r>
      <w:r w:rsidR="00852493">
        <w:t>grow</w:t>
      </w:r>
      <w:r>
        <w:t xml:space="preserve"> at 1.2 per cent</w:t>
      </w:r>
      <w:r w:rsidRPr="00BE7524">
        <w:t xml:space="preserve"> </w:t>
      </w:r>
      <w:r>
        <w:t>per</w:t>
      </w:r>
      <w:r w:rsidRPr="00BE7524">
        <w:t xml:space="preserve"> year. </w:t>
      </w:r>
      <w:r w:rsidRPr="00C7354F">
        <w:t>This reduced its opex forecast by $</w:t>
      </w:r>
      <w:r w:rsidR="00C00254">
        <w:t>32.6</w:t>
      </w:r>
      <w:r w:rsidRPr="00C7354F">
        <w:t xml:space="preserve"> million</w:t>
      </w:r>
      <w:r>
        <w:t>.</w:t>
      </w:r>
      <w:r w:rsidRPr="00C7354F">
        <w:t xml:space="preserve"> </w:t>
      </w:r>
    </w:p>
    <w:p w:rsidR="00FC0BF0" w:rsidRDefault="002B0D3A" w:rsidP="00A15DED">
      <w:pPr>
        <w:pStyle w:val="Heading3"/>
      </w:pPr>
      <w:bookmarkStart w:id="78" w:name="_Toc462752397"/>
      <w:bookmarkStart w:id="79" w:name="_Toc434828872"/>
      <w:r>
        <w:t>S</w:t>
      </w:r>
      <w:r w:rsidR="00FC0BF0">
        <w:t>ubmissions</w:t>
      </w:r>
      <w:r>
        <w:t xml:space="preserve"> on Powerlink's proposal</w:t>
      </w:r>
      <w:bookmarkEnd w:id="78"/>
      <w:r w:rsidR="00FC0BF0">
        <w:t xml:space="preserve"> </w:t>
      </w:r>
    </w:p>
    <w:p w:rsidR="00CF1F0C" w:rsidRPr="002B0D3A" w:rsidRDefault="002B0D3A" w:rsidP="002B0D3A">
      <w:r w:rsidRPr="002B0D3A">
        <w:t xml:space="preserve">CCP </w:t>
      </w:r>
      <w:r w:rsidR="008D69E9">
        <w:t xml:space="preserve">members Hugh Grant and David Headberry </w:t>
      </w:r>
      <w:r w:rsidRPr="002B0D3A">
        <w:t>consider</w:t>
      </w:r>
      <w:r w:rsidR="00B20243">
        <w:t>ed</w:t>
      </w:r>
      <w:r w:rsidRPr="002B0D3A">
        <w:t xml:space="preserve"> </w:t>
      </w:r>
      <w:r w:rsidR="00361290">
        <w:t>there is extensive evidence that Powerlink demonstrates the lowest operational efficiency in the NEM.</w:t>
      </w:r>
      <w:r w:rsidR="008D69E9">
        <w:rPr>
          <w:rStyle w:val="FootnoteReference"/>
        </w:rPr>
        <w:footnoteReference w:id="7"/>
      </w:r>
      <w:r w:rsidR="00361290">
        <w:t xml:space="preserve"> </w:t>
      </w:r>
      <w:r w:rsidR="00811CD1">
        <w:t xml:space="preserve">The </w:t>
      </w:r>
      <w:r w:rsidRPr="002B0D3A">
        <w:t xml:space="preserve">CCP </w:t>
      </w:r>
      <w:r w:rsidR="008D69E9">
        <w:t xml:space="preserve">members </w:t>
      </w:r>
      <w:r w:rsidRPr="002B0D3A">
        <w:t>state</w:t>
      </w:r>
      <w:r w:rsidR="00B20243">
        <w:t>d</w:t>
      </w:r>
      <w:r w:rsidRPr="002B0D3A">
        <w:t xml:space="preserve"> </w:t>
      </w:r>
      <w:r w:rsidR="008D69E9">
        <w:t xml:space="preserve">that </w:t>
      </w:r>
      <w:r w:rsidR="00811CD1">
        <w:t>our</w:t>
      </w:r>
      <w:r w:rsidRPr="002B0D3A">
        <w:t xml:space="preserve"> benchmarking </w:t>
      </w:r>
      <w:r w:rsidR="003B7C67">
        <w:t>results identify</w:t>
      </w:r>
      <w:r w:rsidR="00C2054F">
        <w:t xml:space="preserve"> </w:t>
      </w:r>
      <w:r w:rsidRPr="002B0D3A">
        <w:t xml:space="preserve">material inefficiencies in Powerlink’s </w:t>
      </w:r>
      <w:r w:rsidR="00C2054F">
        <w:t xml:space="preserve">historical </w:t>
      </w:r>
      <w:r w:rsidRPr="002B0D3A">
        <w:t>opex</w:t>
      </w:r>
      <w:r w:rsidR="00C2054F">
        <w:t xml:space="preserve">. </w:t>
      </w:r>
      <w:r w:rsidR="00B20243">
        <w:t xml:space="preserve">The CCP </w:t>
      </w:r>
      <w:r w:rsidR="008D69E9">
        <w:t xml:space="preserve">members' submission </w:t>
      </w:r>
      <w:r w:rsidR="00B20243">
        <w:t>highlighted</w:t>
      </w:r>
      <w:r w:rsidR="00CF1F0C">
        <w:t xml:space="preserve"> </w:t>
      </w:r>
      <w:r w:rsidR="008D69E9">
        <w:t xml:space="preserve">that </w:t>
      </w:r>
      <w:r w:rsidR="00CF1F0C">
        <w:t xml:space="preserve">Powerlink performs poorly on the following Partial Performance Indicators (PPIs) based on our 2014 electricity transmission benchmarking report: </w:t>
      </w:r>
      <w:r w:rsidR="00326CEC">
        <w:t>'Asset cost per total entry/exit point voltage', 'Opex per MVA of downstream transmission capacity' and 'Opex per total entry/exit point voltage'.</w:t>
      </w:r>
      <w:r w:rsidR="00354442">
        <w:rPr>
          <w:rStyle w:val="FootnoteReference"/>
        </w:rPr>
        <w:footnoteReference w:id="8"/>
      </w:r>
    </w:p>
    <w:p w:rsidR="00E52931" w:rsidRDefault="00B20243" w:rsidP="002B0D3A">
      <w:r>
        <w:t xml:space="preserve">The CCP </w:t>
      </w:r>
      <w:r w:rsidR="008D69E9">
        <w:t xml:space="preserve">members' submission </w:t>
      </w:r>
      <w:r>
        <w:t>noted</w:t>
      </w:r>
      <w:r w:rsidR="00326CEC">
        <w:t xml:space="preserve"> the AER has recently applied benchmarking to determine efficient base year opex for </w:t>
      </w:r>
      <w:r w:rsidR="003E5460">
        <w:t xml:space="preserve">distribution, but not for transmission. </w:t>
      </w:r>
      <w:r w:rsidR="00811CD1">
        <w:t xml:space="preserve">The </w:t>
      </w:r>
      <w:r w:rsidR="002B0D3A" w:rsidRPr="002B0D3A">
        <w:t xml:space="preserve">CCP </w:t>
      </w:r>
      <w:r w:rsidR="008D69E9">
        <w:t xml:space="preserve">members </w:t>
      </w:r>
      <w:r>
        <w:t>considered</w:t>
      </w:r>
      <w:r w:rsidR="003E5460">
        <w:t xml:space="preserve"> AER </w:t>
      </w:r>
      <w:r w:rsidR="002B0D3A" w:rsidRPr="002B0D3A">
        <w:t>concern</w:t>
      </w:r>
      <w:r w:rsidR="003E5460">
        <w:t>s</w:t>
      </w:r>
      <w:r w:rsidR="00811CD1">
        <w:t xml:space="preserve"> </w:t>
      </w:r>
      <w:r w:rsidR="002B0D3A" w:rsidRPr="002B0D3A">
        <w:t xml:space="preserve">about using the </w:t>
      </w:r>
      <w:r w:rsidR="00035D0B">
        <w:t xml:space="preserve">transmission </w:t>
      </w:r>
      <w:r w:rsidR="002B0D3A" w:rsidRPr="002B0D3A">
        <w:t>benchmarking results deterministically with a small sample size are not justified</w:t>
      </w:r>
      <w:r w:rsidR="00C2054F">
        <w:t xml:space="preserve">. </w:t>
      </w:r>
      <w:r w:rsidR="00811CD1">
        <w:t xml:space="preserve">The </w:t>
      </w:r>
      <w:r w:rsidR="002B0D3A" w:rsidRPr="002B0D3A">
        <w:t xml:space="preserve">CCP </w:t>
      </w:r>
      <w:r w:rsidR="008D69E9">
        <w:t xml:space="preserve">members </w:t>
      </w:r>
      <w:r w:rsidR="00811CD1">
        <w:t>found</w:t>
      </w:r>
      <w:r w:rsidR="00811CD1" w:rsidRPr="002B0D3A">
        <w:t xml:space="preserve"> </w:t>
      </w:r>
      <w:r w:rsidR="002B0D3A" w:rsidRPr="002B0D3A">
        <w:t xml:space="preserve">other international regulators have used benchmarking results </w:t>
      </w:r>
      <w:r w:rsidR="003B7C67">
        <w:t xml:space="preserve">much </w:t>
      </w:r>
      <w:r w:rsidR="002B0D3A" w:rsidRPr="002B0D3A">
        <w:t>more deterministically with similar or smaller nu</w:t>
      </w:r>
      <w:r w:rsidR="009B0058">
        <w:t>mbers of benchmark comparisons</w:t>
      </w:r>
      <w:r w:rsidR="00E52931">
        <w:t xml:space="preserve">, although the CCP </w:t>
      </w:r>
      <w:r w:rsidR="003C4194">
        <w:t xml:space="preserve">members' submission </w:t>
      </w:r>
      <w:r>
        <w:t>did</w:t>
      </w:r>
      <w:r w:rsidR="00E52931">
        <w:t xml:space="preserve"> not reference these regulatory decisions.</w:t>
      </w:r>
      <w:r w:rsidR="009B0058">
        <w:t xml:space="preserve"> </w:t>
      </w:r>
      <w:r>
        <w:t>The CCP</w:t>
      </w:r>
      <w:r w:rsidR="003C4194">
        <w:t xml:space="preserve"> </w:t>
      </w:r>
      <w:r w:rsidR="003C4194">
        <w:lastRenderedPageBreak/>
        <w:t xml:space="preserve">members </w:t>
      </w:r>
      <w:r>
        <w:t>considered</w:t>
      </w:r>
      <w:r w:rsidR="00E52931">
        <w:t xml:space="preserve"> the AER's concerns about using transmission benchmarking deterministically contradicts the purpose of publ</w:t>
      </w:r>
      <w:r w:rsidR="00361290">
        <w:t>ishing the benchmarking report.</w:t>
      </w:r>
      <w:r w:rsidR="00354442">
        <w:rPr>
          <w:rStyle w:val="FootnoteReference"/>
        </w:rPr>
        <w:footnoteReference w:id="9"/>
      </w:r>
    </w:p>
    <w:p w:rsidR="009B0058" w:rsidRDefault="00811CD1" w:rsidP="002B0D3A">
      <w:r>
        <w:t xml:space="preserve">The </w:t>
      </w:r>
      <w:r w:rsidR="009B0058">
        <w:t xml:space="preserve">CCP </w:t>
      </w:r>
      <w:r w:rsidR="003C4194">
        <w:t xml:space="preserve">members </w:t>
      </w:r>
      <w:r w:rsidR="009B0058">
        <w:t>state</w:t>
      </w:r>
      <w:r>
        <w:t>d</w:t>
      </w:r>
      <w:r w:rsidR="009B0058">
        <w:t xml:space="preserve"> there is insufficient integration of </w:t>
      </w:r>
      <w:r w:rsidR="009B0058" w:rsidRPr="009B0058">
        <w:t>expected</w:t>
      </w:r>
      <w:r w:rsidR="009B0058">
        <w:t xml:space="preserve"> </w:t>
      </w:r>
      <w:r w:rsidR="009B0058" w:rsidRPr="009B0058">
        <w:t>opex</w:t>
      </w:r>
      <w:r w:rsidR="009B0058">
        <w:t xml:space="preserve"> </w:t>
      </w:r>
      <w:r w:rsidR="009B0058" w:rsidRPr="009B0058">
        <w:t>reductions</w:t>
      </w:r>
      <w:r w:rsidR="009B0058">
        <w:t xml:space="preserve"> </w:t>
      </w:r>
      <w:r w:rsidR="009B0058" w:rsidRPr="009B0058">
        <w:t>arising</w:t>
      </w:r>
      <w:r w:rsidR="009B0058">
        <w:t xml:space="preserve"> </w:t>
      </w:r>
      <w:r w:rsidR="009B0058" w:rsidRPr="009B0058">
        <w:t>from</w:t>
      </w:r>
      <w:r w:rsidR="009B0058">
        <w:t xml:space="preserve"> </w:t>
      </w:r>
      <w:r w:rsidR="009B0058" w:rsidRPr="009B0058">
        <w:t>non-network</w:t>
      </w:r>
      <w:r w:rsidR="009B0058">
        <w:t xml:space="preserve"> </w:t>
      </w:r>
      <w:r w:rsidR="009B0058" w:rsidRPr="009B0058">
        <w:t>capex</w:t>
      </w:r>
      <w:r w:rsidR="009B0058">
        <w:t xml:space="preserve"> projects.</w:t>
      </w:r>
      <w:r w:rsidR="00444319">
        <w:rPr>
          <w:rStyle w:val="FootnoteReference"/>
        </w:rPr>
        <w:footnoteReference w:id="10"/>
      </w:r>
    </w:p>
    <w:p w:rsidR="00FC0BF0" w:rsidRDefault="00811CD1" w:rsidP="002B0D3A">
      <w:r>
        <w:t xml:space="preserve">The </w:t>
      </w:r>
      <w:r w:rsidR="002B0D3A" w:rsidRPr="002B0D3A">
        <w:t>CCP</w:t>
      </w:r>
      <w:r w:rsidR="003C4194">
        <w:t xml:space="preserve"> members</w:t>
      </w:r>
      <w:r w:rsidR="002B0D3A" w:rsidRPr="002B0D3A">
        <w:t xml:space="preserve"> consider</w:t>
      </w:r>
      <w:r>
        <w:t>ed</w:t>
      </w:r>
      <w:r w:rsidR="002B0D3A" w:rsidRPr="002B0D3A">
        <w:t xml:space="preserve"> </w:t>
      </w:r>
      <w:r>
        <w:t>we</w:t>
      </w:r>
      <w:r w:rsidR="002B0D3A" w:rsidRPr="002B0D3A">
        <w:t xml:space="preserve"> should apply a higher productivity growth factor than that proposed</w:t>
      </w:r>
      <w:r w:rsidR="004B12CA">
        <w:t xml:space="preserve"> by Powerlink (of 1.2 per cent)</w:t>
      </w:r>
      <w:r w:rsidR="002B0D3A" w:rsidRPr="002B0D3A">
        <w:t xml:space="preserve"> in</w:t>
      </w:r>
      <w:r w:rsidR="005138E7">
        <w:t xml:space="preserve"> </w:t>
      </w:r>
      <w:r w:rsidR="002B0D3A" w:rsidRPr="002B0D3A">
        <w:t>line with levels achieved by other capital intensive industry sectors</w:t>
      </w:r>
      <w:r w:rsidR="00C2054F">
        <w:t>.</w:t>
      </w:r>
      <w:r w:rsidR="001C0BAE">
        <w:rPr>
          <w:rStyle w:val="FootnoteReference"/>
        </w:rPr>
        <w:footnoteReference w:id="11"/>
      </w:r>
      <w:r w:rsidR="00C2054F">
        <w:t xml:space="preserve"> </w:t>
      </w:r>
    </w:p>
    <w:p w:rsidR="007B28DA" w:rsidRDefault="00811CD1" w:rsidP="007B28DA">
      <w:r>
        <w:t xml:space="preserve">The </w:t>
      </w:r>
      <w:r w:rsidR="007B28DA">
        <w:t xml:space="preserve">CCP </w:t>
      </w:r>
      <w:r w:rsidR="003C4194">
        <w:t xml:space="preserve">members </w:t>
      </w:r>
      <w:r w:rsidR="007B28DA">
        <w:t>submit</w:t>
      </w:r>
      <w:r>
        <w:t>ted</w:t>
      </w:r>
      <w:r w:rsidR="007B28DA">
        <w:t xml:space="preserve"> </w:t>
      </w:r>
      <w:r>
        <w:t>we</w:t>
      </w:r>
      <w:r w:rsidR="007B28DA">
        <w:t xml:space="preserve"> </w:t>
      </w:r>
      <w:r w:rsidR="007B28DA" w:rsidRPr="007B28DA">
        <w:t>need</w:t>
      </w:r>
      <w:r w:rsidR="007B28DA">
        <w:t xml:space="preserve"> </w:t>
      </w:r>
      <w:r w:rsidR="007B28DA" w:rsidRPr="007B28DA">
        <w:t>to</w:t>
      </w:r>
      <w:r w:rsidR="007B28DA">
        <w:t xml:space="preserve"> u</w:t>
      </w:r>
      <w:r w:rsidR="007B28DA" w:rsidRPr="007B28DA">
        <w:t>se</w:t>
      </w:r>
      <w:r w:rsidR="007B28DA">
        <w:t xml:space="preserve"> </w:t>
      </w:r>
      <w:r w:rsidR="007B28DA" w:rsidRPr="007B28DA">
        <w:t>labour</w:t>
      </w:r>
      <w:r w:rsidR="007B28DA">
        <w:t xml:space="preserve"> </w:t>
      </w:r>
      <w:r w:rsidR="007B28DA" w:rsidRPr="007B28DA">
        <w:t>price</w:t>
      </w:r>
      <w:r w:rsidR="007B28DA">
        <w:t xml:space="preserve"> </w:t>
      </w:r>
      <w:r w:rsidR="007B28DA" w:rsidRPr="007B28DA">
        <w:t>forecasts</w:t>
      </w:r>
      <w:r w:rsidR="007B28DA">
        <w:t xml:space="preserve"> </w:t>
      </w:r>
      <w:r w:rsidR="007B28DA" w:rsidRPr="007B28DA">
        <w:t>specific</w:t>
      </w:r>
      <w:r w:rsidR="007B28DA">
        <w:t xml:space="preserve"> </w:t>
      </w:r>
      <w:r w:rsidR="007B28DA" w:rsidRPr="007B28DA">
        <w:t>to</w:t>
      </w:r>
      <w:r w:rsidR="007B28DA">
        <w:t xml:space="preserve"> </w:t>
      </w:r>
      <w:r w:rsidR="007B28DA" w:rsidRPr="007B28DA">
        <w:t>the</w:t>
      </w:r>
      <w:r w:rsidR="007B28DA">
        <w:t xml:space="preserve"> </w:t>
      </w:r>
      <w:r w:rsidR="007B28DA" w:rsidRPr="007B28DA">
        <w:t>electricity</w:t>
      </w:r>
      <w:r w:rsidR="007B28DA">
        <w:t xml:space="preserve"> network </w:t>
      </w:r>
      <w:r w:rsidR="007B28DA" w:rsidRPr="007B28DA">
        <w:t>sector</w:t>
      </w:r>
      <w:r w:rsidR="007B28DA">
        <w:t xml:space="preserve"> and that such f</w:t>
      </w:r>
      <w:r w:rsidR="007B28DA" w:rsidRPr="007B28DA">
        <w:t>orecasts</w:t>
      </w:r>
      <w:r w:rsidR="007B28DA">
        <w:t xml:space="preserve"> </w:t>
      </w:r>
      <w:r w:rsidR="007B28DA" w:rsidRPr="007B28DA">
        <w:t>will</w:t>
      </w:r>
      <w:r w:rsidR="007B28DA">
        <w:t xml:space="preserve"> </w:t>
      </w:r>
      <w:r w:rsidR="007B28DA" w:rsidRPr="007B28DA">
        <w:t>confirm</w:t>
      </w:r>
      <w:r w:rsidR="007B28DA">
        <w:t xml:space="preserve"> </w:t>
      </w:r>
      <w:r w:rsidR="007B28DA" w:rsidRPr="007B28DA">
        <w:t>that</w:t>
      </w:r>
      <w:r w:rsidR="007B28DA">
        <w:t xml:space="preserve"> </w:t>
      </w:r>
      <w:r w:rsidR="007B28DA" w:rsidRPr="007B28DA">
        <w:t>Powerlink’s</w:t>
      </w:r>
      <w:r w:rsidR="007B28DA">
        <w:t xml:space="preserve"> </w:t>
      </w:r>
      <w:r w:rsidR="007B28DA" w:rsidRPr="007B28DA">
        <w:t>labour</w:t>
      </w:r>
      <w:r w:rsidR="007B28DA">
        <w:t xml:space="preserve"> </w:t>
      </w:r>
      <w:r w:rsidR="007B28DA" w:rsidRPr="007B28DA">
        <w:t>costs</w:t>
      </w:r>
      <w:r w:rsidR="007B28DA">
        <w:t xml:space="preserve"> </w:t>
      </w:r>
      <w:r w:rsidR="007B28DA" w:rsidRPr="007B28DA">
        <w:t>should</w:t>
      </w:r>
      <w:r w:rsidR="007B28DA">
        <w:t xml:space="preserve"> </w:t>
      </w:r>
      <w:r w:rsidR="007B28DA" w:rsidRPr="007B28DA">
        <w:t>be</w:t>
      </w:r>
      <w:r w:rsidR="007B28DA">
        <w:t xml:space="preserve"> </w:t>
      </w:r>
      <w:r w:rsidR="007B28DA" w:rsidRPr="007B28DA">
        <w:t>reducing,</w:t>
      </w:r>
      <w:r w:rsidR="007B28DA">
        <w:t xml:space="preserve"> </w:t>
      </w:r>
      <w:r w:rsidR="007B28DA" w:rsidRPr="007B28DA">
        <w:t>rather</w:t>
      </w:r>
      <w:r w:rsidR="007B28DA">
        <w:t xml:space="preserve"> </w:t>
      </w:r>
      <w:r w:rsidR="007B28DA" w:rsidRPr="007B28DA">
        <w:t>than</w:t>
      </w:r>
      <w:r w:rsidR="007B28DA">
        <w:t xml:space="preserve"> </w:t>
      </w:r>
      <w:r w:rsidR="007B28DA" w:rsidRPr="007B28DA">
        <w:t>increasing</w:t>
      </w:r>
      <w:r w:rsidR="00C2054F">
        <w:t>.</w:t>
      </w:r>
      <w:r w:rsidR="003B7C67">
        <w:rPr>
          <w:rStyle w:val="FootnoteReference"/>
        </w:rPr>
        <w:footnoteReference w:id="12"/>
      </w:r>
      <w:r w:rsidR="00C2054F">
        <w:t xml:space="preserve"> </w:t>
      </w:r>
    </w:p>
    <w:p w:rsidR="001C0BAE" w:rsidRDefault="00811CD1" w:rsidP="002B0D3A">
      <w:r>
        <w:t xml:space="preserve">The </w:t>
      </w:r>
      <w:r w:rsidR="001C0BAE" w:rsidRPr="002B0D3A">
        <w:t xml:space="preserve">CCP </w:t>
      </w:r>
      <w:r w:rsidR="003C4194">
        <w:t xml:space="preserve">members </w:t>
      </w:r>
      <w:r w:rsidR="00EB57B0">
        <w:t>also submitted</w:t>
      </w:r>
      <w:r w:rsidR="00EB57B0" w:rsidRPr="002B0D3A">
        <w:t xml:space="preserve"> </w:t>
      </w:r>
      <w:r w:rsidR="001C0BAE" w:rsidRPr="002B0D3A">
        <w:t xml:space="preserve">that a key reason for transmission businesses’ poor productivity performance over the past decade is </w:t>
      </w:r>
      <w:r>
        <w:t>our</w:t>
      </w:r>
      <w:r w:rsidR="001C0BAE" w:rsidRPr="002B0D3A">
        <w:t xml:space="preserve"> provision of excessive opex allowances, which </w:t>
      </w:r>
      <w:r w:rsidR="005138E7">
        <w:t xml:space="preserve">in its view </w:t>
      </w:r>
      <w:r w:rsidR="001C0BAE" w:rsidRPr="002B0D3A">
        <w:t>has been a strong driver of inefficient labour practices and poor productivity outcomes</w:t>
      </w:r>
      <w:r w:rsidR="001C0BAE">
        <w:t>.</w:t>
      </w:r>
      <w:r w:rsidR="001C0BAE">
        <w:rPr>
          <w:rStyle w:val="FootnoteReference"/>
        </w:rPr>
        <w:footnoteReference w:id="13"/>
      </w:r>
      <w:r w:rsidR="001C0BAE">
        <w:t xml:space="preserve"> </w:t>
      </w:r>
    </w:p>
    <w:p w:rsidR="00B60F11" w:rsidRDefault="00B60F11" w:rsidP="002B0D3A">
      <w:r>
        <w:t xml:space="preserve">The </w:t>
      </w:r>
      <w:r w:rsidR="00B6509B" w:rsidRPr="00B6509B">
        <w:t xml:space="preserve">University of Queensland </w:t>
      </w:r>
      <w:r w:rsidR="00B6509B">
        <w:t>submit</w:t>
      </w:r>
      <w:r w:rsidR="00811CD1">
        <w:t>ted</w:t>
      </w:r>
      <w:r w:rsidR="00B6509B">
        <w:t xml:space="preserve"> that</w:t>
      </w:r>
      <w:r w:rsidRPr="00B60F11">
        <w:t xml:space="preserve"> Powerlink</w:t>
      </w:r>
      <w:r w:rsidR="00B6509B">
        <w:t>'s proposal for</w:t>
      </w:r>
      <w:r w:rsidRPr="00B60F11">
        <w:t xml:space="preserve"> network maintenance, operations, refurbishment and </w:t>
      </w:r>
      <w:r w:rsidR="00811CD1">
        <w:t>replacement expenditure</w:t>
      </w:r>
      <w:r w:rsidR="00811CD1" w:rsidRPr="00B60F11">
        <w:t xml:space="preserve"> </w:t>
      </w:r>
      <w:r w:rsidR="00B6509B">
        <w:t xml:space="preserve">already </w:t>
      </w:r>
      <w:r w:rsidRPr="00B60F11">
        <w:t>incorporate significant efficiency</w:t>
      </w:r>
      <w:r w:rsidR="005138E7">
        <w:t xml:space="preserve"> </w:t>
      </w:r>
      <w:r w:rsidRPr="00B60F11">
        <w:t>improvement initiatives and that further regulatory cuts may increase long term costs to customers.</w:t>
      </w:r>
      <w:r w:rsidR="00B6509B">
        <w:rPr>
          <w:rStyle w:val="FootnoteReference"/>
        </w:rPr>
        <w:footnoteReference w:id="14"/>
      </w:r>
    </w:p>
    <w:p w:rsidR="008F2A86" w:rsidRDefault="008F2A86" w:rsidP="002B0D3A">
      <w:r>
        <w:t>Queensl</w:t>
      </w:r>
      <w:r w:rsidR="00B20243">
        <w:t>and Resources Council highlighted</w:t>
      </w:r>
      <w:r>
        <w:t xml:space="preserve"> the r</w:t>
      </w:r>
      <w:r w:rsidRPr="008F2A86">
        <w:t xml:space="preserve">elatively low reduction in </w:t>
      </w:r>
      <w:r>
        <w:t xml:space="preserve">opex compared to capex </w:t>
      </w:r>
      <w:r w:rsidR="00B20243">
        <w:t>and allowable revenue, and noted</w:t>
      </w:r>
      <w:r>
        <w:t xml:space="preserve"> its expectation th</w:t>
      </w:r>
      <w:r w:rsidR="0079331A">
        <w:t>at</w:t>
      </w:r>
      <w:r>
        <w:t xml:space="preserve"> </w:t>
      </w:r>
      <w:r w:rsidR="00811CD1">
        <w:t xml:space="preserve">we </w:t>
      </w:r>
      <w:r>
        <w:t>assess claims that this represents an inefficient inflexibility in Powerlink's opex.</w:t>
      </w:r>
      <w:r>
        <w:rPr>
          <w:rStyle w:val="FootnoteReference"/>
        </w:rPr>
        <w:footnoteReference w:id="15"/>
      </w:r>
      <w:r>
        <w:t xml:space="preserve"> </w:t>
      </w:r>
    </w:p>
    <w:p w:rsidR="008F2A86" w:rsidRDefault="008F2A86" w:rsidP="008F2A86">
      <w:r>
        <w:t xml:space="preserve">Cotton Australia </w:t>
      </w:r>
      <w:r w:rsidR="00E910CA">
        <w:t>suggest</w:t>
      </w:r>
      <w:r w:rsidR="00811CD1">
        <w:t>ed</w:t>
      </w:r>
      <w:r w:rsidR="00E910CA">
        <w:t xml:space="preserve"> </w:t>
      </w:r>
      <w:r w:rsidR="00811CD1">
        <w:t>we</w:t>
      </w:r>
      <w:r w:rsidRPr="008F2A86">
        <w:t xml:space="preserve"> </w:t>
      </w:r>
      <w:r w:rsidR="00630E99">
        <w:t>continue to develop our transmission</w:t>
      </w:r>
      <w:r w:rsidRPr="008F2A86">
        <w:t xml:space="preserve"> benchmarking </w:t>
      </w:r>
      <w:r w:rsidR="00630E99">
        <w:t xml:space="preserve">so that it can be applied more deterministically </w:t>
      </w:r>
      <w:r w:rsidRPr="008F2A86">
        <w:t xml:space="preserve">for </w:t>
      </w:r>
      <w:r w:rsidR="009D2845">
        <w:t>future</w:t>
      </w:r>
      <w:r w:rsidRPr="008F2A86">
        <w:t xml:space="preserve"> regulatory period</w:t>
      </w:r>
      <w:r w:rsidR="009D2845">
        <w:t>s. Cotton Australia also suggested we</w:t>
      </w:r>
      <w:r w:rsidR="009D2845" w:rsidRPr="00E910CA">
        <w:t xml:space="preserve"> </w:t>
      </w:r>
      <w:r w:rsidR="00E910CA" w:rsidRPr="00E910CA">
        <w:t xml:space="preserve">investigate issues of labour costs and the effectiveness of </w:t>
      </w:r>
      <w:r w:rsidR="00E910CA">
        <w:t xml:space="preserve">efficiency </w:t>
      </w:r>
      <w:r w:rsidR="00E910CA" w:rsidRPr="00E910CA">
        <w:t>incentive schemes.</w:t>
      </w:r>
      <w:r w:rsidR="00E910CA">
        <w:rPr>
          <w:rStyle w:val="FootnoteReference"/>
        </w:rPr>
        <w:footnoteReference w:id="16"/>
      </w:r>
      <w:r w:rsidR="009D2845">
        <w:t xml:space="preserve"> </w:t>
      </w:r>
    </w:p>
    <w:p w:rsidR="00D40D84" w:rsidRDefault="00D40D84" w:rsidP="008F2A86">
      <w:r>
        <w:lastRenderedPageBreak/>
        <w:t>A s</w:t>
      </w:r>
      <w:r w:rsidRPr="00D40D84">
        <w:t xml:space="preserve">ummary of </w:t>
      </w:r>
      <w:r>
        <w:t>s</w:t>
      </w:r>
      <w:r w:rsidRPr="00D40D84">
        <w:t xml:space="preserve">takeholder </w:t>
      </w:r>
      <w:r>
        <w:t>s</w:t>
      </w:r>
      <w:r w:rsidRPr="00D40D84">
        <w:t xml:space="preserve">ubmissions </w:t>
      </w:r>
      <w:r>
        <w:t xml:space="preserve">on Powerlink's opex proposal and our response to the issues raised is presented in </w:t>
      </w:r>
      <w:r w:rsidR="001913EA">
        <w:t>section</w:t>
      </w:r>
      <w:r>
        <w:t> </w:t>
      </w:r>
      <w:r w:rsidR="001913EA">
        <w:t>7.4.6</w:t>
      </w:r>
      <w:r>
        <w:t>.</w:t>
      </w:r>
    </w:p>
    <w:p w:rsidR="00132D43" w:rsidRDefault="00A15DED" w:rsidP="00132D43">
      <w:pPr>
        <w:pStyle w:val="Heading2"/>
      </w:pPr>
      <w:bookmarkStart w:id="80" w:name="_Toc462752398"/>
      <w:r>
        <w:t>A</w:t>
      </w:r>
      <w:r w:rsidR="00FC0BF0">
        <w:t>ssessment</w:t>
      </w:r>
      <w:r w:rsidR="00132D43">
        <w:t xml:space="preserve"> </w:t>
      </w:r>
      <w:bookmarkEnd w:id="79"/>
      <w:r>
        <w:t>approach</w:t>
      </w:r>
      <w:bookmarkEnd w:id="80"/>
    </w:p>
    <w:p w:rsidR="006E58AE" w:rsidRDefault="006E58AE" w:rsidP="006E58AE">
      <w:r w:rsidRPr="006E58AE">
        <w:t xml:space="preserve">In assessing a </w:t>
      </w:r>
      <w:r w:rsidR="00307AC1">
        <w:t>business'</w:t>
      </w:r>
      <w:r w:rsidRPr="006E58AE">
        <w:t xml:space="preserve"> forecast of total opex, we must form a view about whether the </w:t>
      </w:r>
      <w:r w:rsidR="00AD3261" w:rsidRPr="00AD3261">
        <w:t xml:space="preserve">total of the </w:t>
      </w:r>
      <w:r w:rsidRPr="006E58AE">
        <w:t>forecast reasonab</w:t>
      </w:r>
      <w:r>
        <w:t>l</w:t>
      </w:r>
      <w:r w:rsidR="00AD3261">
        <w:t xml:space="preserve">y </w:t>
      </w:r>
      <w:r w:rsidR="00AD3261" w:rsidRPr="00AD3261">
        <w:t xml:space="preserve">reflects each of the </w:t>
      </w:r>
      <w:r w:rsidR="003D21D5">
        <w:t>opex</w:t>
      </w:r>
      <w:r w:rsidR="00AD3261" w:rsidRPr="00AD3261">
        <w:t xml:space="preserve"> criteria</w:t>
      </w:r>
      <w:r>
        <w:t>.</w:t>
      </w:r>
      <w:r>
        <w:rPr>
          <w:rStyle w:val="FootnoteReference"/>
        </w:rPr>
        <w:footnoteReference w:id="17"/>
      </w:r>
      <w:r w:rsidRPr="006E58AE">
        <w:t xml:space="preserve"> If we are satisfied it reasonabl</w:t>
      </w:r>
      <w:r w:rsidR="00E301F5">
        <w:t>y reflects those criteria</w:t>
      </w:r>
      <w:r w:rsidRPr="006E58AE">
        <w:t xml:space="preserve"> we </w:t>
      </w:r>
      <w:r w:rsidR="00E301F5">
        <w:t xml:space="preserve">must </w:t>
      </w:r>
      <w:r>
        <w:t xml:space="preserve">accept the </w:t>
      </w:r>
      <w:r w:rsidR="00307AC1">
        <w:t>business'</w:t>
      </w:r>
      <w:r>
        <w:t xml:space="preserve"> forecast.</w:t>
      </w:r>
      <w:r>
        <w:rPr>
          <w:rStyle w:val="FootnoteReference"/>
        </w:rPr>
        <w:footnoteReference w:id="18"/>
      </w:r>
      <w:r w:rsidRPr="006E58AE">
        <w:t xml:space="preserve"> If we are not satisfied, we substitute the </w:t>
      </w:r>
      <w:r w:rsidR="00307AC1">
        <w:t>business'</w:t>
      </w:r>
      <w:r w:rsidRPr="006E58AE">
        <w:t xml:space="preserve"> forecast with our alternative e</w:t>
      </w:r>
      <w:r>
        <w:t xml:space="preserve">stimate of the </w:t>
      </w:r>
      <w:r w:rsidR="00307AC1">
        <w:t>business'</w:t>
      </w:r>
      <w:r>
        <w:t xml:space="preserve"> opex.</w:t>
      </w:r>
      <w:r>
        <w:rPr>
          <w:rStyle w:val="FootnoteReference"/>
        </w:rPr>
        <w:footnoteReference w:id="19"/>
      </w:r>
    </w:p>
    <w:p w:rsidR="00753D73" w:rsidRDefault="00753D73" w:rsidP="00753D73">
      <w:r>
        <w:t xml:space="preserve">Our </w:t>
      </w:r>
      <w:r w:rsidRPr="00272D5D">
        <w:t xml:space="preserve">view as to whether a </w:t>
      </w:r>
      <w:r>
        <w:t xml:space="preserve">network business' </w:t>
      </w:r>
      <w:r w:rsidRPr="00272D5D">
        <w:t xml:space="preserve">proposal is reasonable is not a separate exercise from determining </w:t>
      </w:r>
      <w:r>
        <w:t xml:space="preserve">an alternative opex forecast. We </w:t>
      </w:r>
      <w:r w:rsidRPr="00272D5D">
        <w:t xml:space="preserve">assess a </w:t>
      </w:r>
      <w:r>
        <w:t xml:space="preserve">business' </w:t>
      </w:r>
      <w:r w:rsidRPr="00272D5D">
        <w:t xml:space="preserve">opex </w:t>
      </w:r>
      <w:r>
        <w:t xml:space="preserve">proposal </w:t>
      </w:r>
      <w:r w:rsidRPr="00272D5D">
        <w:t xml:space="preserve">by determining </w:t>
      </w:r>
      <w:r>
        <w:t>our</w:t>
      </w:r>
      <w:r w:rsidRPr="00272D5D">
        <w:t xml:space="preserve"> own opex forecast</w:t>
      </w:r>
      <w:r>
        <w:t xml:space="preserve">. We have discretion </w:t>
      </w:r>
      <w:r w:rsidRPr="00272D5D">
        <w:t xml:space="preserve">to determine whether the difference between </w:t>
      </w:r>
      <w:r>
        <w:t>our</w:t>
      </w:r>
      <w:r w:rsidRPr="00272D5D">
        <w:t xml:space="preserve"> forecast </w:t>
      </w:r>
      <w:r>
        <w:t xml:space="preserve">opex </w:t>
      </w:r>
      <w:r w:rsidRPr="00272D5D">
        <w:t xml:space="preserve">and the </w:t>
      </w:r>
      <w:r>
        <w:t>business'</w:t>
      </w:r>
      <w:r w:rsidRPr="00272D5D">
        <w:t xml:space="preserve"> </w:t>
      </w:r>
      <w:r>
        <w:t xml:space="preserve">proposed </w:t>
      </w:r>
      <w:r w:rsidRPr="00272D5D">
        <w:t xml:space="preserve">opex is such that </w:t>
      </w:r>
      <w:r>
        <w:t>we</w:t>
      </w:r>
      <w:r w:rsidRPr="00272D5D">
        <w:t xml:space="preserve"> should accept the </w:t>
      </w:r>
      <w:r>
        <w:t>business'</w:t>
      </w:r>
      <w:r w:rsidRPr="00272D5D">
        <w:t xml:space="preserve"> opex as reasonable</w:t>
      </w:r>
      <w:r>
        <w:t xml:space="preserve">. </w:t>
      </w:r>
    </w:p>
    <w:p w:rsidR="006E58AE" w:rsidRPr="006E58AE" w:rsidRDefault="006E58AE" w:rsidP="006E58AE">
      <w:r w:rsidRPr="006E58AE">
        <w:t xml:space="preserve">We apply the 'base-step-trend' forecasting approach to develop our alternative estimate of efficient costs to compare </w:t>
      </w:r>
      <w:r>
        <w:t>against the business' proposal.</w:t>
      </w:r>
      <w:r w:rsidRPr="006E58AE">
        <w:t xml:space="preserve"> This approach is consistent with an economic, incentive-based regulatory framework. It allows us to leave the minutiae of input and output decision-making to the business.</w:t>
      </w:r>
      <w:r w:rsidR="00753D73">
        <w:t xml:space="preserve"> Our </w:t>
      </w:r>
      <w:r w:rsidR="00753D73" w:rsidRPr="009D0924">
        <w:t xml:space="preserve">role is to allow </w:t>
      </w:r>
      <w:r w:rsidR="00753D73">
        <w:t xml:space="preserve">the business </w:t>
      </w:r>
      <w:r w:rsidR="00753D73" w:rsidRPr="009D0924">
        <w:t>the flexibility to manage its assets and labour as it sees fit to achieve the NEO.</w:t>
      </w:r>
    </w:p>
    <w:p w:rsidR="006E58AE" w:rsidRPr="006E58AE" w:rsidRDefault="006E58AE" w:rsidP="006E58AE">
      <w:r w:rsidRPr="006E58AE">
        <w:t xml:space="preserve">First, we use the business' </w:t>
      </w:r>
      <w:r w:rsidR="00753D73">
        <w:t xml:space="preserve">audited </w:t>
      </w:r>
      <w:r w:rsidRPr="006E58AE">
        <w:t xml:space="preserve">historical costs in a </w:t>
      </w:r>
      <w:r w:rsidR="00753D73">
        <w:t>recent</w:t>
      </w:r>
      <w:r w:rsidR="00753D73" w:rsidRPr="006E58AE">
        <w:t xml:space="preserve"> </w:t>
      </w:r>
      <w:r w:rsidRPr="006E58AE">
        <w:t xml:space="preserve">year as a starting point for our forecast. We call this 'base opex'. Our benchmarking results provide information about whether the business is operating efficiently. We look for evidence of 'material inefficiencies' in a network business' base opex to determine if we can rely on 'revealed costs', or </w:t>
      </w:r>
      <w:r w:rsidR="004B12CA">
        <w:t xml:space="preserve">if </w:t>
      </w:r>
      <w:r w:rsidRPr="006E58AE">
        <w:t>an adjustment to base opex is required.</w:t>
      </w:r>
      <w:r w:rsidR="00753D73">
        <w:t xml:space="preserve"> B</w:t>
      </w:r>
      <w:r w:rsidR="00753D73" w:rsidRPr="00272D5D">
        <w:t xml:space="preserve">enchmarking </w:t>
      </w:r>
      <w:r w:rsidR="00753D73">
        <w:t xml:space="preserve">a network business </w:t>
      </w:r>
      <w:r w:rsidR="00753D73" w:rsidRPr="00272D5D">
        <w:t>against others provide</w:t>
      </w:r>
      <w:r w:rsidR="00753D73">
        <w:t>s</w:t>
      </w:r>
      <w:r w:rsidR="00753D73" w:rsidRPr="00272D5D">
        <w:t xml:space="preserve"> an indication of whether the proposal is reasonable and </w:t>
      </w:r>
      <w:r w:rsidR="00753D73">
        <w:t xml:space="preserve">if not, </w:t>
      </w:r>
      <w:r w:rsidR="00753D73" w:rsidRPr="00272D5D">
        <w:t>what a substitute should be</w:t>
      </w:r>
      <w:r w:rsidR="00753D73">
        <w:t>.</w:t>
      </w:r>
    </w:p>
    <w:p w:rsidR="006E58AE" w:rsidRPr="006E58AE" w:rsidRDefault="006E58AE" w:rsidP="006E58AE">
      <w:r w:rsidRPr="006E58AE">
        <w:t xml:space="preserve">Second, we trend base opex forward by applying our forecast of the 'rate of change'. This accounts for forecast growth in </w:t>
      </w:r>
      <w:r w:rsidR="00753D73">
        <w:t xml:space="preserve">input </w:t>
      </w:r>
      <w:r w:rsidRPr="006E58AE">
        <w:t>prices, output and productivity over the regulatory control period. We make use of expert and independent information sources</w:t>
      </w:r>
      <w:r w:rsidR="00FF5291">
        <w:t>, such as forecast</w:t>
      </w:r>
      <w:r w:rsidR="00307AC1">
        <w:t>s</w:t>
      </w:r>
      <w:r w:rsidR="00FF5291">
        <w:t xml:space="preserve"> of labour price growth</w:t>
      </w:r>
      <w:r w:rsidRPr="006E58AE">
        <w:t>.</w:t>
      </w:r>
    </w:p>
    <w:p w:rsidR="006E58AE" w:rsidRPr="006E58AE" w:rsidRDefault="006E58AE" w:rsidP="006E58AE">
      <w:r w:rsidRPr="006E58AE">
        <w:t>Third, we add or subtract any components of opex that are not captured in base opex or the rate of change</w:t>
      </w:r>
      <w:r w:rsidR="00753D73">
        <w:t>—that is,</w:t>
      </w:r>
      <w:r w:rsidR="00307AC1">
        <w:t xml:space="preserve"> '</w:t>
      </w:r>
      <w:r w:rsidR="00684DF5">
        <w:t>step changes</w:t>
      </w:r>
      <w:r w:rsidR="00307AC1">
        <w:t>'</w:t>
      </w:r>
      <w:r w:rsidR="00684DF5">
        <w:t xml:space="preserve"> </w:t>
      </w:r>
      <w:r w:rsidR="00753D73">
        <w:t>or, possibly,</w:t>
      </w:r>
      <w:r w:rsidR="00684DF5">
        <w:t xml:space="preserve"> category specific forecasts</w:t>
      </w:r>
      <w:r w:rsidRPr="006E58AE">
        <w:t>. In particular, we consider whether new regulatory obligations have been imposed on a network business and, if so, we assess the prudence and efficiency of the associated forecast cost increases or decreases.</w:t>
      </w:r>
    </w:p>
    <w:p w:rsidR="00FF5291" w:rsidRDefault="006E58AE" w:rsidP="006E58AE">
      <w:r w:rsidRPr="006E58AE">
        <w:lastRenderedPageBreak/>
        <w:t>If a business' total opex forecast is materially higher than our estimate, we undertake further investigation and analysis. We identify all differences between our estima</w:t>
      </w:r>
      <w:r w:rsidR="00C20571">
        <w:t>te and the business' forecast.</w:t>
      </w:r>
      <w:r w:rsidRPr="006E58AE">
        <w:t xml:space="preserve"> Having identified the differences, we assess whether the business' forecasting method, inputs and assumptions are reasonable and assess the business' explanation of how that method result</w:t>
      </w:r>
      <w:r w:rsidR="009D2845">
        <w:t>s</w:t>
      </w:r>
      <w:r w:rsidRPr="006E58AE">
        <w:t xml:space="preserve"> in a </w:t>
      </w:r>
      <w:r w:rsidR="00C20571">
        <w:t>prudent and efficient forecast.</w:t>
      </w:r>
      <w:r w:rsidRPr="006E58AE">
        <w:t xml:space="preserve"> We may seek further information from the business, or other stakeholders. </w:t>
      </w:r>
    </w:p>
    <w:p w:rsidR="006E58AE" w:rsidRPr="006E58AE" w:rsidRDefault="006E58AE" w:rsidP="006E58AE">
      <w:r w:rsidRPr="006E58AE">
        <w:t xml:space="preserve">If we ultimately find no satisfactory explanation for the difference between our estimate and the business' </w:t>
      </w:r>
      <w:r w:rsidR="00FF5291">
        <w:t>total opex</w:t>
      </w:r>
      <w:r w:rsidR="00FF5291" w:rsidRPr="006E58AE">
        <w:t xml:space="preserve"> </w:t>
      </w:r>
      <w:r w:rsidRPr="006E58AE">
        <w:t xml:space="preserve">forecast, we </w:t>
      </w:r>
      <w:r w:rsidR="00FF5291">
        <w:t>may</w:t>
      </w:r>
      <w:r w:rsidR="00FF5291" w:rsidRPr="006E58AE">
        <w:t xml:space="preserve"> </w:t>
      </w:r>
      <w:r w:rsidRPr="006E58AE">
        <w:t xml:space="preserve">form the view the business' forecast </w:t>
      </w:r>
      <w:r w:rsidR="00E301F5">
        <w:t>doe</w:t>
      </w:r>
      <w:r w:rsidR="00E301F5" w:rsidRPr="006E58AE">
        <w:t xml:space="preserve">s </w:t>
      </w:r>
      <w:r w:rsidRPr="006E58AE">
        <w:t xml:space="preserve">not </w:t>
      </w:r>
      <w:r w:rsidR="00E301F5" w:rsidRPr="00E301F5">
        <w:t xml:space="preserve">reasonably reflect the </w:t>
      </w:r>
      <w:r w:rsidR="003D21D5">
        <w:t>opex</w:t>
      </w:r>
      <w:r w:rsidR="00E301F5" w:rsidRPr="00E301F5">
        <w:t xml:space="preserve"> criteria</w:t>
      </w:r>
      <w:r w:rsidR="00D60C69">
        <w:t>,</w:t>
      </w:r>
      <w:r w:rsidRPr="006E58AE">
        <w:t xml:space="preserve"> and substitute it with our own</w:t>
      </w:r>
      <w:r w:rsidR="00FF5291">
        <w:t xml:space="preserve"> forecast</w:t>
      </w:r>
      <w:r w:rsidRPr="006E58AE">
        <w:t>.</w:t>
      </w:r>
    </w:p>
    <w:p w:rsidR="006E58AE" w:rsidRDefault="006E58AE" w:rsidP="006E58AE">
      <w:r w:rsidRPr="006E58AE">
        <w:t xml:space="preserve">If our alternative estimate demonstrates that the business' total opex forecast </w:t>
      </w:r>
      <w:r w:rsidR="00E301F5" w:rsidRPr="00E301F5">
        <w:t xml:space="preserve">reasonably reflects the </w:t>
      </w:r>
      <w:r w:rsidR="003D21D5">
        <w:t>opex</w:t>
      </w:r>
      <w:r w:rsidR="00E301F5" w:rsidRPr="00E301F5">
        <w:t xml:space="preserve"> criteria</w:t>
      </w:r>
      <w:r w:rsidRPr="006E58AE">
        <w:t>, w</w:t>
      </w:r>
      <w:r w:rsidR="00C20571">
        <w:t>e will accept the forecast.</w:t>
      </w:r>
      <w:r w:rsidR="00C20571">
        <w:rPr>
          <w:rStyle w:val="FootnoteReference"/>
        </w:rPr>
        <w:footnoteReference w:id="20"/>
      </w:r>
      <w:r w:rsidRPr="006E58AE">
        <w:t xml:space="preserve"> </w:t>
      </w:r>
      <w:r w:rsidR="00FF5291">
        <w:t xml:space="preserve">If so, we are unlikely to undertake a more detailed assessment </w:t>
      </w:r>
      <w:r w:rsidRPr="006E58AE">
        <w:t>of the business' proposal.</w:t>
      </w:r>
    </w:p>
    <w:p w:rsidR="00753D73" w:rsidRDefault="00753D73" w:rsidP="004E1048">
      <w:pPr>
        <w:pStyle w:val="Heading3"/>
      </w:pPr>
      <w:bookmarkStart w:id="81" w:name="_Toc462752399"/>
      <w:r w:rsidRPr="00753D73">
        <w:t>The National Electricity Objective, and the opex criteria, objective and factors</w:t>
      </w:r>
      <w:bookmarkEnd w:id="81"/>
    </w:p>
    <w:p w:rsidR="00753D73" w:rsidRDefault="00E301F5" w:rsidP="00E31983">
      <w:r w:rsidRPr="00E301F5">
        <w:t>We must make determinations that will or will be likely to contribute to the achievement of t</w:t>
      </w:r>
      <w:r>
        <w:t>he</w:t>
      </w:r>
      <w:r w:rsidR="00951102">
        <w:t xml:space="preserve"> </w:t>
      </w:r>
      <w:r w:rsidR="00354442">
        <w:t>National E</w:t>
      </w:r>
      <w:r w:rsidR="00E31983" w:rsidRPr="00E31983">
        <w:t xml:space="preserve">lectricity </w:t>
      </w:r>
      <w:r w:rsidR="00354442">
        <w:t>O</w:t>
      </w:r>
      <w:r w:rsidR="00E31983" w:rsidRPr="00E31983">
        <w:t>bjective (NEO)</w:t>
      </w:r>
      <w:r>
        <w:t>—</w:t>
      </w:r>
      <w:r w:rsidRPr="00E301F5">
        <w:t>that is, that</w:t>
      </w:r>
      <w:r>
        <w:t xml:space="preserve"> promote</w:t>
      </w:r>
      <w:r w:rsidR="00E31983" w:rsidRPr="00E31983">
        <w:t xml:space="preserve"> efficient outcomes </w:t>
      </w:r>
      <w:r>
        <w:t>for</w:t>
      </w:r>
      <w:r w:rsidRPr="00E31983">
        <w:t xml:space="preserve"> </w:t>
      </w:r>
      <w:r w:rsidR="00E31983" w:rsidRPr="00E31983">
        <w:t xml:space="preserve">the benefit of consumers in the long term. </w:t>
      </w:r>
    </w:p>
    <w:p w:rsidR="00753D73" w:rsidRDefault="00753D73" w:rsidP="00E31983">
      <w:r>
        <w:t>W</w:t>
      </w:r>
      <w:r w:rsidR="00307AC1">
        <w:t xml:space="preserve">e </w:t>
      </w:r>
      <w:r w:rsidR="00E31983" w:rsidRPr="00E31983">
        <w:t xml:space="preserve">must </w:t>
      </w:r>
      <w:r w:rsidR="00E301F5" w:rsidRPr="00E301F5">
        <w:t xml:space="preserve">form a view on whether the </w:t>
      </w:r>
      <w:r>
        <w:t xml:space="preserve">business' </w:t>
      </w:r>
      <w:r w:rsidR="00E301F5">
        <w:t xml:space="preserve">opex </w:t>
      </w:r>
      <w:r>
        <w:t xml:space="preserve">proposal </w:t>
      </w:r>
      <w:r w:rsidR="00E301F5">
        <w:t>reasonably reflects the</w:t>
      </w:r>
      <w:r w:rsidR="00E31983" w:rsidRPr="00E31983">
        <w:t xml:space="preserve"> opex criteria </w:t>
      </w:r>
      <w:r>
        <w:t>as mentioned above</w:t>
      </w:r>
      <w:r w:rsidR="00E31983" w:rsidRPr="00E31983">
        <w:t>.</w:t>
      </w:r>
      <w:r>
        <w:rPr>
          <w:rStyle w:val="FootnoteReference"/>
        </w:rPr>
        <w:footnoteReference w:id="21"/>
      </w:r>
      <w:r w:rsidR="00E31983" w:rsidRPr="00E31983">
        <w:t xml:space="preserve"> </w:t>
      </w:r>
    </w:p>
    <w:p w:rsidR="00753D73" w:rsidRDefault="00753D73" w:rsidP="00753D73">
      <w:r w:rsidRPr="0012372E">
        <w:t>The opex criteria direct attention to the opex objectives.</w:t>
      </w:r>
      <w:r>
        <w:rPr>
          <w:rStyle w:val="FootnoteReference"/>
        </w:rPr>
        <w:footnoteReference w:id="22"/>
      </w:r>
      <w:r>
        <w:t xml:space="preserve"> </w:t>
      </w:r>
      <w:r w:rsidRPr="0012372E">
        <w:t xml:space="preserve">The focus of the opex objectives is </w:t>
      </w:r>
      <w:r>
        <w:t xml:space="preserve">on </w:t>
      </w:r>
      <w:r w:rsidRPr="0012372E">
        <w:t>the performance outputs of the business</w:t>
      </w:r>
      <w:r>
        <w:t>, including:</w:t>
      </w:r>
      <w:r w:rsidRPr="0012372E">
        <w:t xml:space="preserve"> meeting demand for distribution services, compliance with regulatory obligations, maintaining the quality, reliability and security of supply of services, and maintaining the reliability, security and safety of the distribution system.</w:t>
      </w:r>
    </w:p>
    <w:p w:rsidR="00E31983" w:rsidRPr="00E31983" w:rsidRDefault="00753D73" w:rsidP="00E31983">
      <w:r>
        <w:t>In</w:t>
      </w:r>
      <w:r w:rsidRPr="00E31983">
        <w:t xml:space="preserve"> </w:t>
      </w:r>
      <w:r w:rsidR="00E31983" w:rsidRPr="00E31983">
        <w:t xml:space="preserve">considering whether the opex forecast reasonably reflects the opex criteria we must have regard to the </w:t>
      </w:r>
      <w:r>
        <w:t>'</w:t>
      </w:r>
      <w:r w:rsidR="00E31983" w:rsidRPr="00E31983">
        <w:t>opex factors</w:t>
      </w:r>
      <w:r>
        <w:t>'</w:t>
      </w:r>
      <w:r w:rsidRPr="00753D73">
        <w:t xml:space="preserve"> </w:t>
      </w:r>
      <w:r>
        <w:t>specified in the NER.</w:t>
      </w:r>
      <w:r>
        <w:rPr>
          <w:rStyle w:val="FootnoteReference"/>
        </w:rPr>
        <w:footnoteReference w:id="23"/>
      </w:r>
      <w:r w:rsidR="003D21D5">
        <w:t xml:space="preserve"> </w:t>
      </w:r>
      <w:r w:rsidR="00CD4391">
        <w:t>Section 7.4.7 describes the opex factors and how we have had regard to each of these</w:t>
      </w:r>
      <w:r>
        <w:t xml:space="preserve"> in our </w:t>
      </w:r>
      <w:r w:rsidR="00D254B3">
        <w:t xml:space="preserve">draft </w:t>
      </w:r>
      <w:r>
        <w:t>decision</w:t>
      </w:r>
      <w:r w:rsidR="00CD4391">
        <w:t>.</w:t>
      </w:r>
    </w:p>
    <w:p w:rsidR="00A15DED" w:rsidRDefault="00A15DED" w:rsidP="00A15DED">
      <w:pPr>
        <w:pStyle w:val="Heading2"/>
      </w:pPr>
      <w:bookmarkStart w:id="82" w:name="_Toc462752400"/>
      <w:r w:rsidRPr="00A15DED">
        <w:t>Reasons for draft decision</w:t>
      </w:r>
      <w:bookmarkEnd w:id="82"/>
    </w:p>
    <w:p w:rsidR="00381AC1" w:rsidRDefault="00CB6D99" w:rsidP="00CB6D99">
      <w:r>
        <w:t>Our alternative estimate of forecast total opex is $</w:t>
      </w:r>
      <w:r w:rsidR="005A534F">
        <w:t>994.7</w:t>
      </w:r>
      <w:r>
        <w:t> million ($2016–17)</w:t>
      </w:r>
      <w:r w:rsidR="00774181">
        <w:t>.</w:t>
      </w:r>
      <w:r>
        <w:rPr>
          <w:rStyle w:val="FootnoteReference"/>
        </w:rPr>
        <w:footnoteReference w:id="24"/>
      </w:r>
      <w:r w:rsidR="00774181">
        <w:t xml:space="preserve"> This </w:t>
      </w:r>
      <w:r>
        <w:t>is $</w:t>
      </w:r>
      <w:r w:rsidR="005A534F">
        <w:t>18.0</w:t>
      </w:r>
      <w:r>
        <w:t> million</w:t>
      </w:r>
      <w:r w:rsidR="00381AC1">
        <w:t xml:space="preserve"> (</w:t>
      </w:r>
      <w:r w:rsidR="005A534F">
        <w:t>1.8</w:t>
      </w:r>
      <w:r w:rsidR="00381AC1">
        <w:t xml:space="preserve"> per cent)</w:t>
      </w:r>
      <w:r>
        <w:t xml:space="preserve"> higher than Powerlink's proposal.</w:t>
      </w:r>
      <w:r>
        <w:rPr>
          <w:rStyle w:val="FootnoteReference"/>
        </w:rPr>
        <w:footnoteReference w:id="25"/>
      </w:r>
    </w:p>
    <w:p w:rsidR="00CB6D99" w:rsidRDefault="004B12CA" w:rsidP="003C7CFF">
      <w:r>
        <w:lastRenderedPageBreak/>
        <w:t>Our</w:t>
      </w:r>
      <w:r w:rsidR="00CB6D99">
        <w:t xml:space="preserve"> </w:t>
      </w:r>
      <w:r w:rsidR="00CB6D99" w:rsidRPr="002A0CBA">
        <w:t xml:space="preserve">draft decision is to accept </w:t>
      </w:r>
      <w:r w:rsidR="00CB6D99">
        <w:t>Powerlink's</w:t>
      </w:r>
      <w:r w:rsidR="00CB6D99" w:rsidRPr="002A0CBA">
        <w:t xml:space="preserve"> opex forecast of $</w:t>
      </w:r>
      <w:r w:rsidR="00CB6D99">
        <w:t>976.7</w:t>
      </w:r>
      <w:r w:rsidR="00CB6D99" w:rsidRPr="002A0CBA">
        <w:t xml:space="preserve"> million ($2016–17) over the 2017</w:t>
      </w:r>
      <w:r w:rsidR="00CB6D99">
        <w:t>–22</w:t>
      </w:r>
      <w:r w:rsidR="00CB6D99" w:rsidRPr="002A0CBA">
        <w:t xml:space="preserve"> regulatory </w:t>
      </w:r>
      <w:r w:rsidR="00EA1225">
        <w:t xml:space="preserve">control </w:t>
      </w:r>
      <w:r w:rsidR="00CB6D99" w:rsidRPr="002A0CBA">
        <w:t>period.</w:t>
      </w:r>
      <w:r w:rsidR="00DA6B55">
        <w:t xml:space="preserve"> </w:t>
      </w:r>
      <w:r w:rsidR="006C7C0E" w:rsidRPr="006C7C0E">
        <w:t>We are satisfied the opex forecast reasonably reflects the efficient costs that a prudent operator would require to maintain the quality of supply, reliability, security and safety of the network, while complying with all regulatory obligations and given expected demand and cost inputs.</w:t>
      </w:r>
    </w:p>
    <w:p w:rsidR="00E714AE" w:rsidRDefault="00EA1225" w:rsidP="00B76C3A">
      <w:r>
        <w:t>The following</w:t>
      </w:r>
      <w:r w:rsidR="00E714AE">
        <w:t xml:space="preserve"> section</w:t>
      </w:r>
      <w:r w:rsidR="00381AC1">
        <w:t>s</w:t>
      </w:r>
      <w:r w:rsidR="00E714AE">
        <w:t xml:space="preserve"> outline the key inputs and assumptions we made in developing our alternative estimate of efficient costs. </w:t>
      </w:r>
      <w:r w:rsidR="000B1AC5">
        <w:t xml:space="preserve">We consider </w:t>
      </w:r>
      <w:r w:rsidR="007D6B79">
        <w:t xml:space="preserve">that Powerlink's revealed (historic) costs do not reflect efficient levels and that an adjustment to base opex is required (section 7.4.1). </w:t>
      </w:r>
      <w:r w:rsidR="000B1AC5">
        <w:t xml:space="preserve">The key difference between </w:t>
      </w:r>
      <w:r w:rsidR="000B1AC5" w:rsidRPr="00381AC1">
        <w:t>our estimate and Powerlink's forecast is different assumptions about productivity growth over 2017</w:t>
      </w:r>
      <w:r w:rsidR="000B1AC5">
        <w:t>–</w:t>
      </w:r>
      <w:r w:rsidR="000B1AC5" w:rsidRPr="00381AC1">
        <w:t>22</w:t>
      </w:r>
      <w:r w:rsidR="000B1AC5">
        <w:t xml:space="preserve"> (section 7.4.2)</w:t>
      </w:r>
      <w:r w:rsidR="000B1AC5" w:rsidRPr="00381AC1">
        <w:t xml:space="preserve">. </w:t>
      </w:r>
      <w:r w:rsidR="00E714AE">
        <w:t>The opex mode</w:t>
      </w:r>
      <w:r w:rsidR="00935F54">
        <w:t>l</w:t>
      </w:r>
      <w:r w:rsidR="00E714AE">
        <w:t xml:space="preserve"> we used to calculate our alternative estimate is published on our website.</w:t>
      </w:r>
      <w:r w:rsidR="00E301F5">
        <w:rPr>
          <w:rStyle w:val="FootnoteReference"/>
        </w:rPr>
        <w:footnoteReference w:id="26"/>
      </w:r>
    </w:p>
    <w:p w:rsidR="00257F9C" w:rsidRDefault="00395566" w:rsidP="00257F9C">
      <w:r>
        <w:fldChar w:fldCharType="begin"/>
      </w:r>
      <w:r>
        <w:instrText xml:space="preserve"> REF _Ref461549677 \h </w:instrText>
      </w:r>
      <w:r>
        <w:fldChar w:fldCharType="separate"/>
      </w:r>
      <w:r w:rsidR="00943BFB">
        <w:t xml:space="preserve">Table </w:t>
      </w:r>
      <w:r w:rsidR="00943BFB">
        <w:rPr>
          <w:noProof/>
        </w:rPr>
        <w:t>7</w:t>
      </w:r>
      <w:r w:rsidR="00943BFB">
        <w:t>.</w:t>
      </w:r>
      <w:r w:rsidR="00943BFB">
        <w:rPr>
          <w:noProof/>
        </w:rPr>
        <w:t>2</w:t>
      </w:r>
      <w:r>
        <w:fldChar w:fldCharType="end"/>
      </w:r>
      <w:r>
        <w:t xml:space="preserve"> </w:t>
      </w:r>
      <w:r w:rsidR="00257F9C">
        <w:t xml:space="preserve">presents a summary of the components that make up </w:t>
      </w:r>
      <w:r w:rsidR="006E7BBC" w:rsidRPr="006E7BBC">
        <w:t xml:space="preserve">Powerlink's proposal </w:t>
      </w:r>
      <w:r w:rsidR="006E7BBC">
        <w:t xml:space="preserve">and </w:t>
      </w:r>
      <w:r w:rsidR="00257F9C">
        <w:t>our alternative estimate for comparative purposes</w:t>
      </w:r>
      <w:r w:rsidR="005A534F">
        <w:t xml:space="preserve"> (excluding debt raising costs)</w:t>
      </w:r>
      <w:r w:rsidR="00257F9C">
        <w:t xml:space="preserve">. </w:t>
      </w:r>
    </w:p>
    <w:p w:rsidR="00257F9C" w:rsidRDefault="00395566" w:rsidP="00395566">
      <w:pPr>
        <w:pStyle w:val="Caption"/>
      </w:pPr>
      <w:bookmarkStart w:id="83" w:name="_Ref461549677"/>
      <w:proofErr w:type="gramStart"/>
      <w:r>
        <w:t xml:space="preserve">Table </w:t>
      </w:r>
      <w:r w:rsidR="006C1BC1">
        <w:fldChar w:fldCharType="begin"/>
      </w:r>
      <w:r w:rsidR="006C1BC1">
        <w:instrText xml:space="preserve"> STYLEREF 1 \s </w:instrText>
      </w:r>
      <w:r w:rsidR="006C1BC1">
        <w:fldChar w:fldCharType="separate"/>
      </w:r>
      <w:r w:rsidR="00943BFB">
        <w:rPr>
          <w:noProof/>
        </w:rPr>
        <w:t>7</w:t>
      </w:r>
      <w:r w:rsidR="006C1BC1">
        <w:rPr>
          <w:noProof/>
        </w:rPr>
        <w:fldChar w:fldCharType="end"/>
      </w:r>
      <w:r>
        <w:t>.</w:t>
      </w:r>
      <w:proofErr w:type="gramEnd"/>
      <w:r w:rsidR="006C1BC1">
        <w:fldChar w:fldCharType="begin"/>
      </w:r>
      <w:r w:rsidR="006C1BC1">
        <w:instrText xml:space="preserve"> SEQ </w:instrText>
      </w:r>
      <w:r w:rsidR="006C1BC1">
        <w:instrText xml:space="preserve">Table \* ARABIC \s 1 </w:instrText>
      </w:r>
      <w:r w:rsidR="006C1BC1">
        <w:fldChar w:fldCharType="separate"/>
      </w:r>
      <w:r w:rsidR="00943BFB">
        <w:rPr>
          <w:noProof/>
        </w:rPr>
        <w:t>2</w:t>
      </w:r>
      <w:r w:rsidR="006C1BC1">
        <w:rPr>
          <w:noProof/>
        </w:rPr>
        <w:fldChar w:fldCharType="end"/>
      </w:r>
      <w:bookmarkEnd w:id="83"/>
      <w:r w:rsidR="00257F9C">
        <w:tab/>
      </w:r>
      <w:r w:rsidR="0099566A" w:rsidRPr="0099566A">
        <w:t xml:space="preserve">Comparison of </w:t>
      </w:r>
      <w:r w:rsidR="0099566A">
        <w:t>Powerlink's</w:t>
      </w:r>
      <w:r w:rsidR="0099566A" w:rsidRPr="0099566A">
        <w:t xml:space="preserve"> opex forecast our alternative estimate by component</w:t>
      </w:r>
      <w:r w:rsidR="006E7BBC">
        <w:t xml:space="preserve"> ($ million, 2016–17)</w:t>
      </w:r>
    </w:p>
    <w:tbl>
      <w:tblPr>
        <w:tblStyle w:val="AERtable-numbers"/>
        <w:tblW w:w="0" w:type="auto"/>
        <w:tblLook w:val="04A0" w:firstRow="1" w:lastRow="0" w:firstColumn="1" w:lastColumn="0" w:noHBand="0" w:noVBand="1"/>
      </w:tblPr>
      <w:tblGrid>
        <w:gridCol w:w="2965"/>
        <w:gridCol w:w="1939"/>
        <w:gridCol w:w="1975"/>
        <w:gridCol w:w="1814"/>
      </w:tblGrid>
      <w:tr w:rsidR="00257F9C" w:rsidRPr="00B1577E" w:rsidTr="007C6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257F9C" w:rsidRPr="00257F9C" w:rsidRDefault="00257F9C" w:rsidP="00257F9C">
            <w:r>
              <w:t>Component</w:t>
            </w:r>
            <w:r w:rsidRPr="00257F9C">
              <w:t xml:space="preserve"> </w:t>
            </w:r>
          </w:p>
        </w:tc>
        <w:tc>
          <w:tcPr>
            <w:tcW w:w="1939" w:type="dxa"/>
          </w:tcPr>
          <w:p w:rsidR="00257F9C" w:rsidRPr="00257F9C" w:rsidRDefault="00257F9C" w:rsidP="0099566A">
            <w:pPr>
              <w:cnfStyle w:val="100000000000" w:firstRow="1" w:lastRow="0" w:firstColumn="0" w:lastColumn="0" w:oddVBand="0" w:evenVBand="0" w:oddHBand="0" w:evenHBand="0" w:firstRowFirstColumn="0" w:firstRowLastColumn="0" w:lastRowFirstColumn="0" w:lastRowLastColumn="0"/>
            </w:pPr>
            <w:r>
              <w:t xml:space="preserve">Powerlink </w:t>
            </w:r>
          </w:p>
        </w:tc>
        <w:tc>
          <w:tcPr>
            <w:tcW w:w="1975" w:type="dxa"/>
          </w:tcPr>
          <w:p w:rsidR="00257F9C" w:rsidRPr="00257F9C" w:rsidRDefault="00735D53" w:rsidP="00257F9C">
            <w:pPr>
              <w:cnfStyle w:val="100000000000" w:firstRow="1" w:lastRow="0" w:firstColumn="0" w:lastColumn="0" w:oddVBand="0" w:evenVBand="0" w:oddHBand="0" w:evenHBand="0" w:firstRowFirstColumn="0" w:firstRowLastColumn="0" w:lastRowFirstColumn="0" w:lastRowLastColumn="0"/>
            </w:pPr>
            <w:r>
              <w:t>Our alternative estimate</w:t>
            </w:r>
          </w:p>
        </w:tc>
        <w:tc>
          <w:tcPr>
            <w:tcW w:w="1814" w:type="dxa"/>
          </w:tcPr>
          <w:p w:rsidR="00257F9C" w:rsidRPr="00257F9C" w:rsidRDefault="00257F9C" w:rsidP="00257F9C">
            <w:pPr>
              <w:cnfStyle w:val="100000000000" w:firstRow="1" w:lastRow="0" w:firstColumn="0" w:lastColumn="0" w:oddVBand="0" w:evenVBand="0" w:oddHBand="0" w:evenHBand="0" w:firstRowFirstColumn="0" w:firstRowLastColumn="0" w:lastRowFirstColumn="0" w:lastRowLastColumn="0"/>
            </w:pPr>
            <w:r>
              <w:t xml:space="preserve">Difference </w:t>
            </w:r>
          </w:p>
        </w:tc>
      </w:tr>
      <w:tr w:rsidR="00723FE5" w:rsidRPr="00B1577E" w:rsidTr="006E7BBC">
        <w:tc>
          <w:tcPr>
            <w:cnfStyle w:val="001000000000" w:firstRow="0" w:lastRow="0" w:firstColumn="1" w:lastColumn="0" w:oddVBand="0" w:evenVBand="0" w:oddHBand="0" w:evenHBand="0" w:firstRowFirstColumn="0" w:firstRowLastColumn="0" w:lastRowFirstColumn="0" w:lastRowLastColumn="0"/>
            <w:tcW w:w="2965" w:type="dxa"/>
          </w:tcPr>
          <w:p w:rsidR="00723FE5" w:rsidRPr="006E7BBC" w:rsidRDefault="00A70D7E" w:rsidP="00A70D7E">
            <w:r>
              <w:t>Efficiency a</w:t>
            </w:r>
            <w:r w:rsidR="00723FE5">
              <w:t xml:space="preserve">djusted </w:t>
            </w:r>
            <w:r>
              <w:t xml:space="preserve">2016-17 </w:t>
            </w:r>
            <w:proofErr w:type="spellStart"/>
            <w:r>
              <w:t>opex</w:t>
            </w:r>
            <w:r w:rsidR="00723FE5" w:rsidRPr="006460E0">
              <w:rPr>
                <w:rStyle w:val="AERsuperscript"/>
              </w:rPr>
              <w:t>a</w:t>
            </w:r>
            <w:proofErr w:type="spellEnd"/>
            <w:r w:rsidR="00723FE5" w:rsidRPr="006460E0">
              <w:rPr>
                <w:rStyle w:val="AERsuperscript"/>
              </w:rPr>
              <w:t xml:space="preserve"> </w:t>
            </w:r>
          </w:p>
        </w:tc>
        <w:tc>
          <w:tcPr>
            <w:tcW w:w="1939" w:type="dxa"/>
          </w:tcPr>
          <w:p w:rsidR="00723FE5" w:rsidRPr="006E7BBC" w:rsidRDefault="009A2CA5" w:rsidP="006E7BBC">
            <w:pPr>
              <w:cnfStyle w:val="000000000000" w:firstRow="0" w:lastRow="0" w:firstColumn="0" w:lastColumn="0" w:oddVBand="0" w:evenVBand="0" w:oddHBand="0" w:evenHBand="0" w:firstRowFirstColumn="0" w:firstRowLastColumn="0" w:lastRowFirstColumn="0" w:lastRowLastColumn="0"/>
            </w:pPr>
            <w:r>
              <w:t>981.7</w:t>
            </w:r>
          </w:p>
        </w:tc>
        <w:tc>
          <w:tcPr>
            <w:tcW w:w="1975" w:type="dxa"/>
          </w:tcPr>
          <w:p w:rsidR="00723FE5" w:rsidRPr="006E7BBC" w:rsidRDefault="009A2CA5" w:rsidP="006E7BBC">
            <w:pPr>
              <w:cnfStyle w:val="000000000000" w:firstRow="0" w:lastRow="0" w:firstColumn="0" w:lastColumn="0" w:oddVBand="0" w:evenVBand="0" w:oddHBand="0" w:evenHBand="0" w:firstRowFirstColumn="0" w:firstRowLastColumn="0" w:lastRowFirstColumn="0" w:lastRowLastColumn="0"/>
            </w:pPr>
            <w:r>
              <w:t>979.5</w:t>
            </w:r>
          </w:p>
        </w:tc>
        <w:tc>
          <w:tcPr>
            <w:tcW w:w="1814" w:type="dxa"/>
          </w:tcPr>
          <w:p w:rsidR="00723FE5" w:rsidRPr="006E7BBC" w:rsidRDefault="009A2CA5" w:rsidP="006E7BBC">
            <w:pPr>
              <w:cnfStyle w:val="000000000000" w:firstRow="0" w:lastRow="0" w:firstColumn="0" w:lastColumn="0" w:oddVBand="0" w:evenVBand="0" w:oddHBand="0" w:evenHBand="0" w:firstRowFirstColumn="0" w:firstRowLastColumn="0" w:lastRowFirstColumn="0" w:lastRowLastColumn="0"/>
            </w:pPr>
            <w:r>
              <w:t>-2.1</w:t>
            </w:r>
          </w:p>
        </w:tc>
      </w:tr>
      <w:tr w:rsidR="006E7BBC" w:rsidRPr="00B1577E" w:rsidTr="006E7B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6E7BBC" w:rsidRPr="006E7BBC" w:rsidRDefault="006E7BBC">
            <w:r w:rsidRPr="006E7BBC">
              <w:t>Output growth</w:t>
            </w:r>
          </w:p>
        </w:tc>
        <w:tc>
          <w:tcPr>
            <w:tcW w:w="1939" w:type="dxa"/>
          </w:tcPr>
          <w:p w:rsidR="006E7BBC" w:rsidRPr="006E7BBC" w:rsidRDefault="006E7BBC" w:rsidP="006E7BBC">
            <w:pPr>
              <w:cnfStyle w:val="000000010000" w:firstRow="0" w:lastRow="0" w:firstColumn="0" w:lastColumn="0" w:oddVBand="0" w:evenVBand="0" w:oddHBand="0" w:evenHBand="1" w:firstRowFirstColumn="0" w:firstRowLastColumn="0" w:lastRowFirstColumn="0" w:lastRowLastColumn="0"/>
            </w:pPr>
            <w:r w:rsidRPr="006E7BBC">
              <w:t>2.7</w:t>
            </w:r>
          </w:p>
        </w:tc>
        <w:tc>
          <w:tcPr>
            <w:tcW w:w="1975" w:type="dxa"/>
          </w:tcPr>
          <w:p w:rsidR="006E7BBC" w:rsidRPr="006E7BBC" w:rsidRDefault="006E7BBC" w:rsidP="006E7BBC">
            <w:pPr>
              <w:cnfStyle w:val="000000010000" w:firstRow="0" w:lastRow="0" w:firstColumn="0" w:lastColumn="0" w:oddVBand="0" w:evenVBand="0" w:oddHBand="0" w:evenHBand="1" w:firstRowFirstColumn="0" w:firstRowLastColumn="0" w:lastRowFirstColumn="0" w:lastRowLastColumn="0"/>
            </w:pPr>
            <w:r w:rsidRPr="006E7BBC">
              <w:t>2.9</w:t>
            </w:r>
          </w:p>
        </w:tc>
        <w:tc>
          <w:tcPr>
            <w:tcW w:w="1814" w:type="dxa"/>
          </w:tcPr>
          <w:p w:rsidR="006E7BBC" w:rsidRPr="006E7BBC" w:rsidRDefault="006E7BBC" w:rsidP="006E7BBC">
            <w:pPr>
              <w:cnfStyle w:val="000000010000" w:firstRow="0" w:lastRow="0" w:firstColumn="0" w:lastColumn="0" w:oddVBand="0" w:evenVBand="0" w:oddHBand="0" w:evenHBand="1" w:firstRowFirstColumn="0" w:firstRowLastColumn="0" w:lastRowFirstColumn="0" w:lastRowLastColumn="0"/>
            </w:pPr>
            <w:r w:rsidRPr="006E7BBC">
              <w:t>0.2</w:t>
            </w:r>
          </w:p>
        </w:tc>
      </w:tr>
      <w:tr w:rsidR="006E7BBC" w:rsidRPr="00B1577E" w:rsidTr="006E7BBC">
        <w:tc>
          <w:tcPr>
            <w:cnfStyle w:val="001000000000" w:firstRow="0" w:lastRow="0" w:firstColumn="1" w:lastColumn="0" w:oddVBand="0" w:evenVBand="0" w:oddHBand="0" w:evenHBand="0" w:firstRowFirstColumn="0" w:firstRowLastColumn="0" w:lastRowFirstColumn="0" w:lastRowLastColumn="0"/>
            <w:tcW w:w="2965" w:type="dxa"/>
          </w:tcPr>
          <w:p w:rsidR="006E7BBC" w:rsidRPr="006E7BBC" w:rsidRDefault="006E7BBC">
            <w:r w:rsidRPr="006E7BBC">
              <w:t>Price growth</w:t>
            </w:r>
          </w:p>
        </w:tc>
        <w:tc>
          <w:tcPr>
            <w:tcW w:w="1939" w:type="dxa"/>
          </w:tcPr>
          <w:p w:rsidR="006E7BBC" w:rsidRPr="006E7BBC" w:rsidRDefault="006E7BBC" w:rsidP="006E7BBC">
            <w:pPr>
              <w:cnfStyle w:val="000000000000" w:firstRow="0" w:lastRow="0" w:firstColumn="0" w:lastColumn="0" w:oddVBand="0" w:evenVBand="0" w:oddHBand="0" w:evenHBand="0" w:firstRowFirstColumn="0" w:firstRowLastColumn="0" w:lastRowFirstColumn="0" w:lastRowLastColumn="0"/>
            </w:pPr>
            <w:r w:rsidRPr="006E7BBC">
              <w:t>16.3</w:t>
            </w:r>
          </w:p>
        </w:tc>
        <w:tc>
          <w:tcPr>
            <w:tcW w:w="1975" w:type="dxa"/>
          </w:tcPr>
          <w:p w:rsidR="006E7BBC" w:rsidRPr="006E7BBC" w:rsidRDefault="006E7BBC" w:rsidP="006E7BBC">
            <w:pPr>
              <w:cnfStyle w:val="000000000000" w:firstRow="0" w:lastRow="0" w:firstColumn="0" w:lastColumn="0" w:oddVBand="0" w:evenVBand="0" w:oddHBand="0" w:evenHBand="0" w:firstRowFirstColumn="0" w:firstRowLastColumn="0" w:lastRowFirstColumn="0" w:lastRowLastColumn="0"/>
            </w:pPr>
            <w:r w:rsidRPr="006E7BBC">
              <w:t>15.1</w:t>
            </w:r>
          </w:p>
        </w:tc>
        <w:tc>
          <w:tcPr>
            <w:tcW w:w="1814" w:type="dxa"/>
          </w:tcPr>
          <w:p w:rsidR="006E7BBC" w:rsidRPr="006E7BBC" w:rsidRDefault="006E7BBC" w:rsidP="006E7BBC">
            <w:pPr>
              <w:cnfStyle w:val="000000000000" w:firstRow="0" w:lastRow="0" w:firstColumn="0" w:lastColumn="0" w:oddVBand="0" w:evenVBand="0" w:oddHBand="0" w:evenHBand="0" w:firstRowFirstColumn="0" w:firstRowLastColumn="0" w:lastRowFirstColumn="0" w:lastRowLastColumn="0"/>
            </w:pPr>
            <w:r w:rsidRPr="006E7BBC">
              <w:t>-1.2</w:t>
            </w:r>
          </w:p>
        </w:tc>
      </w:tr>
      <w:tr w:rsidR="006E7BBC" w:rsidRPr="002A5633" w:rsidTr="006E7B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6E7BBC" w:rsidRPr="006E7BBC" w:rsidRDefault="006E7BBC">
            <w:r w:rsidRPr="006E7BBC">
              <w:t>Productivity growth</w:t>
            </w:r>
          </w:p>
        </w:tc>
        <w:tc>
          <w:tcPr>
            <w:tcW w:w="1939" w:type="dxa"/>
          </w:tcPr>
          <w:p w:rsidR="006E7BBC" w:rsidRPr="006E7BBC" w:rsidRDefault="006E7BBC" w:rsidP="006E7BBC">
            <w:pPr>
              <w:cnfStyle w:val="000000010000" w:firstRow="0" w:lastRow="0" w:firstColumn="0" w:lastColumn="0" w:oddVBand="0" w:evenVBand="0" w:oddHBand="0" w:evenHBand="1" w:firstRowFirstColumn="0" w:firstRowLastColumn="0" w:lastRowFirstColumn="0" w:lastRowLastColumn="0"/>
            </w:pPr>
            <w:r w:rsidRPr="006E7BBC">
              <w:t>-32.6</w:t>
            </w:r>
          </w:p>
        </w:tc>
        <w:tc>
          <w:tcPr>
            <w:tcW w:w="1975" w:type="dxa"/>
          </w:tcPr>
          <w:p w:rsidR="006E7BBC" w:rsidRPr="006E7BBC" w:rsidRDefault="006E7BBC" w:rsidP="006E7BBC">
            <w:pPr>
              <w:cnfStyle w:val="000000010000" w:firstRow="0" w:lastRow="0" w:firstColumn="0" w:lastColumn="0" w:oddVBand="0" w:evenVBand="0" w:oddHBand="0" w:evenHBand="1" w:firstRowFirstColumn="0" w:firstRowLastColumn="0" w:lastRowFirstColumn="0" w:lastRowLastColumn="0"/>
            </w:pPr>
            <w:r w:rsidRPr="006E7BBC">
              <w:t>-5.8</w:t>
            </w:r>
          </w:p>
        </w:tc>
        <w:tc>
          <w:tcPr>
            <w:tcW w:w="1814" w:type="dxa"/>
          </w:tcPr>
          <w:p w:rsidR="006E7BBC" w:rsidRPr="006E7BBC" w:rsidRDefault="006E7BBC" w:rsidP="006E7BBC">
            <w:pPr>
              <w:cnfStyle w:val="000000010000" w:firstRow="0" w:lastRow="0" w:firstColumn="0" w:lastColumn="0" w:oddVBand="0" w:evenVBand="0" w:oddHBand="0" w:evenHBand="1" w:firstRowFirstColumn="0" w:firstRowLastColumn="0" w:lastRowFirstColumn="0" w:lastRowLastColumn="0"/>
            </w:pPr>
            <w:r w:rsidRPr="006E7BBC">
              <w:t>26.8</w:t>
            </w:r>
          </w:p>
        </w:tc>
      </w:tr>
      <w:tr w:rsidR="006E7BBC" w:rsidRPr="002A5633" w:rsidTr="006E7BBC">
        <w:tc>
          <w:tcPr>
            <w:cnfStyle w:val="001000000000" w:firstRow="0" w:lastRow="0" w:firstColumn="1" w:lastColumn="0" w:oddVBand="0" w:evenVBand="0" w:oddHBand="0" w:evenHBand="0" w:firstRowFirstColumn="0" w:firstRowLastColumn="0" w:lastRowFirstColumn="0" w:lastRowLastColumn="0"/>
            <w:tcW w:w="2965" w:type="dxa"/>
          </w:tcPr>
          <w:p w:rsidR="006E7BBC" w:rsidRPr="006E7BBC" w:rsidRDefault="006E7BBC">
            <w:r w:rsidRPr="006E7BBC">
              <w:t>Category specific forecasts</w:t>
            </w:r>
          </w:p>
        </w:tc>
        <w:tc>
          <w:tcPr>
            <w:tcW w:w="1939" w:type="dxa"/>
          </w:tcPr>
          <w:p w:rsidR="006E7BBC" w:rsidRPr="006E7BBC" w:rsidRDefault="006E7BBC" w:rsidP="006E7BBC">
            <w:pPr>
              <w:cnfStyle w:val="000000000000" w:firstRow="0" w:lastRow="0" w:firstColumn="0" w:lastColumn="0" w:oddVBand="0" w:evenVBand="0" w:oddHBand="0" w:evenHBand="0" w:firstRowFirstColumn="0" w:firstRowLastColumn="0" w:lastRowFirstColumn="0" w:lastRowLastColumn="0"/>
            </w:pPr>
            <w:r w:rsidRPr="006E7BBC">
              <w:t>-9.0</w:t>
            </w:r>
          </w:p>
        </w:tc>
        <w:tc>
          <w:tcPr>
            <w:tcW w:w="1975" w:type="dxa"/>
          </w:tcPr>
          <w:p w:rsidR="006E7BBC" w:rsidRPr="006E7BBC" w:rsidRDefault="006E7BBC" w:rsidP="006E7BBC">
            <w:pPr>
              <w:cnfStyle w:val="000000000000" w:firstRow="0" w:lastRow="0" w:firstColumn="0" w:lastColumn="0" w:oddVBand="0" w:evenVBand="0" w:oddHBand="0" w:evenHBand="0" w:firstRowFirstColumn="0" w:firstRowLastColumn="0" w:lastRowFirstColumn="0" w:lastRowLastColumn="0"/>
            </w:pPr>
            <w:r w:rsidRPr="006E7BBC">
              <w:t>-13.9</w:t>
            </w:r>
          </w:p>
        </w:tc>
        <w:tc>
          <w:tcPr>
            <w:tcW w:w="1814" w:type="dxa"/>
          </w:tcPr>
          <w:p w:rsidR="006E7BBC" w:rsidRPr="006E7BBC" w:rsidRDefault="006E7BBC" w:rsidP="006E7BBC">
            <w:pPr>
              <w:cnfStyle w:val="000000000000" w:firstRow="0" w:lastRow="0" w:firstColumn="0" w:lastColumn="0" w:oddVBand="0" w:evenVBand="0" w:oddHBand="0" w:evenHBand="0" w:firstRowFirstColumn="0" w:firstRowLastColumn="0" w:lastRowFirstColumn="0" w:lastRowLastColumn="0"/>
            </w:pPr>
            <w:r w:rsidRPr="006E7BBC">
              <w:t>-5.0</w:t>
            </w:r>
          </w:p>
        </w:tc>
      </w:tr>
      <w:tr w:rsidR="006E7BBC" w:rsidRPr="002A5633" w:rsidTr="006E7B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6E7BBC" w:rsidRPr="006E7BBC" w:rsidRDefault="006E7BBC">
            <w:pPr>
              <w:rPr>
                <w:rStyle w:val="Strong"/>
              </w:rPr>
            </w:pPr>
            <w:r w:rsidRPr="006E7BBC">
              <w:rPr>
                <w:rStyle w:val="Strong"/>
              </w:rPr>
              <w:t>Total opex</w:t>
            </w:r>
          </w:p>
        </w:tc>
        <w:tc>
          <w:tcPr>
            <w:tcW w:w="1939" w:type="dxa"/>
          </w:tcPr>
          <w:p w:rsidR="006E7BBC" w:rsidRPr="006E7BBC" w:rsidRDefault="006E7BBC" w:rsidP="006E7BBC">
            <w:pPr>
              <w:cnfStyle w:val="000000010000" w:firstRow="0" w:lastRow="0" w:firstColumn="0" w:lastColumn="0" w:oddVBand="0" w:evenVBand="0" w:oddHBand="0" w:evenHBand="1" w:firstRowFirstColumn="0" w:firstRowLastColumn="0" w:lastRowFirstColumn="0" w:lastRowLastColumn="0"/>
              <w:rPr>
                <w:rStyle w:val="Strong"/>
              </w:rPr>
            </w:pPr>
            <w:r w:rsidRPr="006E7BBC">
              <w:rPr>
                <w:rStyle w:val="Strong"/>
              </w:rPr>
              <w:t>959.1</w:t>
            </w:r>
          </w:p>
        </w:tc>
        <w:tc>
          <w:tcPr>
            <w:tcW w:w="1975" w:type="dxa"/>
          </w:tcPr>
          <w:p w:rsidR="006E7BBC" w:rsidRPr="006E7BBC" w:rsidRDefault="006E7BBC" w:rsidP="006E7BBC">
            <w:pPr>
              <w:cnfStyle w:val="000000010000" w:firstRow="0" w:lastRow="0" w:firstColumn="0" w:lastColumn="0" w:oddVBand="0" w:evenVBand="0" w:oddHBand="0" w:evenHBand="1" w:firstRowFirstColumn="0" w:firstRowLastColumn="0" w:lastRowFirstColumn="0" w:lastRowLastColumn="0"/>
              <w:rPr>
                <w:rStyle w:val="Strong"/>
              </w:rPr>
            </w:pPr>
            <w:r w:rsidRPr="006E7BBC">
              <w:rPr>
                <w:rStyle w:val="Strong"/>
              </w:rPr>
              <w:t>977.8</w:t>
            </w:r>
          </w:p>
        </w:tc>
        <w:tc>
          <w:tcPr>
            <w:tcW w:w="1814" w:type="dxa"/>
          </w:tcPr>
          <w:p w:rsidR="006E7BBC" w:rsidRPr="006E7BBC" w:rsidRDefault="006E7BBC" w:rsidP="006E7BBC">
            <w:pPr>
              <w:cnfStyle w:val="000000010000" w:firstRow="0" w:lastRow="0" w:firstColumn="0" w:lastColumn="0" w:oddVBand="0" w:evenVBand="0" w:oddHBand="0" w:evenHBand="1" w:firstRowFirstColumn="0" w:firstRowLastColumn="0" w:lastRowFirstColumn="0" w:lastRowLastColumn="0"/>
              <w:rPr>
                <w:rStyle w:val="Strong"/>
              </w:rPr>
            </w:pPr>
            <w:r w:rsidRPr="006E7BBC">
              <w:rPr>
                <w:rStyle w:val="Strong"/>
              </w:rPr>
              <w:t>18.7</w:t>
            </w:r>
          </w:p>
        </w:tc>
      </w:tr>
    </w:tbl>
    <w:p w:rsidR="00257F9C" w:rsidRDefault="00257F9C" w:rsidP="006E7BBC">
      <w:pPr>
        <w:pStyle w:val="AERtablesource"/>
      </w:pPr>
      <w:r>
        <w:t>Source:</w:t>
      </w:r>
      <w:r>
        <w:tab/>
        <w:t>AER analysis</w:t>
      </w:r>
      <w:r w:rsidR="006E7BBC">
        <w:t>.</w:t>
      </w:r>
    </w:p>
    <w:p w:rsidR="005A534F" w:rsidRDefault="00723FE5" w:rsidP="00723FE5">
      <w:pPr>
        <w:pStyle w:val="AERtablesource"/>
      </w:pPr>
      <w:r>
        <w:t>(a)</w:t>
      </w:r>
      <w:r>
        <w:tab/>
      </w:r>
      <w:r w:rsidR="005A534F">
        <w:t>Powerlink's proposal and our alternative estimate both exclude debt raising costs.</w:t>
      </w:r>
    </w:p>
    <w:p w:rsidR="00723FE5" w:rsidRPr="00723FE5" w:rsidRDefault="005A534F" w:rsidP="00723FE5">
      <w:pPr>
        <w:pStyle w:val="AERtablesource"/>
      </w:pPr>
      <w:r>
        <w:t>(b)</w:t>
      </w:r>
      <w:r>
        <w:tab/>
      </w:r>
      <w:r w:rsidR="00A70D7E" w:rsidRPr="00A70D7E">
        <w:t>Includes reported base year (2014–15) opex, the removal of non-recurrent opex from base year opex, the removal of movements in provisions from base year opex, the forecast increase in opex between 2014–15 and 2016–17 and the forecast efficiency adjustment.</w:t>
      </w:r>
    </w:p>
    <w:p w:rsidR="00FC0BF0" w:rsidRDefault="00431AE4" w:rsidP="00FC0BF0">
      <w:pPr>
        <w:pStyle w:val="Heading3"/>
      </w:pPr>
      <w:bookmarkStart w:id="84" w:name="_Toc462752401"/>
      <w:r>
        <w:t>B</w:t>
      </w:r>
      <w:r w:rsidR="008D4565">
        <w:t>ase opex</w:t>
      </w:r>
      <w:bookmarkEnd w:id="84"/>
    </w:p>
    <w:p w:rsidR="00CD3739" w:rsidRDefault="00CD3739" w:rsidP="00A56763">
      <w:r>
        <w:rPr>
          <w:rStyle w:val="AERbody"/>
        </w:rPr>
        <w:t>Powerlink use</w:t>
      </w:r>
      <w:r w:rsidR="00EA1225">
        <w:rPr>
          <w:rStyle w:val="AERbody"/>
        </w:rPr>
        <w:t>d</w:t>
      </w:r>
      <w:r>
        <w:rPr>
          <w:rStyle w:val="AERbody"/>
        </w:rPr>
        <w:t xml:space="preserve"> its 2014</w:t>
      </w:r>
      <w:r w:rsidR="003F6C50">
        <w:rPr>
          <w:rStyle w:val="AERbody"/>
        </w:rPr>
        <w:t>–</w:t>
      </w:r>
      <w:r w:rsidRPr="006772FF">
        <w:rPr>
          <w:rStyle w:val="AERbody"/>
        </w:rPr>
        <w:t>15 opex</w:t>
      </w:r>
      <w:r>
        <w:rPr>
          <w:rStyle w:val="AERbody"/>
        </w:rPr>
        <w:t xml:space="preserve"> </w:t>
      </w:r>
      <w:r w:rsidRPr="00905EFC">
        <w:rPr>
          <w:rStyle w:val="AERbody"/>
        </w:rPr>
        <w:t>of $223.0 million</w:t>
      </w:r>
      <w:r w:rsidRPr="006772FF">
        <w:rPr>
          <w:rStyle w:val="AERbody"/>
        </w:rPr>
        <w:t xml:space="preserve"> as </w:t>
      </w:r>
      <w:r w:rsidR="003C6FA4">
        <w:rPr>
          <w:rStyle w:val="AERbody"/>
        </w:rPr>
        <w:t>the</w:t>
      </w:r>
      <w:r w:rsidR="003C6FA4" w:rsidRPr="006772FF">
        <w:rPr>
          <w:rStyle w:val="AERbody"/>
        </w:rPr>
        <w:t xml:space="preserve"> </w:t>
      </w:r>
      <w:r w:rsidRPr="006772FF">
        <w:rPr>
          <w:rStyle w:val="AERbody"/>
        </w:rPr>
        <w:t>base</w:t>
      </w:r>
      <w:r w:rsidR="003C6FA4">
        <w:rPr>
          <w:rStyle w:val="AERbody"/>
        </w:rPr>
        <w:t xml:space="preserve"> for its opex forecast</w:t>
      </w:r>
      <w:r>
        <w:rPr>
          <w:rStyle w:val="AERbody"/>
        </w:rPr>
        <w:t>.</w:t>
      </w:r>
      <w:r w:rsidRPr="006772FF">
        <w:rPr>
          <w:rStyle w:val="AERbody"/>
        </w:rPr>
        <w:t xml:space="preserve"> </w:t>
      </w:r>
      <w:r>
        <w:rPr>
          <w:rStyle w:val="AERbody"/>
        </w:rPr>
        <w:t>It remove</w:t>
      </w:r>
      <w:r w:rsidR="00EA1225">
        <w:rPr>
          <w:rStyle w:val="AERbody"/>
        </w:rPr>
        <w:t>d</w:t>
      </w:r>
      <w:r>
        <w:rPr>
          <w:rStyle w:val="AERbody"/>
        </w:rPr>
        <w:t xml:space="preserve"> </w:t>
      </w:r>
      <w:r w:rsidRPr="006772FF">
        <w:rPr>
          <w:rStyle w:val="AERbody"/>
        </w:rPr>
        <w:t xml:space="preserve">non-recurrent expenditure </w:t>
      </w:r>
      <w:r>
        <w:rPr>
          <w:rStyle w:val="AERbody"/>
        </w:rPr>
        <w:t xml:space="preserve">of </w:t>
      </w:r>
      <w:r w:rsidRPr="006772FF">
        <w:rPr>
          <w:rStyle w:val="AERbody"/>
        </w:rPr>
        <w:t>$13.</w:t>
      </w:r>
      <w:r>
        <w:rPr>
          <w:rStyle w:val="AERbody"/>
        </w:rPr>
        <w:t>5</w:t>
      </w:r>
      <w:r w:rsidRPr="006772FF">
        <w:rPr>
          <w:rStyle w:val="AERbody"/>
        </w:rPr>
        <w:t xml:space="preserve"> million</w:t>
      </w:r>
      <w:r>
        <w:rPr>
          <w:rStyle w:val="AERbody"/>
        </w:rPr>
        <w:t xml:space="preserve"> (or 6.1 per cent</w:t>
      </w:r>
      <w:r w:rsidRPr="006772FF">
        <w:rPr>
          <w:rStyle w:val="AERbody"/>
        </w:rPr>
        <w:t>)</w:t>
      </w:r>
      <w:r>
        <w:rPr>
          <w:rStyle w:val="AERbody"/>
        </w:rPr>
        <w:t xml:space="preserve"> and</w:t>
      </w:r>
      <w:r w:rsidR="00382821">
        <w:rPr>
          <w:rStyle w:val="AERbody"/>
        </w:rPr>
        <w:t xml:space="preserve"> </w:t>
      </w:r>
      <w:r w:rsidRPr="006772FF">
        <w:rPr>
          <w:rStyle w:val="AERbody"/>
        </w:rPr>
        <w:t xml:space="preserve">further </w:t>
      </w:r>
      <w:r w:rsidR="00214E73" w:rsidRPr="006772FF">
        <w:rPr>
          <w:rStyle w:val="AERbody"/>
        </w:rPr>
        <w:t>reduce</w:t>
      </w:r>
      <w:r w:rsidR="00214E73">
        <w:rPr>
          <w:rStyle w:val="AERbody"/>
        </w:rPr>
        <w:t>d</w:t>
      </w:r>
      <w:r w:rsidR="00214E73" w:rsidRPr="006772FF">
        <w:rPr>
          <w:rStyle w:val="AERbody"/>
        </w:rPr>
        <w:t xml:space="preserve"> </w:t>
      </w:r>
      <w:r w:rsidRPr="006772FF">
        <w:rPr>
          <w:rStyle w:val="AERbody"/>
        </w:rPr>
        <w:t xml:space="preserve">its base opex for </w:t>
      </w:r>
      <w:proofErr w:type="gramStart"/>
      <w:r w:rsidR="004B12CA">
        <w:rPr>
          <w:rStyle w:val="AERbody"/>
        </w:rPr>
        <w:t>its</w:t>
      </w:r>
      <w:proofErr w:type="gramEnd"/>
      <w:r w:rsidR="00825A3B">
        <w:rPr>
          <w:rStyle w:val="AERbody"/>
        </w:rPr>
        <w:t xml:space="preserve"> </w:t>
      </w:r>
      <w:r w:rsidRPr="006772FF">
        <w:rPr>
          <w:rStyle w:val="AERbody"/>
        </w:rPr>
        <w:t>identified ‘work program efficiencies’ ($</w:t>
      </w:r>
      <w:r>
        <w:rPr>
          <w:rStyle w:val="AERbody"/>
        </w:rPr>
        <w:t>10.1</w:t>
      </w:r>
      <w:r w:rsidRPr="006772FF">
        <w:rPr>
          <w:rStyle w:val="AERbody"/>
        </w:rPr>
        <w:t xml:space="preserve"> million</w:t>
      </w:r>
      <w:r>
        <w:rPr>
          <w:rStyle w:val="AERbody"/>
        </w:rPr>
        <w:t xml:space="preserve"> or </w:t>
      </w:r>
      <w:r>
        <w:rPr>
          <w:rStyle w:val="AERbody"/>
        </w:rPr>
        <w:lastRenderedPageBreak/>
        <w:t>4.5</w:t>
      </w:r>
      <w:r w:rsidR="00354442">
        <w:rPr>
          <w:rStyle w:val="AERbody"/>
        </w:rPr>
        <w:t> per </w:t>
      </w:r>
      <w:r>
        <w:rPr>
          <w:rStyle w:val="AERbody"/>
        </w:rPr>
        <w:t>cent</w:t>
      </w:r>
      <w:r w:rsidRPr="006772FF">
        <w:rPr>
          <w:rStyle w:val="AERbody"/>
        </w:rPr>
        <w:t xml:space="preserve">). These </w:t>
      </w:r>
      <w:r>
        <w:rPr>
          <w:rStyle w:val="AERbody"/>
        </w:rPr>
        <w:t xml:space="preserve">work program efficiencies </w:t>
      </w:r>
      <w:r w:rsidRPr="006772FF">
        <w:rPr>
          <w:rStyle w:val="AERbody"/>
        </w:rPr>
        <w:t>include vegetation management, refurbishment and workforce efficiency costs (including redundancy).</w:t>
      </w:r>
    </w:p>
    <w:p w:rsidR="00382821" w:rsidRDefault="00382821" w:rsidP="00382821">
      <w:r w:rsidRPr="000B0922">
        <w:t>Our benchmarking results</w:t>
      </w:r>
      <w:r>
        <w:t xml:space="preserve"> suggest</w:t>
      </w:r>
      <w:r w:rsidRPr="000B0922">
        <w:t xml:space="preserve"> </w:t>
      </w:r>
      <w:r>
        <w:t>Powerlink</w:t>
      </w:r>
      <w:r w:rsidRPr="000B0922">
        <w:t xml:space="preserve"> has </w:t>
      </w:r>
      <w:r>
        <w:t xml:space="preserve">been operating at </w:t>
      </w:r>
      <w:r w:rsidRPr="000B0922">
        <w:t xml:space="preserve">relatively </w:t>
      </w:r>
      <w:r>
        <w:t xml:space="preserve">lower levels of productivity when </w:t>
      </w:r>
      <w:r w:rsidRPr="000B0922">
        <w:t xml:space="preserve">compared to other transmission businesses in the NEM. </w:t>
      </w:r>
      <w:r>
        <w:t xml:space="preserve">Our </w:t>
      </w:r>
      <w:r w:rsidR="00FA19D7">
        <w:t>m</w:t>
      </w:r>
      <w:r w:rsidR="00FA19D7" w:rsidRPr="000C41AB">
        <w:t>ultilateral total factor productivity</w:t>
      </w:r>
      <w:r w:rsidR="00FA19D7" w:rsidRPr="000C41AB" w:rsidDel="000C41AB">
        <w:t xml:space="preserve"> </w:t>
      </w:r>
      <w:r w:rsidR="00FA19D7">
        <w:t xml:space="preserve">(MTFP) and </w:t>
      </w:r>
      <w:r w:rsidRPr="00EE1CF7">
        <w:t xml:space="preserve">opex </w:t>
      </w:r>
      <w:r w:rsidR="00A66BCD">
        <w:t>multifactor partial productivity (</w:t>
      </w:r>
      <w:r w:rsidRPr="00EE1CF7">
        <w:t>MPP</w:t>
      </w:r>
      <w:r w:rsidR="00A66BCD">
        <w:t>)</w:t>
      </w:r>
      <w:r w:rsidRPr="00EE1CF7">
        <w:t xml:space="preserve"> results</w:t>
      </w:r>
      <w:r>
        <w:t xml:space="preserve"> rank</w:t>
      </w:r>
      <w:r w:rsidRPr="00EE1CF7">
        <w:t xml:space="preserve"> Powerlink </w:t>
      </w:r>
      <w:r>
        <w:t>fourth out of five providers</w:t>
      </w:r>
      <w:r w:rsidR="00D60C69">
        <w:t>.</w:t>
      </w:r>
      <w:r w:rsidR="00FA19D7">
        <w:rPr>
          <w:rStyle w:val="FootnoteReference"/>
        </w:rPr>
        <w:footnoteReference w:id="27"/>
      </w:r>
      <w:r>
        <w:t xml:space="preserve"> Powerlink's </w:t>
      </w:r>
      <w:r w:rsidRPr="000B0922">
        <w:t>part</w:t>
      </w:r>
      <w:r>
        <w:t>ial performance indicator (PPI)</w:t>
      </w:r>
      <w:r w:rsidRPr="000B0922">
        <w:t xml:space="preserve"> results are mixed. Powerlink rates well in measures such as opex per circuit </w:t>
      </w:r>
      <w:r w:rsidR="001C1D8F">
        <w:t>kilometre</w:t>
      </w:r>
      <w:r w:rsidRPr="000B0922">
        <w:t>, but poorly on measures such as opex per MVA of do</w:t>
      </w:r>
      <w:r w:rsidR="00440E20">
        <w:t>wnstream transmission capacity.</w:t>
      </w:r>
    </w:p>
    <w:p w:rsidR="00EC7928" w:rsidRDefault="00890F1B" w:rsidP="00EC7928">
      <w:r>
        <w:t>On the one hand, t</w:t>
      </w:r>
      <w:r w:rsidR="00EC7928" w:rsidRPr="0079331A">
        <w:t xml:space="preserve">he CCP </w:t>
      </w:r>
      <w:r w:rsidR="003C4194">
        <w:t xml:space="preserve">members' submission </w:t>
      </w:r>
      <w:r w:rsidR="00EC7928">
        <w:t>state</w:t>
      </w:r>
      <w:r w:rsidR="003F6C50">
        <w:t>d</w:t>
      </w:r>
      <w:r w:rsidR="00EC7928">
        <w:t xml:space="preserve"> </w:t>
      </w:r>
      <w:r w:rsidR="00EC7928" w:rsidRPr="0079331A">
        <w:t xml:space="preserve">we should apply benchmarking to determine Powerlink’s efficient base year opex. </w:t>
      </w:r>
      <w:r w:rsidR="00EC7928">
        <w:t>It</w:t>
      </w:r>
      <w:r w:rsidR="00EC7928" w:rsidRPr="0079331A">
        <w:t xml:space="preserve"> state</w:t>
      </w:r>
      <w:r w:rsidR="003F6C50">
        <w:t>d</w:t>
      </w:r>
      <w:r w:rsidR="00EC7928" w:rsidRPr="0079331A">
        <w:t xml:space="preserve"> our benchmarking results identify material inefficiencies in Powerlink’s historical opex.</w:t>
      </w:r>
      <w:r w:rsidR="00EC7928">
        <w:t xml:space="preserve"> </w:t>
      </w:r>
    </w:p>
    <w:p w:rsidR="000647D8" w:rsidRDefault="00890F1B" w:rsidP="00EC7928">
      <w:r>
        <w:t xml:space="preserve">On the other hand, </w:t>
      </w:r>
      <w:r w:rsidR="00EC7928">
        <w:t xml:space="preserve">Powerlink's consultant, Huegin, </w:t>
      </w:r>
      <w:r w:rsidR="003F6C50">
        <w:t>stated</w:t>
      </w:r>
      <w:r w:rsidR="00907A59" w:rsidRPr="00907A59">
        <w:t xml:space="preserve"> there is no evidence that Powerlink’s historic opex is </w:t>
      </w:r>
      <w:r w:rsidR="00936262">
        <w:t xml:space="preserve">materially </w:t>
      </w:r>
      <w:r w:rsidR="00907A59" w:rsidRPr="00907A59">
        <w:t>inefficient</w:t>
      </w:r>
      <w:r w:rsidR="00907A59">
        <w:t>,</w:t>
      </w:r>
      <w:r w:rsidR="00907A59" w:rsidRPr="00907A59">
        <w:t xml:space="preserve"> and </w:t>
      </w:r>
      <w:r w:rsidR="00AC7CEF">
        <w:t xml:space="preserve">noted </w:t>
      </w:r>
      <w:r w:rsidR="00907A59" w:rsidRPr="00907A59">
        <w:t>its opex is similar to its peers when selected operating environment factors (OEFs) are considered.</w:t>
      </w:r>
      <w:r w:rsidR="00AC7CEF">
        <w:rPr>
          <w:rStyle w:val="FootnoteReference"/>
        </w:rPr>
        <w:footnoteReference w:id="28"/>
      </w:r>
      <w:r w:rsidR="00907A59">
        <w:t xml:space="preserve"> </w:t>
      </w:r>
    </w:p>
    <w:p w:rsidR="00EC7928" w:rsidRDefault="000F60AE" w:rsidP="00EC7928">
      <w:r>
        <w:t xml:space="preserve">Our consultant, </w:t>
      </w:r>
      <w:r w:rsidR="000D79E5">
        <w:t>Economic Insights</w:t>
      </w:r>
      <w:r w:rsidR="003F6C50">
        <w:t>, accepted</w:t>
      </w:r>
      <w:r>
        <w:t xml:space="preserve"> </w:t>
      </w:r>
      <w:r w:rsidR="00B20188">
        <w:t xml:space="preserve">Huegin's view that </w:t>
      </w:r>
      <w:r>
        <w:t xml:space="preserve">there is a lack of evidence Powerlink's base opex is </w:t>
      </w:r>
      <w:r w:rsidR="00936262">
        <w:t xml:space="preserve">materially </w:t>
      </w:r>
      <w:r>
        <w:t>inefficient</w:t>
      </w:r>
      <w:r w:rsidR="003F6C50">
        <w:t>. Economic Insights identified</w:t>
      </w:r>
      <w:r w:rsidR="000647D8">
        <w:t xml:space="preserve"> the following </w:t>
      </w:r>
      <w:r w:rsidR="00B20188">
        <w:t>limitations</w:t>
      </w:r>
      <w:r>
        <w:t xml:space="preserve"> with the benchmarking evidence</w:t>
      </w:r>
      <w:r w:rsidR="000647D8">
        <w:t>, which we accept.</w:t>
      </w:r>
      <w:r w:rsidR="00BA0CFB">
        <w:rPr>
          <w:rStyle w:val="FootnoteReference"/>
        </w:rPr>
        <w:footnoteReference w:id="29"/>
      </w:r>
    </w:p>
    <w:p w:rsidR="00725293" w:rsidRPr="00725293" w:rsidRDefault="00725293" w:rsidP="00725293">
      <w:r w:rsidRPr="00725293">
        <w:t>First, we have a small sample size of transmission businesses.</w:t>
      </w:r>
      <w:r w:rsidR="000647D8">
        <w:rPr>
          <w:rStyle w:val="FootnoteReference"/>
        </w:rPr>
        <w:footnoteReference w:id="30"/>
      </w:r>
      <w:r w:rsidRPr="00725293">
        <w:t xml:space="preserve"> This is a problem because benchmarking is data intensive. Our ability to apply a range of benchmarking techniques (using econometric modelling) is limited, which means we cannot adequately cross-check our results. And there are few overseas observations we can draw on to </w:t>
      </w:r>
      <w:r>
        <w:t>increase our sample size.</w:t>
      </w:r>
    </w:p>
    <w:p w:rsidR="00FF12C5" w:rsidRDefault="00C80EDB" w:rsidP="00725293">
      <w:r>
        <w:t>Second</w:t>
      </w:r>
      <w:r w:rsidR="00725293" w:rsidRPr="00725293">
        <w:t>, we would need to refine our benchmarking 'output measures'</w:t>
      </w:r>
      <w:r w:rsidR="00FF12C5">
        <w:t xml:space="preserve">. </w:t>
      </w:r>
      <w:r w:rsidR="00FF12C5" w:rsidRPr="00725293">
        <w:t>Very few comprehensive 'measurement studies' have been undertaken around the world, unlik</w:t>
      </w:r>
      <w:r w:rsidR="00FF12C5">
        <w:t>e for electricity distribution.</w:t>
      </w:r>
      <w:r>
        <w:rPr>
          <w:rStyle w:val="FootnoteReference"/>
        </w:rPr>
        <w:footnoteReference w:id="31"/>
      </w:r>
    </w:p>
    <w:p w:rsidR="00725293" w:rsidRDefault="00C80EDB" w:rsidP="00725293">
      <w:r>
        <w:t>Third</w:t>
      </w:r>
      <w:r w:rsidR="00FF12C5">
        <w:t>, t</w:t>
      </w:r>
      <w:r w:rsidR="00FF12C5" w:rsidRPr="00725293">
        <w:t>he transmission businesses operate under different circumstances</w:t>
      </w:r>
      <w:r w:rsidR="00FF12C5">
        <w:t xml:space="preserve">. We would need to </w:t>
      </w:r>
      <w:r w:rsidR="00725293" w:rsidRPr="00725293">
        <w:t xml:space="preserve">gain a better understanding of the impact of </w:t>
      </w:r>
      <w:r w:rsidR="00FF12C5">
        <w:t>OEF</w:t>
      </w:r>
      <w:r w:rsidR="00E301F5">
        <w:t>s</w:t>
      </w:r>
      <w:r w:rsidR="00725293" w:rsidRPr="00725293">
        <w:t>, especially those that are not captured in our current model</w:t>
      </w:r>
      <w:r w:rsidR="00FF12C5">
        <w:t>—such as capitalisation differences as identified by Huegin</w:t>
      </w:r>
      <w:r w:rsidR="00725293" w:rsidRPr="00725293">
        <w:t xml:space="preserve">. A business may face relatively higher costs that are beyond its control, which can negatively influence its benchmarking performance. </w:t>
      </w:r>
      <w:r w:rsidR="00354442">
        <w:t>T</w:t>
      </w:r>
      <w:r w:rsidR="00725293" w:rsidRPr="00725293">
        <w:t xml:space="preserve">he material </w:t>
      </w:r>
      <w:r w:rsidR="00354442">
        <w:t xml:space="preserve">OEFs </w:t>
      </w:r>
      <w:r w:rsidR="00725293" w:rsidRPr="00725293">
        <w:t>would need to be identified and quantified.</w:t>
      </w:r>
      <w:r>
        <w:rPr>
          <w:rStyle w:val="FootnoteReference"/>
        </w:rPr>
        <w:footnoteReference w:id="32"/>
      </w:r>
    </w:p>
    <w:p w:rsidR="00F70576" w:rsidRDefault="00EF234D" w:rsidP="00725293">
      <w:r>
        <w:lastRenderedPageBreak/>
        <w:t>For these reasons, w</w:t>
      </w:r>
      <w:r w:rsidR="004B65AA">
        <w:t>e consider o</w:t>
      </w:r>
      <w:r w:rsidR="000F60AE" w:rsidRPr="00725293">
        <w:t>ur benchmarking of electricity transmission is not sufficiently robust to support an alternative forecast of base opex at</w:t>
      </w:r>
      <w:r w:rsidR="000F60AE">
        <w:t xml:space="preserve"> this stage of its development. Nevertheless, </w:t>
      </w:r>
      <w:r w:rsidR="004B65AA">
        <w:t xml:space="preserve">we consider </w:t>
      </w:r>
      <w:r w:rsidR="00F70576" w:rsidRPr="00C664A8">
        <w:t>our transmission benchmarking results</w:t>
      </w:r>
      <w:r w:rsidR="00C5347D">
        <w:t xml:space="preserve"> and PPIs</w:t>
      </w:r>
      <w:r w:rsidR="007267B7">
        <w:t xml:space="preserve"> raise questions about the efficiency of Powerlink's base opex.</w:t>
      </w:r>
      <w:r w:rsidR="007267B7" w:rsidRPr="007267B7">
        <w:t xml:space="preserve"> </w:t>
      </w:r>
      <w:r w:rsidR="000D79E5">
        <w:t xml:space="preserve">Although </w:t>
      </w:r>
      <w:r w:rsidR="007267B7">
        <w:t>we cannot m</w:t>
      </w:r>
      <w:r w:rsidR="007267B7" w:rsidRPr="007267B7">
        <w:t>easure</w:t>
      </w:r>
      <w:r w:rsidR="000D79E5">
        <w:t xml:space="preserve"> the</w:t>
      </w:r>
      <w:r w:rsidR="007267B7" w:rsidRPr="007267B7">
        <w:t xml:space="preserve"> distance</w:t>
      </w:r>
      <w:r w:rsidR="000D79E5">
        <w:t xml:space="preserve"> </w:t>
      </w:r>
      <w:r>
        <w:t xml:space="preserve">between </w:t>
      </w:r>
      <w:r w:rsidR="000D79E5">
        <w:t>Powerlink</w:t>
      </w:r>
      <w:r>
        <w:t>'s productivity performance</w:t>
      </w:r>
      <w:r w:rsidR="000D79E5">
        <w:t xml:space="preserve"> </w:t>
      </w:r>
      <w:r>
        <w:t>and</w:t>
      </w:r>
      <w:r w:rsidR="007267B7" w:rsidRPr="007267B7">
        <w:t xml:space="preserve"> </w:t>
      </w:r>
      <w:r w:rsidR="007267B7">
        <w:t>the</w:t>
      </w:r>
      <w:r w:rsidR="007267B7" w:rsidRPr="007267B7">
        <w:t xml:space="preserve"> </w:t>
      </w:r>
      <w:r w:rsidR="000F60AE">
        <w:t xml:space="preserve">'efficiency </w:t>
      </w:r>
      <w:r w:rsidR="007267B7" w:rsidRPr="007267B7">
        <w:t>frontier</w:t>
      </w:r>
      <w:r w:rsidR="000F60AE">
        <w:t xml:space="preserve">', </w:t>
      </w:r>
      <w:r w:rsidR="00C5347D">
        <w:t>w</w:t>
      </w:r>
      <w:r w:rsidR="007267B7">
        <w:t xml:space="preserve">e can </w:t>
      </w:r>
      <w:r w:rsidR="00C5347D">
        <w:t xml:space="preserve">rely on Powerlink's own </w:t>
      </w:r>
      <w:r w:rsidR="00C5347D" w:rsidRPr="00E67B83">
        <w:t>forecast productivity improvements.</w:t>
      </w:r>
    </w:p>
    <w:p w:rsidR="0000025A" w:rsidRDefault="00382821" w:rsidP="00890F1B">
      <w:r w:rsidRPr="008B6EEC">
        <w:t xml:space="preserve">Powerlink </w:t>
      </w:r>
      <w:r w:rsidR="00725293">
        <w:t>acknowledge</w:t>
      </w:r>
      <w:r w:rsidR="003F6C50">
        <w:t>d</w:t>
      </w:r>
      <w:r w:rsidRPr="008B6EEC">
        <w:t xml:space="preserve"> </w:t>
      </w:r>
      <w:r w:rsidR="0079331A">
        <w:t>it has</w:t>
      </w:r>
      <w:r w:rsidRPr="008B6EEC">
        <w:t xml:space="preserve"> scope to be more efficient and has </w:t>
      </w:r>
      <w:r w:rsidR="00AC7CEF">
        <w:t xml:space="preserve">included </w:t>
      </w:r>
      <w:r w:rsidR="00DE70C1">
        <w:t>opex</w:t>
      </w:r>
      <w:r w:rsidR="00CF214E">
        <w:t xml:space="preserve"> </w:t>
      </w:r>
      <w:r>
        <w:t>efficiency measures</w:t>
      </w:r>
      <w:r w:rsidR="00DE70C1">
        <w:t xml:space="preserve"> in its 2017</w:t>
      </w:r>
      <w:r w:rsidR="00890F1B">
        <w:t>–</w:t>
      </w:r>
      <w:r w:rsidR="00DE70C1">
        <w:t xml:space="preserve">22 </w:t>
      </w:r>
      <w:r w:rsidR="00C65FB2">
        <w:t>revenue proposal</w:t>
      </w:r>
      <w:r w:rsidR="004726A0">
        <w:t>. First, P</w:t>
      </w:r>
      <w:r w:rsidR="00ED62E2">
        <w:t>owerlink</w:t>
      </w:r>
      <w:r>
        <w:t xml:space="preserve"> reduced its base opex by $</w:t>
      </w:r>
      <w:r w:rsidR="00ED62E2">
        <w:t>10.1</w:t>
      </w:r>
      <w:r w:rsidR="00A421ED">
        <w:t> </w:t>
      </w:r>
      <w:r>
        <w:t>million for work program efficiencies</w:t>
      </w:r>
      <w:r w:rsidR="0000025A">
        <w:t>, as</w:t>
      </w:r>
      <w:r w:rsidR="00825A3B">
        <w:t xml:space="preserve"> mentioned above</w:t>
      </w:r>
      <w:r w:rsidR="003C6FA4">
        <w:t xml:space="preserve">. </w:t>
      </w:r>
      <w:r w:rsidR="000A082D" w:rsidRPr="000A082D">
        <w:t>This reduced its</w:t>
      </w:r>
      <w:r w:rsidR="008F13AB">
        <w:t xml:space="preserve"> opex forecast by 4.6 per cent</w:t>
      </w:r>
      <w:r w:rsidR="00DE70C1">
        <w:t>.</w:t>
      </w:r>
      <w:r w:rsidR="004726A0">
        <w:t xml:space="preserve"> Second, Powerlink </w:t>
      </w:r>
      <w:r w:rsidR="004726A0" w:rsidRPr="004726A0">
        <w:t>incorporate</w:t>
      </w:r>
      <w:r w:rsidR="004726A0">
        <w:t>d</w:t>
      </w:r>
      <w:r w:rsidR="004726A0" w:rsidRPr="004726A0">
        <w:t xml:space="preserve"> </w:t>
      </w:r>
      <w:r w:rsidR="004726A0">
        <w:t>an efficiency gain</w:t>
      </w:r>
      <w:r w:rsidR="004726A0" w:rsidRPr="004726A0">
        <w:t xml:space="preserve"> in o</w:t>
      </w:r>
      <w:r w:rsidR="00812A48">
        <w:t>pex between the base year (2014–</w:t>
      </w:r>
      <w:r w:rsidR="004726A0" w:rsidRPr="004726A0">
        <w:t xml:space="preserve">15) and the start of the </w:t>
      </w:r>
      <w:r w:rsidR="00812A48">
        <w:t xml:space="preserve">regulatory control period </w:t>
      </w:r>
      <w:r w:rsidR="006E7BBC">
        <w:br/>
      </w:r>
      <w:r w:rsidR="00812A48">
        <w:t>(2017–</w:t>
      </w:r>
      <w:r w:rsidR="004726A0" w:rsidRPr="004726A0">
        <w:t>18).</w:t>
      </w:r>
      <w:r w:rsidR="000A082D">
        <w:rPr>
          <w:rStyle w:val="FootnoteReference"/>
        </w:rPr>
        <w:footnoteReference w:id="33"/>
      </w:r>
      <w:r w:rsidR="004726A0" w:rsidRPr="004726A0">
        <w:t xml:space="preserve"> </w:t>
      </w:r>
      <w:r w:rsidR="000A082D" w:rsidRPr="000A082D">
        <w:t>This reduced its opex forecast by a further 7.6 per cent.</w:t>
      </w:r>
      <w:r w:rsidR="000A082D">
        <w:t xml:space="preserve"> </w:t>
      </w:r>
      <w:r w:rsidR="005E5CF5">
        <w:t xml:space="preserve">In total, Powerlink </w:t>
      </w:r>
      <w:r w:rsidR="005E5CF5" w:rsidRPr="007D6876">
        <w:t>reduce</w:t>
      </w:r>
      <w:r w:rsidR="005E5CF5">
        <w:t>s</w:t>
      </w:r>
      <w:r w:rsidR="005E5CF5" w:rsidRPr="007D6876">
        <w:t xml:space="preserve"> its </w:t>
      </w:r>
      <w:r w:rsidR="003C5924">
        <w:t xml:space="preserve">estimate of opex for 2016-17 </w:t>
      </w:r>
      <w:r w:rsidR="005E5CF5" w:rsidRPr="007D6876">
        <w:t xml:space="preserve">by </w:t>
      </w:r>
      <w:r w:rsidR="000F1B1C">
        <w:t>12.2</w:t>
      </w:r>
      <w:r w:rsidR="005E5CF5">
        <w:t> per cent.</w:t>
      </w:r>
      <w:r w:rsidR="0070231D">
        <w:t xml:space="preserve"> It is also noted that Powerlink propose</w:t>
      </w:r>
      <w:r w:rsidR="000B30A8">
        <w:t>d</w:t>
      </w:r>
      <w:r w:rsidR="0070231D">
        <w:t xml:space="preserve"> to absorb possible step changes, as discussed below, and an EBSS payment of $9 million (see attachment 9).</w:t>
      </w:r>
    </w:p>
    <w:p w:rsidR="00E10ABB" w:rsidRPr="00E10ABB" w:rsidRDefault="003772FF" w:rsidP="00E10ABB">
      <w:r>
        <w:t xml:space="preserve">These </w:t>
      </w:r>
      <w:r w:rsidR="00EC7928">
        <w:t xml:space="preserve">efficiency </w:t>
      </w:r>
      <w:r>
        <w:t xml:space="preserve">measures </w:t>
      </w:r>
      <w:r w:rsidRPr="003772FF">
        <w:t>reflect</w:t>
      </w:r>
      <w:r>
        <w:t xml:space="preserve"> </w:t>
      </w:r>
      <w:r w:rsidR="00EC7928">
        <w:t>the</w:t>
      </w:r>
      <w:r>
        <w:t xml:space="preserve"> </w:t>
      </w:r>
      <w:r w:rsidR="00EC7928">
        <w:t xml:space="preserve">opex </w:t>
      </w:r>
      <w:r w:rsidRPr="003772FF">
        <w:t>efficiencies</w:t>
      </w:r>
      <w:r w:rsidR="003F6C50">
        <w:t xml:space="preserve"> Powerlink expected</w:t>
      </w:r>
      <w:r>
        <w:t xml:space="preserve"> it has or will </w:t>
      </w:r>
      <w:r w:rsidRPr="003772FF">
        <w:t xml:space="preserve">achieve </w:t>
      </w:r>
      <w:r w:rsidR="00EC7928">
        <w:t>in</w:t>
      </w:r>
      <w:r w:rsidR="00812A48">
        <w:t xml:space="preserve"> 2015</w:t>
      </w:r>
      <w:r w:rsidR="003F6C50">
        <w:t>–</w:t>
      </w:r>
      <w:r w:rsidR="00812A48">
        <w:t>16 and 2016</w:t>
      </w:r>
      <w:r w:rsidR="003F6C50">
        <w:t>–</w:t>
      </w:r>
      <w:r w:rsidRPr="003772FF">
        <w:t xml:space="preserve">17, as well as </w:t>
      </w:r>
      <w:r w:rsidR="00EC7928">
        <w:t>over the</w:t>
      </w:r>
      <w:r w:rsidR="00890F1B">
        <w:t xml:space="preserve"> 2017–</w:t>
      </w:r>
      <w:r w:rsidRPr="003772FF">
        <w:t>22</w:t>
      </w:r>
      <w:r w:rsidR="00EC7928">
        <w:t xml:space="preserve"> regulatory control period</w:t>
      </w:r>
      <w:r w:rsidRPr="003772FF">
        <w:t xml:space="preserve">. Powerlink </w:t>
      </w:r>
      <w:r w:rsidR="00EC7928">
        <w:t>submit</w:t>
      </w:r>
      <w:r w:rsidR="000B30A8">
        <w:t>ted</w:t>
      </w:r>
      <w:r w:rsidRPr="003772FF">
        <w:t xml:space="preserve"> it is reforming business processes that are aligned with driving efficiency and cost reduction.</w:t>
      </w:r>
      <w:r w:rsidR="00EC7928">
        <w:rPr>
          <w:rStyle w:val="FootnoteReference"/>
        </w:rPr>
        <w:footnoteReference w:id="34"/>
      </w:r>
      <w:r>
        <w:t xml:space="preserve"> </w:t>
      </w:r>
      <w:r w:rsidR="00E10ABB">
        <w:t xml:space="preserve">Powerlink </w:t>
      </w:r>
      <w:r w:rsidR="00745AC0">
        <w:t xml:space="preserve">stated </w:t>
      </w:r>
      <w:r w:rsidR="00E10ABB">
        <w:t>it is</w:t>
      </w:r>
      <w:r w:rsidR="00E10ABB" w:rsidRPr="00E10ABB">
        <w:t xml:space="preserve"> implementing a range of </w:t>
      </w:r>
      <w:r w:rsidR="00E10ABB">
        <w:t>initiatives</w:t>
      </w:r>
      <w:r w:rsidR="00E10ABB" w:rsidRPr="00E10ABB">
        <w:t>:</w:t>
      </w:r>
    </w:p>
    <w:p w:rsidR="00E10ABB" w:rsidRPr="00E10ABB" w:rsidRDefault="003F6C50" w:rsidP="00B304E3">
      <w:pPr>
        <w:pStyle w:val="AERbulletlistfirststyle"/>
      </w:pPr>
      <w:r>
        <w:t>i</w:t>
      </w:r>
      <w:r w:rsidR="00E10ABB" w:rsidRPr="00E10ABB">
        <w:t xml:space="preserve">mplementation of a new simplified organisational structure </w:t>
      </w:r>
    </w:p>
    <w:p w:rsidR="00E10ABB" w:rsidRDefault="003F6C50" w:rsidP="00B304E3">
      <w:pPr>
        <w:pStyle w:val="AERbulletlistfirststyle"/>
      </w:pPr>
      <w:r>
        <w:t>r</w:t>
      </w:r>
      <w:r w:rsidR="00E10ABB" w:rsidRPr="00E10ABB">
        <w:t xml:space="preserve">eview and adjustment of resource levels </w:t>
      </w:r>
      <w:r w:rsidR="00E10ABB" w:rsidRPr="003772FF">
        <w:t xml:space="preserve">to align </w:t>
      </w:r>
      <w:r w:rsidR="00E10ABB" w:rsidRPr="00E10ABB">
        <w:t>them with evolving requirements</w:t>
      </w:r>
    </w:p>
    <w:p w:rsidR="003772FF" w:rsidRDefault="003F6C50" w:rsidP="00B304E3">
      <w:pPr>
        <w:pStyle w:val="AERbulletlistfirststyle"/>
      </w:pPr>
      <w:proofErr w:type="gramStart"/>
      <w:r>
        <w:t>r</w:t>
      </w:r>
      <w:r w:rsidR="00E10ABB" w:rsidRPr="00E10ABB">
        <w:t>eview</w:t>
      </w:r>
      <w:proofErr w:type="gramEnd"/>
      <w:r w:rsidR="00E10ABB" w:rsidRPr="00E10ABB">
        <w:t xml:space="preserve"> and implementation of cost effective long term arrangements for maintenance service delivery across Queensland.</w:t>
      </w:r>
    </w:p>
    <w:p w:rsidR="00C664A8" w:rsidRDefault="005F62BC">
      <w:r>
        <w:t>W</w:t>
      </w:r>
      <w:r w:rsidR="00EC7928" w:rsidRPr="00EC7928">
        <w:t xml:space="preserve">e </w:t>
      </w:r>
      <w:r w:rsidR="00EC7928">
        <w:t xml:space="preserve">have </w:t>
      </w:r>
      <w:r w:rsidR="00EC7928" w:rsidRPr="00EC7928">
        <w:t xml:space="preserve">included </w:t>
      </w:r>
      <w:r w:rsidR="00EC7928">
        <w:t xml:space="preserve">Powerlink's efficiency adjustments </w:t>
      </w:r>
      <w:r w:rsidR="00EC7928" w:rsidRPr="00EC7928">
        <w:t xml:space="preserve">in our alternative estimate as an efficiency cut to base opex. </w:t>
      </w:r>
      <w:r w:rsidR="004726A0">
        <w:t xml:space="preserve">We have also removed </w:t>
      </w:r>
      <w:r w:rsidR="00381AC1">
        <w:t xml:space="preserve">the </w:t>
      </w:r>
      <w:r w:rsidR="004726A0" w:rsidRPr="006772FF">
        <w:rPr>
          <w:rStyle w:val="AERbody"/>
        </w:rPr>
        <w:t>non-recurrent</w:t>
      </w:r>
      <w:r w:rsidR="00381AC1">
        <w:rPr>
          <w:rStyle w:val="AERbody"/>
        </w:rPr>
        <w:t xml:space="preserve"> costs</w:t>
      </w:r>
      <w:r w:rsidR="004726A0">
        <w:t xml:space="preserve"> identified by Powerlink. </w:t>
      </w:r>
    </w:p>
    <w:p w:rsidR="00DF71A4" w:rsidRPr="00DF71A4" w:rsidRDefault="00431AE4" w:rsidP="00DF71A4">
      <w:pPr>
        <w:pStyle w:val="Heading3"/>
      </w:pPr>
      <w:bookmarkStart w:id="85" w:name="_Toc462752402"/>
      <w:r>
        <w:t>R</w:t>
      </w:r>
      <w:r w:rsidR="008A3D69">
        <w:t>ate of change</w:t>
      </w:r>
      <w:bookmarkEnd w:id="85"/>
      <w:r w:rsidR="00DF71A4" w:rsidRPr="00DF71A4">
        <w:t xml:space="preserve"> </w:t>
      </w:r>
    </w:p>
    <w:p w:rsidR="0098034C" w:rsidRDefault="00F91469" w:rsidP="00F91469">
      <w:r w:rsidRPr="00F91469">
        <w:t>Having determined an efficient starting point, or base opex, we trend it forwa</w:t>
      </w:r>
      <w:r w:rsidR="00AB5EA1">
        <w:t>rd to account for the forecast rate of change</w:t>
      </w:r>
      <w:r w:rsidRPr="00F91469">
        <w:t xml:space="preserve"> over the 2017–22 regulatory control period. The forecast rate of change captures the forecast growth in prices, output and productivity. </w:t>
      </w:r>
    </w:p>
    <w:p w:rsidR="00F91469" w:rsidRDefault="0098034C" w:rsidP="00F91469">
      <w:r>
        <w:t xml:space="preserve">We have </w:t>
      </w:r>
      <w:r w:rsidR="00914142">
        <w:t>forecast an</w:t>
      </w:r>
      <w:r>
        <w:t xml:space="preserve"> average annual rate of change of </w:t>
      </w:r>
      <w:r w:rsidR="00FD0394">
        <w:t>0.</w:t>
      </w:r>
      <w:r w:rsidR="00923FFD">
        <w:t xml:space="preserve">4 </w:t>
      </w:r>
      <w:r>
        <w:t>per cent.</w:t>
      </w:r>
      <w:r w:rsidR="00FC79D9">
        <w:t xml:space="preserve"> This compares with Powerlink's forecast of </w:t>
      </w:r>
      <w:r w:rsidR="00740871">
        <w:t>–</w:t>
      </w:r>
      <w:r w:rsidR="00FC79D9">
        <w:t>0.4 per cent.</w:t>
      </w:r>
      <w:r>
        <w:t xml:space="preserve"> The following section describes </w:t>
      </w:r>
      <w:r w:rsidR="008A3D69">
        <w:t>our calculation of the efficient rate of change</w:t>
      </w:r>
      <w:r>
        <w:t>.</w:t>
      </w:r>
    </w:p>
    <w:p w:rsidR="00DF71A4" w:rsidRPr="0098034C" w:rsidRDefault="00DF71A4" w:rsidP="0098034C">
      <w:pPr>
        <w:pStyle w:val="HeadingBoldItalic"/>
      </w:pPr>
      <w:r w:rsidRPr="0098034C">
        <w:lastRenderedPageBreak/>
        <w:t xml:space="preserve">Forecast </w:t>
      </w:r>
      <w:r w:rsidR="00567EE9">
        <w:t>price growth</w:t>
      </w:r>
      <w:r w:rsidRPr="0098034C">
        <w:t xml:space="preserve"> </w:t>
      </w:r>
    </w:p>
    <w:p w:rsidR="001678A4" w:rsidRDefault="00986C18" w:rsidP="000969FC">
      <w:r>
        <w:t xml:space="preserve">We have </w:t>
      </w:r>
      <w:r w:rsidR="00567EE9">
        <w:t>forecast</w:t>
      </w:r>
      <w:r>
        <w:t xml:space="preserve"> </w:t>
      </w:r>
      <w:r w:rsidR="00257F9C">
        <w:t xml:space="preserve">real </w:t>
      </w:r>
      <w:r>
        <w:t xml:space="preserve">average </w:t>
      </w:r>
      <w:r w:rsidR="007E325F">
        <w:t xml:space="preserve">annual </w:t>
      </w:r>
      <w:r>
        <w:t xml:space="preserve">price growth of </w:t>
      </w:r>
      <w:r w:rsidR="007E325F">
        <w:t>0.</w:t>
      </w:r>
      <w:r w:rsidR="00923FFD">
        <w:t>6</w:t>
      </w:r>
      <w:r w:rsidR="00923FFD" w:rsidRPr="00C679CE">
        <w:t xml:space="preserve"> </w:t>
      </w:r>
      <w:r>
        <w:t>per cent in our alternative opex forecast.</w:t>
      </w:r>
      <w:r w:rsidR="000969FC">
        <w:t xml:space="preserve"> Powerlink forecast 0.7 per cent. The difference was our respective forecasts of labour price growth. </w:t>
      </w:r>
    </w:p>
    <w:p w:rsidR="00DF71A4" w:rsidRPr="00DF71A4" w:rsidRDefault="001678A4" w:rsidP="000969FC">
      <w:r w:rsidRPr="001678A4">
        <w:t>Price growth is made up of labour price gro</w:t>
      </w:r>
      <w:r>
        <w:t>wth and non-labour price growth</w:t>
      </w:r>
      <w:r w:rsidR="004047EC">
        <w:t>:</w:t>
      </w:r>
    </w:p>
    <w:p w:rsidR="0091059D" w:rsidRPr="00DF71A4" w:rsidRDefault="000969FC" w:rsidP="0091059D">
      <w:pPr>
        <w:pStyle w:val="AERbulletlistfirststyle"/>
      </w:pPr>
      <w:r>
        <w:t xml:space="preserve">We have forecast </w:t>
      </w:r>
      <w:r w:rsidR="00E24FF3">
        <w:t xml:space="preserve">annual </w:t>
      </w:r>
      <w:r>
        <w:t xml:space="preserve">labour price growth of 0.9 per </w:t>
      </w:r>
      <w:r w:rsidR="00E24FF3">
        <w:t xml:space="preserve">cent. </w:t>
      </w:r>
      <w:r w:rsidR="0091059D" w:rsidRPr="005F74AB">
        <w:t>We have used forecast growth of the utilities</w:t>
      </w:r>
      <w:r w:rsidR="0091059D">
        <w:rPr>
          <w:rStyle w:val="FootnoteReference"/>
        </w:rPr>
        <w:footnoteReference w:id="35"/>
      </w:r>
      <w:r w:rsidR="0091059D">
        <w:t xml:space="preserve"> </w:t>
      </w:r>
      <w:r w:rsidR="0091059D" w:rsidRPr="005F74AB">
        <w:t xml:space="preserve">WPI to forecast labour price growth. </w:t>
      </w:r>
      <w:r w:rsidR="0091059D">
        <w:t xml:space="preserve">We used an average of Deloitte Access Economics' (DAE) and the Centre for </w:t>
      </w:r>
      <w:r w:rsidR="00B20243">
        <w:t xml:space="preserve">International Economics' (CIE) </w:t>
      </w:r>
      <w:r w:rsidR="0091059D">
        <w:t>utilities WPI growth forecasts. Our approach is consistent with the approach we used in our most recent transmission determination for AusNet Services</w:t>
      </w:r>
      <w:r w:rsidR="0091059D">
        <w:rPr>
          <w:rStyle w:val="FootnoteReference"/>
        </w:rPr>
        <w:footnoteReference w:id="36"/>
      </w:r>
      <w:r w:rsidR="0091059D" w:rsidRPr="000A3D22">
        <w:t xml:space="preserve"> </w:t>
      </w:r>
      <w:r w:rsidR="0091059D">
        <w:t>and uses our most up to date data set.</w:t>
      </w:r>
      <w:r w:rsidR="0091059D" w:rsidRPr="005F74AB">
        <w:t xml:space="preserve"> We consider the average of the utilities WPI growth forecasts from DAE and CIE represents a realistic expectation of the cost inputs required to </w:t>
      </w:r>
      <w:r w:rsidR="0091059D">
        <w:t>provide network services</w:t>
      </w:r>
      <w:r w:rsidR="0091059D" w:rsidRPr="005F74AB">
        <w:t>.</w:t>
      </w:r>
      <w:r w:rsidR="0091059D">
        <w:t xml:space="preserve"> We used forecasts for the Australian utilities industry in the absence of Queensland specific forecasts</w:t>
      </w:r>
      <w:r w:rsidR="0091059D" w:rsidRPr="00DF71A4">
        <w:t>.</w:t>
      </w:r>
      <w:r w:rsidR="0091059D">
        <w:rPr>
          <w:rStyle w:val="FootnoteReference"/>
        </w:rPr>
        <w:footnoteReference w:id="37"/>
      </w:r>
      <w:r>
        <w:t xml:space="preserve"> </w:t>
      </w:r>
      <w:r w:rsidR="00E24FF3">
        <w:t>Powerlink used its internal enterprise agreement (EA)</w:t>
      </w:r>
      <w:r w:rsidR="00E24FF3">
        <w:rPr>
          <w:rStyle w:val="FootnoteReference"/>
        </w:rPr>
        <w:footnoteReference w:id="38"/>
      </w:r>
      <w:r w:rsidR="00E24FF3">
        <w:t xml:space="preserve"> plus </w:t>
      </w:r>
      <w:r w:rsidR="00E24FF3" w:rsidRPr="005528BD">
        <w:t>forecast</w:t>
      </w:r>
      <w:r w:rsidR="00E24FF3">
        <w:t xml:space="preserve"> growth in the WPI for the utilities industry to forecast annual labour price growth of 0.7 per cent.</w:t>
      </w:r>
    </w:p>
    <w:p w:rsidR="00DF71A4" w:rsidRPr="00DF71A4" w:rsidRDefault="00914142" w:rsidP="00DF71A4">
      <w:pPr>
        <w:pStyle w:val="AERbulletlistfirststyle"/>
      </w:pPr>
      <w:r>
        <w:t>Consistent with our usual approach, w</w:t>
      </w:r>
      <w:r w:rsidR="008D4565">
        <w:t xml:space="preserve">e </w:t>
      </w:r>
      <w:r w:rsidR="003F6C50">
        <w:t xml:space="preserve">have </w:t>
      </w:r>
      <w:r w:rsidR="008D4565">
        <w:t>forecast no real price growth f</w:t>
      </w:r>
      <w:r w:rsidR="008D4565" w:rsidRPr="00E6062C">
        <w:t xml:space="preserve">or non-labour </w:t>
      </w:r>
      <w:r w:rsidR="008D4565">
        <w:t>prices.</w:t>
      </w:r>
      <w:r>
        <w:t xml:space="preserve"> Powerlink also forecast no real price growth for non-labour costs</w:t>
      </w:r>
      <w:r w:rsidR="004A53B8">
        <w:t>.</w:t>
      </w:r>
      <w:r w:rsidR="00F72607">
        <w:t xml:space="preserve"> </w:t>
      </w:r>
    </w:p>
    <w:p w:rsidR="00B94C41" w:rsidRPr="00B94C41" w:rsidRDefault="004175F5" w:rsidP="00987F90">
      <w:pPr>
        <w:pStyle w:val="AERbulletlistfirststyle"/>
      </w:pPr>
      <w:r>
        <w:t xml:space="preserve">We </w:t>
      </w:r>
      <w:r w:rsidR="003F6C50">
        <w:t xml:space="preserve">have </w:t>
      </w:r>
      <w:r>
        <w:t>weight</w:t>
      </w:r>
      <w:r w:rsidR="003F6C50">
        <w:t>ed</w:t>
      </w:r>
      <w:r>
        <w:t xml:space="preserve"> the forecast price growth to account for the proportion of opex that is labour and the proportion that is non-labour.</w:t>
      </w:r>
      <w:r>
        <w:rPr>
          <w:rStyle w:val="FootnoteReference"/>
        </w:rPr>
        <w:footnoteReference w:id="39"/>
      </w:r>
      <w:r w:rsidR="000E5D85" w:rsidRPr="00DF71A4">
        <w:t xml:space="preserve"> </w:t>
      </w:r>
      <w:r w:rsidR="00887BCA">
        <w:t>O</w:t>
      </w:r>
      <w:r w:rsidR="00887BCA" w:rsidRPr="00F72607">
        <w:t>ur labour and non-labour price weights reflect the benchmark efficient mix of labour services and other costs required to provide transmission services</w:t>
      </w:r>
      <w:r w:rsidR="00887BCA">
        <w:t>.</w:t>
      </w:r>
      <w:r w:rsidR="00914142">
        <w:t xml:space="preserve"> Powerlink also adopted these benchmark weights in its revenue proposal.</w:t>
      </w:r>
    </w:p>
    <w:p w:rsidR="00DF71A4" w:rsidRPr="00DF71A4" w:rsidRDefault="00DF71A4" w:rsidP="00DF71A4">
      <w:pPr>
        <w:pStyle w:val="HeadingBoldItalic"/>
      </w:pPr>
      <w:r w:rsidRPr="00DF71A4">
        <w:t>Forecast output</w:t>
      </w:r>
      <w:r w:rsidR="00914142">
        <w:t xml:space="preserve"> growth</w:t>
      </w:r>
    </w:p>
    <w:p w:rsidR="00986C18" w:rsidRDefault="00986C18" w:rsidP="00C679CE">
      <w:r>
        <w:t xml:space="preserve">We have </w:t>
      </w:r>
      <w:r w:rsidR="00914142">
        <w:t>forecast</w:t>
      </w:r>
      <w:r>
        <w:t xml:space="preserve"> average </w:t>
      </w:r>
      <w:r w:rsidR="007E325F">
        <w:t xml:space="preserve">annual </w:t>
      </w:r>
      <w:r>
        <w:t xml:space="preserve">output growth of </w:t>
      </w:r>
      <w:r w:rsidRPr="00C679CE">
        <w:t xml:space="preserve">0.1 </w:t>
      </w:r>
      <w:r>
        <w:t>per cent in our alternative opex forecas</w:t>
      </w:r>
      <w:r w:rsidR="00B94C41">
        <w:t>t by applying</w:t>
      </w:r>
      <w:r w:rsidR="00FC79D9">
        <w:t xml:space="preserve"> our standard approach. </w:t>
      </w:r>
    </w:p>
    <w:p w:rsidR="00986C18" w:rsidRDefault="004175F5" w:rsidP="00C679CE">
      <w:r>
        <w:t>We assume the opex of an efficient provider would reasonably increase with increases in output.</w:t>
      </w:r>
      <w:r w:rsidR="001A1F3B">
        <w:t xml:space="preserve"> </w:t>
      </w:r>
      <w:r w:rsidR="00986C18">
        <w:t>The</w:t>
      </w:r>
      <w:r w:rsidR="00986C18" w:rsidRPr="008D282F">
        <w:t xml:space="preserve"> outputs we </w:t>
      </w:r>
      <w:r w:rsidR="00986C18">
        <w:t>have</w:t>
      </w:r>
      <w:r w:rsidR="00B21F65">
        <w:t xml:space="preserve"> had</w:t>
      </w:r>
      <w:r w:rsidR="00986C18">
        <w:t xml:space="preserve"> regard to</w:t>
      </w:r>
      <w:r w:rsidR="00986C18" w:rsidRPr="008D282F">
        <w:t xml:space="preserve"> are</w:t>
      </w:r>
      <w:r w:rsidR="00874C30">
        <w:t>:</w:t>
      </w:r>
      <w:r w:rsidR="00986C18" w:rsidRPr="008D282F">
        <w:t xml:space="preserve"> circuit line length, maximum demand, energy throughput </w:t>
      </w:r>
      <w:r w:rsidR="00986C18">
        <w:t xml:space="preserve">and </w:t>
      </w:r>
      <w:r w:rsidR="00986C18" w:rsidRPr="008D282F">
        <w:t xml:space="preserve">voltage </w:t>
      </w:r>
      <w:r w:rsidR="0031365E">
        <w:t>weighted</w:t>
      </w:r>
      <w:r w:rsidR="00986C18" w:rsidRPr="008D282F">
        <w:t xml:space="preserve"> entry and exit points</w:t>
      </w:r>
      <w:r w:rsidR="00986C18">
        <w:t>.</w:t>
      </w:r>
      <w:r w:rsidR="00986C18" w:rsidRPr="008D282F">
        <w:t xml:space="preserve"> </w:t>
      </w:r>
    </w:p>
    <w:p w:rsidR="00E84B62" w:rsidRDefault="00AD4DE6" w:rsidP="004175F5">
      <w:r>
        <w:lastRenderedPageBreak/>
        <w:t xml:space="preserve">We </w:t>
      </w:r>
      <w:r w:rsidR="003F6C50">
        <w:t xml:space="preserve">have </w:t>
      </w:r>
      <w:r>
        <w:t>weight</w:t>
      </w:r>
      <w:r w:rsidR="003F6C50">
        <w:t>ed</w:t>
      </w:r>
      <w:r>
        <w:t xml:space="preserve"> the forecast output growth to account for the proportion of opex that is attributable to each of the four measures</w:t>
      </w:r>
      <w:r w:rsidR="004175F5" w:rsidRPr="000D7CA6">
        <w:t>.</w:t>
      </w:r>
      <w:r w:rsidR="004175F5">
        <w:rPr>
          <w:rStyle w:val="FootnoteReference"/>
        </w:rPr>
        <w:footnoteReference w:id="40"/>
      </w:r>
      <w:r w:rsidR="004175F5" w:rsidRPr="000D7CA6">
        <w:t xml:space="preserve"> </w:t>
      </w:r>
      <w:r w:rsidR="004175F5">
        <w:t xml:space="preserve">We </w:t>
      </w:r>
      <w:r w:rsidR="00914142">
        <w:t xml:space="preserve">have </w:t>
      </w:r>
      <w:r w:rsidR="004175F5">
        <w:t>use</w:t>
      </w:r>
      <w:r w:rsidR="00914142">
        <w:t>d</w:t>
      </w:r>
      <w:r w:rsidR="004175F5" w:rsidRPr="003B14FB">
        <w:t xml:space="preserve"> the forecast </w:t>
      </w:r>
      <w:r w:rsidR="009170BE">
        <w:t>energy delivered</w:t>
      </w:r>
      <w:r w:rsidR="009170BE" w:rsidRPr="000D7CA6">
        <w:t>, ratcheted maximum demand</w:t>
      </w:r>
      <w:r w:rsidR="00354442">
        <w:t>,</w:t>
      </w:r>
      <w:r w:rsidR="0031365E">
        <w:rPr>
          <w:rStyle w:val="FootnoteReference"/>
        </w:rPr>
        <w:footnoteReference w:id="41"/>
      </w:r>
      <w:r w:rsidR="009170BE" w:rsidRPr="00E46E23">
        <w:t xml:space="preserve"> </w:t>
      </w:r>
      <w:r w:rsidR="009170BE">
        <w:t xml:space="preserve">entry and exit connections and circuit </w:t>
      </w:r>
      <w:r w:rsidR="009170BE" w:rsidRPr="000D7CA6">
        <w:t>line length</w:t>
      </w:r>
      <w:r w:rsidR="004175F5">
        <w:t xml:space="preserve"> </w:t>
      </w:r>
      <w:r w:rsidR="004175F5" w:rsidRPr="003B14FB">
        <w:t xml:space="preserve">reported by </w:t>
      </w:r>
      <w:r w:rsidR="004175F5">
        <w:t>Powerlink.</w:t>
      </w:r>
      <w:r w:rsidR="004175F5">
        <w:rPr>
          <w:rStyle w:val="FootnoteReference"/>
        </w:rPr>
        <w:footnoteReference w:id="42"/>
      </w:r>
      <w:r w:rsidR="004175F5" w:rsidRPr="003B14FB">
        <w:t xml:space="preserve"> </w:t>
      </w:r>
      <w:r w:rsidR="00C72B34">
        <w:t xml:space="preserve">We consider </w:t>
      </w:r>
      <w:r w:rsidR="00E301F5">
        <w:t>these</w:t>
      </w:r>
      <w:r w:rsidR="00C72B34" w:rsidRPr="00C72B34">
        <w:t xml:space="preserve"> </w:t>
      </w:r>
      <w:r w:rsidR="00C74569">
        <w:t>output measures are</w:t>
      </w:r>
      <w:r w:rsidR="00C72B34" w:rsidRPr="00C72B34">
        <w:t xml:space="preserve"> </w:t>
      </w:r>
      <w:r w:rsidR="00E301F5">
        <w:t xml:space="preserve">reasonable </w:t>
      </w:r>
      <w:r w:rsidR="00E84B62">
        <w:t xml:space="preserve">because </w:t>
      </w:r>
      <w:r w:rsidR="00AC7CEF">
        <w:t xml:space="preserve">they </w:t>
      </w:r>
      <w:r w:rsidR="00E301F5">
        <w:t>assume</w:t>
      </w:r>
      <w:r w:rsidR="00E84B62">
        <w:t>:</w:t>
      </w:r>
      <w:r w:rsidR="00C72B34">
        <w:t xml:space="preserve"> </w:t>
      </w:r>
    </w:p>
    <w:p w:rsidR="00E84B62" w:rsidRDefault="00E84B62" w:rsidP="00E84B62">
      <w:pPr>
        <w:pStyle w:val="AERbulletlistfirststyle"/>
      </w:pPr>
      <w:r w:rsidRPr="00E84B62">
        <w:t>no new en</w:t>
      </w:r>
      <w:r>
        <w:t xml:space="preserve">try and exit points </w:t>
      </w:r>
      <w:r w:rsidR="00867660">
        <w:t>during</w:t>
      </w:r>
      <w:r>
        <w:t xml:space="preserve"> the 2017–</w:t>
      </w:r>
      <w:r w:rsidRPr="00E84B62">
        <w:t>22 regulatory period</w:t>
      </w:r>
    </w:p>
    <w:p w:rsidR="00C72B34" w:rsidRDefault="00E84B62" w:rsidP="00E84B62">
      <w:pPr>
        <w:pStyle w:val="AERbulletlistfirststyle"/>
      </w:pPr>
      <w:proofErr w:type="gramStart"/>
      <w:r w:rsidRPr="00E84B62">
        <w:t>no</w:t>
      </w:r>
      <w:proofErr w:type="gramEnd"/>
      <w:r w:rsidRPr="00E84B62">
        <w:t xml:space="preserve"> increase</w:t>
      </w:r>
      <w:r>
        <w:t xml:space="preserve"> in circuit length </w:t>
      </w:r>
      <w:r w:rsidR="00867660">
        <w:t>during the 2017–</w:t>
      </w:r>
      <w:r w:rsidR="00867660" w:rsidRPr="00E84B62">
        <w:t>22 regulatory period</w:t>
      </w:r>
      <w:r w:rsidR="00867660">
        <w:t xml:space="preserve"> and</w:t>
      </w:r>
      <w:r w:rsidRPr="00E84B62">
        <w:t xml:space="preserve"> </w:t>
      </w:r>
      <w:r w:rsidR="00147500">
        <w:t xml:space="preserve">the forecast is </w:t>
      </w:r>
      <w:r w:rsidRPr="00E84B62">
        <w:t>adjusted to reflect planned line decommissioning</w:t>
      </w:r>
      <w:r>
        <w:t>.</w:t>
      </w:r>
      <w:r w:rsidR="00B164E0">
        <w:rPr>
          <w:rStyle w:val="FootnoteReference"/>
        </w:rPr>
        <w:footnoteReference w:id="43"/>
      </w:r>
    </w:p>
    <w:p w:rsidR="00B94C41" w:rsidRPr="00B94C41" w:rsidRDefault="00B94C41" w:rsidP="00B94C41">
      <w:r>
        <w:t>Powerlink also forecast annual output growth of 0.1 per cent</w:t>
      </w:r>
      <w:r w:rsidR="00920668">
        <w:t xml:space="preserve"> because it adopted our approach to forecasting output growth.</w:t>
      </w:r>
    </w:p>
    <w:p w:rsidR="00DF71A4" w:rsidRPr="00DF71A4" w:rsidRDefault="00DF71A4" w:rsidP="00DF71A4">
      <w:pPr>
        <w:pStyle w:val="HeadingBoldItalic"/>
      </w:pPr>
      <w:r w:rsidRPr="00DF71A4">
        <w:t>Forecast productivity</w:t>
      </w:r>
      <w:r w:rsidR="00914142">
        <w:t xml:space="preserve"> growth</w:t>
      </w:r>
    </w:p>
    <w:p w:rsidR="00A55979" w:rsidRDefault="00A55979" w:rsidP="004175F5">
      <w:r w:rsidRPr="00A55979">
        <w:t xml:space="preserve">The key difference between our </w:t>
      </w:r>
      <w:r w:rsidR="004551BC">
        <w:t xml:space="preserve">alternative </w:t>
      </w:r>
      <w:r w:rsidRPr="00A55979">
        <w:t xml:space="preserve">estimate and Powerlink's forecast is </w:t>
      </w:r>
      <w:r>
        <w:t xml:space="preserve">our </w:t>
      </w:r>
      <w:r w:rsidR="00DE70C1">
        <w:t xml:space="preserve">respective </w:t>
      </w:r>
      <w:r w:rsidRPr="00A55979">
        <w:t>assumptions abou</w:t>
      </w:r>
      <w:r w:rsidR="00684DF5">
        <w:t>t productivity growth over 2017–</w:t>
      </w:r>
      <w:r w:rsidRPr="00A55979">
        <w:t>22.</w:t>
      </w:r>
    </w:p>
    <w:p w:rsidR="004175F5" w:rsidRDefault="009170BE" w:rsidP="004175F5">
      <w:r>
        <w:t xml:space="preserve">We have </w:t>
      </w:r>
      <w:r w:rsidR="00914142">
        <w:t>forecast</w:t>
      </w:r>
      <w:r>
        <w:t xml:space="preserve"> </w:t>
      </w:r>
      <w:r w:rsidR="007E325F">
        <w:t xml:space="preserve">annual </w:t>
      </w:r>
      <w:r>
        <w:t xml:space="preserve">productivity growth of </w:t>
      </w:r>
      <w:r w:rsidR="000A73D6">
        <w:t>0</w:t>
      </w:r>
      <w:r>
        <w:t xml:space="preserve">.2 per cent </w:t>
      </w:r>
      <w:r w:rsidR="00DA3F30">
        <w:t xml:space="preserve">in our alternative </w:t>
      </w:r>
      <w:r w:rsidR="00DE70C1">
        <w:t>estimate</w:t>
      </w:r>
      <w:r>
        <w:t>.</w:t>
      </w:r>
      <w:r w:rsidR="001F6268">
        <w:t xml:space="preserve"> </w:t>
      </w:r>
      <w:r w:rsidR="004175F5">
        <w:t xml:space="preserve">We forecast productivity </w:t>
      </w:r>
      <w:r w:rsidR="00914142">
        <w:t xml:space="preserve">growth </w:t>
      </w:r>
      <w:r w:rsidR="004175F5">
        <w:t xml:space="preserve">based on our expectations of the productivity an efficient service provider in the </w:t>
      </w:r>
      <w:r>
        <w:t>transmission</w:t>
      </w:r>
      <w:r w:rsidR="004175F5">
        <w:t xml:space="preserve"> industry can achieve. We generally consider past performance to be a good indicator of future performance under a business</w:t>
      </w:r>
      <w:r w:rsidR="003D21D5">
        <w:t>-</w:t>
      </w:r>
      <w:r w:rsidR="004175F5">
        <w:t>as</w:t>
      </w:r>
      <w:r w:rsidR="003D21D5">
        <w:t>-</w:t>
      </w:r>
      <w:r w:rsidR="004175F5">
        <w:t xml:space="preserve">usual situation. </w:t>
      </w:r>
    </w:p>
    <w:p w:rsidR="001F6268" w:rsidRDefault="004175F5" w:rsidP="004175F5">
      <w:r>
        <w:t>To reach our best estimate of forecast productivity we have considered the historic</w:t>
      </w:r>
      <w:r w:rsidR="001F6268">
        <w:t>al</w:t>
      </w:r>
      <w:r>
        <w:t xml:space="preserve"> </w:t>
      </w:r>
      <w:r w:rsidR="00914142">
        <w:t>growth</w:t>
      </w:r>
      <w:r>
        <w:t xml:space="preserve"> in </w:t>
      </w:r>
      <w:r w:rsidR="00ED7A81">
        <w:t xml:space="preserve">industry-wide </w:t>
      </w:r>
      <w:r>
        <w:t>productivity and whether this reflects a reasonable expectation of the benchmark productivity that can be achieved for the forecast period.</w:t>
      </w:r>
    </w:p>
    <w:p w:rsidR="001F6268" w:rsidRPr="00CF5538" w:rsidRDefault="001F6268" w:rsidP="004175F5">
      <w:r>
        <w:t xml:space="preserve">To measure historical </w:t>
      </w:r>
      <w:r w:rsidR="00914142">
        <w:t>growth</w:t>
      </w:r>
      <w:r>
        <w:t xml:space="preserve"> in productivity, we have used the electricity transmission industry average opex partial productivity growth ra</w:t>
      </w:r>
      <w:r w:rsidR="000B1AC5">
        <w:t>te from 2006 to 2015 of 0.2 per </w:t>
      </w:r>
      <w:r>
        <w:t xml:space="preserve">cent. We based this figure on analysis undertaken by our consultant, Economic Insights. We consider this reflects a reasonable expectation of the benchmark productivity that can be achieved for the forecast period </w:t>
      </w:r>
      <w:r w:rsidR="00935005">
        <w:t>for the following reasons</w:t>
      </w:r>
      <w:r>
        <w:t>:</w:t>
      </w:r>
    </w:p>
    <w:p w:rsidR="00E31DF0" w:rsidRDefault="00E31DF0" w:rsidP="00E31DF0">
      <w:pPr>
        <w:pStyle w:val="AERbulletlistfirststyle"/>
      </w:pPr>
      <w:r>
        <w:t>Economic Insights</w:t>
      </w:r>
      <w:r w:rsidRPr="00093610">
        <w:t xml:space="preserve"> recommend</w:t>
      </w:r>
      <w:r>
        <w:t>ed</w:t>
      </w:r>
      <w:r w:rsidRPr="00093610">
        <w:t xml:space="preserve"> </w:t>
      </w:r>
      <w:r>
        <w:t>we</w:t>
      </w:r>
      <w:r w:rsidRPr="00093610">
        <w:t xml:space="preserve"> apply </w:t>
      </w:r>
      <w:r>
        <w:t>0.2</w:t>
      </w:r>
      <w:r w:rsidRPr="00093610">
        <w:t xml:space="preserve"> forecast productivity growth </w:t>
      </w:r>
      <w:r w:rsidR="0028242E">
        <w:t xml:space="preserve">for a recent </w:t>
      </w:r>
      <w:r>
        <w:t>transmission determination.</w:t>
      </w:r>
      <w:r>
        <w:rPr>
          <w:rStyle w:val="FootnoteReference"/>
        </w:rPr>
        <w:footnoteReference w:id="44"/>
      </w:r>
      <w:r>
        <w:t xml:space="preserve"> </w:t>
      </w:r>
    </w:p>
    <w:p w:rsidR="004175F5" w:rsidRDefault="00935005" w:rsidP="004175F5">
      <w:pPr>
        <w:pStyle w:val="AERbulletlistfirststyle"/>
      </w:pPr>
      <w:r>
        <w:lastRenderedPageBreak/>
        <w:t>As noted by Economic Insights, opex partial productivity trended up from 2006 to 2013 before falling in 2014 and 2015. There is some evidence that at least part of these recent falls reflect one-off events. We note that Powerlink was a significant contributor to the fall in opex productivity in 2015, with its productivity falling 10 per cent. In its revenue proposal, Powerlink reduced its reported opex in 2015 by 12.6 per cent to allow for non</w:t>
      </w:r>
      <w:r w:rsidR="00147500">
        <w:t>-</w:t>
      </w:r>
      <w:r>
        <w:t xml:space="preserve">recurrent factors as part of the process of forming its base year opex </w:t>
      </w:r>
      <w:proofErr w:type="gramStart"/>
      <w:r>
        <w:t>to forecast</w:t>
      </w:r>
      <w:proofErr w:type="gramEnd"/>
      <w:r>
        <w:t xml:space="preserve"> opex.</w:t>
      </w:r>
      <w:r>
        <w:rPr>
          <w:rStyle w:val="FootnoteReference"/>
        </w:rPr>
        <w:footnoteReference w:id="45"/>
      </w:r>
      <w:r w:rsidR="004175F5" w:rsidRPr="00C025F8">
        <w:t xml:space="preserve"> </w:t>
      </w:r>
    </w:p>
    <w:p w:rsidR="004175F5" w:rsidRDefault="004175F5" w:rsidP="004175F5">
      <w:pPr>
        <w:pStyle w:val="AERbulletlistfirststyle"/>
      </w:pPr>
      <w:r w:rsidRPr="009027E6">
        <w:t xml:space="preserve">Measured productivity for </w:t>
      </w:r>
      <w:r>
        <w:t xml:space="preserve">most </w:t>
      </w:r>
      <w:r w:rsidRPr="009027E6">
        <w:t>electricity transmission and gas distribution industr</w:t>
      </w:r>
      <w:r>
        <w:t>ies are positive for the 2006–14</w:t>
      </w:r>
      <w:r w:rsidRPr="009027E6">
        <w:t xml:space="preserve"> </w:t>
      </w:r>
      <w:proofErr w:type="gramStart"/>
      <w:r w:rsidRPr="009027E6">
        <w:t>period</w:t>
      </w:r>
      <w:proofErr w:type="gramEnd"/>
      <w:r w:rsidRPr="009027E6">
        <w:t xml:space="preserve"> and are forecast to be positive</w:t>
      </w:r>
      <w:r>
        <w:t>.</w:t>
      </w:r>
      <w:r>
        <w:rPr>
          <w:rStyle w:val="FootnoteReference"/>
        </w:rPr>
        <w:footnoteReference w:id="46"/>
      </w:r>
    </w:p>
    <w:p w:rsidR="005953A0" w:rsidRDefault="004175F5" w:rsidP="00DF71A4">
      <w:r>
        <w:t>In comparison to our forecast</w:t>
      </w:r>
      <w:r w:rsidR="00E31DF0">
        <w:t xml:space="preserve"> of 0.2 per cent</w:t>
      </w:r>
      <w:r>
        <w:t xml:space="preserve">, </w:t>
      </w:r>
      <w:r w:rsidR="00EB233B">
        <w:t>Powerlink</w:t>
      </w:r>
      <w:r>
        <w:t xml:space="preserve"> proposed productivity growth </w:t>
      </w:r>
      <w:r w:rsidR="00E31DF0">
        <w:t xml:space="preserve">of 1.2 per cent </w:t>
      </w:r>
      <w:r>
        <w:t>over th</w:t>
      </w:r>
      <w:r w:rsidR="00914142">
        <w:t xml:space="preserve">e regulatory control period. </w:t>
      </w:r>
      <w:r w:rsidR="00B522D1">
        <w:t xml:space="preserve">Powerlink </w:t>
      </w:r>
      <w:r w:rsidR="00914142">
        <w:t>based its</w:t>
      </w:r>
      <w:r>
        <w:t xml:space="preserve"> forecast on efficiencies it identified</w:t>
      </w:r>
      <w:r w:rsidR="00B522D1">
        <w:t xml:space="preserve"> it can achieve</w:t>
      </w:r>
      <w:r>
        <w:t>.</w:t>
      </w:r>
      <w:r w:rsidR="00DF71A4" w:rsidRPr="00DF71A4">
        <w:t xml:space="preserve"> </w:t>
      </w:r>
      <w:r w:rsidR="00A55979">
        <w:t>Powerlink</w:t>
      </w:r>
      <w:r w:rsidR="00AE012B">
        <w:t xml:space="preserve"> stated</w:t>
      </w:r>
      <w:r w:rsidR="00A55979" w:rsidRPr="00A55979">
        <w:t xml:space="preserve"> its forecast productivity gains </w:t>
      </w:r>
      <w:r w:rsidR="00ED7A81">
        <w:t xml:space="preserve">are based on a detailed </w:t>
      </w:r>
      <w:r w:rsidR="00A55979" w:rsidRPr="00A55979">
        <w:t>line-by-line assessment of the potential efficiencies across its opex program.</w:t>
      </w:r>
      <w:r w:rsidR="00A55979">
        <w:rPr>
          <w:rStyle w:val="FootnoteReference"/>
        </w:rPr>
        <w:footnoteReference w:id="47"/>
      </w:r>
      <w:r w:rsidR="0028242E">
        <w:t xml:space="preserve"> </w:t>
      </w:r>
    </w:p>
    <w:p w:rsidR="0064538E" w:rsidRDefault="00EE3D53" w:rsidP="00DF71A4">
      <w:r>
        <w:t xml:space="preserve">In response to </w:t>
      </w:r>
      <w:r w:rsidR="00747EB2">
        <w:t>a subsequent</w:t>
      </w:r>
      <w:r w:rsidR="00A65EB2">
        <w:t xml:space="preserve"> information request</w:t>
      </w:r>
      <w:r>
        <w:t xml:space="preserve">, </w:t>
      </w:r>
      <w:r w:rsidR="0064538E">
        <w:t xml:space="preserve">Powerlink identified </w:t>
      </w:r>
      <w:r w:rsidR="00632F49">
        <w:t xml:space="preserve">the following </w:t>
      </w:r>
      <w:r w:rsidR="0064538E">
        <w:t xml:space="preserve">productivity enhancing initiatives: </w:t>
      </w:r>
    </w:p>
    <w:p w:rsidR="0064538E" w:rsidRDefault="00EE3D53" w:rsidP="006460E0">
      <w:pPr>
        <w:pStyle w:val="AERbulletlistfirststyle"/>
      </w:pPr>
      <w:proofErr w:type="gramStart"/>
      <w:r>
        <w:t>f</w:t>
      </w:r>
      <w:r w:rsidR="0064538E" w:rsidRPr="0064538E">
        <w:t>ield</w:t>
      </w:r>
      <w:proofErr w:type="gramEnd"/>
      <w:r w:rsidR="0064538E" w:rsidRPr="0064538E">
        <w:t xml:space="preserve"> maintenance strategy optimisation</w:t>
      </w:r>
      <w:r w:rsidR="00F23D70">
        <w:t>—</w:t>
      </w:r>
      <w:r w:rsidR="00F23D70" w:rsidRPr="00F23D70">
        <w:t>Powerlink identified productivity savings of approximately $23</w:t>
      </w:r>
      <w:r w:rsidR="00115D0B">
        <w:t xml:space="preserve"> </w:t>
      </w:r>
      <w:r w:rsidR="00F23D70" w:rsidRPr="00F23D70">
        <w:t>m</w:t>
      </w:r>
      <w:r w:rsidR="00115D0B">
        <w:t>illion</w:t>
      </w:r>
      <w:r w:rsidR="00F23D70" w:rsidRPr="00F23D70">
        <w:t xml:space="preserve"> over 201</w:t>
      </w:r>
      <w:r w:rsidR="00F23D70">
        <w:t>7–</w:t>
      </w:r>
      <w:r w:rsidR="00F23D70" w:rsidRPr="00F23D70">
        <w:t xml:space="preserve">22 </w:t>
      </w:r>
      <w:r w:rsidR="00F23D70">
        <w:t>associated with optimising its field maintenance</w:t>
      </w:r>
      <w:r w:rsidR="00F23D70" w:rsidRPr="00F23D70">
        <w:t xml:space="preserve">. </w:t>
      </w:r>
      <w:r w:rsidR="00722EB0">
        <w:t>This</w:t>
      </w:r>
      <w:r w:rsidR="00235CB0">
        <w:t xml:space="preserve"> includes: </w:t>
      </w:r>
    </w:p>
    <w:p w:rsidR="00F23D70" w:rsidRDefault="00722EB0" w:rsidP="006460E0">
      <w:pPr>
        <w:pStyle w:val="AERbulletlistsecondstyle"/>
      </w:pPr>
      <w:r>
        <w:t>o</w:t>
      </w:r>
      <w:r w:rsidRPr="00F23D70">
        <w:t>ptimising</w:t>
      </w:r>
      <w:r w:rsidR="00F23D70" w:rsidRPr="00F23D70">
        <w:t xml:space="preserve"> the scope and frequency of climbing inspections and </w:t>
      </w:r>
      <w:r w:rsidR="00235CB0">
        <w:t>on site</w:t>
      </w:r>
      <w:r w:rsidR="00F23D70" w:rsidRPr="00F23D70">
        <w:t xml:space="preserve"> sampling of insulators, </w:t>
      </w:r>
      <w:r w:rsidR="00632F49">
        <w:t>resulting</w:t>
      </w:r>
      <w:r w:rsidR="00F23D70" w:rsidRPr="00F23D70">
        <w:t xml:space="preserve"> in more targeted inspections o</w:t>
      </w:r>
      <w:r w:rsidR="00235CB0">
        <w:t>f</w:t>
      </w:r>
      <w:r w:rsidR="00F23D70" w:rsidRPr="00F23D70">
        <w:t xml:space="preserve"> high risk assets a</w:t>
      </w:r>
      <w:r>
        <w:t>t more standardised unit prices</w:t>
      </w:r>
    </w:p>
    <w:p w:rsidR="00235CB0" w:rsidRDefault="00722EB0" w:rsidP="006460E0">
      <w:pPr>
        <w:pStyle w:val="AERbulletlistsecondstyle"/>
      </w:pPr>
      <w:proofErr w:type="gramStart"/>
      <w:r>
        <w:t>i</w:t>
      </w:r>
      <w:r w:rsidR="00235CB0">
        <w:t>mproved</w:t>
      </w:r>
      <w:proofErr w:type="gramEnd"/>
      <w:r w:rsidR="00235CB0">
        <w:t xml:space="preserve"> </w:t>
      </w:r>
      <w:r w:rsidR="00235CB0" w:rsidRPr="00235CB0">
        <w:t>land management strategy and implementation practices</w:t>
      </w:r>
      <w:r w:rsidR="00632F49">
        <w:t>.</w:t>
      </w:r>
      <w:r>
        <w:rPr>
          <w:rStyle w:val="FootnoteReference"/>
        </w:rPr>
        <w:footnoteReference w:id="48"/>
      </w:r>
      <w:r w:rsidR="00632F49">
        <w:t xml:space="preserve"> </w:t>
      </w:r>
    </w:p>
    <w:p w:rsidR="0064538E" w:rsidRDefault="00EE3D53" w:rsidP="006460E0">
      <w:pPr>
        <w:pStyle w:val="AERbulletlistfirststyle"/>
      </w:pPr>
      <w:proofErr w:type="gramStart"/>
      <w:r>
        <w:t>t</w:t>
      </w:r>
      <w:r w:rsidR="0064538E" w:rsidRPr="0064538E">
        <w:t>ransmission</w:t>
      </w:r>
      <w:proofErr w:type="gramEnd"/>
      <w:r w:rsidR="0064538E" w:rsidRPr="0064538E">
        <w:t xml:space="preserve"> line maintenance and refurbishment</w:t>
      </w:r>
      <w:r w:rsidR="00F23D70">
        <w:t>—</w:t>
      </w:r>
      <w:r w:rsidR="00632F49">
        <w:t xml:space="preserve">Powerlink forecast $19 million of opex savings related to its capex </w:t>
      </w:r>
      <w:r w:rsidR="00632F49" w:rsidRPr="00632F49">
        <w:t xml:space="preserve">transmission line refit </w:t>
      </w:r>
      <w:r w:rsidR="00A05797">
        <w:t>program.</w:t>
      </w:r>
      <w:r w:rsidR="00722EB0">
        <w:t xml:space="preserve"> Powerlink noted this program would </w:t>
      </w:r>
      <w:r w:rsidR="00722EB0" w:rsidRPr="00722EB0">
        <w:t>avoid planned condition-based maintenance and refurbishment expenditure (such as structural upgrades, insulator and line hardware replacement).</w:t>
      </w:r>
      <w:r w:rsidR="00722EB0">
        <w:rPr>
          <w:rStyle w:val="FootnoteReference"/>
        </w:rPr>
        <w:footnoteReference w:id="49"/>
      </w:r>
    </w:p>
    <w:p w:rsidR="0064538E" w:rsidRDefault="00EE3D53" w:rsidP="006460E0">
      <w:pPr>
        <w:pStyle w:val="AERbulletlistfirststyle"/>
      </w:pPr>
      <w:proofErr w:type="gramStart"/>
      <w:r>
        <w:t>i</w:t>
      </w:r>
      <w:r w:rsidR="0064538E">
        <w:t>ncreased</w:t>
      </w:r>
      <w:proofErr w:type="gramEnd"/>
      <w:r w:rsidR="0064538E" w:rsidRPr="0064538E">
        <w:t xml:space="preserve"> efficiency of support functions</w:t>
      </w:r>
      <w:r w:rsidR="00F23D70">
        <w:t xml:space="preserve">—Powerlink identified $9 million </w:t>
      </w:r>
      <w:r w:rsidR="00147500">
        <w:t xml:space="preserve">of </w:t>
      </w:r>
      <w:r w:rsidR="00F23D70">
        <w:t xml:space="preserve">productivity enhancing initiatives associated with </w:t>
      </w:r>
      <w:r w:rsidR="00722EB0">
        <w:t>the restructure and redundancies it made</w:t>
      </w:r>
      <w:r w:rsidR="00F23D70">
        <w:t xml:space="preserve"> in the current regulatory period. </w:t>
      </w:r>
      <w:r w:rsidR="00F23D70" w:rsidRPr="00F23D70">
        <w:t xml:space="preserve">These initiatives </w:t>
      </w:r>
      <w:r w:rsidR="00722EB0">
        <w:t xml:space="preserve">reduce overhead costs and </w:t>
      </w:r>
      <w:r w:rsidR="00F23D70" w:rsidRPr="00F23D70">
        <w:t>involve direct consolidation of support team structures including human resources, stakeholder relatio</w:t>
      </w:r>
      <w:r w:rsidR="00F23D70">
        <w:t>ns and administration functions.</w:t>
      </w:r>
      <w:r w:rsidR="00722EB0">
        <w:rPr>
          <w:rStyle w:val="FootnoteReference"/>
        </w:rPr>
        <w:footnoteReference w:id="50"/>
      </w:r>
      <w:r w:rsidR="00F23D70">
        <w:t xml:space="preserve"> </w:t>
      </w:r>
    </w:p>
    <w:p w:rsidR="00DF71A4" w:rsidRPr="00DF71A4" w:rsidRDefault="00914142" w:rsidP="00DF71A4">
      <w:pPr>
        <w:pStyle w:val="Heading3"/>
      </w:pPr>
      <w:bookmarkStart w:id="86" w:name="_Toc462752403"/>
      <w:r>
        <w:lastRenderedPageBreak/>
        <w:t>Step changes and category specific forecasts</w:t>
      </w:r>
      <w:bookmarkEnd w:id="86"/>
    </w:p>
    <w:p w:rsidR="00DF71A4" w:rsidRDefault="00B522D1" w:rsidP="00DF71A4">
      <w:r>
        <w:t xml:space="preserve">The next stage of our assessment is to </w:t>
      </w:r>
      <w:r w:rsidR="004175F5">
        <w:t>add or subtract any other opex components that would not be captured in base opex or the rate of change, such as step changes</w:t>
      </w:r>
      <w:r w:rsidR="00B94C41">
        <w:t xml:space="preserve"> and category specific forecasts</w:t>
      </w:r>
      <w:r w:rsidR="004175F5">
        <w:t>.</w:t>
      </w:r>
      <w:r w:rsidR="00DF71A4" w:rsidRPr="00DF71A4">
        <w:t xml:space="preserve"> </w:t>
      </w:r>
    </w:p>
    <w:p w:rsidR="00DF71A4" w:rsidRPr="00DF71A4" w:rsidRDefault="00DF71A4" w:rsidP="00DF71A4">
      <w:pPr>
        <w:pStyle w:val="HeadingBoldItalic"/>
      </w:pPr>
      <w:r w:rsidRPr="00DF71A4">
        <w:t>Step changes</w:t>
      </w:r>
    </w:p>
    <w:p w:rsidR="000A73D6" w:rsidRDefault="000A73D6" w:rsidP="000A73D6">
      <w:r>
        <w:t>We have not included any step changes in our alternative opex forecast.</w:t>
      </w:r>
    </w:p>
    <w:p w:rsidR="00874C30" w:rsidRDefault="000D0E6B" w:rsidP="00511BAF">
      <w:r w:rsidRPr="0071796A">
        <w:t xml:space="preserve">Powerlink </w:t>
      </w:r>
      <w:r>
        <w:t>did</w:t>
      </w:r>
      <w:r w:rsidRPr="0071796A">
        <w:t xml:space="preserve"> not include any step changes</w:t>
      </w:r>
      <w:r>
        <w:t xml:space="preserve"> in its proposal</w:t>
      </w:r>
      <w:r w:rsidRPr="0071796A">
        <w:t xml:space="preserve">. </w:t>
      </w:r>
      <w:r w:rsidR="000A73D6">
        <w:t>It</w:t>
      </w:r>
      <w:r w:rsidRPr="0071796A">
        <w:t xml:space="preserve"> </w:t>
      </w:r>
      <w:r w:rsidRPr="00382821">
        <w:t xml:space="preserve">identified </w:t>
      </w:r>
      <w:r w:rsidR="000A73D6">
        <w:t xml:space="preserve">some </w:t>
      </w:r>
      <w:r w:rsidRPr="00382821">
        <w:t xml:space="preserve">legislative changes </w:t>
      </w:r>
      <w:r w:rsidR="000A73D6">
        <w:t xml:space="preserve">it stated </w:t>
      </w:r>
      <w:r w:rsidRPr="00382821">
        <w:t>could impact its costs</w:t>
      </w:r>
      <w:r>
        <w:t>,</w:t>
      </w:r>
      <w:r w:rsidRPr="0071796A">
        <w:t xml:space="preserve"> </w:t>
      </w:r>
      <w:r>
        <w:t>h</w:t>
      </w:r>
      <w:r w:rsidRPr="0071796A">
        <w:t xml:space="preserve">owever, </w:t>
      </w:r>
      <w:r>
        <w:t xml:space="preserve">it </w:t>
      </w:r>
      <w:r w:rsidRPr="0071796A">
        <w:t>propose</w:t>
      </w:r>
      <w:r>
        <w:t>d</w:t>
      </w:r>
      <w:r w:rsidRPr="0071796A">
        <w:t xml:space="preserve"> to manage these costs within forecast total opex.</w:t>
      </w:r>
      <w:r w:rsidR="000A73D6">
        <w:rPr>
          <w:rStyle w:val="FootnoteReference"/>
        </w:rPr>
        <w:footnoteReference w:id="51"/>
      </w:r>
      <w:r w:rsidRPr="0071796A">
        <w:t xml:space="preserve"> </w:t>
      </w:r>
    </w:p>
    <w:p w:rsidR="000D0E6B" w:rsidRPr="00382821" w:rsidRDefault="00914142" w:rsidP="00511BAF">
      <w:r>
        <w:t xml:space="preserve">We are satisfied </w:t>
      </w:r>
      <w:r w:rsidR="00B94C41">
        <w:t xml:space="preserve">we do not need to </w:t>
      </w:r>
      <w:r w:rsidR="00740871">
        <w:t>include step</w:t>
      </w:r>
      <w:r>
        <w:t xml:space="preserve"> changes </w:t>
      </w:r>
      <w:r w:rsidR="00B94C41">
        <w:t>in our</w:t>
      </w:r>
      <w:r>
        <w:t xml:space="preserve"> </w:t>
      </w:r>
      <w:r w:rsidR="00B94C41">
        <w:t>alternative opex forecast.</w:t>
      </w:r>
      <w:r>
        <w:t xml:space="preserve"> </w:t>
      </w:r>
    </w:p>
    <w:p w:rsidR="00DF71A4" w:rsidRPr="00DF71A4" w:rsidRDefault="00914142" w:rsidP="00DF71A4">
      <w:pPr>
        <w:pStyle w:val="HeadingBoldItalic"/>
      </w:pPr>
      <w:r>
        <w:t>Category specific forecasts</w:t>
      </w:r>
      <w:r w:rsidR="00DF71A4" w:rsidRPr="00DF71A4">
        <w:t xml:space="preserve"> </w:t>
      </w:r>
    </w:p>
    <w:p w:rsidR="00874C30" w:rsidRDefault="00874C30" w:rsidP="00874C30">
      <w:r>
        <w:t xml:space="preserve">We have included </w:t>
      </w:r>
      <w:r w:rsidR="00946937">
        <w:t>two</w:t>
      </w:r>
      <w:r>
        <w:t xml:space="preserve"> expenditure items in our opex forecast outside of the base-step-trend approach. These </w:t>
      </w:r>
      <w:r w:rsidR="00147500">
        <w:t xml:space="preserve">are </w:t>
      </w:r>
      <w:r>
        <w:t>debt raising costs</w:t>
      </w:r>
      <w:r w:rsidR="002F0D86">
        <w:t xml:space="preserve"> </w:t>
      </w:r>
      <w:r>
        <w:t xml:space="preserve">and network support costs. </w:t>
      </w:r>
      <w:r>
        <w:rPr>
          <w:rStyle w:val="AERbody"/>
        </w:rPr>
        <w:t>We have</w:t>
      </w:r>
      <w:r w:rsidRPr="004604DC">
        <w:rPr>
          <w:rStyle w:val="AERbody"/>
        </w:rPr>
        <w:t xml:space="preserve"> not include</w:t>
      </w:r>
      <w:r>
        <w:rPr>
          <w:rStyle w:val="AERbody"/>
        </w:rPr>
        <w:t>d</w:t>
      </w:r>
      <w:r w:rsidRPr="004604DC">
        <w:rPr>
          <w:rStyle w:val="AERbody"/>
        </w:rPr>
        <w:t xml:space="preserve"> a category-specific forecast for self-insurance</w:t>
      </w:r>
      <w:r w:rsidR="00946937">
        <w:rPr>
          <w:rStyle w:val="AERbody"/>
        </w:rPr>
        <w:t xml:space="preserve"> or the AEMC levy</w:t>
      </w:r>
      <w:r>
        <w:rPr>
          <w:rStyle w:val="AERbody"/>
        </w:rPr>
        <w:t>, as proposed by Powerlink.</w:t>
      </w:r>
    </w:p>
    <w:p w:rsidR="004175F5" w:rsidRDefault="004175F5" w:rsidP="004175F5">
      <w:pPr>
        <w:pStyle w:val="HeadingOrange"/>
      </w:pPr>
      <w:r>
        <w:t>Debt raising costs</w:t>
      </w:r>
    </w:p>
    <w:p w:rsidR="004175F5" w:rsidRDefault="004175F5" w:rsidP="004175F5">
      <w:pPr>
        <w:rPr>
          <w:rStyle w:val="AERbody"/>
        </w:rPr>
      </w:pPr>
      <w:r w:rsidRPr="00E33D24">
        <w:t xml:space="preserve">Debt raising costs are transaction costs incurred each time debt is raised or refinanced. </w:t>
      </w:r>
      <w:r w:rsidR="00874C30">
        <w:t xml:space="preserve">Our </w:t>
      </w:r>
      <w:r w:rsidRPr="00E33D24">
        <w:t xml:space="preserve">standard forecasting approach for </w:t>
      </w:r>
      <w:r>
        <w:t>these costs</w:t>
      </w:r>
      <w:r w:rsidRPr="00E33D24">
        <w:t xml:space="preserve"> sets the forecast equal to the costs incurred by a benchmark firm. Our assessment approach and the reasons for those forecasts are set out in the debt and equity raising costs appendix i</w:t>
      </w:r>
      <w:r>
        <w:t>n the rate of return attachment.</w:t>
      </w:r>
    </w:p>
    <w:p w:rsidR="004175F5" w:rsidRDefault="00EB233B" w:rsidP="004175F5">
      <w:pPr>
        <w:rPr>
          <w:rStyle w:val="AERbody"/>
        </w:rPr>
      </w:pPr>
      <w:r>
        <w:rPr>
          <w:rStyle w:val="AERbody"/>
        </w:rPr>
        <w:t>Powerlink</w:t>
      </w:r>
      <w:r w:rsidR="004175F5" w:rsidRPr="005269FB">
        <w:rPr>
          <w:rStyle w:val="AERbody"/>
        </w:rPr>
        <w:t xml:space="preserve"> </w:t>
      </w:r>
      <w:r w:rsidR="004175F5">
        <w:rPr>
          <w:rStyle w:val="AERbody"/>
        </w:rPr>
        <w:t>forecast</w:t>
      </w:r>
      <w:r w:rsidR="004175F5" w:rsidRPr="005269FB">
        <w:rPr>
          <w:rStyle w:val="AERbody"/>
        </w:rPr>
        <w:t xml:space="preserve"> </w:t>
      </w:r>
      <w:r w:rsidR="004175F5">
        <w:rPr>
          <w:rStyle w:val="AERbody"/>
        </w:rPr>
        <w:t xml:space="preserve">debt raising costs </w:t>
      </w:r>
      <w:r w:rsidR="003F6C50">
        <w:rPr>
          <w:rStyle w:val="AERbody"/>
        </w:rPr>
        <w:t xml:space="preserve">using a forecasting approach </w:t>
      </w:r>
      <w:r w:rsidR="004175F5">
        <w:rPr>
          <w:rStyle w:val="AERbody"/>
        </w:rPr>
        <w:t>consistent with our</w:t>
      </w:r>
      <w:r w:rsidR="003F6C50">
        <w:rPr>
          <w:rStyle w:val="AERbody"/>
        </w:rPr>
        <w:t>s</w:t>
      </w:r>
      <w:r w:rsidR="004175F5">
        <w:rPr>
          <w:rStyle w:val="AERbody"/>
        </w:rPr>
        <w:t>.</w:t>
      </w:r>
      <w:r w:rsidR="004175F5">
        <w:rPr>
          <w:rStyle w:val="FootnoteReference"/>
        </w:rPr>
        <w:footnoteReference w:id="52"/>
      </w:r>
    </w:p>
    <w:p w:rsidR="00FD0394" w:rsidRDefault="00FD0394" w:rsidP="00FD0394">
      <w:pPr>
        <w:pStyle w:val="HeadingOrange"/>
        <w:rPr>
          <w:rStyle w:val="AERbody"/>
        </w:rPr>
      </w:pPr>
      <w:r>
        <w:rPr>
          <w:rStyle w:val="AERbody"/>
        </w:rPr>
        <w:t>Network support costs</w:t>
      </w:r>
    </w:p>
    <w:p w:rsidR="00FD0394" w:rsidRDefault="008A3D69" w:rsidP="004175F5">
      <w:pPr>
        <w:rPr>
          <w:rStyle w:val="AERbody"/>
        </w:rPr>
      </w:pPr>
      <w:r>
        <w:rPr>
          <w:rStyle w:val="AERbody"/>
        </w:rPr>
        <w:t>We have forecast zero network support costs</w:t>
      </w:r>
      <w:r w:rsidR="003F6C50">
        <w:rPr>
          <w:rStyle w:val="AERbody"/>
        </w:rPr>
        <w:t>,</w:t>
      </w:r>
      <w:r w:rsidR="001678A4">
        <w:rPr>
          <w:rStyle w:val="AERbody"/>
        </w:rPr>
        <w:t xml:space="preserve"> consistent with Powerlink's proposal</w:t>
      </w:r>
      <w:r>
        <w:rPr>
          <w:rStyle w:val="AERbody"/>
        </w:rPr>
        <w:t>.</w:t>
      </w:r>
    </w:p>
    <w:p w:rsidR="004175F5" w:rsidRDefault="00602FA2" w:rsidP="004175F5">
      <w:pPr>
        <w:pStyle w:val="HeadingOrange"/>
      </w:pPr>
      <w:r>
        <w:t>Insurance and s</w:t>
      </w:r>
      <w:r w:rsidR="004175F5">
        <w:t>elf-insurance</w:t>
      </w:r>
    </w:p>
    <w:p w:rsidR="00B7449C" w:rsidRDefault="00B7449C" w:rsidP="00B7449C">
      <w:pPr>
        <w:rPr>
          <w:rStyle w:val="AERbody"/>
        </w:rPr>
      </w:pPr>
      <w:r>
        <w:t xml:space="preserve">Powerlink did not include insurance or self-insurance in its base-step-trend forecast of total opex. Rather, it removed those costs from the base year and included a category specific forecast of $39.7 million ($2016–17) for insurance and </w:t>
      </w:r>
      <w:r w:rsidRPr="0064073A">
        <w:t>$</w:t>
      </w:r>
      <w:r>
        <w:t>7.4</w:t>
      </w:r>
      <w:r w:rsidRPr="0064073A">
        <w:t xml:space="preserve"> million </w:t>
      </w:r>
      <w:r>
        <w:t xml:space="preserve">for </w:t>
      </w:r>
      <w:r w:rsidRPr="0064073A">
        <w:t>self-insurance</w:t>
      </w:r>
      <w:r>
        <w:t xml:space="preserve">. </w:t>
      </w:r>
      <w:r>
        <w:rPr>
          <w:rStyle w:val="AERbody"/>
        </w:rPr>
        <w:t xml:space="preserve">Adopting this approach </w:t>
      </w:r>
      <w:r w:rsidR="001678A4">
        <w:rPr>
          <w:rStyle w:val="AERbody"/>
        </w:rPr>
        <w:t xml:space="preserve">rather than using a base-step-trend approach </w:t>
      </w:r>
      <w:r>
        <w:rPr>
          <w:rStyle w:val="AERbody"/>
        </w:rPr>
        <w:t>increased its opex forecast by $4.2 million over the five year period.</w:t>
      </w:r>
    </w:p>
    <w:p w:rsidR="00B7449C" w:rsidRDefault="00B7449C" w:rsidP="00B7449C">
      <w:pPr>
        <w:rPr>
          <w:rStyle w:val="AERbody"/>
        </w:rPr>
      </w:pPr>
      <w:r>
        <w:rPr>
          <w:rStyle w:val="AERbody"/>
        </w:rPr>
        <w:lastRenderedPageBreak/>
        <w:t xml:space="preserve">Consistent with recent determinations, we have left insurance and self-insurance in Powerlink's reported opex for the base year and applied a base-step-trend approach. </w:t>
      </w:r>
    </w:p>
    <w:p w:rsidR="00B7449C" w:rsidRDefault="00B7449C" w:rsidP="00B7449C">
      <w:r>
        <w:t>We make our assessment about total forecast opex and not about particular categories or projects in the opex forecast. Expenditure for some categories will be higher relative to the base year while other categories will be lower relative to the base year.</w:t>
      </w:r>
      <w:r>
        <w:rPr>
          <w:rStyle w:val="AERbody"/>
        </w:rPr>
        <w:t xml:space="preserve"> </w:t>
      </w:r>
      <w:r>
        <w:t xml:space="preserve">We expect these variations </w:t>
      </w:r>
      <w:r w:rsidR="00F526E4">
        <w:t xml:space="preserve">to </w:t>
      </w:r>
      <w:r>
        <w:t xml:space="preserve">offset each other so that total opex is relatively stable over time. </w:t>
      </w:r>
    </w:p>
    <w:p w:rsidR="00B7449C" w:rsidRDefault="00B7449C" w:rsidP="00B7449C">
      <w:r>
        <w:t>Using a category specific forecasting method may produce a more accurate forecast of a particular opex category in isolation. However, information asymmetries make it difficult for us to identify all offsetting costs. The network businesses have an incentive to identify cost categories that are forecast to be higher than the base year. Powerlink's proposal to include separate cost categories for insurance and self-insurance potentially creates a bias in the forecast.</w:t>
      </w:r>
    </w:p>
    <w:p w:rsidR="00B7449C" w:rsidRDefault="00B7449C" w:rsidP="00B7449C">
      <w:r>
        <w:t>We consider</w:t>
      </w:r>
      <w:r w:rsidRPr="00253C87">
        <w:t xml:space="preserve"> </w:t>
      </w:r>
      <w:r>
        <w:t xml:space="preserve">our 'top-down model' produces a total opex forecast that meets the requirements of the </w:t>
      </w:r>
      <w:r w:rsidR="00D064D0">
        <w:t>National electricity r</w:t>
      </w:r>
      <w:r>
        <w:t xml:space="preserve">ules </w:t>
      </w:r>
      <w:r w:rsidR="00D064D0">
        <w:t xml:space="preserve">(NER) </w:t>
      </w:r>
      <w:r>
        <w:t xml:space="preserve">and, moreover, is in the long term interests of consumers. It allows us to leave the day-to-day decisions to the businesses and is consistent with an economic, incentive-based regulatory framework. </w:t>
      </w:r>
      <w:r w:rsidDel="00055555">
        <w:t xml:space="preserve"> </w:t>
      </w:r>
    </w:p>
    <w:p w:rsidR="00DF71A4" w:rsidRDefault="00B7449C" w:rsidP="00B7449C">
      <w:pPr>
        <w:rPr>
          <w:rStyle w:val="AERbody"/>
        </w:rPr>
      </w:pPr>
      <w:r>
        <w:rPr>
          <w:rStyle w:val="AERbody"/>
        </w:rPr>
        <w:t>A more detailed explanation of our forecasting approach and why we do not include a category specific forecast for self-insurance can be found in our recent determination for AusNet Services Distribution.</w:t>
      </w:r>
      <w:r>
        <w:rPr>
          <w:rStyle w:val="FootnoteReference"/>
        </w:rPr>
        <w:footnoteReference w:id="53"/>
      </w:r>
      <w:r>
        <w:rPr>
          <w:rStyle w:val="AERbody"/>
        </w:rPr>
        <w:t xml:space="preserve"> </w:t>
      </w:r>
    </w:p>
    <w:p w:rsidR="004D19F5" w:rsidRPr="004D19F5" w:rsidRDefault="005015BB" w:rsidP="004D19F5">
      <w:pPr>
        <w:pStyle w:val="Heading3"/>
      </w:pPr>
      <w:bookmarkStart w:id="87" w:name="_Toc462752404"/>
      <w:r>
        <w:t>S</w:t>
      </w:r>
      <w:r w:rsidR="004D19F5" w:rsidRPr="004D19F5">
        <w:t>afety and reliability</w:t>
      </w:r>
      <w:bookmarkEnd w:id="87"/>
      <w:r w:rsidR="004D19F5" w:rsidRPr="004D19F5">
        <w:t xml:space="preserve"> </w:t>
      </w:r>
    </w:p>
    <w:p w:rsidR="004D19F5" w:rsidRPr="004D19F5" w:rsidRDefault="004D19F5" w:rsidP="004D19F5">
      <w:r w:rsidRPr="004D19F5">
        <w:t xml:space="preserve">Under the </w:t>
      </w:r>
      <w:r w:rsidR="00D064D0">
        <w:t>NER</w:t>
      </w:r>
      <w:r w:rsidRPr="004D19F5">
        <w:t xml:space="preserve">, </w:t>
      </w:r>
      <w:r w:rsidR="003814E6">
        <w:t>w</w:t>
      </w:r>
      <w:r w:rsidR="00100570">
        <w:t>e</w:t>
      </w:r>
      <w:r w:rsidRPr="004D19F5">
        <w:t xml:space="preserve"> must assess the amount of forecast opex that is required to achieve the opex objectives, which include quality, reliability, security and safety considerations. We have considered whether there are safety and reliability risks if Powerlink cannot achieve the proposed opex productivity gains. </w:t>
      </w:r>
    </w:p>
    <w:p w:rsidR="004D19F5" w:rsidRPr="004D19F5" w:rsidRDefault="004D19F5" w:rsidP="004D19F5">
      <w:r w:rsidRPr="004D19F5">
        <w:t xml:space="preserve">We consider that our </w:t>
      </w:r>
      <w:r w:rsidR="001A2100">
        <w:t xml:space="preserve">draft </w:t>
      </w:r>
      <w:r w:rsidRPr="004D19F5">
        <w:t>decision to accept Powerlink's proposal appropriately accounts for safety and reliability obligations because:</w:t>
      </w:r>
    </w:p>
    <w:p w:rsidR="004D19F5" w:rsidRPr="004D19F5" w:rsidRDefault="004D19F5" w:rsidP="004D19F5">
      <w:pPr>
        <w:pStyle w:val="AERbulletlistfirststyle"/>
      </w:pPr>
      <w:r w:rsidRPr="004D19F5">
        <w:t xml:space="preserve">Powerlink </w:t>
      </w:r>
      <w:r w:rsidR="00350290">
        <w:t xml:space="preserve">was able to </w:t>
      </w:r>
      <w:r w:rsidRPr="004D19F5">
        <w:t>m</w:t>
      </w:r>
      <w:r w:rsidR="00350290">
        <w:t>e</w:t>
      </w:r>
      <w:r w:rsidRPr="004D19F5">
        <w:t>et its safety and reliability obligations in the previous regulatory period</w:t>
      </w:r>
      <w:r w:rsidR="004218C8">
        <w:t>, including in 2013-14 when Powerlink's opex was at levels similar</w:t>
      </w:r>
      <w:r w:rsidR="00857B84">
        <w:t xml:space="preserve"> to what it forecast for the 2017</w:t>
      </w:r>
      <w:r w:rsidR="00704AD1" w:rsidRPr="006B6B78">
        <w:t>–</w:t>
      </w:r>
      <w:r w:rsidR="00857B84">
        <w:t>22 period (see figure 7.1).</w:t>
      </w:r>
    </w:p>
    <w:p w:rsidR="004D19F5" w:rsidRPr="004D19F5" w:rsidRDefault="004D19F5" w:rsidP="004D19F5">
      <w:pPr>
        <w:pStyle w:val="AERbulletlistfirststyle"/>
      </w:pPr>
      <w:r w:rsidRPr="004D19F5">
        <w:t xml:space="preserve">our </w:t>
      </w:r>
      <w:r w:rsidR="001A2100">
        <w:t xml:space="preserve">draft </w:t>
      </w:r>
      <w:r w:rsidRPr="004D19F5">
        <w:t xml:space="preserve">decision sets the revenue Powerlink can recover from consumers, but it does not direct or constrain the quantum or allocation of </w:t>
      </w:r>
      <w:r w:rsidR="00B21F65">
        <w:t>the</w:t>
      </w:r>
      <w:r w:rsidRPr="004D19F5">
        <w:t xml:space="preserve"> business' spending</w:t>
      </w:r>
      <w:r w:rsidRPr="004D19F5">
        <w:rPr>
          <w:rStyle w:val="FootnoteReference"/>
        </w:rPr>
        <w:footnoteReference w:id="54"/>
      </w:r>
    </w:p>
    <w:p w:rsidR="004D19F5" w:rsidRPr="004D19F5" w:rsidRDefault="004D19F5" w:rsidP="004D19F5">
      <w:pPr>
        <w:pStyle w:val="AERbulletlistfirststyle"/>
      </w:pPr>
      <w:r w:rsidRPr="004D19F5">
        <w:lastRenderedPageBreak/>
        <w:t>the enforcement of safety regulations is not determined by the quantum of regulatory revenue</w:t>
      </w:r>
    </w:p>
    <w:p w:rsidR="008A2324" w:rsidRPr="008A2324" w:rsidRDefault="005015BB" w:rsidP="005015BB">
      <w:pPr>
        <w:pStyle w:val="AERbulletlistfirststyle"/>
      </w:pPr>
      <w:r w:rsidRPr="005015BB">
        <w:t xml:space="preserve">the Service Target Performance Incentive, which applies to </w:t>
      </w:r>
      <w:r>
        <w:t>Powerlink</w:t>
      </w:r>
      <w:r w:rsidRPr="005015BB">
        <w:t>, balances the business' incentive to reduce expenditure with the need to maintain or improve service quality—it achieves this by providing financial incentives to maintain and improve service performance where customers are willing to pay for these improvements</w:t>
      </w:r>
    </w:p>
    <w:p w:rsidR="008A2324" w:rsidRPr="008A2324" w:rsidRDefault="008A2324" w:rsidP="008A2324">
      <w:pPr>
        <w:pStyle w:val="AERbulletlistfirststyle"/>
      </w:pPr>
      <w:r w:rsidRPr="008A2324">
        <w:t>Powerlink must comply with jurisdictional reliability and safety standards</w:t>
      </w:r>
      <w:r w:rsidR="005015BB">
        <w:t>—i</w:t>
      </w:r>
      <w:r w:rsidRPr="008A2324">
        <w:t>t is subject to regulatory obligations as the holder of a Transmission Authority under the Electricity Act 1994 (Qld) and as a registered TNSP in the NEM</w:t>
      </w:r>
    </w:p>
    <w:p w:rsidR="004D19F5" w:rsidRPr="004D19F5" w:rsidRDefault="008A2324" w:rsidP="008A2324">
      <w:pPr>
        <w:pStyle w:val="AERbulletlistfirststyle"/>
      </w:pPr>
      <w:r w:rsidRPr="008A2324">
        <w:t>Powerlink state</w:t>
      </w:r>
      <w:r w:rsidR="000B30A8">
        <w:t>d</w:t>
      </w:r>
      <w:r w:rsidRPr="008A2324">
        <w:t xml:space="preserve"> its compliance with these regulatory obligations and requirements is a key component of its Asset management framework.</w:t>
      </w:r>
      <w:r>
        <w:rPr>
          <w:rStyle w:val="FootnoteReference"/>
        </w:rPr>
        <w:footnoteReference w:id="55"/>
      </w:r>
    </w:p>
    <w:p w:rsidR="004D19F5" w:rsidRPr="004D19F5" w:rsidRDefault="004D19F5" w:rsidP="004D19F5">
      <w:r w:rsidRPr="004D19F5">
        <w:t>If Powerlink cannot achieve the proposed opex productivity gains, it may incur costs above what we consider are efficient levels—as identified by Powerlink itself.</w:t>
      </w:r>
      <w:r w:rsidR="001C51B2">
        <w:t xml:space="preserve"> </w:t>
      </w:r>
      <w:r w:rsidR="00A65EB2">
        <w:t>We have considered the supporting information Powerlink has put forward and w</w:t>
      </w:r>
      <w:r w:rsidR="001C51B2" w:rsidRPr="001C51B2">
        <w:t xml:space="preserve">e accept </w:t>
      </w:r>
      <w:r w:rsidR="001C51B2">
        <w:t xml:space="preserve">Powerlink's </w:t>
      </w:r>
      <w:r w:rsidR="001C51B2" w:rsidRPr="001C51B2">
        <w:t xml:space="preserve">judgement that it will be able to meet its forecast productivity improvements. </w:t>
      </w:r>
      <w:r w:rsidRPr="004D19F5">
        <w:t xml:space="preserve"> </w:t>
      </w:r>
    </w:p>
    <w:p w:rsidR="00EB233B" w:rsidRPr="00E33D24" w:rsidRDefault="00EB233B" w:rsidP="00EB233B">
      <w:pPr>
        <w:pStyle w:val="Heading3"/>
      </w:pPr>
      <w:bookmarkStart w:id="88" w:name="_Toc456621531"/>
      <w:bookmarkStart w:id="89" w:name="_Toc462752405"/>
      <w:r w:rsidRPr="00E33D24">
        <w:t>Interrelationships</w:t>
      </w:r>
      <w:bookmarkEnd w:id="88"/>
      <w:bookmarkEnd w:id="89"/>
    </w:p>
    <w:p w:rsidR="00EB233B" w:rsidRPr="00E33D24" w:rsidRDefault="00EB233B" w:rsidP="00EB233B">
      <w:r w:rsidRPr="00E33D24">
        <w:t xml:space="preserve">In assessing </w:t>
      </w:r>
      <w:r>
        <w:t>Powerlink</w:t>
      </w:r>
      <w:r w:rsidR="00DF6019">
        <w:t>'</w:t>
      </w:r>
      <w:r w:rsidRPr="00E33D24">
        <w:t xml:space="preserve">s total forecast opex we took into account other components of its </w:t>
      </w:r>
      <w:r w:rsidR="00C65FB2">
        <w:t>revenue proposal</w:t>
      </w:r>
      <w:r w:rsidRPr="00E33D24">
        <w:t xml:space="preserve">, including: </w:t>
      </w:r>
    </w:p>
    <w:p w:rsidR="00EB233B" w:rsidRPr="00E33D24" w:rsidRDefault="00EB233B" w:rsidP="00EB233B">
      <w:pPr>
        <w:pStyle w:val="AERbulletlistfirststyle"/>
      </w:pPr>
      <w:r w:rsidRPr="00E33D24">
        <w:t>the o</w:t>
      </w:r>
      <w:r>
        <w:t>peration of the EBSS in the 2012–17</w:t>
      </w:r>
      <w:r w:rsidRPr="00E33D24">
        <w:t xml:space="preserve"> regulatory control period, which provided </w:t>
      </w:r>
      <w:r>
        <w:t>Powerlink</w:t>
      </w:r>
      <w:r w:rsidRPr="00E33D24">
        <w:t xml:space="preserve"> an incentive to reduce opex in the 2014</w:t>
      </w:r>
      <w:r>
        <w:t>–15</w:t>
      </w:r>
      <w:r w:rsidRPr="00E33D24">
        <w:t xml:space="preserve"> base year </w:t>
      </w:r>
    </w:p>
    <w:p w:rsidR="00EB233B" w:rsidRPr="00E33D24" w:rsidRDefault="00EB233B" w:rsidP="00EB233B">
      <w:pPr>
        <w:pStyle w:val="AERbulletlistfirststyle"/>
      </w:pPr>
      <w:r w:rsidRPr="00E33D24">
        <w:t>the impact of cost drivers that affect both forecast opex and forecast capex</w:t>
      </w:r>
      <w:r w:rsidR="00874C30">
        <w:t>—f</w:t>
      </w:r>
      <w:r w:rsidRPr="00E33D24">
        <w:t xml:space="preserve">or </w:t>
      </w:r>
      <w:r w:rsidR="00874C30">
        <w:t>example,</w:t>
      </w:r>
      <w:r w:rsidR="00874C30" w:rsidRPr="00E33D24">
        <w:t xml:space="preserve"> </w:t>
      </w:r>
      <w:r w:rsidRPr="00E33D24">
        <w:t xml:space="preserve">forecast maximum demand affects forecast augmentation capex and forecast output growth used in estimating the rate of change in opex </w:t>
      </w:r>
    </w:p>
    <w:p w:rsidR="00EB233B" w:rsidRPr="00E33D24" w:rsidRDefault="00EB233B" w:rsidP="00EB233B">
      <w:pPr>
        <w:pStyle w:val="AERbulletlistfirststyle"/>
      </w:pPr>
      <w:r w:rsidRPr="00E33D24">
        <w:t xml:space="preserve">the approach to assessing the rate of return, to ensure there is consistency between our determination of debt raising costs and the rate of return building block </w:t>
      </w:r>
    </w:p>
    <w:p w:rsidR="00DF71A4" w:rsidRPr="00DF71A4" w:rsidRDefault="00874C30" w:rsidP="008A3D69">
      <w:pPr>
        <w:pStyle w:val="AERbulletlistfirststyle"/>
      </w:pPr>
      <w:proofErr w:type="gramStart"/>
      <w:r>
        <w:t>the</w:t>
      </w:r>
      <w:proofErr w:type="gramEnd"/>
      <w:r>
        <w:t xml:space="preserve"> outcomes of </w:t>
      </w:r>
      <w:r w:rsidR="00920668">
        <w:t>Powerlink's</w:t>
      </w:r>
      <w:r>
        <w:t xml:space="preserve"> consumer engagement in developing its </w:t>
      </w:r>
      <w:r w:rsidR="00C65FB2">
        <w:t>revenue proposal</w:t>
      </w:r>
      <w:r>
        <w:t>.</w:t>
      </w:r>
    </w:p>
    <w:p w:rsidR="002908F3" w:rsidRPr="00E33D24" w:rsidRDefault="002908F3" w:rsidP="002908F3">
      <w:pPr>
        <w:pStyle w:val="Heading3"/>
      </w:pPr>
      <w:bookmarkStart w:id="90" w:name="_Toc462752406"/>
      <w:r>
        <w:t>Summary of submissions on Powerlink's opex proposal</w:t>
      </w:r>
      <w:bookmarkEnd w:id="90"/>
    </w:p>
    <w:p w:rsidR="002908F3" w:rsidRDefault="00395566" w:rsidP="002908F3">
      <w:r>
        <w:fldChar w:fldCharType="begin"/>
      </w:r>
      <w:r>
        <w:instrText xml:space="preserve"> REF _Ref461549734 \h </w:instrText>
      </w:r>
      <w:r>
        <w:fldChar w:fldCharType="separate"/>
      </w:r>
      <w:r w:rsidR="00943BFB">
        <w:t xml:space="preserve">Table </w:t>
      </w:r>
      <w:r w:rsidR="00943BFB">
        <w:rPr>
          <w:noProof/>
        </w:rPr>
        <w:t>7</w:t>
      </w:r>
      <w:r w:rsidR="00943BFB">
        <w:t>.</w:t>
      </w:r>
      <w:r w:rsidR="00943BFB">
        <w:rPr>
          <w:noProof/>
        </w:rPr>
        <w:t>3</w:t>
      </w:r>
      <w:r>
        <w:fldChar w:fldCharType="end"/>
      </w:r>
      <w:r>
        <w:t xml:space="preserve"> </w:t>
      </w:r>
      <w:r w:rsidR="002908F3">
        <w:t>provides a summary of stakeholder s</w:t>
      </w:r>
      <w:r w:rsidR="002908F3" w:rsidRPr="0066113F">
        <w:t xml:space="preserve">ubmissions </w:t>
      </w:r>
      <w:r w:rsidR="002908F3">
        <w:t xml:space="preserve">on </w:t>
      </w:r>
      <w:r w:rsidR="00920668">
        <w:t>Powerlink's</w:t>
      </w:r>
      <w:r w:rsidR="002908F3">
        <w:t xml:space="preserve"> opex proposal</w:t>
      </w:r>
      <w:r w:rsidR="00657E51">
        <w:t xml:space="preserve"> and our response</w:t>
      </w:r>
      <w:r w:rsidR="002908F3">
        <w:t>.</w:t>
      </w:r>
    </w:p>
    <w:p w:rsidR="002908F3" w:rsidRDefault="00395566" w:rsidP="00395566">
      <w:pPr>
        <w:pStyle w:val="Caption"/>
      </w:pPr>
      <w:bookmarkStart w:id="91" w:name="_Ref461549734"/>
      <w:proofErr w:type="gramStart"/>
      <w:r>
        <w:lastRenderedPageBreak/>
        <w:t xml:space="preserve">Table </w:t>
      </w:r>
      <w:r w:rsidR="006C1BC1">
        <w:fldChar w:fldCharType="begin"/>
      </w:r>
      <w:r w:rsidR="006C1BC1">
        <w:instrText xml:space="preserve"> STYLEREF 1 \s </w:instrText>
      </w:r>
      <w:r w:rsidR="006C1BC1">
        <w:fldChar w:fldCharType="separate"/>
      </w:r>
      <w:r w:rsidR="00943BFB">
        <w:rPr>
          <w:noProof/>
        </w:rPr>
        <w:t>7</w:t>
      </w:r>
      <w:r w:rsidR="006C1BC1">
        <w:rPr>
          <w:noProof/>
        </w:rPr>
        <w:fldChar w:fldCharType="end"/>
      </w:r>
      <w:r>
        <w:t>.</w:t>
      </w:r>
      <w:proofErr w:type="gramEnd"/>
      <w:r w:rsidR="006C1BC1">
        <w:fldChar w:fldCharType="begin"/>
      </w:r>
      <w:r w:rsidR="006C1BC1">
        <w:instrText xml:space="preserve"> SEQ Table \* ARABIC \s 1 </w:instrText>
      </w:r>
      <w:r w:rsidR="006C1BC1">
        <w:fldChar w:fldCharType="separate"/>
      </w:r>
      <w:r w:rsidR="00943BFB">
        <w:rPr>
          <w:noProof/>
        </w:rPr>
        <w:t>3</w:t>
      </w:r>
      <w:r w:rsidR="006C1BC1">
        <w:rPr>
          <w:noProof/>
        </w:rPr>
        <w:fldChar w:fldCharType="end"/>
      </w:r>
      <w:bookmarkEnd w:id="91"/>
      <w:r w:rsidR="002908F3">
        <w:tab/>
      </w:r>
      <w:r w:rsidR="00657E51">
        <w:t>S</w:t>
      </w:r>
      <w:r w:rsidR="002908F3" w:rsidRPr="0066113F">
        <w:t xml:space="preserve">ubmissions </w:t>
      </w:r>
      <w:r w:rsidR="00657E51" w:rsidRPr="00657E51">
        <w:t xml:space="preserve">on Powerlink's opex proposal </w:t>
      </w:r>
      <w:r w:rsidR="00657E51">
        <w:t xml:space="preserve">and our response </w:t>
      </w:r>
    </w:p>
    <w:tbl>
      <w:tblPr>
        <w:tblStyle w:val="AERtable-text0"/>
        <w:tblW w:w="0" w:type="auto"/>
        <w:tblLook w:val="04A0" w:firstRow="1" w:lastRow="0" w:firstColumn="1" w:lastColumn="0" w:noHBand="0" w:noVBand="1"/>
      </w:tblPr>
      <w:tblGrid>
        <w:gridCol w:w="1273"/>
        <w:gridCol w:w="2776"/>
        <w:gridCol w:w="236"/>
        <w:gridCol w:w="4408"/>
      </w:tblGrid>
      <w:tr w:rsidR="00D624B7" w:rsidRPr="004B005E" w:rsidTr="00D2284C">
        <w:trPr>
          <w:cnfStyle w:val="100000000000" w:firstRow="1" w:lastRow="0" w:firstColumn="0" w:lastColumn="0" w:oddVBand="0" w:evenVBand="0" w:oddHBand="0" w:evenHBand="0" w:firstRowFirstColumn="0" w:firstRowLastColumn="0" w:lastRowFirstColumn="0" w:lastRowLastColumn="0"/>
          <w:tblHeader/>
        </w:trPr>
        <w:tc>
          <w:tcPr>
            <w:tcW w:w="1273" w:type="dxa"/>
          </w:tcPr>
          <w:p w:rsidR="00D624B7" w:rsidRPr="00D624B7" w:rsidRDefault="00D624B7" w:rsidP="006E192A">
            <w:r>
              <w:t>S</w:t>
            </w:r>
            <w:r w:rsidRPr="00D624B7">
              <w:t xml:space="preserve">takeholder </w:t>
            </w:r>
          </w:p>
        </w:tc>
        <w:tc>
          <w:tcPr>
            <w:tcW w:w="2776" w:type="dxa"/>
          </w:tcPr>
          <w:p w:rsidR="00D624B7" w:rsidRPr="00D624B7" w:rsidRDefault="00D624B7" w:rsidP="00D624B7">
            <w:r>
              <w:t>I</w:t>
            </w:r>
            <w:r w:rsidRPr="00D624B7">
              <w:t>ssue</w:t>
            </w:r>
          </w:p>
        </w:tc>
        <w:tc>
          <w:tcPr>
            <w:tcW w:w="236" w:type="dxa"/>
          </w:tcPr>
          <w:p w:rsidR="00D624B7" w:rsidRDefault="00D624B7" w:rsidP="00D624B7"/>
        </w:tc>
        <w:tc>
          <w:tcPr>
            <w:tcW w:w="4408" w:type="dxa"/>
          </w:tcPr>
          <w:p w:rsidR="00D624B7" w:rsidRPr="00D624B7" w:rsidRDefault="00D624B7" w:rsidP="00D624B7">
            <w:r>
              <w:t>Our response</w:t>
            </w:r>
          </w:p>
        </w:tc>
      </w:tr>
      <w:tr w:rsidR="00D624B7" w:rsidRPr="004B005E" w:rsidTr="00D2284C">
        <w:tc>
          <w:tcPr>
            <w:tcW w:w="1273" w:type="dxa"/>
          </w:tcPr>
          <w:p w:rsidR="00D624B7" w:rsidRPr="00D624B7" w:rsidRDefault="00D624B7" w:rsidP="00D624B7">
            <w:r>
              <w:t>CCP</w:t>
            </w:r>
            <w:r w:rsidR="003C4194">
              <w:t xml:space="preserve"> members</w:t>
            </w:r>
          </w:p>
        </w:tc>
        <w:tc>
          <w:tcPr>
            <w:tcW w:w="2776" w:type="dxa"/>
          </w:tcPr>
          <w:p w:rsidR="00D624B7" w:rsidRPr="00D624B7" w:rsidRDefault="00D624B7" w:rsidP="00D624B7">
            <w:r>
              <w:t>Base opex is inefficient, therefore</w:t>
            </w:r>
            <w:r w:rsidRPr="00D624B7">
              <w:t>, the AER cannot use revealed costs to forecast efficient opex</w:t>
            </w:r>
            <w:r w:rsidR="00444319">
              <w:t>:</w:t>
            </w:r>
            <w:r w:rsidR="00444319">
              <w:rPr>
                <w:rStyle w:val="FootnoteReference"/>
              </w:rPr>
              <w:footnoteReference w:id="56"/>
            </w:r>
          </w:p>
          <w:p w:rsidR="00D624B7" w:rsidRPr="00D624B7" w:rsidRDefault="00D624B7" w:rsidP="003932AF">
            <w:pPr>
              <w:pStyle w:val="AERbulletlistfirststyle"/>
            </w:pPr>
            <w:r>
              <w:t xml:space="preserve">Benchmarking </w:t>
            </w:r>
            <w:r w:rsidRPr="00D624B7">
              <w:t xml:space="preserve">reveals Powerlink is inefficient. </w:t>
            </w:r>
            <w:r w:rsidR="003932AF" w:rsidRPr="003932AF">
              <w:t>Partial Performance Indicators (PPIs)</w:t>
            </w:r>
            <w:r w:rsidR="00147500">
              <w:t xml:space="preserve"> </w:t>
            </w:r>
            <w:r w:rsidRPr="00D624B7">
              <w:t>identify material inefficiencies</w:t>
            </w:r>
            <w:r w:rsidR="00D2284C">
              <w:t>.</w:t>
            </w:r>
          </w:p>
          <w:p w:rsidR="00D624B7" w:rsidRPr="00D624B7" w:rsidRDefault="00D624B7" w:rsidP="00631A2C">
            <w:pPr>
              <w:pStyle w:val="AERbulletlistfirststyle"/>
            </w:pPr>
            <w:r w:rsidRPr="007F6544">
              <w:t xml:space="preserve">Various studies have demonstrated </w:t>
            </w:r>
            <w:r w:rsidRPr="00D624B7">
              <w:t xml:space="preserve">material inefficiencies in Powerlink's opex. </w:t>
            </w:r>
          </w:p>
        </w:tc>
        <w:tc>
          <w:tcPr>
            <w:tcW w:w="236" w:type="dxa"/>
          </w:tcPr>
          <w:p w:rsidR="00D624B7" w:rsidRPr="008946FF" w:rsidRDefault="00D624B7" w:rsidP="00D624B7"/>
        </w:tc>
        <w:tc>
          <w:tcPr>
            <w:tcW w:w="4408" w:type="dxa"/>
          </w:tcPr>
          <w:p w:rsidR="00D624B7" w:rsidRPr="00D624B7" w:rsidRDefault="00D624B7" w:rsidP="00D624B7">
            <w:r>
              <w:t>Our benchmarking results indicate Powerlink has not</w:t>
            </w:r>
            <w:r w:rsidRPr="00D624B7">
              <w:t xml:space="preserve"> been operating as efficiently</w:t>
            </w:r>
            <w:r w:rsidRPr="00D624B7" w:rsidDel="004B6802">
              <w:t xml:space="preserve"> </w:t>
            </w:r>
            <w:r w:rsidRPr="00D624B7">
              <w:t>as other transmission businesses in the NEM</w:t>
            </w:r>
            <w:r w:rsidR="00D2284C">
              <w:t>.</w:t>
            </w:r>
          </w:p>
          <w:p w:rsidR="00D624B7" w:rsidRPr="00D624B7" w:rsidRDefault="00D624B7" w:rsidP="00D624B7">
            <w:r>
              <w:t xml:space="preserve">Powerlink itself </w:t>
            </w:r>
            <w:r w:rsidRPr="00D624B7">
              <w:t>acknowledges it has scope to be more efficient and has included a number of efficiency measures in its proposal that essentially reduce its base opex by 14 per cent</w:t>
            </w:r>
            <w:r w:rsidR="00D2284C">
              <w:t>.</w:t>
            </w:r>
            <w:r w:rsidR="001E4929">
              <w:rPr>
                <w:rStyle w:val="FootnoteReference"/>
              </w:rPr>
              <w:footnoteReference w:id="57"/>
            </w:r>
            <w:r w:rsidRPr="00D624B7">
              <w:t xml:space="preserve"> </w:t>
            </w:r>
          </w:p>
          <w:p w:rsidR="00D624B7" w:rsidRPr="00D624B7" w:rsidRDefault="00D624B7" w:rsidP="00D624B7">
            <w:r>
              <w:t xml:space="preserve">We have applied an efficiency adjustment to Powerlink's revealed opex of around </w:t>
            </w:r>
            <w:r w:rsidR="002001DA">
              <w:t>–</w:t>
            </w:r>
            <w:r w:rsidR="00684DF5">
              <w:t>12.2</w:t>
            </w:r>
            <w:r>
              <w:t xml:space="preserve"> per cent</w:t>
            </w:r>
            <w:r w:rsidR="00D2284C">
              <w:t>.</w:t>
            </w:r>
          </w:p>
          <w:p w:rsidR="004D19F5" w:rsidRPr="008946FF" w:rsidRDefault="006E192A" w:rsidP="00B0696D">
            <w:r>
              <w:t xml:space="preserve">We note that </w:t>
            </w:r>
            <w:r w:rsidR="003844AD">
              <w:t xml:space="preserve">although </w:t>
            </w:r>
            <w:r w:rsidR="003932AF">
              <w:t>PPIs</w:t>
            </w:r>
            <w:r w:rsidR="00F551D6" w:rsidRPr="00F551D6">
              <w:t xml:space="preserve"> provide some useful information, they do not provide a comprehensive basis for assessing the overall efficiency of a </w:t>
            </w:r>
            <w:r w:rsidR="001B27C7">
              <w:t>network business'</w:t>
            </w:r>
            <w:r w:rsidR="001B27C7" w:rsidRPr="00F551D6">
              <w:t xml:space="preserve"> </w:t>
            </w:r>
            <w:r w:rsidR="00F551D6" w:rsidRPr="00F551D6">
              <w:t>opex spend</w:t>
            </w:r>
            <w:r w:rsidR="003932AF">
              <w:t>, as stated in our benchmarking reports</w:t>
            </w:r>
            <w:r w:rsidR="00D2284C">
              <w:t>.</w:t>
            </w:r>
            <w:r w:rsidR="004D19F5">
              <w:t xml:space="preserve"> Further, the CCP</w:t>
            </w:r>
            <w:r w:rsidR="003C4194">
              <w:t xml:space="preserve"> members' submission</w:t>
            </w:r>
            <w:r w:rsidR="004D19F5">
              <w:t xml:space="preserve"> is selective in its use of </w:t>
            </w:r>
            <w:r w:rsidR="003932AF" w:rsidRPr="003932AF">
              <w:t>PPIs</w:t>
            </w:r>
            <w:r w:rsidR="00BB51EA">
              <w:t xml:space="preserve">. </w:t>
            </w:r>
            <w:r w:rsidR="003932AF">
              <w:t xml:space="preserve">It </w:t>
            </w:r>
            <w:r w:rsidR="003932AF" w:rsidRPr="003932AF">
              <w:t>highlights Powerlink performs poorly on the following PPIs based on our 2014 electricity transmission benchmarking report: 'Asset cost per total entry/exit point voltage', 'Opex per MVA of downstream transmission capacity' and 'Opex per total entry/exit point voltage'</w:t>
            </w:r>
            <w:r w:rsidR="003932AF">
              <w:t xml:space="preserve">. However, it fails to acknowledge other PPIs that Powerlink performs well on—namely, </w:t>
            </w:r>
            <w:r w:rsidR="003844AD">
              <w:t>'</w:t>
            </w:r>
            <w:r w:rsidR="003932AF">
              <w:t>opex per circuit km</w:t>
            </w:r>
            <w:r w:rsidR="003844AD">
              <w:t>'</w:t>
            </w:r>
            <w:r w:rsidR="003932AF">
              <w:t xml:space="preserve"> and </w:t>
            </w:r>
            <w:r w:rsidR="003844AD">
              <w:t>'</w:t>
            </w:r>
            <w:r w:rsidR="003932AF">
              <w:t>opex per MW of maximum demand</w:t>
            </w:r>
            <w:r w:rsidR="003844AD">
              <w:t>'</w:t>
            </w:r>
            <w:r w:rsidR="003932AF">
              <w:t xml:space="preserve">. </w:t>
            </w:r>
            <w:r w:rsidR="003844AD">
              <w:t>T</w:t>
            </w:r>
            <w:r w:rsidR="003932AF">
              <w:t xml:space="preserve">he PPI </w:t>
            </w:r>
            <w:r w:rsidR="003932AF" w:rsidRPr="003932AF">
              <w:t>'Asset cost per total entry/exit point voltage'</w:t>
            </w:r>
            <w:r w:rsidR="003932AF">
              <w:t xml:space="preserve"> does not include opex</w:t>
            </w:r>
            <w:r w:rsidR="003844AD">
              <w:t>.</w:t>
            </w:r>
            <w:r w:rsidR="00B0696D">
              <w:rPr>
                <w:rStyle w:val="FootnoteReference"/>
              </w:rPr>
              <w:footnoteReference w:id="58"/>
            </w:r>
            <w:r w:rsidR="003844AD">
              <w:t xml:space="preserve"> Finally, it is unclear why the CCP </w:t>
            </w:r>
            <w:r w:rsidR="003C4194">
              <w:t xml:space="preserve">members' submission </w:t>
            </w:r>
            <w:r w:rsidR="003844AD">
              <w:t>does not rely on the 2015</w:t>
            </w:r>
            <w:r w:rsidR="003844AD" w:rsidRPr="003844AD">
              <w:t xml:space="preserve"> electricity transmission benchmarking report</w:t>
            </w:r>
            <w:r w:rsidR="003844AD">
              <w:t>.</w:t>
            </w:r>
          </w:p>
        </w:tc>
      </w:tr>
      <w:tr w:rsidR="00D624B7" w:rsidRPr="004B005E" w:rsidTr="00D2284C">
        <w:trPr>
          <w:cnfStyle w:val="000000010000" w:firstRow="0" w:lastRow="0" w:firstColumn="0" w:lastColumn="0" w:oddVBand="0" w:evenVBand="0" w:oddHBand="0" w:evenHBand="1" w:firstRowFirstColumn="0" w:firstRowLastColumn="0" w:lastRowFirstColumn="0" w:lastRowLastColumn="0"/>
        </w:trPr>
        <w:tc>
          <w:tcPr>
            <w:tcW w:w="1273" w:type="dxa"/>
          </w:tcPr>
          <w:p w:rsidR="00D624B7" w:rsidRPr="00D624B7" w:rsidRDefault="00D624B7" w:rsidP="00D624B7">
            <w:r>
              <w:t>CCP</w:t>
            </w:r>
            <w:r w:rsidR="003C4194">
              <w:t xml:space="preserve"> members</w:t>
            </w:r>
          </w:p>
        </w:tc>
        <w:tc>
          <w:tcPr>
            <w:tcW w:w="2776" w:type="dxa"/>
          </w:tcPr>
          <w:p w:rsidR="00D624B7" w:rsidRPr="00D624B7" w:rsidRDefault="00D624B7" w:rsidP="00D624B7">
            <w:r>
              <w:t>The AER should apply benchmarking to determine efficient base opex</w:t>
            </w:r>
            <w:r w:rsidR="003A27C3">
              <w:t>:</w:t>
            </w:r>
            <w:r w:rsidR="00444319">
              <w:rPr>
                <w:rStyle w:val="FootnoteReference"/>
              </w:rPr>
              <w:footnoteReference w:id="59"/>
            </w:r>
          </w:p>
          <w:p w:rsidR="00D624B7" w:rsidRPr="00D624B7" w:rsidRDefault="00D624B7" w:rsidP="00D624B7">
            <w:pPr>
              <w:pStyle w:val="AERbulletlistfirststyle"/>
            </w:pPr>
            <w:r>
              <w:t>T</w:t>
            </w:r>
            <w:r w:rsidRPr="00D624B7">
              <w:t xml:space="preserve">he AER has not justified its reasons for not applying benchmarking to the determination of efficient base year opex costs for the transmission networks. </w:t>
            </w:r>
          </w:p>
          <w:p w:rsidR="00D624B7" w:rsidRDefault="0092055A" w:rsidP="0092055A">
            <w:pPr>
              <w:pStyle w:val="AERbulletlistfirststyle"/>
            </w:pPr>
            <w:r>
              <w:t>T</w:t>
            </w:r>
            <w:r w:rsidRPr="0092055A">
              <w:t xml:space="preserve">he </w:t>
            </w:r>
            <w:r w:rsidR="001A227C">
              <w:t>AER has comprehensive opex benchmarking information.</w:t>
            </w:r>
          </w:p>
          <w:p w:rsidR="00D2284C" w:rsidRPr="00D624B7" w:rsidRDefault="001A227C" w:rsidP="001A227C">
            <w:pPr>
              <w:pStyle w:val="AERbulletlistfirststyle"/>
            </w:pPr>
            <w:r>
              <w:t xml:space="preserve">The AER </w:t>
            </w:r>
            <w:r w:rsidR="00D2284C" w:rsidRPr="00D2284C">
              <w:t xml:space="preserve">should examine past benchmarking studies undertaken </w:t>
            </w:r>
            <w:r>
              <w:t xml:space="preserve">by the transmission businesses and </w:t>
            </w:r>
            <w:r w:rsidR="00D2284C" w:rsidRPr="00D2284C">
              <w:lastRenderedPageBreak/>
              <w:t>internationally.</w:t>
            </w:r>
          </w:p>
        </w:tc>
        <w:tc>
          <w:tcPr>
            <w:tcW w:w="236" w:type="dxa"/>
          </w:tcPr>
          <w:p w:rsidR="00D624B7" w:rsidRDefault="00D624B7" w:rsidP="00D624B7"/>
        </w:tc>
        <w:tc>
          <w:tcPr>
            <w:tcW w:w="4408" w:type="dxa"/>
          </w:tcPr>
          <w:p w:rsidR="00D2284C" w:rsidRDefault="00901107" w:rsidP="00D2284C">
            <w:r>
              <w:t>O</w:t>
            </w:r>
            <w:r w:rsidR="00D2284C" w:rsidRPr="00D2284C">
              <w:t>ur economic benchmarking of electricity transmission is not sufficiently robust to support an alternative forecast of base opex at</w:t>
            </w:r>
            <w:r w:rsidR="00725293">
              <w:t xml:space="preserve"> this stage of its development, as discussed in section 7.4.1.</w:t>
            </w:r>
          </w:p>
          <w:p w:rsidR="00901107" w:rsidRPr="00D2284C" w:rsidRDefault="00901107" w:rsidP="00D2284C">
            <w:r>
              <w:t xml:space="preserve">That said, we do not accept Powerlink's historical ('revealed') costs and have incorporated an efficiency adjustment to base opex of 12.2 per cent. </w:t>
            </w:r>
          </w:p>
          <w:p w:rsidR="00FB657A" w:rsidRPr="00D624B7" w:rsidRDefault="001A227C" w:rsidP="00725293">
            <w:r>
              <w:t>We do not see the benefit of examining previous Australian benchmarking studies that rely on outdated</w:t>
            </w:r>
            <w:r w:rsidR="003932AF">
              <w:t xml:space="preserve"> and </w:t>
            </w:r>
            <w:r w:rsidR="00D74BF2">
              <w:t>possibly</w:t>
            </w:r>
            <w:r w:rsidR="003932AF">
              <w:t xml:space="preserve"> less robust</w:t>
            </w:r>
            <w:r>
              <w:t xml:space="preserve"> information. </w:t>
            </w:r>
            <w:r w:rsidR="000737C3">
              <w:t xml:space="preserve">The benefit of examining international studies cited by the CCP </w:t>
            </w:r>
            <w:r w:rsidR="003C4194">
              <w:t xml:space="preserve">members' submission </w:t>
            </w:r>
            <w:r w:rsidR="000737C3">
              <w:t xml:space="preserve">is also unclear. </w:t>
            </w:r>
            <w:r w:rsidR="004D19F5">
              <w:t xml:space="preserve">For example, </w:t>
            </w:r>
            <w:r w:rsidR="00412D5A">
              <w:t xml:space="preserve">the </w:t>
            </w:r>
            <w:r w:rsidR="00412D5A" w:rsidRPr="00412D5A">
              <w:t>International Transmission Operations and Maintenance Study (ITOMS)</w:t>
            </w:r>
            <w:r w:rsidR="00412D5A">
              <w:t xml:space="preserve"> </w:t>
            </w:r>
            <w:proofErr w:type="gramStart"/>
            <w:r w:rsidR="00412D5A">
              <w:t>focuses</w:t>
            </w:r>
            <w:proofErr w:type="gramEnd"/>
            <w:r w:rsidR="00412D5A">
              <w:t xml:space="preserve"> on </w:t>
            </w:r>
            <w:r w:rsidR="00D74BF2">
              <w:t>PPIs</w:t>
            </w:r>
            <w:r w:rsidR="00412D5A">
              <w:t xml:space="preserve"> and does not</w:t>
            </w:r>
            <w:r w:rsidR="00412D5A" w:rsidRPr="00412D5A" w:rsidDel="008A272B">
              <w:t xml:space="preserve"> </w:t>
            </w:r>
            <w:r w:rsidR="00412D5A">
              <w:t>assess</w:t>
            </w:r>
            <w:r w:rsidR="00412D5A" w:rsidRPr="00412D5A">
              <w:t xml:space="preserve"> overall </w:t>
            </w:r>
            <w:r w:rsidR="00412D5A">
              <w:t xml:space="preserve">opex </w:t>
            </w:r>
            <w:r w:rsidR="00412D5A" w:rsidRPr="00412D5A">
              <w:t>efficiency</w:t>
            </w:r>
            <w:r w:rsidR="00412D5A">
              <w:t>.</w:t>
            </w:r>
          </w:p>
        </w:tc>
      </w:tr>
      <w:tr w:rsidR="00FB657A" w:rsidRPr="004B005E" w:rsidTr="00D2284C">
        <w:tc>
          <w:tcPr>
            <w:tcW w:w="1273" w:type="dxa"/>
          </w:tcPr>
          <w:p w:rsidR="00FB657A" w:rsidRDefault="00444319" w:rsidP="00D624B7">
            <w:r>
              <w:lastRenderedPageBreak/>
              <w:t>CCP members</w:t>
            </w:r>
          </w:p>
        </w:tc>
        <w:tc>
          <w:tcPr>
            <w:tcW w:w="2776" w:type="dxa"/>
          </w:tcPr>
          <w:p w:rsidR="00FB657A" w:rsidRDefault="00FB657A" w:rsidP="00D624B7">
            <w:r>
              <w:t>The AER</w:t>
            </w:r>
            <w:r w:rsidRPr="00FB657A">
              <w:t xml:space="preserve"> should make an ex post adjustment to Powerlink's opex base to account for 'extremely expensive' international benchmarking studies</w:t>
            </w:r>
            <w:r>
              <w:t xml:space="preserve"> that </w:t>
            </w:r>
            <w:r w:rsidRPr="00FB657A">
              <w:t xml:space="preserve">Powerlink </w:t>
            </w:r>
            <w:r>
              <w:t xml:space="preserve">relied on </w:t>
            </w:r>
            <w:r w:rsidRPr="00FB657A">
              <w:t xml:space="preserve">in previous </w:t>
            </w:r>
            <w:r w:rsidR="00C65FB2">
              <w:t>revenue proposal</w:t>
            </w:r>
            <w:r w:rsidRPr="00FB657A">
              <w:t>s</w:t>
            </w:r>
            <w:r>
              <w:t>:</w:t>
            </w:r>
            <w:r w:rsidR="00444319">
              <w:rPr>
                <w:rStyle w:val="FootnoteReference"/>
              </w:rPr>
              <w:footnoteReference w:id="60"/>
            </w:r>
          </w:p>
          <w:p w:rsidR="00FB657A" w:rsidRDefault="00FB657A" w:rsidP="00FB657A">
            <w:pPr>
              <w:pStyle w:val="AERbulletlistfirststyle"/>
            </w:pPr>
            <w:r w:rsidRPr="00FB657A">
              <w:t>Although Powerlink provides evidence now to suggest we cannot rely on benchmarking, in previous regulatory periods Powerlink has claimed its benchmarking studies demonstrate</w:t>
            </w:r>
            <w:r>
              <w:t>d</w:t>
            </w:r>
            <w:r w:rsidRPr="00FB657A">
              <w:t xml:space="preserve"> the business is operating efficiently.</w:t>
            </w:r>
          </w:p>
          <w:p w:rsidR="00FB657A" w:rsidRPr="002001DA" w:rsidRDefault="00FB657A" w:rsidP="00D624B7">
            <w:pPr>
              <w:pStyle w:val="AERbulletlistfirststyle"/>
            </w:pPr>
            <w:r>
              <w:t>T</w:t>
            </w:r>
            <w:r w:rsidRPr="00FB657A">
              <w:t xml:space="preserve">his </w:t>
            </w:r>
            <w:r>
              <w:t xml:space="preserve">apparent </w:t>
            </w:r>
            <w:r w:rsidRPr="00FB657A">
              <w:t>contradiction implies Powerlink's previous benchmarking studies constitute 'wasteful expenditure'.</w:t>
            </w:r>
          </w:p>
        </w:tc>
        <w:tc>
          <w:tcPr>
            <w:tcW w:w="236" w:type="dxa"/>
          </w:tcPr>
          <w:p w:rsidR="00FB657A" w:rsidRDefault="00FB657A" w:rsidP="00D624B7"/>
        </w:tc>
        <w:tc>
          <w:tcPr>
            <w:tcW w:w="4408" w:type="dxa"/>
          </w:tcPr>
          <w:p w:rsidR="00FB657A" w:rsidRDefault="00631A2C" w:rsidP="00D064D0">
            <w:r>
              <w:t xml:space="preserve">Under the </w:t>
            </w:r>
            <w:r w:rsidR="00D064D0">
              <w:t>NER</w:t>
            </w:r>
            <w:r>
              <w:t>, r</w:t>
            </w:r>
            <w:r w:rsidR="00FB657A">
              <w:t>egulated energy network businesses are generally subject to an ex ante determination of revenues</w:t>
            </w:r>
            <w:r>
              <w:t>.</w:t>
            </w:r>
          </w:p>
        </w:tc>
      </w:tr>
      <w:tr w:rsidR="00D624B7" w:rsidRPr="004B005E" w:rsidTr="00D2284C">
        <w:trPr>
          <w:cnfStyle w:val="000000010000" w:firstRow="0" w:lastRow="0" w:firstColumn="0" w:lastColumn="0" w:oddVBand="0" w:evenVBand="0" w:oddHBand="0" w:evenHBand="1" w:firstRowFirstColumn="0" w:firstRowLastColumn="0" w:lastRowFirstColumn="0" w:lastRowLastColumn="0"/>
        </w:trPr>
        <w:tc>
          <w:tcPr>
            <w:tcW w:w="1273" w:type="dxa"/>
          </w:tcPr>
          <w:p w:rsidR="00D624B7" w:rsidRPr="0066113F" w:rsidRDefault="00D624B7" w:rsidP="003C4194">
            <w:r>
              <w:t>CCP</w:t>
            </w:r>
            <w:r w:rsidR="003C4194">
              <w:t xml:space="preserve"> members</w:t>
            </w:r>
          </w:p>
        </w:tc>
        <w:tc>
          <w:tcPr>
            <w:tcW w:w="2776" w:type="dxa"/>
          </w:tcPr>
          <w:p w:rsidR="00D624B7" w:rsidRPr="00D624B7" w:rsidRDefault="003A27C3" w:rsidP="00D624B7">
            <w:r>
              <w:t>G</w:t>
            </w:r>
            <w:r w:rsidR="00D624B7" w:rsidRPr="00D624B7">
              <w:t xml:space="preserve">iven </w:t>
            </w:r>
            <w:r>
              <w:t xml:space="preserve">the </w:t>
            </w:r>
            <w:r w:rsidR="00D624B7" w:rsidRPr="00D624B7">
              <w:t xml:space="preserve">contraction in </w:t>
            </w:r>
            <w:r>
              <w:t xml:space="preserve">the </w:t>
            </w:r>
            <w:r w:rsidR="00D624B7" w:rsidRPr="00D624B7">
              <w:t>electricity network sector, labour prices should be falling rather than increasing. Current labour costs are excessive.</w:t>
            </w:r>
            <w:r w:rsidR="00444319">
              <w:rPr>
                <w:rStyle w:val="FootnoteReference"/>
              </w:rPr>
              <w:footnoteReference w:id="61"/>
            </w:r>
          </w:p>
        </w:tc>
        <w:tc>
          <w:tcPr>
            <w:tcW w:w="236" w:type="dxa"/>
          </w:tcPr>
          <w:p w:rsidR="00D624B7" w:rsidRDefault="00D624B7" w:rsidP="00D624B7"/>
        </w:tc>
        <w:tc>
          <w:tcPr>
            <w:tcW w:w="4408" w:type="dxa"/>
          </w:tcPr>
          <w:p w:rsidR="00D624B7" w:rsidRPr="00D624B7" w:rsidRDefault="003F6C50" w:rsidP="006C7B85">
            <w:r>
              <w:t xml:space="preserve">We have used the labour price forecasts </w:t>
            </w:r>
            <w:r w:rsidR="00784A8D">
              <w:t>provided by</w:t>
            </w:r>
            <w:r w:rsidR="006C7B85">
              <w:t xml:space="preserve"> expert consultants,</w:t>
            </w:r>
            <w:r w:rsidR="004D0E2E">
              <w:t xml:space="preserve"> </w:t>
            </w:r>
            <w:r w:rsidR="006C7B85">
              <w:t>Deloitte Access Economics,</w:t>
            </w:r>
            <w:r>
              <w:t xml:space="preserve"> </w:t>
            </w:r>
            <w:r w:rsidRPr="003F6C50">
              <w:t>one of Australia’s most recognised economics advisory practices</w:t>
            </w:r>
            <w:r>
              <w:t>.</w:t>
            </w:r>
            <w:r w:rsidRPr="003F6C50">
              <w:t xml:space="preserve"> </w:t>
            </w:r>
            <w:r w:rsidR="001678A4">
              <w:t>Deloitte</w:t>
            </w:r>
            <w:r w:rsidR="00307AC1">
              <w:t>'s</w:t>
            </w:r>
            <w:r w:rsidR="001678A4">
              <w:t xml:space="preserve"> labour price</w:t>
            </w:r>
            <w:r w:rsidR="001678A4" w:rsidRPr="001678A4">
              <w:t xml:space="preserve"> forecasts are based on </w:t>
            </w:r>
            <w:r w:rsidR="001678A4">
              <w:t>its view</w:t>
            </w:r>
            <w:r w:rsidR="001678A4" w:rsidRPr="001678A4">
              <w:t xml:space="preserve"> of general macroeconomics trends for the utilities industry and the overall Australian economy.</w:t>
            </w:r>
            <w:r w:rsidR="002001DA">
              <w:rPr>
                <w:rStyle w:val="FootnoteReference"/>
              </w:rPr>
              <w:footnoteReference w:id="62"/>
            </w:r>
          </w:p>
        </w:tc>
      </w:tr>
      <w:tr w:rsidR="00D624B7" w:rsidRPr="004B005E" w:rsidTr="00D2284C">
        <w:tc>
          <w:tcPr>
            <w:tcW w:w="1273" w:type="dxa"/>
          </w:tcPr>
          <w:p w:rsidR="00D624B7" w:rsidRPr="0066113F" w:rsidRDefault="00D624B7" w:rsidP="003C4194">
            <w:r>
              <w:t>CCP</w:t>
            </w:r>
            <w:r w:rsidR="003C4194">
              <w:t xml:space="preserve"> members</w:t>
            </w:r>
          </w:p>
        </w:tc>
        <w:tc>
          <w:tcPr>
            <w:tcW w:w="2776" w:type="dxa"/>
          </w:tcPr>
          <w:p w:rsidR="00D624B7" w:rsidRPr="00D624B7" w:rsidRDefault="00D624B7" w:rsidP="002001DA">
            <w:r>
              <w:t>Powerlink's</w:t>
            </w:r>
            <w:r w:rsidRPr="00D624B7">
              <w:t xml:space="preserve"> proposed productivity growth of 1.2</w:t>
            </w:r>
            <w:r w:rsidR="002001DA">
              <w:t> per cent</w:t>
            </w:r>
            <w:r w:rsidRPr="00D624B7">
              <w:t xml:space="preserve"> is not high enough compared to levels being achieved by other capital intensive industries.</w:t>
            </w:r>
            <w:r w:rsidR="00444319">
              <w:rPr>
                <w:rStyle w:val="FootnoteReference"/>
              </w:rPr>
              <w:footnoteReference w:id="63"/>
            </w:r>
          </w:p>
        </w:tc>
        <w:tc>
          <w:tcPr>
            <w:tcW w:w="236" w:type="dxa"/>
          </w:tcPr>
          <w:p w:rsidR="00D624B7" w:rsidRDefault="00D624B7" w:rsidP="00D624B7"/>
        </w:tc>
        <w:tc>
          <w:tcPr>
            <w:tcW w:w="4408" w:type="dxa"/>
          </w:tcPr>
          <w:p w:rsidR="004B3EC7" w:rsidRDefault="004B3EC7" w:rsidP="00D624B7">
            <w:r>
              <w:t>B</w:t>
            </w:r>
            <w:r w:rsidR="006E192A">
              <w:t xml:space="preserve">ecause some capital </w:t>
            </w:r>
            <w:r w:rsidRPr="004B3EC7">
              <w:t xml:space="preserve">intensive industries have achieved good productivity growth does not necessarily mean that similar productivity growth can be achieved by </w:t>
            </w:r>
            <w:r w:rsidR="00B0696D">
              <w:t>the transmission businesses</w:t>
            </w:r>
            <w:r w:rsidRPr="004B3EC7">
              <w:t>. In particular, declining throughput and peak demand levels in recent years limit the extent of relative productivity growth likely to be achievable in transmission networks</w:t>
            </w:r>
            <w:r>
              <w:t>. Consequently,</w:t>
            </w:r>
            <w:r w:rsidRPr="004B3EC7">
              <w:t xml:space="preserve"> output growth</w:t>
            </w:r>
            <w:r>
              <w:t xml:space="preserve"> contributes</w:t>
            </w:r>
            <w:r w:rsidRPr="004B3EC7">
              <w:t xml:space="preserve"> less to growth in productivity measures than will be the case for industries subject to ongoing growth in demand for their outputs.</w:t>
            </w:r>
            <w:r w:rsidR="002213E2">
              <w:t xml:space="preserve"> That is, </w:t>
            </w:r>
            <w:r w:rsidR="002213E2" w:rsidRPr="002213E2">
              <w:t>productivity growth in the transmission sector is unlikely to match that of industries with continually growing outputs because of the different demand conditions transmission currently faces</w:t>
            </w:r>
            <w:r w:rsidR="002001DA">
              <w:t>.</w:t>
            </w:r>
            <w:r w:rsidR="002001DA">
              <w:rPr>
                <w:rStyle w:val="FootnoteReference"/>
              </w:rPr>
              <w:footnoteReference w:id="64"/>
            </w:r>
          </w:p>
          <w:p w:rsidR="00D624B7" w:rsidRPr="00D624B7" w:rsidRDefault="004B3EC7" w:rsidP="00147500">
            <w:r>
              <w:t>Powerlink's proposed productivity growth</w:t>
            </w:r>
            <w:r w:rsidR="00D624B7">
              <w:t xml:space="preserve"> is higher </w:t>
            </w:r>
            <w:r w:rsidR="003B1918" w:rsidRPr="003B1918">
              <w:t>than the industry average opex p</w:t>
            </w:r>
            <w:r w:rsidR="003B1918">
              <w:t>roductivity growth rates of 0.9</w:t>
            </w:r>
            <w:r w:rsidR="003B1918" w:rsidRPr="003B1918">
              <w:t xml:space="preserve"> per cent and 0.2 per cent used in the recent TransGrid and </w:t>
            </w:r>
            <w:r w:rsidR="003B1918" w:rsidRPr="003B1918">
              <w:lastRenderedPageBreak/>
              <w:t>AusNet determinations</w:t>
            </w:r>
            <w:r w:rsidR="003B1918">
              <w:t>.</w:t>
            </w:r>
          </w:p>
        </w:tc>
      </w:tr>
      <w:tr w:rsidR="006E192A" w:rsidRPr="008946FF" w:rsidTr="00D2284C">
        <w:trPr>
          <w:cnfStyle w:val="000000010000" w:firstRow="0" w:lastRow="0" w:firstColumn="0" w:lastColumn="0" w:oddVBand="0" w:evenVBand="0" w:oddHBand="0" w:evenHBand="1" w:firstRowFirstColumn="0" w:firstRowLastColumn="0" w:lastRowFirstColumn="0" w:lastRowLastColumn="0"/>
        </w:trPr>
        <w:tc>
          <w:tcPr>
            <w:tcW w:w="1273" w:type="dxa"/>
          </w:tcPr>
          <w:p w:rsidR="006E192A" w:rsidRPr="006E192A" w:rsidRDefault="006E192A" w:rsidP="006E192A">
            <w:r w:rsidRPr="006E192A">
              <w:lastRenderedPageBreak/>
              <w:t>CCP</w:t>
            </w:r>
            <w:r w:rsidR="003C4194">
              <w:t xml:space="preserve"> members</w:t>
            </w:r>
          </w:p>
        </w:tc>
        <w:tc>
          <w:tcPr>
            <w:tcW w:w="2776" w:type="dxa"/>
          </w:tcPr>
          <w:p w:rsidR="006E192A" w:rsidRPr="006E192A" w:rsidRDefault="006E192A" w:rsidP="006E192A">
            <w:r w:rsidRPr="006E192A">
              <w:t>The AER should include opex savings made as a result of large capex programs over previous periods.</w:t>
            </w:r>
            <w:r w:rsidR="00444319">
              <w:rPr>
                <w:rStyle w:val="FootnoteReference"/>
              </w:rPr>
              <w:footnoteReference w:id="65"/>
            </w:r>
          </w:p>
        </w:tc>
        <w:tc>
          <w:tcPr>
            <w:tcW w:w="236" w:type="dxa"/>
          </w:tcPr>
          <w:p w:rsidR="006E192A" w:rsidRPr="006E192A" w:rsidRDefault="006E192A" w:rsidP="006E192A"/>
        </w:tc>
        <w:tc>
          <w:tcPr>
            <w:tcW w:w="4408" w:type="dxa"/>
          </w:tcPr>
          <w:p w:rsidR="006E192A" w:rsidRPr="006E192A" w:rsidRDefault="006E192A" w:rsidP="006E192A">
            <w:r w:rsidRPr="006E192A">
              <w:t>We have included an efficiency adjustment to Powerlink's revealed costs. This adjustment reflects a range of efficiency gains, including savings driven by previous capex projects.</w:t>
            </w:r>
          </w:p>
        </w:tc>
      </w:tr>
      <w:tr w:rsidR="00D624B7" w:rsidRPr="004B005E" w:rsidTr="00D2284C">
        <w:tc>
          <w:tcPr>
            <w:tcW w:w="1273" w:type="dxa"/>
          </w:tcPr>
          <w:p w:rsidR="00D624B7" w:rsidRPr="00D624B7" w:rsidRDefault="00D624B7" w:rsidP="00D624B7">
            <w:r>
              <w:t>University of Queensland</w:t>
            </w:r>
          </w:p>
        </w:tc>
        <w:tc>
          <w:tcPr>
            <w:tcW w:w="2776" w:type="dxa"/>
          </w:tcPr>
          <w:p w:rsidR="00D624B7" w:rsidRPr="00D624B7" w:rsidRDefault="00D624B7" w:rsidP="00D624B7">
            <w:r>
              <w:t>F</w:t>
            </w:r>
            <w:r w:rsidRPr="00D624B7">
              <w:t>urther regulatory cuts to Powerlink's proposed opex may increase long term costs to customers.</w:t>
            </w:r>
            <w:r w:rsidR="00BB1FFB">
              <w:rPr>
                <w:rStyle w:val="FootnoteReference"/>
              </w:rPr>
              <w:footnoteReference w:id="66"/>
            </w:r>
          </w:p>
        </w:tc>
        <w:tc>
          <w:tcPr>
            <w:tcW w:w="236" w:type="dxa"/>
          </w:tcPr>
          <w:p w:rsidR="00D624B7" w:rsidRDefault="00D624B7" w:rsidP="00D624B7"/>
        </w:tc>
        <w:tc>
          <w:tcPr>
            <w:tcW w:w="4408" w:type="dxa"/>
          </w:tcPr>
          <w:p w:rsidR="00E008BB" w:rsidRDefault="00D624B7" w:rsidP="006E192A">
            <w:r>
              <w:t>Powerlink's historical performance has been reliable. It is subject to a suite of incentives</w:t>
            </w:r>
            <w:r w:rsidR="002E6763">
              <w:t>,</w:t>
            </w:r>
            <w:r>
              <w:t xml:space="preserve"> </w:t>
            </w:r>
            <w:r w:rsidR="002E6763">
              <w:t>such as the Service target performance incentive scheme (STPIS),</w:t>
            </w:r>
            <w:r w:rsidR="002E6763">
              <w:rPr>
                <w:rStyle w:val="FootnoteReference"/>
              </w:rPr>
              <w:footnoteReference w:id="67"/>
            </w:r>
            <w:r w:rsidR="002E6763">
              <w:t xml:space="preserve"> </w:t>
            </w:r>
            <w:r>
              <w:t xml:space="preserve">to ensure it maintains a reliable network. It is </w:t>
            </w:r>
            <w:r w:rsidR="002E6763">
              <w:t xml:space="preserve">also </w:t>
            </w:r>
            <w:r>
              <w:t>obliged to comply with stringent legislation regarding safety.</w:t>
            </w:r>
            <w:r w:rsidR="00E008BB">
              <w:t xml:space="preserve"> </w:t>
            </w:r>
          </w:p>
          <w:p w:rsidR="00D624B7" w:rsidRPr="00D624B7" w:rsidRDefault="00E008BB" w:rsidP="004905A9">
            <w:r>
              <w:t xml:space="preserve">As part of our benchmark assessment, we examine </w:t>
            </w:r>
            <w:r w:rsidRPr="00E008BB">
              <w:t xml:space="preserve">safety </w:t>
            </w:r>
            <w:r>
              <w:t xml:space="preserve">and reliability </w:t>
            </w:r>
            <w:r w:rsidRPr="00E008BB">
              <w:t>metrics for all service providers</w:t>
            </w:r>
            <w:r>
              <w:t>. The metrics</w:t>
            </w:r>
            <w:r w:rsidRPr="00E008BB">
              <w:t xml:space="preserve"> </w:t>
            </w:r>
            <w:r>
              <w:t>demonstrate</w:t>
            </w:r>
            <w:r w:rsidRPr="00E008BB">
              <w:t xml:space="preserve"> that the comparator providers have managed to safely </w:t>
            </w:r>
            <w:r>
              <w:t xml:space="preserve">and reliably </w:t>
            </w:r>
            <w:r w:rsidRPr="00E008BB">
              <w:t>meet the requirements to provide standard control services in the relevant period.</w:t>
            </w:r>
            <w:r>
              <w:t xml:space="preserve"> W</w:t>
            </w:r>
            <w:r w:rsidRPr="00E008BB">
              <w:t xml:space="preserve">e consider that the benchmark opex amounts will not undercompensate for </w:t>
            </w:r>
            <w:r>
              <w:t xml:space="preserve">safety and </w:t>
            </w:r>
            <w:r w:rsidRPr="00E008BB">
              <w:t>reliability.</w:t>
            </w:r>
          </w:p>
        </w:tc>
      </w:tr>
      <w:tr w:rsidR="00D624B7" w:rsidRPr="004B005E" w:rsidTr="00D2284C">
        <w:trPr>
          <w:cnfStyle w:val="000000010000" w:firstRow="0" w:lastRow="0" w:firstColumn="0" w:lastColumn="0" w:oddVBand="0" w:evenVBand="0" w:oddHBand="0" w:evenHBand="1" w:firstRowFirstColumn="0" w:firstRowLastColumn="0" w:lastRowFirstColumn="0" w:lastRowLastColumn="0"/>
        </w:trPr>
        <w:tc>
          <w:tcPr>
            <w:tcW w:w="1273" w:type="dxa"/>
          </w:tcPr>
          <w:p w:rsidR="00D624B7" w:rsidRPr="00D624B7" w:rsidRDefault="00D624B7" w:rsidP="00D624B7">
            <w:r w:rsidRPr="00877977">
              <w:t>Queensland Resources Council</w:t>
            </w:r>
          </w:p>
        </w:tc>
        <w:tc>
          <w:tcPr>
            <w:tcW w:w="2776" w:type="dxa"/>
          </w:tcPr>
          <w:p w:rsidR="00D624B7" w:rsidRPr="00D624B7" w:rsidRDefault="00D624B7" w:rsidP="00D624B7">
            <w:r>
              <w:t>T</w:t>
            </w:r>
            <w:r w:rsidRPr="00D624B7">
              <w:t>he low reduction in opex compared to capex and allowable revenue may represent an inefficient inflexibility in Powerlink's opex.</w:t>
            </w:r>
            <w:r w:rsidR="00BB1FFB">
              <w:rPr>
                <w:rStyle w:val="FootnoteReference"/>
              </w:rPr>
              <w:footnoteReference w:id="68"/>
            </w:r>
          </w:p>
        </w:tc>
        <w:tc>
          <w:tcPr>
            <w:tcW w:w="236" w:type="dxa"/>
          </w:tcPr>
          <w:p w:rsidR="00D624B7" w:rsidRDefault="00D624B7" w:rsidP="00D624B7"/>
        </w:tc>
        <w:tc>
          <w:tcPr>
            <w:tcW w:w="4408" w:type="dxa"/>
          </w:tcPr>
          <w:p w:rsidR="00D624B7" w:rsidRPr="00D624B7" w:rsidRDefault="00D624B7" w:rsidP="003B1880">
            <w:r>
              <w:t xml:space="preserve">Benchmarking indicates Powerlink has not been performing as efficiently as other </w:t>
            </w:r>
            <w:r w:rsidR="003B1880">
              <w:t>transmission businesses</w:t>
            </w:r>
            <w:r w:rsidR="00EE0242">
              <w:t xml:space="preserve"> in the NEM</w:t>
            </w:r>
            <w:r>
              <w:t>. Powerlink also acknowledges that it can be more efficient. It has proposed a material efficiency adjustment to its own opex forecast and strong productivity growth.</w:t>
            </w:r>
          </w:p>
        </w:tc>
      </w:tr>
      <w:tr w:rsidR="00D624B7" w:rsidRPr="004B005E" w:rsidTr="00D2284C">
        <w:tc>
          <w:tcPr>
            <w:tcW w:w="1273" w:type="dxa"/>
          </w:tcPr>
          <w:p w:rsidR="00D624B7" w:rsidRPr="00D624B7" w:rsidRDefault="00D624B7" w:rsidP="00D624B7">
            <w:r w:rsidRPr="00877977">
              <w:t>Cotton Australia</w:t>
            </w:r>
          </w:p>
        </w:tc>
        <w:tc>
          <w:tcPr>
            <w:tcW w:w="2776" w:type="dxa"/>
          </w:tcPr>
          <w:p w:rsidR="00D624B7" w:rsidRPr="00D624B7" w:rsidRDefault="00147500" w:rsidP="00147500">
            <w:r>
              <w:t>W</w:t>
            </w:r>
            <w:r w:rsidR="00D624B7" w:rsidRPr="00D624B7">
              <w:t>e should implement a benchmarking approach transmission networks for the next regulatory period, and investigate issues of labour costs and the effectiveness of efficiency incentive schemes.</w:t>
            </w:r>
            <w:r w:rsidR="00BB1FFB">
              <w:rPr>
                <w:rStyle w:val="FootnoteReference"/>
              </w:rPr>
              <w:footnoteReference w:id="69"/>
            </w:r>
          </w:p>
        </w:tc>
        <w:tc>
          <w:tcPr>
            <w:tcW w:w="236" w:type="dxa"/>
          </w:tcPr>
          <w:p w:rsidR="00D624B7" w:rsidRDefault="00D624B7" w:rsidP="00D624B7"/>
        </w:tc>
        <w:tc>
          <w:tcPr>
            <w:tcW w:w="4408" w:type="dxa"/>
          </w:tcPr>
          <w:p w:rsidR="00E24FF3" w:rsidRPr="00D624B7" w:rsidRDefault="00F3727A" w:rsidP="006C7B85">
            <w:r w:rsidRPr="00F3727A">
              <w:t xml:space="preserve">We agree with Cotton </w:t>
            </w:r>
            <w:r w:rsidR="006C7B85">
              <w:t xml:space="preserve">Australia </w:t>
            </w:r>
            <w:r w:rsidRPr="00F3727A">
              <w:t xml:space="preserve">regarding the value of benchmarking as an assessment tool. However, further work needs to be done to advance our understanding of how we specify outputs </w:t>
            </w:r>
            <w:r w:rsidR="006C7B85">
              <w:t xml:space="preserve">for transmission networks </w:t>
            </w:r>
            <w:r w:rsidRPr="00F3727A">
              <w:t xml:space="preserve">and how we account for the different environmental factors each </w:t>
            </w:r>
            <w:r w:rsidR="006C7B85">
              <w:t xml:space="preserve">transmission network service provider </w:t>
            </w:r>
            <w:r w:rsidRPr="00F3727A">
              <w:t>operates under</w:t>
            </w:r>
            <w:r>
              <w:t>, as discussed in section 7.4.1 above.</w:t>
            </w:r>
          </w:p>
        </w:tc>
      </w:tr>
    </w:tbl>
    <w:p w:rsidR="006B6B78" w:rsidRPr="006B6B78" w:rsidRDefault="006B6B78" w:rsidP="006B6B78">
      <w:pPr>
        <w:pStyle w:val="Heading3"/>
      </w:pPr>
      <w:bookmarkStart w:id="92" w:name="_Toc457914201"/>
      <w:bookmarkStart w:id="93" w:name="_Toc462752407"/>
      <w:r w:rsidRPr="006B6B78">
        <w:t>Assessment of opex factors under the Rules</w:t>
      </w:r>
      <w:bookmarkEnd w:id="92"/>
      <w:bookmarkEnd w:id="93"/>
    </w:p>
    <w:p w:rsidR="006B6B78" w:rsidRDefault="006B6B78" w:rsidP="006B6B78">
      <w:r w:rsidRPr="007B531D">
        <w:t xml:space="preserve">In deciding whether or not we are satisfied </w:t>
      </w:r>
      <w:r w:rsidR="00147500">
        <w:t>a</w:t>
      </w:r>
      <w:r w:rsidR="00147500" w:rsidRPr="007B531D">
        <w:t xml:space="preserve"> </w:t>
      </w:r>
      <w:r w:rsidRPr="007B531D">
        <w:t xml:space="preserve">service provider's forecast reasonably reflects the </w:t>
      </w:r>
      <w:r>
        <w:t>'</w:t>
      </w:r>
      <w:r w:rsidRPr="007B531D">
        <w:t>opex criteria</w:t>
      </w:r>
      <w:r>
        <w:t>'</w:t>
      </w:r>
      <w:r w:rsidRPr="007B531D">
        <w:t xml:space="preserve"> </w:t>
      </w:r>
      <w:r>
        <w:t xml:space="preserve">under the </w:t>
      </w:r>
      <w:r w:rsidR="00D064D0">
        <w:t>NER</w:t>
      </w:r>
      <w:r>
        <w:t xml:space="preserve">, </w:t>
      </w:r>
      <w:r w:rsidRPr="007B531D">
        <w:t>we ha</w:t>
      </w:r>
      <w:r>
        <w:t>ve regard to the 'opex factors'.</w:t>
      </w:r>
      <w:r>
        <w:rPr>
          <w:rStyle w:val="FootnoteReference"/>
        </w:rPr>
        <w:footnoteReference w:id="70"/>
      </w:r>
      <w:r>
        <w:t xml:space="preserve"> </w:t>
      </w:r>
    </w:p>
    <w:p w:rsidR="006B6B78" w:rsidRPr="00302865" w:rsidRDefault="006B6B78" w:rsidP="006B6B78">
      <w:r w:rsidRPr="00302865">
        <w:t>We attach different weight to different factors when making our decision to best achieve the NEO. This approach has been sum</w:t>
      </w:r>
      <w:r>
        <w:t>marised by the AEMC as follows:</w:t>
      </w:r>
      <w:r>
        <w:rPr>
          <w:rStyle w:val="FootnoteReference"/>
        </w:rPr>
        <w:footnoteReference w:id="71"/>
      </w:r>
    </w:p>
    <w:p w:rsidR="006B6B78" w:rsidRDefault="006B6B78" w:rsidP="006B6B78">
      <w:pPr>
        <w:pStyle w:val="AERquote"/>
      </w:pPr>
      <w:r w:rsidRPr="00302865">
        <w:lastRenderedPageBreak/>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4F53C3" w:rsidRPr="00302865" w:rsidRDefault="00395566" w:rsidP="006B6B78">
      <w:r>
        <w:fldChar w:fldCharType="begin"/>
      </w:r>
      <w:r>
        <w:instrText xml:space="preserve"> REF _Ref461549770 \h </w:instrText>
      </w:r>
      <w:r>
        <w:fldChar w:fldCharType="separate"/>
      </w:r>
      <w:r w:rsidR="00943BFB">
        <w:t xml:space="preserve">Table </w:t>
      </w:r>
      <w:r w:rsidR="00943BFB">
        <w:rPr>
          <w:noProof/>
        </w:rPr>
        <w:t>7</w:t>
      </w:r>
      <w:r w:rsidR="00943BFB">
        <w:t>.</w:t>
      </w:r>
      <w:r w:rsidR="00943BFB">
        <w:rPr>
          <w:noProof/>
        </w:rPr>
        <w:t>4</w:t>
      </w:r>
      <w:r>
        <w:fldChar w:fldCharType="end"/>
      </w:r>
      <w:r>
        <w:t xml:space="preserve"> </w:t>
      </w:r>
      <w:r w:rsidR="006B6B78" w:rsidRPr="007B531D">
        <w:t xml:space="preserve">summarises how we have taken the opex factors into account in making our </w:t>
      </w:r>
      <w:r w:rsidR="006B6B78">
        <w:t>draft</w:t>
      </w:r>
      <w:r w:rsidR="006B6B78" w:rsidRPr="007B531D">
        <w:t xml:space="preserve"> decision.</w:t>
      </w:r>
    </w:p>
    <w:p w:rsidR="006B6B78" w:rsidRPr="00D06CCA" w:rsidRDefault="00395566" w:rsidP="00395566">
      <w:pPr>
        <w:pStyle w:val="Caption"/>
      </w:pPr>
      <w:bookmarkStart w:id="94" w:name="_Ref461549770"/>
      <w:proofErr w:type="gramStart"/>
      <w:r>
        <w:t xml:space="preserve">Table </w:t>
      </w:r>
      <w:r w:rsidR="006C1BC1">
        <w:fldChar w:fldCharType="begin"/>
      </w:r>
      <w:r w:rsidR="006C1BC1">
        <w:instrText xml:space="preserve"> STYLEREF 1 \s </w:instrText>
      </w:r>
      <w:r w:rsidR="006C1BC1">
        <w:fldChar w:fldCharType="separate"/>
      </w:r>
      <w:r w:rsidR="00943BFB">
        <w:rPr>
          <w:noProof/>
        </w:rPr>
        <w:t>7</w:t>
      </w:r>
      <w:r w:rsidR="006C1BC1">
        <w:rPr>
          <w:noProof/>
        </w:rPr>
        <w:fldChar w:fldCharType="end"/>
      </w:r>
      <w:r>
        <w:t>.</w:t>
      </w:r>
      <w:proofErr w:type="gramEnd"/>
      <w:r w:rsidR="006C1BC1">
        <w:fldChar w:fldCharType="begin"/>
      </w:r>
      <w:r w:rsidR="006C1BC1">
        <w:instrText xml:space="preserve"> SEQ Table \* ARABIC \s 1 </w:instrText>
      </w:r>
      <w:r w:rsidR="006C1BC1">
        <w:fldChar w:fldCharType="separate"/>
      </w:r>
      <w:r w:rsidR="00943BFB">
        <w:rPr>
          <w:noProof/>
        </w:rPr>
        <w:t>4</w:t>
      </w:r>
      <w:r w:rsidR="006C1BC1">
        <w:rPr>
          <w:noProof/>
        </w:rPr>
        <w:fldChar w:fldCharType="end"/>
      </w:r>
      <w:bookmarkEnd w:id="94"/>
      <w:r w:rsidR="006B6B78" w:rsidRPr="00D06CCA">
        <w:tab/>
      </w:r>
      <w:r w:rsidR="006B6B78">
        <w:t>Our</w:t>
      </w:r>
      <w:r w:rsidR="006B6B78" w:rsidRPr="00242C89">
        <w:t xml:space="preserve"> consideration of </w:t>
      </w:r>
      <w:r w:rsidR="006B6B78">
        <w:t xml:space="preserve">the </w:t>
      </w:r>
      <w:r w:rsidR="006B6B78" w:rsidRPr="00242C89">
        <w:t>opex factors</w:t>
      </w:r>
    </w:p>
    <w:tbl>
      <w:tblPr>
        <w:tblStyle w:val="AERtable-text0"/>
        <w:tblW w:w="0" w:type="auto"/>
        <w:tblLook w:val="04A0" w:firstRow="1" w:lastRow="0" w:firstColumn="1" w:lastColumn="0" w:noHBand="0" w:noVBand="1"/>
      </w:tblPr>
      <w:tblGrid>
        <w:gridCol w:w="3227"/>
        <w:gridCol w:w="5466"/>
      </w:tblGrid>
      <w:tr w:rsidR="006B6B78" w:rsidRPr="008946FF" w:rsidTr="006B6B78">
        <w:trPr>
          <w:cnfStyle w:val="100000000000" w:firstRow="1" w:lastRow="0" w:firstColumn="0" w:lastColumn="0" w:oddVBand="0" w:evenVBand="0" w:oddHBand="0" w:evenHBand="0" w:firstRowFirstColumn="0" w:firstRowLastColumn="0" w:lastRowFirstColumn="0" w:lastRowLastColumn="0"/>
          <w:tblHeader/>
        </w:trPr>
        <w:tc>
          <w:tcPr>
            <w:tcW w:w="3227" w:type="dxa"/>
          </w:tcPr>
          <w:p w:rsidR="006B6B78" w:rsidRPr="006B6B78" w:rsidRDefault="006B6B78" w:rsidP="006B6B78">
            <w:r w:rsidRPr="008946FF">
              <w:t>Opex factor</w:t>
            </w:r>
          </w:p>
        </w:tc>
        <w:tc>
          <w:tcPr>
            <w:tcW w:w="5466" w:type="dxa"/>
          </w:tcPr>
          <w:p w:rsidR="006B6B78" w:rsidRPr="006B6B78" w:rsidRDefault="006B6B78" w:rsidP="006B6B78">
            <w:r w:rsidRPr="008946FF">
              <w:t>Consideration</w:t>
            </w:r>
          </w:p>
        </w:tc>
      </w:tr>
      <w:tr w:rsidR="006B6B78" w:rsidRPr="008946FF" w:rsidTr="006B6B78">
        <w:tc>
          <w:tcPr>
            <w:tcW w:w="3227" w:type="dxa"/>
          </w:tcPr>
          <w:p w:rsidR="006B6B78" w:rsidRPr="006B6B78" w:rsidRDefault="007314D0" w:rsidP="00F871A7">
            <w:r w:rsidRPr="007314D0">
              <w:t xml:space="preserve">The most recent annual benchmarking report that has been published under clause 6A.31 and the benchmark </w:t>
            </w:r>
            <w:r w:rsidR="003D21D5">
              <w:t>opex</w:t>
            </w:r>
            <w:r w:rsidRPr="007314D0">
              <w:t xml:space="preserve"> that would be incurred by an efficient Transmission Network Service Provider over the relevant regulatory control period</w:t>
            </w:r>
            <w:r w:rsidR="00F871A7">
              <w:t>.</w:t>
            </w:r>
          </w:p>
        </w:tc>
        <w:tc>
          <w:tcPr>
            <w:tcW w:w="5466" w:type="dxa"/>
          </w:tcPr>
          <w:p w:rsidR="006B6B78" w:rsidRPr="006B6B78" w:rsidRDefault="006B6B78" w:rsidP="006B6B78">
            <w:r>
              <w:t>W</w:t>
            </w:r>
            <w:r w:rsidRPr="006B6B78">
              <w:t xml:space="preserve">e have considered the results of our most recent annual distribution benchmarking report in estimating </w:t>
            </w:r>
            <w:r w:rsidR="007A1FDE">
              <w:t>Powerlink's</w:t>
            </w:r>
            <w:r w:rsidRPr="006B6B78">
              <w:t xml:space="preserve"> efficient base opex (section 7.4.1). </w:t>
            </w:r>
            <w:r w:rsidR="007A1FDE" w:rsidRPr="007A1FDE">
              <w:t>Our benchmarking results suggest Powerlink has been operating at relatively lower levels of productivity when compared to other transmission businesses in the NEM.</w:t>
            </w:r>
            <w:r w:rsidR="004179EF">
              <w:rPr>
                <w:rStyle w:val="FootnoteReference"/>
              </w:rPr>
              <w:footnoteReference w:id="72"/>
            </w:r>
          </w:p>
          <w:p w:rsidR="006B6B78" w:rsidRPr="006B6B78" w:rsidRDefault="006B6B78" w:rsidP="000E3A3A">
            <w:r w:rsidRPr="008946FF">
              <w:t xml:space="preserve">We have used </w:t>
            </w:r>
            <w:r w:rsidRPr="006B6B78">
              <w:t xml:space="preserve">economic benchmarking, opex cost function modelling and expert forecasting information to estimate the benchmark opex that would be incurred by an efficient provider over the forecast period. </w:t>
            </w:r>
            <w:r w:rsidR="00735D53">
              <w:t>Based on this, w</w:t>
            </w:r>
            <w:r w:rsidRPr="006B6B78">
              <w:t xml:space="preserve">e have formed a view on the efficiency of </w:t>
            </w:r>
            <w:r w:rsidR="007A1FDE">
              <w:t>Powerlink's</w:t>
            </w:r>
            <w:r w:rsidRPr="006B6B78">
              <w:t xml:space="preserve"> proposed total forecast opex compared to the benchmark efficient opex that would be incurred over the relevant regulatory control period. We have found </w:t>
            </w:r>
            <w:r w:rsidR="007A1FDE">
              <w:t>Powerlink's</w:t>
            </w:r>
            <w:r w:rsidRPr="006B6B78">
              <w:t xml:space="preserve"> </w:t>
            </w:r>
            <w:r w:rsidR="007A1FDE">
              <w:t>forecast</w:t>
            </w:r>
            <w:r w:rsidR="007A1FDE" w:rsidRPr="006B6B78">
              <w:t xml:space="preserve"> </w:t>
            </w:r>
            <w:r w:rsidRPr="006B6B78">
              <w:t xml:space="preserve">opex to be lower than our independent estimate. We have assessed the reasons for this difference to be reasonable. </w:t>
            </w:r>
          </w:p>
        </w:tc>
      </w:tr>
      <w:tr w:rsidR="006B6B78" w:rsidRPr="008946FF" w:rsidTr="006B6B78">
        <w:trPr>
          <w:cnfStyle w:val="000000010000" w:firstRow="0" w:lastRow="0" w:firstColumn="0" w:lastColumn="0" w:oddVBand="0" w:evenVBand="0" w:oddHBand="0" w:evenHBand="1" w:firstRowFirstColumn="0" w:firstRowLastColumn="0" w:lastRowFirstColumn="0" w:lastRowLastColumn="0"/>
        </w:trPr>
        <w:tc>
          <w:tcPr>
            <w:tcW w:w="3227" w:type="dxa"/>
          </w:tcPr>
          <w:p w:rsidR="006B6B78" w:rsidRPr="006B6B78" w:rsidRDefault="007314D0" w:rsidP="00F871A7">
            <w:r w:rsidRPr="007314D0">
              <w:t xml:space="preserve">The actual and expected </w:t>
            </w:r>
            <w:r w:rsidR="003D21D5">
              <w:t>opex</w:t>
            </w:r>
            <w:r w:rsidRPr="007314D0">
              <w:t xml:space="preserve"> of the Transmission Network Service Provider during any preceding regulatory control periods</w:t>
            </w:r>
            <w:r w:rsidR="00F871A7">
              <w:t>.</w:t>
            </w:r>
          </w:p>
        </w:tc>
        <w:tc>
          <w:tcPr>
            <w:tcW w:w="5466" w:type="dxa"/>
          </w:tcPr>
          <w:p w:rsidR="006B6B78" w:rsidRPr="006B6B78" w:rsidRDefault="006B6B78" w:rsidP="006B6B78">
            <w:r>
              <w:t>W</w:t>
            </w:r>
            <w:r w:rsidRPr="006B6B78">
              <w:t xml:space="preserve">e have forecast </w:t>
            </w:r>
            <w:r w:rsidR="007A1FDE">
              <w:t>Powerlink's</w:t>
            </w:r>
            <w:r w:rsidRPr="006B6B78">
              <w:t xml:space="preserve"> efficient opex over 2017</w:t>
            </w:r>
            <w:r w:rsidR="00704AD1" w:rsidRPr="006B6B78">
              <w:t>–</w:t>
            </w:r>
            <w:r w:rsidR="007A1FDE">
              <w:t>22</w:t>
            </w:r>
            <w:r w:rsidRPr="006B6B78">
              <w:t xml:space="preserve"> using its actual opex in 2014-15 as the starting point. We have compared several years of </w:t>
            </w:r>
            <w:r w:rsidR="007A1FDE">
              <w:t>Powerlink's</w:t>
            </w:r>
            <w:r w:rsidRPr="006B6B78">
              <w:t xml:space="preserve"> actual past opex with that of other service providers to form a view about whether or not its revealed expenditure is sufficiently efficient to rely on it as the basis for forecasting required opex in the forthcoming period.</w:t>
            </w:r>
          </w:p>
          <w:p w:rsidR="006B6B78" w:rsidRPr="006B6B78" w:rsidRDefault="006B6B78" w:rsidP="00100570">
            <w:r>
              <w:t xml:space="preserve">We have </w:t>
            </w:r>
            <w:r w:rsidRPr="006B6B78">
              <w:t>taken into accoun</w:t>
            </w:r>
            <w:r w:rsidR="007A1FDE">
              <w:t xml:space="preserve">t a lower </w:t>
            </w:r>
            <w:r w:rsidR="00E63110">
              <w:t xml:space="preserve">than </w:t>
            </w:r>
            <w:r w:rsidRPr="006B6B78">
              <w:t xml:space="preserve">expected </w:t>
            </w:r>
            <w:r w:rsidR="007A1FDE">
              <w:t>increase</w:t>
            </w:r>
            <w:r w:rsidRPr="006B6B78">
              <w:t xml:space="preserve"> in </w:t>
            </w:r>
            <w:r w:rsidR="007A1FDE">
              <w:t>Powerlink's</w:t>
            </w:r>
            <w:r w:rsidRPr="006B6B78">
              <w:t xml:space="preserve"> opex in the last year of the proceeding regulatory control period (2016-17)</w:t>
            </w:r>
            <w:r w:rsidR="007A1FDE">
              <w:t xml:space="preserve"> than we allowed in our last regulatory decision</w:t>
            </w:r>
            <w:r w:rsidRPr="006B6B78">
              <w:t xml:space="preserve"> in forecasting efficient opex over 2017–</w:t>
            </w:r>
            <w:r w:rsidR="00100570">
              <w:t>22</w:t>
            </w:r>
            <w:r w:rsidRPr="006B6B78">
              <w:t xml:space="preserve">. </w:t>
            </w:r>
          </w:p>
        </w:tc>
      </w:tr>
      <w:tr w:rsidR="006B6B78" w:rsidRPr="008946FF" w:rsidTr="006B6B78">
        <w:tc>
          <w:tcPr>
            <w:tcW w:w="3227" w:type="dxa"/>
          </w:tcPr>
          <w:p w:rsidR="006B6B78" w:rsidRPr="006B6B78" w:rsidRDefault="007314D0" w:rsidP="00F871A7">
            <w:r w:rsidRPr="007314D0">
              <w:t xml:space="preserve">The extent to which the </w:t>
            </w:r>
            <w:r w:rsidR="003D21D5">
              <w:t>opex</w:t>
            </w:r>
            <w:r w:rsidRPr="007314D0">
              <w:t xml:space="preserve"> forecast includes expenditure to address the concerns of electricity consumers as identified by the Transmission Network Service Provider in the course of its engage</w:t>
            </w:r>
            <w:r>
              <w:t>ment with electricity consumers</w:t>
            </w:r>
            <w:r w:rsidR="006B6B78" w:rsidRPr="008946FF">
              <w:t>.</w:t>
            </w:r>
          </w:p>
        </w:tc>
        <w:tc>
          <w:tcPr>
            <w:tcW w:w="5466" w:type="dxa"/>
          </w:tcPr>
          <w:p w:rsidR="006B6B78" w:rsidRPr="006B6B78" w:rsidRDefault="006B6B78" w:rsidP="006B6B78">
            <w:r w:rsidRPr="008946FF">
              <w:t xml:space="preserve">We understand the intention of this particular factor is to require us to have regard to the extent to which service providers have engaged with consumers in preparing their </w:t>
            </w:r>
            <w:r w:rsidR="001A2100">
              <w:t>revenue</w:t>
            </w:r>
            <w:r w:rsidR="001A2100" w:rsidRPr="008946FF">
              <w:t xml:space="preserve"> </w:t>
            </w:r>
            <w:r w:rsidRPr="008946FF">
              <w:t>proposals, such that they factor in the needs of consumers.</w:t>
            </w:r>
            <w:r w:rsidRPr="006B6B78">
              <w:rPr>
                <w:rStyle w:val="AERsuperscript"/>
              </w:rPr>
              <w:footnoteReference w:id="73"/>
            </w:r>
            <w:r w:rsidRPr="006B6B78">
              <w:rPr>
                <w:rStyle w:val="AERsuperscript"/>
              </w:rPr>
              <w:t xml:space="preserve"> </w:t>
            </w:r>
          </w:p>
          <w:p w:rsidR="006B6B78" w:rsidRPr="006B6B78" w:rsidRDefault="006B6B78" w:rsidP="000B30A8">
            <w:r>
              <w:t xml:space="preserve">We </w:t>
            </w:r>
            <w:r w:rsidRPr="006B6B78">
              <w:t xml:space="preserve">consider </w:t>
            </w:r>
            <w:r w:rsidR="009D6956">
              <w:t>Powerlink's</w:t>
            </w:r>
            <w:r w:rsidRPr="006B6B78">
              <w:t xml:space="preserve"> opex forecast includes expenditure to address concerns of electricity consumers identified by </w:t>
            </w:r>
            <w:r w:rsidR="00E63110">
              <w:t>Powerlink</w:t>
            </w:r>
            <w:r w:rsidR="00E63110" w:rsidRPr="006B6B78">
              <w:t xml:space="preserve"> </w:t>
            </w:r>
            <w:r w:rsidRPr="006B6B78">
              <w:t xml:space="preserve">in the course of its engagement with electricity consumers. </w:t>
            </w:r>
            <w:r w:rsidR="009D6956">
              <w:t xml:space="preserve">Powerlink </w:t>
            </w:r>
            <w:r w:rsidR="000B30A8">
              <w:t xml:space="preserve">stated </w:t>
            </w:r>
            <w:r w:rsidR="009D6956">
              <w:t>its</w:t>
            </w:r>
            <w:r w:rsidR="009D6956" w:rsidRPr="009D6956">
              <w:t xml:space="preserve"> forecast productivity gains</w:t>
            </w:r>
            <w:r w:rsidR="009D6956">
              <w:t>, which we have accepted,</w:t>
            </w:r>
            <w:r w:rsidR="009D6956" w:rsidRPr="009D6956">
              <w:t xml:space="preserve"> are based on a detailed </w:t>
            </w:r>
            <w:r w:rsidR="009D6956">
              <w:t>'</w:t>
            </w:r>
            <w:r w:rsidR="009D6956" w:rsidRPr="009D6956">
              <w:t>line-by-line</w:t>
            </w:r>
            <w:r w:rsidR="009D6956">
              <w:t xml:space="preserve">' </w:t>
            </w:r>
            <w:r w:rsidR="009D6956" w:rsidRPr="009D6956">
              <w:t xml:space="preserve">assessment of the potential efficiencies across its </w:t>
            </w:r>
            <w:r w:rsidR="009D6956">
              <w:t>opex</w:t>
            </w:r>
            <w:r w:rsidR="009D6956" w:rsidRPr="009D6956">
              <w:t xml:space="preserve"> program</w:t>
            </w:r>
            <w:r w:rsidR="009D6956">
              <w:t xml:space="preserve"> (section 7.1, section 7.4.3)</w:t>
            </w:r>
            <w:r w:rsidR="009D6956" w:rsidRPr="009D6956">
              <w:t>. This approach</w:t>
            </w:r>
            <w:r w:rsidR="009D6956">
              <w:t xml:space="preserve"> it says </w:t>
            </w:r>
            <w:r w:rsidR="009D6956" w:rsidRPr="009D6956">
              <w:t xml:space="preserve">is consistent with feedback from </w:t>
            </w:r>
            <w:r w:rsidR="009D6956">
              <w:t>consumers</w:t>
            </w:r>
            <w:r w:rsidR="009D6956" w:rsidRPr="009D6956">
              <w:t xml:space="preserve"> that Powerlink should undertake a “deep dive” to</w:t>
            </w:r>
            <w:r w:rsidR="009D6956">
              <w:t xml:space="preserve"> </w:t>
            </w:r>
            <w:r w:rsidR="009D6956" w:rsidRPr="009D6956">
              <w:t>identify operational efficiencies and reflects the impact of Powerlink’s ongoing focus on achieving efficiencies and</w:t>
            </w:r>
            <w:r w:rsidR="009D6956">
              <w:t xml:space="preserve"> </w:t>
            </w:r>
            <w:r w:rsidR="009D6956" w:rsidRPr="009D6956">
              <w:t>cost reduction.</w:t>
            </w:r>
            <w:r w:rsidR="009D6956">
              <w:t xml:space="preserve"> </w:t>
            </w:r>
          </w:p>
        </w:tc>
      </w:tr>
      <w:tr w:rsidR="006B6B78" w:rsidRPr="008946FF" w:rsidTr="006B6B78">
        <w:trPr>
          <w:cnfStyle w:val="000000010000" w:firstRow="0" w:lastRow="0" w:firstColumn="0" w:lastColumn="0" w:oddVBand="0" w:evenVBand="0" w:oddHBand="0" w:evenHBand="1" w:firstRowFirstColumn="0" w:firstRowLastColumn="0" w:lastRowFirstColumn="0" w:lastRowLastColumn="0"/>
        </w:trPr>
        <w:tc>
          <w:tcPr>
            <w:tcW w:w="3227" w:type="dxa"/>
          </w:tcPr>
          <w:p w:rsidR="006B6B78" w:rsidRPr="006B6B78" w:rsidRDefault="006B6B78" w:rsidP="006B6B78">
            <w:r w:rsidRPr="008946FF">
              <w:t xml:space="preserve">The relative prices of capital and </w:t>
            </w:r>
            <w:r w:rsidRPr="008946FF">
              <w:lastRenderedPageBreak/>
              <w:t>operating inputs</w:t>
            </w:r>
            <w:r w:rsidR="007314D0">
              <w:t>.</w:t>
            </w:r>
          </w:p>
        </w:tc>
        <w:tc>
          <w:tcPr>
            <w:tcW w:w="5466" w:type="dxa"/>
          </w:tcPr>
          <w:p w:rsidR="006B6B78" w:rsidRPr="006B6B78" w:rsidRDefault="006B6B78" w:rsidP="006B6B78">
            <w:r w:rsidRPr="00B817EF">
              <w:lastRenderedPageBreak/>
              <w:t xml:space="preserve">We </w:t>
            </w:r>
            <w:r w:rsidRPr="006B6B78">
              <w:t xml:space="preserve">have had regard to multilateral total factor productivity benchmarking </w:t>
            </w:r>
            <w:r w:rsidRPr="006B6B78">
              <w:lastRenderedPageBreak/>
              <w:t xml:space="preserve">when deciding whether or not </w:t>
            </w:r>
            <w:r w:rsidR="007A1FDE">
              <w:t xml:space="preserve">Powerlink's </w:t>
            </w:r>
            <w:r w:rsidRPr="006B6B78">
              <w:t>forecast opex reflects the opex criteria</w:t>
            </w:r>
            <w:r w:rsidRPr="006B6B78">
              <w:softHyphen/>
            </w:r>
            <w:r w:rsidRPr="006B6B78">
              <w:softHyphen/>
              <w:t xml:space="preserve"> - rather than looking at opex productivity in isolation. Our multilateral total factor productivity analysis considers the overall efficiency of networks in the use of both capital and operating inputs.</w:t>
            </w:r>
          </w:p>
          <w:p w:rsidR="006B6B78" w:rsidRPr="006B6B78" w:rsidRDefault="00E63110" w:rsidP="006B6B78">
            <w:r w:rsidRPr="004D6228">
              <w:t xml:space="preserve">We adopted </w:t>
            </w:r>
            <w:r w:rsidRPr="00E63110">
              <w:t xml:space="preserve">price escalation factors that account for the relative prices of opex and capex inputs. </w:t>
            </w:r>
          </w:p>
          <w:p w:rsidR="00E63110" w:rsidRPr="006B6B78" w:rsidRDefault="00735D53" w:rsidP="00735D53">
            <w:r w:rsidRPr="00735D53">
              <w:t xml:space="preserve">One reason we will include a step change in our alternative opex forecast is if the service provider proposes a capex/opex trade-off. We consider the relative expense of capex and opex solutions in considering such a trade-off. </w:t>
            </w:r>
            <w:r>
              <w:t>Powerlink</w:t>
            </w:r>
            <w:r w:rsidRPr="00735D53">
              <w:t xml:space="preserve"> did not propose any step changes.  </w:t>
            </w:r>
          </w:p>
        </w:tc>
      </w:tr>
      <w:tr w:rsidR="006B6B78" w:rsidRPr="008946FF" w:rsidTr="006B6B78">
        <w:tc>
          <w:tcPr>
            <w:tcW w:w="3227" w:type="dxa"/>
          </w:tcPr>
          <w:p w:rsidR="006B6B78" w:rsidRPr="006B6B78" w:rsidRDefault="006B6B78" w:rsidP="006B6B78">
            <w:r w:rsidRPr="008946FF">
              <w:lastRenderedPageBreak/>
              <w:t>The substitution possibilities between operating and capital expenditure.</w:t>
            </w:r>
          </w:p>
        </w:tc>
        <w:tc>
          <w:tcPr>
            <w:tcW w:w="5466" w:type="dxa"/>
          </w:tcPr>
          <w:p w:rsidR="00E63110" w:rsidRPr="00E63110" w:rsidRDefault="00E63110" w:rsidP="00E63110">
            <w:r w:rsidRPr="00B817EF">
              <w:t xml:space="preserve">The efficiency incentive </w:t>
            </w:r>
            <w:r w:rsidRPr="00E63110">
              <w:t>schemes that we</w:t>
            </w:r>
            <w:r>
              <w:t xml:space="preserve"> have</w:t>
            </w:r>
            <w:r w:rsidRPr="00E63110">
              <w:t xml:space="preserve"> appl</w:t>
            </w:r>
            <w:r>
              <w:t>ied</w:t>
            </w:r>
            <w:r w:rsidRPr="00E63110">
              <w:t xml:space="preserve"> to </w:t>
            </w:r>
            <w:r>
              <w:t>Powerlink</w:t>
            </w:r>
            <w:r w:rsidRPr="00E63110">
              <w:t xml:space="preserve"> recognise the substitution possibilities between opex and capex. These schemes set the incentives to reduce opex and capex equal so that there is an incentive to undertake efficient capex/opex trade-offs. </w:t>
            </w:r>
          </w:p>
          <w:p w:rsidR="006B6B78" w:rsidRPr="006B6B78" w:rsidRDefault="006B6B78" w:rsidP="006B6B78">
            <w:r>
              <w:t>I</w:t>
            </w:r>
            <w:r w:rsidRPr="006B6B78">
              <w:t xml:space="preserve">n developing our benchmarking models, we have had regard to the relationship between capital, opex and outputs. We have used our benchmarking to assess whether </w:t>
            </w:r>
            <w:r w:rsidR="007A1FDE">
              <w:t>Powerlink's</w:t>
            </w:r>
            <w:r w:rsidRPr="006B6B78">
              <w:t xml:space="preserve"> base opex is efficient (section 7.4.1).</w:t>
            </w:r>
            <w:r w:rsidR="00F31984">
              <w:rPr>
                <w:rStyle w:val="FootnoteReference"/>
              </w:rPr>
              <w:footnoteReference w:id="74"/>
            </w:r>
            <w:r w:rsidRPr="006B6B78">
              <w:t xml:space="preserve"> </w:t>
            </w:r>
          </w:p>
          <w:p w:rsidR="006B6B78" w:rsidRDefault="006B6B78" w:rsidP="00CC4320">
            <w:r w:rsidRPr="008946FF">
              <w:t>We also had regard to multilateral total factor productivity benchmarking when deciding whether or not</w:t>
            </w:r>
            <w:r w:rsidRPr="006B6B78">
              <w:t xml:space="preserve"> </w:t>
            </w:r>
            <w:r w:rsidR="007A1FDE">
              <w:t>Powerlink's</w:t>
            </w:r>
            <w:r w:rsidRPr="006B6B78">
              <w:t xml:space="preserve"> forecast opex reflects the opex criteria</w:t>
            </w:r>
            <w:r w:rsidRPr="006B6B78">
              <w:softHyphen/>
            </w:r>
            <w:r w:rsidRPr="006B6B78">
              <w:softHyphen/>
              <w:t xml:space="preserve"> - rather than looking at opex productivity benchmarking results in isolation. Our multilateral total factor productivity analysis considers the overall efficiency of networks in the use of both capital and operating inputs. We have considered how different capitalisation policies of the service providers may affect opex performance under benchmarking.</w:t>
            </w:r>
            <w:r w:rsidRPr="006B6B78">
              <w:rPr>
                <w:rStyle w:val="FootnoteReference"/>
              </w:rPr>
              <w:footnoteReference w:id="75"/>
            </w:r>
            <w:r w:rsidRPr="006B6B78">
              <w:t xml:space="preserve"> </w:t>
            </w:r>
          </w:p>
          <w:p w:rsidR="00E63110" w:rsidRPr="006B6B78" w:rsidRDefault="00E63110" w:rsidP="00E63110">
            <w:r>
              <w:t>As noted above, w</w:t>
            </w:r>
            <w:r w:rsidRPr="00E63110">
              <w:t xml:space="preserve">e consider substitution possibilities between opex and capex in considering step changes proposed as opex/capex trade-offs. </w:t>
            </w:r>
            <w:r>
              <w:t>Powerlink</w:t>
            </w:r>
            <w:r w:rsidRPr="00E63110">
              <w:t xml:space="preserve"> did not propose any step changes as capex/opex trade-offs.  </w:t>
            </w:r>
          </w:p>
        </w:tc>
      </w:tr>
      <w:tr w:rsidR="006B6B78" w:rsidRPr="008946FF" w:rsidTr="006B6B78">
        <w:trPr>
          <w:cnfStyle w:val="000000010000" w:firstRow="0" w:lastRow="0" w:firstColumn="0" w:lastColumn="0" w:oddVBand="0" w:evenVBand="0" w:oddHBand="0" w:evenHBand="1" w:firstRowFirstColumn="0" w:firstRowLastColumn="0" w:lastRowFirstColumn="0" w:lastRowLastColumn="0"/>
        </w:trPr>
        <w:tc>
          <w:tcPr>
            <w:tcW w:w="3227" w:type="dxa"/>
          </w:tcPr>
          <w:p w:rsidR="006B6B78" w:rsidRPr="006B6B78" w:rsidRDefault="007314D0" w:rsidP="00F871A7">
            <w:r w:rsidRPr="007314D0">
              <w:t xml:space="preserve">Whether the </w:t>
            </w:r>
            <w:r w:rsidR="003D21D5">
              <w:t>opex</w:t>
            </w:r>
            <w:r w:rsidRPr="007314D0">
              <w:t xml:space="preserve"> forecast is consistent with any incentive scheme or schemes that apply to the Transmission Network Service Provider under clauses 6A.6.5, 6A.7.4 or 6A.7.5</w:t>
            </w:r>
            <w:r w:rsidR="006B6B78" w:rsidRPr="008946FF">
              <w:t>.</w:t>
            </w:r>
          </w:p>
        </w:tc>
        <w:tc>
          <w:tcPr>
            <w:tcW w:w="5466" w:type="dxa"/>
          </w:tcPr>
          <w:p w:rsidR="006B6B78" w:rsidRPr="006B6B78" w:rsidRDefault="006B6B78" w:rsidP="006B6B78">
            <w:r w:rsidRPr="008946FF">
              <w:t xml:space="preserve">The incentive scheme that </w:t>
            </w:r>
            <w:r w:rsidRPr="006B6B78">
              <w:t xml:space="preserve">we applied to </w:t>
            </w:r>
            <w:r w:rsidR="00BF287D">
              <w:t>Powerlink's</w:t>
            </w:r>
            <w:r w:rsidRPr="006B6B78">
              <w:t xml:space="preserve"> opex in the 2012–17 regulatory control period, the EBSS, is intended to work in conjunction with our revealed cost forecasting approach.</w:t>
            </w:r>
          </w:p>
          <w:p w:rsidR="006B6B78" w:rsidRDefault="006B6B78" w:rsidP="006B6B78">
            <w:r w:rsidRPr="008946FF">
              <w:t xml:space="preserve">We have applied our estimate of base opex consistently in applying the EBSS and forecasting </w:t>
            </w:r>
            <w:r w:rsidR="00BF287D">
              <w:t>Powerlink's</w:t>
            </w:r>
            <w:r w:rsidRPr="006B6B78">
              <w:t xml:space="preserve"> opex for the 2017–</w:t>
            </w:r>
            <w:r w:rsidR="00100570">
              <w:t>22</w:t>
            </w:r>
            <w:r w:rsidR="00100570" w:rsidRPr="006B6B78">
              <w:t xml:space="preserve"> </w:t>
            </w:r>
            <w:r w:rsidRPr="006B6B78">
              <w:t xml:space="preserve">regulatory control </w:t>
            </w:r>
            <w:proofErr w:type="gramStart"/>
            <w:r w:rsidRPr="006B6B78">
              <w:t>period</w:t>
            </w:r>
            <w:proofErr w:type="gramEnd"/>
            <w:r w:rsidRPr="006B6B78">
              <w:t xml:space="preserve">. </w:t>
            </w:r>
          </w:p>
          <w:p w:rsidR="0034310D" w:rsidRPr="006B6B78" w:rsidRDefault="0034310D" w:rsidP="005D517E">
            <w:r w:rsidRPr="0034310D">
              <w:t xml:space="preserve">We removed Powerlink’s non-recurrent costs from its opex forecast and made a corresponding adjustment to Powerlink’s EBSS carryover amount. Attachment </w:t>
            </w:r>
            <w:r w:rsidR="005D517E">
              <w:t>9</w:t>
            </w:r>
            <w:r w:rsidR="005D517E" w:rsidRPr="0034310D">
              <w:t xml:space="preserve"> </w:t>
            </w:r>
            <w:r w:rsidRPr="0034310D">
              <w:t xml:space="preserve">of this </w:t>
            </w:r>
            <w:r w:rsidR="001A2100">
              <w:t xml:space="preserve">draft </w:t>
            </w:r>
            <w:r w:rsidRPr="0034310D">
              <w:t>decision explains this issue in more detail.</w:t>
            </w:r>
          </w:p>
        </w:tc>
      </w:tr>
      <w:tr w:rsidR="006B6B78" w:rsidRPr="008946FF" w:rsidTr="006B6B78">
        <w:tc>
          <w:tcPr>
            <w:tcW w:w="3227" w:type="dxa"/>
          </w:tcPr>
          <w:p w:rsidR="006B6B78" w:rsidRPr="006B6B78" w:rsidRDefault="007314D0" w:rsidP="00F871A7">
            <w:r w:rsidRPr="007314D0">
              <w:t xml:space="preserve">The extent the </w:t>
            </w:r>
            <w:r w:rsidR="003D21D5">
              <w:t>opex</w:t>
            </w:r>
            <w:r w:rsidRPr="007314D0">
              <w:t xml:space="preserve"> forecast is referable to arrangements with a person other than the Transmission Network Service Provider that, in the opinion of the AER, do not reflect arm’s length terms</w:t>
            </w:r>
            <w:r w:rsidR="00F871A7">
              <w:t>.</w:t>
            </w:r>
          </w:p>
        </w:tc>
        <w:tc>
          <w:tcPr>
            <w:tcW w:w="5466" w:type="dxa"/>
          </w:tcPr>
          <w:p w:rsidR="006B6B78" w:rsidRPr="006B6B78" w:rsidRDefault="006B6B78" w:rsidP="006B6B78">
            <w:r>
              <w:t>We</w:t>
            </w:r>
            <w:r w:rsidRPr="006B6B78">
              <w:t xml:space="preserve"> have assessed </w:t>
            </w:r>
            <w:r w:rsidR="00BF287D">
              <w:t>Powerlink's</w:t>
            </w:r>
            <w:r w:rsidRPr="006B6B78">
              <w:t xml:space="preserve"> total opex efficiency in deciding whether or not to accept </w:t>
            </w:r>
            <w:r w:rsidR="00BF287D">
              <w:t>Powerlink's</w:t>
            </w:r>
            <w:r w:rsidRPr="006B6B78">
              <w:t xml:space="preserve"> opex forecast. Given this, we are not necessarily concerned whether arrangements between </w:t>
            </w:r>
            <w:r w:rsidR="00BF287D">
              <w:t>Powerlink</w:t>
            </w:r>
            <w:r w:rsidRPr="006B6B78">
              <w:t xml:space="preserve"> and another person do or do not reflect arm's length terms. A service provider which uses related party providers can be efficient or it can be inefficient. Likewise, for a service provider who does not use related party providers. If a service provider is inefficient, we adjust their total forecast opex </w:t>
            </w:r>
            <w:r w:rsidRPr="006B6B78">
              <w:lastRenderedPageBreak/>
              <w:t>proposal, regardless of their arrangements with related providers.</w:t>
            </w:r>
          </w:p>
          <w:p w:rsidR="006B6B78" w:rsidRPr="006B6B78" w:rsidRDefault="00CC4320" w:rsidP="00610B5B">
            <w:r>
              <w:t>Powerlink</w:t>
            </w:r>
            <w:r w:rsidR="006B6B78">
              <w:t xml:space="preserve"> </w:t>
            </w:r>
            <w:r w:rsidR="00610B5B">
              <w:t>did however</w:t>
            </w:r>
            <w:r>
              <w:t xml:space="preserve"> </w:t>
            </w:r>
            <w:r w:rsidR="00610B5B">
              <w:t>confirm</w:t>
            </w:r>
            <w:r>
              <w:t xml:space="preserve"> that no</w:t>
            </w:r>
            <w:r w:rsidRPr="00CC4320">
              <w:t xml:space="preserve"> part of Powerlink’s forecast </w:t>
            </w:r>
            <w:r w:rsidR="003D21D5">
              <w:t>opex</w:t>
            </w:r>
            <w:r w:rsidRPr="00CC4320">
              <w:t xml:space="preserve"> is referable to related parties.</w:t>
            </w:r>
            <w:r>
              <w:rPr>
                <w:rStyle w:val="FootnoteReference"/>
              </w:rPr>
              <w:footnoteReference w:id="76"/>
            </w:r>
            <w:r w:rsidRPr="006B6B78">
              <w:t xml:space="preserve"> </w:t>
            </w:r>
          </w:p>
        </w:tc>
      </w:tr>
      <w:tr w:rsidR="006B6B78" w:rsidRPr="008946FF" w:rsidTr="006B6B78">
        <w:trPr>
          <w:cnfStyle w:val="000000010000" w:firstRow="0" w:lastRow="0" w:firstColumn="0" w:lastColumn="0" w:oddVBand="0" w:evenVBand="0" w:oddHBand="0" w:evenHBand="1" w:firstRowFirstColumn="0" w:firstRowLastColumn="0" w:lastRowFirstColumn="0" w:lastRowLastColumn="0"/>
        </w:trPr>
        <w:tc>
          <w:tcPr>
            <w:tcW w:w="3227" w:type="dxa"/>
          </w:tcPr>
          <w:p w:rsidR="006B6B78" w:rsidRPr="006B6B78" w:rsidRDefault="00F871A7" w:rsidP="00F871A7">
            <w:r w:rsidRPr="00F871A7">
              <w:lastRenderedPageBreak/>
              <w:t xml:space="preserve">Whether the </w:t>
            </w:r>
            <w:r w:rsidR="003D21D5">
              <w:t>opex</w:t>
            </w:r>
            <w:r w:rsidRPr="00F871A7">
              <w:t xml:space="preserve"> forecast includes an</w:t>
            </w:r>
            <w:r>
              <w:t xml:space="preserve"> </w:t>
            </w:r>
            <w:r w:rsidRPr="00F871A7">
              <w:t>amount relating to a project that should more appropriately be</w:t>
            </w:r>
            <w:r>
              <w:t xml:space="preserve"> </w:t>
            </w:r>
            <w:r w:rsidRPr="00F871A7">
              <w:t xml:space="preserve">included as a contingent project under clause </w:t>
            </w:r>
            <w:proofErr w:type="gramStart"/>
            <w:r w:rsidRPr="00F871A7">
              <w:t>6A.8.1(</w:t>
            </w:r>
            <w:proofErr w:type="gramEnd"/>
            <w:r w:rsidRPr="00F871A7">
              <w:t>b)</w:t>
            </w:r>
            <w:r>
              <w:t xml:space="preserve">. </w:t>
            </w:r>
          </w:p>
        </w:tc>
        <w:tc>
          <w:tcPr>
            <w:tcW w:w="5466" w:type="dxa"/>
          </w:tcPr>
          <w:p w:rsidR="006B6B78" w:rsidRPr="006B6B78" w:rsidRDefault="006B6B78" w:rsidP="00BF287D">
            <w:r w:rsidRPr="008946FF">
              <w:t xml:space="preserve">This factor is only relevant in the context of assessing proposed step changes (which may be explicit projects or programs). </w:t>
            </w:r>
            <w:r w:rsidR="00BF287D">
              <w:t>Powerlink</w:t>
            </w:r>
            <w:r w:rsidRPr="006B6B78">
              <w:t xml:space="preserve"> did not propose any opex step changes. </w:t>
            </w:r>
          </w:p>
        </w:tc>
      </w:tr>
      <w:tr w:rsidR="00F871A7" w:rsidRPr="008946FF" w:rsidTr="006B6B78">
        <w:tc>
          <w:tcPr>
            <w:tcW w:w="3227" w:type="dxa"/>
          </w:tcPr>
          <w:p w:rsidR="00F871A7" w:rsidRPr="008946FF" w:rsidRDefault="007314D0" w:rsidP="00F871A7">
            <w:r w:rsidRPr="007314D0">
              <w:t>The most recent NTNDP and any submissions made by AEMO, in</w:t>
            </w:r>
            <w:r>
              <w:t xml:space="preserve"> </w:t>
            </w:r>
            <w:r w:rsidRPr="007314D0">
              <w:t xml:space="preserve">accordance with the Rules, on the forecast of the Transmission Network Service </w:t>
            </w:r>
            <w:proofErr w:type="gramStart"/>
            <w:r w:rsidRPr="007314D0">
              <w:t>Provider’s</w:t>
            </w:r>
            <w:proofErr w:type="gramEnd"/>
            <w:r w:rsidRPr="007314D0">
              <w:t xml:space="preserve"> required </w:t>
            </w:r>
            <w:r w:rsidR="003D21D5">
              <w:t>opex</w:t>
            </w:r>
            <w:r w:rsidR="00F871A7" w:rsidRPr="00F871A7">
              <w:t>.</w:t>
            </w:r>
          </w:p>
        </w:tc>
        <w:tc>
          <w:tcPr>
            <w:tcW w:w="5466" w:type="dxa"/>
          </w:tcPr>
          <w:p w:rsidR="0034310D" w:rsidRDefault="00233B74" w:rsidP="00233B74">
            <w:r>
              <w:t>We have considered AEMO's</w:t>
            </w:r>
            <w:r w:rsidR="00D1689C" w:rsidRPr="00D1689C">
              <w:t xml:space="preserve"> most recent NTNDP</w:t>
            </w:r>
            <w:r>
              <w:rPr>
                <w:rStyle w:val="FootnoteReference"/>
              </w:rPr>
              <w:footnoteReference w:id="77"/>
            </w:r>
            <w:r>
              <w:t xml:space="preserve"> and do not consider Powerlink's forecast opex to be inconsistent with this. </w:t>
            </w:r>
            <w:r w:rsidR="0034310D">
              <w:t xml:space="preserve">AEMO did not make any submissions to the AER on Powerlink's forecast opex. </w:t>
            </w:r>
          </w:p>
        </w:tc>
      </w:tr>
      <w:tr w:rsidR="006B6B78" w:rsidRPr="008946FF" w:rsidTr="006B6B78">
        <w:trPr>
          <w:cnfStyle w:val="000000010000" w:firstRow="0" w:lastRow="0" w:firstColumn="0" w:lastColumn="0" w:oddVBand="0" w:evenVBand="0" w:oddHBand="0" w:evenHBand="1" w:firstRowFirstColumn="0" w:firstRowLastColumn="0" w:lastRowFirstColumn="0" w:lastRowLastColumn="0"/>
        </w:trPr>
        <w:tc>
          <w:tcPr>
            <w:tcW w:w="3227" w:type="dxa"/>
          </w:tcPr>
          <w:p w:rsidR="00F871A7" w:rsidRPr="006B6B78" w:rsidRDefault="007314D0" w:rsidP="006B6B78">
            <w:r w:rsidRPr="007314D0">
              <w:t>The extent to which the Transmission Network Service Provider has considered and made provision for efficient and prudent non-network alternatives</w:t>
            </w:r>
            <w:r w:rsidR="00F871A7">
              <w:t>.</w:t>
            </w:r>
          </w:p>
        </w:tc>
        <w:tc>
          <w:tcPr>
            <w:tcW w:w="5466" w:type="dxa"/>
          </w:tcPr>
          <w:p w:rsidR="005221EC" w:rsidRPr="006B6B78" w:rsidRDefault="005221EC" w:rsidP="007C5450">
            <w:r>
              <w:t>Powerlink</w:t>
            </w:r>
            <w:r w:rsidRPr="004D6228">
              <w:t xml:space="preserve"> has proposed no expenditure for non-network alternatives</w:t>
            </w:r>
            <w:r>
              <w:t xml:space="preserve"> for the 2017</w:t>
            </w:r>
            <w:r w:rsidR="00704AD1" w:rsidRPr="006B6B78">
              <w:t>–</w:t>
            </w:r>
            <w:r>
              <w:t xml:space="preserve">22 regulatory </w:t>
            </w:r>
            <w:proofErr w:type="gramStart"/>
            <w:r>
              <w:t>period</w:t>
            </w:r>
            <w:proofErr w:type="gramEnd"/>
            <w:r w:rsidRPr="004D6228">
              <w:t xml:space="preserve">. </w:t>
            </w:r>
          </w:p>
        </w:tc>
      </w:tr>
      <w:tr w:rsidR="00F871A7" w:rsidRPr="008946FF" w:rsidTr="006B6B78">
        <w:tc>
          <w:tcPr>
            <w:tcW w:w="3227" w:type="dxa"/>
          </w:tcPr>
          <w:p w:rsidR="00F871A7" w:rsidRPr="00F871A7" w:rsidRDefault="00F871A7" w:rsidP="00F871A7">
            <w:r w:rsidRPr="00F871A7">
              <w:t>Any relevant project assessm</w:t>
            </w:r>
            <w:r>
              <w:t xml:space="preserve">ent conclusions report required </w:t>
            </w:r>
            <w:r w:rsidRPr="00F871A7">
              <w:t>under 5.16.4.</w:t>
            </w:r>
          </w:p>
        </w:tc>
        <w:tc>
          <w:tcPr>
            <w:tcW w:w="5466" w:type="dxa"/>
          </w:tcPr>
          <w:p w:rsidR="00F871A7" w:rsidRDefault="00D1689C" w:rsidP="0034310D">
            <w:r>
              <w:t>In having regard to this factor, w</w:t>
            </w:r>
            <w:r w:rsidR="006512F2" w:rsidRPr="006512F2">
              <w:t>e</w:t>
            </w:r>
            <w:r>
              <w:t xml:space="preserve"> </w:t>
            </w:r>
            <w:r w:rsidR="006512F2" w:rsidRPr="006512F2">
              <w:t>identif</w:t>
            </w:r>
            <w:r>
              <w:t>y</w:t>
            </w:r>
            <w:r w:rsidR="006512F2" w:rsidRPr="006512F2">
              <w:t xml:space="preserve"> any RIT-T project submitted by the</w:t>
            </w:r>
            <w:r w:rsidR="005221EC">
              <w:t xml:space="preserve"> </w:t>
            </w:r>
            <w:r>
              <w:t>business</w:t>
            </w:r>
            <w:r w:rsidRPr="006512F2">
              <w:t xml:space="preserve"> </w:t>
            </w:r>
            <w:r w:rsidR="006512F2" w:rsidRPr="006512F2">
              <w:t>and en</w:t>
            </w:r>
            <w:r w:rsidR="005221EC">
              <w:t xml:space="preserve">sure the conclusions </w:t>
            </w:r>
            <w:r>
              <w:t xml:space="preserve">are </w:t>
            </w:r>
            <w:r w:rsidR="006512F2" w:rsidRPr="006512F2">
              <w:t>appropriately addressed in the total forecast opex.</w:t>
            </w:r>
            <w:r>
              <w:t xml:space="preserve"> Powerlink did not </w:t>
            </w:r>
            <w:r w:rsidRPr="00D1689C">
              <w:t>submit any RIT-T</w:t>
            </w:r>
            <w:r>
              <w:t xml:space="preserve"> project</w:t>
            </w:r>
            <w:r w:rsidRPr="00D1689C">
              <w:t>.</w:t>
            </w:r>
            <w:r>
              <w:t xml:space="preserve"> </w:t>
            </w:r>
          </w:p>
        </w:tc>
      </w:tr>
      <w:tr w:rsidR="008910D8" w:rsidRPr="008946FF" w:rsidTr="006B6B78">
        <w:trPr>
          <w:cnfStyle w:val="000000010000" w:firstRow="0" w:lastRow="0" w:firstColumn="0" w:lastColumn="0" w:oddVBand="0" w:evenVBand="0" w:oddHBand="0" w:evenHBand="1" w:firstRowFirstColumn="0" w:firstRowLastColumn="0" w:lastRowFirstColumn="0" w:lastRowLastColumn="0"/>
        </w:trPr>
        <w:tc>
          <w:tcPr>
            <w:tcW w:w="3227" w:type="dxa"/>
          </w:tcPr>
          <w:p w:rsidR="008910D8" w:rsidRPr="00F871A7" w:rsidRDefault="008910D8" w:rsidP="00F871A7">
            <w:r w:rsidRPr="008910D8">
              <w:t>Any other factor the AER considers relevant and which the AER has notified the Transmission Network Service Provider in writing, prior to the submission of its revised Revenue Proposal under clause 6A.12.3, is an operating expenditure factor.</w:t>
            </w:r>
          </w:p>
        </w:tc>
        <w:tc>
          <w:tcPr>
            <w:tcW w:w="5466" w:type="dxa"/>
          </w:tcPr>
          <w:p w:rsidR="008910D8" w:rsidRDefault="008910D8" w:rsidP="008910D8">
            <w:r>
              <w:t xml:space="preserve">We did not identify and notify Powerlink of any other opex factor.  </w:t>
            </w:r>
          </w:p>
        </w:tc>
      </w:tr>
    </w:tbl>
    <w:p w:rsidR="006B6B78" w:rsidRDefault="006B6B78" w:rsidP="006B6B78">
      <w:pPr>
        <w:pStyle w:val="AERtablesource"/>
      </w:pPr>
      <w:r>
        <w:t xml:space="preserve">Source: </w:t>
      </w:r>
      <w:r>
        <w:tab/>
        <w:t>AER analysis.</w:t>
      </w:r>
    </w:p>
    <w:p w:rsidR="006B6B78" w:rsidRPr="006B6B78" w:rsidRDefault="006B6B78" w:rsidP="006B6B78"/>
    <w:sectPr w:rsidR="006B6B78" w:rsidRPr="006B6B78"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9E9" w:rsidRPr="00290C63" w:rsidRDefault="008D69E9" w:rsidP="00290C63">
      <w:r>
        <w:separator/>
      </w:r>
    </w:p>
    <w:p w:rsidR="008D69E9" w:rsidRDefault="008D69E9"/>
  </w:endnote>
  <w:endnote w:type="continuationSeparator" w:id="0">
    <w:p w:rsidR="008D69E9" w:rsidRPr="00290C63" w:rsidRDefault="008D69E9" w:rsidP="00290C63">
      <w:r>
        <w:continuationSeparator/>
      </w:r>
    </w:p>
    <w:p w:rsidR="008D69E9" w:rsidRDefault="008D6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8892"/>
      <w:docPartObj>
        <w:docPartGallery w:val="Page Numbers (Bottom of Page)"/>
        <w:docPartUnique/>
      </w:docPartObj>
    </w:sdtPr>
    <w:sdtEndPr/>
    <w:sdtContent>
      <w:p w:rsidR="00943BFB" w:rsidRPr="00943BFB" w:rsidRDefault="00943BFB" w:rsidP="00943BFB">
        <w:pPr>
          <w:pStyle w:val="Footer"/>
        </w:pPr>
        <w:r w:rsidRPr="00943BFB">
          <w:fldChar w:fldCharType="begin"/>
        </w:r>
        <w:r w:rsidRPr="00943BFB">
          <w:instrText xml:space="preserve"> PAGE   \* MERGEFORMAT </w:instrText>
        </w:r>
        <w:r w:rsidRPr="00943BFB">
          <w:fldChar w:fldCharType="separate"/>
        </w:r>
        <w:r w:rsidR="006C1BC1">
          <w:rPr>
            <w:noProof/>
          </w:rPr>
          <w:t>7-0</w:t>
        </w:r>
        <w:r w:rsidRPr="00943BFB">
          <w:fldChar w:fldCharType="end"/>
        </w:r>
        <w:r w:rsidRPr="00943BFB">
          <w:t xml:space="preserve">      Attachment </w:t>
        </w:r>
        <w:r>
          <w:t>7</w:t>
        </w:r>
        <w:r w:rsidRPr="00943BFB">
          <w:t xml:space="preserve"> – </w:t>
        </w:r>
        <w:r>
          <w:t>Operating</w:t>
        </w:r>
        <w:r w:rsidRPr="00943BFB">
          <w:t xml:space="preserve"> expenditure | Powerlink transmission draft determination 2017–22</w:t>
        </w:r>
      </w:p>
    </w:sdtContent>
  </w:sdt>
  <w:p w:rsidR="008D69E9" w:rsidRPr="00455EC0" w:rsidRDefault="008D69E9" w:rsidP="00455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E9" w:rsidRPr="00455EC0" w:rsidRDefault="008D69E9" w:rsidP="00455E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53529"/>
      <w:docPartObj>
        <w:docPartGallery w:val="Page Numbers (Bottom of Page)"/>
        <w:docPartUnique/>
      </w:docPartObj>
    </w:sdtPr>
    <w:sdtEndPr/>
    <w:sdtContent>
      <w:p w:rsidR="00943BFB" w:rsidRPr="00943BFB" w:rsidRDefault="00943BFB" w:rsidP="00943BFB">
        <w:pPr>
          <w:pStyle w:val="Footer"/>
        </w:pPr>
        <w:r w:rsidRPr="00943BFB">
          <w:fldChar w:fldCharType="begin"/>
        </w:r>
        <w:r w:rsidRPr="00943BFB">
          <w:instrText xml:space="preserve"> PAGE   \* MERGEFORMAT </w:instrText>
        </w:r>
        <w:r w:rsidRPr="00943BFB">
          <w:fldChar w:fldCharType="separate"/>
        </w:r>
        <w:r w:rsidR="006C1BC1">
          <w:rPr>
            <w:noProof/>
          </w:rPr>
          <w:t>7-28</w:t>
        </w:r>
        <w:r w:rsidRPr="00943BFB">
          <w:fldChar w:fldCharType="end"/>
        </w:r>
        <w:r w:rsidRPr="00943BFB">
          <w:t xml:space="preserve">      Attachment 7 – Operating expenditure | Powerlink transmission draft determination 2017–22</w:t>
        </w:r>
      </w:p>
    </w:sdtContent>
  </w:sdt>
  <w:p w:rsidR="008D69E9" w:rsidRPr="00455EC0" w:rsidRDefault="008D69E9" w:rsidP="00455E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E9" w:rsidRPr="00455EC0" w:rsidRDefault="008D69E9" w:rsidP="00455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9E9" w:rsidRPr="00290C63" w:rsidRDefault="008D69E9" w:rsidP="00290C63">
      <w:r>
        <w:separator/>
      </w:r>
    </w:p>
    <w:p w:rsidR="008D69E9" w:rsidRDefault="008D69E9"/>
  </w:footnote>
  <w:footnote w:type="continuationSeparator" w:id="0">
    <w:p w:rsidR="008D69E9" w:rsidRPr="00290C63" w:rsidRDefault="008D69E9" w:rsidP="00290C63">
      <w:r>
        <w:continuationSeparator/>
      </w:r>
    </w:p>
    <w:p w:rsidR="008D69E9" w:rsidRDefault="008D69E9"/>
  </w:footnote>
  <w:footnote w:id="1">
    <w:p w:rsidR="008D69E9" w:rsidRDefault="008D69E9" w:rsidP="00A01843">
      <w:pPr>
        <w:pStyle w:val="FootnoteText"/>
      </w:pPr>
      <w:r>
        <w:rPr>
          <w:rStyle w:val="FootnoteReference"/>
        </w:rPr>
        <w:footnoteRef/>
      </w:r>
      <w:r>
        <w:t xml:space="preserve"> </w:t>
      </w:r>
      <w:r>
        <w:tab/>
        <w:t xml:space="preserve">AER, </w:t>
      </w:r>
      <w:r w:rsidRPr="00887C90">
        <w:rPr>
          <w:rStyle w:val="AERtextitalic"/>
        </w:rPr>
        <w:t>Better Regulation—Expenditure Forecast Assessment Guideline for Electricity Distribution</w:t>
      </w:r>
      <w:r>
        <w:t>, November 2013.</w:t>
      </w:r>
    </w:p>
  </w:footnote>
  <w:footnote w:id="2">
    <w:p w:rsidR="008D69E9" w:rsidRDefault="008D69E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pp. 5–6.</w:t>
      </w:r>
    </w:p>
  </w:footnote>
  <w:footnote w:id="3">
    <w:p w:rsidR="008D69E9" w:rsidRDefault="008D69E9" w:rsidP="001A2100">
      <w:pPr>
        <w:pStyle w:val="FootnoteText"/>
      </w:pPr>
      <w:r>
        <w:rPr>
          <w:rStyle w:val="FootnoteReference"/>
        </w:rPr>
        <w:footnoteRef/>
      </w:r>
      <w:r>
        <w:t xml:space="preserve"> </w:t>
      </w:r>
      <w:r>
        <w:tab/>
      </w:r>
      <w:r w:rsidRPr="00784A8D">
        <w:t xml:space="preserve">Powerlink, </w:t>
      </w:r>
      <w:r w:rsidRPr="006460E0">
        <w:rPr>
          <w:rStyle w:val="Emphasis"/>
        </w:rPr>
        <w:t xml:space="preserve">2018-22 Powerlink Queensland revenue </w:t>
      </w:r>
      <w:proofErr w:type="gramStart"/>
      <w:r w:rsidRPr="006460E0">
        <w:rPr>
          <w:rStyle w:val="Emphasis"/>
        </w:rPr>
        <w:t>proposal</w:t>
      </w:r>
      <w:proofErr w:type="gramEnd"/>
      <w:r w:rsidRPr="00784A8D">
        <w:t>, 29 January 2016,</w:t>
      </w:r>
      <w:r>
        <w:t xml:space="preserve"> p. 79 (Powerlink, </w:t>
      </w:r>
      <w:r w:rsidRPr="006460E0">
        <w:rPr>
          <w:rStyle w:val="Emphasis"/>
        </w:rPr>
        <w:t>Revenue proposal</w:t>
      </w:r>
      <w:r>
        <w:t xml:space="preserve">, January 2016). </w:t>
      </w:r>
    </w:p>
  </w:footnote>
  <w:footnote w:id="4">
    <w:p w:rsidR="008D69E9" w:rsidRDefault="008D69E9">
      <w:pPr>
        <w:pStyle w:val="FootnoteText"/>
      </w:pPr>
      <w:r>
        <w:rPr>
          <w:rStyle w:val="FootnoteReference"/>
        </w:rPr>
        <w:footnoteRef/>
      </w:r>
      <w:r>
        <w:t xml:space="preserve"> </w:t>
      </w:r>
      <w:r>
        <w:tab/>
      </w:r>
      <w:proofErr w:type="gramStart"/>
      <w:r>
        <w:t>In</w:t>
      </w:r>
      <w:r w:rsidRPr="007D6876">
        <w:t>cluding debt raising costs.</w:t>
      </w:r>
      <w:proofErr w:type="gramEnd"/>
    </w:p>
  </w:footnote>
  <w:footnote w:id="5">
    <w:p w:rsidR="008D69E9" w:rsidRDefault="008D69E9">
      <w:pPr>
        <w:pStyle w:val="FootnoteText"/>
      </w:pPr>
      <w:r>
        <w:rPr>
          <w:rStyle w:val="FootnoteReference"/>
        </w:rPr>
        <w:footnoteRef/>
      </w:r>
      <w:r>
        <w:t xml:space="preserve"> </w:t>
      </w:r>
      <w:r>
        <w:tab/>
        <w:t xml:space="preserve">Powerlink, </w:t>
      </w:r>
      <w:r>
        <w:rPr>
          <w:rStyle w:val="AERtextitalic"/>
        </w:rPr>
        <w:t>Revenue Proposal</w:t>
      </w:r>
      <w:r>
        <w:t>, January 2016, p. 60.</w:t>
      </w:r>
    </w:p>
  </w:footnote>
  <w:footnote w:id="6">
    <w:p w:rsidR="008D69E9" w:rsidRDefault="008D69E9">
      <w:pPr>
        <w:pStyle w:val="FootnoteText"/>
      </w:pPr>
      <w:r>
        <w:rPr>
          <w:rStyle w:val="FootnoteReference"/>
        </w:rPr>
        <w:footnoteRef/>
      </w:r>
      <w:r>
        <w:t xml:space="preserve"> </w:t>
      </w:r>
      <w:r>
        <w:tab/>
      </w:r>
      <w:r w:rsidRPr="0005723A">
        <w:t xml:space="preserve">The estimate of final year opex should be consistent in both our opex forecast and the EBSS in order to share </w:t>
      </w:r>
      <w:r>
        <w:t>Powerlink</w:t>
      </w:r>
      <w:r w:rsidRPr="0005723A">
        <w:t>'s efficiency gains in 2015 with its network users as intended by the EBSS. The approach set out in the Guideline to estimate the final year opex ensures consistency with the EBSS.</w:t>
      </w:r>
    </w:p>
  </w:footnote>
  <w:footnote w:id="7">
    <w:p w:rsidR="008D69E9" w:rsidRDefault="008D69E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pp. 5–6, 61–74.</w:t>
      </w:r>
    </w:p>
  </w:footnote>
  <w:footnote w:id="8">
    <w:p w:rsidR="008D69E9" w:rsidRDefault="008D69E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 65</w:t>
      </w:r>
      <w:r w:rsidRPr="00784A8D">
        <w:t>.</w:t>
      </w:r>
    </w:p>
  </w:footnote>
  <w:footnote w:id="9">
    <w:p w:rsidR="008D69E9" w:rsidRDefault="008D69E9" w:rsidP="00354442">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pp. 67–68.</w:t>
      </w:r>
    </w:p>
  </w:footnote>
  <w:footnote w:id="10">
    <w:p w:rsidR="00444319" w:rsidRDefault="0044431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rsidRPr="001C0BAE">
        <w:t>, p.</w:t>
      </w:r>
      <w:r>
        <w:t xml:space="preserve"> 60</w:t>
      </w:r>
      <w:r w:rsidRPr="001C0BAE">
        <w:t>.</w:t>
      </w:r>
    </w:p>
  </w:footnote>
  <w:footnote w:id="11">
    <w:p w:rsidR="008D69E9" w:rsidRDefault="008D69E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rsidRPr="001C0BAE">
        <w:t>, p.</w:t>
      </w:r>
      <w:r>
        <w:t xml:space="preserve"> </w:t>
      </w:r>
      <w:r w:rsidRPr="001C0BAE">
        <w:t>73.</w:t>
      </w:r>
    </w:p>
  </w:footnote>
  <w:footnote w:id="12">
    <w:p w:rsidR="008D69E9" w:rsidRDefault="008D69E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pp. 69</w:t>
      </w:r>
      <w:r w:rsidRPr="003B7C67">
        <w:t>-</w:t>
      </w:r>
      <w:r>
        <w:t>70.</w:t>
      </w:r>
    </w:p>
  </w:footnote>
  <w:footnote w:id="13">
    <w:p w:rsidR="008D69E9" w:rsidRDefault="008D69E9" w:rsidP="001C0BAE">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 73</w:t>
      </w:r>
      <w:r w:rsidRPr="003B7C67">
        <w:t>.</w:t>
      </w:r>
    </w:p>
  </w:footnote>
  <w:footnote w:id="14">
    <w:p w:rsidR="008D69E9" w:rsidRDefault="008D69E9" w:rsidP="00B6509B">
      <w:pPr>
        <w:pStyle w:val="FootnoteText"/>
      </w:pPr>
      <w:r>
        <w:rPr>
          <w:rStyle w:val="FootnoteReference"/>
        </w:rPr>
        <w:footnoteRef/>
      </w:r>
      <w:r>
        <w:t xml:space="preserve"> </w:t>
      </w:r>
      <w:r>
        <w:tab/>
        <w:t xml:space="preserve">University of Queensland, </w:t>
      </w:r>
      <w:r w:rsidRPr="00B6509B">
        <w:rPr>
          <w:rStyle w:val="Emphasis"/>
        </w:rPr>
        <w:t>Submission to the Australian Energy Regulator on Powerlink Queensland’s Revenue Application from the University of Queensland</w:t>
      </w:r>
      <w:r>
        <w:t xml:space="preserve">, </w:t>
      </w:r>
      <w:r w:rsidR="003C4194">
        <w:t xml:space="preserve">28 April 2016, </w:t>
      </w:r>
      <w:r>
        <w:t xml:space="preserve">p. 8. </w:t>
      </w:r>
    </w:p>
  </w:footnote>
  <w:footnote w:id="15">
    <w:p w:rsidR="008D69E9" w:rsidRDefault="008D69E9" w:rsidP="003C4194">
      <w:pPr>
        <w:pStyle w:val="FootnoteText"/>
      </w:pPr>
      <w:r>
        <w:rPr>
          <w:rStyle w:val="FootnoteReference"/>
        </w:rPr>
        <w:footnoteRef/>
      </w:r>
      <w:r>
        <w:t xml:space="preserve"> </w:t>
      </w:r>
      <w:r>
        <w:tab/>
      </w:r>
      <w:proofErr w:type="gramStart"/>
      <w:r>
        <w:t xml:space="preserve">Queensland Resources Council, </w:t>
      </w:r>
      <w:r w:rsidRPr="008F2A86">
        <w:rPr>
          <w:rStyle w:val="Emphasis"/>
        </w:rPr>
        <w:t>Submission to the AER on Powerlink’s Revenue Determination 2017 to 2022</w:t>
      </w:r>
      <w:r>
        <w:rPr>
          <w:rStyle w:val="Emphasis"/>
        </w:rPr>
        <w:t xml:space="preserve">, </w:t>
      </w:r>
      <w:r w:rsidRPr="003C4194">
        <w:rPr>
          <w:rStyle w:val="Emphasis"/>
          <w:i w:val="0"/>
          <w:iCs w:val="0"/>
        </w:rPr>
        <w:t>29</w:t>
      </w:r>
      <w:r w:rsidR="003C4194">
        <w:t> </w:t>
      </w:r>
      <w:r w:rsidRPr="008F2A86">
        <w:t>April 2016</w:t>
      </w:r>
      <w:r>
        <w:t>, p. 2.</w:t>
      </w:r>
      <w:proofErr w:type="gramEnd"/>
      <w:r>
        <w:t xml:space="preserve"> </w:t>
      </w:r>
    </w:p>
  </w:footnote>
  <w:footnote w:id="16">
    <w:p w:rsidR="008D69E9" w:rsidRDefault="008D69E9">
      <w:pPr>
        <w:pStyle w:val="FootnoteText"/>
      </w:pPr>
      <w:r>
        <w:rPr>
          <w:rStyle w:val="FootnoteReference"/>
        </w:rPr>
        <w:footnoteRef/>
      </w:r>
      <w:r>
        <w:t xml:space="preserve"> </w:t>
      </w:r>
      <w:r>
        <w:tab/>
        <w:t xml:space="preserve">Cotton Australia, </w:t>
      </w:r>
      <w:r w:rsidRPr="008D69E9">
        <w:rPr>
          <w:rStyle w:val="Emphasis"/>
        </w:rPr>
        <w:t xml:space="preserve">Letter to AER re. </w:t>
      </w:r>
      <w:proofErr w:type="gramStart"/>
      <w:r w:rsidRPr="008D69E9">
        <w:rPr>
          <w:rStyle w:val="Emphasis"/>
        </w:rPr>
        <w:t>Powerlink Electricity transmission revenue proposal 2017–2022</w:t>
      </w:r>
      <w:r>
        <w:t>,</w:t>
      </w:r>
      <w:r w:rsidR="003C4194">
        <w:t xml:space="preserve"> 2 May 2016, </w:t>
      </w:r>
      <w:r>
        <w:t>p.</w:t>
      </w:r>
      <w:r w:rsidR="003C4194">
        <w:t> </w:t>
      </w:r>
      <w:r>
        <w:t>3.</w:t>
      </w:r>
      <w:proofErr w:type="gramEnd"/>
      <w:r>
        <w:t xml:space="preserve"> </w:t>
      </w:r>
    </w:p>
  </w:footnote>
  <w:footnote w:id="17">
    <w:p w:rsidR="008D69E9" w:rsidRDefault="008D69E9">
      <w:pPr>
        <w:pStyle w:val="FootnoteText"/>
      </w:pPr>
      <w:r>
        <w:rPr>
          <w:rStyle w:val="FootnoteReference"/>
        </w:rPr>
        <w:footnoteRef/>
      </w:r>
      <w:r>
        <w:t xml:space="preserve"> </w:t>
      </w:r>
      <w:r>
        <w:tab/>
        <w:t xml:space="preserve">The opex criteria are: </w:t>
      </w:r>
      <w:r w:rsidRPr="002839A2">
        <w:t xml:space="preserve">the efficient costs of achieving the </w:t>
      </w:r>
      <w:r>
        <w:t>opex</w:t>
      </w:r>
      <w:r w:rsidRPr="002839A2">
        <w:t xml:space="preserve"> objectives</w:t>
      </w:r>
      <w:r>
        <w:t>;</w:t>
      </w:r>
      <w:r w:rsidRPr="002F6520">
        <w:t xml:space="preserve"> </w:t>
      </w:r>
      <w:r w:rsidRPr="002839A2">
        <w:t xml:space="preserve">the costs that a prudent operator would require to achieve the </w:t>
      </w:r>
      <w:r>
        <w:t>opex</w:t>
      </w:r>
      <w:r w:rsidRPr="002839A2">
        <w:t xml:space="preserve"> objectives</w:t>
      </w:r>
      <w:r>
        <w:t xml:space="preserve">; </w:t>
      </w:r>
      <w:r w:rsidRPr="002839A2">
        <w:t xml:space="preserve">a realistic expectation of the demand forecast and cost inputs required to achieve the </w:t>
      </w:r>
      <w:r>
        <w:t>opex</w:t>
      </w:r>
      <w:r w:rsidRPr="002839A2">
        <w:t xml:space="preserve"> objectives.</w:t>
      </w:r>
      <w:r>
        <w:t xml:space="preserve"> </w:t>
      </w:r>
      <w:proofErr w:type="gramStart"/>
      <w:r w:rsidRPr="002F6520">
        <w:t>NER, cll.</w:t>
      </w:r>
      <w:proofErr w:type="gramEnd"/>
      <w:r w:rsidRPr="002F6520">
        <w:t xml:space="preserve"> 6</w:t>
      </w:r>
      <w:r>
        <w:t>A</w:t>
      </w:r>
      <w:r w:rsidRPr="002F6520">
        <w:t>.</w:t>
      </w:r>
      <w:r>
        <w:t>6</w:t>
      </w:r>
      <w:r w:rsidRPr="002F6520">
        <w:t>.6(c)</w:t>
      </w:r>
      <w:r>
        <w:t>,</w:t>
      </w:r>
      <w:r w:rsidRPr="002F6520">
        <w:t xml:space="preserve"> </w:t>
      </w:r>
      <w:proofErr w:type="gramStart"/>
      <w:r w:rsidRPr="002F6520">
        <w:t>6</w:t>
      </w:r>
      <w:r>
        <w:t>A</w:t>
      </w:r>
      <w:r w:rsidRPr="002F6520">
        <w:t>.1</w:t>
      </w:r>
      <w:r>
        <w:t>4</w:t>
      </w:r>
      <w:r w:rsidRPr="002F6520">
        <w:t>.1(</w:t>
      </w:r>
      <w:proofErr w:type="gramEnd"/>
      <w:r>
        <w:t>3</w:t>
      </w:r>
      <w:r w:rsidRPr="002F6520">
        <w:t>).</w:t>
      </w:r>
      <w:r>
        <w:t xml:space="preserve"> </w:t>
      </w:r>
      <w:r w:rsidRPr="005718FD">
        <w:t xml:space="preserve">The </w:t>
      </w:r>
      <w:r>
        <w:t>opex</w:t>
      </w:r>
      <w:r w:rsidRPr="005718FD">
        <w:t xml:space="preserve"> objectives are set out in cl </w:t>
      </w:r>
      <w:proofErr w:type="gramStart"/>
      <w:r w:rsidRPr="005718FD">
        <w:t>6</w:t>
      </w:r>
      <w:r>
        <w:t>A</w:t>
      </w:r>
      <w:r w:rsidRPr="005718FD">
        <w:t>.5.6(</w:t>
      </w:r>
      <w:proofErr w:type="gramEnd"/>
      <w:r w:rsidRPr="005718FD">
        <w:t>a).</w:t>
      </w:r>
    </w:p>
  </w:footnote>
  <w:footnote w:id="18">
    <w:p w:rsidR="008D69E9" w:rsidRDefault="008D69E9">
      <w:pPr>
        <w:pStyle w:val="FootnoteText"/>
      </w:pPr>
      <w:r>
        <w:rPr>
          <w:rStyle w:val="FootnoteReference"/>
        </w:rPr>
        <w:footnoteRef/>
      </w:r>
      <w:r>
        <w:t xml:space="preserve"> </w:t>
      </w:r>
      <w:r>
        <w:tab/>
      </w:r>
      <w:proofErr w:type="gramStart"/>
      <w:r w:rsidRPr="002F6520">
        <w:t>NER, cll.</w:t>
      </w:r>
      <w:proofErr w:type="gramEnd"/>
      <w:r w:rsidRPr="002F6520">
        <w:t xml:space="preserve"> 6</w:t>
      </w:r>
      <w:r>
        <w:t>A.6</w:t>
      </w:r>
      <w:r w:rsidRPr="002F6520">
        <w:t>.6(c)</w:t>
      </w:r>
      <w:r>
        <w:t>,</w:t>
      </w:r>
      <w:r w:rsidRPr="002F6520">
        <w:t xml:space="preserve"> </w:t>
      </w:r>
      <w:proofErr w:type="gramStart"/>
      <w:r w:rsidRPr="002F6520">
        <w:t>6</w:t>
      </w:r>
      <w:r>
        <w:t>A</w:t>
      </w:r>
      <w:r w:rsidRPr="002F6520">
        <w:t>.1</w:t>
      </w:r>
      <w:r>
        <w:t>4</w:t>
      </w:r>
      <w:r w:rsidRPr="002F6520">
        <w:t>.1(</w:t>
      </w:r>
      <w:proofErr w:type="gramEnd"/>
      <w:r>
        <w:t>3</w:t>
      </w:r>
      <w:r w:rsidRPr="002F6520">
        <w:t>)(i).</w:t>
      </w:r>
    </w:p>
  </w:footnote>
  <w:footnote w:id="19">
    <w:p w:rsidR="008D69E9" w:rsidRDefault="008D69E9">
      <w:pPr>
        <w:pStyle w:val="FootnoteText"/>
      </w:pPr>
      <w:r>
        <w:rPr>
          <w:rStyle w:val="FootnoteReference"/>
        </w:rPr>
        <w:footnoteRef/>
      </w:r>
      <w:r>
        <w:t xml:space="preserve"> </w:t>
      </w:r>
      <w:r>
        <w:tab/>
      </w:r>
      <w:proofErr w:type="gramStart"/>
      <w:r w:rsidRPr="002F6520">
        <w:t>NER, cll.</w:t>
      </w:r>
      <w:proofErr w:type="gramEnd"/>
      <w:r w:rsidRPr="002F6520">
        <w:t xml:space="preserve"> </w:t>
      </w:r>
      <w:proofErr w:type="gramStart"/>
      <w:r w:rsidRPr="002F6520">
        <w:t>6</w:t>
      </w:r>
      <w:r>
        <w:t>A.6</w:t>
      </w:r>
      <w:r w:rsidRPr="002F6520">
        <w:t>.6(</w:t>
      </w:r>
      <w:proofErr w:type="gramEnd"/>
      <w:r w:rsidRPr="002F6520">
        <w:t>d)</w:t>
      </w:r>
      <w:r>
        <w:t>,</w:t>
      </w:r>
      <w:r w:rsidRPr="002F6520">
        <w:t xml:space="preserve"> 6</w:t>
      </w:r>
      <w:r>
        <w:t>A</w:t>
      </w:r>
      <w:r w:rsidRPr="002F6520">
        <w:t>.1</w:t>
      </w:r>
      <w:r>
        <w:t>4</w:t>
      </w:r>
      <w:r w:rsidRPr="002F6520">
        <w:t>.1(</w:t>
      </w:r>
      <w:r>
        <w:t>3</w:t>
      </w:r>
      <w:r w:rsidRPr="002F6520">
        <w:t>)(ii).</w:t>
      </w:r>
    </w:p>
  </w:footnote>
  <w:footnote w:id="20">
    <w:p w:rsidR="008D69E9" w:rsidRDefault="008D69E9">
      <w:pPr>
        <w:pStyle w:val="FootnoteText"/>
      </w:pPr>
      <w:r>
        <w:rPr>
          <w:rStyle w:val="FootnoteReference"/>
        </w:rPr>
        <w:footnoteRef/>
      </w:r>
      <w:r>
        <w:t xml:space="preserve"> </w:t>
      </w:r>
      <w:r>
        <w:tab/>
      </w:r>
      <w:r w:rsidRPr="000372A0">
        <w:t xml:space="preserve">AER, </w:t>
      </w:r>
      <w:r w:rsidRPr="003C4194">
        <w:rPr>
          <w:rStyle w:val="Emphasis"/>
        </w:rPr>
        <w:t>Expenditure forecast assessment guideline</w:t>
      </w:r>
      <w:r w:rsidRPr="000372A0">
        <w:t>, November 2013, p.</w:t>
      </w:r>
      <w:r>
        <w:t xml:space="preserve"> </w:t>
      </w:r>
      <w:r w:rsidRPr="000372A0">
        <w:t xml:space="preserve">7. </w:t>
      </w:r>
      <w:proofErr w:type="gramStart"/>
      <w:r w:rsidRPr="000372A0">
        <w:t xml:space="preserve">NER, clauses </w:t>
      </w:r>
      <w:r>
        <w:t xml:space="preserve">6A.6.6(c), </w:t>
      </w:r>
      <w:r w:rsidRPr="0099566A">
        <w:t>6A.6.7 (c)</w:t>
      </w:r>
      <w:r w:rsidRPr="000372A0">
        <w:t>.</w:t>
      </w:r>
      <w:proofErr w:type="gramEnd"/>
    </w:p>
  </w:footnote>
  <w:footnote w:id="21">
    <w:p w:rsidR="008D69E9" w:rsidRDefault="008D69E9">
      <w:pPr>
        <w:pStyle w:val="FootnoteText"/>
      </w:pPr>
      <w:r>
        <w:rPr>
          <w:rStyle w:val="FootnoteReference"/>
        </w:rPr>
        <w:footnoteRef/>
      </w:r>
      <w:r>
        <w:t xml:space="preserve"> </w:t>
      </w:r>
      <w:r>
        <w:tab/>
      </w:r>
      <w:proofErr w:type="gramStart"/>
      <w:r w:rsidRPr="00753D73">
        <w:t xml:space="preserve">NER, cl. </w:t>
      </w:r>
      <w:r w:rsidRPr="001979B7">
        <w:t xml:space="preserve">6A.6.6 </w:t>
      </w:r>
      <w:r w:rsidRPr="00753D73">
        <w:t>(c).</w:t>
      </w:r>
      <w:proofErr w:type="gramEnd"/>
    </w:p>
  </w:footnote>
  <w:footnote w:id="22">
    <w:p w:rsidR="008D69E9" w:rsidRDefault="008D69E9" w:rsidP="00753D73">
      <w:pPr>
        <w:pStyle w:val="FootnoteText"/>
      </w:pPr>
      <w:r>
        <w:rPr>
          <w:rStyle w:val="FootnoteReference"/>
        </w:rPr>
        <w:footnoteRef/>
      </w:r>
      <w:r>
        <w:t xml:space="preserve"> </w:t>
      </w:r>
      <w:r>
        <w:tab/>
      </w:r>
      <w:proofErr w:type="gramStart"/>
      <w:r w:rsidRPr="0012372E">
        <w:t>NER</w:t>
      </w:r>
      <w:r>
        <w:t>, cl.</w:t>
      </w:r>
      <w:r w:rsidRPr="0012372E">
        <w:t xml:space="preserve"> </w:t>
      </w:r>
      <w:r w:rsidRPr="008B0254">
        <w:t xml:space="preserve">6A.6.6 </w:t>
      </w:r>
      <w:r w:rsidRPr="0012372E">
        <w:t>(a)</w:t>
      </w:r>
      <w:r>
        <w:t>.</w:t>
      </w:r>
      <w:proofErr w:type="gramEnd"/>
    </w:p>
  </w:footnote>
  <w:footnote w:id="23">
    <w:p w:rsidR="008D69E9" w:rsidRDefault="008D69E9" w:rsidP="00753D73">
      <w:pPr>
        <w:pStyle w:val="FootnoteText"/>
      </w:pPr>
      <w:r>
        <w:rPr>
          <w:rStyle w:val="FootnoteReference"/>
        </w:rPr>
        <w:footnoteRef/>
      </w:r>
      <w:r>
        <w:t xml:space="preserve"> </w:t>
      </w:r>
      <w:r>
        <w:tab/>
      </w:r>
      <w:proofErr w:type="gramStart"/>
      <w:r w:rsidRPr="0012372E">
        <w:t>NER</w:t>
      </w:r>
      <w:r>
        <w:t>, cl.</w:t>
      </w:r>
      <w:r w:rsidRPr="0012372E">
        <w:t xml:space="preserve"> </w:t>
      </w:r>
      <w:r w:rsidRPr="008B0254">
        <w:t xml:space="preserve">6A.6.6 </w:t>
      </w:r>
      <w:r w:rsidRPr="0012372E">
        <w:t>(e)</w:t>
      </w:r>
      <w:r>
        <w:t>.</w:t>
      </w:r>
      <w:proofErr w:type="gramEnd"/>
    </w:p>
  </w:footnote>
  <w:footnote w:id="24">
    <w:p w:rsidR="008D69E9" w:rsidRDefault="008D69E9" w:rsidP="00CB6D99">
      <w:pPr>
        <w:pStyle w:val="FootnoteText"/>
      </w:pPr>
      <w:r>
        <w:rPr>
          <w:rStyle w:val="FootnoteReference"/>
        </w:rPr>
        <w:footnoteRef/>
      </w:r>
      <w:r>
        <w:t xml:space="preserve"> </w:t>
      </w:r>
      <w:r>
        <w:tab/>
      </w:r>
      <w:proofErr w:type="gramStart"/>
      <w:r>
        <w:t>Including debt raising costs.</w:t>
      </w:r>
      <w:proofErr w:type="gramEnd"/>
    </w:p>
  </w:footnote>
  <w:footnote w:id="25">
    <w:p w:rsidR="008D69E9" w:rsidRDefault="008D69E9">
      <w:pPr>
        <w:pStyle w:val="FootnoteText"/>
      </w:pPr>
      <w:r>
        <w:rPr>
          <w:rStyle w:val="FootnoteReference"/>
        </w:rPr>
        <w:footnoteRef/>
      </w:r>
      <w:r>
        <w:t xml:space="preserve"> </w:t>
      </w:r>
      <w:r>
        <w:tab/>
      </w:r>
      <w:proofErr w:type="gramStart"/>
      <w:r>
        <w:t>Including debt raising costs.</w:t>
      </w:r>
      <w:proofErr w:type="gramEnd"/>
    </w:p>
  </w:footnote>
  <w:footnote w:id="26">
    <w:p w:rsidR="008D69E9" w:rsidRDefault="008D69E9">
      <w:pPr>
        <w:pStyle w:val="FootnoteText"/>
      </w:pPr>
      <w:r>
        <w:rPr>
          <w:rStyle w:val="FootnoteReference"/>
        </w:rPr>
        <w:footnoteRef/>
      </w:r>
      <w:r>
        <w:t xml:space="preserve"> </w:t>
      </w:r>
      <w:r>
        <w:tab/>
      </w:r>
      <w:r w:rsidRPr="00C8750D">
        <w:t>https://www.aer.gov.au/networks-pipelines/determinations-access-arrangements/powerlink-determination-2017-2022</w:t>
      </w:r>
      <w:r>
        <w:t>.</w:t>
      </w:r>
    </w:p>
  </w:footnote>
  <w:footnote w:id="27">
    <w:p w:rsidR="008D69E9" w:rsidRDefault="008D69E9">
      <w:pPr>
        <w:pStyle w:val="FootnoteText"/>
      </w:pPr>
      <w:r>
        <w:rPr>
          <w:rStyle w:val="FootnoteReference"/>
        </w:rPr>
        <w:footnoteRef/>
      </w:r>
      <w:r>
        <w:t xml:space="preserve"> </w:t>
      </w:r>
      <w:r>
        <w:tab/>
        <w:t xml:space="preserve">Prior to 2014, Powerlink was ranked third in opex MPP for four years (2010–2013). </w:t>
      </w:r>
    </w:p>
  </w:footnote>
  <w:footnote w:id="28">
    <w:p w:rsidR="008D69E9" w:rsidRPr="00F526E4" w:rsidRDefault="008D69E9" w:rsidP="00AC7CEF">
      <w:pPr>
        <w:pStyle w:val="FootnoteText"/>
        <w:rPr>
          <w:rStyle w:val="Emphasis"/>
        </w:rPr>
      </w:pPr>
      <w:r>
        <w:rPr>
          <w:rStyle w:val="FootnoteReference"/>
        </w:rPr>
        <w:footnoteRef/>
      </w:r>
      <w:r>
        <w:t xml:space="preserve"> </w:t>
      </w:r>
      <w:r>
        <w:tab/>
      </w:r>
      <w:r w:rsidRPr="00AC7CEF">
        <w:t>Powerlink,</w:t>
      </w:r>
      <w:r w:rsidRPr="00F526E4">
        <w:rPr>
          <w:rStyle w:val="Emphasis"/>
        </w:rPr>
        <w:t xml:space="preserve"> 2018-22 Powerlink Queensland Revenue Proposal, Appendix 4.01: </w:t>
      </w:r>
      <w:proofErr w:type="spellStart"/>
      <w:r w:rsidRPr="00F526E4">
        <w:rPr>
          <w:rStyle w:val="Emphasis"/>
        </w:rPr>
        <w:t>Huegin</w:t>
      </w:r>
      <w:proofErr w:type="spellEnd"/>
      <w:r w:rsidRPr="00F526E4">
        <w:rPr>
          <w:rStyle w:val="Emphasis"/>
        </w:rPr>
        <w:t>—Powerlink Operating Expenditure Benchmarking Review</w:t>
      </w:r>
      <w:r>
        <w:rPr>
          <w:rStyle w:val="Emphasis"/>
        </w:rPr>
        <w:t>.</w:t>
      </w:r>
    </w:p>
  </w:footnote>
  <w:footnote w:id="29">
    <w:p w:rsidR="008D69E9" w:rsidRDefault="008D69E9">
      <w:pPr>
        <w:pStyle w:val="FootnoteText"/>
      </w:pPr>
      <w:r>
        <w:rPr>
          <w:rStyle w:val="FootnoteReference"/>
        </w:rPr>
        <w:footnoteRef/>
      </w:r>
      <w:r>
        <w:t xml:space="preserve"> </w:t>
      </w:r>
      <w:r>
        <w:tab/>
      </w:r>
      <w:r w:rsidRPr="00BA0CFB">
        <w:t xml:space="preserve">Economic Insights, </w:t>
      </w:r>
      <w:r w:rsidRPr="003C4194">
        <w:rPr>
          <w:rStyle w:val="Emphasis"/>
        </w:rPr>
        <w:t>Review of submissions on Powerlink's base year opex</w:t>
      </w:r>
      <w:r w:rsidRPr="00BA0CFB">
        <w:t>, 14 July 2016.</w:t>
      </w:r>
    </w:p>
  </w:footnote>
  <w:footnote w:id="30">
    <w:p w:rsidR="008D69E9" w:rsidRDefault="008D69E9" w:rsidP="000647D8">
      <w:pPr>
        <w:pStyle w:val="FootnoteText"/>
      </w:pPr>
      <w:r>
        <w:rPr>
          <w:rStyle w:val="FootnoteReference"/>
        </w:rPr>
        <w:footnoteRef/>
      </w:r>
      <w:r>
        <w:t xml:space="preserve"> </w:t>
      </w:r>
      <w:r>
        <w:tab/>
        <w:t xml:space="preserve">Economic Insights, </w:t>
      </w:r>
      <w:r w:rsidRPr="00AE012B">
        <w:rPr>
          <w:rStyle w:val="AERtextitalic"/>
        </w:rPr>
        <w:t>Review of submissions on Powerlink's base year opex</w:t>
      </w:r>
      <w:r>
        <w:t>, 14 July 2016.</w:t>
      </w:r>
    </w:p>
  </w:footnote>
  <w:footnote w:id="31">
    <w:p w:rsidR="008D69E9" w:rsidRDefault="008D69E9" w:rsidP="00C80EDB">
      <w:pPr>
        <w:pStyle w:val="FootnoteText"/>
      </w:pPr>
      <w:r>
        <w:rPr>
          <w:rStyle w:val="FootnoteReference"/>
        </w:rPr>
        <w:footnoteRef/>
      </w:r>
      <w:r>
        <w:t xml:space="preserve"> </w:t>
      </w:r>
      <w:r>
        <w:tab/>
        <w:t xml:space="preserve">Economic Insights, </w:t>
      </w:r>
      <w:r w:rsidRPr="00AE012B">
        <w:rPr>
          <w:rStyle w:val="AERtextitalic"/>
        </w:rPr>
        <w:t>Review of submissions on Powerlink's base year opex</w:t>
      </w:r>
      <w:r>
        <w:t>, 14 July 2016.</w:t>
      </w:r>
    </w:p>
  </w:footnote>
  <w:footnote w:id="32">
    <w:p w:rsidR="008D69E9" w:rsidRDefault="008D69E9" w:rsidP="00C80EDB">
      <w:pPr>
        <w:pStyle w:val="FootnoteText"/>
      </w:pPr>
      <w:r>
        <w:rPr>
          <w:rStyle w:val="FootnoteReference"/>
        </w:rPr>
        <w:footnoteRef/>
      </w:r>
      <w:r>
        <w:t xml:space="preserve"> </w:t>
      </w:r>
      <w:r>
        <w:tab/>
        <w:t xml:space="preserve">Economic Insights, </w:t>
      </w:r>
      <w:r w:rsidRPr="00AE012B">
        <w:rPr>
          <w:rStyle w:val="AERtextitalic"/>
        </w:rPr>
        <w:t>Review of submissions on Powerlink's base year opex</w:t>
      </w:r>
      <w:r>
        <w:t>, 14 July 2016.</w:t>
      </w:r>
    </w:p>
  </w:footnote>
  <w:footnote w:id="33">
    <w:p w:rsidR="008D69E9" w:rsidRDefault="008D69E9">
      <w:pPr>
        <w:pStyle w:val="FootnoteText"/>
      </w:pPr>
      <w:r>
        <w:rPr>
          <w:rStyle w:val="FootnoteReference"/>
        </w:rPr>
        <w:footnoteRef/>
      </w:r>
      <w:r>
        <w:t xml:space="preserve"> </w:t>
      </w:r>
      <w:r>
        <w:tab/>
      </w:r>
      <w:r w:rsidRPr="000A082D">
        <w:t>Our Expenditure forecast assessment guideline (</w:t>
      </w:r>
      <w:r>
        <w:t>p.</w:t>
      </w:r>
      <w:r w:rsidRPr="000A082D">
        <w:t xml:space="preserve"> 23) sets out how we will estimate opex in the final year of the preceding regulatory control per</w:t>
      </w:r>
      <w:r>
        <w:t xml:space="preserve">iod </w:t>
      </w:r>
      <w:r w:rsidRPr="000A082D">
        <w:t>(2016–17 in this case). Estimating 2016–17 this way allows Powerlink to retain efficiency gains made after the base year (201</w:t>
      </w:r>
      <w:r>
        <w:t>4</w:t>
      </w:r>
      <w:r w:rsidRPr="000A082D">
        <w:t>–15). Powerlink did not adopt this approach to forecasting opex for 2016–17 and in effect assumed it would make efficiency ga</w:t>
      </w:r>
      <w:r>
        <w:t>ins in 2015–</w:t>
      </w:r>
      <w:r w:rsidRPr="000A082D">
        <w:t>16 and 2016–17</w:t>
      </w:r>
      <w:r>
        <w:t>.</w:t>
      </w:r>
    </w:p>
  </w:footnote>
  <w:footnote w:id="34">
    <w:p w:rsidR="008D69E9" w:rsidRDefault="008D69E9">
      <w:pPr>
        <w:pStyle w:val="FootnoteText"/>
      </w:pPr>
      <w:r>
        <w:rPr>
          <w:rStyle w:val="FootnoteReference"/>
        </w:rPr>
        <w:footnoteRef/>
      </w:r>
      <w:r>
        <w:t xml:space="preserve"> </w:t>
      </w:r>
      <w:r>
        <w:tab/>
      </w:r>
      <w:proofErr w:type="gramStart"/>
      <w:r w:rsidRPr="00EC7928">
        <w:t xml:space="preserve">Powerlink, </w:t>
      </w:r>
      <w:r w:rsidRPr="00B20243">
        <w:rPr>
          <w:rStyle w:val="AERtextitalic"/>
        </w:rPr>
        <w:t>Revenue proposal</w:t>
      </w:r>
      <w:r w:rsidRPr="00EC7928">
        <w:t xml:space="preserve">, January 2016, p. </w:t>
      </w:r>
      <w:r>
        <w:t>60</w:t>
      </w:r>
      <w:r w:rsidRPr="00EC7928">
        <w:t>.</w:t>
      </w:r>
      <w:proofErr w:type="gramEnd"/>
    </w:p>
  </w:footnote>
  <w:footnote w:id="35">
    <w:p w:rsidR="008D69E9" w:rsidRDefault="008D69E9" w:rsidP="0091059D">
      <w:pPr>
        <w:pStyle w:val="FootnoteText"/>
      </w:pPr>
      <w:r>
        <w:rPr>
          <w:rStyle w:val="FootnoteReference"/>
        </w:rPr>
        <w:footnoteRef/>
      </w:r>
      <w:r>
        <w:t xml:space="preserve"> </w:t>
      </w:r>
      <w:r>
        <w:tab/>
      </w:r>
      <w:proofErr w:type="gramStart"/>
      <w:r>
        <w:t>E</w:t>
      </w:r>
      <w:r w:rsidRPr="004E1346">
        <w:t>lectricity, gas, water and waste services</w:t>
      </w:r>
      <w:r>
        <w:t>.</w:t>
      </w:r>
      <w:proofErr w:type="gramEnd"/>
    </w:p>
  </w:footnote>
  <w:footnote w:id="36">
    <w:p w:rsidR="008D69E9" w:rsidRDefault="008D69E9" w:rsidP="0091059D">
      <w:pPr>
        <w:pStyle w:val="FootnoteText"/>
      </w:pPr>
      <w:r>
        <w:rPr>
          <w:rStyle w:val="FootnoteReference"/>
        </w:rPr>
        <w:footnoteRef/>
      </w:r>
      <w:r>
        <w:t xml:space="preserve"> </w:t>
      </w:r>
      <w:r>
        <w:tab/>
        <w:t xml:space="preserve">AER, </w:t>
      </w:r>
      <w:r w:rsidR="00C924EB" w:rsidRPr="00C924EB">
        <w:rPr>
          <w:rStyle w:val="Emphasis"/>
        </w:rPr>
        <w:t>Draft decision,</w:t>
      </w:r>
      <w:r w:rsidR="00C924EB">
        <w:t xml:space="preserve"> </w:t>
      </w:r>
      <w:r w:rsidRPr="00B20243">
        <w:rPr>
          <w:rStyle w:val="AERtextitalic"/>
        </w:rPr>
        <w:t>AusNet Services transmission determination 2017–</w:t>
      </w:r>
      <w:r w:rsidR="00C924EB">
        <w:rPr>
          <w:rStyle w:val="AERtextitalic"/>
        </w:rPr>
        <w:t>18 to 2021–22</w:t>
      </w:r>
      <w:r>
        <w:t xml:space="preserve">, </w:t>
      </w:r>
      <w:r w:rsidR="00C924EB">
        <w:t xml:space="preserve">20 July 2016, </w:t>
      </w:r>
      <w:r>
        <w:t>p. 7-53; AusNet Services</w:t>
      </w:r>
      <w:r w:rsidR="00C924EB">
        <w:t xml:space="preserve">, </w:t>
      </w:r>
      <w:r w:rsidR="00C924EB" w:rsidRPr="00C924EB">
        <w:rPr>
          <w:rStyle w:val="Emphasis"/>
        </w:rPr>
        <w:t>T</w:t>
      </w:r>
      <w:r w:rsidRPr="00C924EB">
        <w:rPr>
          <w:rStyle w:val="Emphasis"/>
        </w:rPr>
        <w:t xml:space="preserve">ransmission revenue </w:t>
      </w:r>
      <w:r w:rsidR="00C924EB" w:rsidRPr="00C924EB">
        <w:rPr>
          <w:rStyle w:val="Emphasis"/>
        </w:rPr>
        <w:t xml:space="preserve">review </w:t>
      </w:r>
      <w:r w:rsidRPr="00C924EB">
        <w:rPr>
          <w:rStyle w:val="Emphasis"/>
        </w:rPr>
        <w:t>2017–22, Appendix 5E: CIE labour price forecasts</w:t>
      </w:r>
      <w:r>
        <w:t>, 30 October 2015, p. 3.</w:t>
      </w:r>
    </w:p>
  </w:footnote>
  <w:footnote w:id="37">
    <w:p w:rsidR="008D69E9" w:rsidRDefault="008D69E9" w:rsidP="0091059D">
      <w:pPr>
        <w:pStyle w:val="FootnoteText"/>
      </w:pPr>
      <w:r>
        <w:rPr>
          <w:rStyle w:val="FootnoteReference"/>
        </w:rPr>
        <w:footnoteRef/>
      </w:r>
      <w:r>
        <w:t xml:space="preserve"> </w:t>
      </w:r>
      <w:r>
        <w:tab/>
      </w:r>
      <w:r w:rsidRPr="00786B17">
        <w:t xml:space="preserve">Deloitte Access Economics, </w:t>
      </w:r>
      <w:r w:rsidRPr="00B20243">
        <w:rPr>
          <w:rStyle w:val="AERtextitalic"/>
        </w:rPr>
        <w:t xml:space="preserve">Forecast growth in labour costs in </w:t>
      </w:r>
      <w:r w:rsidRPr="00C924EB">
        <w:rPr>
          <w:rStyle w:val="Emphasis"/>
        </w:rPr>
        <w:t>Australia, Victoria, South Australia, Northern Territory and the Australian Capital Territory, prepared for the AER</w:t>
      </w:r>
      <w:r w:rsidRPr="00786B17">
        <w:t>, 5 February 2016.</w:t>
      </w:r>
      <w:r>
        <w:t xml:space="preserve"> </w:t>
      </w:r>
    </w:p>
  </w:footnote>
  <w:footnote w:id="38">
    <w:p w:rsidR="008D69E9" w:rsidRDefault="008D69E9" w:rsidP="00E24FF3">
      <w:pPr>
        <w:pStyle w:val="FootnoteText"/>
      </w:pPr>
      <w:r>
        <w:rPr>
          <w:rStyle w:val="FootnoteReference"/>
        </w:rPr>
        <w:footnoteRef/>
      </w:r>
      <w:r>
        <w:t xml:space="preserve"> </w:t>
      </w:r>
      <w:r>
        <w:tab/>
      </w:r>
      <w:r w:rsidRPr="00045B2B">
        <w:t>Powerlink’s forecast labour cost escalation for the 201</w:t>
      </w:r>
      <w:r>
        <w:t>7</w:t>
      </w:r>
      <w:r w:rsidR="00C924EB">
        <w:t>–</w:t>
      </w:r>
      <w:r w:rsidRPr="00045B2B">
        <w:t>22 regulatory</w:t>
      </w:r>
      <w:r>
        <w:t xml:space="preserve"> period is based on its current </w:t>
      </w:r>
      <w:r w:rsidRPr="00045B2B">
        <w:t xml:space="preserve">Enterprise Agreement until February 2018 and a simple average of BIS Shrapnel’s and DAE’s </w:t>
      </w:r>
      <w:r>
        <w:t xml:space="preserve">WPI forecasts thereafter; Powerlink, </w:t>
      </w:r>
      <w:r>
        <w:rPr>
          <w:rStyle w:val="AERtextitalic"/>
        </w:rPr>
        <w:t>Revenue proposal</w:t>
      </w:r>
      <w:r>
        <w:t>, January 2016, p. 80.</w:t>
      </w:r>
    </w:p>
  </w:footnote>
  <w:footnote w:id="39">
    <w:p w:rsidR="008D69E9" w:rsidRDefault="008D69E9" w:rsidP="004175F5">
      <w:pPr>
        <w:pStyle w:val="FootnoteText"/>
      </w:pPr>
      <w:r>
        <w:rPr>
          <w:rStyle w:val="FootnoteReference"/>
        </w:rPr>
        <w:footnoteRef/>
      </w:r>
      <w:r>
        <w:t xml:space="preserve"> </w:t>
      </w:r>
      <w:r>
        <w:tab/>
      </w:r>
      <w:r w:rsidRPr="00CC2DF7">
        <w:t>We applied Economic Insights' benchmark opex price weightings for labour and non-labour</w:t>
      </w:r>
      <w:r>
        <w:t>:</w:t>
      </w:r>
      <w:r w:rsidRPr="00CC2DF7">
        <w:t xml:space="preserve"> </w:t>
      </w:r>
      <w:r>
        <w:t xml:space="preserve"> </w:t>
      </w:r>
      <w:r w:rsidRPr="00AF7B7F">
        <w:t>62 per cent for labour and 38 per cent for non-labour</w:t>
      </w:r>
      <w:r>
        <w:t>.</w:t>
      </w:r>
      <w:r w:rsidRPr="00736770">
        <w:t xml:space="preserve"> </w:t>
      </w:r>
      <w:r>
        <w:t xml:space="preserve">For more detail for our approach to forecasting price changes refer to </w:t>
      </w:r>
      <w:r w:rsidR="00C924EB">
        <w:t xml:space="preserve">AER, </w:t>
      </w:r>
      <w:r w:rsidR="00C924EB" w:rsidRPr="00C924EB">
        <w:rPr>
          <w:rStyle w:val="Emphasis"/>
        </w:rPr>
        <w:t>Draft decision,</w:t>
      </w:r>
      <w:r w:rsidR="00C924EB">
        <w:t xml:space="preserve"> </w:t>
      </w:r>
      <w:r w:rsidR="00C924EB" w:rsidRPr="00B20243">
        <w:rPr>
          <w:rStyle w:val="AERtextitalic"/>
        </w:rPr>
        <w:t>AusNet Services transmission determination 2017–</w:t>
      </w:r>
      <w:r w:rsidR="00C924EB">
        <w:rPr>
          <w:rStyle w:val="AERtextitalic"/>
        </w:rPr>
        <w:t>18 to 2021–22</w:t>
      </w:r>
      <w:r w:rsidR="00C924EB">
        <w:t>, 20 July 2016, pp. 7-</w:t>
      </w:r>
      <w:r>
        <w:t>19, 7</w:t>
      </w:r>
      <w:r w:rsidR="00C924EB">
        <w:t>-</w:t>
      </w:r>
      <w:r>
        <w:t>47 to 7</w:t>
      </w:r>
      <w:r w:rsidR="00C924EB">
        <w:t>-</w:t>
      </w:r>
      <w:r>
        <w:t>53.</w:t>
      </w:r>
    </w:p>
  </w:footnote>
  <w:footnote w:id="40">
    <w:p w:rsidR="008D69E9" w:rsidRDefault="008D69E9" w:rsidP="004D54F8">
      <w:pPr>
        <w:pStyle w:val="FootnoteText"/>
      </w:pPr>
      <w:r>
        <w:rPr>
          <w:rStyle w:val="FootnoteReference"/>
        </w:rPr>
        <w:footnoteRef/>
      </w:r>
      <w:r>
        <w:t xml:space="preserve"> </w:t>
      </w:r>
      <w:r>
        <w:tab/>
      </w:r>
      <w:r w:rsidRPr="004D54F8">
        <w:t xml:space="preserve">The weightings </w:t>
      </w:r>
      <w:r>
        <w:t xml:space="preserve">we </w:t>
      </w:r>
      <w:r w:rsidRPr="004D54F8">
        <w:t xml:space="preserve">applied to each measure of network output are the same as those </w:t>
      </w:r>
      <w:r>
        <w:t xml:space="preserve">we </w:t>
      </w:r>
      <w:r w:rsidRPr="004D54F8">
        <w:t xml:space="preserve">used in </w:t>
      </w:r>
      <w:r>
        <w:t>our</w:t>
      </w:r>
      <w:r w:rsidRPr="004D54F8">
        <w:t xml:space="preserve"> </w:t>
      </w:r>
      <w:r>
        <w:t>benchmarking a</w:t>
      </w:r>
      <w:r w:rsidRPr="004D54F8">
        <w:t>nalysis</w:t>
      </w:r>
      <w:r>
        <w:t xml:space="preserve">: energy 21.4 per cent; ratcheted maximum demand 22.1 per cent; voltage weighted entry and exit points 27.8 per cent; and, circuit line length 28.7 per cent. </w:t>
      </w:r>
      <w:r w:rsidRPr="00C8541F">
        <w:t>Economic Insights discusses the process for selecting the output specification in its economic benchmarking assessment of opex for the NSW and ACT electricity distributors</w:t>
      </w:r>
      <w:r>
        <w:t xml:space="preserve">; </w:t>
      </w:r>
      <w:r w:rsidRPr="00C8541F">
        <w:t xml:space="preserve">Economic Insights, </w:t>
      </w:r>
      <w:r w:rsidRPr="00C8541F">
        <w:rPr>
          <w:rStyle w:val="AERtextitalic"/>
        </w:rPr>
        <w:t>Economic Benchmarking Assessment of Operating Expenditure for NSW and ACT Electricity DNSPs</w:t>
      </w:r>
      <w:r w:rsidRPr="00C8541F">
        <w:t>, 17</w:t>
      </w:r>
      <w:r>
        <w:t> </w:t>
      </w:r>
      <w:r w:rsidRPr="00C8541F">
        <w:t>November</w:t>
      </w:r>
      <w:r>
        <w:t xml:space="preserve"> 2014</w:t>
      </w:r>
      <w:r w:rsidRPr="00C8541F">
        <w:t>, pp. 9</w:t>
      </w:r>
      <w:r>
        <w:t>–</w:t>
      </w:r>
      <w:r w:rsidRPr="00C8541F">
        <w:t>10.</w:t>
      </w:r>
    </w:p>
  </w:footnote>
  <w:footnote w:id="41">
    <w:p w:rsidR="008D69E9" w:rsidRDefault="008D69E9">
      <w:pPr>
        <w:pStyle w:val="FootnoteText"/>
      </w:pPr>
      <w:r>
        <w:rPr>
          <w:rStyle w:val="FootnoteReference"/>
        </w:rPr>
        <w:footnoteRef/>
      </w:r>
      <w:r>
        <w:t xml:space="preserve"> </w:t>
      </w:r>
      <w:r>
        <w:tab/>
      </w:r>
      <w:r w:rsidRPr="0031365E">
        <w:t xml:space="preserve">Ratcheted maximum demand is the highest value of maximum demand observed up to the year in question. It recognises capacity that has been used to satisfy demand and gives the </w:t>
      </w:r>
      <w:r>
        <w:t>service provider</w:t>
      </w:r>
      <w:r w:rsidRPr="0031365E">
        <w:t xml:space="preserve"> credit for this capacity in subsequent years, even though annual maximum demand may be lower in subsequent years.</w:t>
      </w:r>
    </w:p>
  </w:footnote>
  <w:footnote w:id="42">
    <w:p w:rsidR="008D69E9" w:rsidRDefault="008D69E9" w:rsidP="004175F5">
      <w:pPr>
        <w:pStyle w:val="FootnoteText"/>
      </w:pPr>
      <w:r>
        <w:rPr>
          <w:rStyle w:val="FootnoteReference"/>
        </w:rPr>
        <w:footnoteRef/>
      </w:r>
      <w:r>
        <w:t xml:space="preserve"> </w:t>
      </w:r>
      <w:r>
        <w:tab/>
        <w:t xml:space="preserve">Powerlink, </w:t>
      </w:r>
      <w:r w:rsidRPr="003D14CE">
        <w:rPr>
          <w:rStyle w:val="AERtextitalic"/>
        </w:rPr>
        <w:t>Reset RIN Regulatory templates consolidated</w:t>
      </w:r>
      <w:r>
        <w:t>, 29 January 2016, tables 3.4.1 to 3.4.3.</w:t>
      </w:r>
    </w:p>
  </w:footnote>
  <w:footnote w:id="43">
    <w:p w:rsidR="008D69E9" w:rsidRDefault="008D69E9">
      <w:pPr>
        <w:pStyle w:val="FootnoteText"/>
      </w:pPr>
      <w:r>
        <w:rPr>
          <w:rStyle w:val="FootnoteReference"/>
        </w:rPr>
        <w:footnoteRef/>
      </w:r>
      <w:r>
        <w:t xml:space="preserve"> </w:t>
      </w:r>
      <w:r>
        <w:tab/>
      </w:r>
      <w:proofErr w:type="gramStart"/>
      <w:r>
        <w:t xml:space="preserve">Powerlink, </w:t>
      </w:r>
      <w:r>
        <w:rPr>
          <w:rStyle w:val="AERtextitalic"/>
        </w:rPr>
        <w:t>Revenue proposal</w:t>
      </w:r>
      <w:r>
        <w:t>, January 2016, p. 71.</w:t>
      </w:r>
      <w:proofErr w:type="gramEnd"/>
    </w:p>
  </w:footnote>
  <w:footnote w:id="44">
    <w:p w:rsidR="008D69E9" w:rsidRDefault="008D69E9" w:rsidP="00E31DF0">
      <w:pPr>
        <w:pStyle w:val="FootnoteText"/>
      </w:pPr>
      <w:r>
        <w:rPr>
          <w:rStyle w:val="FootnoteReference"/>
        </w:rPr>
        <w:footnoteRef/>
      </w:r>
      <w:r>
        <w:t xml:space="preserve"> </w:t>
      </w:r>
      <w:r>
        <w:tab/>
      </w:r>
      <w:r w:rsidRPr="00935005">
        <w:t xml:space="preserve">Economic Insights, </w:t>
      </w:r>
      <w:r w:rsidRPr="00B20243">
        <w:rPr>
          <w:rStyle w:val="AERtextitalic"/>
        </w:rPr>
        <w:t>Memorandum: TNSP MTFP Results</w:t>
      </w:r>
      <w:r w:rsidRPr="00935005">
        <w:t>, 29</w:t>
      </w:r>
      <w:r>
        <w:t xml:space="preserve"> April 2016, p. 5.</w:t>
      </w:r>
    </w:p>
  </w:footnote>
  <w:footnote w:id="45">
    <w:p w:rsidR="008D69E9" w:rsidRDefault="008D69E9">
      <w:pPr>
        <w:pStyle w:val="FootnoteText"/>
      </w:pPr>
      <w:r>
        <w:rPr>
          <w:rStyle w:val="FootnoteReference"/>
        </w:rPr>
        <w:footnoteRef/>
      </w:r>
      <w:r>
        <w:t xml:space="preserve"> </w:t>
      </w:r>
      <w:r>
        <w:tab/>
      </w:r>
      <w:r w:rsidRPr="00935005">
        <w:t xml:space="preserve">Economic Insights, </w:t>
      </w:r>
      <w:r w:rsidRPr="00B20243">
        <w:rPr>
          <w:rStyle w:val="AERtextitalic"/>
        </w:rPr>
        <w:t>Memorandum: TNSP MTFP Results</w:t>
      </w:r>
      <w:r w:rsidRPr="00935005">
        <w:t xml:space="preserve">, 29 April 2016, p. 5. </w:t>
      </w:r>
      <w:r>
        <w:t xml:space="preserve"> </w:t>
      </w:r>
    </w:p>
  </w:footnote>
  <w:footnote w:id="46">
    <w:p w:rsidR="008D69E9" w:rsidRDefault="008D69E9" w:rsidP="004175F5">
      <w:pPr>
        <w:pStyle w:val="FootnoteText"/>
      </w:pPr>
      <w:r>
        <w:rPr>
          <w:rStyle w:val="FootnoteReference"/>
        </w:rPr>
        <w:footnoteRef/>
      </w:r>
      <w:r>
        <w:t xml:space="preserve"> </w:t>
      </w:r>
      <w:r>
        <w:tab/>
        <w:t xml:space="preserve">AER, </w:t>
      </w:r>
      <w:r w:rsidRPr="00B20243">
        <w:rPr>
          <w:rStyle w:val="AERtextitalic"/>
        </w:rPr>
        <w:t>2015 Annual benchmarking report (Transmission)</w:t>
      </w:r>
      <w:r>
        <w:t xml:space="preserve">, November 2015, p. 17; AER, </w:t>
      </w:r>
      <w:r w:rsidRPr="00B20243">
        <w:rPr>
          <w:rStyle w:val="AERtextitalic"/>
        </w:rPr>
        <w:t>2015 Annual benchmarking report (</w:t>
      </w:r>
      <w:r>
        <w:rPr>
          <w:rStyle w:val="AERtextitalic"/>
        </w:rPr>
        <w:t>Distribution</w:t>
      </w:r>
      <w:r w:rsidRPr="00B20243">
        <w:rPr>
          <w:rStyle w:val="AERtextitalic"/>
        </w:rPr>
        <w:t>)</w:t>
      </w:r>
      <w:r>
        <w:t>, November 2015, p. 12.</w:t>
      </w:r>
    </w:p>
  </w:footnote>
  <w:footnote w:id="47">
    <w:p w:rsidR="008D69E9" w:rsidRDefault="008D69E9">
      <w:pPr>
        <w:pStyle w:val="FootnoteText"/>
      </w:pPr>
      <w:r>
        <w:rPr>
          <w:rStyle w:val="FootnoteReference"/>
        </w:rPr>
        <w:footnoteRef/>
      </w:r>
      <w:r>
        <w:t xml:space="preserve"> </w:t>
      </w:r>
      <w:r>
        <w:tab/>
      </w:r>
      <w:proofErr w:type="gramStart"/>
      <w:r>
        <w:t xml:space="preserve">Powerlink, </w:t>
      </w:r>
      <w:r>
        <w:rPr>
          <w:rStyle w:val="AERtextitalic"/>
        </w:rPr>
        <w:t>Revenue proposal</w:t>
      </w:r>
      <w:r>
        <w:t>, January 2016, p. 73.</w:t>
      </w:r>
      <w:proofErr w:type="gramEnd"/>
    </w:p>
  </w:footnote>
  <w:footnote w:id="48">
    <w:p w:rsidR="008D69E9" w:rsidRDefault="008D69E9">
      <w:pPr>
        <w:pStyle w:val="FootnoteText"/>
      </w:pPr>
      <w:r>
        <w:rPr>
          <w:rStyle w:val="FootnoteReference"/>
        </w:rPr>
        <w:footnoteRef/>
      </w:r>
      <w:r>
        <w:t xml:space="preserve"> </w:t>
      </w:r>
      <w:r>
        <w:tab/>
        <w:t xml:space="preserve">Powerlink, </w:t>
      </w:r>
      <w:r w:rsidR="00C924EB">
        <w:rPr>
          <w:rStyle w:val="Emphasis"/>
        </w:rPr>
        <w:t>R</w:t>
      </w:r>
      <w:r w:rsidRPr="00C924EB">
        <w:rPr>
          <w:rStyle w:val="Emphasis"/>
        </w:rPr>
        <w:t>esponse to AER information request 'Powerlink IR#020'</w:t>
      </w:r>
      <w:r>
        <w:t>, 26 August 2016,</w:t>
      </w:r>
      <w:r w:rsidR="00C924EB">
        <w:t xml:space="preserve"> pp. 2–</w:t>
      </w:r>
      <w:r>
        <w:t>3.</w:t>
      </w:r>
    </w:p>
  </w:footnote>
  <w:footnote w:id="49">
    <w:p w:rsidR="008D69E9" w:rsidRDefault="008D69E9">
      <w:pPr>
        <w:pStyle w:val="FootnoteText"/>
      </w:pPr>
      <w:r>
        <w:rPr>
          <w:rStyle w:val="FootnoteReference"/>
        </w:rPr>
        <w:footnoteRef/>
      </w:r>
      <w:r>
        <w:t xml:space="preserve"> </w:t>
      </w:r>
      <w:r>
        <w:tab/>
        <w:t xml:space="preserve">Powerlink, </w:t>
      </w:r>
      <w:r w:rsidR="00C924EB">
        <w:rPr>
          <w:rStyle w:val="Emphasis"/>
        </w:rPr>
        <w:t>R</w:t>
      </w:r>
      <w:r w:rsidRPr="00C924EB">
        <w:rPr>
          <w:rStyle w:val="Emphasis"/>
        </w:rPr>
        <w:t>esponse to AER information request 'Powerlink IR#020</w:t>
      </w:r>
      <w:r w:rsidR="00C924EB" w:rsidRPr="00C924EB">
        <w:rPr>
          <w:rStyle w:val="Emphasis"/>
        </w:rPr>
        <w:t>'</w:t>
      </w:r>
      <w:r w:rsidR="00C924EB">
        <w:t>, 26 August 2016, pp. 3–</w:t>
      </w:r>
      <w:r>
        <w:t>4.</w:t>
      </w:r>
    </w:p>
  </w:footnote>
  <w:footnote w:id="50">
    <w:p w:rsidR="008D69E9" w:rsidRDefault="008D69E9">
      <w:pPr>
        <w:pStyle w:val="FootnoteText"/>
      </w:pPr>
      <w:r>
        <w:rPr>
          <w:rStyle w:val="FootnoteReference"/>
        </w:rPr>
        <w:footnoteRef/>
      </w:r>
      <w:r>
        <w:t xml:space="preserve"> </w:t>
      </w:r>
      <w:r>
        <w:tab/>
        <w:t xml:space="preserve">Powerlink, </w:t>
      </w:r>
      <w:r w:rsidR="00C924EB">
        <w:rPr>
          <w:rStyle w:val="Emphasis"/>
        </w:rPr>
        <w:t>R</w:t>
      </w:r>
      <w:r w:rsidRPr="00C924EB">
        <w:rPr>
          <w:rStyle w:val="Emphasis"/>
        </w:rPr>
        <w:t>esponse to AER information request 'Powerlink IR#020</w:t>
      </w:r>
      <w:r w:rsidR="00C924EB" w:rsidRPr="00C924EB">
        <w:rPr>
          <w:rStyle w:val="Emphasis"/>
        </w:rPr>
        <w:t>'</w:t>
      </w:r>
      <w:r w:rsidR="00C924EB">
        <w:t>, 26 August 2016, pp. 4–</w:t>
      </w:r>
      <w:r>
        <w:t xml:space="preserve">5. </w:t>
      </w:r>
    </w:p>
  </w:footnote>
  <w:footnote w:id="51">
    <w:p w:rsidR="008D69E9" w:rsidRDefault="008D69E9">
      <w:pPr>
        <w:pStyle w:val="FootnoteText"/>
      </w:pPr>
      <w:r>
        <w:rPr>
          <w:rStyle w:val="FootnoteReference"/>
        </w:rPr>
        <w:footnoteRef/>
      </w:r>
      <w:r>
        <w:t xml:space="preserve"> </w:t>
      </w:r>
      <w:r>
        <w:tab/>
      </w:r>
      <w:proofErr w:type="gramStart"/>
      <w:r>
        <w:t xml:space="preserve">Powerlink, </w:t>
      </w:r>
      <w:r>
        <w:rPr>
          <w:rStyle w:val="AERtextitalic"/>
        </w:rPr>
        <w:t>Revenue proposal</w:t>
      </w:r>
      <w:r>
        <w:t>, January 2016, p. 74.</w:t>
      </w:r>
      <w:proofErr w:type="gramEnd"/>
    </w:p>
  </w:footnote>
  <w:footnote w:id="52">
    <w:p w:rsidR="008D69E9" w:rsidRDefault="008D69E9" w:rsidP="004175F5">
      <w:pPr>
        <w:pStyle w:val="FootnoteText"/>
      </w:pPr>
      <w:r>
        <w:rPr>
          <w:rStyle w:val="FootnoteReference"/>
        </w:rPr>
        <w:footnoteRef/>
      </w:r>
      <w:r>
        <w:t xml:space="preserve"> </w:t>
      </w:r>
      <w:r>
        <w:tab/>
      </w:r>
      <w:proofErr w:type="gramStart"/>
      <w:r>
        <w:t xml:space="preserve">Powerlink, </w:t>
      </w:r>
      <w:r>
        <w:rPr>
          <w:rStyle w:val="AERtextitalic"/>
        </w:rPr>
        <w:t>Revenue proposal</w:t>
      </w:r>
      <w:r>
        <w:t>, January 2016, p. 104.</w:t>
      </w:r>
      <w:proofErr w:type="gramEnd"/>
    </w:p>
  </w:footnote>
  <w:footnote w:id="53">
    <w:p w:rsidR="008D69E9" w:rsidRDefault="008D69E9" w:rsidP="00B7449C">
      <w:pPr>
        <w:pStyle w:val="FootnoteText"/>
      </w:pPr>
      <w:r>
        <w:rPr>
          <w:rStyle w:val="FootnoteReference"/>
        </w:rPr>
        <w:footnoteRef/>
      </w:r>
      <w:r>
        <w:t xml:space="preserve"> </w:t>
      </w:r>
      <w:r>
        <w:tab/>
      </w:r>
      <w:proofErr w:type="gramStart"/>
      <w:r>
        <w:t xml:space="preserve">AER, </w:t>
      </w:r>
      <w:r w:rsidR="00C924EB" w:rsidRPr="00C924EB">
        <w:rPr>
          <w:rStyle w:val="Emphasis"/>
        </w:rPr>
        <w:t xml:space="preserve">Final decision, </w:t>
      </w:r>
      <w:r w:rsidRPr="00C924EB">
        <w:rPr>
          <w:rStyle w:val="Emphasis"/>
        </w:rPr>
        <w:t>AusNet</w:t>
      </w:r>
      <w:r w:rsidRPr="00E0363F">
        <w:rPr>
          <w:rStyle w:val="AERtextitalic"/>
        </w:rPr>
        <w:t xml:space="preserve"> Services distribution determination</w:t>
      </w:r>
      <w:r w:rsidR="00C924EB">
        <w:rPr>
          <w:rStyle w:val="AERtextitalic"/>
        </w:rPr>
        <w:t xml:space="preserve"> 2016 to 2020</w:t>
      </w:r>
      <w:r w:rsidRPr="00E0363F">
        <w:rPr>
          <w:rStyle w:val="AERtextitalic"/>
        </w:rPr>
        <w:t>, Attachment 7</w:t>
      </w:r>
      <w:r w:rsidR="00C924EB">
        <w:rPr>
          <w:rStyle w:val="AERtextitalic"/>
        </w:rPr>
        <w:t xml:space="preserve"> – Operating expenditure</w:t>
      </w:r>
      <w:r>
        <w:t xml:space="preserve">, </w:t>
      </w:r>
      <w:r w:rsidR="00C924EB">
        <w:t xml:space="preserve">May 2016, </w:t>
      </w:r>
      <w:r>
        <w:t>pp. 7-94 to 7-98.</w:t>
      </w:r>
      <w:proofErr w:type="gramEnd"/>
    </w:p>
  </w:footnote>
  <w:footnote w:id="54">
    <w:p w:rsidR="008D69E9" w:rsidRDefault="008D69E9" w:rsidP="004D19F5">
      <w:pPr>
        <w:pStyle w:val="FootnoteText"/>
      </w:pPr>
      <w:r>
        <w:rPr>
          <w:rStyle w:val="FootnoteReference"/>
        </w:rPr>
        <w:footnoteRef/>
      </w:r>
      <w:r>
        <w:t xml:space="preserve"> </w:t>
      </w:r>
      <w:r>
        <w:tab/>
      </w:r>
      <w:r w:rsidRPr="00935EBF">
        <w:t>Network businesses have the flexibility (and indeed the responsibility) to reallocate funds and resources during the regulatory period in response to changing circumstances, events and risks. The revenue allowance determined by the AER does not set a business' actual operating budget. The businesses are not constrained to current plans and processes or by the assumptions and forecasts in either their proposals or the determinations we make. This may require a departure from a 'business</w:t>
      </w:r>
      <w:r>
        <w:t>-</w:t>
      </w:r>
      <w:r w:rsidRPr="00935EBF">
        <w:t>as</w:t>
      </w:r>
      <w:r>
        <w:t>-</w:t>
      </w:r>
      <w:r w:rsidRPr="00935EBF">
        <w:t>usual approach'.</w:t>
      </w:r>
    </w:p>
  </w:footnote>
  <w:footnote w:id="55">
    <w:p w:rsidR="008D69E9" w:rsidRDefault="008D69E9">
      <w:pPr>
        <w:pStyle w:val="FootnoteText"/>
      </w:pPr>
      <w:r>
        <w:rPr>
          <w:rStyle w:val="FootnoteReference"/>
        </w:rPr>
        <w:footnoteRef/>
      </w:r>
      <w:r>
        <w:t xml:space="preserve"> </w:t>
      </w:r>
      <w:r>
        <w:tab/>
      </w:r>
      <w:proofErr w:type="gramStart"/>
      <w:r>
        <w:t>Powerlink,</w:t>
      </w:r>
      <w:r w:rsidRPr="008A2324">
        <w:rPr>
          <w:rStyle w:val="AERtextitalic"/>
        </w:rPr>
        <w:t xml:space="preserve"> </w:t>
      </w:r>
      <w:r>
        <w:rPr>
          <w:rStyle w:val="AERtextitalic"/>
        </w:rPr>
        <w:t>Revenue proposal</w:t>
      </w:r>
      <w:r w:rsidRPr="008A2324">
        <w:t xml:space="preserve">, January 2016, </w:t>
      </w:r>
      <w:r>
        <w:t>p. 61.</w:t>
      </w:r>
      <w:proofErr w:type="gramEnd"/>
    </w:p>
  </w:footnote>
  <w:footnote w:id="56">
    <w:p w:rsidR="00444319" w:rsidRDefault="0044431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 65</w:t>
      </w:r>
      <w:r w:rsidRPr="00784A8D">
        <w:t>.</w:t>
      </w:r>
    </w:p>
  </w:footnote>
  <w:footnote w:id="57">
    <w:p w:rsidR="008D69E9" w:rsidRDefault="008D69E9">
      <w:pPr>
        <w:pStyle w:val="FootnoteText"/>
      </w:pPr>
      <w:r>
        <w:rPr>
          <w:rStyle w:val="FootnoteReference"/>
        </w:rPr>
        <w:footnoteRef/>
      </w:r>
      <w:r>
        <w:t xml:space="preserve"> </w:t>
      </w:r>
      <w:r>
        <w:tab/>
        <w:t>The efficiency measures include: removal of non-recurrent opex from the base year, a one-off efficiency cut to the base year, productivity growth of 1.2 per cent, absorbing potential costs incurred due to increased regulatory obligations and foregone EBSS carryover reward. The latter is discussed in Attachment 9.</w:t>
      </w:r>
    </w:p>
  </w:footnote>
  <w:footnote w:id="58">
    <w:p w:rsidR="008D69E9" w:rsidRDefault="008D69E9" w:rsidP="00B0696D">
      <w:pPr>
        <w:pStyle w:val="FootnoteText"/>
      </w:pPr>
      <w:r>
        <w:rPr>
          <w:rStyle w:val="FootnoteReference"/>
        </w:rPr>
        <w:footnoteRef/>
      </w:r>
      <w:r>
        <w:t xml:space="preserve"> </w:t>
      </w:r>
      <w:r>
        <w:tab/>
        <w:t xml:space="preserve">Economic Insights, </w:t>
      </w:r>
      <w:r w:rsidRPr="006C7B85">
        <w:rPr>
          <w:rStyle w:val="AERtextitalic"/>
        </w:rPr>
        <w:t>Review of submissions on Powerlink's base year opex</w:t>
      </w:r>
      <w:r>
        <w:t>, 14 July 2016.</w:t>
      </w:r>
    </w:p>
  </w:footnote>
  <w:footnote w:id="59">
    <w:p w:rsidR="00444319" w:rsidRDefault="0044431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pp. 67–68.</w:t>
      </w:r>
    </w:p>
  </w:footnote>
  <w:footnote w:id="60">
    <w:p w:rsidR="00444319" w:rsidRDefault="0044431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 73</w:t>
      </w:r>
      <w:r w:rsidRPr="003B7C67">
        <w:t>.</w:t>
      </w:r>
    </w:p>
  </w:footnote>
  <w:footnote w:id="61">
    <w:p w:rsidR="00444319" w:rsidRDefault="0044431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pp. 69</w:t>
      </w:r>
      <w:r w:rsidRPr="003B7C67">
        <w:t>-</w:t>
      </w:r>
      <w:r>
        <w:t>70.</w:t>
      </w:r>
    </w:p>
  </w:footnote>
  <w:footnote w:id="62">
    <w:p w:rsidR="008D69E9" w:rsidRDefault="008D69E9" w:rsidP="002001DA">
      <w:pPr>
        <w:pStyle w:val="FootnoteText"/>
      </w:pPr>
      <w:r>
        <w:rPr>
          <w:rStyle w:val="FootnoteReference"/>
        </w:rPr>
        <w:footnoteRef/>
      </w:r>
      <w:r>
        <w:t xml:space="preserve"> </w:t>
      </w:r>
      <w:r>
        <w:tab/>
        <w:t xml:space="preserve">Economic Insights, </w:t>
      </w:r>
      <w:r w:rsidRPr="006C7B85">
        <w:rPr>
          <w:rStyle w:val="AERtextitalic"/>
        </w:rPr>
        <w:t>Review of submissions on Powerlink's base year opex</w:t>
      </w:r>
      <w:r>
        <w:t>, 14 July 2016.</w:t>
      </w:r>
    </w:p>
  </w:footnote>
  <w:footnote w:id="63">
    <w:p w:rsidR="00444319" w:rsidRDefault="0044431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rsidRPr="001C0BAE">
        <w:t>, p.</w:t>
      </w:r>
      <w:r>
        <w:t xml:space="preserve"> </w:t>
      </w:r>
      <w:r w:rsidRPr="001C0BAE">
        <w:t>73.</w:t>
      </w:r>
    </w:p>
  </w:footnote>
  <w:footnote w:id="64">
    <w:p w:rsidR="008D69E9" w:rsidRDefault="008D69E9" w:rsidP="002001DA">
      <w:pPr>
        <w:pStyle w:val="FootnoteText"/>
      </w:pPr>
      <w:r>
        <w:rPr>
          <w:rStyle w:val="FootnoteReference"/>
        </w:rPr>
        <w:footnoteRef/>
      </w:r>
      <w:r>
        <w:t xml:space="preserve"> </w:t>
      </w:r>
      <w:r>
        <w:tab/>
        <w:t xml:space="preserve">Economic Insights, </w:t>
      </w:r>
      <w:r w:rsidRPr="006C7B85">
        <w:rPr>
          <w:rStyle w:val="AERtextitalic"/>
        </w:rPr>
        <w:t>Review of submissions on Powerlink's base year opex</w:t>
      </w:r>
      <w:r>
        <w:t>, 14 July 2016.</w:t>
      </w:r>
    </w:p>
  </w:footnote>
  <w:footnote w:id="65">
    <w:p w:rsidR="00444319" w:rsidRDefault="00444319">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rsidRPr="001C0BAE">
        <w:t>, p.</w:t>
      </w:r>
      <w:r>
        <w:t xml:space="preserve"> 60</w:t>
      </w:r>
      <w:r w:rsidRPr="001C0BAE">
        <w:t>.</w:t>
      </w:r>
    </w:p>
  </w:footnote>
  <w:footnote w:id="66">
    <w:p w:rsidR="008D69E9" w:rsidRDefault="008D69E9" w:rsidP="006E192A">
      <w:pPr>
        <w:pStyle w:val="FootnoteText"/>
      </w:pPr>
      <w:r>
        <w:rPr>
          <w:rStyle w:val="FootnoteReference"/>
        </w:rPr>
        <w:footnoteRef/>
      </w:r>
      <w:r>
        <w:t xml:space="preserve"> </w:t>
      </w:r>
      <w:r>
        <w:tab/>
      </w:r>
      <w:r w:rsidRPr="00BB1FFB">
        <w:t xml:space="preserve">University of Queensland, </w:t>
      </w:r>
      <w:r w:rsidRPr="00B20243">
        <w:rPr>
          <w:rStyle w:val="AERtextitalic"/>
        </w:rPr>
        <w:t>Submission to the Australian Energy Regulator on Powerlink Queensland’s Revenue Application from the University of Queensland</w:t>
      </w:r>
      <w:r w:rsidRPr="00BB1FFB">
        <w:t xml:space="preserve">, </w:t>
      </w:r>
      <w:r w:rsidR="003C4194">
        <w:t xml:space="preserve">28 April 2016, </w:t>
      </w:r>
      <w:r w:rsidRPr="00BB1FFB">
        <w:t>p.</w:t>
      </w:r>
      <w:r>
        <w:t xml:space="preserve"> </w:t>
      </w:r>
      <w:r w:rsidRPr="00BB1FFB">
        <w:t>8</w:t>
      </w:r>
      <w:r>
        <w:t>.</w:t>
      </w:r>
    </w:p>
  </w:footnote>
  <w:footnote w:id="67">
    <w:p w:rsidR="008D69E9" w:rsidRDefault="008D69E9" w:rsidP="002E6763">
      <w:pPr>
        <w:pStyle w:val="FootnoteText"/>
        <w:rPr>
          <w:lang w:eastAsia="en-AU"/>
        </w:rPr>
      </w:pPr>
      <w:r>
        <w:rPr>
          <w:rStyle w:val="FootnoteReference"/>
        </w:rPr>
        <w:footnoteRef/>
      </w:r>
      <w:r>
        <w:t xml:space="preserve"> </w:t>
      </w:r>
      <w:r>
        <w:tab/>
      </w:r>
      <w:proofErr w:type="gramStart"/>
      <w:r>
        <w:t xml:space="preserve">AER, </w:t>
      </w:r>
      <w:r w:rsidRPr="002E6763">
        <w:rPr>
          <w:rStyle w:val="AERtextitalic"/>
        </w:rPr>
        <w:t>Service target performance incentive scheme</w:t>
      </w:r>
      <w:r>
        <w:rPr>
          <w:rStyle w:val="AERtextitalic"/>
        </w:rPr>
        <w:t xml:space="preserve"> for TNSPs</w:t>
      </w:r>
      <w:r w:rsidRPr="002E6763">
        <w:rPr>
          <w:rStyle w:val="AERtextitalic"/>
        </w:rPr>
        <w:t>, version 5</w:t>
      </w:r>
      <w:r>
        <w:t>, 17 September 2015.</w:t>
      </w:r>
      <w:proofErr w:type="gramEnd"/>
    </w:p>
  </w:footnote>
  <w:footnote w:id="68">
    <w:p w:rsidR="008D69E9" w:rsidRDefault="008D69E9">
      <w:pPr>
        <w:pStyle w:val="FootnoteText"/>
      </w:pPr>
      <w:r>
        <w:rPr>
          <w:rStyle w:val="FootnoteReference"/>
        </w:rPr>
        <w:footnoteRef/>
      </w:r>
      <w:r>
        <w:t xml:space="preserve"> </w:t>
      </w:r>
      <w:r>
        <w:tab/>
      </w:r>
      <w:proofErr w:type="gramStart"/>
      <w:r w:rsidRPr="00BB1FFB">
        <w:t xml:space="preserve">Queensland Resources Council, </w:t>
      </w:r>
      <w:r w:rsidRPr="00B20243">
        <w:rPr>
          <w:rStyle w:val="AERtextitalic"/>
        </w:rPr>
        <w:t>Submission to the AER on Powerlink’s Revenue Determination 2017 to 2022</w:t>
      </w:r>
      <w:r w:rsidR="003C4194">
        <w:t>, 29 </w:t>
      </w:r>
      <w:r w:rsidRPr="00BB1FFB">
        <w:t>April 2016, p.</w:t>
      </w:r>
      <w:r>
        <w:t xml:space="preserve"> </w:t>
      </w:r>
      <w:r w:rsidRPr="00BB1FFB">
        <w:t>2.</w:t>
      </w:r>
      <w:proofErr w:type="gramEnd"/>
    </w:p>
  </w:footnote>
  <w:footnote w:id="69">
    <w:p w:rsidR="008D69E9" w:rsidRDefault="008D69E9">
      <w:pPr>
        <w:pStyle w:val="FootnoteText"/>
      </w:pPr>
      <w:r>
        <w:rPr>
          <w:rStyle w:val="FootnoteReference"/>
        </w:rPr>
        <w:footnoteRef/>
      </w:r>
      <w:r>
        <w:t xml:space="preserve"> </w:t>
      </w:r>
      <w:r>
        <w:tab/>
      </w:r>
      <w:r w:rsidRPr="00BB1FFB">
        <w:t xml:space="preserve">Cotton Australia, </w:t>
      </w:r>
      <w:r w:rsidRPr="00B20243">
        <w:rPr>
          <w:rStyle w:val="AERtextitalic"/>
        </w:rPr>
        <w:t xml:space="preserve">Letter to AER re. </w:t>
      </w:r>
      <w:proofErr w:type="gramStart"/>
      <w:r w:rsidRPr="00B20243">
        <w:rPr>
          <w:rStyle w:val="AERtextitalic"/>
        </w:rPr>
        <w:t>Powerlink Electricity transmission revenue proposal 2017–2022</w:t>
      </w:r>
      <w:r w:rsidRPr="00BB1FFB">
        <w:t xml:space="preserve">, </w:t>
      </w:r>
      <w:r w:rsidR="003C4194">
        <w:t xml:space="preserve">2 May 2016, </w:t>
      </w:r>
      <w:r w:rsidRPr="00BB1FFB">
        <w:t>p.</w:t>
      </w:r>
      <w:r w:rsidR="003C4194">
        <w:t> </w:t>
      </w:r>
      <w:r w:rsidRPr="00BB1FFB">
        <w:t>3.</w:t>
      </w:r>
      <w:proofErr w:type="gramEnd"/>
    </w:p>
  </w:footnote>
  <w:footnote w:id="70">
    <w:p w:rsidR="008D69E9" w:rsidRDefault="008D69E9" w:rsidP="006B6B78">
      <w:pPr>
        <w:pStyle w:val="FootnoteText"/>
      </w:pPr>
      <w:r>
        <w:rPr>
          <w:rStyle w:val="FootnoteReference"/>
        </w:rPr>
        <w:footnoteRef/>
      </w:r>
      <w:r>
        <w:t xml:space="preserve"> </w:t>
      </w:r>
      <w:r>
        <w:tab/>
      </w:r>
      <w:r w:rsidRPr="00242C89">
        <w:t>NER, cl</w:t>
      </w:r>
      <w:r>
        <w:t>.</w:t>
      </w:r>
      <w:r w:rsidRPr="00242C89">
        <w:t xml:space="preserve"> </w:t>
      </w:r>
      <w:proofErr w:type="gramStart"/>
      <w:r w:rsidRPr="008B0254">
        <w:t>6A.6.6</w:t>
      </w:r>
      <w:r w:rsidRPr="00242C89">
        <w:t>(</w:t>
      </w:r>
      <w:proofErr w:type="gramEnd"/>
      <w:r w:rsidRPr="00242C89">
        <w:t>e).</w:t>
      </w:r>
    </w:p>
  </w:footnote>
  <w:footnote w:id="71">
    <w:p w:rsidR="008D69E9" w:rsidRDefault="008D69E9" w:rsidP="006B6B78">
      <w:pPr>
        <w:pStyle w:val="FootnoteText"/>
      </w:pPr>
      <w:r>
        <w:rPr>
          <w:rStyle w:val="FootnoteReference"/>
        </w:rPr>
        <w:footnoteRef/>
      </w:r>
      <w:r>
        <w:t xml:space="preserve"> </w:t>
      </w:r>
      <w:r>
        <w:tab/>
      </w:r>
      <w:r w:rsidRPr="00302865">
        <w:t xml:space="preserve">AEMC, </w:t>
      </w:r>
      <w:r w:rsidRPr="003C4194">
        <w:rPr>
          <w:rStyle w:val="Emphasis"/>
        </w:rPr>
        <w:t>Final Rule Determination: National Electricity Amendment (Economic Regulation of Network Service Providers) Rule 2012</w:t>
      </w:r>
      <w:r w:rsidRPr="00302865">
        <w:t>, 29 November 2012, p. 113.</w:t>
      </w:r>
    </w:p>
  </w:footnote>
  <w:footnote w:id="72">
    <w:p w:rsidR="008D69E9" w:rsidRDefault="008D69E9">
      <w:pPr>
        <w:pStyle w:val="FootnoteText"/>
      </w:pPr>
      <w:r>
        <w:rPr>
          <w:rStyle w:val="FootnoteReference"/>
        </w:rPr>
        <w:footnoteRef/>
      </w:r>
      <w:r>
        <w:t xml:space="preserve"> </w:t>
      </w:r>
      <w:r>
        <w:tab/>
      </w:r>
      <w:proofErr w:type="gramStart"/>
      <w:r>
        <w:t xml:space="preserve">AER, Annual Benchmarking Report, </w:t>
      </w:r>
      <w:r w:rsidRPr="00F31984">
        <w:rPr>
          <w:rStyle w:val="Emphasis"/>
        </w:rPr>
        <w:t>Electricity transmission network service providers</w:t>
      </w:r>
      <w:r>
        <w:t xml:space="preserve">, </w:t>
      </w:r>
      <w:r w:rsidRPr="00F31984">
        <w:t>November 2015</w:t>
      </w:r>
      <w:r>
        <w:t>.</w:t>
      </w:r>
      <w:proofErr w:type="gramEnd"/>
    </w:p>
  </w:footnote>
  <w:footnote w:id="73">
    <w:p w:rsidR="008D69E9" w:rsidRDefault="008D69E9" w:rsidP="006B6B78">
      <w:pPr>
        <w:pStyle w:val="FootnoteText"/>
      </w:pPr>
      <w:r>
        <w:rPr>
          <w:rStyle w:val="FootnoteReference"/>
        </w:rPr>
        <w:footnoteRef/>
      </w:r>
      <w:r>
        <w:t xml:space="preserve"> </w:t>
      </w:r>
      <w:r>
        <w:tab/>
      </w:r>
      <w:proofErr w:type="gramStart"/>
      <w:r>
        <w:t xml:space="preserve">AEMC, </w:t>
      </w:r>
      <w:r w:rsidRPr="003A12CC">
        <w:rPr>
          <w:rStyle w:val="AERtextitalic"/>
        </w:rPr>
        <w:t>Rule Determination</w:t>
      </w:r>
      <w:r>
        <w:t>, 29 November 2012, pp. 101, 115.</w:t>
      </w:r>
      <w:proofErr w:type="gramEnd"/>
    </w:p>
  </w:footnote>
  <w:footnote w:id="74">
    <w:p w:rsidR="008D69E9" w:rsidRDefault="008D69E9" w:rsidP="00F31984">
      <w:pPr>
        <w:pStyle w:val="FootnoteText"/>
      </w:pPr>
      <w:r>
        <w:rPr>
          <w:rStyle w:val="FootnoteReference"/>
        </w:rPr>
        <w:footnoteRef/>
      </w:r>
      <w:r>
        <w:t xml:space="preserve"> </w:t>
      </w:r>
      <w:r>
        <w:tab/>
      </w:r>
      <w:proofErr w:type="gramStart"/>
      <w:r>
        <w:t xml:space="preserve">AER, Annual Benchmarking Report, </w:t>
      </w:r>
      <w:r w:rsidRPr="00F31984">
        <w:rPr>
          <w:rStyle w:val="Emphasis"/>
        </w:rPr>
        <w:t>Electricity transmission network service providers</w:t>
      </w:r>
      <w:r>
        <w:t xml:space="preserve">, </w:t>
      </w:r>
      <w:r w:rsidRPr="00F31984">
        <w:t>November 2015</w:t>
      </w:r>
      <w:r>
        <w:t>.</w:t>
      </w:r>
      <w:proofErr w:type="gramEnd"/>
    </w:p>
  </w:footnote>
  <w:footnote w:id="75">
    <w:p w:rsidR="008D69E9" w:rsidRDefault="008D69E9" w:rsidP="006B6B78">
      <w:pPr>
        <w:pStyle w:val="FootnoteText"/>
      </w:pPr>
      <w:r>
        <w:rPr>
          <w:rStyle w:val="FootnoteReference"/>
        </w:rPr>
        <w:footnoteRef/>
      </w:r>
      <w:r>
        <w:t xml:space="preserve"> </w:t>
      </w:r>
      <w:r>
        <w:tab/>
      </w:r>
      <w:proofErr w:type="gramStart"/>
      <w:r>
        <w:t xml:space="preserve">AER, Annual Benchmarking Report, </w:t>
      </w:r>
      <w:r w:rsidRPr="00F31984">
        <w:rPr>
          <w:rStyle w:val="Emphasis"/>
        </w:rPr>
        <w:t>Electricity transmission network service providers</w:t>
      </w:r>
      <w:r>
        <w:t xml:space="preserve">, </w:t>
      </w:r>
      <w:r w:rsidRPr="00F31984">
        <w:t>November 2015</w:t>
      </w:r>
      <w:r>
        <w:t>.</w:t>
      </w:r>
      <w:proofErr w:type="gramEnd"/>
    </w:p>
  </w:footnote>
  <w:footnote w:id="76">
    <w:p w:rsidR="008D69E9" w:rsidRDefault="008D69E9" w:rsidP="00CC4320">
      <w:pPr>
        <w:pStyle w:val="FootnoteText"/>
      </w:pPr>
      <w:r>
        <w:rPr>
          <w:rStyle w:val="FootnoteReference"/>
        </w:rPr>
        <w:footnoteRef/>
      </w:r>
      <w:r>
        <w:t xml:space="preserve"> </w:t>
      </w:r>
      <w:r>
        <w:tab/>
      </w:r>
      <w:proofErr w:type="gramStart"/>
      <w:r>
        <w:t xml:space="preserve">Powerlink, </w:t>
      </w:r>
      <w:r w:rsidRPr="00CC4320">
        <w:rPr>
          <w:rStyle w:val="Emphasis"/>
        </w:rPr>
        <w:t>2018-22 Powerlink Queensland Revenue Proposal,</w:t>
      </w:r>
      <w:r>
        <w:t xml:space="preserve"> </w:t>
      </w:r>
      <w:r w:rsidRPr="00CC4320">
        <w:rPr>
          <w:rStyle w:val="Emphasis"/>
        </w:rPr>
        <w:t>Appendix 5.01—Powerlink Queensland Operating and Capital Expenditure Criteria and Factors</w:t>
      </w:r>
      <w:r>
        <w:rPr>
          <w:rStyle w:val="Emphasis"/>
        </w:rPr>
        <w:t>.</w:t>
      </w:r>
      <w:proofErr w:type="gramEnd"/>
      <w:r>
        <w:rPr>
          <w:rStyle w:val="Emphasis"/>
        </w:rPr>
        <w:t xml:space="preserve"> </w:t>
      </w:r>
    </w:p>
  </w:footnote>
  <w:footnote w:id="77">
    <w:p w:rsidR="008D69E9" w:rsidRDefault="008D69E9" w:rsidP="00233B74">
      <w:pPr>
        <w:pStyle w:val="FootnoteText"/>
      </w:pPr>
      <w:r>
        <w:rPr>
          <w:rStyle w:val="FootnoteReference"/>
        </w:rPr>
        <w:footnoteRef/>
      </w:r>
      <w:r>
        <w:t xml:space="preserve"> </w:t>
      </w:r>
      <w:r>
        <w:tab/>
      </w:r>
      <w:proofErr w:type="gramStart"/>
      <w:r>
        <w:t xml:space="preserve">AEMO, </w:t>
      </w:r>
      <w:r w:rsidRPr="00233B74">
        <w:rPr>
          <w:rStyle w:val="Emphasis"/>
        </w:rPr>
        <w:t>National Transmission Network Development Plan for the national electricity market</w:t>
      </w:r>
      <w:r>
        <w:t xml:space="preserve">, </w:t>
      </w:r>
      <w:r w:rsidRPr="00233B74">
        <w:t>November 2015</w:t>
      </w:r>
      <w:r>
        <w:t>.</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E9" w:rsidRDefault="008D6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4B58ED44"/>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B3427D1"/>
    <w:multiLevelType w:val="multilevel"/>
    <w:tmpl w:val="6A18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29C84E9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8"/>
  </w:num>
  <w:num w:numId="24">
    <w:abstractNumId w:val="25"/>
  </w:num>
  <w:num w:numId="25">
    <w:abstractNumId w:val="27"/>
  </w:num>
  <w:num w:numId="26">
    <w:abstractNumId w:val="19"/>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424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attachment 7 - operating expenditure - september 2016 (D2015-00169087).docx"/>
  </w:docVars>
  <w:rsids>
    <w:rsidRoot w:val="00961A4A"/>
    <w:rsid w:val="0000025A"/>
    <w:rsid w:val="000051DC"/>
    <w:rsid w:val="0000658F"/>
    <w:rsid w:val="00011230"/>
    <w:rsid w:val="0001507B"/>
    <w:rsid w:val="000157A0"/>
    <w:rsid w:val="000168BF"/>
    <w:rsid w:val="00020016"/>
    <w:rsid w:val="000201D8"/>
    <w:rsid w:val="00021202"/>
    <w:rsid w:val="00021C2B"/>
    <w:rsid w:val="00023B54"/>
    <w:rsid w:val="0002498B"/>
    <w:rsid w:val="0002517F"/>
    <w:rsid w:val="00026187"/>
    <w:rsid w:val="000266FC"/>
    <w:rsid w:val="000273B3"/>
    <w:rsid w:val="00027E2D"/>
    <w:rsid w:val="0003263C"/>
    <w:rsid w:val="0003578C"/>
    <w:rsid w:val="00035D0B"/>
    <w:rsid w:val="000372A0"/>
    <w:rsid w:val="00044DA3"/>
    <w:rsid w:val="00045B2B"/>
    <w:rsid w:val="000474DF"/>
    <w:rsid w:val="00055A67"/>
    <w:rsid w:val="0005723A"/>
    <w:rsid w:val="00060C42"/>
    <w:rsid w:val="00063247"/>
    <w:rsid w:val="00063A35"/>
    <w:rsid w:val="000647D8"/>
    <w:rsid w:val="0006624E"/>
    <w:rsid w:val="00067F7D"/>
    <w:rsid w:val="000705BF"/>
    <w:rsid w:val="00070F9F"/>
    <w:rsid w:val="0007137B"/>
    <w:rsid w:val="000737C3"/>
    <w:rsid w:val="000739DA"/>
    <w:rsid w:val="00073B74"/>
    <w:rsid w:val="00075F88"/>
    <w:rsid w:val="00076416"/>
    <w:rsid w:val="00076594"/>
    <w:rsid w:val="000805A8"/>
    <w:rsid w:val="0008190B"/>
    <w:rsid w:val="000836D9"/>
    <w:rsid w:val="00085663"/>
    <w:rsid w:val="00085EBF"/>
    <w:rsid w:val="00087D98"/>
    <w:rsid w:val="00091B15"/>
    <w:rsid w:val="00095186"/>
    <w:rsid w:val="000969FC"/>
    <w:rsid w:val="000A082D"/>
    <w:rsid w:val="000A0E71"/>
    <w:rsid w:val="000A1C0C"/>
    <w:rsid w:val="000A3020"/>
    <w:rsid w:val="000A3D22"/>
    <w:rsid w:val="000A3EDC"/>
    <w:rsid w:val="000A4840"/>
    <w:rsid w:val="000A62C1"/>
    <w:rsid w:val="000A6A79"/>
    <w:rsid w:val="000A6C7B"/>
    <w:rsid w:val="000A73D6"/>
    <w:rsid w:val="000B0922"/>
    <w:rsid w:val="000B0A7B"/>
    <w:rsid w:val="000B1173"/>
    <w:rsid w:val="000B1AC5"/>
    <w:rsid w:val="000B30A8"/>
    <w:rsid w:val="000B5827"/>
    <w:rsid w:val="000B7037"/>
    <w:rsid w:val="000C02D1"/>
    <w:rsid w:val="000C2B40"/>
    <w:rsid w:val="000C41AB"/>
    <w:rsid w:val="000C5255"/>
    <w:rsid w:val="000C5FD1"/>
    <w:rsid w:val="000D07A7"/>
    <w:rsid w:val="000D0E6B"/>
    <w:rsid w:val="000D122C"/>
    <w:rsid w:val="000D129B"/>
    <w:rsid w:val="000D6442"/>
    <w:rsid w:val="000D75B0"/>
    <w:rsid w:val="000D79E5"/>
    <w:rsid w:val="000D7AB0"/>
    <w:rsid w:val="000E1819"/>
    <w:rsid w:val="000E3A3A"/>
    <w:rsid w:val="000E4821"/>
    <w:rsid w:val="000E4AA9"/>
    <w:rsid w:val="000E5D85"/>
    <w:rsid w:val="000E6C72"/>
    <w:rsid w:val="000E7F39"/>
    <w:rsid w:val="000F1B1C"/>
    <w:rsid w:val="000F4245"/>
    <w:rsid w:val="000F5E52"/>
    <w:rsid w:val="000F60AE"/>
    <w:rsid w:val="000F635D"/>
    <w:rsid w:val="00100570"/>
    <w:rsid w:val="00100EA2"/>
    <w:rsid w:val="00101AA1"/>
    <w:rsid w:val="00102338"/>
    <w:rsid w:val="00104566"/>
    <w:rsid w:val="00104FF6"/>
    <w:rsid w:val="001114AA"/>
    <w:rsid w:val="00115743"/>
    <w:rsid w:val="00115D0B"/>
    <w:rsid w:val="00116E61"/>
    <w:rsid w:val="00116EB2"/>
    <w:rsid w:val="0012132C"/>
    <w:rsid w:val="00121CF0"/>
    <w:rsid w:val="00123E08"/>
    <w:rsid w:val="00123EDE"/>
    <w:rsid w:val="00124609"/>
    <w:rsid w:val="00124AA1"/>
    <w:rsid w:val="00125476"/>
    <w:rsid w:val="001269C1"/>
    <w:rsid w:val="00126A4C"/>
    <w:rsid w:val="001270E3"/>
    <w:rsid w:val="0013080C"/>
    <w:rsid w:val="00130B7A"/>
    <w:rsid w:val="00132C21"/>
    <w:rsid w:val="00132C2E"/>
    <w:rsid w:val="00132D43"/>
    <w:rsid w:val="00133366"/>
    <w:rsid w:val="00133F47"/>
    <w:rsid w:val="00134029"/>
    <w:rsid w:val="001359C3"/>
    <w:rsid w:val="00140CFF"/>
    <w:rsid w:val="00142C2D"/>
    <w:rsid w:val="00144C96"/>
    <w:rsid w:val="0014573B"/>
    <w:rsid w:val="001463A3"/>
    <w:rsid w:val="00147500"/>
    <w:rsid w:val="0015073A"/>
    <w:rsid w:val="001573E4"/>
    <w:rsid w:val="00160756"/>
    <w:rsid w:val="00161DC8"/>
    <w:rsid w:val="00166595"/>
    <w:rsid w:val="00166718"/>
    <w:rsid w:val="00166760"/>
    <w:rsid w:val="001678A4"/>
    <w:rsid w:val="0017232E"/>
    <w:rsid w:val="0017289F"/>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87A4A"/>
    <w:rsid w:val="001913EA"/>
    <w:rsid w:val="001926A4"/>
    <w:rsid w:val="00192AD5"/>
    <w:rsid w:val="00194376"/>
    <w:rsid w:val="00194597"/>
    <w:rsid w:val="00194E00"/>
    <w:rsid w:val="0019745E"/>
    <w:rsid w:val="00197610"/>
    <w:rsid w:val="001979B7"/>
    <w:rsid w:val="00197B16"/>
    <w:rsid w:val="001A00C1"/>
    <w:rsid w:val="001A1F3B"/>
    <w:rsid w:val="001A2100"/>
    <w:rsid w:val="001A227C"/>
    <w:rsid w:val="001A530D"/>
    <w:rsid w:val="001A5FB3"/>
    <w:rsid w:val="001A7155"/>
    <w:rsid w:val="001B27C7"/>
    <w:rsid w:val="001B45A0"/>
    <w:rsid w:val="001B47BC"/>
    <w:rsid w:val="001B680E"/>
    <w:rsid w:val="001C0928"/>
    <w:rsid w:val="001C0BAE"/>
    <w:rsid w:val="001C1D8F"/>
    <w:rsid w:val="001C409C"/>
    <w:rsid w:val="001C455B"/>
    <w:rsid w:val="001C51B2"/>
    <w:rsid w:val="001D0540"/>
    <w:rsid w:val="001D055E"/>
    <w:rsid w:val="001E0E61"/>
    <w:rsid w:val="001E1B3F"/>
    <w:rsid w:val="001E4929"/>
    <w:rsid w:val="001E7161"/>
    <w:rsid w:val="001F05A4"/>
    <w:rsid w:val="001F3D4A"/>
    <w:rsid w:val="001F475C"/>
    <w:rsid w:val="001F492E"/>
    <w:rsid w:val="001F6268"/>
    <w:rsid w:val="001F64EF"/>
    <w:rsid w:val="001F6DA3"/>
    <w:rsid w:val="001F6DFB"/>
    <w:rsid w:val="002001DA"/>
    <w:rsid w:val="002010BC"/>
    <w:rsid w:val="002016E7"/>
    <w:rsid w:val="00202E03"/>
    <w:rsid w:val="002033B9"/>
    <w:rsid w:val="002043D0"/>
    <w:rsid w:val="0020492C"/>
    <w:rsid w:val="00204EC9"/>
    <w:rsid w:val="0020569B"/>
    <w:rsid w:val="00206505"/>
    <w:rsid w:val="002066D3"/>
    <w:rsid w:val="0020743F"/>
    <w:rsid w:val="00210DD7"/>
    <w:rsid w:val="00212B70"/>
    <w:rsid w:val="00214E73"/>
    <w:rsid w:val="00216417"/>
    <w:rsid w:val="00216C93"/>
    <w:rsid w:val="002213E2"/>
    <w:rsid w:val="00223051"/>
    <w:rsid w:val="00223C26"/>
    <w:rsid w:val="00224DB9"/>
    <w:rsid w:val="002253CE"/>
    <w:rsid w:val="0022569A"/>
    <w:rsid w:val="0023005C"/>
    <w:rsid w:val="00231012"/>
    <w:rsid w:val="00233775"/>
    <w:rsid w:val="00233B74"/>
    <w:rsid w:val="0023414B"/>
    <w:rsid w:val="00235CB0"/>
    <w:rsid w:val="00237031"/>
    <w:rsid w:val="00240554"/>
    <w:rsid w:val="00242C89"/>
    <w:rsid w:val="00243635"/>
    <w:rsid w:val="00247079"/>
    <w:rsid w:val="002509BE"/>
    <w:rsid w:val="00251745"/>
    <w:rsid w:val="002552BA"/>
    <w:rsid w:val="002559B7"/>
    <w:rsid w:val="00257F9C"/>
    <w:rsid w:val="00260016"/>
    <w:rsid w:val="002620A0"/>
    <w:rsid w:val="00263AC0"/>
    <w:rsid w:val="00264264"/>
    <w:rsid w:val="0026689B"/>
    <w:rsid w:val="0026772D"/>
    <w:rsid w:val="00267761"/>
    <w:rsid w:val="002730B2"/>
    <w:rsid w:val="00274A2A"/>
    <w:rsid w:val="00274C7E"/>
    <w:rsid w:val="002777CF"/>
    <w:rsid w:val="002810F2"/>
    <w:rsid w:val="0028242E"/>
    <w:rsid w:val="00286874"/>
    <w:rsid w:val="00286DD5"/>
    <w:rsid w:val="002908F3"/>
    <w:rsid w:val="00290C63"/>
    <w:rsid w:val="00291A99"/>
    <w:rsid w:val="00293B6D"/>
    <w:rsid w:val="00294B08"/>
    <w:rsid w:val="0029518C"/>
    <w:rsid w:val="002963DD"/>
    <w:rsid w:val="00296B65"/>
    <w:rsid w:val="002A0520"/>
    <w:rsid w:val="002A500F"/>
    <w:rsid w:val="002A7DEF"/>
    <w:rsid w:val="002B0696"/>
    <w:rsid w:val="002B0D3A"/>
    <w:rsid w:val="002B14BB"/>
    <w:rsid w:val="002C0222"/>
    <w:rsid w:val="002C1499"/>
    <w:rsid w:val="002C233C"/>
    <w:rsid w:val="002C517B"/>
    <w:rsid w:val="002D1D47"/>
    <w:rsid w:val="002D3509"/>
    <w:rsid w:val="002D455C"/>
    <w:rsid w:val="002D5457"/>
    <w:rsid w:val="002D72E8"/>
    <w:rsid w:val="002D79AD"/>
    <w:rsid w:val="002E000C"/>
    <w:rsid w:val="002E1780"/>
    <w:rsid w:val="002E268F"/>
    <w:rsid w:val="002E6763"/>
    <w:rsid w:val="002E78DD"/>
    <w:rsid w:val="002E7B22"/>
    <w:rsid w:val="002F0D86"/>
    <w:rsid w:val="002F12EC"/>
    <w:rsid w:val="002F297F"/>
    <w:rsid w:val="002F33D5"/>
    <w:rsid w:val="002F7986"/>
    <w:rsid w:val="00300955"/>
    <w:rsid w:val="00301B40"/>
    <w:rsid w:val="00301C82"/>
    <w:rsid w:val="003029EE"/>
    <w:rsid w:val="00304B18"/>
    <w:rsid w:val="00304D38"/>
    <w:rsid w:val="00305CC8"/>
    <w:rsid w:val="00306CC9"/>
    <w:rsid w:val="00307AC1"/>
    <w:rsid w:val="00307F6D"/>
    <w:rsid w:val="0031069E"/>
    <w:rsid w:val="00311407"/>
    <w:rsid w:val="0031365E"/>
    <w:rsid w:val="00314D83"/>
    <w:rsid w:val="0031571F"/>
    <w:rsid w:val="003177A2"/>
    <w:rsid w:val="00317E02"/>
    <w:rsid w:val="00323D34"/>
    <w:rsid w:val="00326CEC"/>
    <w:rsid w:val="003271B5"/>
    <w:rsid w:val="00327A1E"/>
    <w:rsid w:val="00327E28"/>
    <w:rsid w:val="00330BAB"/>
    <w:rsid w:val="00331264"/>
    <w:rsid w:val="00334C8D"/>
    <w:rsid w:val="003378BD"/>
    <w:rsid w:val="003424EA"/>
    <w:rsid w:val="00342C2F"/>
    <w:rsid w:val="0034310D"/>
    <w:rsid w:val="003436EB"/>
    <w:rsid w:val="00343A18"/>
    <w:rsid w:val="00345744"/>
    <w:rsid w:val="00346F2F"/>
    <w:rsid w:val="00350290"/>
    <w:rsid w:val="00350DB5"/>
    <w:rsid w:val="0035114F"/>
    <w:rsid w:val="003518B3"/>
    <w:rsid w:val="00353E79"/>
    <w:rsid w:val="00354442"/>
    <w:rsid w:val="00361290"/>
    <w:rsid w:val="00364EA0"/>
    <w:rsid w:val="003664C7"/>
    <w:rsid w:val="00366981"/>
    <w:rsid w:val="00370678"/>
    <w:rsid w:val="0037214E"/>
    <w:rsid w:val="00372C85"/>
    <w:rsid w:val="00373845"/>
    <w:rsid w:val="003744E3"/>
    <w:rsid w:val="00374BF5"/>
    <w:rsid w:val="00375F71"/>
    <w:rsid w:val="00376219"/>
    <w:rsid w:val="0037663E"/>
    <w:rsid w:val="0037699E"/>
    <w:rsid w:val="003772FF"/>
    <w:rsid w:val="00377A29"/>
    <w:rsid w:val="00377C69"/>
    <w:rsid w:val="003814E6"/>
    <w:rsid w:val="00381AC1"/>
    <w:rsid w:val="00382821"/>
    <w:rsid w:val="0038415D"/>
    <w:rsid w:val="003844AD"/>
    <w:rsid w:val="0038461C"/>
    <w:rsid w:val="003846F1"/>
    <w:rsid w:val="00390E6A"/>
    <w:rsid w:val="003932AF"/>
    <w:rsid w:val="00393ABE"/>
    <w:rsid w:val="00393E87"/>
    <w:rsid w:val="00395566"/>
    <w:rsid w:val="00395DB6"/>
    <w:rsid w:val="00397398"/>
    <w:rsid w:val="003A07FA"/>
    <w:rsid w:val="003A27C3"/>
    <w:rsid w:val="003A371A"/>
    <w:rsid w:val="003A4F9E"/>
    <w:rsid w:val="003A59CD"/>
    <w:rsid w:val="003A6B00"/>
    <w:rsid w:val="003A723F"/>
    <w:rsid w:val="003B1880"/>
    <w:rsid w:val="003B1918"/>
    <w:rsid w:val="003B30B2"/>
    <w:rsid w:val="003B484F"/>
    <w:rsid w:val="003B504B"/>
    <w:rsid w:val="003B5179"/>
    <w:rsid w:val="003B5AE4"/>
    <w:rsid w:val="003B6333"/>
    <w:rsid w:val="003B685C"/>
    <w:rsid w:val="003B7C67"/>
    <w:rsid w:val="003B7FBA"/>
    <w:rsid w:val="003C4194"/>
    <w:rsid w:val="003C5924"/>
    <w:rsid w:val="003C6537"/>
    <w:rsid w:val="003C6A13"/>
    <w:rsid w:val="003C6FA4"/>
    <w:rsid w:val="003C764A"/>
    <w:rsid w:val="003C78BA"/>
    <w:rsid w:val="003C7CFF"/>
    <w:rsid w:val="003D1279"/>
    <w:rsid w:val="003D14CE"/>
    <w:rsid w:val="003D1E7B"/>
    <w:rsid w:val="003D21D5"/>
    <w:rsid w:val="003D41F1"/>
    <w:rsid w:val="003D42AB"/>
    <w:rsid w:val="003D5B94"/>
    <w:rsid w:val="003E0D3A"/>
    <w:rsid w:val="003E3AAB"/>
    <w:rsid w:val="003E5460"/>
    <w:rsid w:val="003E7FE9"/>
    <w:rsid w:val="003F07D4"/>
    <w:rsid w:val="003F174D"/>
    <w:rsid w:val="003F2329"/>
    <w:rsid w:val="003F4122"/>
    <w:rsid w:val="003F4D5D"/>
    <w:rsid w:val="003F546A"/>
    <w:rsid w:val="003F6C50"/>
    <w:rsid w:val="00400FD2"/>
    <w:rsid w:val="00403711"/>
    <w:rsid w:val="004047EC"/>
    <w:rsid w:val="00404C52"/>
    <w:rsid w:val="004065E8"/>
    <w:rsid w:val="00412D5A"/>
    <w:rsid w:val="00413B76"/>
    <w:rsid w:val="004156D5"/>
    <w:rsid w:val="00415BA9"/>
    <w:rsid w:val="00415F31"/>
    <w:rsid w:val="0041691D"/>
    <w:rsid w:val="004175F5"/>
    <w:rsid w:val="004179EF"/>
    <w:rsid w:val="0042000C"/>
    <w:rsid w:val="0042090E"/>
    <w:rsid w:val="004218C8"/>
    <w:rsid w:val="00421F27"/>
    <w:rsid w:val="004238D8"/>
    <w:rsid w:val="00423A77"/>
    <w:rsid w:val="00425BA3"/>
    <w:rsid w:val="004271DF"/>
    <w:rsid w:val="00431AE4"/>
    <w:rsid w:val="004324F4"/>
    <w:rsid w:val="00434544"/>
    <w:rsid w:val="00440460"/>
    <w:rsid w:val="00440E20"/>
    <w:rsid w:val="004421F3"/>
    <w:rsid w:val="00444319"/>
    <w:rsid w:val="00445D43"/>
    <w:rsid w:val="00446CD2"/>
    <w:rsid w:val="004551BC"/>
    <w:rsid w:val="004558C3"/>
    <w:rsid w:val="00455EC0"/>
    <w:rsid w:val="0045777E"/>
    <w:rsid w:val="00465258"/>
    <w:rsid w:val="00467B5B"/>
    <w:rsid w:val="004726A0"/>
    <w:rsid w:val="004759F2"/>
    <w:rsid w:val="00475A2A"/>
    <w:rsid w:val="00476221"/>
    <w:rsid w:val="004766F5"/>
    <w:rsid w:val="00480B4B"/>
    <w:rsid w:val="004838D8"/>
    <w:rsid w:val="00485DC4"/>
    <w:rsid w:val="004905A9"/>
    <w:rsid w:val="00492651"/>
    <w:rsid w:val="00494D04"/>
    <w:rsid w:val="004A0C10"/>
    <w:rsid w:val="004A40BA"/>
    <w:rsid w:val="004A43D1"/>
    <w:rsid w:val="004A4783"/>
    <w:rsid w:val="004A492B"/>
    <w:rsid w:val="004A53B8"/>
    <w:rsid w:val="004A7A12"/>
    <w:rsid w:val="004B12CA"/>
    <w:rsid w:val="004B3EC7"/>
    <w:rsid w:val="004B4412"/>
    <w:rsid w:val="004B65AA"/>
    <w:rsid w:val="004B6802"/>
    <w:rsid w:val="004C348C"/>
    <w:rsid w:val="004C462E"/>
    <w:rsid w:val="004C6661"/>
    <w:rsid w:val="004C6CA3"/>
    <w:rsid w:val="004C71D6"/>
    <w:rsid w:val="004C7F5E"/>
    <w:rsid w:val="004D0E2E"/>
    <w:rsid w:val="004D12CF"/>
    <w:rsid w:val="004D19F5"/>
    <w:rsid w:val="004D2992"/>
    <w:rsid w:val="004D343C"/>
    <w:rsid w:val="004D372A"/>
    <w:rsid w:val="004D54F8"/>
    <w:rsid w:val="004D55BA"/>
    <w:rsid w:val="004D720C"/>
    <w:rsid w:val="004D7B82"/>
    <w:rsid w:val="004E0FA7"/>
    <w:rsid w:val="004E1048"/>
    <w:rsid w:val="004E1346"/>
    <w:rsid w:val="004E22EC"/>
    <w:rsid w:val="004F0BFA"/>
    <w:rsid w:val="004F4D69"/>
    <w:rsid w:val="004F53C3"/>
    <w:rsid w:val="004F6883"/>
    <w:rsid w:val="004F6A0E"/>
    <w:rsid w:val="004F6BB3"/>
    <w:rsid w:val="005009CD"/>
    <w:rsid w:val="005015BB"/>
    <w:rsid w:val="005017A3"/>
    <w:rsid w:val="0050214B"/>
    <w:rsid w:val="0050285F"/>
    <w:rsid w:val="0050434E"/>
    <w:rsid w:val="00504E5F"/>
    <w:rsid w:val="00506F23"/>
    <w:rsid w:val="00510987"/>
    <w:rsid w:val="00511BAF"/>
    <w:rsid w:val="0051337E"/>
    <w:rsid w:val="00513544"/>
    <w:rsid w:val="005138E7"/>
    <w:rsid w:val="00513FA7"/>
    <w:rsid w:val="0051768F"/>
    <w:rsid w:val="00521264"/>
    <w:rsid w:val="005221EC"/>
    <w:rsid w:val="00522DC2"/>
    <w:rsid w:val="00530128"/>
    <w:rsid w:val="00532467"/>
    <w:rsid w:val="005332A9"/>
    <w:rsid w:val="0053603C"/>
    <w:rsid w:val="00537871"/>
    <w:rsid w:val="00542FE9"/>
    <w:rsid w:val="00544598"/>
    <w:rsid w:val="00544C8D"/>
    <w:rsid w:val="00544DFD"/>
    <w:rsid w:val="0055246A"/>
    <w:rsid w:val="005528BD"/>
    <w:rsid w:val="005545D2"/>
    <w:rsid w:val="005550C4"/>
    <w:rsid w:val="00556790"/>
    <w:rsid w:val="00556B1E"/>
    <w:rsid w:val="005634D9"/>
    <w:rsid w:val="00564A4D"/>
    <w:rsid w:val="0056598C"/>
    <w:rsid w:val="00566E0B"/>
    <w:rsid w:val="00567BA5"/>
    <w:rsid w:val="00567EE9"/>
    <w:rsid w:val="00570787"/>
    <w:rsid w:val="005718FD"/>
    <w:rsid w:val="00571B35"/>
    <w:rsid w:val="00571B43"/>
    <w:rsid w:val="00571D57"/>
    <w:rsid w:val="00573632"/>
    <w:rsid w:val="00573A3B"/>
    <w:rsid w:val="005769C7"/>
    <w:rsid w:val="00577716"/>
    <w:rsid w:val="00577A09"/>
    <w:rsid w:val="00577C47"/>
    <w:rsid w:val="00577DC0"/>
    <w:rsid w:val="005829C2"/>
    <w:rsid w:val="00584D8F"/>
    <w:rsid w:val="0058797D"/>
    <w:rsid w:val="00587A18"/>
    <w:rsid w:val="005953A0"/>
    <w:rsid w:val="00597356"/>
    <w:rsid w:val="005A0BEC"/>
    <w:rsid w:val="005A404D"/>
    <w:rsid w:val="005A534F"/>
    <w:rsid w:val="005B1E3C"/>
    <w:rsid w:val="005B333C"/>
    <w:rsid w:val="005B641B"/>
    <w:rsid w:val="005B6518"/>
    <w:rsid w:val="005B704A"/>
    <w:rsid w:val="005B72D7"/>
    <w:rsid w:val="005B7BAD"/>
    <w:rsid w:val="005C045F"/>
    <w:rsid w:val="005C16FE"/>
    <w:rsid w:val="005C1FAB"/>
    <w:rsid w:val="005C21A4"/>
    <w:rsid w:val="005C22DA"/>
    <w:rsid w:val="005C26CC"/>
    <w:rsid w:val="005C4D18"/>
    <w:rsid w:val="005C5778"/>
    <w:rsid w:val="005D1942"/>
    <w:rsid w:val="005D3D88"/>
    <w:rsid w:val="005D48C4"/>
    <w:rsid w:val="005D517E"/>
    <w:rsid w:val="005D6208"/>
    <w:rsid w:val="005D6366"/>
    <w:rsid w:val="005D7BA2"/>
    <w:rsid w:val="005E1BB1"/>
    <w:rsid w:val="005E36C2"/>
    <w:rsid w:val="005E4AF4"/>
    <w:rsid w:val="005E5CF5"/>
    <w:rsid w:val="005F1DF5"/>
    <w:rsid w:val="005F387E"/>
    <w:rsid w:val="005F62BC"/>
    <w:rsid w:val="005F74AB"/>
    <w:rsid w:val="00601E0B"/>
    <w:rsid w:val="0060258B"/>
    <w:rsid w:val="00602FA2"/>
    <w:rsid w:val="00610B5B"/>
    <w:rsid w:val="00610EF9"/>
    <w:rsid w:val="00611773"/>
    <w:rsid w:val="00612F4F"/>
    <w:rsid w:val="00614EA0"/>
    <w:rsid w:val="00615C6B"/>
    <w:rsid w:val="00617D4C"/>
    <w:rsid w:val="00621DCE"/>
    <w:rsid w:val="00621FC5"/>
    <w:rsid w:val="00623F30"/>
    <w:rsid w:val="00624F2C"/>
    <w:rsid w:val="00630E99"/>
    <w:rsid w:val="00631A2C"/>
    <w:rsid w:val="00632D6D"/>
    <w:rsid w:val="00632F49"/>
    <w:rsid w:val="00636569"/>
    <w:rsid w:val="00636EF9"/>
    <w:rsid w:val="00642C3E"/>
    <w:rsid w:val="00644A01"/>
    <w:rsid w:val="0064538E"/>
    <w:rsid w:val="006460E0"/>
    <w:rsid w:val="006512F2"/>
    <w:rsid w:val="00651E2D"/>
    <w:rsid w:val="00651ECF"/>
    <w:rsid w:val="00652324"/>
    <w:rsid w:val="006577FB"/>
    <w:rsid w:val="00657E51"/>
    <w:rsid w:val="0066104A"/>
    <w:rsid w:val="006613F6"/>
    <w:rsid w:val="00663066"/>
    <w:rsid w:val="00663DAD"/>
    <w:rsid w:val="00664206"/>
    <w:rsid w:val="006649E7"/>
    <w:rsid w:val="00666634"/>
    <w:rsid w:val="00671692"/>
    <w:rsid w:val="00675E20"/>
    <w:rsid w:val="00676679"/>
    <w:rsid w:val="006775A2"/>
    <w:rsid w:val="006777B0"/>
    <w:rsid w:val="00677FE0"/>
    <w:rsid w:val="00683C89"/>
    <w:rsid w:val="00684DF5"/>
    <w:rsid w:val="00691B53"/>
    <w:rsid w:val="00697D0B"/>
    <w:rsid w:val="006A12BA"/>
    <w:rsid w:val="006A4739"/>
    <w:rsid w:val="006A66A1"/>
    <w:rsid w:val="006B032D"/>
    <w:rsid w:val="006B106A"/>
    <w:rsid w:val="006B2395"/>
    <w:rsid w:val="006B40AC"/>
    <w:rsid w:val="006B4CF9"/>
    <w:rsid w:val="006B6B78"/>
    <w:rsid w:val="006B797C"/>
    <w:rsid w:val="006B7AC8"/>
    <w:rsid w:val="006C1736"/>
    <w:rsid w:val="006C1BC1"/>
    <w:rsid w:val="006C329B"/>
    <w:rsid w:val="006C5EE5"/>
    <w:rsid w:val="006C61CB"/>
    <w:rsid w:val="006C6303"/>
    <w:rsid w:val="006C6CD1"/>
    <w:rsid w:val="006C7B85"/>
    <w:rsid w:val="006C7C0E"/>
    <w:rsid w:val="006D3B01"/>
    <w:rsid w:val="006D550F"/>
    <w:rsid w:val="006D6146"/>
    <w:rsid w:val="006D666A"/>
    <w:rsid w:val="006D7F7E"/>
    <w:rsid w:val="006E0CFF"/>
    <w:rsid w:val="006E192A"/>
    <w:rsid w:val="006E58AE"/>
    <w:rsid w:val="006E7BBC"/>
    <w:rsid w:val="006F0D92"/>
    <w:rsid w:val="006F25B8"/>
    <w:rsid w:val="006F267D"/>
    <w:rsid w:val="006F3367"/>
    <w:rsid w:val="006F7475"/>
    <w:rsid w:val="0070011E"/>
    <w:rsid w:val="007001FB"/>
    <w:rsid w:val="00701CAB"/>
    <w:rsid w:val="0070231D"/>
    <w:rsid w:val="007023BB"/>
    <w:rsid w:val="00704AD1"/>
    <w:rsid w:val="00704DD7"/>
    <w:rsid w:val="00707563"/>
    <w:rsid w:val="00715F61"/>
    <w:rsid w:val="007176BF"/>
    <w:rsid w:val="0071796A"/>
    <w:rsid w:val="0072177F"/>
    <w:rsid w:val="00721A05"/>
    <w:rsid w:val="00722132"/>
    <w:rsid w:val="007228F7"/>
    <w:rsid w:val="00722EB0"/>
    <w:rsid w:val="0072348C"/>
    <w:rsid w:val="00723FE5"/>
    <w:rsid w:val="00724A37"/>
    <w:rsid w:val="00725293"/>
    <w:rsid w:val="007267B7"/>
    <w:rsid w:val="007303C3"/>
    <w:rsid w:val="007306A1"/>
    <w:rsid w:val="00730BAC"/>
    <w:rsid w:val="00731188"/>
    <w:rsid w:val="007314D0"/>
    <w:rsid w:val="00734375"/>
    <w:rsid w:val="007356CC"/>
    <w:rsid w:val="00735D53"/>
    <w:rsid w:val="007368E6"/>
    <w:rsid w:val="007375DF"/>
    <w:rsid w:val="00740871"/>
    <w:rsid w:val="007429BE"/>
    <w:rsid w:val="00743223"/>
    <w:rsid w:val="00743349"/>
    <w:rsid w:val="0074403A"/>
    <w:rsid w:val="00744A52"/>
    <w:rsid w:val="00745AC0"/>
    <w:rsid w:val="00746E01"/>
    <w:rsid w:val="00747EB2"/>
    <w:rsid w:val="00750462"/>
    <w:rsid w:val="00751DCD"/>
    <w:rsid w:val="00753D73"/>
    <w:rsid w:val="00755084"/>
    <w:rsid w:val="0075599D"/>
    <w:rsid w:val="00757364"/>
    <w:rsid w:val="00757BDF"/>
    <w:rsid w:val="007609B2"/>
    <w:rsid w:val="007609D0"/>
    <w:rsid w:val="00761454"/>
    <w:rsid w:val="0076193D"/>
    <w:rsid w:val="007625A7"/>
    <w:rsid w:val="00763429"/>
    <w:rsid w:val="00763E5D"/>
    <w:rsid w:val="00764FF7"/>
    <w:rsid w:val="00766E46"/>
    <w:rsid w:val="00767740"/>
    <w:rsid w:val="00767B5E"/>
    <w:rsid w:val="00774181"/>
    <w:rsid w:val="007742A5"/>
    <w:rsid w:val="00774CF8"/>
    <w:rsid w:val="00775460"/>
    <w:rsid w:val="00777EE6"/>
    <w:rsid w:val="00781706"/>
    <w:rsid w:val="00782EEA"/>
    <w:rsid w:val="00784A8D"/>
    <w:rsid w:val="00786B17"/>
    <w:rsid w:val="007909B4"/>
    <w:rsid w:val="00790E86"/>
    <w:rsid w:val="0079331A"/>
    <w:rsid w:val="007949D7"/>
    <w:rsid w:val="007A0143"/>
    <w:rsid w:val="007A1FDE"/>
    <w:rsid w:val="007A34C2"/>
    <w:rsid w:val="007A396C"/>
    <w:rsid w:val="007A4B02"/>
    <w:rsid w:val="007B0BE3"/>
    <w:rsid w:val="007B1816"/>
    <w:rsid w:val="007B186E"/>
    <w:rsid w:val="007B25DC"/>
    <w:rsid w:val="007B28DA"/>
    <w:rsid w:val="007B2C72"/>
    <w:rsid w:val="007B3789"/>
    <w:rsid w:val="007B4655"/>
    <w:rsid w:val="007B531D"/>
    <w:rsid w:val="007B651F"/>
    <w:rsid w:val="007B7BB5"/>
    <w:rsid w:val="007C0562"/>
    <w:rsid w:val="007C1C53"/>
    <w:rsid w:val="007C284C"/>
    <w:rsid w:val="007C4B82"/>
    <w:rsid w:val="007C5450"/>
    <w:rsid w:val="007C6063"/>
    <w:rsid w:val="007C74BB"/>
    <w:rsid w:val="007C7F64"/>
    <w:rsid w:val="007D0A95"/>
    <w:rsid w:val="007D0EB5"/>
    <w:rsid w:val="007D456E"/>
    <w:rsid w:val="007D5837"/>
    <w:rsid w:val="007D6876"/>
    <w:rsid w:val="007D6B79"/>
    <w:rsid w:val="007E325F"/>
    <w:rsid w:val="007E4904"/>
    <w:rsid w:val="007E4CB5"/>
    <w:rsid w:val="007E4DAE"/>
    <w:rsid w:val="007E663E"/>
    <w:rsid w:val="007F003F"/>
    <w:rsid w:val="007F066B"/>
    <w:rsid w:val="007F45DD"/>
    <w:rsid w:val="007F4EAB"/>
    <w:rsid w:val="007F5B16"/>
    <w:rsid w:val="007F7C9D"/>
    <w:rsid w:val="008033C4"/>
    <w:rsid w:val="00805445"/>
    <w:rsid w:val="00806731"/>
    <w:rsid w:val="00806C88"/>
    <w:rsid w:val="0081034E"/>
    <w:rsid w:val="00810806"/>
    <w:rsid w:val="00811CD1"/>
    <w:rsid w:val="008124DF"/>
    <w:rsid w:val="00812A48"/>
    <w:rsid w:val="00815882"/>
    <w:rsid w:val="00815F1E"/>
    <w:rsid w:val="00820454"/>
    <w:rsid w:val="00822AC7"/>
    <w:rsid w:val="00822B57"/>
    <w:rsid w:val="00822E86"/>
    <w:rsid w:val="00825A3B"/>
    <w:rsid w:val="00831C98"/>
    <w:rsid w:val="008344F6"/>
    <w:rsid w:val="0083510F"/>
    <w:rsid w:val="00837BF3"/>
    <w:rsid w:val="008415DE"/>
    <w:rsid w:val="008420DE"/>
    <w:rsid w:val="00845865"/>
    <w:rsid w:val="00846E83"/>
    <w:rsid w:val="0084799B"/>
    <w:rsid w:val="008501C3"/>
    <w:rsid w:val="00850C90"/>
    <w:rsid w:val="00851209"/>
    <w:rsid w:val="0085171F"/>
    <w:rsid w:val="00852493"/>
    <w:rsid w:val="00857B84"/>
    <w:rsid w:val="0086097B"/>
    <w:rsid w:val="008658A1"/>
    <w:rsid w:val="0086716A"/>
    <w:rsid w:val="00867660"/>
    <w:rsid w:val="00870613"/>
    <w:rsid w:val="0087380F"/>
    <w:rsid w:val="00874C30"/>
    <w:rsid w:val="0087648F"/>
    <w:rsid w:val="00876612"/>
    <w:rsid w:val="0088064E"/>
    <w:rsid w:val="00882BB1"/>
    <w:rsid w:val="008837AC"/>
    <w:rsid w:val="00887BCA"/>
    <w:rsid w:val="008909DC"/>
    <w:rsid w:val="00890F1B"/>
    <w:rsid w:val="008910D8"/>
    <w:rsid w:val="00894255"/>
    <w:rsid w:val="008945AD"/>
    <w:rsid w:val="008955D7"/>
    <w:rsid w:val="008A0645"/>
    <w:rsid w:val="008A1C02"/>
    <w:rsid w:val="008A2324"/>
    <w:rsid w:val="008A272B"/>
    <w:rsid w:val="008A370D"/>
    <w:rsid w:val="008A3D69"/>
    <w:rsid w:val="008A587D"/>
    <w:rsid w:val="008B0254"/>
    <w:rsid w:val="008B16B0"/>
    <w:rsid w:val="008B1BD5"/>
    <w:rsid w:val="008B35CD"/>
    <w:rsid w:val="008B4093"/>
    <w:rsid w:val="008B565A"/>
    <w:rsid w:val="008B5FCC"/>
    <w:rsid w:val="008B6EEC"/>
    <w:rsid w:val="008B7F36"/>
    <w:rsid w:val="008C2909"/>
    <w:rsid w:val="008C2BF9"/>
    <w:rsid w:val="008C357F"/>
    <w:rsid w:val="008C5486"/>
    <w:rsid w:val="008D1661"/>
    <w:rsid w:val="008D27E0"/>
    <w:rsid w:val="008D282F"/>
    <w:rsid w:val="008D449B"/>
    <w:rsid w:val="008D4565"/>
    <w:rsid w:val="008D59C0"/>
    <w:rsid w:val="008D5F90"/>
    <w:rsid w:val="008D6800"/>
    <w:rsid w:val="008D69E9"/>
    <w:rsid w:val="008D72F1"/>
    <w:rsid w:val="008E260E"/>
    <w:rsid w:val="008E4089"/>
    <w:rsid w:val="008E5AFF"/>
    <w:rsid w:val="008E7031"/>
    <w:rsid w:val="008E77DE"/>
    <w:rsid w:val="008F040C"/>
    <w:rsid w:val="008F07A3"/>
    <w:rsid w:val="008F13AB"/>
    <w:rsid w:val="008F2A86"/>
    <w:rsid w:val="008F3322"/>
    <w:rsid w:val="008F3388"/>
    <w:rsid w:val="008F3519"/>
    <w:rsid w:val="008F3A04"/>
    <w:rsid w:val="008F3A0D"/>
    <w:rsid w:val="009001B6"/>
    <w:rsid w:val="00900E1B"/>
    <w:rsid w:val="00901107"/>
    <w:rsid w:val="0090131F"/>
    <w:rsid w:val="00907683"/>
    <w:rsid w:val="00907A59"/>
    <w:rsid w:val="0091059D"/>
    <w:rsid w:val="009114E2"/>
    <w:rsid w:val="00911533"/>
    <w:rsid w:val="009132B7"/>
    <w:rsid w:val="00914142"/>
    <w:rsid w:val="00914D12"/>
    <w:rsid w:val="00916A2C"/>
    <w:rsid w:val="009170BE"/>
    <w:rsid w:val="00920435"/>
    <w:rsid w:val="0092055A"/>
    <w:rsid w:val="00920668"/>
    <w:rsid w:val="009214BC"/>
    <w:rsid w:val="009233EE"/>
    <w:rsid w:val="00923FFD"/>
    <w:rsid w:val="009251D1"/>
    <w:rsid w:val="00930B1A"/>
    <w:rsid w:val="00930C56"/>
    <w:rsid w:val="00932612"/>
    <w:rsid w:val="009327DC"/>
    <w:rsid w:val="009338D9"/>
    <w:rsid w:val="009339BD"/>
    <w:rsid w:val="00935005"/>
    <w:rsid w:val="009356CF"/>
    <w:rsid w:val="00935EBF"/>
    <w:rsid w:val="00935F54"/>
    <w:rsid w:val="00936262"/>
    <w:rsid w:val="00943BFB"/>
    <w:rsid w:val="00945E53"/>
    <w:rsid w:val="009460AA"/>
    <w:rsid w:val="00946937"/>
    <w:rsid w:val="00951102"/>
    <w:rsid w:val="00951978"/>
    <w:rsid w:val="00951990"/>
    <w:rsid w:val="00952801"/>
    <w:rsid w:val="00953C70"/>
    <w:rsid w:val="0095773A"/>
    <w:rsid w:val="00961A4A"/>
    <w:rsid w:val="009661DE"/>
    <w:rsid w:val="00972C7C"/>
    <w:rsid w:val="009747DA"/>
    <w:rsid w:val="009776F4"/>
    <w:rsid w:val="0098034C"/>
    <w:rsid w:val="00982DA2"/>
    <w:rsid w:val="00983C25"/>
    <w:rsid w:val="0098466D"/>
    <w:rsid w:val="009856B7"/>
    <w:rsid w:val="009859D6"/>
    <w:rsid w:val="00985C86"/>
    <w:rsid w:val="00986C18"/>
    <w:rsid w:val="00987F90"/>
    <w:rsid w:val="00992ADE"/>
    <w:rsid w:val="0099566A"/>
    <w:rsid w:val="009A2CA5"/>
    <w:rsid w:val="009A5CFB"/>
    <w:rsid w:val="009A5FC3"/>
    <w:rsid w:val="009B0058"/>
    <w:rsid w:val="009B3474"/>
    <w:rsid w:val="009B6F84"/>
    <w:rsid w:val="009B74B0"/>
    <w:rsid w:val="009C0152"/>
    <w:rsid w:val="009C1A74"/>
    <w:rsid w:val="009C3748"/>
    <w:rsid w:val="009C3D42"/>
    <w:rsid w:val="009C4845"/>
    <w:rsid w:val="009C491E"/>
    <w:rsid w:val="009D08D8"/>
    <w:rsid w:val="009D0DF1"/>
    <w:rsid w:val="009D22D6"/>
    <w:rsid w:val="009D2845"/>
    <w:rsid w:val="009D2C84"/>
    <w:rsid w:val="009D3906"/>
    <w:rsid w:val="009D5083"/>
    <w:rsid w:val="009D6956"/>
    <w:rsid w:val="009D6B46"/>
    <w:rsid w:val="009E0E05"/>
    <w:rsid w:val="009E35B6"/>
    <w:rsid w:val="009E5ABC"/>
    <w:rsid w:val="009F3BBA"/>
    <w:rsid w:val="009F43B4"/>
    <w:rsid w:val="009F4940"/>
    <w:rsid w:val="009F5BA1"/>
    <w:rsid w:val="009F7F23"/>
    <w:rsid w:val="00A01843"/>
    <w:rsid w:val="00A02A88"/>
    <w:rsid w:val="00A04012"/>
    <w:rsid w:val="00A046FA"/>
    <w:rsid w:val="00A0562E"/>
    <w:rsid w:val="00A05797"/>
    <w:rsid w:val="00A0726D"/>
    <w:rsid w:val="00A073AE"/>
    <w:rsid w:val="00A12204"/>
    <w:rsid w:val="00A12750"/>
    <w:rsid w:val="00A131C0"/>
    <w:rsid w:val="00A13CB0"/>
    <w:rsid w:val="00A1561F"/>
    <w:rsid w:val="00A15DED"/>
    <w:rsid w:val="00A16544"/>
    <w:rsid w:val="00A304EB"/>
    <w:rsid w:val="00A30BF5"/>
    <w:rsid w:val="00A31BE6"/>
    <w:rsid w:val="00A32FBB"/>
    <w:rsid w:val="00A40068"/>
    <w:rsid w:val="00A40BE9"/>
    <w:rsid w:val="00A421ED"/>
    <w:rsid w:val="00A428EE"/>
    <w:rsid w:val="00A443C2"/>
    <w:rsid w:val="00A4478A"/>
    <w:rsid w:val="00A44852"/>
    <w:rsid w:val="00A50502"/>
    <w:rsid w:val="00A53409"/>
    <w:rsid w:val="00A53796"/>
    <w:rsid w:val="00A53848"/>
    <w:rsid w:val="00A55979"/>
    <w:rsid w:val="00A56763"/>
    <w:rsid w:val="00A56945"/>
    <w:rsid w:val="00A56A6E"/>
    <w:rsid w:val="00A57D04"/>
    <w:rsid w:val="00A60987"/>
    <w:rsid w:val="00A60A26"/>
    <w:rsid w:val="00A61598"/>
    <w:rsid w:val="00A61777"/>
    <w:rsid w:val="00A63451"/>
    <w:rsid w:val="00A63646"/>
    <w:rsid w:val="00A63914"/>
    <w:rsid w:val="00A65EB2"/>
    <w:rsid w:val="00A66BCD"/>
    <w:rsid w:val="00A70D7E"/>
    <w:rsid w:val="00A84A99"/>
    <w:rsid w:val="00A84F46"/>
    <w:rsid w:val="00A86AEA"/>
    <w:rsid w:val="00A871F4"/>
    <w:rsid w:val="00A9167B"/>
    <w:rsid w:val="00A9190B"/>
    <w:rsid w:val="00A9431A"/>
    <w:rsid w:val="00A95988"/>
    <w:rsid w:val="00A959DF"/>
    <w:rsid w:val="00A97A1B"/>
    <w:rsid w:val="00AA13F2"/>
    <w:rsid w:val="00AA2927"/>
    <w:rsid w:val="00AB2CB8"/>
    <w:rsid w:val="00AB4617"/>
    <w:rsid w:val="00AB59C4"/>
    <w:rsid w:val="00AB5EA1"/>
    <w:rsid w:val="00AC1B2C"/>
    <w:rsid w:val="00AC3264"/>
    <w:rsid w:val="00AC411F"/>
    <w:rsid w:val="00AC46AD"/>
    <w:rsid w:val="00AC4D2D"/>
    <w:rsid w:val="00AC58EC"/>
    <w:rsid w:val="00AC7282"/>
    <w:rsid w:val="00AC7961"/>
    <w:rsid w:val="00AC7CEF"/>
    <w:rsid w:val="00AD314E"/>
    <w:rsid w:val="00AD3261"/>
    <w:rsid w:val="00AD4DE6"/>
    <w:rsid w:val="00AD5FCD"/>
    <w:rsid w:val="00AD6B48"/>
    <w:rsid w:val="00AD7A3A"/>
    <w:rsid w:val="00AE012B"/>
    <w:rsid w:val="00AE1674"/>
    <w:rsid w:val="00AE1BF1"/>
    <w:rsid w:val="00AE22F6"/>
    <w:rsid w:val="00AE23AB"/>
    <w:rsid w:val="00AE24BB"/>
    <w:rsid w:val="00AE58FB"/>
    <w:rsid w:val="00AE5AF0"/>
    <w:rsid w:val="00AE663D"/>
    <w:rsid w:val="00AE73B3"/>
    <w:rsid w:val="00AF07E7"/>
    <w:rsid w:val="00AF0DD2"/>
    <w:rsid w:val="00AF31E1"/>
    <w:rsid w:val="00AF3BBA"/>
    <w:rsid w:val="00AF4231"/>
    <w:rsid w:val="00B00B0E"/>
    <w:rsid w:val="00B00B26"/>
    <w:rsid w:val="00B02385"/>
    <w:rsid w:val="00B02F9D"/>
    <w:rsid w:val="00B032AA"/>
    <w:rsid w:val="00B05766"/>
    <w:rsid w:val="00B0696D"/>
    <w:rsid w:val="00B13048"/>
    <w:rsid w:val="00B131D4"/>
    <w:rsid w:val="00B13883"/>
    <w:rsid w:val="00B164E0"/>
    <w:rsid w:val="00B1716D"/>
    <w:rsid w:val="00B17A1D"/>
    <w:rsid w:val="00B20188"/>
    <w:rsid w:val="00B20243"/>
    <w:rsid w:val="00B207A0"/>
    <w:rsid w:val="00B21C21"/>
    <w:rsid w:val="00B21F65"/>
    <w:rsid w:val="00B22F54"/>
    <w:rsid w:val="00B24A7E"/>
    <w:rsid w:val="00B25C0C"/>
    <w:rsid w:val="00B304B5"/>
    <w:rsid w:val="00B304E3"/>
    <w:rsid w:val="00B3054D"/>
    <w:rsid w:val="00B308A9"/>
    <w:rsid w:val="00B30D17"/>
    <w:rsid w:val="00B31047"/>
    <w:rsid w:val="00B33148"/>
    <w:rsid w:val="00B35A06"/>
    <w:rsid w:val="00B35CDF"/>
    <w:rsid w:val="00B405A1"/>
    <w:rsid w:val="00B412CA"/>
    <w:rsid w:val="00B4438A"/>
    <w:rsid w:val="00B44ECE"/>
    <w:rsid w:val="00B45AA2"/>
    <w:rsid w:val="00B479CA"/>
    <w:rsid w:val="00B5084F"/>
    <w:rsid w:val="00B50AF7"/>
    <w:rsid w:val="00B514DD"/>
    <w:rsid w:val="00B522D1"/>
    <w:rsid w:val="00B52AF0"/>
    <w:rsid w:val="00B53D5F"/>
    <w:rsid w:val="00B54051"/>
    <w:rsid w:val="00B543D7"/>
    <w:rsid w:val="00B561BD"/>
    <w:rsid w:val="00B56E03"/>
    <w:rsid w:val="00B60F11"/>
    <w:rsid w:val="00B62765"/>
    <w:rsid w:val="00B63504"/>
    <w:rsid w:val="00B6509B"/>
    <w:rsid w:val="00B65DF5"/>
    <w:rsid w:val="00B7449C"/>
    <w:rsid w:val="00B7679F"/>
    <w:rsid w:val="00B76C3A"/>
    <w:rsid w:val="00B77159"/>
    <w:rsid w:val="00B778AD"/>
    <w:rsid w:val="00B8080B"/>
    <w:rsid w:val="00B82223"/>
    <w:rsid w:val="00B84130"/>
    <w:rsid w:val="00B84187"/>
    <w:rsid w:val="00B87BA5"/>
    <w:rsid w:val="00B87C39"/>
    <w:rsid w:val="00B93891"/>
    <w:rsid w:val="00B943A3"/>
    <w:rsid w:val="00B94C41"/>
    <w:rsid w:val="00B9562D"/>
    <w:rsid w:val="00BA0CFB"/>
    <w:rsid w:val="00BA21DA"/>
    <w:rsid w:val="00BA2B60"/>
    <w:rsid w:val="00BA3C93"/>
    <w:rsid w:val="00BA4515"/>
    <w:rsid w:val="00BA4665"/>
    <w:rsid w:val="00BA7BE9"/>
    <w:rsid w:val="00BA7FD7"/>
    <w:rsid w:val="00BB1681"/>
    <w:rsid w:val="00BB1FFB"/>
    <w:rsid w:val="00BB2FB2"/>
    <w:rsid w:val="00BB3304"/>
    <w:rsid w:val="00BB51EA"/>
    <w:rsid w:val="00BB6551"/>
    <w:rsid w:val="00BC05F0"/>
    <w:rsid w:val="00BC4A10"/>
    <w:rsid w:val="00BC5CA7"/>
    <w:rsid w:val="00BC7594"/>
    <w:rsid w:val="00BD30F4"/>
    <w:rsid w:val="00BD3446"/>
    <w:rsid w:val="00BD59CF"/>
    <w:rsid w:val="00BD77B6"/>
    <w:rsid w:val="00BE1312"/>
    <w:rsid w:val="00BE1F1B"/>
    <w:rsid w:val="00BE29FE"/>
    <w:rsid w:val="00BE3F89"/>
    <w:rsid w:val="00BE47B5"/>
    <w:rsid w:val="00BE5FCE"/>
    <w:rsid w:val="00BE7524"/>
    <w:rsid w:val="00BF1806"/>
    <w:rsid w:val="00BF1F8C"/>
    <w:rsid w:val="00BF287D"/>
    <w:rsid w:val="00C00254"/>
    <w:rsid w:val="00C0079E"/>
    <w:rsid w:val="00C051C7"/>
    <w:rsid w:val="00C0572A"/>
    <w:rsid w:val="00C11661"/>
    <w:rsid w:val="00C12060"/>
    <w:rsid w:val="00C13EBD"/>
    <w:rsid w:val="00C1631B"/>
    <w:rsid w:val="00C170F0"/>
    <w:rsid w:val="00C17B50"/>
    <w:rsid w:val="00C2054F"/>
    <w:rsid w:val="00C20571"/>
    <w:rsid w:val="00C25962"/>
    <w:rsid w:val="00C25FA6"/>
    <w:rsid w:val="00C271BD"/>
    <w:rsid w:val="00C3099D"/>
    <w:rsid w:val="00C32993"/>
    <w:rsid w:val="00C33011"/>
    <w:rsid w:val="00C362C1"/>
    <w:rsid w:val="00C41073"/>
    <w:rsid w:val="00C41950"/>
    <w:rsid w:val="00C42C3B"/>
    <w:rsid w:val="00C51672"/>
    <w:rsid w:val="00C5347D"/>
    <w:rsid w:val="00C538A9"/>
    <w:rsid w:val="00C53B5A"/>
    <w:rsid w:val="00C53E41"/>
    <w:rsid w:val="00C54516"/>
    <w:rsid w:val="00C54909"/>
    <w:rsid w:val="00C54AF3"/>
    <w:rsid w:val="00C54F5A"/>
    <w:rsid w:val="00C569B4"/>
    <w:rsid w:val="00C56EEC"/>
    <w:rsid w:val="00C57DDE"/>
    <w:rsid w:val="00C61468"/>
    <w:rsid w:val="00C61A97"/>
    <w:rsid w:val="00C61E44"/>
    <w:rsid w:val="00C64FF3"/>
    <w:rsid w:val="00C65458"/>
    <w:rsid w:val="00C65FB2"/>
    <w:rsid w:val="00C662AD"/>
    <w:rsid w:val="00C664A8"/>
    <w:rsid w:val="00C679CE"/>
    <w:rsid w:val="00C67A92"/>
    <w:rsid w:val="00C705DF"/>
    <w:rsid w:val="00C71280"/>
    <w:rsid w:val="00C7155F"/>
    <w:rsid w:val="00C717BF"/>
    <w:rsid w:val="00C72B34"/>
    <w:rsid w:val="00C7354F"/>
    <w:rsid w:val="00C74569"/>
    <w:rsid w:val="00C7557C"/>
    <w:rsid w:val="00C76178"/>
    <w:rsid w:val="00C80EDB"/>
    <w:rsid w:val="00C84560"/>
    <w:rsid w:val="00C856A1"/>
    <w:rsid w:val="00C86679"/>
    <w:rsid w:val="00C8750D"/>
    <w:rsid w:val="00C8792F"/>
    <w:rsid w:val="00C87CA8"/>
    <w:rsid w:val="00C90472"/>
    <w:rsid w:val="00C91D6E"/>
    <w:rsid w:val="00C924EB"/>
    <w:rsid w:val="00CA489E"/>
    <w:rsid w:val="00CA5BBD"/>
    <w:rsid w:val="00CB0279"/>
    <w:rsid w:val="00CB1951"/>
    <w:rsid w:val="00CB666B"/>
    <w:rsid w:val="00CB6D99"/>
    <w:rsid w:val="00CB734B"/>
    <w:rsid w:val="00CC0409"/>
    <w:rsid w:val="00CC41B6"/>
    <w:rsid w:val="00CC4320"/>
    <w:rsid w:val="00CC6773"/>
    <w:rsid w:val="00CC787D"/>
    <w:rsid w:val="00CC7ADA"/>
    <w:rsid w:val="00CC7F1D"/>
    <w:rsid w:val="00CD0A88"/>
    <w:rsid w:val="00CD125D"/>
    <w:rsid w:val="00CD283C"/>
    <w:rsid w:val="00CD3641"/>
    <w:rsid w:val="00CD3739"/>
    <w:rsid w:val="00CD4391"/>
    <w:rsid w:val="00CD5A7C"/>
    <w:rsid w:val="00CD66EA"/>
    <w:rsid w:val="00CD7432"/>
    <w:rsid w:val="00CE0991"/>
    <w:rsid w:val="00CE0FA5"/>
    <w:rsid w:val="00CE2A23"/>
    <w:rsid w:val="00CE2E1C"/>
    <w:rsid w:val="00CE31C8"/>
    <w:rsid w:val="00CE324C"/>
    <w:rsid w:val="00CE3A81"/>
    <w:rsid w:val="00CE484B"/>
    <w:rsid w:val="00CE7CBA"/>
    <w:rsid w:val="00CF0DEE"/>
    <w:rsid w:val="00CF1F0C"/>
    <w:rsid w:val="00CF214E"/>
    <w:rsid w:val="00CF2842"/>
    <w:rsid w:val="00CF42AA"/>
    <w:rsid w:val="00CF5EAA"/>
    <w:rsid w:val="00CF6AE3"/>
    <w:rsid w:val="00CF77BB"/>
    <w:rsid w:val="00D006AE"/>
    <w:rsid w:val="00D00905"/>
    <w:rsid w:val="00D010C1"/>
    <w:rsid w:val="00D01CF0"/>
    <w:rsid w:val="00D0442A"/>
    <w:rsid w:val="00D064D0"/>
    <w:rsid w:val="00D06CCA"/>
    <w:rsid w:val="00D07BB5"/>
    <w:rsid w:val="00D12A7B"/>
    <w:rsid w:val="00D12ADB"/>
    <w:rsid w:val="00D136CD"/>
    <w:rsid w:val="00D15E63"/>
    <w:rsid w:val="00D1689C"/>
    <w:rsid w:val="00D2284C"/>
    <w:rsid w:val="00D254B3"/>
    <w:rsid w:val="00D25A39"/>
    <w:rsid w:val="00D26F4B"/>
    <w:rsid w:val="00D27CFA"/>
    <w:rsid w:val="00D30E15"/>
    <w:rsid w:val="00D310FA"/>
    <w:rsid w:val="00D325C6"/>
    <w:rsid w:val="00D32BC8"/>
    <w:rsid w:val="00D37213"/>
    <w:rsid w:val="00D37BDE"/>
    <w:rsid w:val="00D401DB"/>
    <w:rsid w:val="00D40434"/>
    <w:rsid w:val="00D40D84"/>
    <w:rsid w:val="00D5607F"/>
    <w:rsid w:val="00D60C69"/>
    <w:rsid w:val="00D61388"/>
    <w:rsid w:val="00D61A54"/>
    <w:rsid w:val="00D62108"/>
    <w:rsid w:val="00D624B7"/>
    <w:rsid w:val="00D64AA4"/>
    <w:rsid w:val="00D64DEA"/>
    <w:rsid w:val="00D64F84"/>
    <w:rsid w:val="00D663CD"/>
    <w:rsid w:val="00D66CDD"/>
    <w:rsid w:val="00D6726A"/>
    <w:rsid w:val="00D7001B"/>
    <w:rsid w:val="00D70807"/>
    <w:rsid w:val="00D7160D"/>
    <w:rsid w:val="00D7168E"/>
    <w:rsid w:val="00D71E57"/>
    <w:rsid w:val="00D72A58"/>
    <w:rsid w:val="00D72D27"/>
    <w:rsid w:val="00D74BF2"/>
    <w:rsid w:val="00D7786B"/>
    <w:rsid w:val="00D80893"/>
    <w:rsid w:val="00D82519"/>
    <w:rsid w:val="00D84854"/>
    <w:rsid w:val="00D9001C"/>
    <w:rsid w:val="00D924AE"/>
    <w:rsid w:val="00D92CF1"/>
    <w:rsid w:val="00D92D38"/>
    <w:rsid w:val="00D950F5"/>
    <w:rsid w:val="00D953B7"/>
    <w:rsid w:val="00D97379"/>
    <w:rsid w:val="00DA298A"/>
    <w:rsid w:val="00DA3F30"/>
    <w:rsid w:val="00DA4752"/>
    <w:rsid w:val="00DA4C09"/>
    <w:rsid w:val="00DA61F3"/>
    <w:rsid w:val="00DA6B55"/>
    <w:rsid w:val="00DA6E37"/>
    <w:rsid w:val="00DA7CB3"/>
    <w:rsid w:val="00DB0320"/>
    <w:rsid w:val="00DB0D00"/>
    <w:rsid w:val="00DB0F93"/>
    <w:rsid w:val="00DB17B5"/>
    <w:rsid w:val="00DB1A67"/>
    <w:rsid w:val="00DB3721"/>
    <w:rsid w:val="00DB5074"/>
    <w:rsid w:val="00DC0281"/>
    <w:rsid w:val="00DC1930"/>
    <w:rsid w:val="00DC1C76"/>
    <w:rsid w:val="00DC4DBF"/>
    <w:rsid w:val="00DC4E19"/>
    <w:rsid w:val="00DC65FE"/>
    <w:rsid w:val="00DC717A"/>
    <w:rsid w:val="00DC73CE"/>
    <w:rsid w:val="00DC7981"/>
    <w:rsid w:val="00DD353F"/>
    <w:rsid w:val="00DD4C07"/>
    <w:rsid w:val="00DD577D"/>
    <w:rsid w:val="00DD5ADC"/>
    <w:rsid w:val="00DE1093"/>
    <w:rsid w:val="00DE4EFA"/>
    <w:rsid w:val="00DE5520"/>
    <w:rsid w:val="00DE563D"/>
    <w:rsid w:val="00DE6386"/>
    <w:rsid w:val="00DE70C1"/>
    <w:rsid w:val="00DE75EF"/>
    <w:rsid w:val="00DE7AB5"/>
    <w:rsid w:val="00DF0152"/>
    <w:rsid w:val="00DF1958"/>
    <w:rsid w:val="00DF3E15"/>
    <w:rsid w:val="00DF6019"/>
    <w:rsid w:val="00DF71A4"/>
    <w:rsid w:val="00E008BB"/>
    <w:rsid w:val="00E04818"/>
    <w:rsid w:val="00E04C5C"/>
    <w:rsid w:val="00E06442"/>
    <w:rsid w:val="00E06952"/>
    <w:rsid w:val="00E07DF9"/>
    <w:rsid w:val="00E10ABB"/>
    <w:rsid w:val="00E157B2"/>
    <w:rsid w:val="00E16055"/>
    <w:rsid w:val="00E1707C"/>
    <w:rsid w:val="00E22D69"/>
    <w:rsid w:val="00E2332D"/>
    <w:rsid w:val="00E23993"/>
    <w:rsid w:val="00E24FF3"/>
    <w:rsid w:val="00E2574F"/>
    <w:rsid w:val="00E25951"/>
    <w:rsid w:val="00E25B8C"/>
    <w:rsid w:val="00E301F5"/>
    <w:rsid w:val="00E31983"/>
    <w:rsid w:val="00E31CF6"/>
    <w:rsid w:val="00E31DF0"/>
    <w:rsid w:val="00E34A4A"/>
    <w:rsid w:val="00E35AFC"/>
    <w:rsid w:val="00E36DB6"/>
    <w:rsid w:val="00E40766"/>
    <w:rsid w:val="00E41D39"/>
    <w:rsid w:val="00E41DEA"/>
    <w:rsid w:val="00E46862"/>
    <w:rsid w:val="00E46E23"/>
    <w:rsid w:val="00E47FD0"/>
    <w:rsid w:val="00E5006B"/>
    <w:rsid w:val="00E5029C"/>
    <w:rsid w:val="00E50A02"/>
    <w:rsid w:val="00E5213C"/>
    <w:rsid w:val="00E52931"/>
    <w:rsid w:val="00E54106"/>
    <w:rsid w:val="00E54697"/>
    <w:rsid w:val="00E57A08"/>
    <w:rsid w:val="00E61D7E"/>
    <w:rsid w:val="00E62E13"/>
    <w:rsid w:val="00E63110"/>
    <w:rsid w:val="00E63631"/>
    <w:rsid w:val="00E64C2A"/>
    <w:rsid w:val="00E65741"/>
    <w:rsid w:val="00E65C85"/>
    <w:rsid w:val="00E66199"/>
    <w:rsid w:val="00E66C9F"/>
    <w:rsid w:val="00E67B83"/>
    <w:rsid w:val="00E70526"/>
    <w:rsid w:val="00E714AE"/>
    <w:rsid w:val="00E74BFA"/>
    <w:rsid w:val="00E754B4"/>
    <w:rsid w:val="00E755EC"/>
    <w:rsid w:val="00E7624D"/>
    <w:rsid w:val="00E81724"/>
    <w:rsid w:val="00E819A4"/>
    <w:rsid w:val="00E8283E"/>
    <w:rsid w:val="00E833FA"/>
    <w:rsid w:val="00E84B62"/>
    <w:rsid w:val="00E84B74"/>
    <w:rsid w:val="00E87066"/>
    <w:rsid w:val="00E910CA"/>
    <w:rsid w:val="00E966BF"/>
    <w:rsid w:val="00EA0C04"/>
    <w:rsid w:val="00EA1225"/>
    <w:rsid w:val="00EA3D42"/>
    <w:rsid w:val="00EA6B1B"/>
    <w:rsid w:val="00EB1CBD"/>
    <w:rsid w:val="00EB233B"/>
    <w:rsid w:val="00EB381A"/>
    <w:rsid w:val="00EB3A34"/>
    <w:rsid w:val="00EB3BEF"/>
    <w:rsid w:val="00EB3C3F"/>
    <w:rsid w:val="00EB556A"/>
    <w:rsid w:val="00EB57B0"/>
    <w:rsid w:val="00EB57E0"/>
    <w:rsid w:val="00EC04F1"/>
    <w:rsid w:val="00EC1E9F"/>
    <w:rsid w:val="00EC237F"/>
    <w:rsid w:val="00EC573A"/>
    <w:rsid w:val="00EC7928"/>
    <w:rsid w:val="00ED35C8"/>
    <w:rsid w:val="00ED3968"/>
    <w:rsid w:val="00ED62E2"/>
    <w:rsid w:val="00ED7323"/>
    <w:rsid w:val="00ED7A81"/>
    <w:rsid w:val="00EE0242"/>
    <w:rsid w:val="00EE1CF7"/>
    <w:rsid w:val="00EE28F3"/>
    <w:rsid w:val="00EE2924"/>
    <w:rsid w:val="00EE3D53"/>
    <w:rsid w:val="00EE50D1"/>
    <w:rsid w:val="00EE7614"/>
    <w:rsid w:val="00EF0997"/>
    <w:rsid w:val="00EF234D"/>
    <w:rsid w:val="00EF5110"/>
    <w:rsid w:val="00EF5890"/>
    <w:rsid w:val="00EF76BA"/>
    <w:rsid w:val="00EF7E4E"/>
    <w:rsid w:val="00F0231A"/>
    <w:rsid w:val="00F03463"/>
    <w:rsid w:val="00F036B7"/>
    <w:rsid w:val="00F06D85"/>
    <w:rsid w:val="00F0700F"/>
    <w:rsid w:val="00F07F1F"/>
    <w:rsid w:val="00F07FAE"/>
    <w:rsid w:val="00F10411"/>
    <w:rsid w:val="00F10A9A"/>
    <w:rsid w:val="00F11B2D"/>
    <w:rsid w:val="00F121C2"/>
    <w:rsid w:val="00F1485B"/>
    <w:rsid w:val="00F15882"/>
    <w:rsid w:val="00F16DC7"/>
    <w:rsid w:val="00F170C7"/>
    <w:rsid w:val="00F171E0"/>
    <w:rsid w:val="00F20BD3"/>
    <w:rsid w:val="00F23A05"/>
    <w:rsid w:val="00F23D70"/>
    <w:rsid w:val="00F26B9B"/>
    <w:rsid w:val="00F31984"/>
    <w:rsid w:val="00F322E9"/>
    <w:rsid w:val="00F3231B"/>
    <w:rsid w:val="00F33808"/>
    <w:rsid w:val="00F3727A"/>
    <w:rsid w:val="00F373A5"/>
    <w:rsid w:val="00F37864"/>
    <w:rsid w:val="00F404F9"/>
    <w:rsid w:val="00F4259A"/>
    <w:rsid w:val="00F44B0A"/>
    <w:rsid w:val="00F47559"/>
    <w:rsid w:val="00F50B30"/>
    <w:rsid w:val="00F51F5F"/>
    <w:rsid w:val="00F526E4"/>
    <w:rsid w:val="00F52D75"/>
    <w:rsid w:val="00F551D6"/>
    <w:rsid w:val="00F55582"/>
    <w:rsid w:val="00F57647"/>
    <w:rsid w:val="00F605B9"/>
    <w:rsid w:val="00F62A14"/>
    <w:rsid w:val="00F644AB"/>
    <w:rsid w:val="00F64C7B"/>
    <w:rsid w:val="00F64E35"/>
    <w:rsid w:val="00F676DD"/>
    <w:rsid w:val="00F67AB6"/>
    <w:rsid w:val="00F70028"/>
    <w:rsid w:val="00F70434"/>
    <w:rsid w:val="00F70576"/>
    <w:rsid w:val="00F72607"/>
    <w:rsid w:val="00F75A26"/>
    <w:rsid w:val="00F76706"/>
    <w:rsid w:val="00F77D6D"/>
    <w:rsid w:val="00F80206"/>
    <w:rsid w:val="00F827CA"/>
    <w:rsid w:val="00F83034"/>
    <w:rsid w:val="00F83FAD"/>
    <w:rsid w:val="00F844C6"/>
    <w:rsid w:val="00F871A7"/>
    <w:rsid w:val="00F87BEF"/>
    <w:rsid w:val="00F91469"/>
    <w:rsid w:val="00F92FA6"/>
    <w:rsid w:val="00F9353B"/>
    <w:rsid w:val="00F937F1"/>
    <w:rsid w:val="00F93C75"/>
    <w:rsid w:val="00F952A0"/>
    <w:rsid w:val="00FA0D00"/>
    <w:rsid w:val="00FA19D7"/>
    <w:rsid w:val="00FA31B1"/>
    <w:rsid w:val="00FA3320"/>
    <w:rsid w:val="00FA3C7F"/>
    <w:rsid w:val="00FA6246"/>
    <w:rsid w:val="00FB24ED"/>
    <w:rsid w:val="00FB3304"/>
    <w:rsid w:val="00FB5005"/>
    <w:rsid w:val="00FB60FE"/>
    <w:rsid w:val="00FB657A"/>
    <w:rsid w:val="00FB6859"/>
    <w:rsid w:val="00FB74E2"/>
    <w:rsid w:val="00FB778B"/>
    <w:rsid w:val="00FC0BF0"/>
    <w:rsid w:val="00FC5965"/>
    <w:rsid w:val="00FC79D9"/>
    <w:rsid w:val="00FD0394"/>
    <w:rsid w:val="00FD5614"/>
    <w:rsid w:val="00FD5E78"/>
    <w:rsid w:val="00FD71A1"/>
    <w:rsid w:val="00FE0BE1"/>
    <w:rsid w:val="00FE11BB"/>
    <w:rsid w:val="00FE1DE9"/>
    <w:rsid w:val="00FE36AF"/>
    <w:rsid w:val="00FE39C2"/>
    <w:rsid w:val="00FE3C32"/>
    <w:rsid w:val="00FE64AE"/>
    <w:rsid w:val="00FF12C5"/>
    <w:rsid w:val="00FF5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24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rPr>
      <w:hidden/>
    </w:trPr>
    <w:tcPr>
      <w:shd w:val="clear" w:color="auto" w:fill="auto"/>
    </w:tcPr>
    <w:tblStylePr w:type="firstRow">
      <w:pPr>
        <w:wordWrap/>
        <w:spacing w:beforeLines="0" w:before="120" w:beforeAutospacing="0" w:afterLines="0" w:after="120" w:afterAutospacing="0"/>
      </w:pPr>
      <w:rPr>
        <w:rFonts w:ascii="Arial" w:hAnsi="Arial"/>
        <w:b/>
        <w:sz w:val="20"/>
      </w:rPr>
      <w:tblPr/>
      <w:trPr>
        <w:hidden/>
      </w:tr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rPr>
      <w:hidden/>
    </w:tr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rPr>
        <w:hidden/>
      </w:tr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rPr>
        <w:hidden/>
      </w:tr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rPr>
      <w:hidden/>
    </w:trPr>
    <w:tblStylePr w:type="firstRow">
      <w:pPr>
        <w:spacing w:before="0" w:after="0" w:line="240" w:lineRule="auto"/>
      </w:pPr>
      <w:rPr>
        <w:b/>
        <w:bCs/>
      </w:rPr>
      <w:tblPr/>
      <w:trPr>
        <w:hidden/>
      </w:tr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rPr>
        <w:hidden/>
      </w:tr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F8CFF" w:themeFill="accent1" w:themeFillTint="3F"/>
      </w:tcPr>
    </w:tblStylePr>
    <w:tblStylePr w:type="band1Horz">
      <w:tblPr/>
      <w:trPr>
        <w:hidden/>
      </w:tr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rPr>
      <w:hidden/>
    </w:trPr>
    <w:tcPr>
      <w:vAlign w:val="center"/>
    </w:tcPr>
    <w:tblStylePr w:type="firstRow">
      <w:pPr>
        <w:spacing w:before="0" w:after="0" w:line="240" w:lineRule="auto"/>
      </w:pPr>
      <w:rPr>
        <w:b w:val="0"/>
        <w:bCs/>
      </w:rPr>
      <w:tblPr/>
      <w:trPr>
        <w:hidden/>
      </w:tr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rPr>
        <w:hidden/>
      </w:tr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rPr>
      <w:hidden/>
    </w:trPr>
    <w:tblStylePr w:type="firstRow">
      <w:pPr>
        <w:spacing w:before="0" w:after="0" w:line="240" w:lineRule="auto"/>
      </w:pPr>
      <w:rPr>
        <w:b/>
        <w:bCs/>
      </w:rPr>
      <w:tblPr/>
      <w:trPr>
        <w:hidden/>
      </w:tr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rPr>
        <w:hidden/>
      </w:tr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98BAFF" w:themeFill="accent3" w:themeFillTint="3F"/>
      </w:tcPr>
    </w:tblStylePr>
    <w:tblStylePr w:type="band1Horz">
      <w:tblPr/>
      <w:trPr>
        <w:hidden/>
      </w:tr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rPr>
      <w:hidden/>
    </w:trPr>
    <w:tblStylePr w:type="firstRow">
      <w:pPr>
        <w:spacing w:before="0" w:after="0" w:line="240" w:lineRule="auto"/>
      </w:pPr>
      <w:rPr>
        <w:b/>
        <w:bCs/>
        <w:color w:val="FFFFFF" w:themeColor="background1"/>
      </w:rPr>
      <w:tblPr/>
      <w:trPr>
        <w:hidden/>
      </w:tr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rPr>
        <w:hidden/>
      </w:tr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AAE3FB" w:themeFill="text1" w:themeFillTint="3F"/>
      </w:tcPr>
    </w:tblStylePr>
    <w:tblStylePr w:type="band1Horz">
      <w:tblPr/>
      <w:trPr>
        <w:hidden/>
      </w:trPr>
      <w:tcPr>
        <w:tcBorders>
          <w:insideH w:val="nil"/>
          <w:insideV w:val="nil"/>
        </w:tcBorders>
        <w:shd w:val="clear" w:color="auto" w:fill="AAE3FB" w:themeFill="text1" w:themeFillTint="3F"/>
      </w:tcPr>
    </w:tblStylePr>
    <w:tblStylePr w:type="band2Horz">
      <w:tblPr/>
      <w:trPr>
        <w:hidden/>
      </w:tr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rPr>
      <w:hidden/>
    </w:trPr>
    <w:tblStylePr w:type="firstRow">
      <w:pPr>
        <w:spacing w:before="0" w:after="0" w:line="240" w:lineRule="auto"/>
      </w:pPr>
      <w:rPr>
        <w:b/>
        <w:bCs/>
        <w:color w:val="FFFFFF" w:themeColor="background1"/>
      </w:rPr>
      <w:tblPr/>
      <w:trPr>
        <w:hidden/>
      </w:tr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rPr>
        <w:hidden/>
      </w:tr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F8CFF" w:themeFill="accent1" w:themeFillTint="3F"/>
      </w:tcPr>
    </w:tblStylePr>
    <w:tblStylePr w:type="band1Horz">
      <w:tblPr/>
      <w:trPr>
        <w:hidden/>
      </w:trPr>
      <w:tcPr>
        <w:tcBorders>
          <w:insideH w:val="nil"/>
          <w:insideV w:val="nil"/>
        </w:tcBorders>
        <w:shd w:val="clear" w:color="auto" w:fill="FF8CFF" w:themeFill="accent1" w:themeFillTint="3F"/>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rPr>
        <w:hidden/>
      </w:tr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FD0B0" w:themeFill="accent2" w:themeFillTint="3F"/>
      </w:tcPr>
    </w:tblStylePr>
    <w:tblStylePr w:type="band1Horz">
      <w:tblPr/>
      <w:trPr>
        <w:hidden/>
      </w:trPr>
      <w:tcPr>
        <w:tcBorders>
          <w:insideH w:val="nil"/>
          <w:insideV w:val="nil"/>
        </w:tcBorders>
        <w:shd w:val="clear" w:color="auto" w:fill="FFD0B0" w:themeFill="accent2" w:themeFillTint="3F"/>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rPr>
      <w:hidden/>
    </w:trPr>
    <w:tblStylePr w:type="firstRow">
      <w:pPr>
        <w:spacing w:before="0" w:after="0" w:line="240" w:lineRule="auto"/>
      </w:pPr>
      <w:rPr>
        <w:b/>
        <w:bCs/>
        <w:color w:val="FFFFFF" w:themeColor="background1"/>
      </w:rPr>
      <w:tblPr/>
      <w:trPr>
        <w:hidden/>
      </w:tr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rPr>
        <w:hidden/>
      </w:tr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rPr>
        <w:hidden/>
      </w:trPr>
      <w:tcPr>
        <w:shd w:val="clear" w:color="auto" w:fill="98BAFF" w:themeFill="accent3" w:themeFillTint="3F"/>
      </w:tcPr>
    </w:tblStylePr>
    <w:tblStylePr w:type="band1Horz">
      <w:tblPr/>
      <w:trPr>
        <w:hidden/>
      </w:trPr>
      <w:tcPr>
        <w:tcBorders>
          <w:insideH w:val="nil"/>
          <w:insideV w:val="nil"/>
        </w:tcBorders>
        <w:shd w:val="clear" w:color="auto" w:fill="98BAFF" w:themeFill="accent3" w:themeFillTint="3F"/>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rPr>
      <w:hidden/>
    </w:trPr>
    <w:tblStylePr w:type="firstRow">
      <w:pPr>
        <w:spacing w:before="0" w:after="0" w:line="240" w:lineRule="auto"/>
      </w:pPr>
      <w:rPr>
        <w:b/>
        <w:bCs/>
        <w:color w:val="FFFFFF" w:themeColor="background1"/>
      </w:rPr>
      <w:tblPr/>
      <w:trPr>
        <w:hidden/>
      </w:tr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rPr>
        <w:hidden/>
      </w:tr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FB0B0" w:themeFill="accent4" w:themeFillTint="3F"/>
      </w:tcPr>
    </w:tblStylePr>
    <w:tblStylePr w:type="band1Horz">
      <w:tblPr/>
      <w:trPr>
        <w:hidden/>
      </w:trPr>
      <w:tcPr>
        <w:tcBorders>
          <w:insideH w:val="nil"/>
          <w:insideV w:val="nil"/>
        </w:tcBorders>
        <w:shd w:val="clear" w:color="auto" w:fill="FFB0B0" w:themeFill="accent4" w:themeFillTint="3F"/>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rPr>
      <w:hidden/>
    </w:trPr>
    <w:tblStylePr w:type="firstRow">
      <w:pPr>
        <w:spacing w:before="0" w:after="0" w:line="240" w:lineRule="auto"/>
      </w:pPr>
      <w:rPr>
        <w:b/>
        <w:bCs/>
        <w:color w:val="FFFFFF" w:themeColor="background1"/>
      </w:rPr>
      <w:tblPr/>
      <w:trPr>
        <w:hidden/>
      </w:tr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rPr>
        <w:hidden/>
      </w:tr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0C0C0" w:themeFill="accent5" w:themeFillTint="3F"/>
      </w:tcPr>
    </w:tblStylePr>
    <w:tblStylePr w:type="band1Horz">
      <w:tblPr/>
      <w:trPr>
        <w:hidden/>
      </w:trPr>
      <w:tcPr>
        <w:tcBorders>
          <w:insideH w:val="nil"/>
          <w:insideV w:val="nil"/>
        </w:tcBorders>
        <w:shd w:val="clear" w:color="auto" w:fill="C0C0C0" w:themeFill="accent5" w:themeFillTint="3F"/>
      </w:tcPr>
    </w:tblStylePr>
    <w:tblStylePr w:type="band2Horz">
      <w:tblPr/>
      <w:trPr>
        <w:hidden/>
      </w:tr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rPr>
      <w:hidden/>
    </w:trPr>
    <w:tblStylePr w:type="firstRow">
      <w:pPr>
        <w:spacing w:before="0" w:after="0" w:line="240" w:lineRule="auto"/>
      </w:pPr>
      <w:rPr>
        <w:b/>
        <w:bCs/>
        <w:color w:val="FFFFFF" w:themeColor="background1"/>
      </w:rPr>
      <w:tblPr/>
      <w:trPr>
        <w:hidden/>
      </w:trPr>
      <w:tcPr>
        <w:shd w:val="clear" w:color="auto" w:fill="076A92" w:themeFill="text1"/>
      </w:tcPr>
    </w:tblStylePr>
    <w:tblStylePr w:type="lastRow">
      <w:pPr>
        <w:spacing w:before="0" w:after="0" w:line="240" w:lineRule="auto"/>
      </w:pPr>
      <w:rPr>
        <w:b/>
        <w:bCs/>
      </w:rPr>
      <w:tblPr/>
      <w:trPr>
        <w:hidden/>
      </w:tr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rPr>
      <w:hidden/>
    </w:trPr>
    <w:tblStylePr w:type="firstRow">
      <w:pPr>
        <w:spacing w:before="0" w:after="0" w:line="240" w:lineRule="auto"/>
      </w:pPr>
      <w:rPr>
        <w:b/>
        <w:bCs/>
      </w:rPr>
      <w:tblPr/>
      <w:trPr>
        <w:hidden/>
      </w:tr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rPr>
        <w:hidden/>
      </w:tr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accent5" w:themeFillTint="3F"/>
      </w:tcPr>
    </w:tblStylePr>
    <w:tblStylePr w:type="band1Horz">
      <w:tblPr/>
      <w:trPr>
        <w:hidden/>
      </w:tr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rPr>
      <w:hidden/>
    </w:trPr>
    <w:tblStylePr w:type="firstRow">
      <w:pPr>
        <w:spacing w:before="0" w:after="0" w:line="240" w:lineRule="auto"/>
      </w:pPr>
      <w:rPr>
        <w:b/>
        <w:bCs/>
        <w:color w:val="FFFFFF" w:themeColor="background1"/>
      </w:rPr>
      <w:tblPr/>
      <w:trPr>
        <w:hidden/>
      </w:trPr>
      <w:tcPr>
        <w:shd w:val="clear" w:color="auto" w:fill="2F002F" w:themeFill="accent1"/>
      </w:tcPr>
    </w:tblStylePr>
    <w:tblStylePr w:type="lastRow">
      <w:pPr>
        <w:spacing w:before="0" w:after="0" w:line="240" w:lineRule="auto"/>
      </w:pPr>
      <w:rPr>
        <w:b/>
        <w:bCs/>
      </w:rPr>
      <w:tblPr/>
      <w:trPr>
        <w:hidden/>
      </w:tr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rPr>
      <w:hidden/>
    </w:trPr>
    <w:tblStylePr w:type="firstRow">
      <w:pPr>
        <w:spacing w:before="0" w:after="0" w:line="240" w:lineRule="auto"/>
      </w:pPr>
      <w:rPr>
        <w:b/>
        <w:bCs/>
        <w:color w:val="FFFFFF" w:themeColor="background1"/>
      </w:rPr>
      <w:tblPr/>
      <w:trPr>
        <w:hidden/>
      </w:trPr>
      <w:tcPr>
        <w:shd w:val="clear" w:color="auto" w:fill="002060" w:themeFill="accent3"/>
      </w:tcPr>
    </w:tblStylePr>
    <w:tblStylePr w:type="lastRow">
      <w:pPr>
        <w:spacing w:before="0" w:after="0" w:line="240" w:lineRule="auto"/>
      </w:pPr>
      <w:rPr>
        <w:b/>
        <w:bCs/>
      </w:rPr>
      <w:tblPr/>
      <w:trPr>
        <w:hidden/>
      </w:tr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rPr>
      <w:hidden/>
    </w:trPr>
    <w:tblStylePr w:type="firstRow">
      <w:pPr>
        <w:spacing w:before="0" w:after="0" w:line="240" w:lineRule="auto"/>
      </w:pPr>
      <w:rPr>
        <w:b/>
        <w:bCs/>
        <w:color w:val="auto"/>
      </w:rPr>
      <w:tblPr/>
      <w:trPr>
        <w:hidden/>
      </w:trPr>
      <w:tcPr>
        <w:shd w:val="clear" w:color="auto" w:fill="000000" w:themeFill="accent5"/>
      </w:tcPr>
    </w:tblStylePr>
    <w:tblStylePr w:type="lastRow">
      <w:pPr>
        <w:spacing w:before="0" w:after="0" w:line="240" w:lineRule="auto"/>
      </w:pPr>
      <w:rPr>
        <w:b/>
        <w:bCs/>
      </w:rPr>
      <w:tblPr/>
      <w:trPr>
        <w:hidden/>
      </w:tr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rPr>
      <w:hidden/>
    </w:trPr>
    <w:tblStylePr w:type="firstRow">
      <w:pPr>
        <w:spacing w:before="0" w:after="0" w:line="240" w:lineRule="auto"/>
      </w:pPr>
      <w:rPr>
        <w:b/>
        <w:bCs/>
      </w:rPr>
      <w:tblPr/>
      <w:trPr>
        <w:hidden/>
      </w:tr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rPr>
        <w:hidden/>
      </w:tr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FB0B0" w:themeFill="accent4" w:themeFillTint="3F"/>
      </w:tcPr>
    </w:tblStylePr>
    <w:tblStylePr w:type="band1Horz">
      <w:tblPr/>
      <w:trPr>
        <w:hidden/>
      </w:tr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rPr>
      <w:hidden/>
    </w:trPr>
    <w:tblStylePr w:type="firstRow">
      <w:pPr>
        <w:spacing w:before="0" w:after="0" w:line="240" w:lineRule="auto"/>
      </w:pPr>
      <w:rPr>
        <w:b/>
        <w:bCs/>
      </w:rPr>
      <w:tblPr/>
      <w:trPr>
        <w:hidden/>
      </w:tr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rPr>
        <w:hidden/>
      </w:tr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5C2C8" w:themeFill="accent6" w:themeFillTint="3F"/>
      </w:tcPr>
    </w:tblStylePr>
    <w:tblStylePr w:type="band1Horz">
      <w:tblPr/>
      <w:trPr>
        <w:hidden/>
      </w:tr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rPr>
      <w:hidden/>
    </w:tr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rPr>
        <w:hidden/>
      </w:tr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rPr>
        <w:hidden/>
      </w:tr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rPr>
      <w:hidden/>
    </w:trPr>
    <w:tblStylePr w:type="firstRow">
      <w:pPr>
        <w:spacing w:before="0" w:after="0" w:line="240" w:lineRule="auto"/>
      </w:pPr>
      <w:rPr>
        <w:b/>
        <w:bCs/>
        <w:color w:val="FFFFFF" w:themeColor="background1"/>
      </w:rPr>
      <w:tblPr/>
      <w:trPr>
        <w:hidden/>
      </w:trPr>
      <w:tcPr>
        <w:shd w:val="clear" w:color="auto" w:fill="C14E00" w:themeFill="accent2"/>
      </w:tcPr>
    </w:tblStylePr>
    <w:tblStylePr w:type="lastRow">
      <w:pPr>
        <w:spacing w:before="0" w:after="0" w:line="240" w:lineRule="auto"/>
      </w:pPr>
      <w:rPr>
        <w:b/>
        <w:bCs/>
      </w:rPr>
      <w:tblPr/>
      <w:trPr>
        <w:hidden/>
      </w:tr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rPr>
      <w:hidden/>
    </w:trPr>
    <w:tblStylePr w:type="firstRow">
      <w:pPr>
        <w:spacing w:before="0" w:after="0" w:line="240" w:lineRule="auto"/>
      </w:pPr>
      <w:rPr>
        <w:b/>
        <w:bCs/>
        <w:color w:val="FFFFFF" w:themeColor="background1"/>
      </w:rPr>
      <w:tblPr/>
      <w:trPr>
        <w:hidden/>
      </w:trPr>
      <w:tcPr>
        <w:shd w:val="clear" w:color="auto" w:fill="C00000" w:themeFill="accent4"/>
      </w:tcPr>
    </w:tblStylePr>
    <w:tblStylePr w:type="lastRow">
      <w:pPr>
        <w:spacing w:before="0" w:after="0" w:line="240" w:lineRule="auto"/>
      </w:pPr>
      <w:rPr>
        <w:b/>
        <w:bCs/>
      </w:rPr>
      <w:tblPr/>
      <w:trPr>
        <w:hidden/>
      </w:tr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rPr>
      <w:hidden/>
    </w:trPr>
    <w:tblStylePr w:type="firstRow">
      <w:pPr>
        <w:spacing w:before="0" w:after="0" w:line="240" w:lineRule="auto"/>
      </w:pPr>
      <w:rPr>
        <w:b/>
        <w:bCs/>
        <w:color w:val="FFFFFF" w:themeColor="background1"/>
      </w:rPr>
      <w:tblPr/>
      <w:trPr>
        <w:hidden/>
      </w:trPr>
      <w:tcPr>
        <w:shd w:val="clear" w:color="auto" w:fill="70303C" w:themeFill="accent6"/>
      </w:tcPr>
    </w:tblStylePr>
    <w:tblStylePr w:type="lastRow">
      <w:pPr>
        <w:spacing w:before="0" w:after="0" w:line="240" w:lineRule="auto"/>
      </w:pPr>
      <w:rPr>
        <w:b/>
        <w:bCs/>
      </w:rPr>
      <w:tblPr/>
      <w:trPr>
        <w:hidden/>
      </w:tr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rPr>
      <w:hidden/>
    </w:tr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rPr>
      <w:hidden/>
    </w:trPr>
    <w:tblStylePr w:type="firstRow">
      <w:pPr>
        <w:wordWrap/>
        <w:spacing w:beforeLines="0" w:before="240" w:beforeAutospacing="0" w:afterLines="0" w:after="120" w:afterAutospacing="0"/>
      </w:pPr>
      <w:rPr>
        <w:rFonts w:ascii="Arial" w:hAnsi="Arial"/>
        <w:b/>
        <w:color w:val="FFFFFF" w:themeColor="background1"/>
        <w:sz w:val="24"/>
      </w:rPr>
      <w:tblPr/>
      <w:trPr>
        <w:hidden/>
      </w:trPr>
      <w:tcPr>
        <w:shd w:val="clear" w:color="auto" w:fill="076A92"/>
      </w:tcPr>
    </w:tblStylePr>
    <w:tblStylePr w:type="band2Horz">
      <w:rPr>
        <w:rFonts w:ascii="Arial" w:hAnsi="Arial"/>
        <w:sz w:val="20"/>
      </w:rPr>
      <w:tblPr/>
      <w:trPr>
        <w:hidden/>
      </w:tr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rPr>
      <w:hidden/>
    </w:trPr>
    <w:tcPr>
      <w:vAlign w:val="center"/>
    </w:tcPr>
    <w:tblStylePr w:type="firstRow">
      <w:rPr>
        <w:b/>
        <w:color w:val="FFFFFF"/>
      </w:rPr>
      <w:tblPr/>
      <w:trPr>
        <w:hidden/>
      </w:trPr>
      <w:tcPr>
        <w:shd w:val="clear" w:color="auto" w:fill="365F91"/>
      </w:tcPr>
    </w:tblStylePr>
    <w:tblStylePr w:type="band2Horz">
      <w:tblPr/>
      <w:trPr>
        <w:hidden/>
      </w:tr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rPr>
      <w:hidden/>
    </w:trPr>
    <w:tcPr>
      <w:vAlign w:val="center"/>
    </w:tcPr>
    <w:tblStylePr w:type="firstRow">
      <w:rPr>
        <w:b/>
        <w:color w:val="FFFFFF"/>
      </w:rPr>
      <w:tblPr/>
      <w:trPr>
        <w:hidden/>
      </w:trPr>
      <w:tcPr>
        <w:shd w:val="clear" w:color="auto" w:fill="365F91"/>
      </w:tcPr>
    </w:tblStylePr>
    <w:tblStylePr w:type="firstCol">
      <w:pPr>
        <w:jc w:val="left"/>
      </w:pPr>
    </w:tblStylePr>
    <w:tblStylePr w:type="band2Horz">
      <w:tblPr/>
      <w:trPr>
        <w:hidden/>
      </w:tr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rPr>
      <w:hidden/>
    </w:trPr>
    <w:tcPr>
      <w:vAlign w:val="center"/>
    </w:tcPr>
    <w:tblStylePr w:type="firstRow">
      <w:rPr>
        <w:b/>
        <w:color w:val="FFFFFF"/>
      </w:rPr>
      <w:tblPr/>
      <w:trPr>
        <w:hidden/>
      </w:trPr>
      <w:tcPr>
        <w:shd w:val="clear" w:color="auto" w:fill="365F91"/>
      </w:tcPr>
    </w:tblStylePr>
    <w:tblStylePr w:type="band2Horz">
      <w:tblPr/>
      <w:trPr>
        <w:hidden/>
      </w:tr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styleId="HTMLCite">
    <w:name w:val="HTML Cite"/>
    <w:basedOn w:val="DefaultParagraphFont"/>
    <w:uiPriority w:val="99"/>
    <w:semiHidden/>
    <w:unhideWhenUsed/>
    <w:rsid w:val="002E67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rPr>
      <w:hidden/>
    </w:trPr>
    <w:tcPr>
      <w:shd w:val="clear" w:color="auto" w:fill="auto"/>
    </w:tcPr>
    <w:tblStylePr w:type="firstRow">
      <w:pPr>
        <w:wordWrap/>
        <w:spacing w:beforeLines="0" w:before="120" w:beforeAutospacing="0" w:afterLines="0" w:after="120" w:afterAutospacing="0"/>
      </w:pPr>
      <w:rPr>
        <w:rFonts w:ascii="Arial" w:hAnsi="Arial"/>
        <w:b/>
        <w:sz w:val="20"/>
      </w:rPr>
      <w:tblPr/>
      <w:trPr>
        <w:hidden/>
      </w:tr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rPr>
      <w:hidden/>
    </w:tr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rPr>
        <w:hidden/>
      </w:tr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rPr>
        <w:hidden/>
      </w:tr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rPr>
      <w:hidden/>
    </w:trPr>
    <w:tblStylePr w:type="firstRow">
      <w:pPr>
        <w:spacing w:before="0" w:after="0" w:line="240" w:lineRule="auto"/>
      </w:pPr>
      <w:rPr>
        <w:b/>
        <w:bCs/>
      </w:rPr>
      <w:tblPr/>
      <w:trPr>
        <w:hidden/>
      </w:tr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rPr>
        <w:hidden/>
      </w:tr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F8CFF" w:themeFill="accent1" w:themeFillTint="3F"/>
      </w:tcPr>
    </w:tblStylePr>
    <w:tblStylePr w:type="band1Horz">
      <w:tblPr/>
      <w:trPr>
        <w:hidden/>
      </w:tr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rPr>
      <w:hidden/>
    </w:trPr>
    <w:tcPr>
      <w:vAlign w:val="center"/>
    </w:tcPr>
    <w:tblStylePr w:type="firstRow">
      <w:pPr>
        <w:spacing w:before="0" w:after="0" w:line="240" w:lineRule="auto"/>
      </w:pPr>
      <w:rPr>
        <w:b w:val="0"/>
        <w:bCs/>
      </w:rPr>
      <w:tblPr/>
      <w:trPr>
        <w:hidden/>
      </w:tr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rPr>
        <w:hidden/>
      </w:tr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rPr>
      <w:hidden/>
    </w:trPr>
    <w:tblStylePr w:type="firstRow">
      <w:pPr>
        <w:spacing w:before="0" w:after="0" w:line="240" w:lineRule="auto"/>
      </w:pPr>
      <w:rPr>
        <w:b/>
        <w:bCs/>
      </w:rPr>
      <w:tblPr/>
      <w:trPr>
        <w:hidden/>
      </w:tr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rPr>
        <w:hidden/>
      </w:tr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98BAFF" w:themeFill="accent3" w:themeFillTint="3F"/>
      </w:tcPr>
    </w:tblStylePr>
    <w:tblStylePr w:type="band1Horz">
      <w:tblPr/>
      <w:trPr>
        <w:hidden/>
      </w:tr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rPr>
      <w:hidden/>
    </w:trPr>
    <w:tblStylePr w:type="firstRow">
      <w:pPr>
        <w:spacing w:before="0" w:after="0" w:line="240" w:lineRule="auto"/>
      </w:pPr>
      <w:rPr>
        <w:b/>
        <w:bCs/>
        <w:color w:val="FFFFFF" w:themeColor="background1"/>
      </w:rPr>
      <w:tblPr/>
      <w:trPr>
        <w:hidden/>
      </w:tr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rPr>
        <w:hidden/>
      </w:tr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AAE3FB" w:themeFill="text1" w:themeFillTint="3F"/>
      </w:tcPr>
    </w:tblStylePr>
    <w:tblStylePr w:type="band1Horz">
      <w:tblPr/>
      <w:trPr>
        <w:hidden/>
      </w:trPr>
      <w:tcPr>
        <w:tcBorders>
          <w:insideH w:val="nil"/>
          <w:insideV w:val="nil"/>
        </w:tcBorders>
        <w:shd w:val="clear" w:color="auto" w:fill="AAE3FB" w:themeFill="text1" w:themeFillTint="3F"/>
      </w:tcPr>
    </w:tblStylePr>
    <w:tblStylePr w:type="band2Horz">
      <w:tblPr/>
      <w:trPr>
        <w:hidden/>
      </w:tr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rPr>
      <w:hidden/>
    </w:trPr>
    <w:tblStylePr w:type="firstRow">
      <w:pPr>
        <w:spacing w:before="0" w:after="0" w:line="240" w:lineRule="auto"/>
      </w:pPr>
      <w:rPr>
        <w:b/>
        <w:bCs/>
        <w:color w:val="FFFFFF" w:themeColor="background1"/>
      </w:rPr>
      <w:tblPr/>
      <w:trPr>
        <w:hidden/>
      </w:tr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rPr>
        <w:hidden/>
      </w:tr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F8CFF" w:themeFill="accent1" w:themeFillTint="3F"/>
      </w:tcPr>
    </w:tblStylePr>
    <w:tblStylePr w:type="band1Horz">
      <w:tblPr/>
      <w:trPr>
        <w:hidden/>
      </w:trPr>
      <w:tcPr>
        <w:tcBorders>
          <w:insideH w:val="nil"/>
          <w:insideV w:val="nil"/>
        </w:tcBorders>
        <w:shd w:val="clear" w:color="auto" w:fill="FF8CFF" w:themeFill="accent1" w:themeFillTint="3F"/>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rPr>
        <w:hidden/>
      </w:tr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FD0B0" w:themeFill="accent2" w:themeFillTint="3F"/>
      </w:tcPr>
    </w:tblStylePr>
    <w:tblStylePr w:type="band1Horz">
      <w:tblPr/>
      <w:trPr>
        <w:hidden/>
      </w:trPr>
      <w:tcPr>
        <w:tcBorders>
          <w:insideH w:val="nil"/>
          <w:insideV w:val="nil"/>
        </w:tcBorders>
        <w:shd w:val="clear" w:color="auto" w:fill="FFD0B0" w:themeFill="accent2" w:themeFillTint="3F"/>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rPr>
      <w:hidden/>
    </w:trPr>
    <w:tblStylePr w:type="firstRow">
      <w:pPr>
        <w:spacing w:before="0" w:after="0" w:line="240" w:lineRule="auto"/>
      </w:pPr>
      <w:rPr>
        <w:b/>
        <w:bCs/>
        <w:color w:val="FFFFFF" w:themeColor="background1"/>
      </w:rPr>
      <w:tblPr/>
      <w:trPr>
        <w:hidden/>
      </w:tr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rPr>
        <w:hidden/>
      </w:tr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rPr>
        <w:hidden/>
      </w:trPr>
      <w:tcPr>
        <w:shd w:val="clear" w:color="auto" w:fill="98BAFF" w:themeFill="accent3" w:themeFillTint="3F"/>
      </w:tcPr>
    </w:tblStylePr>
    <w:tblStylePr w:type="band1Horz">
      <w:tblPr/>
      <w:trPr>
        <w:hidden/>
      </w:trPr>
      <w:tcPr>
        <w:tcBorders>
          <w:insideH w:val="nil"/>
          <w:insideV w:val="nil"/>
        </w:tcBorders>
        <w:shd w:val="clear" w:color="auto" w:fill="98BAFF" w:themeFill="accent3" w:themeFillTint="3F"/>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rPr>
      <w:hidden/>
    </w:trPr>
    <w:tblStylePr w:type="firstRow">
      <w:pPr>
        <w:spacing w:before="0" w:after="0" w:line="240" w:lineRule="auto"/>
      </w:pPr>
      <w:rPr>
        <w:b/>
        <w:bCs/>
        <w:color w:val="FFFFFF" w:themeColor="background1"/>
      </w:rPr>
      <w:tblPr/>
      <w:trPr>
        <w:hidden/>
      </w:tr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rPr>
        <w:hidden/>
      </w:tr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FB0B0" w:themeFill="accent4" w:themeFillTint="3F"/>
      </w:tcPr>
    </w:tblStylePr>
    <w:tblStylePr w:type="band1Horz">
      <w:tblPr/>
      <w:trPr>
        <w:hidden/>
      </w:trPr>
      <w:tcPr>
        <w:tcBorders>
          <w:insideH w:val="nil"/>
          <w:insideV w:val="nil"/>
        </w:tcBorders>
        <w:shd w:val="clear" w:color="auto" w:fill="FFB0B0" w:themeFill="accent4" w:themeFillTint="3F"/>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rPr>
      <w:hidden/>
    </w:trPr>
    <w:tblStylePr w:type="firstRow">
      <w:pPr>
        <w:spacing w:before="0" w:after="0" w:line="240" w:lineRule="auto"/>
      </w:pPr>
      <w:rPr>
        <w:b/>
        <w:bCs/>
        <w:color w:val="FFFFFF" w:themeColor="background1"/>
      </w:rPr>
      <w:tblPr/>
      <w:trPr>
        <w:hidden/>
      </w:tr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rPr>
        <w:hidden/>
      </w:tr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0C0C0" w:themeFill="accent5" w:themeFillTint="3F"/>
      </w:tcPr>
    </w:tblStylePr>
    <w:tblStylePr w:type="band1Horz">
      <w:tblPr/>
      <w:trPr>
        <w:hidden/>
      </w:trPr>
      <w:tcPr>
        <w:tcBorders>
          <w:insideH w:val="nil"/>
          <w:insideV w:val="nil"/>
        </w:tcBorders>
        <w:shd w:val="clear" w:color="auto" w:fill="C0C0C0" w:themeFill="accent5" w:themeFillTint="3F"/>
      </w:tcPr>
    </w:tblStylePr>
    <w:tblStylePr w:type="band2Horz">
      <w:tblPr/>
      <w:trPr>
        <w:hidden/>
      </w:tr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rPr>
      <w:hidden/>
    </w:trPr>
    <w:tblStylePr w:type="firstRow">
      <w:pPr>
        <w:spacing w:before="0" w:after="0" w:line="240" w:lineRule="auto"/>
      </w:pPr>
      <w:rPr>
        <w:b/>
        <w:bCs/>
        <w:color w:val="FFFFFF" w:themeColor="background1"/>
      </w:rPr>
      <w:tblPr/>
      <w:trPr>
        <w:hidden/>
      </w:trPr>
      <w:tcPr>
        <w:shd w:val="clear" w:color="auto" w:fill="076A92" w:themeFill="text1"/>
      </w:tcPr>
    </w:tblStylePr>
    <w:tblStylePr w:type="lastRow">
      <w:pPr>
        <w:spacing w:before="0" w:after="0" w:line="240" w:lineRule="auto"/>
      </w:pPr>
      <w:rPr>
        <w:b/>
        <w:bCs/>
      </w:rPr>
      <w:tblPr/>
      <w:trPr>
        <w:hidden/>
      </w:tr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rPr>
      <w:hidden/>
    </w:trPr>
    <w:tblStylePr w:type="firstRow">
      <w:pPr>
        <w:spacing w:before="0" w:after="0" w:line="240" w:lineRule="auto"/>
      </w:pPr>
      <w:rPr>
        <w:b/>
        <w:bCs/>
      </w:rPr>
      <w:tblPr/>
      <w:trPr>
        <w:hidden/>
      </w:tr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rPr>
        <w:hidden/>
      </w:tr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accent5" w:themeFillTint="3F"/>
      </w:tcPr>
    </w:tblStylePr>
    <w:tblStylePr w:type="band1Horz">
      <w:tblPr/>
      <w:trPr>
        <w:hidden/>
      </w:tr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rPr>
      <w:hidden/>
    </w:trPr>
    <w:tblStylePr w:type="firstRow">
      <w:pPr>
        <w:spacing w:before="0" w:after="0" w:line="240" w:lineRule="auto"/>
      </w:pPr>
      <w:rPr>
        <w:b/>
        <w:bCs/>
        <w:color w:val="FFFFFF" w:themeColor="background1"/>
      </w:rPr>
      <w:tblPr/>
      <w:trPr>
        <w:hidden/>
      </w:trPr>
      <w:tcPr>
        <w:shd w:val="clear" w:color="auto" w:fill="2F002F" w:themeFill="accent1"/>
      </w:tcPr>
    </w:tblStylePr>
    <w:tblStylePr w:type="lastRow">
      <w:pPr>
        <w:spacing w:before="0" w:after="0" w:line="240" w:lineRule="auto"/>
      </w:pPr>
      <w:rPr>
        <w:b/>
        <w:bCs/>
      </w:rPr>
      <w:tblPr/>
      <w:trPr>
        <w:hidden/>
      </w:tr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rPr>
      <w:hidden/>
    </w:trPr>
    <w:tblStylePr w:type="firstRow">
      <w:pPr>
        <w:spacing w:before="0" w:after="0" w:line="240" w:lineRule="auto"/>
      </w:pPr>
      <w:rPr>
        <w:b/>
        <w:bCs/>
        <w:color w:val="FFFFFF" w:themeColor="background1"/>
      </w:rPr>
      <w:tblPr/>
      <w:trPr>
        <w:hidden/>
      </w:trPr>
      <w:tcPr>
        <w:shd w:val="clear" w:color="auto" w:fill="002060" w:themeFill="accent3"/>
      </w:tcPr>
    </w:tblStylePr>
    <w:tblStylePr w:type="lastRow">
      <w:pPr>
        <w:spacing w:before="0" w:after="0" w:line="240" w:lineRule="auto"/>
      </w:pPr>
      <w:rPr>
        <w:b/>
        <w:bCs/>
      </w:rPr>
      <w:tblPr/>
      <w:trPr>
        <w:hidden/>
      </w:tr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rPr>
        <w:hidden/>
      </w:tr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rPr>
      <w:hidden/>
    </w:trPr>
    <w:tblStylePr w:type="firstRow">
      <w:pPr>
        <w:spacing w:before="0" w:after="0" w:line="240" w:lineRule="auto"/>
      </w:pPr>
      <w:rPr>
        <w:b/>
        <w:bCs/>
        <w:color w:val="auto"/>
      </w:rPr>
      <w:tblPr/>
      <w:trPr>
        <w:hidden/>
      </w:trPr>
      <w:tcPr>
        <w:shd w:val="clear" w:color="auto" w:fill="000000" w:themeFill="accent5"/>
      </w:tcPr>
    </w:tblStylePr>
    <w:tblStylePr w:type="lastRow">
      <w:pPr>
        <w:spacing w:before="0" w:after="0" w:line="240" w:lineRule="auto"/>
      </w:pPr>
      <w:rPr>
        <w:b/>
        <w:bCs/>
      </w:rPr>
      <w:tblPr/>
      <w:trPr>
        <w:hidden/>
      </w:tr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rPr>
      <w:hidden/>
    </w:trPr>
    <w:tblStylePr w:type="firstRow">
      <w:pPr>
        <w:spacing w:before="0" w:after="0" w:line="240" w:lineRule="auto"/>
      </w:pPr>
      <w:rPr>
        <w:b/>
        <w:bCs/>
      </w:rPr>
      <w:tblPr/>
      <w:trPr>
        <w:hidden/>
      </w:tr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rPr>
        <w:hidden/>
      </w:tr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FB0B0" w:themeFill="accent4" w:themeFillTint="3F"/>
      </w:tcPr>
    </w:tblStylePr>
    <w:tblStylePr w:type="band1Horz">
      <w:tblPr/>
      <w:trPr>
        <w:hidden/>
      </w:tr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rPr>
      <w:hidden/>
    </w:trPr>
    <w:tblStylePr w:type="firstRow">
      <w:pPr>
        <w:spacing w:before="0" w:after="0" w:line="240" w:lineRule="auto"/>
      </w:pPr>
      <w:rPr>
        <w:b/>
        <w:bCs/>
      </w:rPr>
      <w:tblPr/>
      <w:trPr>
        <w:hidden/>
      </w:tr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rPr>
        <w:hidden/>
      </w:tr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5C2C8" w:themeFill="accent6" w:themeFillTint="3F"/>
      </w:tcPr>
    </w:tblStylePr>
    <w:tblStylePr w:type="band1Horz">
      <w:tblPr/>
      <w:trPr>
        <w:hidden/>
      </w:tr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rPr>
      <w:hidden/>
    </w:tr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rPr>
        <w:hidden/>
      </w:tr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rPr>
        <w:hidden/>
      </w:tr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rPr>
      <w:hidden/>
    </w:trPr>
    <w:tblStylePr w:type="firstRow">
      <w:pPr>
        <w:spacing w:before="0" w:after="0" w:line="240" w:lineRule="auto"/>
      </w:pPr>
      <w:rPr>
        <w:b/>
        <w:bCs/>
        <w:color w:val="FFFFFF" w:themeColor="background1"/>
      </w:rPr>
      <w:tblPr/>
      <w:trPr>
        <w:hidden/>
      </w:trPr>
      <w:tcPr>
        <w:shd w:val="clear" w:color="auto" w:fill="C14E00" w:themeFill="accent2"/>
      </w:tcPr>
    </w:tblStylePr>
    <w:tblStylePr w:type="lastRow">
      <w:pPr>
        <w:spacing w:before="0" w:after="0" w:line="240" w:lineRule="auto"/>
      </w:pPr>
      <w:rPr>
        <w:b/>
        <w:bCs/>
      </w:rPr>
      <w:tblPr/>
      <w:trPr>
        <w:hidden/>
      </w:tr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rPr>
      <w:hidden/>
    </w:trPr>
    <w:tblStylePr w:type="firstRow">
      <w:pPr>
        <w:spacing w:before="0" w:after="0" w:line="240" w:lineRule="auto"/>
      </w:pPr>
      <w:rPr>
        <w:b/>
        <w:bCs/>
        <w:color w:val="FFFFFF" w:themeColor="background1"/>
      </w:rPr>
      <w:tblPr/>
      <w:trPr>
        <w:hidden/>
      </w:trPr>
      <w:tcPr>
        <w:shd w:val="clear" w:color="auto" w:fill="C00000" w:themeFill="accent4"/>
      </w:tcPr>
    </w:tblStylePr>
    <w:tblStylePr w:type="lastRow">
      <w:pPr>
        <w:spacing w:before="0" w:after="0" w:line="240" w:lineRule="auto"/>
      </w:pPr>
      <w:rPr>
        <w:b/>
        <w:bCs/>
      </w:rPr>
      <w:tblPr/>
      <w:trPr>
        <w:hidden/>
      </w:tr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rPr>
      <w:hidden/>
    </w:trPr>
    <w:tblStylePr w:type="firstRow">
      <w:pPr>
        <w:spacing w:before="0" w:after="0" w:line="240" w:lineRule="auto"/>
      </w:pPr>
      <w:rPr>
        <w:b/>
        <w:bCs/>
        <w:color w:val="FFFFFF" w:themeColor="background1"/>
      </w:rPr>
      <w:tblPr/>
      <w:trPr>
        <w:hidden/>
      </w:trPr>
      <w:tcPr>
        <w:shd w:val="clear" w:color="auto" w:fill="70303C" w:themeFill="accent6"/>
      </w:tcPr>
    </w:tblStylePr>
    <w:tblStylePr w:type="lastRow">
      <w:pPr>
        <w:spacing w:before="0" w:after="0" w:line="240" w:lineRule="auto"/>
      </w:pPr>
      <w:rPr>
        <w:b/>
        <w:bCs/>
      </w:rPr>
      <w:tblPr/>
      <w:trPr>
        <w:hidden/>
      </w:tr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rPr>
        <w:hidden/>
      </w:tr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rPr>
        <w:hidden/>
      </w:tr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rPr>
        <w:hidden/>
      </w:tr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rPr>
        <w:hidden/>
      </w:tr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rPr>
        <w:hidden/>
      </w:tr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rPr>
        <w:hidden/>
      </w:tr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rPr>
      <w:hidden/>
    </w:tr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rPr>
      <w:hidden/>
    </w:trPr>
    <w:tblStylePr w:type="firstRow">
      <w:pPr>
        <w:wordWrap/>
        <w:spacing w:beforeLines="0" w:before="240" w:beforeAutospacing="0" w:afterLines="0" w:after="120" w:afterAutospacing="0"/>
      </w:pPr>
      <w:rPr>
        <w:rFonts w:ascii="Arial" w:hAnsi="Arial"/>
        <w:b/>
        <w:color w:val="FFFFFF" w:themeColor="background1"/>
        <w:sz w:val="24"/>
      </w:rPr>
      <w:tblPr/>
      <w:trPr>
        <w:hidden/>
      </w:trPr>
      <w:tcPr>
        <w:shd w:val="clear" w:color="auto" w:fill="076A92"/>
      </w:tcPr>
    </w:tblStylePr>
    <w:tblStylePr w:type="band2Horz">
      <w:rPr>
        <w:rFonts w:ascii="Arial" w:hAnsi="Arial"/>
        <w:sz w:val="20"/>
      </w:rPr>
      <w:tblPr/>
      <w:trPr>
        <w:hidden/>
      </w:tr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rPr>
      <w:hidden/>
    </w:trPr>
    <w:tcPr>
      <w:vAlign w:val="center"/>
    </w:tcPr>
    <w:tblStylePr w:type="firstRow">
      <w:rPr>
        <w:b/>
        <w:color w:val="FFFFFF"/>
      </w:rPr>
      <w:tblPr/>
      <w:trPr>
        <w:hidden/>
      </w:trPr>
      <w:tcPr>
        <w:shd w:val="clear" w:color="auto" w:fill="365F91"/>
      </w:tcPr>
    </w:tblStylePr>
    <w:tblStylePr w:type="band2Horz">
      <w:tblPr/>
      <w:trPr>
        <w:hidden/>
      </w:tr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rPr>
      <w:hidden/>
    </w:trPr>
    <w:tcPr>
      <w:vAlign w:val="center"/>
    </w:tcPr>
    <w:tblStylePr w:type="firstRow">
      <w:rPr>
        <w:b/>
        <w:color w:val="FFFFFF"/>
      </w:rPr>
      <w:tblPr/>
      <w:trPr>
        <w:hidden/>
      </w:trPr>
      <w:tcPr>
        <w:shd w:val="clear" w:color="auto" w:fill="365F91"/>
      </w:tcPr>
    </w:tblStylePr>
    <w:tblStylePr w:type="firstCol">
      <w:pPr>
        <w:jc w:val="left"/>
      </w:pPr>
    </w:tblStylePr>
    <w:tblStylePr w:type="band2Horz">
      <w:tblPr/>
      <w:trPr>
        <w:hidden/>
      </w:tr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rPr>
      <w:hidden/>
    </w:trPr>
    <w:tcPr>
      <w:vAlign w:val="center"/>
    </w:tcPr>
    <w:tblStylePr w:type="firstRow">
      <w:rPr>
        <w:b/>
        <w:color w:val="FFFFFF"/>
      </w:rPr>
      <w:tblPr/>
      <w:trPr>
        <w:hidden/>
      </w:trPr>
      <w:tcPr>
        <w:shd w:val="clear" w:color="auto" w:fill="365F91"/>
      </w:tcPr>
    </w:tblStylePr>
    <w:tblStylePr w:type="band2Horz">
      <w:tblPr/>
      <w:trPr>
        <w:hidden/>
      </w:tr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styleId="HTMLCite">
    <w:name w:val="HTML Cite"/>
    <w:basedOn w:val="DefaultParagraphFont"/>
    <w:uiPriority w:val="99"/>
    <w:semiHidden/>
    <w:unhideWhenUsed/>
    <w:rsid w:val="002E6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9501">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19027608">
      <w:bodyDiv w:val="1"/>
      <w:marLeft w:val="0"/>
      <w:marRight w:val="0"/>
      <w:marTop w:val="0"/>
      <w:marBottom w:val="0"/>
      <w:divBdr>
        <w:top w:val="none" w:sz="0" w:space="0" w:color="auto"/>
        <w:left w:val="none" w:sz="0" w:space="0" w:color="auto"/>
        <w:bottom w:val="none" w:sz="0" w:space="0" w:color="auto"/>
        <w:right w:val="none" w:sz="0" w:space="0" w:color="auto"/>
      </w:divBdr>
      <w:divsChild>
        <w:div w:id="1861966150">
          <w:marLeft w:val="0"/>
          <w:marRight w:val="0"/>
          <w:marTop w:val="0"/>
          <w:marBottom w:val="0"/>
          <w:divBdr>
            <w:top w:val="none" w:sz="0" w:space="0" w:color="auto"/>
            <w:left w:val="none" w:sz="0" w:space="0" w:color="auto"/>
            <w:bottom w:val="none" w:sz="0" w:space="0" w:color="auto"/>
            <w:right w:val="none" w:sz="0" w:space="0" w:color="auto"/>
          </w:divBdr>
          <w:divsChild>
            <w:div w:id="477457915">
              <w:marLeft w:val="0"/>
              <w:marRight w:val="0"/>
              <w:marTop w:val="0"/>
              <w:marBottom w:val="0"/>
              <w:divBdr>
                <w:top w:val="none" w:sz="0" w:space="0" w:color="auto"/>
                <w:left w:val="none" w:sz="0" w:space="0" w:color="auto"/>
                <w:bottom w:val="none" w:sz="0" w:space="0" w:color="auto"/>
                <w:right w:val="none" w:sz="0" w:space="0" w:color="auto"/>
              </w:divBdr>
              <w:divsChild>
                <w:div w:id="292292332">
                  <w:marLeft w:val="0"/>
                  <w:marRight w:val="0"/>
                  <w:marTop w:val="0"/>
                  <w:marBottom w:val="0"/>
                  <w:divBdr>
                    <w:top w:val="none" w:sz="0" w:space="0" w:color="auto"/>
                    <w:left w:val="none" w:sz="0" w:space="0" w:color="auto"/>
                    <w:bottom w:val="none" w:sz="0" w:space="0" w:color="auto"/>
                    <w:right w:val="none" w:sz="0" w:space="0" w:color="auto"/>
                  </w:divBdr>
                  <w:divsChild>
                    <w:div w:id="565916689">
                      <w:marLeft w:val="0"/>
                      <w:marRight w:val="0"/>
                      <w:marTop w:val="45"/>
                      <w:marBottom w:val="0"/>
                      <w:divBdr>
                        <w:top w:val="none" w:sz="0" w:space="0" w:color="auto"/>
                        <w:left w:val="none" w:sz="0" w:space="0" w:color="auto"/>
                        <w:bottom w:val="none" w:sz="0" w:space="0" w:color="auto"/>
                        <w:right w:val="none" w:sz="0" w:space="0" w:color="auto"/>
                      </w:divBdr>
                      <w:divsChild>
                        <w:div w:id="879518237">
                          <w:marLeft w:val="0"/>
                          <w:marRight w:val="0"/>
                          <w:marTop w:val="0"/>
                          <w:marBottom w:val="0"/>
                          <w:divBdr>
                            <w:top w:val="none" w:sz="0" w:space="0" w:color="auto"/>
                            <w:left w:val="none" w:sz="0" w:space="0" w:color="auto"/>
                            <w:bottom w:val="none" w:sz="0" w:space="0" w:color="auto"/>
                            <w:right w:val="none" w:sz="0" w:space="0" w:color="auto"/>
                          </w:divBdr>
                          <w:divsChild>
                            <w:div w:id="900209751">
                              <w:marLeft w:val="2070"/>
                              <w:marRight w:val="3810"/>
                              <w:marTop w:val="0"/>
                              <w:marBottom w:val="0"/>
                              <w:divBdr>
                                <w:top w:val="none" w:sz="0" w:space="0" w:color="auto"/>
                                <w:left w:val="none" w:sz="0" w:space="0" w:color="auto"/>
                                <w:bottom w:val="none" w:sz="0" w:space="0" w:color="auto"/>
                                <w:right w:val="none" w:sz="0" w:space="0" w:color="auto"/>
                              </w:divBdr>
                              <w:divsChild>
                                <w:div w:id="900865791">
                                  <w:marLeft w:val="0"/>
                                  <w:marRight w:val="0"/>
                                  <w:marTop w:val="0"/>
                                  <w:marBottom w:val="0"/>
                                  <w:divBdr>
                                    <w:top w:val="none" w:sz="0" w:space="0" w:color="auto"/>
                                    <w:left w:val="none" w:sz="0" w:space="0" w:color="auto"/>
                                    <w:bottom w:val="none" w:sz="0" w:space="0" w:color="auto"/>
                                    <w:right w:val="none" w:sz="0" w:space="0" w:color="auto"/>
                                  </w:divBdr>
                                  <w:divsChild>
                                    <w:div w:id="1540514240">
                                      <w:marLeft w:val="0"/>
                                      <w:marRight w:val="0"/>
                                      <w:marTop w:val="0"/>
                                      <w:marBottom w:val="0"/>
                                      <w:divBdr>
                                        <w:top w:val="none" w:sz="0" w:space="0" w:color="auto"/>
                                        <w:left w:val="none" w:sz="0" w:space="0" w:color="auto"/>
                                        <w:bottom w:val="none" w:sz="0" w:space="0" w:color="auto"/>
                                        <w:right w:val="none" w:sz="0" w:space="0" w:color="auto"/>
                                      </w:divBdr>
                                      <w:divsChild>
                                        <w:div w:id="590893054">
                                          <w:marLeft w:val="0"/>
                                          <w:marRight w:val="0"/>
                                          <w:marTop w:val="0"/>
                                          <w:marBottom w:val="0"/>
                                          <w:divBdr>
                                            <w:top w:val="none" w:sz="0" w:space="0" w:color="auto"/>
                                            <w:left w:val="none" w:sz="0" w:space="0" w:color="auto"/>
                                            <w:bottom w:val="none" w:sz="0" w:space="0" w:color="auto"/>
                                            <w:right w:val="none" w:sz="0" w:space="0" w:color="auto"/>
                                          </w:divBdr>
                                          <w:divsChild>
                                            <w:div w:id="97991261">
                                              <w:marLeft w:val="0"/>
                                              <w:marRight w:val="0"/>
                                              <w:marTop w:val="0"/>
                                              <w:marBottom w:val="0"/>
                                              <w:divBdr>
                                                <w:top w:val="none" w:sz="0" w:space="0" w:color="auto"/>
                                                <w:left w:val="none" w:sz="0" w:space="0" w:color="auto"/>
                                                <w:bottom w:val="none" w:sz="0" w:space="0" w:color="auto"/>
                                                <w:right w:val="none" w:sz="0" w:space="0" w:color="auto"/>
                                              </w:divBdr>
                                              <w:divsChild>
                                                <w:div w:id="1352418222">
                                                  <w:marLeft w:val="0"/>
                                                  <w:marRight w:val="0"/>
                                                  <w:marTop w:val="0"/>
                                                  <w:marBottom w:val="0"/>
                                                  <w:divBdr>
                                                    <w:top w:val="none" w:sz="0" w:space="0" w:color="auto"/>
                                                    <w:left w:val="none" w:sz="0" w:space="0" w:color="auto"/>
                                                    <w:bottom w:val="none" w:sz="0" w:space="0" w:color="auto"/>
                                                    <w:right w:val="none" w:sz="0" w:space="0" w:color="auto"/>
                                                  </w:divBdr>
                                                  <w:divsChild>
                                                    <w:div w:id="1363746073">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345"/>
                                                          <w:divBdr>
                                                            <w:top w:val="none" w:sz="0" w:space="0" w:color="auto"/>
                                                            <w:left w:val="none" w:sz="0" w:space="0" w:color="auto"/>
                                                            <w:bottom w:val="none" w:sz="0" w:space="0" w:color="auto"/>
                                                            <w:right w:val="none" w:sz="0" w:space="0" w:color="auto"/>
                                                          </w:divBdr>
                                                          <w:divsChild>
                                                            <w:div w:id="1135218423">
                                                              <w:marLeft w:val="0"/>
                                                              <w:marRight w:val="0"/>
                                                              <w:marTop w:val="0"/>
                                                              <w:marBottom w:val="0"/>
                                                              <w:divBdr>
                                                                <w:top w:val="none" w:sz="0" w:space="0" w:color="auto"/>
                                                                <w:left w:val="none" w:sz="0" w:space="0" w:color="auto"/>
                                                                <w:bottom w:val="none" w:sz="0" w:space="0" w:color="auto"/>
                                                                <w:right w:val="none" w:sz="0" w:space="0" w:color="auto"/>
                                                              </w:divBdr>
                                                              <w:divsChild>
                                                                <w:div w:id="388112271">
                                                                  <w:marLeft w:val="0"/>
                                                                  <w:marRight w:val="0"/>
                                                                  <w:marTop w:val="0"/>
                                                                  <w:marBottom w:val="0"/>
                                                                  <w:divBdr>
                                                                    <w:top w:val="none" w:sz="0" w:space="0" w:color="auto"/>
                                                                    <w:left w:val="none" w:sz="0" w:space="0" w:color="auto"/>
                                                                    <w:bottom w:val="none" w:sz="0" w:space="0" w:color="auto"/>
                                                                    <w:right w:val="none" w:sz="0" w:space="0" w:color="auto"/>
                                                                  </w:divBdr>
                                                                  <w:divsChild>
                                                                    <w:div w:id="302927431">
                                                                      <w:marLeft w:val="0"/>
                                                                      <w:marRight w:val="0"/>
                                                                      <w:marTop w:val="0"/>
                                                                      <w:marBottom w:val="0"/>
                                                                      <w:divBdr>
                                                                        <w:top w:val="none" w:sz="0" w:space="0" w:color="auto"/>
                                                                        <w:left w:val="none" w:sz="0" w:space="0" w:color="auto"/>
                                                                        <w:bottom w:val="none" w:sz="0" w:space="0" w:color="auto"/>
                                                                        <w:right w:val="none" w:sz="0" w:space="0" w:color="auto"/>
                                                                      </w:divBdr>
                                                                      <w:divsChild>
                                                                        <w:div w:id="1435511808">
                                                                          <w:marLeft w:val="0"/>
                                                                          <w:marRight w:val="0"/>
                                                                          <w:marTop w:val="0"/>
                                                                          <w:marBottom w:val="0"/>
                                                                          <w:divBdr>
                                                                            <w:top w:val="none" w:sz="0" w:space="0" w:color="auto"/>
                                                                            <w:left w:val="none" w:sz="0" w:space="0" w:color="auto"/>
                                                                            <w:bottom w:val="none" w:sz="0" w:space="0" w:color="auto"/>
                                                                            <w:right w:val="none" w:sz="0" w:space="0" w:color="auto"/>
                                                                          </w:divBdr>
                                                                          <w:divsChild>
                                                                            <w:div w:id="1276205805">
                                                                              <w:marLeft w:val="0"/>
                                                                              <w:marRight w:val="0"/>
                                                                              <w:marTop w:val="0"/>
                                                                              <w:marBottom w:val="0"/>
                                                                              <w:divBdr>
                                                                                <w:top w:val="none" w:sz="0" w:space="0" w:color="auto"/>
                                                                                <w:left w:val="none" w:sz="0" w:space="0" w:color="auto"/>
                                                                                <w:bottom w:val="none" w:sz="0" w:space="0" w:color="auto"/>
                                                                                <w:right w:val="none" w:sz="0" w:space="0" w:color="auto"/>
                                                                              </w:divBdr>
                                                                              <w:divsChild>
                                                                                <w:div w:id="15042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DA46F791.dotm</Template>
  <TotalTime>0</TotalTime>
  <Pages>29</Pages>
  <Words>8352</Words>
  <Characters>47613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AER draft decision - Powerlink - Attachment 7 - Operating expenditure</vt:lpstr>
    </vt:vector>
  </TitlesOfParts>
  <LinksUpToDate>false</LinksUpToDate>
  <CharactersWithSpaces>55854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Attachment 7 - Operating expenditure</dc:title>
  <dc:creator/>
  <cp:lastModifiedBy/>
  <cp:revision>1</cp:revision>
  <dcterms:created xsi:type="dcterms:W3CDTF">2016-09-27T23:32:00Z</dcterms:created>
  <dcterms:modified xsi:type="dcterms:W3CDTF">2016-09-27T23:32:00Z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powerlink transmission determination - attachment 7 - operating expenditure - september 2016 (D2015-00169087).docx</vt:lpwstr>
  </property>
</Properties>
</file>