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AE87B72" wp14:editId="63D48F01">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C7EFF9A" wp14:editId="5F209E32">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2021</w:t>
          </w:r>
          <w:r>
            <w:rPr>
              <w:rFonts w:cs="Arial"/>
            </w:rPr>
            <w:t>−</w:t>
          </w:r>
          <w:r w:rsidR="000474DF">
            <w:t>22</w:t>
          </w:r>
        </w:p>
        <w:p w:rsidR="008F07A3" w:rsidRPr="000A6C7B" w:rsidRDefault="008F07A3" w:rsidP="008F07A3">
          <w:pPr>
            <w:pStyle w:val="ReportSubtitle"/>
          </w:pPr>
        </w:p>
        <w:p w:rsidR="000A6C7B" w:rsidRDefault="0037699E" w:rsidP="008F07A3">
          <w:pPr>
            <w:pStyle w:val="ReportSubtitle"/>
          </w:pPr>
          <w:r>
            <w:t>Attachment 9</w:t>
          </w:r>
          <w:r w:rsidR="000474DF">
            <w:t xml:space="preserve"> </w:t>
          </w:r>
          <w:r w:rsidR="00185BA5">
            <w:t>–</w:t>
          </w:r>
          <w:r w:rsidR="000474DF">
            <w:t xml:space="preserve"> </w:t>
          </w:r>
          <w:r>
            <w:t>Efficiency benefit</w:t>
          </w:r>
          <w:r w:rsidR="00185BA5">
            <w:t xml:space="preserve"> sharing scheme</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D75C87">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2623"/>
      <w:r>
        <w:lastRenderedPageBreak/>
        <w:t>Note</w:t>
      </w:r>
      <w:bookmarkEnd w:id="2"/>
      <w:bookmarkEnd w:id="3"/>
      <w:bookmarkEnd w:id="4"/>
    </w:p>
    <w:p w:rsidR="00761454" w:rsidRDefault="00761454" w:rsidP="00761454">
      <w:pPr>
        <w:numPr>
          <w:ilvl w:val="0"/>
          <w:numId w:val="24"/>
        </w:numPr>
      </w:pPr>
      <w:r>
        <w:t xml:space="preserve">This </w:t>
      </w:r>
      <w:r w:rsidR="00DC2E91">
        <w:t xml:space="preserve">attachment </w:t>
      </w:r>
      <w:r>
        <w:t xml:space="preserve">forms part of the AER's </w:t>
      </w:r>
      <w:r w:rsidR="000474DF">
        <w:t xml:space="preserve">draft </w:t>
      </w:r>
      <w:r>
        <w:t xml:space="preserve">decision on </w:t>
      </w:r>
      <w:r w:rsidR="000474DF">
        <w:t>Powerlink's</w:t>
      </w:r>
      <w:r>
        <w:t xml:space="preserve"> transmission determination for 201</w:t>
      </w:r>
      <w:r w:rsidR="000474DF">
        <w:t>7</w:t>
      </w:r>
      <w:r w:rsidRPr="00F02D30">
        <w:t>–</w:t>
      </w:r>
      <w:r w:rsidR="000474DF">
        <w:t>22</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Attachment 1 – M</w:t>
      </w:r>
      <w:r w:rsidR="00761454">
        <w:t>aximum allowed revenue</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0474DF">
        <w:t>P</w:t>
      </w:r>
      <w:r w:rsidRPr="00F02D30">
        <w:t>ricing methodology</w:t>
      </w:r>
    </w:p>
    <w:p w:rsidR="00761454" w:rsidRPr="00F02D30" w:rsidRDefault="00761454" w:rsidP="00761454">
      <w:pPr>
        <w:numPr>
          <w:ilvl w:val="0"/>
          <w:numId w:val="24"/>
        </w:numPr>
      </w:pPr>
      <w:r>
        <w:t xml:space="preserve">Attachment 13 </w:t>
      </w:r>
      <w:r w:rsidR="000474DF">
        <w:t>– P</w:t>
      </w:r>
      <w:r w:rsidRPr="00F02D30">
        <w:t>ass through events</w:t>
      </w:r>
    </w:p>
    <w:p w:rsidR="00761454" w:rsidRPr="00F02D30" w:rsidRDefault="00761454" w:rsidP="00761454">
      <w:pPr>
        <w:numPr>
          <w:ilvl w:val="0"/>
          <w:numId w:val="24"/>
        </w:numPr>
      </w:pPr>
      <w:r>
        <w:t xml:space="preserve">Attachment 14 </w:t>
      </w:r>
      <w:r w:rsidR="000474DF">
        <w:t>– N</w:t>
      </w:r>
      <w:r w:rsidRPr="00F02D30">
        <w:t>egotiated services</w:t>
      </w: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default" r:id="rId12"/>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2624"/>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61082A"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2623" w:history="1">
            <w:r w:rsidR="0061082A" w:rsidRPr="00E654E8">
              <w:rPr>
                <w:rStyle w:val="Hyperlink"/>
              </w:rPr>
              <w:t>Note</w:t>
            </w:r>
            <w:r w:rsidR="0061082A">
              <w:rPr>
                <w:webHidden/>
              </w:rPr>
              <w:tab/>
            </w:r>
            <w:r w:rsidR="0061082A">
              <w:rPr>
                <w:webHidden/>
              </w:rPr>
              <w:fldChar w:fldCharType="begin"/>
            </w:r>
            <w:r w:rsidR="0061082A">
              <w:rPr>
                <w:webHidden/>
              </w:rPr>
              <w:instrText xml:space="preserve"> PAGEREF _Toc462752623 \h </w:instrText>
            </w:r>
            <w:r w:rsidR="0061082A">
              <w:rPr>
                <w:webHidden/>
              </w:rPr>
            </w:r>
            <w:r w:rsidR="0061082A">
              <w:rPr>
                <w:webHidden/>
              </w:rPr>
              <w:fldChar w:fldCharType="separate"/>
            </w:r>
            <w:r w:rsidR="0061082A">
              <w:rPr>
                <w:webHidden/>
              </w:rPr>
              <w:t>9-2</w:t>
            </w:r>
            <w:r w:rsidR="0061082A">
              <w:rPr>
                <w:webHidden/>
              </w:rPr>
              <w:fldChar w:fldCharType="end"/>
            </w:r>
          </w:hyperlink>
        </w:p>
        <w:p w:rsidR="0061082A" w:rsidRDefault="0061082A">
          <w:pPr>
            <w:pStyle w:val="TOC1"/>
            <w:rPr>
              <w:rFonts w:asciiTheme="minorHAnsi" w:eastAsiaTheme="minorEastAsia" w:hAnsiTheme="minorHAnsi"/>
              <w:b w:val="0"/>
              <w:color w:val="auto"/>
              <w:sz w:val="22"/>
              <w:lang w:val="en-AU" w:eastAsia="en-AU"/>
            </w:rPr>
          </w:pPr>
          <w:hyperlink w:anchor="_Toc462752624" w:history="1">
            <w:r w:rsidRPr="00E654E8">
              <w:rPr>
                <w:rStyle w:val="Hyperlink"/>
              </w:rPr>
              <w:t>Contents</w:t>
            </w:r>
            <w:r>
              <w:rPr>
                <w:webHidden/>
              </w:rPr>
              <w:tab/>
            </w:r>
            <w:r>
              <w:rPr>
                <w:webHidden/>
              </w:rPr>
              <w:fldChar w:fldCharType="begin"/>
            </w:r>
            <w:r>
              <w:rPr>
                <w:webHidden/>
              </w:rPr>
              <w:instrText xml:space="preserve"> PAGEREF _Toc462752624 \h </w:instrText>
            </w:r>
            <w:r>
              <w:rPr>
                <w:webHidden/>
              </w:rPr>
            </w:r>
            <w:r>
              <w:rPr>
                <w:webHidden/>
              </w:rPr>
              <w:fldChar w:fldCharType="separate"/>
            </w:r>
            <w:r>
              <w:rPr>
                <w:webHidden/>
              </w:rPr>
              <w:t>9-3</w:t>
            </w:r>
            <w:r>
              <w:rPr>
                <w:webHidden/>
              </w:rPr>
              <w:fldChar w:fldCharType="end"/>
            </w:r>
          </w:hyperlink>
        </w:p>
        <w:p w:rsidR="0061082A" w:rsidRDefault="0061082A">
          <w:pPr>
            <w:pStyle w:val="TOC1"/>
            <w:rPr>
              <w:rFonts w:asciiTheme="minorHAnsi" w:eastAsiaTheme="minorEastAsia" w:hAnsiTheme="minorHAnsi"/>
              <w:b w:val="0"/>
              <w:color w:val="auto"/>
              <w:sz w:val="22"/>
              <w:lang w:val="en-AU" w:eastAsia="en-AU"/>
            </w:rPr>
          </w:pPr>
          <w:hyperlink w:anchor="_Toc462752625" w:history="1">
            <w:r w:rsidRPr="00E654E8">
              <w:rPr>
                <w:rStyle w:val="Hyperlink"/>
              </w:rPr>
              <w:t>Shortened forms</w:t>
            </w:r>
            <w:r>
              <w:rPr>
                <w:webHidden/>
              </w:rPr>
              <w:tab/>
            </w:r>
            <w:r>
              <w:rPr>
                <w:webHidden/>
              </w:rPr>
              <w:fldChar w:fldCharType="begin"/>
            </w:r>
            <w:r>
              <w:rPr>
                <w:webHidden/>
              </w:rPr>
              <w:instrText xml:space="preserve"> PAGEREF _Toc462752625 \h </w:instrText>
            </w:r>
            <w:r>
              <w:rPr>
                <w:webHidden/>
              </w:rPr>
            </w:r>
            <w:r>
              <w:rPr>
                <w:webHidden/>
              </w:rPr>
              <w:fldChar w:fldCharType="separate"/>
            </w:r>
            <w:r>
              <w:rPr>
                <w:webHidden/>
              </w:rPr>
              <w:t>9-4</w:t>
            </w:r>
            <w:r>
              <w:rPr>
                <w:webHidden/>
              </w:rPr>
              <w:fldChar w:fldCharType="end"/>
            </w:r>
          </w:hyperlink>
        </w:p>
        <w:p w:rsidR="0061082A" w:rsidRDefault="0061082A">
          <w:pPr>
            <w:pStyle w:val="TOC1"/>
            <w:rPr>
              <w:rFonts w:asciiTheme="minorHAnsi" w:eastAsiaTheme="minorEastAsia" w:hAnsiTheme="minorHAnsi"/>
              <w:b w:val="0"/>
              <w:color w:val="auto"/>
              <w:sz w:val="22"/>
              <w:lang w:val="en-AU" w:eastAsia="en-AU"/>
            </w:rPr>
          </w:pPr>
          <w:hyperlink w:anchor="_Toc462752626" w:history="1">
            <w:r w:rsidRPr="00E654E8">
              <w:rPr>
                <w:rStyle w:val="Hyperlink"/>
              </w:rPr>
              <w:t>9</w:t>
            </w:r>
            <w:r>
              <w:rPr>
                <w:rFonts w:asciiTheme="minorHAnsi" w:eastAsiaTheme="minorEastAsia" w:hAnsiTheme="minorHAnsi"/>
                <w:b w:val="0"/>
                <w:color w:val="auto"/>
                <w:sz w:val="22"/>
                <w:lang w:val="en-AU" w:eastAsia="en-AU"/>
              </w:rPr>
              <w:tab/>
            </w:r>
            <w:r w:rsidRPr="00E654E8">
              <w:rPr>
                <w:rStyle w:val="Hyperlink"/>
              </w:rPr>
              <w:t>Efficiency benefit sharing scheme</w:t>
            </w:r>
            <w:r>
              <w:rPr>
                <w:webHidden/>
              </w:rPr>
              <w:tab/>
            </w:r>
            <w:r>
              <w:rPr>
                <w:webHidden/>
              </w:rPr>
              <w:fldChar w:fldCharType="begin"/>
            </w:r>
            <w:r>
              <w:rPr>
                <w:webHidden/>
              </w:rPr>
              <w:instrText xml:space="preserve"> PAGEREF _Toc462752626 \h </w:instrText>
            </w:r>
            <w:r>
              <w:rPr>
                <w:webHidden/>
              </w:rPr>
            </w:r>
            <w:r>
              <w:rPr>
                <w:webHidden/>
              </w:rPr>
              <w:fldChar w:fldCharType="separate"/>
            </w:r>
            <w:r>
              <w:rPr>
                <w:webHidden/>
              </w:rPr>
              <w:t>9-6</w:t>
            </w:r>
            <w:r>
              <w:rPr>
                <w:webHidden/>
              </w:rPr>
              <w:fldChar w:fldCharType="end"/>
            </w:r>
          </w:hyperlink>
        </w:p>
        <w:p w:rsidR="0061082A" w:rsidRDefault="0061082A">
          <w:pPr>
            <w:pStyle w:val="TOC2"/>
            <w:rPr>
              <w:rFonts w:asciiTheme="minorHAnsi" w:eastAsiaTheme="minorEastAsia" w:hAnsiTheme="minorHAnsi"/>
              <w:b w:val="0"/>
              <w:color w:val="auto"/>
              <w:sz w:val="22"/>
              <w:lang w:eastAsia="en-AU"/>
            </w:rPr>
          </w:pPr>
          <w:hyperlink w:anchor="_Toc462752627" w:history="1">
            <w:r w:rsidRPr="00E654E8">
              <w:rPr>
                <w:rStyle w:val="Hyperlink"/>
              </w:rPr>
              <w:t>9.1</w:t>
            </w:r>
            <w:r>
              <w:rPr>
                <w:rFonts w:asciiTheme="minorHAnsi" w:eastAsiaTheme="minorEastAsia" w:hAnsiTheme="minorHAnsi"/>
                <w:b w:val="0"/>
                <w:color w:val="auto"/>
                <w:sz w:val="22"/>
                <w:lang w:eastAsia="en-AU"/>
              </w:rPr>
              <w:tab/>
            </w:r>
            <w:r w:rsidRPr="00E654E8">
              <w:rPr>
                <w:rStyle w:val="Hyperlink"/>
              </w:rPr>
              <w:t>Draft decision</w:t>
            </w:r>
            <w:r>
              <w:rPr>
                <w:webHidden/>
              </w:rPr>
              <w:tab/>
            </w:r>
            <w:r>
              <w:rPr>
                <w:webHidden/>
              </w:rPr>
              <w:fldChar w:fldCharType="begin"/>
            </w:r>
            <w:r>
              <w:rPr>
                <w:webHidden/>
              </w:rPr>
              <w:instrText xml:space="preserve"> PAGEREF _Toc462752627 \h </w:instrText>
            </w:r>
            <w:r>
              <w:rPr>
                <w:webHidden/>
              </w:rPr>
            </w:r>
            <w:r>
              <w:rPr>
                <w:webHidden/>
              </w:rPr>
              <w:fldChar w:fldCharType="separate"/>
            </w:r>
            <w:r>
              <w:rPr>
                <w:webHidden/>
              </w:rPr>
              <w:t>9-6</w:t>
            </w:r>
            <w:r>
              <w:rPr>
                <w:webHidden/>
              </w:rPr>
              <w:fldChar w:fldCharType="end"/>
            </w:r>
          </w:hyperlink>
        </w:p>
        <w:p w:rsidR="0061082A" w:rsidRDefault="0061082A">
          <w:pPr>
            <w:pStyle w:val="TOC2"/>
            <w:rPr>
              <w:rFonts w:asciiTheme="minorHAnsi" w:eastAsiaTheme="minorEastAsia" w:hAnsiTheme="minorHAnsi"/>
              <w:b w:val="0"/>
              <w:color w:val="auto"/>
              <w:sz w:val="22"/>
              <w:lang w:eastAsia="en-AU"/>
            </w:rPr>
          </w:pPr>
          <w:hyperlink w:anchor="_Toc462752628" w:history="1">
            <w:r w:rsidRPr="00E654E8">
              <w:rPr>
                <w:rStyle w:val="Hyperlink"/>
              </w:rPr>
              <w:t>9.2</w:t>
            </w:r>
            <w:r>
              <w:rPr>
                <w:rFonts w:asciiTheme="minorHAnsi" w:eastAsiaTheme="minorEastAsia" w:hAnsiTheme="minorHAnsi"/>
                <w:b w:val="0"/>
                <w:color w:val="auto"/>
                <w:sz w:val="22"/>
                <w:lang w:eastAsia="en-AU"/>
              </w:rPr>
              <w:tab/>
            </w:r>
            <w:r w:rsidRPr="00E654E8">
              <w:rPr>
                <w:rStyle w:val="Hyperlink"/>
              </w:rPr>
              <w:t>Powerlink’s proposal</w:t>
            </w:r>
            <w:r>
              <w:rPr>
                <w:webHidden/>
              </w:rPr>
              <w:tab/>
            </w:r>
            <w:r>
              <w:rPr>
                <w:webHidden/>
              </w:rPr>
              <w:fldChar w:fldCharType="begin"/>
            </w:r>
            <w:r>
              <w:rPr>
                <w:webHidden/>
              </w:rPr>
              <w:instrText xml:space="preserve"> PAGEREF _Toc462752628 \h </w:instrText>
            </w:r>
            <w:r>
              <w:rPr>
                <w:webHidden/>
              </w:rPr>
            </w:r>
            <w:r>
              <w:rPr>
                <w:webHidden/>
              </w:rPr>
              <w:fldChar w:fldCharType="separate"/>
            </w:r>
            <w:r>
              <w:rPr>
                <w:webHidden/>
              </w:rPr>
              <w:t>9-8</w:t>
            </w:r>
            <w:r>
              <w:rPr>
                <w:webHidden/>
              </w:rPr>
              <w:fldChar w:fldCharType="end"/>
            </w:r>
          </w:hyperlink>
        </w:p>
        <w:p w:rsidR="0061082A" w:rsidRDefault="0061082A">
          <w:pPr>
            <w:pStyle w:val="TOC3"/>
            <w:rPr>
              <w:rFonts w:asciiTheme="minorHAnsi" w:eastAsiaTheme="minorEastAsia" w:hAnsiTheme="minorHAnsi"/>
              <w:lang w:eastAsia="en-AU"/>
            </w:rPr>
          </w:pPr>
          <w:hyperlink w:anchor="_Toc462752629" w:history="1">
            <w:r w:rsidRPr="00E654E8">
              <w:rPr>
                <w:rStyle w:val="Hyperlink"/>
              </w:rPr>
              <w:t>9.2.1</w:t>
            </w:r>
            <w:r>
              <w:rPr>
                <w:rFonts w:asciiTheme="minorHAnsi" w:eastAsiaTheme="minorEastAsia" w:hAnsiTheme="minorHAnsi"/>
                <w:lang w:eastAsia="en-AU"/>
              </w:rPr>
              <w:tab/>
            </w:r>
            <w:r w:rsidRPr="00E654E8">
              <w:rPr>
                <w:rStyle w:val="Hyperlink"/>
              </w:rPr>
              <w:t>Carryover amounts from the 2012–17 regulatory control period</w:t>
            </w:r>
            <w:r>
              <w:rPr>
                <w:webHidden/>
              </w:rPr>
              <w:tab/>
            </w:r>
            <w:r>
              <w:rPr>
                <w:webHidden/>
              </w:rPr>
              <w:fldChar w:fldCharType="begin"/>
            </w:r>
            <w:r>
              <w:rPr>
                <w:webHidden/>
              </w:rPr>
              <w:instrText xml:space="preserve"> PAGEREF _Toc462752629 \h </w:instrText>
            </w:r>
            <w:r>
              <w:rPr>
                <w:webHidden/>
              </w:rPr>
            </w:r>
            <w:r>
              <w:rPr>
                <w:webHidden/>
              </w:rPr>
              <w:fldChar w:fldCharType="separate"/>
            </w:r>
            <w:r>
              <w:rPr>
                <w:webHidden/>
              </w:rPr>
              <w:t>9-8</w:t>
            </w:r>
            <w:r>
              <w:rPr>
                <w:webHidden/>
              </w:rPr>
              <w:fldChar w:fldCharType="end"/>
            </w:r>
          </w:hyperlink>
        </w:p>
        <w:p w:rsidR="0061082A" w:rsidRDefault="0061082A">
          <w:pPr>
            <w:pStyle w:val="TOC3"/>
            <w:rPr>
              <w:rFonts w:asciiTheme="minorHAnsi" w:eastAsiaTheme="minorEastAsia" w:hAnsiTheme="minorHAnsi"/>
              <w:lang w:eastAsia="en-AU"/>
            </w:rPr>
          </w:pPr>
          <w:hyperlink w:anchor="_Toc462752630" w:history="1">
            <w:r w:rsidRPr="00E654E8">
              <w:rPr>
                <w:rStyle w:val="Hyperlink"/>
              </w:rPr>
              <w:t>9.2.2</w:t>
            </w:r>
            <w:r>
              <w:rPr>
                <w:rFonts w:asciiTheme="minorHAnsi" w:eastAsiaTheme="minorEastAsia" w:hAnsiTheme="minorHAnsi"/>
                <w:lang w:eastAsia="en-AU"/>
              </w:rPr>
              <w:tab/>
            </w:r>
            <w:r w:rsidRPr="00E654E8">
              <w:rPr>
                <w:rStyle w:val="Hyperlink"/>
              </w:rPr>
              <w:t>Application of the EBSS in the 2017–22 regulatory control period</w:t>
            </w:r>
            <w:r>
              <w:rPr>
                <w:webHidden/>
              </w:rPr>
              <w:tab/>
            </w:r>
            <w:r>
              <w:rPr>
                <w:webHidden/>
              </w:rPr>
              <w:fldChar w:fldCharType="begin"/>
            </w:r>
            <w:r>
              <w:rPr>
                <w:webHidden/>
              </w:rPr>
              <w:instrText xml:space="preserve"> PAGEREF _Toc462752630 \h </w:instrText>
            </w:r>
            <w:r>
              <w:rPr>
                <w:webHidden/>
              </w:rPr>
            </w:r>
            <w:r>
              <w:rPr>
                <w:webHidden/>
              </w:rPr>
              <w:fldChar w:fldCharType="separate"/>
            </w:r>
            <w:r>
              <w:rPr>
                <w:webHidden/>
              </w:rPr>
              <w:t>9-9</w:t>
            </w:r>
            <w:r>
              <w:rPr>
                <w:webHidden/>
              </w:rPr>
              <w:fldChar w:fldCharType="end"/>
            </w:r>
          </w:hyperlink>
        </w:p>
        <w:p w:rsidR="0061082A" w:rsidRDefault="0061082A">
          <w:pPr>
            <w:pStyle w:val="TOC2"/>
            <w:rPr>
              <w:rFonts w:asciiTheme="minorHAnsi" w:eastAsiaTheme="minorEastAsia" w:hAnsiTheme="minorHAnsi"/>
              <w:b w:val="0"/>
              <w:color w:val="auto"/>
              <w:sz w:val="22"/>
              <w:lang w:eastAsia="en-AU"/>
            </w:rPr>
          </w:pPr>
          <w:hyperlink w:anchor="_Toc462752631" w:history="1">
            <w:r w:rsidRPr="00E654E8">
              <w:rPr>
                <w:rStyle w:val="Hyperlink"/>
              </w:rPr>
              <w:t>9.3</w:t>
            </w:r>
            <w:r>
              <w:rPr>
                <w:rFonts w:asciiTheme="minorHAnsi" w:eastAsiaTheme="minorEastAsia" w:hAnsiTheme="minorHAnsi"/>
                <w:b w:val="0"/>
                <w:color w:val="auto"/>
                <w:sz w:val="22"/>
                <w:lang w:eastAsia="en-AU"/>
              </w:rPr>
              <w:tab/>
            </w:r>
            <w:r w:rsidRPr="00E654E8">
              <w:rPr>
                <w:rStyle w:val="Hyperlink"/>
              </w:rPr>
              <w:t>Assessment approach</w:t>
            </w:r>
            <w:r>
              <w:rPr>
                <w:webHidden/>
              </w:rPr>
              <w:tab/>
            </w:r>
            <w:r>
              <w:rPr>
                <w:webHidden/>
              </w:rPr>
              <w:fldChar w:fldCharType="begin"/>
            </w:r>
            <w:r>
              <w:rPr>
                <w:webHidden/>
              </w:rPr>
              <w:instrText xml:space="preserve"> PAGEREF _Toc462752631 \h </w:instrText>
            </w:r>
            <w:r>
              <w:rPr>
                <w:webHidden/>
              </w:rPr>
            </w:r>
            <w:r>
              <w:rPr>
                <w:webHidden/>
              </w:rPr>
              <w:fldChar w:fldCharType="separate"/>
            </w:r>
            <w:r>
              <w:rPr>
                <w:webHidden/>
              </w:rPr>
              <w:t>9-9</w:t>
            </w:r>
            <w:r>
              <w:rPr>
                <w:webHidden/>
              </w:rPr>
              <w:fldChar w:fldCharType="end"/>
            </w:r>
          </w:hyperlink>
        </w:p>
        <w:p w:rsidR="0061082A" w:rsidRDefault="0061082A">
          <w:pPr>
            <w:pStyle w:val="TOC3"/>
            <w:rPr>
              <w:rFonts w:asciiTheme="minorHAnsi" w:eastAsiaTheme="minorEastAsia" w:hAnsiTheme="minorHAnsi"/>
              <w:lang w:eastAsia="en-AU"/>
            </w:rPr>
          </w:pPr>
          <w:hyperlink w:anchor="_Toc462752632" w:history="1">
            <w:r w:rsidRPr="00E654E8">
              <w:rPr>
                <w:rStyle w:val="Hyperlink"/>
              </w:rPr>
              <w:t>9.3.1</w:t>
            </w:r>
            <w:r>
              <w:rPr>
                <w:rFonts w:asciiTheme="minorHAnsi" w:eastAsiaTheme="minorEastAsia" w:hAnsiTheme="minorHAnsi"/>
                <w:lang w:eastAsia="en-AU"/>
              </w:rPr>
              <w:tab/>
            </w:r>
            <w:r w:rsidRPr="00E654E8">
              <w:rPr>
                <w:rStyle w:val="Hyperlink"/>
              </w:rPr>
              <w:t>Interrelationships</w:t>
            </w:r>
            <w:r>
              <w:rPr>
                <w:webHidden/>
              </w:rPr>
              <w:tab/>
            </w:r>
            <w:r>
              <w:rPr>
                <w:webHidden/>
              </w:rPr>
              <w:fldChar w:fldCharType="begin"/>
            </w:r>
            <w:r>
              <w:rPr>
                <w:webHidden/>
              </w:rPr>
              <w:instrText xml:space="preserve"> PAGEREF _Toc462752632 \h </w:instrText>
            </w:r>
            <w:r>
              <w:rPr>
                <w:webHidden/>
              </w:rPr>
            </w:r>
            <w:r>
              <w:rPr>
                <w:webHidden/>
              </w:rPr>
              <w:fldChar w:fldCharType="separate"/>
            </w:r>
            <w:r>
              <w:rPr>
                <w:webHidden/>
              </w:rPr>
              <w:t>9-10</w:t>
            </w:r>
            <w:r>
              <w:rPr>
                <w:webHidden/>
              </w:rPr>
              <w:fldChar w:fldCharType="end"/>
            </w:r>
          </w:hyperlink>
        </w:p>
        <w:p w:rsidR="0061082A" w:rsidRDefault="0061082A">
          <w:pPr>
            <w:pStyle w:val="TOC2"/>
            <w:rPr>
              <w:rFonts w:asciiTheme="minorHAnsi" w:eastAsiaTheme="minorEastAsia" w:hAnsiTheme="minorHAnsi"/>
              <w:b w:val="0"/>
              <w:color w:val="auto"/>
              <w:sz w:val="22"/>
              <w:lang w:eastAsia="en-AU"/>
            </w:rPr>
          </w:pPr>
          <w:hyperlink w:anchor="_Toc462752633" w:history="1">
            <w:r w:rsidRPr="00E654E8">
              <w:rPr>
                <w:rStyle w:val="Hyperlink"/>
              </w:rPr>
              <w:t>9.4</w:t>
            </w:r>
            <w:r>
              <w:rPr>
                <w:rFonts w:asciiTheme="minorHAnsi" w:eastAsiaTheme="minorEastAsia" w:hAnsiTheme="minorHAnsi"/>
                <w:b w:val="0"/>
                <w:color w:val="auto"/>
                <w:sz w:val="22"/>
                <w:lang w:eastAsia="en-AU"/>
              </w:rPr>
              <w:tab/>
            </w:r>
            <w:r w:rsidRPr="00E654E8">
              <w:rPr>
                <w:rStyle w:val="Hyperlink"/>
              </w:rPr>
              <w:t>Reasons for draft decision</w:t>
            </w:r>
            <w:r>
              <w:rPr>
                <w:webHidden/>
              </w:rPr>
              <w:tab/>
            </w:r>
            <w:r>
              <w:rPr>
                <w:webHidden/>
              </w:rPr>
              <w:fldChar w:fldCharType="begin"/>
            </w:r>
            <w:r>
              <w:rPr>
                <w:webHidden/>
              </w:rPr>
              <w:instrText xml:space="preserve"> PAGEREF _Toc462752633 \h </w:instrText>
            </w:r>
            <w:r>
              <w:rPr>
                <w:webHidden/>
              </w:rPr>
            </w:r>
            <w:r>
              <w:rPr>
                <w:webHidden/>
              </w:rPr>
              <w:fldChar w:fldCharType="separate"/>
            </w:r>
            <w:r>
              <w:rPr>
                <w:webHidden/>
              </w:rPr>
              <w:t>9-10</w:t>
            </w:r>
            <w:r>
              <w:rPr>
                <w:webHidden/>
              </w:rPr>
              <w:fldChar w:fldCharType="end"/>
            </w:r>
          </w:hyperlink>
        </w:p>
        <w:p w:rsidR="0061082A" w:rsidRDefault="0061082A">
          <w:pPr>
            <w:pStyle w:val="TOC3"/>
            <w:rPr>
              <w:rFonts w:asciiTheme="minorHAnsi" w:eastAsiaTheme="minorEastAsia" w:hAnsiTheme="minorHAnsi"/>
              <w:lang w:eastAsia="en-AU"/>
            </w:rPr>
          </w:pPr>
          <w:hyperlink w:anchor="_Toc462752634" w:history="1">
            <w:r w:rsidRPr="00E654E8">
              <w:rPr>
                <w:rStyle w:val="Hyperlink"/>
              </w:rPr>
              <w:t>9.4.1</w:t>
            </w:r>
            <w:r>
              <w:rPr>
                <w:rFonts w:asciiTheme="minorHAnsi" w:eastAsiaTheme="minorEastAsia" w:hAnsiTheme="minorHAnsi"/>
                <w:lang w:eastAsia="en-AU"/>
              </w:rPr>
              <w:tab/>
            </w:r>
            <w:r w:rsidRPr="00E654E8">
              <w:rPr>
                <w:rStyle w:val="Hyperlink"/>
              </w:rPr>
              <w:t>Carryover amounts from the 2012–17 regulatory control period</w:t>
            </w:r>
            <w:r>
              <w:rPr>
                <w:webHidden/>
              </w:rPr>
              <w:tab/>
            </w:r>
            <w:r>
              <w:rPr>
                <w:webHidden/>
              </w:rPr>
              <w:fldChar w:fldCharType="begin"/>
            </w:r>
            <w:r>
              <w:rPr>
                <w:webHidden/>
              </w:rPr>
              <w:instrText xml:space="preserve"> PAGEREF _Toc462752634 \h </w:instrText>
            </w:r>
            <w:r>
              <w:rPr>
                <w:webHidden/>
              </w:rPr>
            </w:r>
            <w:r>
              <w:rPr>
                <w:webHidden/>
              </w:rPr>
              <w:fldChar w:fldCharType="separate"/>
            </w:r>
            <w:r>
              <w:rPr>
                <w:webHidden/>
              </w:rPr>
              <w:t>9-10</w:t>
            </w:r>
            <w:r>
              <w:rPr>
                <w:webHidden/>
              </w:rPr>
              <w:fldChar w:fldCharType="end"/>
            </w:r>
          </w:hyperlink>
        </w:p>
        <w:p w:rsidR="0061082A" w:rsidRDefault="0061082A">
          <w:pPr>
            <w:pStyle w:val="TOC3"/>
            <w:rPr>
              <w:rFonts w:asciiTheme="minorHAnsi" w:eastAsiaTheme="minorEastAsia" w:hAnsiTheme="minorHAnsi"/>
              <w:lang w:eastAsia="en-AU"/>
            </w:rPr>
          </w:pPr>
          <w:hyperlink w:anchor="_Toc462752635" w:history="1">
            <w:r w:rsidRPr="00E654E8">
              <w:rPr>
                <w:rStyle w:val="Hyperlink"/>
              </w:rPr>
              <w:t>9.4.2</w:t>
            </w:r>
            <w:r>
              <w:rPr>
                <w:rFonts w:asciiTheme="minorHAnsi" w:eastAsiaTheme="minorEastAsia" w:hAnsiTheme="minorHAnsi"/>
                <w:lang w:eastAsia="en-AU"/>
              </w:rPr>
              <w:tab/>
            </w:r>
            <w:r w:rsidRPr="00E654E8">
              <w:rPr>
                <w:rStyle w:val="Hyperlink"/>
              </w:rPr>
              <w:t>Application of the EBSS in the 2017–22 regulatory control period</w:t>
            </w:r>
            <w:r>
              <w:rPr>
                <w:webHidden/>
              </w:rPr>
              <w:tab/>
            </w:r>
            <w:r>
              <w:rPr>
                <w:webHidden/>
              </w:rPr>
              <w:fldChar w:fldCharType="begin"/>
            </w:r>
            <w:r>
              <w:rPr>
                <w:webHidden/>
              </w:rPr>
              <w:instrText xml:space="preserve"> PAGEREF _Toc462752635 \h </w:instrText>
            </w:r>
            <w:r>
              <w:rPr>
                <w:webHidden/>
              </w:rPr>
            </w:r>
            <w:r>
              <w:rPr>
                <w:webHidden/>
              </w:rPr>
              <w:fldChar w:fldCharType="separate"/>
            </w:r>
            <w:r>
              <w:rPr>
                <w:webHidden/>
              </w:rPr>
              <w:t>9-13</w:t>
            </w:r>
            <w:r>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2625"/>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37699E" w:rsidP="0037699E">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2626"/>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Efficiency benefit</w:t>
      </w:r>
      <w:r w:rsidR="00185BA5">
        <w:t xml:space="preserve"> sharing scheme</w:t>
      </w:r>
      <w:bookmarkEnd w:id="71"/>
    </w:p>
    <w:p w:rsidR="00EC118B" w:rsidRPr="00EC118B" w:rsidRDefault="00EC118B" w:rsidP="00EC118B">
      <w:r w:rsidRPr="00EC118B">
        <w:t xml:space="preserve">The efficiency benefit sharing scheme (EBSS) </w:t>
      </w:r>
      <w:r w:rsidR="00DC2E91">
        <w:t xml:space="preserve">aims to </w:t>
      </w:r>
      <w:r w:rsidRPr="00EC118B">
        <w:t>provide a</w:t>
      </w:r>
      <w:r w:rsidR="00DC2E91">
        <w:t>n</w:t>
      </w:r>
      <w:r w:rsidR="00B06E45">
        <w:t xml:space="preserve"> </w:t>
      </w:r>
      <w:r w:rsidRPr="00EC118B">
        <w:t xml:space="preserve">incentive for service providers to pursue efficiency improvements in </w:t>
      </w:r>
      <w:r w:rsidR="002027CC">
        <w:t>operating expenditure (</w:t>
      </w:r>
      <w:r w:rsidRPr="00EC118B">
        <w:t>opex</w:t>
      </w:r>
      <w:r w:rsidR="002027CC">
        <w:t>)</w:t>
      </w:r>
      <w:r w:rsidR="00DC2E91">
        <w:t xml:space="preserve"> and to share efficiency gains between network service providers and network users. It is intrinsically linked to our forecasting approach for opex.</w:t>
      </w:r>
    </w:p>
    <w:p w:rsidR="00EC118B" w:rsidRPr="00EC118B" w:rsidRDefault="00EC118B" w:rsidP="00EC118B">
      <w:r w:rsidRPr="00EC118B">
        <w:t xml:space="preserve">To encourage a service provider to become more efficient, </w:t>
      </w:r>
      <w:r w:rsidR="00210223">
        <w:t>under an ex</w:t>
      </w:r>
      <w:r w:rsidR="002027CC">
        <w:t xml:space="preserve"> </w:t>
      </w:r>
      <w:r w:rsidR="00210223">
        <w:t>ante framework, a service provider retains</w:t>
      </w:r>
      <w:r w:rsidRPr="00EC118B">
        <w:t xml:space="preserve"> any </w:t>
      </w:r>
      <w:r w:rsidR="00B06E45">
        <w:t xml:space="preserve">efficiency gains it makes until the end of the regulatory control period when its opex </w:t>
      </w:r>
      <w:r w:rsidR="00210223">
        <w:t>forecast</w:t>
      </w:r>
      <w:r w:rsidR="00B06E45">
        <w:t xml:space="preserve"> is reset</w:t>
      </w:r>
      <w:r w:rsidRPr="00EC118B">
        <w:t xml:space="preserve">. </w:t>
      </w:r>
      <w:r w:rsidR="00B06E45">
        <w:t xml:space="preserve">The EBSS allows </w:t>
      </w:r>
      <w:r w:rsidR="00210223">
        <w:t xml:space="preserve">the </w:t>
      </w:r>
      <w:r w:rsidR="00B06E45">
        <w:t xml:space="preserve">service provider to retain </w:t>
      </w:r>
      <w:r w:rsidR="00210223">
        <w:t xml:space="preserve">any </w:t>
      </w:r>
      <w:r w:rsidR="00B06E45">
        <w:t>efficiency gains</w:t>
      </w:r>
      <w:r w:rsidR="00210223">
        <w:t xml:space="preserve"> it makes</w:t>
      </w:r>
      <w:r w:rsidR="00B06E45">
        <w:t xml:space="preserve"> for </w:t>
      </w:r>
      <w:r w:rsidR="00210223">
        <w:t>a total of six</w:t>
      </w:r>
      <w:r w:rsidR="00B06E45">
        <w:t xml:space="preserve"> years, regardless of the year in which </w:t>
      </w:r>
      <w:r w:rsidR="00210223">
        <w:t>the gains are</w:t>
      </w:r>
      <w:r w:rsidR="00B06E45">
        <w:t xml:space="preserve"> made</w:t>
      </w:r>
      <w:r w:rsidRPr="00EC118B">
        <w:t>.</w:t>
      </w:r>
      <w:r w:rsidR="00210223">
        <w:rPr>
          <w:rStyle w:val="FootnoteReference"/>
        </w:rPr>
        <w:footnoteReference w:id="1"/>
      </w:r>
      <w:r w:rsidRPr="00EC118B">
        <w:t xml:space="preserve"> </w:t>
      </w:r>
      <w:r w:rsidR="00B06E45">
        <w:t>This</w:t>
      </w:r>
      <w:r w:rsidRPr="00EC118B">
        <w:t xml:space="preserve"> provide</w:t>
      </w:r>
      <w:r w:rsidR="00B06E45">
        <w:t>s</w:t>
      </w:r>
      <w:r w:rsidRPr="00EC118B">
        <w:t xml:space="preserve"> a continuous incentive for service provider</w:t>
      </w:r>
      <w:r w:rsidR="00B06E45">
        <w:t>s</w:t>
      </w:r>
      <w:r w:rsidRPr="00EC118B">
        <w:t xml:space="preserve"> to pursue efficiency gains over the regulatory control period. </w:t>
      </w:r>
      <w:r w:rsidR="00B06E45">
        <w:t>It</w:t>
      </w:r>
      <w:r w:rsidRPr="00EC118B">
        <w:t xml:space="preserve"> also discourages a service provider from incurring opex in the expected base year to receive a higher opex allowance in the following regulatory control period.</w:t>
      </w:r>
    </w:p>
    <w:p w:rsidR="00132D43" w:rsidRPr="00132D43" w:rsidRDefault="000D20EF" w:rsidP="00EC118B">
      <w:r>
        <w:t>During the 2012</w:t>
      </w:r>
      <w:r w:rsidR="00EC118B" w:rsidRPr="00EC118B">
        <w:t xml:space="preserve">–17 regulatory control period, </w:t>
      </w:r>
      <w:r>
        <w:t>Powerlink</w:t>
      </w:r>
      <w:r w:rsidR="00EC118B" w:rsidRPr="00EC118B">
        <w:t xml:space="preserve"> operated under version one of the Electricity transmission network service providers' EB</w:t>
      </w:r>
      <w:r w:rsidR="00EC118B">
        <w:t>SS released in September 2007.</w:t>
      </w:r>
      <w:r w:rsidR="00EC118B">
        <w:rPr>
          <w:rStyle w:val="FootnoteReference"/>
        </w:rPr>
        <w:footnoteReference w:id="2"/>
      </w:r>
    </w:p>
    <w:p w:rsidR="00132D43" w:rsidRDefault="00132D43" w:rsidP="00132D43">
      <w:pPr>
        <w:pStyle w:val="Heading2"/>
      </w:pPr>
      <w:bookmarkStart w:id="72" w:name="_Toc462752627"/>
      <w:r>
        <w:t>Draft decision</w:t>
      </w:r>
      <w:bookmarkEnd w:id="72"/>
    </w:p>
    <w:p w:rsidR="00132D43" w:rsidRDefault="00EC118B" w:rsidP="00132D43">
      <w:r w:rsidRPr="00EC118B">
        <w:t xml:space="preserve">Our draft decision is to approve </w:t>
      </w:r>
      <w:r>
        <w:t>the</w:t>
      </w:r>
      <w:r w:rsidRPr="00EC118B">
        <w:t xml:space="preserve"> EBSS carryover amount of </w:t>
      </w:r>
      <w:r w:rsidR="002D56F9">
        <w:t>–</w:t>
      </w:r>
      <w:r w:rsidRPr="00EC118B">
        <w:t>$</w:t>
      </w:r>
      <w:r>
        <w:t>7.8</w:t>
      </w:r>
      <w:r w:rsidRPr="00EC118B">
        <w:t xml:space="preserve"> million </w:t>
      </w:r>
      <w:r w:rsidR="000D20EF">
        <w:br/>
      </w:r>
      <w:r w:rsidRPr="00EC118B">
        <w:t>($2016–17) from the application of the EBSS in the 201</w:t>
      </w:r>
      <w:r>
        <w:t>2–17 regulatory control period, as proposed by Powerlink.</w:t>
      </w:r>
    </w:p>
    <w:p w:rsidR="00607460" w:rsidRDefault="00607460" w:rsidP="00132D43">
      <w:r>
        <w:t xml:space="preserve">Powerlink would receive a higher carryover of $1.2 million ($2016–17) if </w:t>
      </w:r>
      <w:r w:rsidR="009432E7">
        <w:t xml:space="preserve">we adjusted </w:t>
      </w:r>
      <w:r w:rsidR="007A26C1" w:rsidRPr="00607460">
        <w:t xml:space="preserve">the </w:t>
      </w:r>
      <w:r w:rsidR="007A26C1">
        <w:t>EBSS calculations</w:t>
      </w:r>
      <w:r w:rsidR="00066E7E">
        <w:t xml:space="preserve"> </w:t>
      </w:r>
      <w:r w:rsidR="007A26C1" w:rsidRPr="00607460">
        <w:t>to</w:t>
      </w:r>
      <w:r>
        <w:t>:</w:t>
      </w:r>
    </w:p>
    <w:p w:rsidR="00066E7E" w:rsidRDefault="00066E7E" w:rsidP="00607460">
      <w:pPr>
        <w:pStyle w:val="AERbulletlistfirststyle"/>
      </w:pPr>
      <w:r>
        <w:t>Share non-recurrent efficiency gains the same as other efficiency gains and losses. This would increase Powerlink's EBSS carryover by $</w:t>
      </w:r>
      <w:r w:rsidR="007A0800">
        <w:t>22.8</w:t>
      </w:r>
      <w:r>
        <w:t> million because Powerlink would not incur 100 per cent of the increases in opex due to the write off of its 500kV project and workforce redundancies.</w:t>
      </w:r>
    </w:p>
    <w:p w:rsidR="00607460" w:rsidRDefault="00845C9B" w:rsidP="00607460">
      <w:pPr>
        <w:pStyle w:val="AERbulletlistfirststyle"/>
      </w:pPr>
      <w:r>
        <w:t>Use 2014–15 as the base year rather than 2015–16. Powerlink</w:t>
      </w:r>
      <w:r w:rsidR="00E40C0F">
        <w:t xml:space="preserve">'s EBSS calculations assume </w:t>
      </w:r>
      <w:r>
        <w:t>2015–16</w:t>
      </w:r>
      <w:r w:rsidR="00E40C0F">
        <w:t xml:space="preserve"> was used as the base year to forecast opex for the 2017–22 regulatory control period. However, Powerlink actually used </w:t>
      </w:r>
      <w:r>
        <w:t xml:space="preserve">2014–15 </w:t>
      </w:r>
      <w:r w:rsidR="00E40C0F">
        <w:t xml:space="preserve">to </w:t>
      </w:r>
      <w:r w:rsidR="007A0800">
        <w:t>forecast</w:t>
      </w:r>
      <w:r>
        <w:t xml:space="preserve"> opex. </w:t>
      </w:r>
      <w:r w:rsidR="00E40C0F">
        <w:t>This inconsistency would effectively reward Powerlink twice for incremental efficiency gains made in 2015–16</w:t>
      </w:r>
      <w:r w:rsidR="00417202">
        <w:t>:</w:t>
      </w:r>
      <w:r w:rsidR="00E40C0F">
        <w:t xml:space="preserve"> </w:t>
      </w:r>
      <w:r w:rsidR="00417202">
        <w:t>o</w:t>
      </w:r>
      <w:r w:rsidR="00E40C0F">
        <w:t xml:space="preserve">nce through the EBSS carryovers and a second time because they are not reflected in its opex forecast. Assuming 2014–15 is the base year </w:t>
      </w:r>
      <w:r w:rsidR="00607460">
        <w:t xml:space="preserve">would decrease </w:t>
      </w:r>
      <w:r w:rsidR="00066E7E">
        <w:t xml:space="preserve">Powerlink's </w:t>
      </w:r>
      <w:r w:rsidR="00607460">
        <w:t xml:space="preserve">carryover </w:t>
      </w:r>
      <w:r w:rsidR="00066E7E">
        <w:t>by $</w:t>
      </w:r>
      <w:r w:rsidR="007A0800">
        <w:t>13.8</w:t>
      </w:r>
      <w:r w:rsidR="00066E7E">
        <w:t> million</w:t>
      </w:r>
      <w:r w:rsidR="00E40C0F">
        <w:t>.</w:t>
      </w:r>
    </w:p>
    <w:p w:rsidR="00EC118B" w:rsidRDefault="0057098D" w:rsidP="00132D43">
      <w:r>
        <w:lastRenderedPageBreak/>
        <w:t xml:space="preserve">Also, </w:t>
      </w:r>
      <w:r w:rsidR="007A26C1">
        <w:t>Powerlink</w:t>
      </w:r>
      <w:r w:rsidR="00B06E45">
        <w:t xml:space="preserve"> propos</w:t>
      </w:r>
      <w:r w:rsidR="00845C9B">
        <w:t>e</w:t>
      </w:r>
      <w:r w:rsidR="00D84314">
        <w:t>d</w:t>
      </w:r>
      <w:r w:rsidR="00B06E45">
        <w:t xml:space="preserve"> </w:t>
      </w:r>
      <w:r w:rsidR="00160E0F">
        <w:t xml:space="preserve">not </w:t>
      </w:r>
      <w:r w:rsidR="00845C9B">
        <w:t xml:space="preserve">to </w:t>
      </w:r>
      <w:r w:rsidR="007A26C1">
        <w:t xml:space="preserve">retain efficiency gains </w:t>
      </w:r>
      <w:r w:rsidR="00026FDF">
        <w:t xml:space="preserve">it </w:t>
      </w:r>
      <w:r w:rsidR="007A26C1">
        <w:t xml:space="preserve">made after 2014–15 through either </w:t>
      </w:r>
      <w:r w:rsidR="00EC276A">
        <w:t>its proposed</w:t>
      </w:r>
      <w:r w:rsidR="007A26C1">
        <w:t xml:space="preserve"> EBSS carryovers or its opex forecast. </w:t>
      </w:r>
    </w:p>
    <w:p w:rsidR="0057098D" w:rsidRDefault="0057098D" w:rsidP="00132D43">
      <w:r>
        <w:t xml:space="preserve">Nevertheless, </w:t>
      </w:r>
      <w:r w:rsidRPr="0057098D">
        <w:t>Powerlink</w:t>
      </w:r>
      <w:r>
        <w:t xml:space="preserve"> </w:t>
      </w:r>
      <w:r w:rsidRPr="0057098D">
        <w:t>maintains</w:t>
      </w:r>
      <w:r>
        <w:t xml:space="preserve"> it is satisfied</w:t>
      </w:r>
      <w:r w:rsidRPr="0057098D">
        <w:t xml:space="preserve"> </w:t>
      </w:r>
      <w:r>
        <w:t xml:space="preserve">an EBSS carryover amount of </w:t>
      </w:r>
      <w:r w:rsidR="00483AE9">
        <w:br/>
      </w:r>
      <w:r w:rsidR="00E40C0F">
        <w:t>–</w:t>
      </w:r>
      <w:r>
        <w:t xml:space="preserve">$7.8 million </w:t>
      </w:r>
      <w:r w:rsidRPr="0057098D">
        <w:t>(</w:t>
      </w:r>
      <w:r>
        <w:t>penalty</w:t>
      </w:r>
      <w:r w:rsidR="00CF31DC">
        <w:t>)—</w:t>
      </w:r>
      <w:r w:rsidR="00CF31DC" w:rsidRPr="00CF31DC">
        <w:t xml:space="preserve">when considered together </w:t>
      </w:r>
      <w:r w:rsidR="00CF31DC">
        <w:t>with an opex forecast of $976.7 million—</w:t>
      </w:r>
      <w:r w:rsidRPr="0057098D">
        <w:t>appropriately recognise</w:t>
      </w:r>
      <w:r>
        <w:t>s</w:t>
      </w:r>
      <w:r w:rsidRPr="0057098D">
        <w:t xml:space="preserve"> efficiency gains and losses in </w:t>
      </w:r>
      <w:r>
        <w:t>opex</w:t>
      </w:r>
      <w:r w:rsidRPr="0057098D">
        <w:t xml:space="preserve"> over the current regulatory period.</w:t>
      </w:r>
      <w:r>
        <w:t xml:space="preserve"> </w:t>
      </w:r>
      <w:r w:rsidR="00CF31DC" w:rsidRPr="00CF31DC">
        <w:t xml:space="preserve">Powerlink </w:t>
      </w:r>
      <w:r w:rsidR="00E40C0F">
        <w:t xml:space="preserve">also </w:t>
      </w:r>
      <w:r w:rsidR="00CF31DC">
        <w:t>state</w:t>
      </w:r>
      <w:r w:rsidR="00D84314">
        <w:t>d</w:t>
      </w:r>
      <w:r w:rsidR="00CF31DC" w:rsidRPr="00CF31DC">
        <w:t xml:space="preserve"> </w:t>
      </w:r>
      <w:r w:rsidR="00CF31DC">
        <w:t>its opex</w:t>
      </w:r>
      <w:r w:rsidR="00CF31DC" w:rsidRPr="00CF31DC">
        <w:t xml:space="preserve"> forecast reflects the prudent and efficient costs required to operate and maintain its network.</w:t>
      </w:r>
      <w:r w:rsidR="00CF31DC">
        <w:rPr>
          <w:rStyle w:val="FootnoteReference"/>
        </w:rPr>
        <w:footnoteReference w:id="3"/>
      </w:r>
      <w:r w:rsidRPr="0057098D">
        <w:t xml:space="preserve"> </w:t>
      </w:r>
    </w:p>
    <w:p w:rsidR="00CF252E" w:rsidRDefault="00CF252E" w:rsidP="00132D43">
      <w:r>
        <w:t>As set out in attachment 7, o</w:t>
      </w:r>
      <w:r w:rsidRPr="00CF252E">
        <w:t>ur draft decision is to accept Powerlink's opex forecast of $976.7 million ($2016–17) over the 2017–22 regulatory period.</w:t>
      </w:r>
    </w:p>
    <w:p w:rsidR="007E0F46" w:rsidRDefault="007E0F46" w:rsidP="00132D43">
      <w:r>
        <w:t xml:space="preserve">Our draft decision for the EBSS carryover amounts from the 2012–17 regulatory control period is outlined in </w:t>
      </w:r>
      <w:r>
        <w:fldChar w:fldCharType="begin"/>
      </w:r>
      <w:r>
        <w:instrText xml:space="preserve"> REF _Ref458079231 \h </w:instrText>
      </w:r>
      <w:r>
        <w:fldChar w:fldCharType="separate"/>
      </w:r>
      <w:r w:rsidR="0061082A">
        <w:t xml:space="preserve">Table </w:t>
      </w:r>
      <w:r w:rsidR="0061082A">
        <w:rPr>
          <w:noProof/>
        </w:rPr>
        <w:t>9</w:t>
      </w:r>
      <w:r w:rsidR="0061082A">
        <w:t>.</w:t>
      </w:r>
      <w:r w:rsidR="0061082A">
        <w:rPr>
          <w:noProof/>
        </w:rPr>
        <w:t>1</w:t>
      </w:r>
      <w:r>
        <w:fldChar w:fldCharType="end"/>
      </w:r>
      <w:r w:rsidR="00A3531E">
        <w:t>.</w:t>
      </w:r>
    </w:p>
    <w:p w:rsidR="00EC118B" w:rsidRDefault="00EC118B" w:rsidP="00EC118B">
      <w:pPr>
        <w:pStyle w:val="Caption"/>
      </w:pPr>
      <w:bookmarkStart w:id="73" w:name="_Ref458079231"/>
      <w:r>
        <w:t xml:space="preserve">Table </w:t>
      </w:r>
      <w:fldSimple w:instr=" STYLEREF 1 \s ">
        <w:r w:rsidR="0061082A">
          <w:rPr>
            <w:noProof/>
          </w:rPr>
          <w:t>9</w:t>
        </w:r>
      </w:fldSimple>
      <w:r w:rsidR="00A00CA1">
        <w:t>.</w:t>
      </w:r>
      <w:fldSimple w:instr=" SEQ Table \* ARABIC \s 1 ">
        <w:r w:rsidR="0061082A">
          <w:rPr>
            <w:noProof/>
          </w:rPr>
          <w:t>1</w:t>
        </w:r>
      </w:fldSimple>
      <w:bookmarkEnd w:id="73"/>
      <w:r>
        <w:tab/>
      </w:r>
      <w:r w:rsidR="00FF344A">
        <w:t>D</w:t>
      </w:r>
      <w:r w:rsidRPr="00EC118B">
        <w:t xml:space="preserve">raft decision </w:t>
      </w:r>
      <w:r w:rsidR="00FF344A">
        <w:t xml:space="preserve">on Powerlink's EBSS </w:t>
      </w:r>
      <w:r w:rsidRPr="00EC118B">
        <w:t xml:space="preserve">carryover amounts </w:t>
      </w:r>
      <w:r w:rsidR="00FF344A">
        <w:br/>
      </w:r>
      <w:r w:rsidRPr="00EC118B">
        <w:t>($ million, 2016–17)</w:t>
      </w:r>
    </w:p>
    <w:tbl>
      <w:tblPr>
        <w:tblStyle w:val="AERtable-numbers"/>
        <w:tblW w:w="0" w:type="auto"/>
        <w:tblLook w:val="04A0" w:firstRow="1" w:lastRow="0" w:firstColumn="1" w:lastColumn="0" w:noHBand="0" w:noVBand="1"/>
      </w:tblPr>
      <w:tblGrid>
        <w:gridCol w:w="1809"/>
        <w:gridCol w:w="1147"/>
        <w:gridCol w:w="1147"/>
        <w:gridCol w:w="1148"/>
        <w:gridCol w:w="1147"/>
        <w:gridCol w:w="1147"/>
        <w:gridCol w:w="1148"/>
      </w:tblGrid>
      <w:tr w:rsidR="00175243" w:rsidTr="00175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75243" w:rsidRDefault="00175243" w:rsidP="00132D43"/>
        </w:tc>
        <w:tc>
          <w:tcPr>
            <w:tcW w:w="1147" w:type="dxa"/>
          </w:tcPr>
          <w:p w:rsidR="00175243" w:rsidRDefault="00175243" w:rsidP="00132D43">
            <w:pPr>
              <w:cnfStyle w:val="100000000000" w:firstRow="1" w:lastRow="0" w:firstColumn="0" w:lastColumn="0" w:oddVBand="0" w:evenVBand="0" w:oddHBand="0" w:evenHBand="0" w:firstRowFirstColumn="0" w:firstRowLastColumn="0" w:lastRowFirstColumn="0" w:lastRowLastColumn="0"/>
            </w:pPr>
            <w:r>
              <w:t>2017–18</w:t>
            </w:r>
          </w:p>
        </w:tc>
        <w:tc>
          <w:tcPr>
            <w:tcW w:w="1147" w:type="dxa"/>
          </w:tcPr>
          <w:p w:rsidR="00175243" w:rsidRDefault="00175243" w:rsidP="00132D43">
            <w:pPr>
              <w:cnfStyle w:val="100000000000" w:firstRow="1" w:lastRow="0" w:firstColumn="0" w:lastColumn="0" w:oddVBand="0" w:evenVBand="0" w:oddHBand="0" w:evenHBand="0" w:firstRowFirstColumn="0" w:firstRowLastColumn="0" w:lastRowFirstColumn="0" w:lastRowLastColumn="0"/>
            </w:pPr>
            <w:r>
              <w:t>2018–19</w:t>
            </w:r>
          </w:p>
        </w:tc>
        <w:tc>
          <w:tcPr>
            <w:tcW w:w="1148" w:type="dxa"/>
          </w:tcPr>
          <w:p w:rsidR="00175243" w:rsidRDefault="00175243" w:rsidP="00132D43">
            <w:pPr>
              <w:cnfStyle w:val="100000000000" w:firstRow="1" w:lastRow="0" w:firstColumn="0" w:lastColumn="0" w:oddVBand="0" w:evenVBand="0" w:oddHBand="0" w:evenHBand="0" w:firstRowFirstColumn="0" w:firstRowLastColumn="0" w:lastRowFirstColumn="0" w:lastRowLastColumn="0"/>
            </w:pPr>
            <w:r>
              <w:t>2019–20</w:t>
            </w:r>
          </w:p>
        </w:tc>
        <w:tc>
          <w:tcPr>
            <w:tcW w:w="1147" w:type="dxa"/>
          </w:tcPr>
          <w:p w:rsidR="00175243" w:rsidRDefault="00175243" w:rsidP="00132D43">
            <w:pPr>
              <w:cnfStyle w:val="100000000000" w:firstRow="1" w:lastRow="0" w:firstColumn="0" w:lastColumn="0" w:oddVBand="0" w:evenVBand="0" w:oddHBand="0" w:evenHBand="0" w:firstRowFirstColumn="0" w:firstRowLastColumn="0" w:lastRowFirstColumn="0" w:lastRowLastColumn="0"/>
            </w:pPr>
            <w:r>
              <w:t>2020–21</w:t>
            </w:r>
          </w:p>
        </w:tc>
        <w:tc>
          <w:tcPr>
            <w:tcW w:w="1147" w:type="dxa"/>
          </w:tcPr>
          <w:p w:rsidR="00175243" w:rsidRDefault="00175243" w:rsidP="00132D43">
            <w:pPr>
              <w:cnfStyle w:val="100000000000" w:firstRow="1" w:lastRow="0" w:firstColumn="0" w:lastColumn="0" w:oddVBand="0" w:evenVBand="0" w:oddHBand="0" w:evenHBand="0" w:firstRowFirstColumn="0" w:firstRowLastColumn="0" w:lastRowFirstColumn="0" w:lastRowLastColumn="0"/>
            </w:pPr>
            <w:r>
              <w:t>2021–22</w:t>
            </w:r>
          </w:p>
        </w:tc>
        <w:tc>
          <w:tcPr>
            <w:tcW w:w="1148" w:type="dxa"/>
          </w:tcPr>
          <w:p w:rsidR="00175243" w:rsidRDefault="00175243" w:rsidP="00132D43">
            <w:pPr>
              <w:cnfStyle w:val="100000000000" w:firstRow="1" w:lastRow="0" w:firstColumn="0" w:lastColumn="0" w:oddVBand="0" w:evenVBand="0" w:oddHBand="0" w:evenHBand="0" w:firstRowFirstColumn="0" w:firstRowLastColumn="0" w:lastRowFirstColumn="0" w:lastRowLastColumn="0"/>
            </w:pPr>
            <w:r>
              <w:t>Total</w:t>
            </w:r>
          </w:p>
        </w:tc>
      </w:tr>
      <w:tr w:rsidR="006D7380" w:rsidTr="003769FD">
        <w:tc>
          <w:tcPr>
            <w:cnfStyle w:val="001000000000" w:firstRow="0" w:lastRow="0" w:firstColumn="1" w:lastColumn="0" w:oddVBand="0" w:evenVBand="0" w:oddHBand="0" w:evenHBand="0" w:firstRowFirstColumn="0" w:firstRowLastColumn="0" w:lastRowFirstColumn="0" w:lastRowLastColumn="0"/>
            <w:tcW w:w="1809" w:type="dxa"/>
          </w:tcPr>
          <w:p w:rsidR="006D7380" w:rsidRPr="006D7380" w:rsidRDefault="006D7380" w:rsidP="006D7380">
            <w:r w:rsidRPr="006D7380">
              <w:t>Powerlink proposal</w:t>
            </w:r>
          </w:p>
        </w:tc>
        <w:tc>
          <w:tcPr>
            <w:tcW w:w="1147" w:type="dxa"/>
            <w:vAlign w:val="top"/>
          </w:tcPr>
          <w:p w:rsidR="006D7380" w:rsidRPr="006D7380" w:rsidRDefault="006D7380" w:rsidP="006D7380">
            <w:pPr>
              <w:cnfStyle w:val="000000000000" w:firstRow="0" w:lastRow="0" w:firstColumn="0" w:lastColumn="0" w:oddVBand="0" w:evenVBand="0" w:oddHBand="0" w:evenHBand="0" w:firstRowFirstColumn="0" w:firstRowLastColumn="0" w:lastRowFirstColumn="0" w:lastRowLastColumn="0"/>
            </w:pPr>
            <w:r>
              <w:t>–</w:t>
            </w:r>
            <w:r w:rsidRPr="006D7380">
              <w:t>0.8</w:t>
            </w:r>
          </w:p>
        </w:tc>
        <w:tc>
          <w:tcPr>
            <w:tcW w:w="1147" w:type="dxa"/>
            <w:vAlign w:val="top"/>
          </w:tcPr>
          <w:p w:rsidR="006D7380" w:rsidRPr="006D7380" w:rsidRDefault="006D7380" w:rsidP="006D7380">
            <w:pPr>
              <w:cnfStyle w:val="000000000000" w:firstRow="0" w:lastRow="0" w:firstColumn="0" w:lastColumn="0" w:oddVBand="0" w:evenVBand="0" w:oddHBand="0" w:evenHBand="0" w:firstRowFirstColumn="0" w:firstRowLastColumn="0" w:lastRowFirstColumn="0" w:lastRowLastColumn="0"/>
            </w:pPr>
            <w:r>
              <w:t>–</w:t>
            </w:r>
            <w:r w:rsidRPr="006D7380">
              <w:t>6.8</w:t>
            </w:r>
          </w:p>
        </w:tc>
        <w:tc>
          <w:tcPr>
            <w:tcW w:w="1148" w:type="dxa"/>
            <w:vAlign w:val="top"/>
          </w:tcPr>
          <w:p w:rsidR="006D7380" w:rsidRPr="006D7380" w:rsidRDefault="006D7380" w:rsidP="006D7380">
            <w:pPr>
              <w:cnfStyle w:val="000000000000" w:firstRow="0" w:lastRow="0" w:firstColumn="0" w:lastColumn="0" w:oddVBand="0" w:evenVBand="0" w:oddHBand="0" w:evenHBand="0" w:firstRowFirstColumn="0" w:firstRowLastColumn="0" w:lastRowFirstColumn="0" w:lastRowLastColumn="0"/>
            </w:pPr>
            <w:r>
              <w:t>–</w:t>
            </w:r>
            <w:r w:rsidRPr="006D7380">
              <w:t>3.0</w:t>
            </w:r>
          </w:p>
        </w:tc>
        <w:tc>
          <w:tcPr>
            <w:tcW w:w="1147" w:type="dxa"/>
            <w:vAlign w:val="top"/>
          </w:tcPr>
          <w:p w:rsidR="006D7380" w:rsidRPr="006D7380" w:rsidRDefault="006D7380" w:rsidP="003769FD">
            <w:pPr>
              <w:cnfStyle w:val="000000000000" w:firstRow="0" w:lastRow="0" w:firstColumn="0" w:lastColumn="0" w:oddVBand="0" w:evenVBand="0" w:oddHBand="0" w:evenHBand="0" w:firstRowFirstColumn="0" w:firstRowLastColumn="0" w:lastRowFirstColumn="0" w:lastRowLastColumn="0"/>
            </w:pPr>
            <w:r w:rsidRPr="006D7380">
              <w:t>2.8</w:t>
            </w:r>
          </w:p>
        </w:tc>
        <w:tc>
          <w:tcPr>
            <w:tcW w:w="1147" w:type="dxa"/>
            <w:vAlign w:val="top"/>
          </w:tcPr>
          <w:p w:rsidR="006D7380" w:rsidRPr="006D7380" w:rsidRDefault="006D7380" w:rsidP="003769FD">
            <w:pPr>
              <w:cnfStyle w:val="000000000000" w:firstRow="0" w:lastRow="0" w:firstColumn="0" w:lastColumn="0" w:oddVBand="0" w:evenVBand="0" w:oddHBand="0" w:evenHBand="0" w:firstRowFirstColumn="0" w:firstRowLastColumn="0" w:lastRowFirstColumn="0" w:lastRowLastColumn="0"/>
            </w:pPr>
            <w:r>
              <w:t>–</w:t>
            </w:r>
          </w:p>
        </w:tc>
        <w:tc>
          <w:tcPr>
            <w:tcW w:w="1148" w:type="dxa"/>
            <w:vAlign w:val="top"/>
          </w:tcPr>
          <w:p w:rsidR="006D7380" w:rsidRPr="006D7380" w:rsidRDefault="006D7380" w:rsidP="006D7380">
            <w:pPr>
              <w:cnfStyle w:val="000000000000" w:firstRow="0" w:lastRow="0" w:firstColumn="0" w:lastColumn="0" w:oddVBand="0" w:evenVBand="0" w:oddHBand="0" w:evenHBand="0" w:firstRowFirstColumn="0" w:firstRowLastColumn="0" w:lastRowFirstColumn="0" w:lastRowLastColumn="0"/>
              <w:rPr>
                <w:rStyle w:val="Strong"/>
              </w:rPr>
            </w:pPr>
            <w:r w:rsidRPr="006D7380">
              <w:rPr>
                <w:rStyle w:val="Strong"/>
              </w:rPr>
              <w:t>–7.8</w:t>
            </w:r>
          </w:p>
        </w:tc>
      </w:tr>
      <w:tr w:rsidR="006D7380" w:rsidTr="003769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D7380" w:rsidRPr="006D7380" w:rsidRDefault="006D7380" w:rsidP="006D7380">
            <w:r>
              <w:t>AER draft decision</w:t>
            </w:r>
          </w:p>
        </w:tc>
        <w:tc>
          <w:tcPr>
            <w:tcW w:w="1147" w:type="dxa"/>
            <w:vAlign w:val="top"/>
          </w:tcPr>
          <w:p w:rsidR="006D7380" w:rsidRPr="006D7380" w:rsidRDefault="006D7380" w:rsidP="006D7380">
            <w:pPr>
              <w:cnfStyle w:val="000000010000" w:firstRow="0" w:lastRow="0" w:firstColumn="0" w:lastColumn="0" w:oddVBand="0" w:evenVBand="0" w:oddHBand="0" w:evenHBand="1" w:firstRowFirstColumn="0" w:firstRowLastColumn="0" w:lastRowFirstColumn="0" w:lastRowLastColumn="0"/>
            </w:pPr>
            <w:r>
              <w:t>–</w:t>
            </w:r>
            <w:r w:rsidRPr="006D7380">
              <w:t>0.8</w:t>
            </w:r>
          </w:p>
        </w:tc>
        <w:tc>
          <w:tcPr>
            <w:tcW w:w="1147" w:type="dxa"/>
            <w:vAlign w:val="top"/>
          </w:tcPr>
          <w:p w:rsidR="006D7380" w:rsidRPr="006D7380" w:rsidRDefault="006D7380" w:rsidP="006D7380">
            <w:pPr>
              <w:cnfStyle w:val="000000010000" w:firstRow="0" w:lastRow="0" w:firstColumn="0" w:lastColumn="0" w:oddVBand="0" w:evenVBand="0" w:oddHBand="0" w:evenHBand="1" w:firstRowFirstColumn="0" w:firstRowLastColumn="0" w:lastRowFirstColumn="0" w:lastRowLastColumn="0"/>
            </w:pPr>
            <w:r>
              <w:t>–</w:t>
            </w:r>
            <w:r w:rsidRPr="006D7380">
              <w:t>6.8</w:t>
            </w:r>
          </w:p>
        </w:tc>
        <w:tc>
          <w:tcPr>
            <w:tcW w:w="1148" w:type="dxa"/>
            <w:vAlign w:val="top"/>
          </w:tcPr>
          <w:p w:rsidR="006D7380" w:rsidRPr="006D7380" w:rsidRDefault="006D7380" w:rsidP="006D7380">
            <w:pPr>
              <w:cnfStyle w:val="000000010000" w:firstRow="0" w:lastRow="0" w:firstColumn="0" w:lastColumn="0" w:oddVBand="0" w:evenVBand="0" w:oddHBand="0" w:evenHBand="1" w:firstRowFirstColumn="0" w:firstRowLastColumn="0" w:lastRowFirstColumn="0" w:lastRowLastColumn="0"/>
            </w:pPr>
            <w:r>
              <w:t>–</w:t>
            </w:r>
            <w:r w:rsidRPr="006D7380">
              <w:t>3.0</w:t>
            </w:r>
          </w:p>
        </w:tc>
        <w:tc>
          <w:tcPr>
            <w:tcW w:w="1147" w:type="dxa"/>
            <w:vAlign w:val="top"/>
          </w:tcPr>
          <w:p w:rsidR="006D7380" w:rsidRPr="006D7380" w:rsidRDefault="006D7380" w:rsidP="006D7380">
            <w:pPr>
              <w:cnfStyle w:val="000000010000" w:firstRow="0" w:lastRow="0" w:firstColumn="0" w:lastColumn="0" w:oddVBand="0" w:evenVBand="0" w:oddHBand="0" w:evenHBand="1" w:firstRowFirstColumn="0" w:firstRowLastColumn="0" w:lastRowFirstColumn="0" w:lastRowLastColumn="0"/>
            </w:pPr>
            <w:r w:rsidRPr="006D7380">
              <w:t>2.8</w:t>
            </w:r>
          </w:p>
        </w:tc>
        <w:tc>
          <w:tcPr>
            <w:tcW w:w="1147" w:type="dxa"/>
            <w:vAlign w:val="top"/>
          </w:tcPr>
          <w:p w:rsidR="006D7380" w:rsidRPr="006D7380" w:rsidRDefault="006D7380" w:rsidP="006D7380">
            <w:pPr>
              <w:cnfStyle w:val="000000010000" w:firstRow="0" w:lastRow="0" w:firstColumn="0" w:lastColumn="0" w:oddVBand="0" w:evenVBand="0" w:oddHBand="0" w:evenHBand="1" w:firstRowFirstColumn="0" w:firstRowLastColumn="0" w:lastRowFirstColumn="0" w:lastRowLastColumn="0"/>
            </w:pPr>
            <w:r>
              <w:t>–</w:t>
            </w:r>
          </w:p>
        </w:tc>
        <w:tc>
          <w:tcPr>
            <w:tcW w:w="1148" w:type="dxa"/>
            <w:vAlign w:val="top"/>
          </w:tcPr>
          <w:p w:rsidR="006D7380" w:rsidRPr="006D7380" w:rsidRDefault="006D7380" w:rsidP="006D7380">
            <w:pPr>
              <w:cnfStyle w:val="000000010000" w:firstRow="0" w:lastRow="0" w:firstColumn="0" w:lastColumn="0" w:oddVBand="0" w:evenVBand="0" w:oddHBand="0" w:evenHBand="1" w:firstRowFirstColumn="0" w:firstRowLastColumn="0" w:lastRowFirstColumn="0" w:lastRowLastColumn="0"/>
              <w:rPr>
                <w:rStyle w:val="Strong"/>
              </w:rPr>
            </w:pPr>
            <w:r w:rsidRPr="006D7380">
              <w:rPr>
                <w:rStyle w:val="Strong"/>
              </w:rPr>
              <w:t>–7.8</w:t>
            </w:r>
          </w:p>
        </w:tc>
      </w:tr>
    </w:tbl>
    <w:p w:rsidR="00EC118B" w:rsidRDefault="00175243" w:rsidP="00175243">
      <w:pPr>
        <w:pStyle w:val="AERtablesource"/>
      </w:pPr>
      <w:r>
        <w:t>Source:</w:t>
      </w:r>
      <w:r>
        <w:tab/>
      </w:r>
      <w:r w:rsidR="006D7380">
        <w:t xml:space="preserve">Powerlink, </w:t>
      </w:r>
      <w:r w:rsidR="006D7380" w:rsidRPr="006D7380">
        <w:rPr>
          <w:rStyle w:val="AERtextitalic"/>
        </w:rPr>
        <w:t>Revenue proposal</w:t>
      </w:r>
      <w:r w:rsidR="006D7380">
        <w:t>, January 2016, p. 35.</w:t>
      </w:r>
    </w:p>
    <w:p w:rsidR="00175243" w:rsidRDefault="00417202" w:rsidP="00175243">
      <w:r>
        <w:t>Looking forward, o</w:t>
      </w:r>
      <w:r w:rsidR="007E0F46">
        <w:t>ur draft decision is to</w:t>
      </w:r>
      <w:r w:rsidR="00175243" w:rsidRPr="00175243">
        <w:t xml:space="preserve"> apply version two of the EBSS to </w:t>
      </w:r>
      <w:r w:rsidR="00175243">
        <w:t>Powerlink</w:t>
      </w:r>
      <w:r w:rsidR="00175243" w:rsidRPr="00175243">
        <w:t xml:space="preserve"> in the 2017–22 regulatory control period.</w:t>
      </w:r>
      <w:r w:rsidR="00175243">
        <w:rPr>
          <w:rStyle w:val="FootnoteReference"/>
        </w:rPr>
        <w:footnoteReference w:id="4"/>
      </w:r>
      <w:r w:rsidR="00250202">
        <w:t xml:space="preserve"> This is consistent with our f</w:t>
      </w:r>
      <w:r w:rsidR="00175243" w:rsidRPr="00175243">
        <w:t xml:space="preserve">inal framework and approach paper and </w:t>
      </w:r>
      <w:r w:rsidR="00175243">
        <w:t>Powerlink's</w:t>
      </w:r>
      <w:r w:rsidR="00175243" w:rsidRPr="00175243">
        <w:t xml:space="preserve"> proposal.</w:t>
      </w:r>
      <w:r w:rsidR="003216BC">
        <w:rPr>
          <w:rStyle w:val="FootnoteReference"/>
        </w:rPr>
        <w:footnoteReference w:id="5"/>
      </w:r>
      <w:r w:rsidR="00175243" w:rsidRPr="00175243">
        <w:t xml:space="preserve"> When we apply version two of the EBSS, we will exclude the </w:t>
      </w:r>
      <w:r w:rsidR="00175243">
        <w:t xml:space="preserve">following </w:t>
      </w:r>
      <w:r w:rsidR="00175243" w:rsidRPr="00175243">
        <w:t>cost categories from</w:t>
      </w:r>
      <w:r w:rsidR="00175243">
        <w:t xml:space="preserve"> </w:t>
      </w:r>
      <w:r w:rsidR="00250202">
        <w:t>the scheme</w:t>
      </w:r>
      <w:r w:rsidR="00175243">
        <w:t>:</w:t>
      </w:r>
      <w:r w:rsidR="00175243">
        <w:rPr>
          <w:rStyle w:val="FootnoteReference"/>
        </w:rPr>
        <w:footnoteReference w:id="6"/>
      </w:r>
    </w:p>
    <w:p w:rsidR="00175243" w:rsidRDefault="00175243" w:rsidP="00175243">
      <w:pPr>
        <w:pStyle w:val="AERbulletlistfirststyle"/>
      </w:pPr>
      <w:r>
        <w:t>debt raising costs</w:t>
      </w:r>
    </w:p>
    <w:p w:rsidR="003E62C5" w:rsidRDefault="00175243" w:rsidP="00DD033C">
      <w:pPr>
        <w:pStyle w:val="AERbulletlistfirststyle"/>
      </w:pPr>
      <w:r>
        <w:t>network supports costs</w:t>
      </w:r>
      <w:r w:rsidR="00DD033C">
        <w:t>.</w:t>
      </w:r>
    </w:p>
    <w:p w:rsidR="00175243" w:rsidRDefault="00175243" w:rsidP="00175243">
      <w:r w:rsidRPr="00175243">
        <w:t xml:space="preserve">Table 9.2 sets out our draft decision on </w:t>
      </w:r>
      <w:r>
        <w:t>the</w:t>
      </w:r>
      <w:r w:rsidRPr="00175243">
        <w:t xml:space="preserve"> target opex for the EBSS (total opex less excluded categories) we will </w:t>
      </w:r>
      <w:r w:rsidR="005810C0">
        <w:t xml:space="preserve">use to </w:t>
      </w:r>
      <w:r w:rsidRPr="00175243">
        <w:t>calculate efficiency gains in the 2017–22 regulatory control period</w:t>
      </w:r>
      <w:r w:rsidR="005810C0">
        <w:t>, subject to further adjustments allowed by the EBSS</w:t>
      </w:r>
      <w:r w:rsidRPr="00175243">
        <w:t>.</w:t>
      </w:r>
    </w:p>
    <w:p w:rsidR="00DA6333" w:rsidRDefault="00DA6333">
      <w:pPr>
        <w:spacing w:line="240" w:lineRule="auto"/>
        <w:rPr>
          <w:b/>
          <w:bCs/>
          <w:color w:val="076A92" w:themeColor="text1"/>
          <w:sz w:val="24"/>
          <w:szCs w:val="18"/>
        </w:rPr>
      </w:pPr>
      <w:r>
        <w:br w:type="page"/>
      </w:r>
    </w:p>
    <w:p w:rsidR="005810C0" w:rsidRDefault="005810C0" w:rsidP="005810C0">
      <w:pPr>
        <w:pStyle w:val="Caption"/>
      </w:pPr>
      <w:r>
        <w:lastRenderedPageBreak/>
        <w:t xml:space="preserve">Table </w:t>
      </w:r>
      <w:fldSimple w:instr=" STYLEREF 1 \s ">
        <w:r w:rsidR="0061082A">
          <w:rPr>
            <w:noProof/>
          </w:rPr>
          <w:t>9</w:t>
        </w:r>
      </w:fldSimple>
      <w:r w:rsidR="00A00CA1">
        <w:t>.</w:t>
      </w:r>
      <w:fldSimple w:instr=" SEQ Table \* ARABIC \s 1 ">
        <w:r w:rsidR="0061082A">
          <w:rPr>
            <w:noProof/>
          </w:rPr>
          <w:t>2</w:t>
        </w:r>
      </w:fldSimple>
      <w:r>
        <w:tab/>
        <w:t xml:space="preserve">Forecast opex for </w:t>
      </w:r>
      <w:r w:rsidR="00D84314">
        <w:t xml:space="preserve">the </w:t>
      </w:r>
      <w:r>
        <w:t xml:space="preserve">EBSS </w:t>
      </w:r>
      <w:r w:rsidRPr="00EC118B">
        <w:t>($ million, 2016–17)</w:t>
      </w:r>
    </w:p>
    <w:tbl>
      <w:tblPr>
        <w:tblStyle w:val="AERtable-numbers"/>
        <w:tblW w:w="0" w:type="auto"/>
        <w:tblLook w:val="04A0" w:firstRow="1" w:lastRow="0" w:firstColumn="1" w:lastColumn="0" w:noHBand="0" w:noVBand="1"/>
      </w:tblPr>
      <w:tblGrid>
        <w:gridCol w:w="2650"/>
        <w:gridCol w:w="1007"/>
        <w:gridCol w:w="1007"/>
        <w:gridCol w:w="1007"/>
        <w:gridCol w:w="1007"/>
        <w:gridCol w:w="1007"/>
        <w:gridCol w:w="1008"/>
      </w:tblGrid>
      <w:tr w:rsidR="005810C0" w:rsidTr="00581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tcPr>
          <w:p w:rsidR="005810C0" w:rsidRDefault="005810C0" w:rsidP="005810C0"/>
        </w:tc>
        <w:tc>
          <w:tcPr>
            <w:tcW w:w="1007" w:type="dxa"/>
          </w:tcPr>
          <w:p w:rsidR="005810C0" w:rsidRPr="005810C0" w:rsidRDefault="005810C0" w:rsidP="005810C0">
            <w:pPr>
              <w:cnfStyle w:val="100000000000" w:firstRow="1" w:lastRow="0" w:firstColumn="0" w:lastColumn="0" w:oddVBand="0" w:evenVBand="0" w:oddHBand="0" w:evenHBand="0" w:firstRowFirstColumn="0" w:firstRowLastColumn="0" w:lastRowFirstColumn="0" w:lastRowLastColumn="0"/>
            </w:pPr>
            <w:r>
              <w:t>2017–18</w:t>
            </w:r>
          </w:p>
        </w:tc>
        <w:tc>
          <w:tcPr>
            <w:tcW w:w="1007" w:type="dxa"/>
          </w:tcPr>
          <w:p w:rsidR="005810C0" w:rsidRPr="005810C0" w:rsidRDefault="005810C0" w:rsidP="005810C0">
            <w:pPr>
              <w:cnfStyle w:val="100000000000" w:firstRow="1" w:lastRow="0" w:firstColumn="0" w:lastColumn="0" w:oddVBand="0" w:evenVBand="0" w:oddHBand="0" w:evenHBand="0" w:firstRowFirstColumn="0" w:firstRowLastColumn="0" w:lastRowFirstColumn="0" w:lastRowLastColumn="0"/>
            </w:pPr>
            <w:r>
              <w:t>2018–19</w:t>
            </w:r>
          </w:p>
        </w:tc>
        <w:tc>
          <w:tcPr>
            <w:tcW w:w="1007" w:type="dxa"/>
          </w:tcPr>
          <w:p w:rsidR="005810C0" w:rsidRPr="005810C0" w:rsidRDefault="005810C0" w:rsidP="005810C0">
            <w:pPr>
              <w:cnfStyle w:val="100000000000" w:firstRow="1" w:lastRow="0" w:firstColumn="0" w:lastColumn="0" w:oddVBand="0" w:evenVBand="0" w:oddHBand="0" w:evenHBand="0" w:firstRowFirstColumn="0" w:firstRowLastColumn="0" w:lastRowFirstColumn="0" w:lastRowLastColumn="0"/>
            </w:pPr>
            <w:r>
              <w:t>2019–20</w:t>
            </w:r>
          </w:p>
        </w:tc>
        <w:tc>
          <w:tcPr>
            <w:tcW w:w="1007" w:type="dxa"/>
          </w:tcPr>
          <w:p w:rsidR="005810C0" w:rsidRPr="005810C0" w:rsidRDefault="005810C0" w:rsidP="005810C0">
            <w:pPr>
              <w:cnfStyle w:val="100000000000" w:firstRow="1" w:lastRow="0" w:firstColumn="0" w:lastColumn="0" w:oddVBand="0" w:evenVBand="0" w:oddHBand="0" w:evenHBand="0" w:firstRowFirstColumn="0" w:firstRowLastColumn="0" w:lastRowFirstColumn="0" w:lastRowLastColumn="0"/>
            </w:pPr>
            <w:r>
              <w:t>2020–21</w:t>
            </w:r>
          </w:p>
        </w:tc>
        <w:tc>
          <w:tcPr>
            <w:tcW w:w="1007" w:type="dxa"/>
          </w:tcPr>
          <w:p w:rsidR="005810C0" w:rsidRPr="005810C0" w:rsidRDefault="005810C0" w:rsidP="005810C0">
            <w:pPr>
              <w:cnfStyle w:val="100000000000" w:firstRow="1" w:lastRow="0" w:firstColumn="0" w:lastColumn="0" w:oddVBand="0" w:evenVBand="0" w:oddHBand="0" w:evenHBand="0" w:firstRowFirstColumn="0" w:firstRowLastColumn="0" w:lastRowFirstColumn="0" w:lastRowLastColumn="0"/>
            </w:pPr>
            <w:r>
              <w:t>2021–22</w:t>
            </w:r>
          </w:p>
        </w:tc>
        <w:tc>
          <w:tcPr>
            <w:tcW w:w="1008" w:type="dxa"/>
          </w:tcPr>
          <w:p w:rsidR="005810C0" w:rsidRPr="005810C0" w:rsidRDefault="005810C0" w:rsidP="005810C0">
            <w:pPr>
              <w:cnfStyle w:val="100000000000" w:firstRow="1" w:lastRow="0" w:firstColumn="0" w:lastColumn="0" w:oddVBand="0" w:evenVBand="0" w:oddHBand="0" w:evenHBand="0" w:firstRowFirstColumn="0" w:firstRowLastColumn="0" w:lastRowFirstColumn="0" w:lastRowLastColumn="0"/>
            </w:pPr>
            <w:r>
              <w:t>Total</w:t>
            </w:r>
          </w:p>
        </w:tc>
      </w:tr>
      <w:tr w:rsidR="005810C0" w:rsidTr="005810C0">
        <w:tc>
          <w:tcPr>
            <w:cnfStyle w:val="001000000000" w:firstRow="0" w:lastRow="0" w:firstColumn="1" w:lastColumn="0" w:oddVBand="0" w:evenVBand="0" w:oddHBand="0" w:evenHBand="0" w:firstRowFirstColumn="0" w:firstRowLastColumn="0" w:lastRowFirstColumn="0" w:lastRowLastColumn="0"/>
            <w:tcW w:w="2650" w:type="dxa"/>
          </w:tcPr>
          <w:p w:rsidR="005810C0" w:rsidRPr="005810C0" w:rsidRDefault="005810C0" w:rsidP="005810C0">
            <w:r>
              <w:t>Forecast opex</w:t>
            </w:r>
          </w:p>
        </w:tc>
        <w:tc>
          <w:tcPr>
            <w:tcW w:w="1007" w:type="dxa"/>
          </w:tcPr>
          <w:p w:rsidR="005810C0" w:rsidRDefault="003F2A7F" w:rsidP="005810C0">
            <w:pPr>
              <w:cnfStyle w:val="000000000000" w:firstRow="0" w:lastRow="0" w:firstColumn="0" w:lastColumn="0" w:oddVBand="0" w:evenVBand="0" w:oddHBand="0" w:evenHBand="0" w:firstRowFirstColumn="0" w:firstRowLastColumn="0" w:lastRowFirstColumn="0" w:lastRowLastColumn="0"/>
            </w:pPr>
            <w:r>
              <w:t>196.9</w:t>
            </w:r>
          </w:p>
        </w:tc>
        <w:tc>
          <w:tcPr>
            <w:tcW w:w="1007" w:type="dxa"/>
          </w:tcPr>
          <w:p w:rsidR="005810C0" w:rsidRDefault="003F2A7F" w:rsidP="005810C0">
            <w:pPr>
              <w:cnfStyle w:val="000000000000" w:firstRow="0" w:lastRow="0" w:firstColumn="0" w:lastColumn="0" w:oddVBand="0" w:evenVBand="0" w:oddHBand="0" w:evenHBand="0" w:firstRowFirstColumn="0" w:firstRowLastColumn="0" w:lastRowFirstColumn="0" w:lastRowLastColumn="0"/>
            </w:pPr>
            <w:r>
              <w:t>196.0</w:t>
            </w:r>
          </w:p>
        </w:tc>
        <w:tc>
          <w:tcPr>
            <w:tcW w:w="1007" w:type="dxa"/>
          </w:tcPr>
          <w:p w:rsidR="005810C0" w:rsidRDefault="003F2A7F" w:rsidP="005810C0">
            <w:pPr>
              <w:cnfStyle w:val="000000000000" w:firstRow="0" w:lastRow="0" w:firstColumn="0" w:lastColumn="0" w:oddVBand="0" w:evenVBand="0" w:oddHBand="0" w:evenHBand="0" w:firstRowFirstColumn="0" w:firstRowLastColumn="0" w:lastRowFirstColumn="0" w:lastRowLastColumn="0"/>
            </w:pPr>
            <w:r>
              <w:t>195.1</w:t>
            </w:r>
          </w:p>
        </w:tc>
        <w:tc>
          <w:tcPr>
            <w:tcW w:w="1007" w:type="dxa"/>
          </w:tcPr>
          <w:p w:rsidR="005810C0" w:rsidRDefault="003F2A7F" w:rsidP="005810C0">
            <w:pPr>
              <w:cnfStyle w:val="000000000000" w:firstRow="0" w:lastRow="0" w:firstColumn="0" w:lastColumn="0" w:oddVBand="0" w:evenVBand="0" w:oddHBand="0" w:evenHBand="0" w:firstRowFirstColumn="0" w:firstRowLastColumn="0" w:lastRowFirstColumn="0" w:lastRowLastColumn="0"/>
            </w:pPr>
            <w:r>
              <w:t>194.4</w:t>
            </w:r>
          </w:p>
        </w:tc>
        <w:tc>
          <w:tcPr>
            <w:tcW w:w="1007" w:type="dxa"/>
          </w:tcPr>
          <w:p w:rsidR="005810C0" w:rsidRDefault="003F2A7F" w:rsidP="005810C0">
            <w:pPr>
              <w:cnfStyle w:val="000000000000" w:firstRow="0" w:lastRow="0" w:firstColumn="0" w:lastColumn="0" w:oddVBand="0" w:evenVBand="0" w:oddHBand="0" w:evenHBand="0" w:firstRowFirstColumn="0" w:firstRowLastColumn="0" w:lastRowFirstColumn="0" w:lastRowLastColumn="0"/>
            </w:pPr>
            <w:r>
              <w:t>194.3</w:t>
            </w:r>
          </w:p>
        </w:tc>
        <w:tc>
          <w:tcPr>
            <w:tcW w:w="1008" w:type="dxa"/>
          </w:tcPr>
          <w:p w:rsidR="005810C0" w:rsidRPr="0000608C" w:rsidRDefault="003F2A7F" w:rsidP="005810C0">
            <w:pPr>
              <w:cnfStyle w:val="000000000000" w:firstRow="0" w:lastRow="0" w:firstColumn="0" w:lastColumn="0" w:oddVBand="0" w:evenVBand="0" w:oddHBand="0" w:evenHBand="0" w:firstRowFirstColumn="0" w:firstRowLastColumn="0" w:lastRowFirstColumn="0" w:lastRowLastColumn="0"/>
              <w:rPr>
                <w:rStyle w:val="Strong"/>
              </w:rPr>
            </w:pPr>
            <w:r w:rsidRPr="0000608C">
              <w:rPr>
                <w:rStyle w:val="Strong"/>
              </w:rPr>
              <w:t>976.7</w:t>
            </w:r>
          </w:p>
        </w:tc>
      </w:tr>
      <w:tr w:rsidR="005810C0" w:rsidTr="005810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tcPr>
          <w:p w:rsidR="005810C0" w:rsidRPr="005810C0" w:rsidRDefault="005810C0" w:rsidP="005810C0">
            <w:r>
              <w:tab/>
              <w:t>Less debt raising costs</w:t>
            </w:r>
          </w:p>
        </w:tc>
        <w:tc>
          <w:tcPr>
            <w:tcW w:w="1007" w:type="dxa"/>
          </w:tcPr>
          <w:p w:rsidR="005810C0" w:rsidRDefault="00E42161" w:rsidP="005810C0">
            <w:pPr>
              <w:cnfStyle w:val="000000010000" w:firstRow="0" w:lastRow="0" w:firstColumn="0" w:lastColumn="0" w:oddVBand="0" w:evenVBand="0" w:oddHBand="0" w:evenHBand="1" w:firstRowFirstColumn="0" w:firstRowLastColumn="0" w:lastRowFirstColumn="0" w:lastRowLastColumn="0"/>
            </w:pPr>
            <w:r>
              <w:t>–</w:t>
            </w:r>
            <w:r w:rsidR="003F2A7F">
              <w:t>3.6</w:t>
            </w:r>
          </w:p>
        </w:tc>
        <w:tc>
          <w:tcPr>
            <w:tcW w:w="1007" w:type="dxa"/>
          </w:tcPr>
          <w:p w:rsidR="005810C0" w:rsidRDefault="00E42161" w:rsidP="005810C0">
            <w:pPr>
              <w:cnfStyle w:val="000000010000" w:firstRow="0" w:lastRow="0" w:firstColumn="0" w:lastColumn="0" w:oddVBand="0" w:evenVBand="0" w:oddHBand="0" w:evenHBand="1" w:firstRowFirstColumn="0" w:firstRowLastColumn="0" w:lastRowFirstColumn="0" w:lastRowLastColumn="0"/>
            </w:pPr>
            <w:r>
              <w:t>–</w:t>
            </w:r>
            <w:r w:rsidR="003F2A7F">
              <w:t>3.6</w:t>
            </w:r>
          </w:p>
        </w:tc>
        <w:tc>
          <w:tcPr>
            <w:tcW w:w="1007" w:type="dxa"/>
          </w:tcPr>
          <w:p w:rsidR="005810C0" w:rsidRDefault="00E42161" w:rsidP="005810C0">
            <w:pPr>
              <w:cnfStyle w:val="000000010000" w:firstRow="0" w:lastRow="0" w:firstColumn="0" w:lastColumn="0" w:oddVBand="0" w:evenVBand="0" w:oddHBand="0" w:evenHBand="1" w:firstRowFirstColumn="0" w:firstRowLastColumn="0" w:lastRowFirstColumn="0" w:lastRowLastColumn="0"/>
            </w:pPr>
            <w:r>
              <w:t>–</w:t>
            </w:r>
            <w:r w:rsidR="003F2A7F">
              <w:t>3.5</w:t>
            </w:r>
          </w:p>
        </w:tc>
        <w:tc>
          <w:tcPr>
            <w:tcW w:w="1007" w:type="dxa"/>
          </w:tcPr>
          <w:p w:rsidR="005810C0" w:rsidRDefault="00E42161" w:rsidP="005810C0">
            <w:pPr>
              <w:cnfStyle w:val="000000010000" w:firstRow="0" w:lastRow="0" w:firstColumn="0" w:lastColumn="0" w:oddVBand="0" w:evenVBand="0" w:oddHBand="0" w:evenHBand="1" w:firstRowFirstColumn="0" w:firstRowLastColumn="0" w:lastRowFirstColumn="0" w:lastRowLastColumn="0"/>
            </w:pPr>
            <w:r>
              <w:t>–</w:t>
            </w:r>
            <w:r w:rsidR="003F2A7F">
              <w:t>3.5</w:t>
            </w:r>
          </w:p>
        </w:tc>
        <w:tc>
          <w:tcPr>
            <w:tcW w:w="1007" w:type="dxa"/>
          </w:tcPr>
          <w:p w:rsidR="005810C0" w:rsidRDefault="00E42161" w:rsidP="005810C0">
            <w:pPr>
              <w:cnfStyle w:val="000000010000" w:firstRow="0" w:lastRow="0" w:firstColumn="0" w:lastColumn="0" w:oddVBand="0" w:evenVBand="0" w:oddHBand="0" w:evenHBand="1" w:firstRowFirstColumn="0" w:firstRowLastColumn="0" w:lastRowFirstColumn="0" w:lastRowLastColumn="0"/>
            </w:pPr>
            <w:r>
              <w:t>–</w:t>
            </w:r>
            <w:r w:rsidR="003F2A7F">
              <w:t>3.4</w:t>
            </w:r>
          </w:p>
        </w:tc>
        <w:tc>
          <w:tcPr>
            <w:tcW w:w="1008" w:type="dxa"/>
          </w:tcPr>
          <w:p w:rsidR="005810C0" w:rsidRPr="0000608C" w:rsidRDefault="00E42161" w:rsidP="005810C0">
            <w:pPr>
              <w:cnfStyle w:val="000000010000" w:firstRow="0" w:lastRow="0" w:firstColumn="0" w:lastColumn="0" w:oddVBand="0" w:evenVBand="0" w:oddHBand="0" w:evenHBand="1" w:firstRowFirstColumn="0" w:firstRowLastColumn="0" w:lastRowFirstColumn="0" w:lastRowLastColumn="0"/>
              <w:rPr>
                <w:rStyle w:val="Strong"/>
              </w:rPr>
            </w:pPr>
            <w:r>
              <w:rPr>
                <w:rStyle w:val="Strong"/>
              </w:rPr>
              <w:t>–</w:t>
            </w:r>
            <w:r w:rsidR="003F2A7F" w:rsidRPr="0000608C">
              <w:rPr>
                <w:rStyle w:val="Strong"/>
              </w:rPr>
              <w:t>17.6</w:t>
            </w:r>
          </w:p>
        </w:tc>
      </w:tr>
      <w:tr w:rsidR="005810C0" w:rsidTr="005810C0">
        <w:tc>
          <w:tcPr>
            <w:cnfStyle w:val="001000000000" w:firstRow="0" w:lastRow="0" w:firstColumn="1" w:lastColumn="0" w:oddVBand="0" w:evenVBand="0" w:oddHBand="0" w:evenHBand="0" w:firstRowFirstColumn="0" w:firstRowLastColumn="0" w:lastRowFirstColumn="0" w:lastRowLastColumn="0"/>
            <w:tcW w:w="2650" w:type="dxa"/>
          </w:tcPr>
          <w:p w:rsidR="005810C0" w:rsidRDefault="005810C0" w:rsidP="005810C0">
            <w:r>
              <w:tab/>
              <w:t>Less network support costs</w:t>
            </w:r>
          </w:p>
        </w:tc>
        <w:tc>
          <w:tcPr>
            <w:tcW w:w="1007" w:type="dxa"/>
          </w:tcPr>
          <w:p w:rsidR="005810C0" w:rsidRDefault="00E40C0F" w:rsidP="005810C0">
            <w:pPr>
              <w:cnfStyle w:val="000000000000" w:firstRow="0" w:lastRow="0" w:firstColumn="0" w:lastColumn="0" w:oddVBand="0" w:evenVBand="0" w:oddHBand="0" w:evenHBand="0" w:firstRowFirstColumn="0" w:firstRowLastColumn="0" w:lastRowFirstColumn="0" w:lastRowLastColumn="0"/>
            </w:pPr>
            <w:r>
              <w:t>–</w:t>
            </w:r>
          </w:p>
        </w:tc>
        <w:tc>
          <w:tcPr>
            <w:tcW w:w="1007" w:type="dxa"/>
          </w:tcPr>
          <w:p w:rsidR="005810C0" w:rsidRDefault="00E40C0F" w:rsidP="005810C0">
            <w:pPr>
              <w:cnfStyle w:val="000000000000" w:firstRow="0" w:lastRow="0" w:firstColumn="0" w:lastColumn="0" w:oddVBand="0" w:evenVBand="0" w:oddHBand="0" w:evenHBand="0" w:firstRowFirstColumn="0" w:firstRowLastColumn="0" w:lastRowFirstColumn="0" w:lastRowLastColumn="0"/>
            </w:pPr>
            <w:r>
              <w:t>–</w:t>
            </w:r>
          </w:p>
        </w:tc>
        <w:tc>
          <w:tcPr>
            <w:tcW w:w="1007" w:type="dxa"/>
          </w:tcPr>
          <w:p w:rsidR="005810C0" w:rsidRDefault="00E40C0F" w:rsidP="005810C0">
            <w:pPr>
              <w:cnfStyle w:val="000000000000" w:firstRow="0" w:lastRow="0" w:firstColumn="0" w:lastColumn="0" w:oddVBand="0" w:evenVBand="0" w:oddHBand="0" w:evenHBand="0" w:firstRowFirstColumn="0" w:firstRowLastColumn="0" w:lastRowFirstColumn="0" w:lastRowLastColumn="0"/>
            </w:pPr>
            <w:r>
              <w:t>–</w:t>
            </w:r>
          </w:p>
        </w:tc>
        <w:tc>
          <w:tcPr>
            <w:tcW w:w="1007" w:type="dxa"/>
          </w:tcPr>
          <w:p w:rsidR="005810C0" w:rsidRDefault="00E40C0F" w:rsidP="005810C0">
            <w:pPr>
              <w:cnfStyle w:val="000000000000" w:firstRow="0" w:lastRow="0" w:firstColumn="0" w:lastColumn="0" w:oddVBand="0" w:evenVBand="0" w:oddHBand="0" w:evenHBand="0" w:firstRowFirstColumn="0" w:firstRowLastColumn="0" w:lastRowFirstColumn="0" w:lastRowLastColumn="0"/>
            </w:pPr>
            <w:r>
              <w:t>–</w:t>
            </w:r>
          </w:p>
        </w:tc>
        <w:tc>
          <w:tcPr>
            <w:tcW w:w="1007" w:type="dxa"/>
          </w:tcPr>
          <w:p w:rsidR="005810C0" w:rsidRDefault="00E40C0F" w:rsidP="005810C0">
            <w:pPr>
              <w:cnfStyle w:val="000000000000" w:firstRow="0" w:lastRow="0" w:firstColumn="0" w:lastColumn="0" w:oddVBand="0" w:evenVBand="0" w:oddHBand="0" w:evenHBand="0" w:firstRowFirstColumn="0" w:firstRowLastColumn="0" w:lastRowFirstColumn="0" w:lastRowLastColumn="0"/>
            </w:pPr>
            <w:r>
              <w:t>–</w:t>
            </w:r>
          </w:p>
        </w:tc>
        <w:tc>
          <w:tcPr>
            <w:tcW w:w="1008" w:type="dxa"/>
          </w:tcPr>
          <w:p w:rsidR="005810C0" w:rsidRPr="0000608C" w:rsidRDefault="00E40C0F" w:rsidP="005810C0">
            <w:pPr>
              <w:cnfStyle w:val="000000000000" w:firstRow="0" w:lastRow="0" w:firstColumn="0" w:lastColumn="0" w:oddVBand="0" w:evenVBand="0" w:oddHBand="0" w:evenHBand="0" w:firstRowFirstColumn="0" w:firstRowLastColumn="0" w:lastRowFirstColumn="0" w:lastRowLastColumn="0"/>
              <w:rPr>
                <w:rStyle w:val="Strong"/>
              </w:rPr>
            </w:pPr>
            <w:r w:rsidRPr="0000608C">
              <w:rPr>
                <w:rStyle w:val="Strong"/>
              </w:rPr>
              <w:t>–</w:t>
            </w:r>
          </w:p>
        </w:tc>
      </w:tr>
      <w:tr w:rsidR="005810C0" w:rsidRPr="005564A0" w:rsidTr="005810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tcPr>
          <w:p w:rsidR="005810C0" w:rsidRPr="005564A0" w:rsidRDefault="005810C0" w:rsidP="00D84314">
            <w:pPr>
              <w:rPr>
                <w:rStyle w:val="Strong"/>
              </w:rPr>
            </w:pPr>
            <w:r w:rsidRPr="005564A0">
              <w:rPr>
                <w:rStyle w:val="Strong"/>
              </w:rPr>
              <w:t xml:space="preserve">Total opex for </w:t>
            </w:r>
            <w:r w:rsidR="00D84314">
              <w:rPr>
                <w:rStyle w:val="Strong"/>
              </w:rPr>
              <w:t xml:space="preserve">the </w:t>
            </w:r>
            <w:r w:rsidRPr="005564A0">
              <w:rPr>
                <w:rStyle w:val="Strong"/>
              </w:rPr>
              <w:t xml:space="preserve">EBSS </w:t>
            </w:r>
            <w:r w:rsidR="00D84314">
              <w:rPr>
                <w:rStyle w:val="Strong"/>
              </w:rPr>
              <w:t>target</w:t>
            </w:r>
          </w:p>
        </w:tc>
        <w:tc>
          <w:tcPr>
            <w:tcW w:w="1007" w:type="dxa"/>
          </w:tcPr>
          <w:p w:rsidR="005810C0" w:rsidRPr="005564A0" w:rsidRDefault="003F2A7F" w:rsidP="005810C0">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193.3</w:t>
            </w:r>
          </w:p>
        </w:tc>
        <w:tc>
          <w:tcPr>
            <w:tcW w:w="1007" w:type="dxa"/>
          </w:tcPr>
          <w:p w:rsidR="005810C0" w:rsidRPr="005564A0" w:rsidRDefault="003F2A7F" w:rsidP="005810C0">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192.5</w:t>
            </w:r>
          </w:p>
        </w:tc>
        <w:tc>
          <w:tcPr>
            <w:tcW w:w="1007" w:type="dxa"/>
          </w:tcPr>
          <w:p w:rsidR="005810C0" w:rsidRPr="005564A0" w:rsidRDefault="003F2A7F" w:rsidP="005810C0">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191.6</w:t>
            </w:r>
          </w:p>
        </w:tc>
        <w:tc>
          <w:tcPr>
            <w:tcW w:w="1007" w:type="dxa"/>
          </w:tcPr>
          <w:p w:rsidR="005810C0" w:rsidRPr="005564A0" w:rsidRDefault="003F2A7F" w:rsidP="005810C0">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190.9</w:t>
            </w:r>
          </w:p>
        </w:tc>
        <w:tc>
          <w:tcPr>
            <w:tcW w:w="1007" w:type="dxa"/>
          </w:tcPr>
          <w:p w:rsidR="005810C0" w:rsidRPr="005564A0" w:rsidRDefault="003F2A7F" w:rsidP="005810C0">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190.8</w:t>
            </w:r>
          </w:p>
        </w:tc>
        <w:tc>
          <w:tcPr>
            <w:tcW w:w="1008" w:type="dxa"/>
          </w:tcPr>
          <w:p w:rsidR="005810C0" w:rsidRPr="005564A0" w:rsidRDefault="003F2A7F" w:rsidP="005810C0">
            <w:pPr>
              <w:cnfStyle w:val="000000010000" w:firstRow="0" w:lastRow="0" w:firstColumn="0" w:lastColumn="0" w:oddVBand="0" w:evenVBand="0" w:oddHBand="0" w:evenHBand="1" w:firstRowFirstColumn="0" w:firstRowLastColumn="0" w:lastRowFirstColumn="0" w:lastRowLastColumn="0"/>
              <w:rPr>
                <w:rStyle w:val="Strong"/>
              </w:rPr>
            </w:pPr>
            <w:r>
              <w:rPr>
                <w:rStyle w:val="Strong"/>
              </w:rPr>
              <w:t>959.1</w:t>
            </w:r>
          </w:p>
        </w:tc>
      </w:tr>
    </w:tbl>
    <w:p w:rsidR="005810C0" w:rsidRPr="005810C0" w:rsidRDefault="005810C0" w:rsidP="005810C0">
      <w:pPr>
        <w:pStyle w:val="AERtablesource"/>
      </w:pPr>
      <w:r w:rsidRPr="005810C0">
        <w:t xml:space="preserve">Source: </w:t>
      </w:r>
      <w:r>
        <w:tab/>
      </w:r>
      <w:r w:rsidR="00ED72FE">
        <w:t xml:space="preserve">Powerlink, </w:t>
      </w:r>
      <w:r w:rsidR="00ED72FE" w:rsidRPr="006D7380">
        <w:rPr>
          <w:rStyle w:val="AERtextitalic"/>
        </w:rPr>
        <w:t>Revenue proposal</w:t>
      </w:r>
      <w:r w:rsidR="00ED72FE">
        <w:t>, January 2016</w:t>
      </w:r>
      <w:r w:rsidRPr="005810C0">
        <w:t>.</w:t>
      </w:r>
      <w:r w:rsidR="00D84314">
        <w:t xml:space="preserve"> Numbers may not add </w:t>
      </w:r>
      <w:r w:rsidR="00250202">
        <w:t xml:space="preserve">up </w:t>
      </w:r>
      <w:r w:rsidR="00D84314">
        <w:t>to total due to rounding.</w:t>
      </w:r>
    </w:p>
    <w:p w:rsidR="00132D43" w:rsidRDefault="00132D43" w:rsidP="00132D43">
      <w:pPr>
        <w:pStyle w:val="Heading2"/>
      </w:pPr>
      <w:bookmarkStart w:id="74" w:name="_Toc462752628"/>
      <w:r>
        <w:t>Powerlink’s proposal</w:t>
      </w:r>
      <w:bookmarkEnd w:id="74"/>
    </w:p>
    <w:p w:rsidR="00132D43" w:rsidRDefault="000D20EF" w:rsidP="00902775">
      <w:pPr>
        <w:pStyle w:val="Heading3"/>
      </w:pPr>
      <w:bookmarkStart w:id="75" w:name="_Toc462752629"/>
      <w:r>
        <w:t>Carryover amounts from the 2012</w:t>
      </w:r>
      <w:r w:rsidR="00902775" w:rsidRPr="00902775">
        <w:t>–17 regulatory control period</w:t>
      </w:r>
      <w:bookmarkEnd w:id="75"/>
    </w:p>
    <w:p w:rsidR="00902775" w:rsidRPr="00902775" w:rsidRDefault="00902775" w:rsidP="00902775">
      <w:r>
        <w:t>Powerlink</w:t>
      </w:r>
      <w:r w:rsidRPr="00902775">
        <w:t xml:space="preserve"> propose</w:t>
      </w:r>
      <w:r w:rsidR="00B97054">
        <w:t>d</w:t>
      </w:r>
      <w:r w:rsidRPr="00902775">
        <w:t xml:space="preserve"> </w:t>
      </w:r>
      <w:r w:rsidR="00DC5016">
        <w:t xml:space="preserve">we include </w:t>
      </w:r>
      <w:r w:rsidRPr="00902775">
        <w:t>a</w:t>
      </w:r>
      <w:r w:rsidR="00A00CA1">
        <w:t xml:space="preserve">n EBSS </w:t>
      </w:r>
      <w:r w:rsidR="00DC5016">
        <w:t xml:space="preserve">decrement </w:t>
      </w:r>
      <w:r w:rsidR="00B97054">
        <w:t xml:space="preserve">of </w:t>
      </w:r>
      <w:r w:rsidRPr="00902775">
        <w:t>$</w:t>
      </w:r>
      <w:r>
        <w:t>7.8</w:t>
      </w:r>
      <w:r w:rsidRPr="00902775">
        <w:t xml:space="preserve"> million ($2016–17</w:t>
      </w:r>
      <w:r w:rsidR="00A00CA1">
        <w:t xml:space="preserve">, </w:t>
      </w:r>
      <w:r w:rsidR="00A00CA1">
        <w:fldChar w:fldCharType="begin"/>
      </w:r>
      <w:r w:rsidR="00A00CA1">
        <w:instrText xml:space="preserve"> REF  _Ref458079231 \* Lower \h </w:instrText>
      </w:r>
      <w:r w:rsidR="00A00CA1">
        <w:fldChar w:fldCharType="separate"/>
      </w:r>
      <w:r w:rsidR="0061082A">
        <w:t xml:space="preserve">table </w:t>
      </w:r>
      <w:r w:rsidR="0061082A">
        <w:rPr>
          <w:noProof/>
        </w:rPr>
        <w:t>9</w:t>
      </w:r>
      <w:r w:rsidR="0061082A">
        <w:t>.</w:t>
      </w:r>
      <w:r w:rsidR="0061082A">
        <w:rPr>
          <w:noProof/>
        </w:rPr>
        <w:t>1</w:t>
      </w:r>
      <w:r w:rsidR="00A00CA1">
        <w:fldChar w:fldCharType="end"/>
      </w:r>
      <w:r w:rsidRPr="00902775">
        <w:t xml:space="preserve">) </w:t>
      </w:r>
      <w:r w:rsidR="00DC5016">
        <w:t>in</w:t>
      </w:r>
      <w:r>
        <w:t xml:space="preserve"> </w:t>
      </w:r>
      <w:r w:rsidRPr="00902775">
        <w:t xml:space="preserve">its regulated revenue </w:t>
      </w:r>
      <w:r w:rsidR="00DC5016">
        <w:t>for</w:t>
      </w:r>
      <w:r w:rsidRPr="00902775">
        <w:t xml:space="preserve"> the 2017–22 regulatory control period</w:t>
      </w:r>
      <w:r w:rsidR="00250202">
        <w:t>,</w:t>
      </w:r>
      <w:r w:rsidR="00B97054">
        <w:t xml:space="preserve"> </w:t>
      </w:r>
      <w:r w:rsidR="00B97054" w:rsidRPr="00F96819">
        <w:t>from appl</w:t>
      </w:r>
      <w:r w:rsidR="00250202">
        <w:t>ying</w:t>
      </w:r>
      <w:r w:rsidR="00B97054" w:rsidRPr="00F96819">
        <w:t xml:space="preserve"> the EBSS </w:t>
      </w:r>
      <w:r w:rsidR="00250202">
        <w:t>in</w:t>
      </w:r>
      <w:r w:rsidR="00B97054" w:rsidRPr="00F96819">
        <w:t xml:space="preserve"> the </w:t>
      </w:r>
      <w:r w:rsidR="00986432" w:rsidRPr="00F96819">
        <w:t>201</w:t>
      </w:r>
      <w:r w:rsidR="00986432">
        <w:t>2</w:t>
      </w:r>
      <w:r w:rsidR="00B97054">
        <w:t>–17 regulatory control period</w:t>
      </w:r>
      <w:r w:rsidRPr="00902775">
        <w:t>.</w:t>
      </w:r>
      <w:r>
        <w:rPr>
          <w:rStyle w:val="FootnoteReference"/>
        </w:rPr>
        <w:footnoteReference w:id="7"/>
      </w:r>
    </w:p>
    <w:p w:rsidR="00EC12FF" w:rsidRDefault="005564A0" w:rsidP="00EC12FF">
      <w:r>
        <w:t>To</w:t>
      </w:r>
      <w:r w:rsidRPr="00902775">
        <w:t xml:space="preserve"> </w:t>
      </w:r>
      <w:r w:rsidR="00902775" w:rsidRPr="00902775">
        <w:t>estimat</w:t>
      </w:r>
      <w:r>
        <w:t>e</w:t>
      </w:r>
      <w:r w:rsidR="00902775" w:rsidRPr="00902775">
        <w:t xml:space="preserve"> its proposed EBSS carryover amounts, </w:t>
      </w:r>
      <w:r w:rsidR="00902775">
        <w:t>Powerlink</w:t>
      </w:r>
      <w:r w:rsidR="00EC12FF">
        <w:t xml:space="preserve"> </w:t>
      </w:r>
      <w:r w:rsidR="00EC12FF" w:rsidRPr="00EC12FF">
        <w:t>adjust</w:t>
      </w:r>
      <w:r>
        <w:t>ed</w:t>
      </w:r>
      <w:r w:rsidR="00EC12FF" w:rsidRPr="00EC12FF">
        <w:t xml:space="preserve"> its total </w:t>
      </w:r>
      <w:r w:rsidR="00EC12FF">
        <w:t>opex</w:t>
      </w:r>
      <w:r w:rsidR="00EC12FF" w:rsidRPr="00EC12FF">
        <w:t xml:space="preserve"> allowance to reflect the difference</w:t>
      </w:r>
      <w:r w:rsidR="00EC12FF">
        <w:t xml:space="preserve"> </w:t>
      </w:r>
      <w:r w:rsidR="00EC12FF" w:rsidRPr="00EC12FF">
        <w:t>between for</w:t>
      </w:r>
      <w:r w:rsidR="00EC12FF">
        <w:t>ecast and actual demand growth as required by version one of the EBSS.</w:t>
      </w:r>
      <w:r w:rsidR="00EC12FF">
        <w:rPr>
          <w:rStyle w:val="FootnoteReference"/>
        </w:rPr>
        <w:footnoteReference w:id="8"/>
      </w:r>
      <w:r w:rsidR="00EC12FF">
        <w:t xml:space="preserve"> It also excluded the following categories of expenditure, as set </w:t>
      </w:r>
      <w:r w:rsidR="007E0F46">
        <w:t>out</w:t>
      </w:r>
      <w:r w:rsidR="00EC12FF">
        <w:t xml:space="preserve"> in its transmission determination:</w:t>
      </w:r>
      <w:r w:rsidR="00EC12FF">
        <w:rPr>
          <w:rStyle w:val="FootnoteReference"/>
        </w:rPr>
        <w:footnoteReference w:id="9"/>
      </w:r>
    </w:p>
    <w:p w:rsidR="00EC12FF" w:rsidRPr="00EC12FF" w:rsidRDefault="00EC12FF" w:rsidP="00EC12FF">
      <w:pPr>
        <w:pStyle w:val="AERbulletlistfirststyle"/>
      </w:pPr>
      <w:r>
        <w:t>debt raising costs</w:t>
      </w:r>
    </w:p>
    <w:p w:rsidR="00EC12FF" w:rsidRPr="00EC12FF" w:rsidRDefault="00EC12FF" w:rsidP="00EC12FF">
      <w:pPr>
        <w:pStyle w:val="AERbulletlistfirststyle"/>
      </w:pPr>
      <w:r>
        <w:t>insurance premiums</w:t>
      </w:r>
    </w:p>
    <w:p w:rsidR="00EC12FF" w:rsidRPr="00EC12FF" w:rsidRDefault="00EC12FF" w:rsidP="00EC12FF">
      <w:pPr>
        <w:pStyle w:val="AERbulletlistfirststyle"/>
      </w:pPr>
      <w:r>
        <w:t>self-insurance allowance</w:t>
      </w:r>
    </w:p>
    <w:p w:rsidR="00EC12FF" w:rsidRPr="00EC12FF" w:rsidRDefault="00EC12FF" w:rsidP="00EC12FF">
      <w:pPr>
        <w:pStyle w:val="AERbulletlistfirststyle"/>
      </w:pPr>
      <w:r>
        <w:t>n</w:t>
      </w:r>
      <w:r w:rsidRPr="00EC12FF">
        <w:t>etwork suppo</w:t>
      </w:r>
      <w:r>
        <w:t>rt costs</w:t>
      </w:r>
      <w:r w:rsidR="00417202">
        <w:t>.</w:t>
      </w:r>
    </w:p>
    <w:p w:rsidR="00EC12FF" w:rsidRDefault="00EC12FF" w:rsidP="00EC12FF">
      <w:r>
        <w:t xml:space="preserve">Powerlink also excluded the following categories of expenditure on the basis that including them </w:t>
      </w:r>
      <w:r w:rsidRPr="00EC12FF">
        <w:t>would unduly penalise</w:t>
      </w:r>
      <w:r>
        <w:t xml:space="preserve"> it:</w:t>
      </w:r>
    </w:p>
    <w:p w:rsidR="00EC12FF" w:rsidRDefault="00EC12FF" w:rsidP="00EC12FF">
      <w:pPr>
        <w:pStyle w:val="AERbulletlistfirststyle"/>
      </w:pPr>
      <w:r w:rsidRPr="00EC12FF">
        <w:t xml:space="preserve">AEMC </w:t>
      </w:r>
      <w:r>
        <w:t>l</w:t>
      </w:r>
      <w:r w:rsidRPr="00EC12FF">
        <w:t>evy</w:t>
      </w:r>
    </w:p>
    <w:p w:rsidR="00EC12FF" w:rsidRDefault="00EC12FF" w:rsidP="00EC12FF">
      <w:pPr>
        <w:pStyle w:val="AERbulletlistfirststyle"/>
      </w:pPr>
      <w:r>
        <w:t>r</w:t>
      </w:r>
      <w:r w:rsidRPr="00EC12FF">
        <w:t>educed demand, workforce adjustment</w:t>
      </w:r>
    </w:p>
    <w:p w:rsidR="00EC12FF" w:rsidRPr="00EC12FF" w:rsidRDefault="00EC12FF" w:rsidP="00EC12FF">
      <w:pPr>
        <w:pStyle w:val="AERbulletlistfirststyle"/>
      </w:pPr>
      <w:r>
        <w:t>r</w:t>
      </w:r>
      <w:r w:rsidRPr="00EC12FF">
        <w:t>educed demand, 500kV write-off</w:t>
      </w:r>
      <w:r>
        <w:t>.</w:t>
      </w:r>
    </w:p>
    <w:p w:rsidR="00EC12FF" w:rsidRDefault="00A00CA1" w:rsidP="00A00CA1">
      <w:r>
        <w:lastRenderedPageBreak/>
        <w:t xml:space="preserve">To </w:t>
      </w:r>
      <w:r w:rsidR="005564A0">
        <w:t>calculate</w:t>
      </w:r>
      <w:r w:rsidR="005564A0" w:rsidRPr="00EC12FF">
        <w:t xml:space="preserve"> </w:t>
      </w:r>
      <w:r w:rsidR="00EC12FF" w:rsidRPr="00EC12FF">
        <w:t xml:space="preserve">its </w:t>
      </w:r>
      <w:r>
        <w:t xml:space="preserve">proposed </w:t>
      </w:r>
      <w:r w:rsidR="00EC12FF" w:rsidRPr="00EC12FF">
        <w:t xml:space="preserve">EBSS carryover, Powerlink included its latest estimate of </w:t>
      </w:r>
      <w:r>
        <w:t>opex</w:t>
      </w:r>
      <w:r w:rsidR="00EC12FF" w:rsidRPr="00EC12FF">
        <w:t xml:space="preserve"> for 2015</w:t>
      </w:r>
      <w:r>
        <w:t>–</w:t>
      </w:r>
      <w:r w:rsidR="00EC12FF" w:rsidRPr="00EC12FF">
        <w:t>16 and assumed no</w:t>
      </w:r>
      <w:r>
        <w:t xml:space="preserve"> </w:t>
      </w:r>
      <w:r w:rsidR="00EC12FF" w:rsidRPr="00EC12FF">
        <w:t>incremental efficiency gain for 2016</w:t>
      </w:r>
      <w:r>
        <w:t>–</w:t>
      </w:r>
      <w:r w:rsidR="00EC12FF" w:rsidRPr="00EC12FF">
        <w:t>17.</w:t>
      </w:r>
      <w:r>
        <w:t xml:space="preserve"> On this basis </w:t>
      </w:r>
      <w:r w:rsidR="00EC12FF" w:rsidRPr="00EC12FF">
        <w:t xml:space="preserve">Powerlink </w:t>
      </w:r>
      <w:r>
        <w:t>proposed an EBSS c</w:t>
      </w:r>
      <w:r w:rsidR="00EC12FF" w:rsidRPr="00EC12FF">
        <w:t xml:space="preserve">arryover amount of </w:t>
      </w:r>
      <w:r>
        <w:t>–$7.8 million (</w:t>
      </w:r>
      <w:r w:rsidR="00B97054">
        <w:t>$</w:t>
      </w:r>
      <w:r>
        <w:t>2016–17).</w:t>
      </w:r>
      <w:r>
        <w:rPr>
          <w:rStyle w:val="FootnoteReference"/>
        </w:rPr>
        <w:footnoteReference w:id="10"/>
      </w:r>
    </w:p>
    <w:p w:rsidR="00902775" w:rsidRDefault="00902775" w:rsidP="00902775">
      <w:pPr>
        <w:pStyle w:val="Heading3"/>
      </w:pPr>
      <w:bookmarkStart w:id="76" w:name="_Toc462752630"/>
      <w:r w:rsidRPr="00902775">
        <w:t>Application of the EBSS in the 2017–22 regulatory control period</w:t>
      </w:r>
      <w:bookmarkEnd w:id="76"/>
    </w:p>
    <w:p w:rsidR="00902775" w:rsidRDefault="00902775" w:rsidP="00132D43">
      <w:r>
        <w:t>Powerlink</w:t>
      </w:r>
      <w:r w:rsidRPr="00902775">
        <w:t xml:space="preserve"> proposed </w:t>
      </w:r>
      <w:r>
        <w:t xml:space="preserve">we apply version </w:t>
      </w:r>
      <w:r w:rsidR="00134F9A">
        <w:t xml:space="preserve">two </w:t>
      </w:r>
      <w:r>
        <w:t xml:space="preserve">of the scheme </w:t>
      </w:r>
      <w:r w:rsidRPr="00902775">
        <w:t>in the 2017–22 regulatory control period. It proposed we exclude the following cost categories from the scheme:</w:t>
      </w:r>
    </w:p>
    <w:p w:rsidR="009B2927" w:rsidRDefault="009B2927" w:rsidP="00F96819">
      <w:pPr>
        <w:pStyle w:val="AERbulletlistfirststyle"/>
      </w:pPr>
      <w:r>
        <w:t>insurance and self-insurance</w:t>
      </w:r>
    </w:p>
    <w:p w:rsidR="00902775" w:rsidRDefault="009B2927" w:rsidP="00F96819">
      <w:pPr>
        <w:pStyle w:val="AERbulletlistfirststyle"/>
      </w:pPr>
      <w:r>
        <w:t>AEMC levy</w:t>
      </w:r>
    </w:p>
    <w:p w:rsidR="009B2927" w:rsidRDefault="009B2927" w:rsidP="00F96819">
      <w:pPr>
        <w:pStyle w:val="AERbulletlistfirststyle"/>
      </w:pPr>
      <w:r>
        <w:t>network support</w:t>
      </w:r>
      <w:r w:rsidR="00FF344A">
        <w:t xml:space="preserve"> costs</w:t>
      </w:r>
    </w:p>
    <w:p w:rsidR="009B2927" w:rsidRDefault="009B2927" w:rsidP="00F96819">
      <w:pPr>
        <w:pStyle w:val="AERbulletlistfirststyle"/>
      </w:pPr>
      <w:r>
        <w:t>debt raising costs</w:t>
      </w:r>
    </w:p>
    <w:p w:rsidR="009B2927" w:rsidRDefault="009B2927" w:rsidP="00F96819">
      <w:pPr>
        <w:pStyle w:val="AERbulletlistfirststyle"/>
      </w:pPr>
      <w:r>
        <w:t>redundancy costs.</w:t>
      </w:r>
    </w:p>
    <w:p w:rsidR="00F96819" w:rsidRDefault="009B2927" w:rsidP="00132D43">
      <w:r>
        <w:t>This is because it did not forecast these categories of opex using a single year revealed cost approach.</w:t>
      </w:r>
    </w:p>
    <w:p w:rsidR="00132D43" w:rsidRDefault="00132D43" w:rsidP="00132D43">
      <w:pPr>
        <w:pStyle w:val="Heading2"/>
      </w:pPr>
      <w:bookmarkStart w:id="77" w:name="_Toc462752631"/>
      <w:r>
        <w:t>Assessment approach</w:t>
      </w:r>
      <w:bookmarkEnd w:id="77"/>
    </w:p>
    <w:p w:rsidR="00F96819" w:rsidRPr="00F96819" w:rsidRDefault="00F96819" w:rsidP="00F96819">
      <w:r w:rsidRPr="00F96819">
        <w:t xml:space="preserve">Under the National Electricity Rules (NER) we must </w:t>
      </w:r>
      <w:r w:rsidR="00AE1F9B">
        <w:t>determine</w:t>
      </w:r>
      <w:r w:rsidRPr="00F96819">
        <w:t>:</w:t>
      </w:r>
    </w:p>
    <w:p w:rsidR="00F96819" w:rsidRPr="00F96819" w:rsidRDefault="00F96819" w:rsidP="00DC5016">
      <w:pPr>
        <w:pStyle w:val="AERbulletlistfirststyle"/>
      </w:pPr>
      <w:r w:rsidRPr="00F96819">
        <w:t xml:space="preserve">the revenue increments or decrements for each year of the 2017–22 regulatory control period arising from the application of the EBSS during the </w:t>
      </w:r>
      <w:r w:rsidR="00B97054">
        <w:br/>
      </w:r>
      <w:r w:rsidR="00986432" w:rsidRPr="00F96819">
        <w:t>201</w:t>
      </w:r>
      <w:r w:rsidR="00986432">
        <w:t>2</w:t>
      </w:r>
      <w:r>
        <w:t>–17 regulatory control period</w:t>
      </w:r>
      <w:r>
        <w:rPr>
          <w:rStyle w:val="FootnoteReference"/>
        </w:rPr>
        <w:footnoteReference w:id="11"/>
      </w:r>
    </w:p>
    <w:p w:rsidR="00F96819" w:rsidRPr="00F96819" w:rsidRDefault="00F96819" w:rsidP="00DC5016">
      <w:pPr>
        <w:pStyle w:val="AERbulletlistfirststyle"/>
      </w:pPr>
      <w:r w:rsidRPr="00F96819">
        <w:t xml:space="preserve">how the EBSS will apply to </w:t>
      </w:r>
      <w:r w:rsidR="00DC5016">
        <w:t>Powerlink</w:t>
      </w:r>
      <w:r w:rsidRPr="00F96819">
        <w:t xml:space="preserve"> in the 2017</w:t>
      </w:r>
      <w:r>
        <w:t>–22 regulatory control period.</w:t>
      </w:r>
      <w:r>
        <w:rPr>
          <w:rStyle w:val="FootnoteReference"/>
        </w:rPr>
        <w:footnoteReference w:id="12"/>
      </w:r>
    </w:p>
    <w:p w:rsidR="00132D43" w:rsidRDefault="00F96819" w:rsidP="00F96819">
      <w:r w:rsidRPr="00F96819">
        <w:t>The EBSS must provide for a fair sharing between service providers and network users of opex efficiency gains and efficiency losses.</w:t>
      </w:r>
      <w:r>
        <w:rPr>
          <w:rStyle w:val="FootnoteReference"/>
        </w:rPr>
        <w:footnoteReference w:id="13"/>
      </w:r>
      <w:r w:rsidRPr="00F96819">
        <w:t xml:space="preserve"> We must also have regard to the following </w:t>
      </w:r>
      <w:r w:rsidR="00022A9F">
        <w:t xml:space="preserve">matters </w:t>
      </w:r>
      <w:r>
        <w:t>when implementing the EBSS:</w:t>
      </w:r>
      <w:r>
        <w:rPr>
          <w:rStyle w:val="FootnoteReference"/>
        </w:rPr>
        <w:footnoteReference w:id="14"/>
      </w:r>
    </w:p>
    <w:p w:rsidR="00F96819" w:rsidRPr="00F96819" w:rsidRDefault="00F96819" w:rsidP="00F96819">
      <w:pPr>
        <w:pStyle w:val="AERbulletlistfirststyle"/>
      </w:pPr>
      <w:r w:rsidRPr="00F96819">
        <w:t>the need to provide the network service provider with continuous incentives to reduce opex</w:t>
      </w:r>
    </w:p>
    <w:p w:rsidR="00F96819" w:rsidRPr="00F96819" w:rsidRDefault="00F96819" w:rsidP="00F96819">
      <w:pPr>
        <w:pStyle w:val="AERbulletlistfirststyle"/>
      </w:pPr>
      <w:r w:rsidRPr="00F96819">
        <w:t>the desirability of both rewarding the service providers for efficiency gains and penalising them for efficiency losses</w:t>
      </w:r>
    </w:p>
    <w:p w:rsidR="00F96819" w:rsidRPr="00F96819" w:rsidRDefault="00F96819" w:rsidP="00EA58B3">
      <w:pPr>
        <w:pStyle w:val="AERbulletlistfirststyle"/>
      </w:pPr>
      <w:r w:rsidRPr="00F96819">
        <w:t xml:space="preserve">any incentives that service providers may have to </w:t>
      </w:r>
      <w:r w:rsidR="00EA58B3">
        <w:t>i</w:t>
      </w:r>
      <w:r w:rsidR="00EA58B3" w:rsidRPr="00EA58B3">
        <w:t>nappropriately</w:t>
      </w:r>
      <w:r w:rsidR="00EA58B3">
        <w:t xml:space="preserve"> </w:t>
      </w:r>
      <w:r w:rsidRPr="00F96819">
        <w:t>capitalise expenditure</w:t>
      </w:r>
    </w:p>
    <w:p w:rsidR="00F96819" w:rsidRDefault="00F96819" w:rsidP="00F96819">
      <w:pPr>
        <w:pStyle w:val="AERbulletlistfirststyle"/>
      </w:pPr>
      <w:r w:rsidRPr="00F96819">
        <w:lastRenderedPageBreak/>
        <w:t>the possible effects of the scheme on incentives for the implementation of non</w:t>
      </w:r>
      <w:r w:rsidR="00986432">
        <w:noBreakHyphen/>
      </w:r>
      <w:r w:rsidRPr="00F96819">
        <w:t>network alternatives.</w:t>
      </w:r>
    </w:p>
    <w:p w:rsidR="00E626A0" w:rsidRPr="00E626A0" w:rsidRDefault="00603BD2" w:rsidP="00E626A0">
      <w:r>
        <w:t>Our</w:t>
      </w:r>
      <w:r w:rsidR="00E626A0">
        <w:t xml:space="preserve"> final framework and approach </w:t>
      </w:r>
      <w:r>
        <w:t xml:space="preserve">paper </w:t>
      </w:r>
      <w:r w:rsidR="00E626A0">
        <w:t>for Powerlink sets out how we had regard to these matters in our decision to apply version two of the EBSS to Powerlink.</w:t>
      </w:r>
      <w:r w:rsidR="00E626A0">
        <w:rPr>
          <w:rStyle w:val="FootnoteReference"/>
        </w:rPr>
        <w:footnoteReference w:id="15"/>
      </w:r>
    </w:p>
    <w:p w:rsidR="00132D43" w:rsidRDefault="00132D43" w:rsidP="00132D43">
      <w:pPr>
        <w:pStyle w:val="Heading3"/>
        <w:tabs>
          <w:tab w:val="clear" w:pos="1021"/>
        </w:tabs>
        <w:ind w:left="142" w:hanging="142"/>
      </w:pPr>
      <w:bookmarkStart w:id="78" w:name="_Toc462752632"/>
      <w:r>
        <w:t>Interrelationships</w:t>
      </w:r>
      <w:bookmarkEnd w:id="78"/>
    </w:p>
    <w:p w:rsidR="00C30D8D" w:rsidRPr="00567FCA" w:rsidRDefault="00C30D8D" w:rsidP="00C30D8D">
      <w:r w:rsidRPr="00567FCA">
        <w:t xml:space="preserve">The EBSS is intrinsically linked to our opex revealed cost forecasting approach. </w:t>
      </w:r>
      <w:r>
        <w:t xml:space="preserve">Under our revealed cost forecasting approach we base our forecast on a service provider's audited actual opex in a single year. </w:t>
      </w:r>
      <w:r w:rsidRPr="00567FCA">
        <w:t>Under this opex forecasting approach, the EBSS has two functions:</w:t>
      </w:r>
    </w:p>
    <w:p w:rsidR="00C30D8D" w:rsidRPr="006E608B" w:rsidRDefault="00C30D8D" w:rsidP="00C30D8D">
      <w:pPr>
        <w:pStyle w:val="AERbulletlistfirststyle"/>
      </w:pPr>
      <w:r>
        <w:t>it</w:t>
      </w:r>
      <w:r w:rsidRPr="00567FCA">
        <w:t xml:space="preserve"> mitigate</w:t>
      </w:r>
      <w:r>
        <w:t>s</w:t>
      </w:r>
      <w:r w:rsidRPr="00567FCA">
        <w:t xml:space="preserve"> the incentive to increase opex in the expected 'base year' to increase forecast opex for the following regulatory control period</w:t>
      </w:r>
    </w:p>
    <w:p w:rsidR="00C30D8D" w:rsidRPr="006E608B" w:rsidRDefault="00C30D8D" w:rsidP="00C30D8D">
      <w:pPr>
        <w:pStyle w:val="AERbulletlistfirststyle"/>
      </w:pPr>
      <w:r>
        <w:t>it</w:t>
      </w:r>
      <w:r w:rsidRPr="00567FCA">
        <w:t xml:space="preserve"> provide</w:t>
      </w:r>
      <w:r>
        <w:t>s</w:t>
      </w:r>
      <w:r w:rsidRPr="00567FCA">
        <w:t xml:space="preserve"> a continuous incentive to make efficiency gains</w:t>
      </w:r>
      <w:r>
        <w:t>—that is,</w:t>
      </w:r>
      <w:r w:rsidRPr="00567FCA">
        <w:t xml:space="preserve"> service providers receive the same reward for an underspend and the same penalty for an overspend in each year of the regulatory control period.</w:t>
      </w:r>
    </w:p>
    <w:p w:rsidR="00462CE4" w:rsidRDefault="0018428C" w:rsidP="00C30D8D">
      <w:pPr>
        <w:rPr>
          <w:rStyle w:val="AERbody"/>
        </w:rPr>
      </w:pPr>
      <w:r>
        <w:rPr>
          <w:rStyle w:val="AERbody"/>
        </w:rPr>
        <w:t>Furthermore, w</w:t>
      </w:r>
      <w:r w:rsidR="00462CE4">
        <w:rPr>
          <w:rStyle w:val="AERbody"/>
        </w:rPr>
        <w:t>hen we assess a service provider</w:t>
      </w:r>
      <w:r w:rsidR="008D000C">
        <w:rPr>
          <w:rStyle w:val="AERbody"/>
        </w:rPr>
        <w:t>'</w:t>
      </w:r>
      <w:r w:rsidR="00462CE4">
        <w:rPr>
          <w:rStyle w:val="AERbody"/>
        </w:rPr>
        <w:t>s opex proposal</w:t>
      </w:r>
      <w:r>
        <w:rPr>
          <w:rStyle w:val="AERbody"/>
        </w:rPr>
        <w:t>,</w:t>
      </w:r>
      <w:r w:rsidR="00462CE4">
        <w:rPr>
          <w:rStyle w:val="AERbody"/>
        </w:rPr>
        <w:t xml:space="preserve"> we </w:t>
      </w:r>
      <w:r>
        <w:rPr>
          <w:rStyle w:val="AERbody"/>
        </w:rPr>
        <w:t xml:space="preserve">are to </w:t>
      </w:r>
      <w:r w:rsidR="00462CE4">
        <w:rPr>
          <w:rStyle w:val="AERbody"/>
        </w:rPr>
        <w:t xml:space="preserve">have regard to </w:t>
      </w:r>
      <w:r w:rsidR="00462CE4" w:rsidRPr="00462CE4">
        <w:rPr>
          <w:rStyle w:val="AERbody"/>
        </w:rPr>
        <w:t xml:space="preserve">whether the </w:t>
      </w:r>
      <w:r>
        <w:rPr>
          <w:rStyle w:val="AERbody"/>
        </w:rPr>
        <w:t xml:space="preserve">opex </w:t>
      </w:r>
      <w:r w:rsidR="00462CE4">
        <w:rPr>
          <w:rStyle w:val="AERbody"/>
        </w:rPr>
        <w:t xml:space="preserve">forecast is consistent with any incentive schemes that apply to the service provider, </w:t>
      </w:r>
      <w:r>
        <w:rPr>
          <w:rStyle w:val="AERbody"/>
        </w:rPr>
        <w:t>including</w:t>
      </w:r>
      <w:r w:rsidR="00462CE4">
        <w:rPr>
          <w:rStyle w:val="AERbody"/>
        </w:rPr>
        <w:t xml:space="preserve"> the EBSS.</w:t>
      </w:r>
      <w:r w:rsidR="00462CE4">
        <w:rPr>
          <w:rStyle w:val="FootnoteReference"/>
        </w:rPr>
        <w:footnoteReference w:id="16"/>
      </w:r>
      <w:r w:rsidR="00462CE4">
        <w:rPr>
          <w:rStyle w:val="AERbody"/>
        </w:rPr>
        <w:t xml:space="preserve"> </w:t>
      </w:r>
    </w:p>
    <w:p w:rsidR="00C30D8D" w:rsidRPr="00414837" w:rsidRDefault="00C30D8D" w:rsidP="00C30D8D">
      <w:pPr>
        <w:rPr>
          <w:rStyle w:val="AERbody"/>
        </w:rPr>
      </w:pPr>
      <w:r w:rsidRPr="00414837">
        <w:rPr>
          <w:rStyle w:val="AERbody"/>
        </w:rPr>
        <w:t xml:space="preserve">Where we do not propose to rely on the revealed costs of a service provider </w:t>
      </w:r>
      <w:r>
        <w:rPr>
          <w:rStyle w:val="AERbody"/>
        </w:rPr>
        <w:t>to</w:t>
      </w:r>
      <w:r w:rsidRPr="00414837">
        <w:rPr>
          <w:rStyle w:val="AERbody"/>
        </w:rPr>
        <w:t xml:space="preserve"> forecast opex</w:t>
      </w:r>
      <w:r>
        <w:rPr>
          <w:rStyle w:val="AERbody"/>
        </w:rPr>
        <w:t xml:space="preserve"> </w:t>
      </w:r>
      <w:r>
        <w:t>in the next regulatory period</w:t>
      </w:r>
      <w:r w:rsidRPr="00414837">
        <w:rPr>
          <w:rStyle w:val="AERbody"/>
        </w:rPr>
        <w:t xml:space="preserve">, this </w:t>
      </w:r>
      <w:r>
        <w:rPr>
          <w:rStyle w:val="AERbody"/>
        </w:rPr>
        <w:t>changes</w:t>
      </w:r>
      <w:r w:rsidRPr="00414837">
        <w:rPr>
          <w:rStyle w:val="AERbody"/>
        </w:rPr>
        <w:t xml:space="preserve"> the service provider's incentives to make productivity improvements and consequently </w:t>
      </w:r>
      <w:r>
        <w:rPr>
          <w:rStyle w:val="AERbody"/>
        </w:rPr>
        <w:t xml:space="preserve">impacts </w:t>
      </w:r>
      <w:r w:rsidRPr="00414837">
        <w:rPr>
          <w:rStyle w:val="AERbody"/>
        </w:rPr>
        <w:t>our decision on how we apply the EBSS.</w:t>
      </w:r>
    </w:p>
    <w:p w:rsidR="00132D43" w:rsidRDefault="00132D43" w:rsidP="00132D43">
      <w:pPr>
        <w:pStyle w:val="Heading2"/>
      </w:pPr>
      <w:bookmarkStart w:id="79" w:name="_Toc462752633"/>
      <w:r>
        <w:t>Reasons for draft decision</w:t>
      </w:r>
      <w:bookmarkEnd w:id="79"/>
    </w:p>
    <w:p w:rsidR="00577D6C" w:rsidRPr="0030169A" w:rsidRDefault="00577D6C" w:rsidP="00577D6C">
      <w:pPr>
        <w:rPr>
          <w:rStyle w:val="AERbody"/>
        </w:rPr>
      </w:pPr>
      <w:r w:rsidRPr="0030169A">
        <w:rPr>
          <w:rStyle w:val="AERbody"/>
        </w:rPr>
        <w:t>This section provides the reasons for the carryover amounts that arise from a</w:t>
      </w:r>
      <w:r>
        <w:rPr>
          <w:rStyle w:val="AERbody"/>
        </w:rPr>
        <w:t>pplying the EBSS during the 201</w:t>
      </w:r>
      <w:r w:rsidR="00160E0F">
        <w:rPr>
          <w:rStyle w:val="AERbody"/>
        </w:rPr>
        <w:t>2</w:t>
      </w:r>
      <w:r>
        <w:rPr>
          <w:rStyle w:val="AERbody"/>
        </w:rPr>
        <w:t>–1</w:t>
      </w:r>
      <w:r w:rsidR="00160E0F">
        <w:rPr>
          <w:rStyle w:val="AERbody"/>
        </w:rPr>
        <w:t>7</w:t>
      </w:r>
      <w:r w:rsidRPr="0030169A">
        <w:rPr>
          <w:rStyle w:val="AERbody"/>
        </w:rPr>
        <w:t xml:space="preserve"> regulatory control period, and how we</w:t>
      </w:r>
      <w:r>
        <w:rPr>
          <w:rStyle w:val="AERbody"/>
        </w:rPr>
        <w:t xml:space="preserve"> will apply the EBSS in the 201</w:t>
      </w:r>
      <w:r w:rsidR="00022A9F">
        <w:rPr>
          <w:rStyle w:val="AERbody"/>
        </w:rPr>
        <w:t>7</w:t>
      </w:r>
      <w:r>
        <w:rPr>
          <w:rStyle w:val="AERbody"/>
        </w:rPr>
        <w:t>–2</w:t>
      </w:r>
      <w:r w:rsidR="00022A9F">
        <w:rPr>
          <w:rStyle w:val="AERbody"/>
        </w:rPr>
        <w:t>2</w:t>
      </w:r>
      <w:r w:rsidRPr="0030169A">
        <w:rPr>
          <w:rStyle w:val="AERbody"/>
        </w:rPr>
        <w:t xml:space="preserve"> </w:t>
      </w:r>
      <w:r>
        <w:rPr>
          <w:rStyle w:val="AERbody"/>
        </w:rPr>
        <w:t xml:space="preserve">regulatory control </w:t>
      </w:r>
      <w:r w:rsidRPr="0030169A">
        <w:rPr>
          <w:rStyle w:val="AERbody"/>
        </w:rPr>
        <w:t>period.</w:t>
      </w:r>
    </w:p>
    <w:p w:rsidR="00132D43" w:rsidRDefault="00B112C3" w:rsidP="00B112C3">
      <w:pPr>
        <w:pStyle w:val="Heading3"/>
      </w:pPr>
      <w:bookmarkStart w:id="80" w:name="_Toc462752634"/>
      <w:r w:rsidRPr="00B112C3">
        <w:t>Carryover amounts from the 201</w:t>
      </w:r>
      <w:r>
        <w:t>2</w:t>
      </w:r>
      <w:r w:rsidRPr="00B112C3">
        <w:t>–17 regulatory control period</w:t>
      </w:r>
      <w:bookmarkEnd w:id="80"/>
    </w:p>
    <w:p w:rsidR="00B112C3" w:rsidRDefault="00A00CA1" w:rsidP="00B112C3">
      <w:r w:rsidRPr="00A00CA1">
        <w:t xml:space="preserve">We </w:t>
      </w:r>
      <w:r w:rsidR="00160E0F">
        <w:t>accept</w:t>
      </w:r>
      <w:r w:rsidR="00A414B2">
        <w:t xml:space="preserve"> Powerlink</w:t>
      </w:r>
      <w:r w:rsidR="00160E0F">
        <w:t>'s proposal that it</w:t>
      </w:r>
      <w:r w:rsidR="00A414B2">
        <w:t xml:space="preserve"> receive an EBSS </w:t>
      </w:r>
      <w:r w:rsidR="00DC5016">
        <w:t>decrement</w:t>
      </w:r>
      <w:r w:rsidR="00A414B2">
        <w:t xml:space="preserve"> of $7.8 million </w:t>
      </w:r>
      <w:r w:rsidR="00A414B2" w:rsidRPr="00A00CA1">
        <w:t xml:space="preserve">($2016–17) </w:t>
      </w:r>
      <w:r w:rsidRPr="00A00CA1">
        <w:t xml:space="preserve">from the </w:t>
      </w:r>
      <w:r w:rsidR="00DC5016">
        <w:t xml:space="preserve">application of the </w:t>
      </w:r>
      <w:r w:rsidR="00A414B2">
        <w:t>E</w:t>
      </w:r>
      <w:r w:rsidRPr="00A00CA1">
        <w:t>BSS during the 201</w:t>
      </w:r>
      <w:r w:rsidR="00A414B2">
        <w:t>2</w:t>
      </w:r>
      <w:r w:rsidRPr="00A00CA1">
        <w:t>–17 regulatory control period</w:t>
      </w:r>
      <w:r w:rsidR="00DC5016">
        <w:t xml:space="preserve">. </w:t>
      </w:r>
    </w:p>
    <w:p w:rsidR="00A00CA1" w:rsidRPr="00A00CA1" w:rsidRDefault="00160E0F" w:rsidP="00A00CA1">
      <w:r>
        <w:t xml:space="preserve">In the 2012–17 regulatory control period, </w:t>
      </w:r>
      <w:r w:rsidR="00A414B2">
        <w:t>Powerlink</w:t>
      </w:r>
      <w:r w:rsidR="00A00CA1" w:rsidRPr="00A00CA1">
        <w:t xml:space="preserve"> was subject to version one </w:t>
      </w:r>
      <w:r w:rsidR="00330029">
        <w:t xml:space="preserve">of </w:t>
      </w:r>
      <w:r w:rsidR="00A00CA1" w:rsidRPr="00A00CA1">
        <w:t>the Electricity transmission network service providers' EBSS.</w:t>
      </w:r>
      <w:r w:rsidR="00A414B2">
        <w:rPr>
          <w:rStyle w:val="FootnoteReference"/>
        </w:rPr>
        <w:footnoteReference w:id="17"/>
      </w:r>
      <w:r w:rsidR="00A00CA1" w:rsidRPr="00A00CA1">
        <w:t xml:space="preserve"> </w:t>
      </w:r>
      <w:r w:rsidR="00DC5016">
        <w:t>We calculate t</w:t>
      </w:r>
      <w:r w:rsidR="00A00CA1" w:rsidRPr="00A00CA1">
        <w:t>he EBSS carryover amounts based on the difference between:</w:t>
      </w:r>
    </w:p>
    <w:p w:rsidR="00A00CA1" w:rsidRPr="00A00CA1" w:rsidRDefault="00A00CA1" w:rsidP="00A00CA1">
      <w:pPr>
        <w:pStyle w:val="AERbulletlistfirststyle"/>
      </w:pPr>
      <w:r w:rsidRPr="00A00CA1">
        <w:lastRenderedPageBreak/>
        <w:t xml:space="preserve">approved forecast opex which is set out in our determination for </w:t>
      </w:r>
      <w:r w:rsidR="00A414B2">
        <w:t>Powerlink</w:t>
      </w:r>
      <w:r w:rsidRPr="00A00CA1">
        <w:t xml:space="preserve"> for the 201</w:t>
      </w:r>
      <w:r w:rsidR="00A414B2">
        <w:t>2</w:t>
      </w:r>
      <w:r w:rsidRPr="00A00CA1">
        <w:t>–17 regulatory control period</w:t>
      </w:r>
    </w:p>
    <w:p w:rsidR="00A00CA1" w:rsidRPr="00A00CA1" w:rsidRDefault="00A00CA1" w:rsidP="00A00CA1">
      <w:pPr>
        <w:pStyle w:val="AERbulletlistfirststyle"/>
      </w:pPr>
      <w:r w:rsidRPr="00A00CA1">
        <w:t>actual opex for the regulatory years from 201</w:t>
      </w:r>
      <w:r w:rsidR="00A414B2">
        <w:t>2</w:t>
      </w:r>
      <w:r w:rsidRPr="00A00CA1">
        <w:t>–1</w:t>
      </w:r>
      <w:r w:rsidR="00986432">
        <w:t>3</w:t>
      </w:r>
      <w:r w:rsidRPr="00A00CA1">
        <w:t xml:space="preserve"> to 2015–16, </w:t>
      </w:r>
      <w:r w:rsidR="00A414B2">
        <w:t>subject to exclusions and adjustments</w:t>
      </w:r>
      <w:r w:rsidRPr="00A00CA1">
        <w:t>.</w:t>
      </w:r>
      <w:r w:rsidR="00A414B2">
        <w:rPr>
          <w:rStyle w:val="FootnoteReference"/>
        </w:rPr>
        <w:footnoteReference w:id="18"/>
      </w:r>
    </w:p>
    <w:p w:rsidR="00A00CA1" w:rsidRDefault="00DC5016" w:rsidP="00A00CA1">
      <w:r>
        <w:t>We set out the</w:t>
      </w:r>
      <w:r w:rsidR="00A414B2">
        <w:t xml:space="preserve"> </w:t>
      </w:r>
      <w:r w:rsidR="00A00CA1" w:rsidRPr="00A00CA1">
        <w:t>formula</w:t>
      </w:r>
      <w:r w:rsidR="00AE1F9B">
        <w:t>s</w:t>
      </w:r>
      <w:r w:rsidR="00A00CA1" w:rsidRPr="00A00CA1">
        <w:t xml:space="preserve"> for calculating the carryover amounts</w:t>
      </w:r>
      <w:r w:rsidR="0002306E">
        <w:t xml:space="preserve"> in the scheme</w:t>
      </w:r>
      <w:r w:rsidR="00A00CA1" w:rsidRPr="00A00CA1">
        <w:t>.</w:t>
      </w:r>
      <w:r w:rsidR="00A414B2">
        <w:rPr>
          <w:rStyle w:val="FootnoteReference"/>
        </w:rPr>
        <w:footnoteReference w:id="19"/>
      </w:r>
    </w:p>
    <w:p w:rsidR="00A414B2" w:rsidRDefault="007A4277" w:rsidP="007A4277">
      <w:r>
        <w:t>We reviewed how Powerlink calculated its proposed EBSS carryover and</w:t>
      </w:r>
      <w:r w:rsidR="00417202">
        <w:t>, in consultation with Powerlink,</w:t>
      </w:r>
      <w:r>
        <w:t xml:space="preserve"> identified two issues. First, Powerlink's calculations assumed it had used 2015–16 as the base year to forecast opex when in fact it used 2014–15. Second, Powerlink effectively treated efficiency gains or losses related to its </w:t>
      </w:r>
      <w:r w:rsidRPr="007A4277">
        <w:t>workforce adjustment</w:t>
      </w:r>
      <w:r>
        <w:t xml:space="preserve"> and </w:t>
      </w:r>
      <w:r w:rsidRPr="007A4277">
        <w:t>500kV write-off</w:t>
      </w:r>
      <w:r>
        <w:t xml:space="preserve"> differently to other efficiency gains and losses.</w:t>
      </w:r>
      <w:r w:rsidR="004C540B">
        <w:t xml:space="preserve"> </w:t>
      </w:r>
      <w:r w:rsidR="0084294F">
        <w:t>We discuss t</w:t>
      </w:r>
      <w:r w:rsidR="00417202">
        <w:t>hese two issues in more detail below.</w:t>
      </w:r>
    </w:p>
    <w:p w:rsidR="001F7C85" w:rsidRDefault="001F7C85" w:rsidP="001F7C85">
      <w:r>
        <w:t xml:space="preserve">We are satisfied </w:t>
      </w:r>
      <w:r w:rsidR="00DC5016">
        <w:t xml:space="preserve">we should exclude </w:t>
      </w:r>
      <w:r>
        <w:t>AEMC levy expenditure from the operation of the scheme</w:t>
      </w:r>
      <w:r w:rsidR="00DC5016">
        <w:t xml:space="preserve"> as proposed by Powerlink</w:t>
      </w:r>
      <w:r>
        <w:t xml:space="preserve">. Version </w:t>
      </w:r>
      <w:r w:rsidR="00134F9A">
        <w:t xml:space="preserve">one </w:t>
      </w:r>
      <w:r>
        <w:t xml:space="preserve">of the EBSS allows </w:t>
      </w:r>
      <w:r w:rsidR="00DC5016">
        <w:t xml:space="preserve">us to adjust </w:t>
      </w:r>
      <w:r>
        <w:t xml:space="preserve">opex </w:t>
      </w:r>
      <w:r w:rsidRPr="001F7C85">
        <w:t xml:space="preserve">for changes in costs that </w:t>
      </w:r>
      <w:r>
        <w:t xml:space="preserve">we </w:t>
      </w:r>
      <w:r w:rsidRPr="001F7C85">
        <w:t xml:space="preserve">deem </w:t>
      </w:r>
      <w:r w:rsidR="00DC5016">
        <w:t>were</w:t>
      </w:r>
      <w:r w:rsidRPr="001F7C85">
        <w:t xml:space="preserve"> uncontrollable and </w:t>
      </w:r>
      <w:r w:rsidR="00DC5016">
        <w:t xml:space="preserve">would </w:t>
      </w:r>
      <w:r w:rsidRPr="001F7C85">
        <w:t>not adversely impact the operation of the</w:t>
      </w:r>
      <w:r>
        <w:t xml:space="preserve"> </w:t>
      </w:r>
      <w:r w:rsidRPr="001F7C85">
        <w:t>scheme.</w:t>
      </w:r>
      <w:r>
        <w:rPr>
          <w:rStyle w:val="FootnoteReference"/>
        </w:rPr>
        <w:footnoteReference w:id="20"/>
      </w:r>
      <w:r>
        <w:t xml:space="preserve"> We are satisfied the AEMC levy expenditure meets these criteria.</w:t>
      </w:r>
    </w:p>
    <w:p w:rsidR="001F7C85" w:rsidRDefault="00DC5016" w:rsidP="006E2301">
      <w:pPr>
        <w:pStyle w:val="HeadingBoldItalic"/>
      </w:pPr>
      <w:r>
        <w:t>Opex forecasting base year</w:t>
      </w:r>
    </w:p>
    <w:p w:rsidR="008135D3" w:rsidRDefault="00DC5016" w:rsidP="008135D3">
      <w:r>
        <w:t>When we determine EBSS carryover amounts we typically do not know actual audited opex for the final year of the current regulatory control period. Consequently</w:t>
      </w:r>
      <w:r w:rsidR="0002306E">
        <w:t>,</w:t>
      </w:r>
      <w:r w:rsidR="005A1ADD">
        <w:t xml:space="preserve"> we need to estimate this </w:t>
      </w:r>
      <w:r w:rsidR="005A1ADD" w:rsidRPr="005A1ADD">
        <w:t>to calculate gains or losses for the final year of the</w:t>
      </w:r>
      <w:r w:rsidR="005A1ADD">
        <w:t xml:space="preserve"> current </w:t>
      </w:r>
      <w:r>
        <w:t xml:space="preserve">regulatory control </w:t>
      </w:r>
      <w:r w:rsidR="005A1ADD">
        <w:t xml:space="preserve">period. </w:t>
      </w:r>
      <w:r w:rsidR="008135D3">
        <w:t>To ensure consistency with the opex forecast</w:t>
      </w:r>
      <w:r w:rsidR="0002306E">
        <w:t>,</w:t>
      </w:r>
      <w:r w:rsidR="008135D3">
        <w:t xml:space="preserve"> the estimate of final year opex should reflect the same level of efficiency as in the base year.</w:t>
      </w:r>
    </w:p>
    <w:p w:rsidR="008135D3" w:rsidRPr="008135D3" w:rsidRDefault="008135D3" w:rsidP="008135D3">
      <w:r w:rsidRPr="008135D3">
        <w:t>Powerlink</w:t>
      </w:r>
      <w:r>
        <w:t xml:space="preserve"> used the equation in version one of the EBSS to estimate its opex for </w:t>
      </w:r>
      <w:r w:rsidR="00822087">
        <w:br/>
      </w:r>
      <w:r>
        <w:t>2016–17. This equation implicitly assumes 2015–16</w:t>
      </w:r>
      <w:r w:rsidR="0087116A">
        <w:t xml:space="preserve"> (the second last year)</w:t>
      </w:r>
      <w:r>
        <w:t xml:space="preserve"> is used as the base year to forecast opex and sets the incremental gain to zero for 2016</w:t>
      </w:r>
      <w:r w:rsidR="0087116A">
        <w:t>–</w:t>
      </w:r>
      <w:r>
        <w:t>17</w:t>
      </w:r>
      <w:r w:rsidR="0087116A">
        <w:t xml:space="preserve"> (the final year</w:t>
      </w:r>
      <w:r>
        <w:t>). H</w:t>
      </w:r>
      <w:r w:rsidRPr="008135D3">
        <w:t xml:space="preserve">owever, Powerlink used 2014–15 </w:t>
      </w:r>
      <w:r>
        <w:t xml:space="preserve">as the base year </w:t>
      </w:r>
      <w:r w:rsidRPr="008135D3">
        <w:t>to forecast opex.</w:t>
      </w:r>
    </w:p>
    <w:p w:rsidR="0087116A" w:rsidRDefault="008135D3" w:rsidP="008135D3">
      <w:r>
        <w:t xml:space="preserve">We </w:t>
      </w:r>
      <w:r w:rsidRPr="008135D3">
        <w:t>consider it important that the base year assumed in the EBSS calculations is the same as that used to forecast opex.</w:t>
      </w:r>
      <w:r>
        <w:t xml:space="preserve"> </w:t>
      </w:r>
      <w:r w:rsidR="0087116A">
        <w:t xml:space="preserve">This ensures that the </w:t>
      </w:r>
      <w:r w:rsidR="00822087">
        <w:t>service provider</w:t>
      </w:r>
      <w:r w:rsidR="0087116A">
        <w:t xml:space="preserve"> is rewarded for the same level of efficiency as it is forecasting in its opex forecast. Version one of the electricity transmission EBSS assumes the second last year is used as the base year to forecast opex. We relaxed this assumption when we developed version one of the electricity </w:t>
      </w:r>
      <w:r w:rsidR="0087116A" w:rsidRPr="0000608C">
        <w:rPr>
          <w:rStyle w:val="AERtextitalic"/>
        </w:rPr>
        <w:t>distribution</w:t>
      </w:r>
      <w:r w:rsidR="0087116A">
        <w:t xml:space="preserve"> EBSS and allowed flexibility in the choice of base year. This </w:t>
      </w:r>
      <w:r w:rsidR="00822087">
        <w:t>flexibility was</w:t>
      </w:r>
      <w:r w:rsidR="0087116A">
        <w:t xml:space="preserve"> retained in version two </w:t>
      </w:r>
      <w:r w:rsidR="00022A9F">
        <w:t>o</w:t>
      </w:r>
      <w:r w:rsidR="0087116A">
        <w:t xml:space="preserve">f the EBSS, which applies to both electricity transmission and distribution businesses. </w:t>
      </w:r>
    </w:p>
    <w:p w:rsidR="008135D3" w:rsidRPr="008135D3" w:rsidRDefault="007C7138" w:rsidP="008135D3">
      <w:r>
        <w:lastRenderedPageBreak/>
        <w:t>A</w:t>
      </w:r>
      <w:r w:rsidR="008135D3" w:rsidRPr="008135D3">
        <w:t xml:space="preserve">dopting the equation in version </w:t>
      </w:r>
      <w:r w:rsidR="008135D3">
        <w:t>two</w:t>
      </w:r>
      <w:r w:rsidR="008135D3" w:rsidRPr="008135D3">
        <w:t xml:space="preserve"> of the EBSS and assuming </w:t>
      </w:r>
      <w:r w:rsidR="0087116A">
        <w:t>2014–15</w:t>
      </w:r>
      <w:r w:rsidR="008135D3" w:rsidRPr="008135D3">
        <w:t xml:space="preserve"> </w:t>
      </w:r>
      <w:r w:rsidR="00E209BD">
        <w:t xml:space="preserve">as the base year </w:t>
      </w:r>
      <w:r w:rsidR="0087116A">
        <w:t>would</w:t>
      </w:r>
      <w:r w:rsidR="008135D3">
        <w:t xml:space="preserve"> </w:t>
      </w:r>
      <w:r w:rsidR="008135D3" w:rsidRPr="008135D3">
        <w:t>change the EBSS carryover from –$7.8 million (penalty) to –$21.6 million (penalty).</w:t>
      </w:r>
    </w:p>
    <w:p w:rsidR="008135D3" w:rsidRDefault="008135D3" w:rsidP="008135D3">
      <w:r w:rsidRPr="008135D3">
        <w:t xml:space="preserve">Alternatively, </w:t>
      </w:r>
      <w:r w:rsidR="00522588">
        <w:t xml:space="preserve">we could address </w:t>
      </w:r>
      <w:r w:rsidRPr="008135D3">
        <w:t xml:space="preserve">this inconsistency by changing the base year </w:t>
      </w:r>
      <w:r w:rsidR="00522588">
        <w:t xml:space="preserve">we use </w:t>
      </w:r>
      <w:r w:rsidRPr="008135D3">
        <w:t xml:space="preserve">to forecast opex. </w:t>
      </w:r>
      <w:r w:rsidR="00522588">
        <w:t>T</w:t>
      </w:r>
      <w:r w:rsidRPr="008135D3">
        <w:t>he revenue impact of doing so would b</w:t>
      </w:r>
      <w:r w:rsidR="00522588">
        <w:t>e similar to using the equation</w:t>
      </w:r>
      <w:r w:rsidRPr="008135D3">
        <w:t xml:space="preserve"> in version </w:t>
      </w:r>
      <w:r w:rsidR="00522588">
        <w:t>two</w:t>
      </w:r>
      <w:r w:rsidRPr="008135D3">
        <w:t xml:space="preserve"> of the EBSS to calculate the EBSS carryover. That is, forecast opex plus the EBSS carryover would be similar under the two approaches.</w:t>
      </w:r>
    </w:p>
    <w:p w:rsidR="0018428C" w:rsidRDefault="0018428C" w:rsidP="008135D3">
      <w:r>
        <w:t>We raised this issue with Powerlink.</w:t>
      </w:r>
      <w:r>
        <w:rPr>
          <w:rStyle w:val="FootnoteReference"/>
        </w:rPr>
        <w:footnoteReference w:id="21"/>
      </w:r>
      <w:r>
        <w:t xml:space="preserve"> Powerlink </w:t>
      </w:r>
      <w:r w:rsidRPr="00967165">
        <w:t>agree</w:t>
      </w:r>
      <w:r>
        <w:t>d</w:t>
      </w:r>
      <w:r w:rsidRPr="00967165">
        <w:t xml:space="preserve"> </w:t>
      </w:r>
      <w:r w:rsidR="00E209BD">
        <w:t xml:space="preserve">that </w:t>
      </w:r>
      <w:r w:rsidR="00E209BD" w:rsidRPr="00E209BD">
        <w:t>adopt</w:t>
      </w:r>
      <w:r w:rsidR="00E209BD">
        <w:t>ing equations from version two</w:t>
      </w:r>
      <w:r w:rsidR="00E209BD" w:rsidRPr="00E209BD">
        <w:t xml:space="preserve"> of the EBSS for the calculation of carry over amounts from a year 3 base is a suitable way to address the situation.</w:t>
      </w:r>
      <w:r w:rsidR="00E209BD">
        <w:rPr>
          <w:rStyle w:val="FootnoteReference"/>
        </w:rPr>
        <w:footnoteReference w:id="22"/>
      </w:r>
    </w:p>
    <w:p w:rsidR="006E2301" w:rsidRDefault="006E2301" w:rsidP="006E2301">
      <w:pPr>
        <w:pStyle w:val="HeadingBoldItalic"/>
      </w:pPr>
      <w:r>
        <w:t>Treatment of non-recurrent expenditure</w:t>
      </w:r>
    </w:p>
    <w:p w:rsidR="006E2301" w:rsidRDefault="00967165" w:rsidP="00967165">
      <w:r w:rsidRPr="00967165">
        <w:t>Powerlink exclude</w:t>
      </w:r>
      <w:r w:rsidR="008E5818">
        <w:t>d</w:t>
      </w:r>
      <w:r w:rsidRPr="00967165">
        <w:t xml:space="preserve"> non-recurrent costs </w:t>
      </w:r>
      <w:r w:rsidR="008E5818">
        <w:t xml:space="preserve">related to </w:t>
      </w:r>
      <w:r w:rsidR="008E5818" w:rsidRPr="00967165">
        <w:t xml:space="preserve">500kV project costs </w:t>
      </w:r>
      <w:r w:rsidRPr="00967165">
        <w:t xml:space="preserve">from </w:t>
      </w:r>
      <w:r w:rsidR="008E5818">
        <w:t>its base opex to forecast opex for the 2017–22 period. However, it</w:t>
      </w:r>
      <w:r w:rsidRPr="00967165">
        <w:t xml:space="preserve"> consider</w:t>
      </w:r>
      <w:r w:rsidR="008E5818">
        <w:t xml:space="preserve">ed </w:t>
      </w:r>
      <w:r w:rsidRPr="00967165">
        <w:t>it would be ‘unduly penalised’ by the EBSS if actual opex was not adjusted for the remov</w:t>
      </w:r>
      <w:r w:rsidR="008E5818">
        <w:t>al of these cost</w:t>
      </w:r>
      <w:r w:rsidR="00B97054">
        <w:t>s</w:t>
      </w:r>
      <w:r w:rsidR="008E5818">
        <w:t xml:space="preserve"> from </w:t>
      </w:r>
      <w:r w:rsidRPr="00967165">
        <w:t xml:space="preserve">base opex. Consequently it </w:t>
      </w:r>
      <w:r w:rsidR="008E5818">
        <w:t xml:space="preserve">also </w:t>
      </w:r>
      <w:r w:rsidRPr="00967165">
        <w:t xml:space="preserve">removed this opex from its actual opex in the EBSS calculations, as well as non-recurrent opex for redundancy related costs in 2015–16. </w:t>
      </w:r>
      <w:r w:rsidR="008E5818">
        <w:t>O</w:t>
      </w:r>
      <w:r w:rsidRPr="00967165">
        <w:t xml:space="preserve">ne effect of this </w:t>
      </w:r>
      <w:r w:rsidR="008E5818">
        <w:t xml:space="preserve">adjustment </w:t>
      </w:r>
      <w:r w:rsidRPr="00967165">
        <w:t>is that Powerlink would incur 100</w:t>
      </w:r>
      <w:r w:rsidR="004C540B">
        <w:t> </w:t>
      </w:r>
      <w:r w:rsidRPr="00967165">
        <w:t>per</w:t>
      </w:r>
      <w:r w:rsidR="004C540B">
        <w:t> </w:t>
      </w:r>
      <w:r w:rsidRPr="00967165">
        <w:t>cent of these costs, rather than shar</w:t>
      </w:r>
      <w:r w:rsidR="008E5818">
        <w:t>ing</w:t>
      </w:r>
      <w:r w:rsidRPr="00967165">
        <w:t xml:space="preserve"> </w:t>
      </w:r>
      <w:r w:rsidR="008E5818">
        <w:t>them with its</w:t>
      </w:r>
      <w:r w:rsidRPr="00967165">
        <w:t xml:space="preserve"> customers as for other categories of opex.</w:t>
      </w:r>
    </w:p>
    <w:p w:rsidR="00967165" w:rsidRPr="00967165" w:rsidRDefault="008E5818" w:rsidP="00967165">
      <w:r>
        <w:t>A</w:t>
      </w:r>
      <w:r w:rsidR="00967165" w:rsidRPr="00967165">
        <w:t xml:space="preserve">n alternative approach to addressing non-recurrent opex in the opex base </w:t>
      </w:r>
      <w:r w:rsidR="00822087" w:rsidRPr="00967165">
        <w:t>year</w:t>
      </w:r>
      <w:r w:rsidR="00822087">
        <w:t xml:space="preserve"> </w:t>
      </w:r>
      <w:r w:rsidR="00822087" w:rsidRPr="00967165">
        <w:t>is</w:t>
      </w:r>
      <w:r>
        <w:t xml:space="preserve"> to use the equations in </w:t>
      </w:r>
      <w:r w:rsidR="00967165" w:rsidRPr="00967165">
        <w:t xml:space="preserve">version </w:t>
      </w:r>
      <w:r>
        <w:t>two</w:t>
      </w:r>
      <w:r w:rsidR="00967165" w:rsidRPr="00967165">
        <w:t xml:space="preserve"> of the EBSS</w:t>
      </w:r>
      <w:r>
        <w:t xml:space="preserve">, which </w:t>
      </w:r>
      <w:r w:rsidR="00967165" w:rsidRPr="00967165">
        <w:t xml:space="preserve">allows for an adjustment </w:t>
      </w:r>
      <w:r>
        <w:t>for non</w:t>
      </w:r>
      <w:r w:rsidR="00986432">
        <w:noBreakHyphen/>
      </w:r>
      <w:r>
        <w:t xml:space="preserve">recurrent costs </w:t>
      </w:r>
      <w:r w:rsidR="00967165" w:rsidRPr="00967165">
        <w:t>to calculat</w:t>
      </w:r>
      <w:r>
        <w:t>e</w:t>
      </w:r>
      <w:r w:rsidR="00967165" w:rsidRPr="00967165">
        <w:t xml:space="preserve"> the incremental gain for the final year. This would </w:t>
      </w:r>
      <w:r>
        <w:t>adjust</w:t>
      </w:r>
      <w:r w:rsidR="00967165" w:rsidRPr="00967165">
        <w:t xml:space="preserve"> the EBSS </w:t>
      </w:r>
      <w:r>
        <w:t>calculation</w:t>
      </w:r>
      <w:r w:rsidR="00967165" w:rsidRPr="00967165">
        <w:t xml:space="preserve"> for non-recurrent opex removed from base opex for forecasting. It would also </w:t>
      </w:r>
      <w:r>
        <w:t>share the efficiency gains or losses associated</w:t>
      </w:r>
      <w:r w:rsidR="00967165" w:rsidRPr="00967165">
        <w:t xml:space="preserve"> </w:t>
      </w:r>
      <w:r>
        <w:t xml:space="preserve">with the </w:t>
      </w:r>
      <w:r w:rsidR="00967165" w:rsidRPr="00967165">
        <w:t>non</w:t>
      </w:r>
      <w:r w:rsidR="00986432">
        <w:noBreakHyphen/>
      </w:r>
      <w:r w:rsidR="00967165" w:rsidRPr="00967165">
        <w:t>recurrent opex between Powerlink and its customers, rather than Powerlink incurring all these costs. Under this approach</w:t>
      </w:r>
      <w:r>
        <w:t xml:space="preserve"> Powerlink would receive a </w:t>
      </w:r>
      <w:r w:rsidR="00330029">
        <w:t>total</w:t>
      </w:r>
      <w:r w:rsidR="00DC17DF">
        <w:t xml:space="preserve"> </w:t>
      </w:r>
      <w:r>
        <w:t>EBSS carryover of $1.2 million (2016–17) assuming:</w:t>
      </w:r>
    </w:p>
    <w:p w:rsidR="00967165" w:rsidRPr="00967165" w:rsidRDefault="008E5818" w:rsidP="008E5818">
      <w:pPr>
        <w:pStyle w:val="AERbulletlistfirststyle"/>
      </w:pPr>
      <w:r>
        <w:t>the</w:t>
      </w:r>
      <w:r w:rsidR="00967165" w:rsidRPr="00967165">
        <w:t xml:space="preserve"> equations in version </w:t>
      </w:r>
      <w:r w:rsidR="00134F9A">
        <w:t>two</w:t>
      </w:r>
      <w:r w:rsidR="00134F9A" w:rsidRPr="00967165">
        <w:t xml:space="preserve"> </w:t>
      </w:r>
      <w:r w:rsidR="00967165" w:rsidRPr="00967165">
        <w:t xml:space="preserve">of the EBSS </w:t>
      </w:r>
      <w:r>
        <w:t>are used</w:t>
      </w:r>
    </w:p>
    <w:p w:rsidR="00967165" w:rsidRPr="00967165" w:rsidRDefault="00967165" w:rsidP="008E5818">
      <w:pPr>
        <w:pStyle w:val="AERbulletlistfirststyle"/>
      </w:pPr>
      <w:r w:rsidRPr="00967165">
        <w:t xml:space="preserve">2014–15 </w:t>
      </w:r>
      <w:r w:rsidR="008E5818">
        <w:t>is assumed to be the base year</w:t>
      </w:r>
    </w:p>
    <w:p w:rsidR="00967165" w:rsidRPr="00967165" w:rsidRDefault="008E5818" w:rsidP="008E5818">
      <w:pPr>
        <w:pStyle w:val="AERbulletlistfirststyle"/>
      </w:pPr>
      <w:r>
        <w:t>a</w:t>
      </w:r>
      <w:r w:rsidR="00967165" w:rsidRPr="00967165">
        <w:t xml:space="preserve"> non-recurrent efficiency loss of $12.7 million </w:t>
      </w:r>
      <w:r>
        <w:t>is assumed for the base year</w:t>
      </w:r>
    </w:p>
    <w:p w:rsidR="00967165" w:rsidRPr="00967165" w:rsidRDefault="008E5818" w:rsidP="008E5818">
      <w:pPr>
        <w:pStyle w:val="AERbulletlistfirststyle"/>
      </w:pPr>
      <w:r>
        <w:t>cost associated with all n</w:t>
      </w:r>
      <w:r w:rsidR="00967165" w:rsidRPr="00967165">
        <w:t>on-recurrent cost categories (</w:t>
      </w:r>
      <w:r>
        <w:t>such as</w:t>
      </w:r>
      <w:r w:rsidR="00967165" w:rsidRPr="00967165">
        <w:t xml:space="preserve"> the 500kV project in 2014–15 and the redundancy related costs in 2015–16) </w:t>
      </w:r>
      <w:r>
        <w:t>are</w:t>
      </w:r>
      <w:r w:rsidR="00967165" w:rsidRPr="00967165">
        <w:t xml:space="preserve"> i</w:t>
      </w:r>
      <w:r>
        <w:t>ncluded in the EBSS calculation.</w:t>
      </w:r>
    </w:p>
    <w:p w:rsidR="00967165" w:rsidRDefault="00DC17DF" w:rsidP="00967165">
      <w:r>
        <w:t>We raised this issue with Powerlink.</w:t>
      </w:r>
      <w:r w:rsidR="00330029">
        <w:rPr>
          <w:rStyle w:val="FootnoteReference"/>
        </w:rPr>
        <w:footnoteReference w:id="23"/>
      </w:r>
      <w:r>
        <w:t xml:space="preserve"> Powerlink</w:t>
      </w:r>
      <w:r w:rsidR="00CD6D06">
        <w:t xml:space="preserve"> </w:t>
      </w:r>
      <w:r w:rsidR="00967165" w:rsidRPr="00967165">
        <w:t>agree</w:t>
      </w:r>
      <w:r w:rsidR="00CD6D06">
        <w:t>d</w:t>
      </w:r>
      <w:r w:rsidR="00967165" w:rsidRPr="00967165">
        <w:t xml:space="preserve"> that its EBSS proposal did not share the non-recurrent ‘efficiency losses’ related to its 500kV project and redundancy </w:t>
      </w:r>
      <w:r w:rsidR="00967165" w:rsidRPr="00967165">
        <w:lastRenderedPageBreak/>
        <w:t>related costs in the same way other gains and losses are shared by the scheme</w:t>
      </w:r>
      <w:r w:rsidR="00CD6D06">
        <w:t xml:space="preserve">. </w:t>
      </w:r>
      <w:r w:rsidR="00967165" w:rsidRPr="00967165">
        <w:t xml:space="preserve">Powerlink </w:t>
      </w:r>
      <w:r w:rsidR="00CD6D06">
        <w:t xml:space="preserve">also </w:t>
      </w:r>
      <w:r w:rsidR="00967165" w:rsidRPr="00967165">
        <w:t>agree</w:t>
      </w:r>
      <w:r w:rsidR="00CD6D06">
        <w:t>d</w:t>
      </w:r>
      <w:r w:rsidR="00967165" w:rsidRPr="00967165">
        <w:t xml:space="preserve"> that using the equations in version </w:t>
      </w:r>
      <w:r w:rsidR="00F9251E">
        <w:t>two</w:t>
      </w:r>
      <w:r w:rsidR="00967165" w:rsidRPr="00967165">
        <w:t xml:space="preserve"> of the EBSS </w:t>
      </w:r>
      <w:r w:rsidR="00CD6D06">
        <w:t>would</w:t>
      </w:r>
      <w:r w:rsidR="00967165" w:rsidRPr="00967165">
        <w:t xml:space="preserve"> account for the non-recurrent opex removed from base opex </w:t>
      </w:r>
      <w:r w:rsidR="00CD6D06">
        <w:t xml:space="preserve">and </w:t>
      </w:r>
      <w:r w:rsidR="00967165" w:rsidRPr="00967165">
        <w:t>share all efficiency gains and losses consistently</w:t>
      </w:r>
      <w:r w:rsidR="00CD6D06">
        <w:t>.</w:t>
      </w:r>
      <w:r w:rsidR="00330029">
        <w:rPr>
          <w:rStyle w:val="FootnoteReference"/>
        </w:rPr>
        <w:footnoteReference w:id="24"/>
      </w:r>
    </w:p>
    <w:p w:rsidR="00967165" w:rsidRPr="00967165" w:rsidRDefault="00977DDC" w:rsidP="00977DDC">
      <w:r>
        <w:t xml:space="preserve">However, </w:t>
      </w:r>
      <w:r w:rsidRPr="00967165">
        <w:t>Powerlink also note</w:t>
      </w:r>
      <w:r>
        <w:t>d</w:t>
      </w:r>
      <w:r w:rsidRPr="00967165">
        <w:t xml:space="preserve"> that version </w:t>
      </w:r>
      <w:r>
        <w:t>one</w:t>
      </w:r>
      <w:r w:rsidRPr="00967165">
        <w:t xml:space="preserve"> of the EBSS applie</w:t>
      </w:r>
      <w:r>
        <w:t>d</w:t>
      </w:r>
      <w:r w:rsidRPr="00967165">
        <w:t xml:space="preserve"> to Powerlink</w:t>
      </w:r>
      <w:r>
        <w:t xml:space="preserve"> during </w:t>
      </w:r>
      <w:r w:rsidR="00022A9F">
        <w:t>201</w:t>
      </w:r>
      <w:r w:rsidR="00483AE9">
        <w:t>2–</w:t>
      </w:r>
      <w:r w:rsidR="00022A9F">
        <w:t xml:space="preserve">17 </w:t>
      </w:r>
      <w:r>
        <w:t xml:space="preserve">and this version of the scheme </w:t>
      </w:r>
      <w:r w:rsidRPr="00967165">
        <w:t xml:space="preserve">does not </w:t>
      </w:r>
      <w:r>
        <w:t xml:space="preserve">provide an explicit adjustment for </w:t>
      </w:r>
      <w:r w:rsidRPr="00967165">
        <w:t xml:space="preserve">non-recurrent efficiency adjustments </w:t>
      </w:r>
      <w:r>
        <w:t xml:space="preserve">made when </w:t>
      </w:r>
      <w:r w:rsidRPr="00967165">
        <w:t>forecast</w:t>
      </w:r>
      <w:r w:rsidR="008D000C">
        <w:t>ing</w:t>
      </w:r>
      <w:r w:rsidRPr="00967165">
        <w:t xml:space="preserve"> </w:t>
      </w:r>
      <w:r>
        <w:t>opex</w:t>
      </w:r>
      <w:r w:rsidRPr="00967165">
        <w:t>.</w:t>
      </w:r>
      <w:r>
        <w:t xml:space="preserve"> Consequently Powerlink considered that excluding non-recurrent cost categories (</w:t>
      </w:r>
      <w:r w:rsidR="00967165" w:rsidRPr="00967165">
        <w:t>the 500kV project and redundancy related costs</w:t>
      </w:r>
      <w:r>
        <w:t xml:space="preserve">) </w:t>
      </w:r>
      <w:r w:rsidR="00967165" w:rsidRPr="00967165">
        <w:t>appropriately reflected its approach to forecast</w:t>
      </w:r>
      <w:r w:rsidR="001A4103">
        <w:t>ing</w:t>
      </w:r>
      <w:r w:rsidR="00967165" w:rsidRPr="00967165">
        <w:t xml:space="preserve"> </w:t>
      </w:r>
      <w:r>
        <w:t>opex</w:t>
      </w:r>
      <w:r w:rsidR="00967165" w:rsidRPr="00967165">
        <w:t xml:space="preserve">. </w:t>
      </w:r>
    </w:p>
    <w:p w:rsidR="0068737F" w:rsidRDefault="00967165" w:rsidP="00967165">
      <w:r w:rsidRPr="00967165">
        <w:t>Powerlink maintain</w:t>
      </w:r>
      <w:r w:rsidR="00977DDC">
        <w:t>ed</w:t>
      </w:r>
      <w:r w:rsidRPr="00967165">
        <w:t xml:space="preserve"> that forecast </w:t>
      </w:r>
      <w:r w:rsidR="00977DDC">
        <w:t>opex</w:t>
      </w:r>
      <w:r w:rsidRPr="00967165">
        <w:t xml:space="preserve"> of $976.7</w:t>
      </w:r>
      <w:r w:rsidR="001A4103">
        <w:t xml:space="preserve"> </w:t>
      </w:r>
      <w:r w:rsidRPr="00967165">
        <w:t>m</w:t>
      </w:r>
      <w:r w:rsidR="001A4103">
        <w:t>illion</w:t>
      </w:r>
      <w:r w:rsidRPr="00967165">
        <w:t xml:space="preserve"> (</w:t>
      </w:r>
      <w:r w:rsidR="00977DDC">
        <w:t>$</w:t>
      </w:r>
      <w:r w:rsidRPr="00967165">
        <w:t>20</w:t>
      </w:r>
      <w:r w:rsidR="00977DDC">
        <w:t>16–</w:t>
      </w:r>
      <w:r w:rsidRPr="00967165">
        <w:t>17) reflects the prudent and efficient costs required to operate and maintain its network. Powerlink</w:t>
      </w:r>
      <w:r>
        <w:t xml:space="preserve"> </w:t>
      </w:r>
      <w:r w:rsidR="00977DDC">
        <w:t xml:space="preserve">also </w:t>
      </w:r>
      <w:r w:rsidRPr="00967165">
        <w:t>maintain</w:t>
      </w:r>
      <w:r w:rsidR="00977DDC">
        <w:t>ed</w:t>
      </w:r>
      <w:r w:rsidRPr="00967165">
        <w:t xml:space="preserve"> </w:t>
      </w:r>
      <w:r w:rsidR="00403776">
        <w:t xml:space="preserve">that </w:t>
      </w:r>
      <w:r w:rsidR="00977DDC">
        <w:t xml:space="preserve">an </w:t>
      </w:r>
      <w:r w:rsidRPr="00967165">
        <w:t xml:space="preserve">EBSS carry over amount of </w:t>
      </w:r>
      <w:r w:rsidR="00977DDC">
        <w:t>–</w:t>
      </w:r>
      <w:r w:rsidRPr="00967165">
        <w:t>$7.8</w:t>
      </w:r>
      <w:r w:rsidR="005D623B">
        <w:t> </w:t>
      </w:r>
      <w:r w:rsidRPr="00967165">
        <w:t>m</w:t>
      </w:r>
      <w:r w:rsidR="005D623B">
        <w:t>illion</w:t>
      </w:r>
      <w:r w:rsidRPr="00967165">
        <w:t xml:space="preserve"> </w:t>
      </w:r>
      <w:r w:rsidR="00977DDC" w:rsidRPr="00967165">
        <w:t>(</w:t>
      </w:r>
      <w:r w:rsidR="00977DDC">
        <w:t>$</w:t>
      </w:r>
      <w:r w:rsidR="00977DDC" w:rsidRPr="00967165">
        <w:t>20</w:t>
      </w:r>
      <w:r w:rsidR="00977DDC">
        <w:t>16–</w:t>
      </w:r>
      <w:r w:rsidR="00977DDC" w:rsidRPr="00967165">
        <w:t xml:space="preserve">17) </w:t>
      </w:r>
      <w:r w:rsidRPr="00967165">
        <w:t>appropriately recognise</w:t>
      </w:r>
      <w:r w:rsidR="00977DDC">
        <w:t>s</w:t>
      </w:r>
      <w:r w:rsidRPr="00967165">
        <w:t xml:space="preserve"> efficiency gains and losses </w:t>
      </w:r>
      <w:r w:rsidR="00977DDC">
        <w:t>it accrued over the 2012–17</w:t>
      </w:r>
      <w:r w:rsidRPr="00967165">
        <w:t xml:space="preserve"> regulatory </w:t>
      </w:r>
      <w:r w:rsidR="00977DDC">
        <w:t xml:space="preserve">control </w:t>
      </w:r>
      <w:r w:rsidRPr="00967165">
        <w:t>period.</w:t>
      </w:r>
      <w:r w:rsidR="00BF465B">
        <w:rPr>
          <w:rStyle w:val="FootnoteReference"/>
        </w:rPr>
        <w:footnoteReference w:id="25"/>
      </w:r>
    </w:p>
    <w:p w:rsidR="00967165" w:rsidRDefault="00E209BD" w:rsidP="00967165">
      <w:r>
        <w:t>W</w:t>
      </w:r>
      <w:r w:rsidR="008532E1">
        <w:t xml:space="preserve">e </w:t>
      </w:r>
      <w:r w:rsidR="0068737F">
        <w:t xml:space="preserve">accept </w:t>
      </w:r>
      <w:r w:rsidR="008532E1" w:rsidRPr="008532E1">
        <w:t>an EBSS carryover of –$7.8 million (penalty), when considered together with an opex forecast of $976.7 million, appropriately reward</w:t>
      </w:r>
      <w:r w:rsidR="008532E1">
        <w:t>s</w:t>
      </w:r>
      <w:r w:rsidR="008532E1" w:rsidRPr="008532E1">
        <w:t xml:space="preserve"> </w:t>
      </w:r>
      <w:r w:rsidR="0068737F">
        <w:t>Powerlink</w:t>
      </w:r>
      <w:r w:rsidR="0068737F" w:rsidRPr="008532E1">
        <w:t xml:space="preserve"> </w:t>
      </w:r>
      <w:r w:rsidR="008532E1" w:rsidRPr="008532E1">
        <w:t>for efficiency gains and penalise</w:t>
      </w:r>
      <w:r w:rsidR="0068737F">
        <w:t>s</w:t>
      </w:r>
      <w:r w:rsidR="008532E1" w:rsidRPr="008532E1">
        <w:t xml:space="preserve"> it for efficiency losses</w:t>
      </w:r>
      <w:r w:rsidR="0068737F">
        <w:t>,</w:t>
      </w:r>
      <w:r w:rsidR="008532E1" w:rsidRPr="008532E1">
        <w:t xml:space="preserve"> while also providing it with the efficient opex it requires to o</w:t>
      </w:r>
      <w:r w:rsidR="008532E1">
        <w:t>perate and maintain its network.</w:t>
      </w:r>
      <w:r w:rsidR="00DE7781">
        <w:t xml:space="preserve"> Our decision to accept Powerlink's opex forecast is set out in attachment 7.</w:t>
      </w:r>
    </w:p>
    <w:p w:rsidR="00136D02" w:rsidRDefault="00136D02" w:rsidP="00136D02">
      <w:pPr>
        <w:pStyle w:val="Heading3"/>
      </w:pPr>
      <w:bookmarkStart w:id="81" w:name="_Toc462752635"/>
      <w:r w:rsidRPr="00136D02">
        <w:t>Application of the EBSS in the 2017–22 regulatory control period</w:t>
      </w:r>
      <w:bookmarkEnd w:id="81"/>
    </w:p>
    <w:p w:rsidR="002F4064" w:rsidRDefault="000E1D6E" w:rsidP="002F4064">
      <w:pPr>
        <w:rPr>
          <w:rStyle w:val="AERbody"/>
        </w:rPr>
      </w:pPr>
      <w:r>
        <w:rPr>
          <w:rStyle w:val="AERbody"/>
        </w:rPr>
        <w:t>Going forward, w</w:t>
      </w:r>
      <w:r w:rsidR="002F4064" w:rsidRPr="00A95046">
        <w:rPr>
          <w:rStyle w:val="AERbody"/>
        </w:rPr>
        <w:t>e will apply version two of the EBSS</w:t>
      </w:r>
      <w:r w:rsidR="002F4064">
        <w:rPr>
          <w:rStyle w:val="AERbody"/>
        </w:rPr>
        <w:t xml:space="preserve"> </w:t>
      </w:r>
      <w:r w:rsidR="002F4064" w:rsidRPr="00A95046">
        <w:rPr>
          <w:rStyle w:val="AERbody"/>
        </w:rPr>
        <w:t xml:space="preserve">to </w:t>
      </w:r>
      <w:r w:rsidR="002F4064">
        <w:rPr>
          <w:rStyle w:val="AERbody"/>
        </w:rPr>
        <w:t>Powerlink.</w:t>
      </w:r>
      <w:r w:rsidR="002F4064">
        <w:rPr>
          <w:rStyle w:val="FootnoteReference"/>
        </w:rPr>
        <w:footnoteReference w:id="26"/>
      </w:r>
      <w:r w:rsidR="002F4064" w:rsidRPr="00A95046">
        <w:t xml:space="preserve"> We consider the EBSS is needed to provide </w:t>
      </w:r>
      <w:r w:rsidR="002F4064">
        <w:t>Powerlink</w:t>
      </w:r>
      <w:r w:rsidR="002F4064" w:rsidRPr="00A95046">
        <w:t xml:space="preserve"> with a continuous incentive to pursue efficiency gains </w:t>
      </w:r>
      <w:r w:rsidR="002F4064" w:rsidRPr="00A95046">
        <w:rPr>
          <w:rStyle w:val="AERbody"/>
        </w:rPr>
        <w:t>during the</w:t>
      </w:r>
      <w:r w:rsidR="002F4064">
        <w:rPr>
          <w:rStyle w:val="AERbody"/>
        </w:rPr>
        <w:t xml:space="preserve"> </w:t>
      </w:r>
      <w:r w:rsidR="002F4064" w:rsidRPr="00A95046">
        <w:rPr>
          <w:rStyle w:val="AERbody"/>
        </w:rPr>
        <w:t>201</w:t>
      </w:r>
      <w:r w:rsidR="002F4064">
        <w:rPr>
          <w:rStyle w:val="AERbody"/>
        </w:rPr>
        <w:t>7</w:t>
      </w:r>
      <w:r w:rsidR="002F4064" w:rsidRPr="00A95046">
        <w:rPr>
          <w:rStyle w:val="AERbody"/>
        </w:rPr>
        <w:t>–</w:t>
      </w:r>
      <w:r w:rsidR="002F4064">
        <w:rPr>
          <w:rStyle w:val="AERbody"/>
        </w:rPr>
        <w:t>22 regulatory control</w:t>
      </w:r>
      <w:r w:rsidR="002F4064" w:rsidRPr="00A95046">
        <w:rPr>
          <w:rStyle w:val="AERbody"/>
        </w:rPr>
        <w:t xml:space="preserve"> period. As we typically rely on a</w:t>
      </w:r>
      <w:r w:rsidR="002F4064">
        <w:rPr>
          <w:rStyle w:val="AERbody"/>
        </w:rPr>
        <w:t xml:space="preserve"> single year</w:t>
      </w:r>
      <w:r w:rsidR="002F4064" w:rsidRPr="00A95046">
        <w:rPr>
          <w:rStyle w:val="AERbody"/>
        </w:rPr>
        <w:t xml:space="preserve"> revealed cost approach to forecasting opex, we consider the EBSS is also needed to provide </w:t>
      </w:r>
      <w:r w:rsidR="002F4064">
        <w:rPr>
          <w:rStyle w:val="AERbody"/>
        </w:rPr>
        <w:t>Powerlink</w:t>
      </w:r>
      <w:r w:rsidR="002F4064" w:rsidRPr="00A95046">
        <w:rPr>
          <w:rStyle w:val="AERbody"/>
        </w:rPr>
        <w:t xml:space="preserve"> with an incentive not to increase its opex in the expected base year.</w:t>
      </w:r>
    </w:p>
    <w:p w:rsidR="002F4064" w:rsidRDefault="002F4064" w:rsidP="002F4064">
      <w:r w:rsidRPr="00A95046">
        <w:t xml:space="preserve">Version </w:t>
      </w:r>
      <w:r>
        <w:t>two</w:t>
      </w:r>
      <w:r w:rsidRPr="00A95046">
        <w:t xml:space="preserve"> of the EBSS specifies our approach to determining the length of the carryover period, calculating the incremental efficiency gains and adjusting forecast or actual opex when calculating carryover amounts. </w:t>
      </w:r>
      <w:r>
        <w:t>These are detailed below.</w:t>
      </w:r>
    </w:p>
    <w:p w:rsidR="002F4064" w:rsidRDefault="002F4064" w:rsidP="002F4064">
      <w:pPr>
        <w:pStyle w:val="HeadingBoldBlue"/>
      </w:pPr>
      <w:bookmarkStart w:id="82" w:name="_Toc417636194"/>
      <w:r>
        <w:t>Length of carryover period</w:t>
      </w:r>
      <w:bookmarkEnd w:id="82"/>
    </w:p>
    <w:p w:rsidR="002F4064" w:rsidRDefault="002F4064" w:rsidP="002F4064">
      <w:pPr>
        <w:numPr>
          <w:ilvl w:val="0"/>
          <w:numId w:val="24"/>
        </w:numPr>
      </w:pPr>
      <w:r>
        <w:t xml:space="preserve">The length of the carryover period for the 2017–22 regulatory control period </w:t>
      </w:r>
      <w:r w:rsidR="00403776">
        <w:t>should</w:t>
      </w:r>
      <w:r>
        <w:t xml:space="preserve"> be </w:t>
      </w:r>
      <w:r w:rsidR="00D46AF6">
        <w:t>the same as the length of the regulatory control period commencing in 2022</w:t>
      </w:r>
      <w:r w:rsidR="002802AB">
        <w:t>–</w:t>
      </w:r>
      <w:r w:rsidR="00D46AF6">
        <w:t>23</w:t>
      </w:r>
      <w:r>
        <w:t xml:space="preserve">. This </w:t>
      </w:r>
      <w:r>
        <w:lastRenderedPageBreak/>
        <w:t xml:space="preserve">aligns the EBSS carryover period with the total length of </w:t>
      </w:r>
      <w:r w:rsidR="000E1D6E">
        <w:t xml:space="preserve">Powerlink's </w:t>
      </w:r>
      <w:r>
        <w:t>regulatory control period</w:t>
      </w:r>
      <w:r w:rsidR="008358F1">
        <w:t xml:space="preserve"> and ensures</w:t>
      </w:r>
      <w:r w:rsidR="000E1D6E">
        <w:t xml:space="preserve"> continuous</w:t>
      </w:r>
      <w:r w:rsidR="008358F1">
        <w:t xml:space="preserve"> incentives</w:t>
      </w:r>
      <w:r>
        <w:t>.</w:t>
      </w:r>
      <w:r w:rsidR="008358F1">
        <w:rPr>
          <w:rStyle w:val="FootnoteReference"/>
        </w:rPr>
        <w:footnoteReference w:id="27"/>
      </w:r>
      <w:r>
        <w:t xml:space="preserve"> </w:t>
      </w:r>
    </w:p>
    <w:p w:rsidR="002F4064" w:rsidRDefault="002F4064" w:rsidP="002F4064">
      <w:pPr>
        <w:pStyle w:val="HeadingBoldBlue"/>
      </w:pPr>
      <w:bookmarkStart w:id="83" w:name="_Toc417636195"/>
      <w:r>
        <w:t>Incremental efficiency gains</w:t>
      </w:r>
      <w:bookmarkEnd w:id="83"/>
    </w:p>
    <w:p w:rsidR="002F4064" w:rsidRDefault="002F4064" w:rsidP="002F4064">
      <w:pPr>
        <w:numPr>
          <w:ilvl w:val="0"/>
          <w:numId w:val="24"/>
        </w:numPr>
      </w:pPr>
      <w:r>
        <w:t>We will calculate incremental efficiency gains differently depending on whether they are in:</w:t>
      </w:r>
    </w:p>
    <w:p w:rsidR="002F4064" w:rsidRPr="006E608B" w:rsidRDefault="002F4064" w:rsidP="002F4064">
      <w:pPr>
        <w:pStyle w:val="AERbulletlistfirststyle"/>
      </w:pPr>
      <w:r>
        <w:t>the first regulatory year</w:t>
      </w:r>
    </w:p>
    <w:p w:rsidR="00D46AF6" w:rsidRDefault="002F4064" w:rsidP="00D46AF6">
      <w:pPr>
        <w:pStyle w:val="AERbulletlistfirststyle"/>
      </w:pPr>
      <w:r>
        <w:t>the second regulatory year to the penultimate regulatory year</w:t>
      </w:r>
      <w:r w:rsidR="00D46AF6">
        <w:t>.</w:t>
      </w:r>
    </w:p>
    <w:p w:rsidR="00D46AF6" w:rsidRPr="00D46AF6" w:rsidRDefault="00D46AF6" w:rsidP="00D46AF6">
      <w:r w:rsidRPr="00D46AF6">
        <w:t xml:space="preserve">We </w:t>
      </w:r>
      <w:r>
        <w:t xml:space="preserve">will </w:t>
      </w:r>
      <w:r w:rsidRPr="00D46AF6">
        <w:t>estimate actual opex for the final regulatory year.</w:t>
      </w:r>
    </w:p>
    <w:p w:rsidR="002F4064" w:rsidRDefault="002F4064" w:rsidP="002F4064">
      <w:pPr>
        <w:numPr>
          <w:ilvl w:val="0"/>
          <w:numId w:val="24"/>
        </w:numPr>
      </w:pPr>
      <w:r>
        <w:t>We will do this according to the formulas set out in version two of the EBSS.</w:t>
      </w:r>
      <w:r>
        <w:rPr>
          <w:rStyle w:val="FootnoteReference"/>
        </w:rPr>
        <w:footnoteReference w:id="28"/>
      </w:r>
      <w:r>
        <w:t xml:space="preserve"> </w:t>
      </w:r>
    </w:p>
    <w:p w:rsidR="002F4064" w:rsidRDefault="002F4064" w:rsidP="002F4064">
      <w:pPr>
        <w:pStyle w:val="HeadingBoldBlue"/>
      </w:pPr>
      <w:bookmarkStart w:id="84" w:name="_Toc417636196"/>
      <w:r>
        <w:t>Adjustments to forecast or actual opex when calculating carryover amounts</w:t>
      </w:r>
      <w:bookmarkEnd w:id="84"/>
    </w:p>
    <w:p w:rsidR="002F4064" w:rsidRDefault="002F4064" w:rsidP="002F4064">
      <w:pPr>
        <w:numPr>
          <w:ilvl w:val="0"/>
          <w:numId w:val="24"/>
        </w:numPr>
      </w:pPr>
      <w:r w:rsidRPr="00E43204">
        <w:t xml:space="preserve">The EBSS allows </w:t>
      </w:r>
      <w:r w:rsidR="000534EE">
        <w:t>us to exclude</w:t>
      </w:r>
      <w:r w:rsidR="000534EE" w:rsidRPr="00E43204">
        <w:t xml:space="preserve"> </w:t>
      </w:r>
      <w:r w:rsidR="000534EE">
        <w:t xml:space="preserve">categories of costs that </w:t>
      </w:r>
      <w:r w:rsidRPr="00E43204">
        <w:t xml:space="preserve">we do not </w:t>
      </w:r>
      <w:r>
        <w:t>forecast using</w:t>
      </w:r>
      <w:r w:rsidRPr="00E43204">
        <w:t xml:space="preserve"> a single year revealed cost forecasting approach. This is designed to fair</w:t>
      </w:r>
      <w:r>
        <w:t>ly</w:t>
      </w:r>
      <w:r w:rsidRPr="00E43204">
        <w:t xml:space="preserve"> shar</w:t>
      </w:r>
      <w:r>
        <w:t>e</w:t>
      </w:r>
      <w:r w:rsidRPr="00E43204">
        <w:t xml:space="preserve"> efficiency gains and losses. For instance</w:t>
      </w:r>
      <w:r>
        <w:t>,</w:t>
      </w:r>
      <w:r w:rsidRPr="00E43204">
        <w:t xml:space="preserve"> where a </w:t>
      </w:r>
      <w:r>
        <w:t>service provider</w:t>
      </w:r>
      <w:r w:rsidRPr="00E43204">
        <w:t xml:space="preserve"> achieves efficiency improvements, </w:t>
      </w:r>
      <w:r>
        <w:t>it</w:t>
      </w:r>
      <w:r w:rsidRPr="00E43204">
        <w:t xml:space="preserve"> receive</w:t>
      </w:r>
      <w:r>
        <w:t>s</w:t>
      </w:r>
      <w:r w:rsidRPr="00E43204">
        <w:t xml:space="preserve"> a benefit through the EBSS</w:t>
      </w:r>
      <w:r>
        <w:t xml:space="preserve"> and c</w:t>
      </w:r>
      <w:r w:rsidRPr="00E43204">
        <w:t>onsumers receive a benefit through lower forecast opex in the next period. This is the way consumer</w:t>
      </w:r>
      <w:r>
        <w:t>s</w:t>
      </w:r>
      <w:r w:rsidRPr="00E43204">
        <w:t xml:space="preserve"> and </w:t>
      </w:r>
      <w:r>
        <w:t>the service provider</w:t>
      </w:r>
      <w:r w:rsidRPr="00E43204">
        <w:t xml:space="preserve"> share in the benefits of an efficiency improvement.</w:t>
      </w:r>
    </w:p>
    <w:p w:rsidR="002F4064" w:rsidRPr="001A52DA" w:rsidRDefault="002F4064" w:rsidP="002F4064">
      <w:pPr>
        <w:numPr>
          <w:ilvl w:val="0"/>
          <w:numId w:val="24"/>
        </w:numPr>
      </w:pPr>
      <w:r w:rsidRPr="001A52DA">
        <w:t>If we do not use a single year revealed cost forecasting approach, lower actual opex will not necessarily be passed through to consumers. Consumer</w:t>
      </w:r>
      <w:r>
        <w:t>s</w:t>
      </w:r>
      <w:r w:rsidRPr="001A52DA">
        <w:t xml:space="preserve"> should not pay for EBSS benefits where </w:t>
      </w:r>
      <w:r>
        <w:t>they</w:t>
      </w:r>
      <w:r w:rsidRPr="001A52DA">
        <w:t xml:space="preserve"> do not receive the benefits of a lower </w:t>
      </w:r>
      <w:r>
        <w:t xml:space="preserve">opex </w:t>
      </w:r>
      <w:r w:rsidRPr="001A52DA">
        <w:t>forecast.</w:t>
      </w:r>
    </w:p>
    <w:p w:rsidR="002F4064" w:rsidRDefault="002F4064" w:rsidP="002F4064">
      <w:pPr>
        <w:numPr>
          <w:ilvl w:val="0"/>
          <w:numId w:val="24"/>
        </w:numPr>
      </w:pPr>
      <w:r>
        <w:t xml:space="preserve">We </w:t>
      </w:r>
      <w:r w:rsidR="000534EE">
        <w:t>will</w:t>
      </w:r>
      <w:r>
        <w:t xml:space="preserve"> exclude the following categories of costs from the EBSS:</w:t>
      </w:r>
    </w:p>
    <w:p w:rsidR="002F4064" w:rsidRDefault="002F4064" w:rsidP="002F4064">
      <w:pPr>
        <w:pStyle w:val="AERbulletlistfirststyle"/>
      </w:pPr>
      <w:r>
        <w:t>debt raising costs</w:t>
      </w:r>
    </w:p>
    <w:p w:rsidR="002F4064" w:rsidRDefault="00DD033C" w:rsidP="002F4064">
      <w:pPr>
        <w:pStyle w:val="AERbulletlistfirststyle"/>
      </w:pPr>
      <w:r>
        <w:t>network support costs</w:t>
      </w:r>
      <w:r w:rsidR="00021F79">
        <w:t>.</w:t>
      </w:r>
    </w:p>
    <w:p w:rsidR="002F4064" w:rsidRDefault="002F4064" w:rsidP="002F4064">
      <w:pPr>
        <w:rPr>
          <w:rStyle w:val="AERbody"/>
        </w:rPr>
      </w:pPr>
      <w:r>
        <w:rPr>
          <w:rStyle w:val="AERbody"/>
        </w:rPr>
        <w:t xml:space="preserve">We </w:t>
      </w:r>
      <w:r w:rsidR="00050F33">
        <w:rPr>
          <w:rStyle w:val="AERbody"/>
        </w:rPr>
        <w:t xml:space="preserve">accept </w:t>
      </w:r>
      <w:r w:rsidR="00021F79">
        <w:rPr>
          <w:rStyle w:val="AERbody"/>
        </w:rPr>
        <w:t>Po</w:t>
      </w:r>
      <w:r w:rsidR="008175A2">
        <w:rPr>
          <w:rStyle w:val="AERbody"/>
        </w:rPr>
        <w:t>w</w:t>
      </w:r>
      <w:r w:rsidR="00021F79">
        <w:rPr>
          <w:rStyle w:val="AERbody"/>
        </w:rPr>
        <w:t>erlink</w:t>
      </w:r>
      <w:r w:rsidR="00050F33">
        <w:rPr>
          <w:rStyle w:val="AERbody"/>
        </w:rPr>
        <w:t>'s proposal</w:t>
      </w:r>
      <w:r w:rsidR="000534EE">
        <w:rPr>
          <w:rStyle w:val="AERbody"/>
        </w:rPr>
        <w:t xml:space="preserve"> </w:t>
      </w:r>
      <w:r w:rsidR="00050F33">
        <w:rPr>
          <w:rStyle w:val="AERbody"/>
        </w:rPr>
        <w:t xml:space="preserve">to </w:t>
      </w:r>
      <w:r w:rsidR="000534EE">
        <w:rPr>
          <w:rStyle w:val="AERbody"/>
        </w:rPr>
        <w:t xml:space="preserve">exclude these cost categories from the EBSS because they are not </w:t>
      </w:r>
      <w:r w:rsidRPr="007E3163">
        <w:rPr>
          <w:rStyle w:val="AERbody"/>
        </w:rPr>
        <w:t>forecast</w:t>
      </w:r>
      <w:r>
        <w:rPr>
          <w:rStyle w:val="AERbody"/>
        </w:rPr>
        <w:t xml:space="preserve"> </w:t>
      </w:r>
      <w:r w:rsidRPr="007E3163">
        <w:rPr>
          <w:rStyle w:val="AERbody"/>
        </w:rPr>
        <w:t>based on revealed expenditure</w:t>
      </w:r>
      <w:r>
        <w:rPr>
          <w:rStyle w:val="AERbody"/>
        </w:rPr>
        <w:t xml:space="preserve"> in a single year</w:t>
      </w:r>
      <w:r w:rsidRPr="007E3163">
        <w:rPr>
          <w:rStyle w:val="AERbody"/>
        </w:rPr>
        <w:t>.</w:t>
      </w:r>
      <w:r>
        <w:rPr>
          <w:rStyle w:val="AERbody"/>
        </w:rPr>
        <w:t xml:space="preserve"> </w:t>
      </w:r>
    </w:p>
    <w:p w:rsidR="00797AB2" w:rsidRDefault="00F75EEC" w:rsidP="00797AB2">
      <w:pPr>
        <w:rPr>
          <w:rStyle w:val="AERbody"/>
        </w:rPr>
      </w:pPr>
      <w:r>
        <w:t>We</w:t>
      </w:r>
      <w:r w:rsidR="000D5F68">
        <w:t xml:space="preserve"> forecast debt raising costs using a benchmark and not revealed </w:t>
      </w:r>
      <w:r>
        <w:t>expenditure</w:t>
      </w:r>
      <w:r w:rsidR="000D5F68">
        <w:t>.</w:t>
      </w:r>
      <w:r w:rsidR="000D5F68">
        <w:rPr>
          <w:rStyle w:val="FootnoteReference"/>
        </w:rPr>
        <w:footnoteReference w:id="29"/>
      </w:r>
      <w:r w:rsidR="00134F9A">
        <w:t xml:space="preserve"> </w:t>
      </w:r>
      <w:r>
        <w:rPr>
          <w:rStyle w:val="AERbody"/>
        </w:rPr>
        <w:t>We also forecast network support costs using a category specific forecast.</w:t>
      </w:r>
      <w:r w:rsidR="00E403E9">
        <w:rPr>
          <w:rStyle w:val="FootnoteReference"/>
        </w:rPr>
        <w:footnoteReference w:id="30"/>
      </w:r>
      <w:r>
        <w:rPr>
          <w:rStyle w:val="AERbody"/>
        </w:rPr>
        <w:t xml:space="preserve"> This is because w</w:t>
      </w:r>
      <w:r w:rsidR="00797AB2">
        <w:rPr>
          <w:rStyle w:val="AERbody"/>
        </w:rPr>
        <w:t>e are</w:t>
      </w:r>
      <w:r w:rsidR="00797AB2" w:rsidRPr="00797AB2">
        <w:rPr>
          <w:rStyle w:val="AERbody"/>
        </w:rPr>
        <w:t xml:space="preserve"> required</w:t>
      </w:r>
      <w:r w:rsidR="000D5F68">
        <w:rPr>
          <w:rStyle w:val="AERbody"/>
        </w:rPr>
        <w:t xml:space="preserve"> under the </w:t>
      </w:r>
      <w:r w:rsidR="001A4103">
        <w:rPr>
          <w:rStyle w:val="AERbody"/>
        </w:rPr>
        <w:t>NER</w:t>
      </w:r>
      <w:r w:rsidR="001A4103" w:rsidRPr="00797AB2">
        <w:rPr>
          <w:rStyle w:val="AERbody"/>
        </w:rPr>
        <w:t xml:space="preserve"> </w:t>
      </w:r>
      <w:r w:rsidR="00797AB2" w:rsidRPr="00797AB2">
        <w:rPr>
          <w:rStyle w:val="AERbody"/>
        </w:rPr>
        <w:t xml:space="preserve">to adjust </w:t>
      </w:r>
      <w:r w:rsidR="00797AB2">
        <w:rPr>
          <w:rStyle w:val="AERbody"/>
        </w:rPr>
        <w:t>a transmission network service provider's</w:t>
      </w:r>
      <w:r w:rsidR="00797AB2" w:rsidRPr="00797AB2">
        <w:rPr>
          <w:rStyle w:val="AERbody"/>
        </w:rPr>
        <w:t xml:space="preserve"> revenue when the actual amount of network support payments </w:t>
      </w:r>
      <w:r w:rsidR="000D5F68">
        <w:rPr>
          <w:rStyle w:val="AERbody"/>
        </w:rPr>
        <w:t>it incurs</w:t>
      </w:r>
      <w:r w:rsidR="00797AB2" w:rsidRPr="00797AB2">
        <w:rPr>
          <w:rStyle w:val="AERbody"/>
        </w:rPr>
        <w:t xml:space="preserve"> </w:t>
      </w:r>
      <w:r w:rsidR="00797AB2" w:rsidRPr="00797AB2">
        <w:rPr>
          <w:rStyle w:val="AERbody"/>
        </w:rPr>
        <w:lastRenderedPageBreak/>
        <w:t xml:space="preserve">differs to the </w:t>
      </w:r>
      <w:r w:rsidR="000D5F68">
        <w:rPr>
          <w:rStyle w:val="AERbody"/>
        </w:rPr>
        <w:t>allowance we determined for that year</w:t>
      </w:r>
      <w:r w:rsidR="00797AB2" w:rsidRPr="00797AB2">
        <w:rPr>
          <w:rStyle w:val="AERbody"/>
        </w:rPr>
        <w:t>.</w:t>
      </w:r>
      <w:r w:rsidR="000D5F68">
        <w:rPr>
          <w:rStyle w:val="FootnoteReference"/>
        </w:rPr>
        <w:footnoteReference w:id="31"/>
      </w:r>
      <w:r w:rsidR="000D5F68">
        <w:rPr>
          <w:rStyle w:val="AERbody"/>
        </w:rPr>
        <w:t xml:space="preserve"> To facilitate this, we forecast network support costs </w:t>
      </w:r>
      <w:r>
        <w:rPr>
          <w:rStyle w:val="AERbody"/>
        </w:rPr>
        <w:t>separately</w:t>
      </w:r>
      <w:r w:rsidR="000D5F68">
        <w:rPr>
          <w:rStyle w:val="AERbody"/>
        </w:rPr>
        <w:t xml:space="preserve">. </w:t>
      </w:r>
    </w:p>
    <w:p w:rsidR="002F4064" w:rsidRDefault="002F4064" w:rsidP="002F4064">
      <w:r>
        <w:t xml:space="preserve">We </w:t>
      </w:r>
      <w:r w:rsidR="000534EE">
        <w:t>will</w:t>
      </w:r>
      <w:r>
        <w:t xml:space="preserve"> </w:t>
      </w:r>
      <w:r w:rsidR="00AD038B">
        <w:t xml:space="preserve">not </w:t>
      </w:r>
      <w:r>
        <w:t>exclude the following categories</w:t>
      </w:r>
      <w:r w:rsidRPr="008711B1">
        <w:t xml:space="preserve"> </w:t>
      </w:r>
      <w:r w:rsidR="000534EE">
        <w:t>of opex</w:t>
      </w:r>
      <w:r w:rsidR="00134F9A">
        <w:t xml:space="preserve"> </w:t>
      </w:r>
      <w:r>
        <w:t>from the EBSS:</w:t>
      </w:r>
    </w:p>
    <w:p w:rsidR="008175A2" w:rsidRDefault="008175A2" w:rsidP="002F4064">
      <w:pPr>
        <w:pStyle w:val="AERbulletlistfirststyle"/>
      </w:pPr>
      <w:r>
        <w:t>insurance</w:t>
      </w:r>
    </w:p>
    <w:p w:rsidR="002F4064" w:rsidRDefault="008175A2" w:rsidP="002F4064">
      <w:pPr>
        <w:pStyle w:val="AERbulletlistfirststyle"/>
      </w:pPr>
      <w:r>
        <w:t>s</w:t>
      </w:r>
      <w:r w:rsidR="002F4064">
        <w:t>elf-insurance</w:t>
      </w:r>
    </w:p>
    <w:p w:rsidR="00DD033C" w:rsidRDefault="00DD033C" w:rsidP="002F4064">
      <w:pPr>
        <w:pStyle w:val="AERbulletlistfirststyle"/>
      </w:pPr>
      <w:r>
        <w:t>AEMC levy</w:t>
      </w:r>
    </w:p>
    <w:p w:rsidR="008175A2" w:rsidRDefault="008175A2" w:rsidP="002F4064">
      <w:pPr>
        <w:pStyle w:val="AERbulletlistfirststyle"/>
      </w:pPr>
      <w:r>
        <w:t>redundancy related costs.</w:t>
      </w:r>
    </w:p>
    <w:p w:rsidR="002F4064" w:rsidRDefault="002F4064" w:rsidP="002F4064">
      <w:r>
        <w:t xml:space="preserve">As </w:t>
      </w:r>
      <w:r w:rsidR="000534EE">
        <w:t xml:space="preserve">we have </w:t>
      </w:r>
      <w:r>
        <w:t xml:space="preserve">outlined in attachment 7, </w:t>
      </w:r>
      <w:r w:rsidR="000534EE">
        <w:t>we prefer</w:t>
      </w:r>
      <w:r w:rsidRPr="0025686D">
        <w:t xml:space="preserve"> to forecast total opex using a single year revealed cost</w:t>
      </w:r>
      <w:r w:rsidR="000534EE">
        <w:t xml:space="preserve"> approach</w:t>
      </w:r>
      <w:r w:rsidRPr="0025686D">
        <w:t xml:space="preserve">. </w:t>
      </w:r>
      <w:r w:rsidR="000E1D6E">
        <w:t>Powerlink</w:t>
      </w:r>
      <w:r w:rsidR="000E1D6E" w:rsidRPr="0025686D">
        <w:t xml:space="preserve"> </w:t>
      </w:r>
      <w:r w:rsidR="000534EE">
        <w:t>adopted a similar</w:t>
      </w:r>
      <w:r w:rsidR="000534EE" w:rsidRPr="0025686D">
        <w:t xml:space="preserve"> </w:t>
      </w:r>
      <w:r w:rsidRPr="0025686D">
        <w:t xml:space="preserve">forecasting approach. </w:t>
      </w:r>
      <w:r w:rsidR="00A27963">
        <w:t>Because these costs are included in our total opex forecast based on revealed expenditure in a single year, t</w:t>
      </w:r>
      <w:r w:rsidR="008175A2">
        <w:t>here is</w:t>
      </w:r>
      <w:r w:rsidRPr="0025686D">
        <w:t xml:space="preserve"> no reason to exclude </w:t>
      </w:r>
      <w:r w:rsidR="00A27963">
        <w:t>them</w:t>
      </w:r>
      <w:r w:rsidRPr="0025686D">
        <w:t xml:space="preserve"> from the EBSS.</w:t>
      </w:r>
      <w:r>
        <w:t xml:space="preserve"> </w:t>
      </w:r>
    </w:p>
    <w:p w:rsidR="008175A2" w:rsidRDefault="008175A2" w:rsidP="002F4064">
      <w:r>
        <w:t xml:space="preserve">By including costs </w:t>
      </w:r>
      <w:r w:rsidR="001F4DAE">
        <w:t xml:space="preserve">such as </w:t>
      </w:r>
      <w:r w:rsidR="00F15AF9">
        <w:t xml:space="preserve">redundancy related costs, </w:t>
      </w:r>
      <w:r w:rsidR="00DD033C">
        <w:t xml:space="preserve">the AEMC levy, </w:t>
      </w:r>
      <w:r w:rsidR="001F4DAE">
        <w:t xml:space="preserve">insurance and self-insurance </w:t>
      </w:r>
      <w:r>
        <w:t xml:space="preserve">in the EBSS, uncontrollable cost decreases or increases are shared between service providers and </w:t>
      </w:r>
      <w:r w:rsidR="00403776">
        <w:t>network users</w:t>
      </w:r>
      <w:r>
        <w:t xml:space="preserve"> in the same way as </w:t>
      </w:r>
      <w:r w:rsidR="00BE1D5D">
        <w:t xml:space="preserve">for </w:t>
      </w:r>
      <w:r>
        <w:t>any efficiency gain or loss (that is, approximately 30:70 with a five year carryover period). If we exclud</w:t>
      </w:r>
      <w:r w:rsidR="00A27963">
        <w:t>e</w:t>
      </w:r>
      <w:r>
        <w:t xml:space="preserve"> such costs, </w:t>
      </w:r>
      <w:r w:rsidR="00A27963">
        <w:t>the service provider's</w:t>
      </w:r>
      <w:r>
        <w:t xml:space="preserve"> share of cost </w:t>
      </w:r>
      <w:r w:rsidR="002C17BB">
        <w:t xml:space="preserve">decreases or </w:t>
      </w:r>
      <w:r>
        <w:t xml:space="preserve">increases differs across the regulatory control period. </w:t>
      </w:r>
      <w:r w:rsidR="00A27963">
        <w:t>We do not consider</w:t>
      </w:r>
      <w:r>
        <w:t xml:space="preserve"> cost increases should be shared differently between service providers and </w:t>
      </w:r>
      <w:r w:rsidR="00BE1D5D">
        <w:t>network users</w:t>
      </w:r>
      <w:r>
        <w:t xml:space="preserve"> in different regulatory years.</w:t>
      </w:r>
    </w:p>
    <w:p w:rsidR="00134F9A" w:rsidRPr="003F54B9" w:rsidRDefault="00134F9A" w:rsidP="00134F9A">
      <w:pPr>
        <w:numPr>
          <w:ilvl w:val="0"/>
          <w:numId w:val="24"/>
        </w:numPr>
      </w:pPr>
      <w:r>
        <w:t>In addition to the excluded cost categories</w:t>
      </w:r>
      <w:r w:rsidR="00ED0ACD">
        <w:t>,</w:t>
      </w:r>
      <w:r>
        <w:t xml:space="preserve"> we will </w:t>
      </w:r>
      <w:r w:rsidRPr="006F6CCB">
        <w:t>adjust actual opex to rever</w:t>
      </w:r>
      <w:r>
        <w:t>se any movements in provisions. Consistent with the approach we applied in implementing the EBSS for the 2012–17 regulatory control period, for regulatory purposes we consider actual opex net of movement in provisions best reflects the actual opex incurred by the service provider during the regulatory control period.</w:t>
      </w:r>
    </w:p>
    <w:p w:rsidR="002F4064" w:rsidRDefault="00F577D8" w:rsidP="002F4064">
      <w:r>
        <w:t>Consistent with version two of the EBSS w</w:t>
      </w:r>
      <w:r w:rsidR="002F4064">
        <w:t xml:space="preserve">e will also: </w:t>
      </w:r>
    </w:p>
    <w:p w:rsidR="002F4064" w:rsidRPr="006E608B" w:rsidRDefault="002F4064" w:rsidP="002F4064">
      <w:pPr>
        <w:pStyle w:val="AERbulletlistfirststyle"/>
      </w:pPr>
      <w:r w:rsidRPr="00A95046">
        <w:t xml:space="preserve">adjust forecast opex to add (subtract) any approved revenue increments (decrements) made after the initial regulatory determination. This may include approved pass through amounts </w:t>
      </w:r>
    </w:p>
    <w:p w:rsidR="002F4064" w:rsidRPr="006E608B" w:rsidRDefault="002F4064" w:rsidP="002F4064">
      <w:pPr>
        <w:pStyle w:val="AERbulletlistfirststyle"/>
      </w:pPr>
      <w:r w:rsidRPr="00A95046">
        <w:t>adjust actual opex to add capitalised opex that has been excluded</w:t>
      </w:r>
      <w:r w:rsidRPr="006E608B">
        <w:t xml:space="preserve"> from the RAB</w:t>
      </w:r>
      <w:r w:rsidR="00EA58B3">
        <w:rPr>
          <w:rStyle w:val="FootnoteReference"/>
        </w:rPr>
        <w:footnoteReference w:id="32"/>
      </w:r>
      <w:r w:rsidRPr="006E608B">
        <w:t xml:space="preserve"> </w:t>
      </w:r>
    </w:p>
    <w:p w:rsidR="002F4064" w:rsidRPr="006E608B" w:rsidRDefault="002F4064" w:rsidP="002F4064">
      <w:pPr>
        <w:pStyle w:val="AERbulletlistfirststyle"/>
      </w:pPr>
      <w:r w:rsidRPr="00A95046">
        <w:t>exclude categories of opex not forecast using a single year revealed cost approach for the regulatory control period beginning in 20</w:t>
      </w:r>
      <w:r w:rsidR="00BE1D5D">
        <w:t>22–23</w:t>
      </w:r>
      <w:r w:rsidRPr="006E608B">
        <w:t xml:space="preserve"> where doing so better achieves the requirements of clause </w:t>
      </w:r>
      <w:r>
        <w:t>6</w:t>
      </w:r>
      <w:r w:rsidR="004323AA">
        <w:t>A.6.5</w:t>
      </w:r>
      <w:r w:rsidRPr="006E608B">
        <w:t xml:space="preserve"> of the NER.</w:t>
      </w:r>
      <w:r w:rsidR="00F577D8">
        <w:rPr>
          <w:rStyle w:val="FootnoteReference"/>
        </w:rPr>
        <w:footnoteReference w:id="33"/>
      </w:r>
    </w:p>
    <w:p w:rsidR="00134F9A" w:rsidRPr="00134F9A" w:rsidRDefault="00134F9A" w:rsidP="00134F9A"/>
    <w:sectPr w:rsidR="00134F9A" w:rsidRPr="00134F9A" w:rsidSect="00CF42AA">
      <w:headerReference w:type="default" r:id="rId13"/>
      <w:footerReference w:type="even" r:id="rId14"/>
      <w:footerReference w:type="default" r:id="rId15"/>
      <w:footerReference w:type="first" r:id="rId16"/>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314" w:rsidRPr="00290C63" w:rsidRDefault="00D84314" w:rsidP="00290C63">
      <w:r>
        <w:separator/>
      </w:r>
    </w:p>
    <w:p w:rsidR="00D84314" w:rsidRDefault="00D84314"/>
  </w:endnote>
  <w:endnote w:type="continuationSeparator" w:id="0">
    <w:p w:rsidR="00D84314" w:rsidRPr="00290C63" w:rsidRDefault="00D84314" w:rsidP="00290C63">
      <w:r>
        <w:continuationSeparator/>
      </w:r>
    </w:p>
    <w:p w:rsidR="00D84314" w:rsidRDefault="00D84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88892"/>
      <w:docPartObj>
        <w:docPartGallery w:val="Page Numbers (Bottom of Page)"/>
        <w:docPartUnique/>
      </w:docPartObj>
    </w:sdtPr>
    <w:sdtEndPr/>
    <w:sdtContent>
      <w:p w:rsidR="0061082A" w:rsidRPr="0061082A" w:rsidRDefault="0061082A" w:rsidP="0061082A">
        <w:pPr>
          <w:pStyle w:val="Footer"/>
        </w:pPr>
        <w:r w:rsidRPr="0061082A">
          <w:fldChar w:fldCharType="begin"/>
        </w:r>
        <w:r w:rsidRPr="0061082A">
          <w:instrText xml:space="preserve"> PAGE   \* MERGEFORMAT </w:instrText>
        </w:r>
        <w:r w:rsidRPr="0061082A">
          <w:fldChar w:fldCharType="separate"/>
        </w:r>
        <w:r w:rsidR="00C45733">
          <w:rPr>
            <w:noProof/>
          </w:rPr>
          <w:t>9-1</w:t>
        </w:r>
        <w:r w:rsidRPr="0061082A">
          <w:fldChar w:fldCharType="end"/>
        </w:r>
        <w:r w:rsidRPr="0061082A">
          <w:t xml:space="preserve">      Attachment </w:t>
        </w:r>
        <w:r>
          <w:t>9</w:t>
        </w:r>
        <w:r w:rsidRPr="0061082A">
          <w:t xml:space="preserve"> – </w:t>
        </w:r>
        <w:r>
          <w:t>Efficiency benefit sharing scheme</w:t>
        </w:r>
        <w:r w:rsidRPr="0061082A">
          <w:t xml:space="preserve"> | Powerlink transmission draft determination 2017–22</w:t>
        </w:r>
      </w:p>
    </w:sdtContent>
  </w:sdt>
  <w:p w:rsidR="00D84314" w:rsidRPr="00813A33" w:rsidRDefault="00D84314" w:rsidP="00813A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314" w:rsidRPr="00813A33" w:rsidRDefault="00D84314" w:rsidP="00813A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570509"/>
      <w:docPartObj>
        <w:docPartGallery w:val="Page Numbers (Bottom of Page)"/>
        <w:docPartUnique/>
      </w:docPartObj>
    </w:sdtPr>
    <w:sdtEndPr/>
    <w:sdtContent>
      <w:p w:rsidR="0061082A" w:rsidRPr="0061082A" w:rsidRDefault="0061082A" w:rsidP="0061082A">
        <w:pPr>
          <w:pStyle w:val="Footer"/>
        </w:pPr>
        <w:r w:rsidRPr="0061082A">
          <w:fldChar w:fldCharType="begin"/>
        </w:r>
        <w:r w:rsidRPr="0061082A">
          <w:instrText xml:space="preserve"> PAGE   \* MERGEFORMAT </w:instrText>
        </w:r>
        <w:r w:rsidRPr="0061082A">
          <w:fldChar w:fldCharType="separate"/>
        </w:r>
        <w:r w:rsidR="00C45733">
          <w:rPr>
            <w:noProof/>
          </w:rPr>
          <w:t>9-3</w:t>
        </w:r>
        <w:r w:rsidRPr="0061082A">
          <w:fldChar w:fldCharType="end"/>
        </w:r>
        <w:r w:rsidRPr="0061082A">
          <w:t xml:space="preserve">      Attachment 9 – Efficiency benefit sharing scheme | Powerlink transmission draft determination 2017–22</w:t>
        </w:r>
      </w:p>
    </w:sdtContent>
  </w:sdt>
  <w:p w:rsidR="00D84314" w:rsidRPr="00813A33" w:rsidRDefault="00D84314" w:rsidP="00813A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314" w:rsidRPr="00813A33" w:rsidRDefault="00D84314" w:rsidP="00813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314" w:rsidRPr="00290C63" w:rsidRDefault="00D84314" w:rsidP="00290C63">
      <w:r>
        <w:separator/>
      </w:r>
    </w:p>
    <w:p w:rsidR="00D84314" w:rsidRDefault="00D84314"/>
  </w:footnote>
  <w:footnote w:type="continuationSeparator" w:id="0">
    <w:p w:rsidR="00D84314" w:rsidRPr="00290C63" w:rsidRDefault="00D84314" w:rsidP="00290C63">
      <w:r>
        <w:continuationSeparator/>
      </w:r>
    </w:p>
    <w:p w:rsidR="00D84314" w:rsidRDefault="00D84314"/>
  </w:footnote>
  <w:footnote w:id="1">
    <w:p w:rsidR="00D84314" w:rsidRDefault="00D84314">
      <w:pPr>
        <w:pStyle w:val="FootnoteText"/>
      </w:pPr>
      <w:r>
        <w:rPr>
          <w:rStyle w:val="FootnoteReference"/>
        </w:rPr>
        <w:footnoteRef/>
      </w:r>
      <w:r>
        <w:t xml:space="preserve"> </w:t>
      </w:r>
      <w:r>
        <w:tab/>
        <w:t>The service provider keeps any efficiency gain in the year it makes them. The service provider then keeps those gains for the length of the carryover period. The carryover length is usually five years so the service provider keeps efficiency gains for a total of six years.</w:t>
      </w:r>
    </w:p>
  </w:footnote>
  <w:footnote w:id="2">
    <w:p w:rsidR="00D84314" w:rsidRDefault="00D84314">
      <w:pPr>
        <w:pStyle w:val="FootnoteText"/>
      </w:pPr>
      <w:r>
        <w:rPr>
          <w:rStyle w:val="FootnoteReference"/>
        </w:rPr>
        <w:footnoteRef/>
      </w:r>
      <w:r>
        <w:t xml:space="preserve"> </w:t>
      </w:r>
      <w:r>
        <w:tab/>
      </w:r>
      <w:r w:rsidRPr="00EC118B">
        <w:t xml:space="preserve">AER, </w:t>
      </w:r>
      <w:r w:rsidRPr="00EC118B">
        <w:rPr>
          <w:rStyle w:val="AERtextitalic"/>
        </w:rPr>
        <w:t>Electricity transmission network service providers</w:t>
      </w:r>
      <w:r w:rsidR="000D754E">
        <w:rPr>
          <w:rStyle w:val="AERtextitalic"/>
        </w:rPr>
        <w:t>—</w:t>
      </w:r>
      <w:r w:rsidRPr="00EC118B">
        <w:rPr>
          <w:rStyle w:val="AERtextitalic"/>
        </w:rPr>
        <w:t>Efficiency benefit sharing scheme</w:t>
      </w:r>
      <w:r w:rsidRPr="00EC118B">
        <w:t>, September 2007.</w:t>
      </w:r>
    </w:p>
  </w:footnote>
  <w:footnote w:id="3">
    <w:p w:rsidR="00D84314" w:rsidRDefault="00D84314">
      <w:pPr>
        <w:pStyle w:val="FootnoteText"/>
      </w:pPr>
      <w:r>
        <w:rPr>
          <w:rStyle w:val="FootnoteReference"/>
        </w:rPr>
        <w:footnoteRef/>
      </w:r>
      <w:r>
        <w:t xml:space="preserve"> </w:t>
      </w:r>
      <w:r>
        <w:tab/>
        <w:t>Powerlink, Response to AER information request #16, 2 August 2016.</w:t>
      </w:r>
    </w:p>
  </w:footnote>
  <w:footnote w:id="4">
    <w:p w:rsidR="00D84314" w:rsidRDefault="00D84314">
      <w:pPr>
        <w:pStyle w:val="FootnoteText"/>
      </w:pPr>
      <w:r>
        <w:rPr>
          <w:rStyle w:val="FootnoteReference"/>
        </w:rPr>
        <w:footnoteRef/>
      </w:r>
      <w:r>
        <w:t xml:space="preserve"> </w:t>
      </w:r>
      <w:r>
        <w:tab/>
      </w:r>
      <w:r w:rsidRPr="00175243">
        <w:t xml:space="preserve">AER, </w:t>
      </w:r>
      <w:r w:rsidRPr="00175243">
        <w:rPr>
          <w:rStyle w:val="AERtextitalic"/>
        </w:rPr>
        <w:t>Efficiency benefit sharing scheme for electricity network service providers</w:t>
      </w:r>
      <w:r w:rsidRPr="00175243">
        <w:t>, November 2013.</w:t>
      </w:r>
    </w:p>
  </w:footnote>
  <w:footnote w:id="5">
    <w:p w:rsidR="00D84314" w:rsidRDefault="00D84314">
      <w:pPr>
        <w:pStyle w:val="FootnoteText"/>
      </w:pPr>
      <w:r>
        <w:rPr>
          <w:rStyle w:val="FootnoteReference"/>
        </w:rPr>
        <w:footnoteRef/>
      </w:r>
      <w:r>
        <w:t xml:space="preserve"> </w:t>
      </w:r>
      <w:r>
        <w:tab/>
      </w:r>
      <w:r w:rsidR="008D000C">
        <w:t xml:space="preserve">AER, </w:t>
      </w:r>
      <w:r w:rsidRPr="0002306E">
        <w:rPr>
          <w:rStyle w:val="AERtextitalic"/>
        </w:rPr>
        <w:t>Final Framework and Approach for Powerlink</w:t>
      </w:r>
      <w:r>
        <w:t>, June 2015, pp. 21</w:t>
      </w:r>
      <w:r w:rsidR="00E42161">
        <w:t>–</w:t>
      </w:r>
      <w:r>
        <w:t xml:space="preserve">24; </w:t>
      </w:r>
    </w:p>
    <w:p w:rsidR="00D84314" w:rsidRDefault="00D84314">
      <w:pPr>
        <w:pStyle w:val="FootnoteText"/>
      </w:pPr>
      <w:r>
        <w:tab/>
        <w:t xml:space="preserve">Powerlink, </w:t>
      </w:r>
      <w:r w:rsidRPr="006D7380">
        <w:rPr>
          <w:rStyle w:val="AERtextitalic"/>
        </w:rPr>
        <w:t>Revenue proposal</w:t>
      </w:r>
      <w:r>
        <w:t>, January 2016, p. 111. </w:t>
      </w:r>
    </w:p>
  </w:footnote>
  <w:footnote w:id="6">
    <w:p w:rsidR="00D84314" w:rsidRDefault="00D84314">
      <w:pPr>
        <w:pStyle w:val="FootnoteText"/>
      </w:pPr>
      <w:r>
        <w:rPr>
          <w:rStyle w:val="FootnoteReference"/>
        </w:rPr>
        <w:footnoteRef/>
      </w:r>
      <w:r>
        <w:t xml:space="preserve"> </w:t>
      </w:r>
      <w:r>
        <w:tab/>
      </w:r>
      <w:r w:rsidRPr="00175243">
        <w:t xml:space="preserve">AER, </w:t>
      </w:r>
      <w:r w:rsidRPr="00175243">
        <w:rPr>
          <w:rStyle w:val="AERtextitalic"/>
        </w:rPr>
        <w:t>Efficiency benefit sharing scheme for electricity network service providers</w:t>
      </w:r>
      <w:r w:rsidRPr="00175243">
        <w:t>, November 2013, Section 1.4, p. 9.</w:t>
      </w:r>
    </w:p>
  </w:footnote>
  <w:footnote w:id="7">
    <w:p w:rsidR="00D84314" w:rsidRDefault="00D84314">
      <w:pPr>
        <w:pStyle w:val="FootnoteText"/>
      </w:pPr>
      <w:r>
        <w:rPr>
          <w:rStyle w:val="FootnoteReference"/>
        </w:rPr>
        <w:footnoteRef/>
      </w:r>
      <w:r>
        <w:t xml:space="preserve"> </w:t>
      </w:r>
      <w:r>
        <w:tab/>
        <w:t xml:space="preserve">Powerlink, </w:t>
      </w:r>
      <w:r w:rsidRPr="00EC12FF">
        <w:rPr>
          <w:rStyle w:val="AERtextitalic"/>
        </w:rPr>
        <w:t>Revenue proposal</w:t>
      </w:r>
      <w:r>
        <w:t>, January 2016, p. 35.</w:t>
      </w:r>
    </w:p>
  </w:footnote>
  <w:footnote w:id="8">
    <w:p w:rsidR="00D84314" w:rsidRDefault="00D84314">
      <w:pPr>
        <w:pStyle w:val="FootnoteText"/>
      </w:pPr>
      <w:r>
        <w:rPr>
          <w:rStyle w:val="FootnoteReference"/>
        </w:rPr>
        <w:footnoteRef/>
      </w:r>
      <w:r>
        <w:t xml:space="preserve"> </w:t>
      </w:r>
      <w:r>
        <w:tab/>
        <w:t xml:space="preserve">Powerlink, </w:t>
      </w:r>
      <w:r w:rsidRPr="00EC12FF">
        <w:rPr>
          <w:rStyle w:val="AERtextitalic"/>
        </w:rPr>
        <w:t>Revenue proposal</w:t>
      </w:r>
      <w:r>
        <w:t>, January 2016, p. 33.</w:t>
      </w:r>
    </w:p>
  </w:footnote>
  <w:footnote w:id="9">
    <w:p w:rsidR="00D84314" w:rsidRDefault="00D84314">
      <w:pPr>
        <w:pStyle w:val="FootnoteText"/>
      </w:pPr>
      <w:r>
        <w:rPr>
          <w:rStyle w:val="FootnoteReference"/>
        </w:rPr>
        <w:footnoteRef/>
      </w:r>
      <w:r>
        <w:t xml:space="preserve"> </w:t>
      </w:r>
      <w:r>
        <w:tab/>
        <w:t xml:space="preserve">Powerlink, </w:t>
      </w:r>
      <w:r w:rsidRPr="00EC12FF">
        <w:rPr>
          <w:rStyle w:val="AERtextitalic"/>
        </w:rPr>
        <w:t>Revenue proposal</w:t>
      </w:r>
      <w:r>
        <w:t>, January 2016, p. 34.</w:t>
      </w:r>
    </w:p>
  </w:footnote>
  <w:footnote w:id="10">
    <w:p w:rsidR="00D84314" w:rsidRDefault="00D84314">
      <w:pPr>
        <w:pStyle w:val="FootnoteText"/>
      </w:pPr>
      <w:r>
        <w:rPr>
          <w:rStyle w:val="FootnoteReference"/>
        </w:rPr>
        <w:footnoteRef/>
      </w:r>
      <w:r>
        <w:t xml:space="preserve"> </w:t>
      </w:r>
      <w:r>
        <w:tab/>
        <w:t xml:space="preserve">Powerlink, </w:t>
      </w:r>
      <w:r w:rsidRPr="00EC12FF">
        <w:rPr>
          <w:rStyle w:val="AERtextitalic"/>
        </w:rPr>
        <w:t>Revenue proposal</w:t>
      </w:r>
      <w:r>
        <w:t>, January 2016, p. 35.</w:t>
      </w:r>
    </w:p>
  </w:footnote>
  <w:footnote w:id="11">
    <w:p w:rsidR="00D84314" w:rsidRDefault="00D84314">
      <w:pPr>
        <w:pStyle w:val="FootnoteText"/>
      </w:pPr>
      <w:r>
        <w:rPr>
          <w:rStyle w:val="FootnoteReference"/>
        </w:rPr>
        <w:footnoteRef/>
      </w:r>
      <w:r>
        <w:t xml:space="preserve"> </w:t>
      </w:r>
      <w:r>
        <w:tab/>
      </w:r>
      <w:r w:rsidRPr="00F96819">
        <w:t>NER, cl. 6A.5.4(a)(5).</w:t>
      </w:r>
    </w:p>
  </w:footnote>
  <w:footnote w:id="12">
    <w:p w:rsidR="00D84314" w:rsidRDefault="00D84314">
      <w:pPr>
        <w:pStyle w:val="FootnoteText"/>
      </w:pPr>
      <w:r>
        <w:rPr>
          <w:rStyle w:val="FootnoteReference"/>
        </w:rPr>
        <w:footnoteRef/>
      </w:r>
      <w:r>
        <w:t xml:space="preserve"> </w:t>
      </w:r>
      <w:r>
        <w:tab/>
      </w:r>
      <w:r w:rsidRPr="00F96819">
        <w:t>NER, cl. 6A.14.1(1)(iv) and cl. 6A.14.3(d)(2).</w:t>
      </w:r>
    </w:p>
  </w:footnote>
  <w:footnote w:id="13">
    <w:p w:rsidR="00D84314" w:rsidRDefault="00D84314">
      <w:pPr>
        <w:pStyle w:val="FootnoteText"/>
      </w:pPr>
      <w:r>
        <w:rPr>
          <w:rStyle w:val="FootnoteReference"/>
        </w:rPr>
        <w:footnoteRef/>
      </w:r>
      <w:r>
        <w:t xml:space="preserve"> </w:t>
      </w:r>
      <w:r>
        <w:tab/>
      </w:r>
      <w:r w:rsidRPr="00F96819">
        <w:t>NER, cl. 6A.6.5(a).</w:t>
      </w:r>
    </w:p>
  </w:footnote>
  <w:footnote w:id="14">
    <w:p w:rsidR="00D84314" w:rsidRDefault="00D84314">
      <w:pPr>
        <w:pStyle w:val="FootnoteText"/>
      </w:pPr>
      <w:r>
        <w:rPr>
          <w:rStyle w:val="FootnoteReference"/>
        </w:rPr>
        <w:footnoteRef/>
      </w:r>
      <w:r>
        <w:t xml:space="preserve"> </w:t>
      </w:r>
      <w:r>
        <w:tab/>
      </w:r>
      <w:r w:rsidRPr="00F96819">
        <w:t>NER, cl. 6A.6.5(b).</w:t>
      </w:r>
    </w:p>
  </w:footnote>
  <w:footnote w:id="15">
    <w:p w:rsidR="00D84314" w:rsidRDefault="00D84314">
      <w:pPr>
        <w:pStyle w:val="FootnoteText"/>
      </w:pPr>
      <w:r>
        <w:rPr>
          <w:rStyle w:val="FootnoteReference"/>
        </w:rPr>
        <w:footnoteRef/>
      </w:r>
      <w:r>
        <w:t xml:space="preserve"> </w:t>
      </w:r>
      <w:r>
        <w:tab/>
      </w:r>
      <w:r w:rsidRPr="0002306E">
        <w:rPr>
          <w:rStyle w:val="AERtextitalic"/>
        </w:rPr>
        <w:t>Final Framework and Approach for Powerlink</w:t>
      </w:r>
      <w:r>
        <w:t>, June 2015, pp. 23</w:t>
      </w:r>
      <w:r w:rsidR="000D754E">
        <w:t>–</w:t>
      </w:r>
      <w:r>
        <w:t>24</w:t>
      </w:r>
    </w:p>
  </w:footnote>
  <w:footnote w:id="16">
    <w:p w:rsidR="00D84314" w:rsidRDefault="00D84314">
      <w:pPr>
        <w:pStyle w:val="FootnoteText"/>
      </w:pPr>
      <w:r>
        <w:rPr>
          <w:rStyle w:val="FootnoteReference"/>
        </w:rPr>
        <w:footnoteRef/>
      </w:r>
      <w:r>
        <w:t xml:space="preserve"> </w:t>
      </w:r>
      <w:r>
        <w:tab/>
        <w:t>NER, cl. 6A.6.6(e)(8).</w:t>
      </w:r>
    </w:p>
  </w:footnote>
  <w:footnote w:id="17">
    <w:p w:rsidR="00D84314" w:rsidRDefault="00D84314">
      <w:pPr>
        <w:pStyle w:val="FootnoteText"/>
      </w:pPr>
      <w:r>
        <w:rPr>
          <w:rStyle w:val="FootnoteReference"/>
        </w:rPr>
        <w:footnoteRef/>
      </w:r>
      <w:r>
        <w:t xml:space="preserve"> </w:t>
      </w:r>
      <w:r>
        <w:tab/>
      </w:r>
      <w:r w:rsidRPr="00A414B2">
        <w:t xml:space="preserve">AER, </w:t>
      </w:r>
      <w:r w:rsidRPr="00A414B2">
        <w:rPr>
          <w:rStyle w:val="AERtextitalic"/>
        </w:rPr>
        <w:t>Electricity transmission network service providers Efficiency benefit sharing scheme</w:t>
      </w:r>
      <w:r w:rsidRPr="00A414B2">
        <w:t>, September 2007.</w:t>
      </w:r>
    </w:p>
  </w:footnote>
  <w:footnote w:id="18">
    <w:p w:rsidR="00D84314" w:rsidRDefault="00D84314">
      <w:pPr>
        <w:pStyle w:val="FootnoteText"/>
      </w:pPr>
      <w:r>
        <w:rPr>
          <w:rStyle w:val="FootnoteReference"/>
        </w:rPr>
        <w:footnoteRef/>
      </w:r>
      <w:r>
        <w:t xml:space="preserve"> </w:t>
      </w:r>
      <w:r>
        <w:tab/>
        <w:t>Powerlink used</w:t>
      </w:r>
      <w:r w:rsidRPr="00A414B2">
        <w:t xml:space="preserve"> estimate of 2015–16 opex </w:t>
      </w:r>
      <w:r>
        <w:t>were not available at the time it submitted its revenue proposal.</w:t>
      </w:r>
    </w:p>
  </w:footnote>
  <w:footnote w:id="19">
    <w:p w:rsidR="00D84314" w:rsidRDefault="00D84314">
      <w:pPr>
        <w:pStyle w:val="FootnoteText"/>
      </w:pPr>
      <w:r>
        <w:rPr>
          <w:rStyle w:val="FootnoteReference"/>
        </w:rPr>
        <w:footnoteRef/>
      </w:r>
      <w:r>
        <w:t xml:space="preserve"> </w:t>
      </w:r>
      <w:r>
        <w:tab/>
      </w:r>
      <w:r w:rsidRPr="00A414B2">
        <w:t xml:space="preserve">AER, </w:t>
      </w:r>
      <w:r w:rsidRPr="00A414B2">
        <w:rPr>
          <w:rStyle w:val="AERtextitalic"/>
        </w:rPr>
        <w:t>Electricity transmission network service providers Efficiency benefit sharing scheme</w:t>
      </w:r>
      <w:r>
        <w:t>, September 2007, pp. </w:t>
      </w:r>
      <w:r w:rsidRPr="00A414B2">
        <w:t>6−7.</w:t>
      </w:r>
    </w:p>
  </w:footnote>
  <w:footnote w:id="20">
    <w:p w:rsidR="00D84314" w:rsidRDefault="00D84314">
      <w:pPr>
        <w:pStyle w:val="FootnoteText"/>
      </w:pPr>
      <w:r>
        <w:rPr>
          <w:rStyle w:val="FootnoteReference"/>
        </w:rPr>
        <w:footnoteRef/>
      </w:r>
      <w:r>
        <w:t xml:space="preserve"> </w:t>
      </w:r>
      <w:r>
        <w:tab/>
      </w:r>
      <w:r w:rsidRPr="00A414B2">
        <w:t xml:space="preserve">AER, </w:t>
      </w:r>
      <w:r w:rsidRPr="00A414B2">
        <w:rPr>
          <w:rStyle w:val="AERtextitalic"/>
        </w:rPr>
        <w:t>Electricity transmission network service providers Efficiency benefit sharing scheme</w:t>
      </w:r>
      <w:r>
        <w:t>, September 2007, p. </w:t>
      </w:r>
      <w:r w:rsidRPr="00A414B2">
        <w:t>7.</w:t>
      </w:r>
    </w:p>
  </w:footnote>
  <w:footnote w:id="21">
    <w:p w:rsidR="00D84314" w:rsidRDefault="00D84314" w:rsidP="0018428C">
      <w:pPr>
        <w:pStyle w:val="FootnoteText"/>
      </w:pPr>
      <w:r>
        <w:rPr>
          <w:rStyle w:val="FootnoteReference"/>
        </w:rPr>
        <w:footnoteRef/>
      </w:r>
      <w:r>
        <w:t xml:space="preserve"> </w:t>
      </w:r>
      <w:r>
        <w:tab/>
        <w:t xml:space="preserve">AER, </w:t>
      </w:r>
      <w:r w:rsidRPr="00330029">
        <w:rPr>
          <w:rStyle w:val="AERtextitalic"/>
        </w:rPr>
        <w:t>AER information request – Powerlink - #016</w:t>
      </w:r>
      <w:r>
        <w:t>, 26 July 2016.</w:t>
      </w:r>
    </w:p>
  </w:footnote>
  <w:footnote w:id="22">
    <w:p w:rsidR="00D84314" w:rsidRDefault="00D84314">
      <w:pPr>
        <w:pStyle w:val="FootnoteText"/>
      </w:pPr>
      <w:r>
        <w:rPr>
          <w:rStyle w:val="FootnoteReference"/>
        </w:rPr>
        <w:footnoteRef/>
      </w:r>
      <w:r>
        <w:t xml:space="preserve"> </w:t>
      </w:r>
      <w:r>
        <w:tab/>
        <w:t xml:space="preserve">Powerlink, </w:t>
      </w:r>
      <w:r w:rsidRPr="00E209BD">
        <w:rPr>
          <w:rStyle w:val="AERtextitalic"/>
        </w:rPr>
        <w:t>Response to AER information request</w:t>
      </w:r>
      <w:r>
        <w:rPr>
          <w:rStyle w:val="AERtextitalic"/>
        </w:rPr>
        <w:t>–Powerlink</w:t>
      </w:r>
      <w:r w:rsidRPr="00E209BD">
        <w:rPr>
          <w:rStyle w:val="AERtextitalic"/>
        </w:rPr>
        <w:t xml:space="preserve"> - #016</w:t>
      </w:r>
      <w:r>
        <w:t>, 2 August 2016, p. 3.</w:t>
      </w:r>
    </w:p>
  </w:footnote>
  <w:footnote w:id="23">
    <w:p w:rsidR="00D84314" w:rsidRDefault="00D84314">
      <w:pPr>
        <w:pStyle w:val="FootnoteText"/>
      </w:pPr>
      <w:r>
        <w:rPr>
          <w:rStyle w:val="FootnoteReference"/>
        </w:rPr>
        <w:footnoteRef/>
      </w:r>
      <w:r>
        <w:t xml:space="preserve"> </w:t>
      </w:r>
      <w:r>
        <w:tab/>
        <w:t xml:space="preserve">AER, </w:t>
      </w:r>
      <w:r w:rsidRPr="00330029">
        <w:rPr>
          <w:rStyle w:val="AERtextitalic"/>
        </w:rPr>
        <w:t>AER information request – Powerlink - #016</w:t>
      </w:r>
      <w:r>
        <w:t>, 26 July 2016.</w:t>
      </w:r>
    </w:p>
  </w:footnote>
  <w:footnote w:id="24">
    <w:p w:rsidR="00D84314" w:rsidRPr="00330029" w:rsidRDefault="00D84314">
      <w:pPr>
        <w:pStyle w:val="FootnoteText"/>
      </w:pPr>
      <w:r>
        <w:rPr>
          <w:rStyle w:val="FootnoteReference"/>
        </w:rPr>
        <w:footnoteRef/>
      </w:r>
      <w:r>
        <w:t xml:space="preserve"> </w:t>
      </w:r>
      <w:r>
        <w:tab/>
        <w:t xml:space="preserve">Powerlink, </w:t>
      </w:r>
      <w:r w:rsidRPr="00330029">
        <w:rPr>
          <w:rStyle w:val="AERtextitalic"/>
        </w:rPr>
        <w:t>Response to AER information request – Powerlink - #016</w:t>
      </w:r>
      <w:r>
        <w:t>, 2 August 2016.</w:t>
      </w:r>
    </w:p>
  </w:footnote>
  <w:footnote w:id="25">
    <w:p w:rsidR="00D84314" w:rsidRPr="00330029" w:rsidRDefault="00D84314" w:rsidP="00BF465B">
      <w:pPr>
        <w:pStyle w:val="FootnoteText"/>
      </w:pPr>
      <w:r>
        <w:rPr>
          <w:rStyle w:val="FootnoteReference"/>
        </w:rPr>
        <w:footnoteRef/>
      </w:r>
      <w:r>
        <w:t xml:space="preserve"> </w:t>
      </w:r>
      <w:r>
        <w:tab/>
        <w:t xml:space="preserve">Powerlink, </w:t>
      </w:r>
      <w:r w:rsidRPr="00330029">
        <w:rPr>
          <w:rStyle w:val="AERtextitalic"/>
        </w:rPr>
        <w:t>Response to AER information request – Powerlink - #016</w:t>
      </w:r>
      <w:r>
        <w:t>, 2 August 2016.</w:t>
      </w:r>
    </w:p>
  </w:footnote>
  <w:footnote w:id="26">
    <w:p w:rsidR="00D84314" w:rsidRDefault="00D84314" w:rsidP="002F4064">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27">
    <w:p w:rsidR="00D84314" w:rsidRDefault="00D84314">
      <w:pPr>
        <w:pStyle w:val="FootnoteText"/>
      </w:pPr>
      <w:r>
        <w:rPr>
          <w:rStyle w:val="FootnoteReference"/>
        </w:rPr>
        <w:footnoteRef/>
      </w:r>
      <w:r>
        <w:t xml:space="preserve"> </w:t>
      </w:r>
      <w:r>
        <w:tab/>
        <w:t>NER, cl. 6A.6.5(b)(1).</w:t>
      </w:r>
    </w:p>
  </w:footnote>
  <w:footnote w:id="28">
    <w:p w:rsidR="00D84314" w:rsidRDefault="00D84314" w:rsidP="002F4064">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 pp. 7–9.</w:t>
      </w:r>
    </w:p>
  </w:footnote>
  <w:footnote w:id="29">
    <w:p w:rsidR="00D84314" w:rsidRDefault="00D84314" w:rsidP="000D5F68">
      <w:pPr>
        <w:pStyle w:val="FootnoteText"/>
      </w:pPr>
      <w:r>
        <w:rPr>
          <w:rStyle w:val="FootnoteReference"/>
        </w:rPr>
        <w:footnoteRef/>
      </w:r>
      <w:r>
        <w:t xml:space="preserve"> </w:t>
      </w:r>
      <w:r>
        <w:tab/>
        <w:t>AER</w:t>
      </w:r>
      <w:r w:rsidRPr="000D5F68">
        <w:rPr>
          <w:rStyle w:val="AERtextitalic"/>
        </w:rPr>
        <w:t>, Preliminary decision</w:t>
      </w:r>
      <w:r>
        <w:t xml:space="preserve">, </w:t>
      </w:r>
      <w:r w:rsidRPr="000D5F68">
        <w:rPr>
          <w:rStyle w:val="AERtextitalic"/>
        </w:rPr>
        <w:t>attachment 7 - Opex</w:t>
      </w:r>
      <w:r>
        <w:t>.</w:t>
      </w:r>
    </w:p>
  </w:footnote>
  <w:footnote w:id="30">
    <w:p w:rsidR="00D84314" w:rsidRDefault="00D84314">
      <w:pPr>
        <w:pStyle w:val="FootnoteText"/>
      </w:pPr>
      <w:r>
        <w:rPr>
          <w:rStyle w:val="FootnoteReference"/>
        </w:rPr>
        <w:footnoteRef/>
      </w:r>
      <w:r>
        <w:t xml:space="preserve"> </w:t>
      </w:r>
      <w:r>
        <w:tab/>
        <w:t>Network support refers to non-</w:t>
      </w:r>
      <w:r w:rsidRPr="00E403E9">
        <w:t>network solutions used by transmis</w:t>
      </w:r>
      <w:r>
        <w:t>sion network service providers</w:t>
      </w:r>
      <w:r w:rsidRPr="00E403E9">
        <w:t xml:space="preserve"> as a cost effective means of deferring network augmentation</w:t>
      </w:r>
      <w:r>
        <w:t xml:space="preserve">. The NER, cl. 6A.5.6(b)(4) requires us to have regard to </w:t>
      </w:r>
      <w:r w:rsidRPr="00E403E9">
        <w:t>the possible effects of the scheme on incentives for the implementation of non-network alternatives.</w:t>
      </w:r>
    </w:p>
  </w:footnote>
  <w:footnote w:id="31">
    <w:p w:rsidR="00D84314" w:rsidRDefault="00D84314" w:rsidP="000D5F68">
      <w:pPr>
        <w:pStyle w:val="FootnoteText"/>
      </w:pPr>
      <w:r>
        <w:rPr>
          <w:rStyle w:val="FootnoteReference"/>
        </w:rPr>
        <w:footnoteRef/>
      </w:r>
      <w:r>
        <w:t xml:space="preserve"> </w:t>
      </w:r>
      <w:r>
        <w:tab/>
        <w:t xml:space="preserve">NER, cl </w:t>
      </w:r>
      <w:r w:rsidRPr="00797AB2">
        <w:t>6A.7.2</w:t>
      </w:r>
      <w:r>
        <w:t>.</w:t>
      </w:r>
    </w:p>
  </w:footnote>
  <w:footnote w:id="32">
    <w:p w:rsidR="00D84314" w:rsidRDefault="00D84314">
      <w:pPr>
        <w:pStyle w:val="FootnoteText"/>
      </w:pPr>
      <w:r>
        <w:rPr>
          <w:rStyle w:val="FootnoteReference"/>
        </w:rPr>
        <w:footnoteRef/>
      </w:r>
      <w:r>
        <w:t xml:space="preserve"> </w:t>
      </w:r>
      <w:r>
        <w:tab/>
        <w:t xml:space="preserve">This is consistent with NER, cl. 6A.6.5(b)(3) which requires us to have regard to any incentives the service provider may have to inappropriately capitalise expenditure. </w:t>
      </w:r>
    </w:p>
  </w:footnote>
  <w:footnote w:id="33">
    <w:p w:rsidR="00D84314" w:rsidRDefault="00D84314">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314" w:rsidRDefault="00D84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792E600A"/>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m8FqBCw3a6TgCQ8ITQY0gsS41BB6w/nq2qojBJPhWk8=" w:saltValue="oNe2vgRtyWk2tCWb/+hy4w==" w:algorithmName="SHA-256"/>
  <w:defaultTabStop w:val="34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powerlink transmission determination - attachment 9 - ebss - september 2016 (D2015-00169065[V02]).docx"/>
  </w:docVars>
  <w:rsids>
    <w:rsidRoot w:val="00961A4A"/>
    <w:rsid w:val="000051DC"/>
    <w:rsid w:val="0000608C"/>
    <w:rsid w:val="0000658F"/>
    <w:rsid w:val="0001507B"/>
    <w:rsid w:val="00020016"/>
    <w:rsid w:val="00021202"/>
    <w:rsid w:val="00021C2B"/>
    <w:rsid w:val="00021F79"/>
    <w:rsid w:val="00022A9F"/>
    <w:rsid w:val="0002306E"/>
    <w:rsid w:val="0002498B"/>
    <w:rsid w:val="0002517F"/>
    <w:rsid w:val="00026187"/>
    <w:rsid w:val="000266FC"/>
    <w:rsid w:val="00026FDF"/>
    <w:rsid w:val="000273B3"/>
    <w:rsid w:val="00027E2D"/>
    <w:rsid w:val="0003578C"/>
    <w:rsid w:val="00041AC0"/>
    <w:rsid w:val="00044DA3"/>
    <w:rsid w:val="000474DF"/>
    <w:rsid w:val="00050F33"/>
    <w:rsid w:val="000534EE"/>
    <w:rsid w:val="00055A67"/>
    <w:rsid w:val="00063247"/>
    <w:rsid w:val="0006624E"/>
    <w:rsid w:val="00066E7E"/>
    <w:rsid w:val="00070F9F"/>
    <w:rsid w:val="0007137B"/>
    <w:rsid w:val="00073B74"/>
    <w:rsid w:val="00076416"/>
    <w:rsid w:val="000805A8"/>
    <w:rsid w:val="0008190B"/>
    <w:rsid w:val="000836D9"/>
    <w:rsid w:val="00085663"/>
    <w:rsid w:val="00085EBF"/>
    <w:rsid w:val="00091B15"/>
    <w:rsid w:val="00095186"/>
    <w:rsid w:val="000A0E71"/>
    <w:rsid w:val="000A1C0C"/>
    <w:rsid w:val="000A240F"/>
    <w:rsid w:val="000A3020"/>
    <w:rsid w:val="000A4840"/>
    <w:rsid w:val="000A62C1"/>
    <w:rsid w:val="000A6A79"/>
    <w:rsid w:val="000A6C7B"/>
    <w:rsid w:val="000B0A7B"/>
    <w:rsid w:val="000B1173"/>
    <w:rsid w:val="000B5827"/>
    <w:rsid w:val="000B7037"/>
    <w:rsid w:val="000C02D1"/>
    <w:rsid w:val="000C2B40"/>
    <w:rsid w:val="000C5255"/>
    <w:rsid w:val="000D07A7"/>
    <w:rsid w:val="000D122C"/>
    <w:rsid w:val="000D20EF"/>
    <w:rsid w:val="000D313E"/>
    <w:rsid w:val="000D5F68"/>
    <w:rsid w:val="000D754E"/>
    <w:rsid w:val="000D75B0"/>
    <w:rsid w:val="000E1819"/>
    <w:rsid w:val="000E1D6E"/>
    <w:rsid w:val="000E4821"/>
    <w:rsid w:val="000E4AA9"/>
    <w:rsid w:val="000E6C72"/>
    <w:rsid w:val="000E7F39"/>
    <w:rsid w:val="00100EA2"/>
    <w:rsid w:val="00101AA1"/>
    <w:rsid w:val="00102338"/>
    <w:rsid w:val="001037F6"/>
    <w:rsid w:val="00104566"/>
    <w:rsid w:val="00104FF6"/>
    <w:rsid w:val="001114AA"/>
    <w:rsid w:val="00115743"/>
    <w:rsid w:val="00116EB2"/>
    <w:rsid w:val="0012132C"/>
    <w:rsid w:val="00124609"/>
    <w:rsid w:val="00126A4C"/>
    <w:rsid w:val="001270E3"/>
    <w:rsid w:val="00132D43"/>
    <w:rsid w:val="00133366"/>
    <w:rsid w:val="00133F47"/>
    <w:rsid w:val="00134029"/>
    <w:rsid w:val="00134F9A"/>
    <w:rsid w:val="00136533"/>
    <w:rsid w:val="00136D02"/>
    <w:rsid w:val="00142C2D"/>
    <w:rsid w:val="00144C96"/>
    <w:rsid w:val="0014573B"/>
    <w:rsid w:val="001463A3"/>
    <w:rsid w:val="0015073A"/>
    <w:rsid w:val="001573E4"/>
    <w:rsid w:val="00160756"/>
    <w:rsid w:val="00160E0F"/>
    <w:rsid w:val="00161DC8"/>
    <w:rsid w:val="00166760"/>
    <w:rsid w:val="0017232E"/>
    <w:rsid w:val="00174102"/>
    <w:rsid w:val="00175243"/>
    <w:rsid w:val="001754EE"/>
    <w:rsid w:val="00180157"/>
    <w:rsid w:val="001809BC"/>
    <w:rsid w:val="00180E97"/>
    <w:rsid w:val="001820B4"/>
    <w:rsid w:val="0018428C"/>
    <w:rsid w:val="00184351"/>
    <w:rsid w:val="00184AC8"/>
    <w:rsid w:val="00185BA5"/>
    <w:rsid w:val="00185CB9"/>
    <w:rsid w:val="00185DBE"/>
    <w:rsid w:val="00186ADC"/>
    <w:rsid w:val="00186F77"/>
    <w:rsid w:val="001877A4"/>
    <w:rsid w:val="001926A4"/>
    <w:rsid w:val="00192AD5"/>
    <w:rsid w:val="00194597"/>
    <w:rsid w:val="00194E00"/>
    <w:rsid w:val="0019745E"/>
    <w:rsid w:val="001A4103"/>
    <w:rsid w:val="001A530D"/>
    <w:rsid w:val="001A5FB3"/>
    <w:rsid w:val="001A7155"/>
    <w:rsid w:val="001B45A0"/>
    <w:rsid w:val="001B680E"/>
    <w:rsid w:val="001D055E"/>
    <w:rsid w:val="001E1B3F"/>
    <w:rsid w:val="001E3BFA"/>
    <w:rsid w:val="001E7161"/>
    <w:rsid w:val="001F05A4"/>
    <w:rsid w:val="001F3D4A"/>
    <w:rsid w:val="001F492E"/>
    <w:rsid w:val="001F4DAE"/>
    <w:rsid w:val="001F64EF"/>
    <w:rsid w:val="001F6DA3"/>
    <w:rsid w:val="001F79F9"/>
    <w:rsid w:val="001F7C85"/>
    <w:rsid w:val="002010BC"/>
    <w:rsid w:val="002016E7"/>
    <w:rsid w:val="002027CC"/>
    <w:rsid w:val="00202E03"/>
    <w:rsid w:val="002033B9"/>
    <w:rsid w:val="002043D0"/>
    <w:rsid w:val="0020492C"/>
    <w:rsid w:val="00204EC9"/>
    <w:rsid w:val="00206505"/>
    <w:rsid w:val="0020743F"/>
    <w:rsid w:val="00210223"/>
    <w:rsid w:val="00216C93"/>
    <w:rsid w:val="00223051"/>
    <w:rsid w:val="00224DB9"/>
    <w:rsid w:val="0022569A"/>
    <w:rsid w:val="0023005C"/>
    <w:rsid w:val="00231012"/>
    <w:rsid w:val="00233775"/>
    <w:rsid w:val="0023414B"/>
    <w:rsid w:val="00243635"/>
    <w:rsid w:val="00247079"/>
    <w:rsid w:val="00250202"/>
    <w:rsid w:val="00251745"/>
    <w:rsid w:val="002552BA"/>
    <w:rsid w:val="00260016"/>
    <w:rsid w:val="00263AC0"/>
    <w:rsid w:val="00264264"/>
    <w:rsid w:val="0026689B"/>
    <w:rsid w:val="0026772D"/>
    <w:rsid w:val="002730B2"/>
    <w:rsid w:val="00274C7E"/>
    <w:rsid w:val="002777CF"/>
    <w:rsid w:val="002802AB"/>
    <w:rsid w:val="002810F2"/>
    <w:rsid w:val="00284602"/>
    <w:rsid w:val="00286874"/>
    <w:rsid w:val="00290C63"/>
    <w:rsid w:val="00291A99"/>
    <w:rsid w:val="00293B6D"/>
    <w:rsid w:val="00294B08"/>
    <w:rsid w:val="0029518C"/>
    <w:rsid w:val="002963DD"/>
    <w:rsid w:val="00296B65"/>
    <w:rsid w:val="002A7DEF"/>
    <w:rsid w:val="002B0696"/>
    <w:rsid w:val="002C0222"/>
    <w:rsid w:val="002C1499"/>
    <w:rsid w:val="002C17BB"/>
    <w:rsid w:val="002C233C"/>
    <w:rsid w:val="002C517B"/>
    <w:rsid w:val="002D3509"/>
    <w:rsid w:val="002D5457"/>
    <w:rsid w:val="002D56F9"/>
    <w:rsid w:val="002D72E8"/>
    <w:rsid w:val="002D79AD"/>
    <w:rsid w:val="002E268F"/>
    <w:rsid w:val="002E78DD"/>
    <w:rsid w:val="002E7B22"/>
    <w:rsid w:val="002F12EC"/>
    <w:rsid w:val="002F1DAD"/>
    <w:rsid w:val="002F4064"/>
    <w:rsid w:val="002F7986"/>
    <w:rsid w:val="00301B40"/>
    <w:rsid w:val="00301C82"/>
    <w:rsid w:val="003029EE"/>
    <w:rsid w:val="00304D38"/>
    <w:rsid w:val="00305CC8"/>
    <w:rsid w:val="00307F6D"/>
    <w:rsid w:val="00314D83"/>
    <w:rsid w:val="0031571F"/>
    <w:rsid w:val="003177A2"/>
    <w:rsid w:val="00317E02"/>
    <w:rsid w:val="003216BC"/>
    <w:rsid w:val="003271B5"/>
    <w:rsid w:val="00327A1E"/>
    <w:rsid w:val="00327E28"/>
    <w:rsid w:val="00330029"/>
    <w:rsid w:val="00331264"/>
    <w:rsid w:val="00334C8D"/>
    <w:rsid w:val="003378BD"/>
    <w:rsid w:val="003424EA"/>
    <w:rsid w:val="00342C2F"/>
    <w:rsid w:val="003436EB"/>
    <w:rsid w:val="00343A18"/>
    <w:rsid w:val="00345744"/>
    <w:rsid w:val="00346B95"/>
    <w:rsid w:val="003518B3"/>
    <w:rsid w:val="00353E79"/>
    <w:rsid w:val="003633E4"/>
    <w:rsid w:val="00364EA0"/>
    <w:rsid w:val="00366981"/>
    <w:rsid w:val="00370678"/>
    <w:rsid w:val="0037214E"/>
    <w:rsid w:val="00372C85"/>
    <w:rsid w:val="00373845"/>
    <w:rsid w:val="003744E3"/>
    <w:rsid w:val="00375F71"/>
    <w:rsid w:val="00376219"/>
    <w:rsid w:val="0037663E"/>
    <w:rsid w:val="0037699E"/>
    <w:rsid w:val="003769FD"/>
    <w:rsid w:val="00377A29"/>
    <w:rsid w:val="00377C69"/>
    <w:rsid w:val="0038415D"/>
    <w:rsid w:val="0038461C"/>
    <w:rsid w:val="003846F1"/>
    <w:rsid w:val="003847F7"/>
    <w:rsid w:val="00390892"/>
    <w:rsid w:val="00390E6A"/>
    <w:rsid w:val="00393ABE"/>
    <w:rsid w:val="00395DB6"/>
    <w:rsid w:val="00397398"/>
    <w:rsid w:val="003A371A"/>
    <w:rsid w:val="003A59CD"/>
    <w:rsid w:val="003A6B00"/>
    <w:rsid w:val="003B11F9"/>
    <w:rsid w:val="003B30B2"/>
    <w:rsid w:val="003B484F"/>
    <w:rsid w:val="003B504B"/>
    <w:rsid w:val="003B5179"/>
    <w:rsid w:val="003B685C"/>
    <w:rsid w:val="003B7FBA"/>
    <w:rsid w:val="003C6537"/>
    <w:rsid w:val="003C6A13"/>
    <w:rsid w:val="003C764A"/>
    <w:rsid w:val="003C78BA"/>
    <w:rsid w:val="003D41F1"/>
    <w:rsid w:val="003D42AB"/>
    <w:rsid w:val="003D5B94"/>
    <w:rsid w:val="003D654A"/>
    <w:rsid w:val="003E0D3A"/>
    <w:rsid w:val="003E3AAB"/>
    <w:rsid w:val="003E62C5"/>
    <w:rsid w:val="003E7FE9"/>
    <w:rsid w:val="003F07D4"/>
    <w:rsid w:val="003F174D"/>
    <w:rsid w:val="003F2329"/>
    <w:rsid w:val="003F2A7F"/>
    <w:rsid w:val="00400FD2"/>
    <w:rsid w:val="00403711"/>
    <w:rsid w:val="00403776"/>
    <w:rsid w:val="00404C52"/>
    <w:rsid w:val="004156D5"/>
    <w:rsid w:val="00415BA9"/>
    <w:rsid w:val="00415F31"/>
    <w:rsid w:val="0041691D"/>
    <w:rsid w:val="00417202"/>
    <w:rsid w:val="0042000C"/>
    <w:rsid w:val="0042090E"/>
    <w:rsid w:val="00421F27"/>
    <w:rsid w:val="004238D8"/>
    <w:rsid w:val="00423A77"/>
    <w:rsid w:val="004323AA"/>
    <w:rsid w:val="004324F4"/>
    <w:rsid w:val="00434544"/>
    <w:rsid w:val="00445D43"/>
    <w:rsid w:val="00446CD2"/>
    <w:rsid w:val="0045777E"/>
    <w:rsid w:val="00462CE4"/>
    <w:rsid w:val="00465258"/>
    <w:rsid w:val="00476221"/>
    <w:rsid w:val="004766F5"/>
    <w:rsid w:val="00480178"/>
    <w:rsid w:val="00480B4B"/>
    <w:rsid w:val="004838D8"/>
    <w:rsid w:val="00483AE9"/>
    <w:rsid w:val="00485DC4"/>
    <w:rsid w:val="00494D04"/>
    <w:rsid w:val="004A40BA"/>
    <w:rsid w:val="004A43D1"/>
    <w:rsid w:val="004B4412"/>
    <w:rsid w:val="004C348C"/>
    <w:rsid w:val="004C462E"/>
    <w:rsid w:val="004C540B"/>
    <w:rsid w:val="004C6CA3"/>
    <w:rsid w:val="004C7F5E"/>
    <w:rsid w:val="004D343C"/>
    <w:rsid w:val="004D372A"/>
    <w:rsid w:val="004D55BA"/>
    <w:rsid w:val="004D720C"/>
    <w:rsid w:val="004E0FA7"/>
    <w:rsid w:val="004E22EC"/>
    <w:rsid w:val="004F0BFA"/>
    <w:rsid w:val="004F4D69"/>
    <w:rsid w:val="004F6883"/>
    <w:rsid w:val="004F6A0E"/>
    <w:rsid w:val="004F6BB3"/>
    <w:rsid w:val="004F7DEE"/>
    <w:rsid w:val="005009CD"/>
    <w:rsid w:val="00504E5F"/>
    <w:rsid w:val="0051337E"/>
    <w:rsid w:val="00513FA7"/>
    <w:rsid w:val="0051768F"/>
    <w:rsid w:val="00522588"/>
    <w:rsid w:val="00522DC2"/>
    <w:rsid w:val="00530128"/>
    <w:rsid w:val="00532467"/>
    <w:rsid w:val="005332A9"/>
    <w:rsid w:val="0053603C"/>
    <w:rsid w:val="00537871"/>
    <w:rsid w:val="00542FE9"/>
    <w:rsid w:val="005438D4"/>
    <w:rsid w:val="00544598"/>
    <w:rsid w:val="00544C8D"/>
    <w:rsid w:val="00544DFD"/>
    <w:rsid w:val="00544F22"/>
    <w:rsid w:val="005564A0"/>
    <w:rsid w:val="00556B1E"/>
    <w:rsid w:val="00564A4D"/>
    <w:rsid w:val="0056598C"/>
    <w:rsid w:val="00566E0B"/>
    <w:rsid w:val="00567BA5"/>
    <w:rsid w:val="0057098D"/>
    <w:rsid w:val="00571B35"/>
    <w:rsid w:val="00571B43"/>
    <w:rsid w:val="00571D57"/>
    <w:rsid w:val="00573A3B"/>
    <w:rsid w:val="00577716"/>
    <w:rsid w:val="00577A09"/>
    <w:rsid w:val="00577D6C"/>
    <w:rsid w:val="005810C0"/>
    <w:rsid w:val="005829C2"/>
    <w:rsid w:val="00584D8F"/>
    <w:rsid w:val="005877C6"/>
    <w:rsid w:val="00587A18"/>
    <w:rsid w:val="005A0BEC"/>
    <w:rsid w:val="005A1ADD"/>
    <w:rsid w:val="005A404D"/>
    <w:rsid w:val="005B1E3C"/>
    <w:rsid w:val="005B6518"/>
    <w:rsid w:val="005B704A"/>
    <w:rsid w:val="005B72D7"/>
    <w:rsid w:val="005C045F"/>
    <w:rsid w:val="005C16FE"/>
    <w:rsid w:val="005C1FAB"/>
    <w:rsid w:val="005C21A4"/>
    <w:rsid w:val="005C26CC"/>
    <w:rsid w:val="005D3D88"/>
    <w:rsid w:val="005D48C4"/>
    <w:rsid w:val="005D6208"/>
    <w:rsid w:val="005D623B"/>
    <w:rsid w:val="005D6366"/>
    <w:rsid w:val="005D7BA2"/>
    <w:rsid w:val="005E36C2"/>
    <w:rsid w:val="005E4AF4"/>
    <w:rsid w:val="005F387E"/>
    <w:rsid w:val="005F7396"/>
    <w:rsid w:val="00601E0B"/>
    <w:rsid w:val="0060258B"/>
    <w:rsid w:val="00603BD2"/>
    <w:rsid w:val="00607460"/>
    <w:rsid w:val="0061082A"/>
    <w:rsid w:val="00610EF9"/>
    <w:rsid w:val="00612914"/>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8737F"/>
    <w:rsid w:val="00691B53"/>
    <w:rsid w:val="00697D0B"/>
    <w:rsid w:val="006A12BA"/>
    <w:rsid w:val="006A2D83"/>
    <w:rsid w:val="006A4739"/>
    <w:rsid w:val="006A66A1"/>
    <w:rsid w:val="006B032D"/>
    <w:rsid w:val="006B2395"/>
    <w:rsid w:val="006B40AC"/>
    <w:rsid w:val="006B4CF9"/>
    <w:rsid w:val="006B797C"/>
    <w:rsid w:val="006B7AC8"/>
    <w:rsid w:val="006C1736"/>
    <w:rsid w:val="006C329B"/>
    <w:rsid w:val="006C6303"/>
    <w:rsid w:val="006D550F"/>
    <w:rsid w:val="006D6146"/>
    <w:rsid w:val="006D7380"/>
    <w:rsid w:val="006D7F7E"/>
    <w:rsid w:val="006E0CFF"/>
    <w:rsid w:val="006E2301"/>
    <w:rsid w:val="006F0D92"/>
    <w:rsid w:val="006F267D"/>
    <w:rsid w:val="0070011E"/>
    <w:rsid w:val="00701CAB"/>
    <w:rsid w:val="007023BB"/>
    <w:rsid w:val="00704DD7"/>
    <w:rsid w:val="00707563"/>
    <w:rsid w:val="007135CF"/>
    <w:rsid w:val="00715F61"/>
    <w:rsid w:val="00716B92"/>
    <w:rsid w:val="00722132"/>
    <w:rsid w:val="007228F7"/>
    <w:rsid w:val="0072348C"/>
    <w:rsid w:val="00724A37"/>
    <w:rsid w:val="00727CAC"/>
    <w:rsid w:val="007303C3"/>
    <w:rsid w:val="00731188"/>
    <w:rsid w:val="007356CC"/>
    <w:rsid w:val="00735E15"/>
    <w:rsid w:val="007368E6"/>
    <w:rsid w:val="007375DF"/>
    <w:rsid w:val="007429BE"/>
    <w:rsid w:val="00743223"/>
    <w:rsid w:val="00743349"/>
    <w:rsid w:val="0074403A"/>
    <w:rsid w:val="00746E01"/>
    <w:rsid w:val="00751DCD"/>
    <w:rsid w:val="00755084"/>
    <w:rsid w:val="00757364"/>
    <w:rsid w:val="00757BDF"/>
    <w:rsid w:val="0076025D"/>
    <w:rsid w:val="007609D0"/>
    <w:rsid w:val="00761454"/>
    <w:rsid w:val="0076193D"/>
    <w:rsid w:val="00763E5D"/>
    <w:rsid w:val="00767740"/>
    <w:rsid w:val="00767B5E"/>
    <w:rsid w:val="00775460"/>
    <w:rsid w:val="00777EE6"/>
    <w:rsid w:val="00782EEA"/>
    <w:rsid w:val="007909B4"/>
    <w:rsid w:val="00790E86"/>
    <w:rsid w:val="007949D7"/>
    <w:rsid w:val="00795558"/>
    <w:rsid w:val="00797AB2"/>
    <w:rsid w:val="007A0143"/>
    <w:rsid w:val="007A0800"/>
    <w:rsid w:val="007A26C1"/>
    <w:rsid w:val="007A34C2"/>
    <w:rsid w:val="007A396C"/>
    <w:rsid w:val="007A4277"/>
    <w:rsid w:val="007B0BE3"/>
    <w:rsid w:val="007B1816"/>
    <w:rsid w:val="007B186E"/>
    <w:rsid w:val="007B25DC"/>
    <w:rsid w:val="007B2C72"/>
    <w:rsid w:val="007B3789"/>
    <w:rsid w:val="007B651F"/>
    <w:rsid w:val="007B7BB5"/>
    <w:rsid w:val="007C1C53"/>
    <w:rsid w:val="007C284C"/>
    <w:rsid w:val="007C4B82"/>
    <w:rsid w:val="007C7138"/>
    <w:rsid w:val="007C74BB"/>
    <w:rsid w:val="007C7F64"/>
    <w:rsid w:val="007D0A95"/>
    <w:rsid w:val="007D0EB5"/>
    <w:rsid w:val="007D456E"/>
    <w:rsid w:val="007D5837"/>
    <w:rsid w:val="007E0F46"/>
    <w:rsid w:val="007E4904"/>
    <w:rsid w:val="007E4CB5"/>
    <w:rsid w:val="007E4DAE"/>
    <w:rsid w:val="007F066B"/>
    <w:rsid w:val="007F4EAB"/>
    <w:rsid w:val="007F5B16"/>
    <w:rsid w:val="007F7C9D"/>
    <w:rsid w:val="008033C4"/>
    <w:rsid w:val="00806731"/>
    <w:rsid w:val="00806C88"/>
    <w:rsid w:val="0081034E"/>
    <w:rsid w:val="00810806"/>
    <w:rsid w:val="008135D3"/>
    <w:rsid w:val="00813A33"/>
    <w:rsid w:val="00815882"/>
    <w:rsid w:val="008175A2"/>
    <w:rsid w:val="00820454"/>
    <w:rsid w:val="00822087"/>
    <w:rsid w:val="00822AC7"/>
    <w:rsid w:val="00822E86"/>
    <w:rsid w:val="00824947"/>
    <w:rsid w:val="008344F6"/>
    <w:rsid w:val="0083510F"/>
    <w:rsid w:val="008358F1"/>
    <w:rsid w:val="00837BF3"/>
    <w:rsid w:val="008415DE"/>
    <w:rsid w:val="008420DE"/>
    <w:rsid w:val="0084294F"/>
    <w:rsid w:val="00845865"/>
    <w:rsid w:val="00845C9B"/>
    <w:rsid w:val="0084799B"/>
    <w:rsid w:val="00850C90"/>
    <w:rsid w:val="00851209"/>
    <w:rsid w:val="0085171F"/>
    <w:rsid w:val="008532E1"/>
    <w:rsid w:val="008658A1"/>
    <w:rsid w:val="0086716A"/>
    <w:rsid w:val="00870613"/>
    <w:rsid w:val="0087116A"/>
    <w:rsid w:val="0087380F"/>
    <w:rsid w:val="0087648F"/>
    <w:rsid w:val="00876612"/>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000C"/>
    <w:rsid w:val="008D1661"/>
    <w:rsid w:val="008D27E0"/>
    <w:rsid w:val="008D5F90"/>
    <w:rsid w:val="008D6800"/>
    <w:rsid w:val="008D72F1"/>
    <w:rsid w:val="008E4089"/>
    <w:rsid w:val="008E5818"/>
    <w:rsid w:val="008E5AFF"/>
    <w:rsid w:val="008E7031"/>
    <w:rsid w:val="008E77DE"/>
    <w:rsid w:val="008E7CCB"/>
    <w:rsid w:val="008F040C"/>
    <w:rsid w:val="008F07A3"/>
    <w:rsid w:val="008F3322"/>
    <w:rsid w:val="008F3519"/>
    <w:rsid w:val="008F3A0D"/>
    <w:rsid w:val="009001B6"/>
    <w:rsid w:val="00900E1B"/>
    <w:rsid w:val="0090131F"/>
    <w:rsid w:val="00902775"/>
    <w:rsid w:val="00907683"/>
    <w:rsid w:val="009132B7"/>
    <w:rsid w:val="00916A2C"/>
    <w:rsid w:val="009233EE"/>
    <w:rsid w:val="00930B1A"/>
    <w:rsid w:val="00932612"/>
    <w:rsid w:val="009327DC"/>
    <w:rsid w:val="009338D9"/>
    <w:rsid w:val="009339BD"/>
    <w:rsid w:val="009356CF"/>
    <w:rsid w:val="009432E7"/>
    <w:rsid w:val="00945E53"/>
    <w:rsid w:val="009460AA"/>
    <w:rsid w:val="0094737F"/>
    <w:rsid w:val="00951978"/>
    <w:rsid w:val="00961A4A"/>
    <w:rsid w:val="009661DE"/>
    <w:rsid w:val="00967165"/>
    <w:rsid w:val="00972C7C"/>
    <w:rsid w:val="009776F4"/>
    <w:rsid w:val="00977DDC"/>
    <w:rsid w:val="00982DA2"/>
    <w:rsid w:val="00983C25"/>
    <w:rsid w:val="0098466D"/>
    <w:rsid w:val="009856B7"/>
    <w:rsid w:val="00985C86"/>
    <w:rsid w:val="00986432"/>
    <w:rsid w:val="009A5FC3"/>
    <w:rsid w:val="009B2927"/>
    <w:rsid w:val="009B6F84"/>
    <w:rsid w:val="009B74B0"/>
    <w:rsid w:val="009C0152"/>
    <w:rsid w:val="009C1A74"/>
    <w:rsid w:val="009C3D42"/>
    <w:rsid w:val="009C491E"/>
    <w:rsid w:val="009D0DF1"/>
    <w:rsid w:val="009D22D6"/>
    <w:rsid w:val="009D2C84"/>
    <w:rsid w:val="009D3906"/>
    <w:rsid w:val="009D6B46"/>
    <w:rsid w:val="009E35B6"/>
    <w:rsid w:val="009E5ABC"/>
    <w:rsid w:val="009F43B4"/>
    <w:rsid w:val="009F4940"/>
    <w:rsid w:val="009F5BA1"/>
    <w:rsid w:val="00A00CA1"/>
    <w:rsid w:val="00A0291B"/>
    <w:rsid w:val="00A02A88"/>
    <w:rsid w:val="00A04012"/>
    <w:rsid w:val="00A046FA"/>
    <w:rsid w:val="00A0562E"/>
    <w:rsid w:val="00A0726D"/>
    <w:rsid w:val="00A073AE"/>
    <w:rsid w:val="00A12204"/>
    <w:rsid w:val="00A12750"/>
    <w:rsid w:val="00A13CB0"/>
    <w:rsid w:val="00A1561F"/>
    <w:rsid w:val="00A16544"/>
    <w:rsid w:val="00A27963"/>
    <w:rsid w:val="00A30BF5"/>
    <w:rsid w:val="00A31BE6"/>
    <w:rsid w:val="00A32FBB"/>
    <w:rsid w:val="00A3531E"/>
    <w:rsid w:val="00A40068"/>
    <w:rsid w:val="00A40BE9"/>
    <w:rsid w:val="00A410AC"/>
    <w:rsid w:val="00A414B2"/>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84A99"/>
    <w:rsid w:val="00A84F46"/>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038B"/>
    <w:rsid w:val="00AD314E"/>
    <w:rsid w:val="00AD5FCD"/>
    <w:rsid w:val="00AD6B48"/>
    <w:rsid w:val="00AD7A3A"/>
    <w:rsid w:val="00AE1BF1"/>
    <w:rsid w:val="00AE1F9B"/>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06E45"/>
    <w:rsid w:val="00B112C3"/>
    <w:rsid w:val="00B13048"/>
    <w:rsid w:val="00B13883"/>
    <w:rsid w:val="00B1716D"/>
    <w:rsid w:val="00B17A1D"/>
    <w:rsid w:val="00B207A0"/>
    <w:rsid w:val="00B21C21"/>
    <w:rsid w:val="00B22F54"/>
    <w:rsid w:val="00B24A7E"/>
    <w:rsid w:val="00B25C0C"/>
    <w:rsid w:val="00B27C3A"/>
    <w:rsid w:val="00B304B5"/>
    <w:rsid w:val="00B308A9"/>
    <w:rsid w:val="00B31047"/>
    <w:rsid w:val="00B33148"/>
    <w:rsid w:val="00B35CDF"/>
    <w:rsid w:val="00B405A1"/>
    <w:rsid w:val="00B4438A"/>
    <w:rsid w:val="00B45AA2"/>
    <w:rsid w:val="00B479CA"/>
    <w:rsid w:val="00B5084F"/>
    <w:rsid w:val="00B514DD"/>
    <w:rsid w:val="00B52AF0"/>
    <w:rsid w:val="00B53D5F"/>
    <w:rsid w:val="00B54051"/>
    <w:rsid w:val="00B561BD"/>
    <w:rsid w:val="00B56E03"/>
    <w:rsid w:val="00B62765"/>
    <w:rsid w:val="00B65DF5"/>
    <w:rsid w:val="00B75A37"/>
    <w:rsid w:val="00B7679F"/>
    <w:rsid w:val="00B77159"/>
    <w:rsid w:val="00B8080B"/>
    <w:rsid w:val="00B82223"/>
    <w:rsid w:val="00B87BA5"/>
    <w:rsid w:val="00B87C39"/>
    <w:rsid w:val="00B93891"/>
    <w:rsid w:val="00B9562D"/>
    <w:rsid w:val="00B97054"/>
    <w:rsid w:val="00BA21DA"/>
    <w:rsid w:val="00BA2B60"/>
    <w:rsid w:val="00BA3C93"/>
    <w:rsid w:val="00BA4665"/>
    <w:rsid w:val="00BA7FD7"/>
    <w:rsid w:val="00BB1681"/>
    <w:rsid w:val="00BB2FB2"/>
    <w:rsid w:val="00BB3304"/>
    <w:rsid w:val="00BB6551"/>
    <w:rsid w:val="00BC4A10"/>
    <w:rsid w:val="00BD30F4"/>
    <w:rsid w:val="00BD3446"/>
    <w:rsid w:val="00BD4B85"/>
    <w:rsid w:val="00BD59CF"/>
    <w:rsid w:val="00BE1312"/>
    <w:rsid w:val="00BE1D5D"/>
    <w:rsid w:val="00BE1F1B"/>
    <w:rsid w:val="00BE3F89"/>
    <w:rsid w:val="00BE47B5"/>
    <w:rsid w:val="00BE5FCE"/>
    <w:rsid w:val="00BF465B"/>
    <w:rsid w:val="00C0079E"/>
    <w:rsid w:val="00C02FB2"/>
    <w:rsid w:val="00C0572A"/>
    <w:rsid w:val="00C13EBD"/>
    <w:rsid w:val="00C1631B"/>
    <w:rsid w:val="00C170F0"/>
    <w:rsid w:val="00C25962"/>
    <w:rsid w:val="00C25FA6"/>
    <w:rsid w:val="00C27EB6"/>
    <w:rsid w:val="00C3099D"/>
    <w:rsid w:val="00C30D8D"/>
    <w:rsid w:val="00C33011"/>
    <w:rsid w:val="00C362C1"/>
    <w:rsid w:val="00C41950"/>
    <w:rsid w:val="00C42C3B"/>
    <w:rsid w:val="00C45733"/>
    <w:rsid w:val="00C51672"/>
    <w:rsid w:val="00C538A9"/>
    <w:rsid w:val="00C53B5A"/>
    <w:rsid w:val="00C53E41"/>
    <w:rsid w:val="00C54909"/>
    <w:rsid w:val="00C54AF3"/>
    <w:rsid w:val="00C54B8A"/>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A5167"/>
    <w:rsid w:val="00CB0279"/>
    <w:rsid w:val="00CB666B"/>
    <w:rsid w:val="00CB734B"/>
    <w:rsid w:val="00CC41B6"/>
    <w:rsid w:val="00CC5E6C"/>
    <w:rsid w:val="00CC7ADA"/>
    <w:rsid w:val="00CC7F1D"/>
    <w:rsid w:val="00CD0A88"/>
    <w:rsid w:val="00CD125D"/>
    <w:rsid w:val="00CD283C"/>
    <w:rsid w:val="00CD3641"/>
    <w:rsid w:val="00CD66EA"/>
    <w:rsid w:val="00CD6D06"/>
    <w:rsid w:val="00CD7432"/>
    <w:rsid w:val="00CE0FA5"/>
    <w:rsid w:val="00CE2A23"/>
    <w:rsid w:val="00CE31C8"/>
    <w:rsid w:val="00CE484B"/>
    <w:rsid w:val="00CE7CBA"/>
    <w:rsid w:val="00CF0DEE"/>
    <w:rsid w:val="00CF252E"/>
    <w:rsid w:val="00CF31DC"/>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6AF6"/>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5C87"/>
    <w:rsid w:val="00D7786B"/>
    <w:rsid w:val="00D80893"/>
    <w:rsid w:val="00D82519"/>
    <w:rsid w:val="00D84314"/>
    <w:rsid w:val="00D84854"/>
    <w:rsid w:val="00D900E4"/>
    <w:rsid w:val="00D924AE"/>
    <w:rsid w:val="00D92CF1"/>
    <w:rsid w:val="00D92D38"/>
    <w:rsid w:val="00D950F5"/>
    <w:rsid w:val="00D97379"/>
    <w:rsid w:val="00DA1BBC"/>
    <w:rsid w:val="00DA4752"/>
    <w:rsid w:val="00DA4C09"/>
    <w:rsid w:val="00DA61F3"/>
    <w:rsid w:val="00DA6333"/>
    <w:rsid w:val="00DA7CB3"/>
    <w:rsid w:val="00DB0D00"/>
    <w:rsid w:val="00DB0F93"/>
    <w:rsid w:val="00DB1A67"/>
    <w:rsid w:val="00DB3721"/>
    <w:rsid w:val="00DB5074"/>
    <w:rsid w:val="00DC0281"/>
    <w:rsid w:val="00DC17DF"/>
    <w:rsid w:val="00DC1930"/>
    <w:rsid w:val="00DC1C76"/>
    <w:rsid w:val="00DC2E91"/>
    <w:rsid w:val="00DC4DBF"/>
    <w:rsid w:val="00DC4E19"/>
    <w:rsid w:val="00DC5016"/>
    <w:rsid w:val="00DC65FE"/>
    <w:rsid w:val="00DC7981"/>
    <w:rsid w:val="00DD033C"/>
    <w:rsid w:val="00DD4C07"/>
    <w:rsid w:val="00DD577D"/>
    <w:rsid w:val="00DD5ADC"/>
    <w:rsid w:val="00DE1093"/>
    <w:rsid w:val="00DE4EFA"/>
    <w:rsid w:val="00DE5520"/>
    <w:rsid w:val="00DE563D"/>
    <w:rsid w:val="00DE7781"/>
    <w:rsid w:val="00DE7AB5"/>
    <w:rsid w:val="00DF0152"/>
    <w:rsid w:val="00DF1958"/>
    <w:rsid w:val="00E04818"/>
    <w:rsid w:val="00E05D67"/>
    <w:rsid w:val="00E06442"/>
    <w:rsid w:val="00E06952"/>
    <w:rsid w:val="00E157B2"/>
    <w:rsid w:val="00E16055"/>
    <w:rsid w:val="00E209BD"/>
    <w:rsid w:val="00E2332D"/>
    <w:rsid w:val="00E23993"/>
    <w:rsid w:val="00E2574F"/>
    <w:rsid w:val="00E25951"/>
    <w:rsid w:val="00E25B8C"/>
    <w:rsid w:val="00E31CF6"/>
    <w:rsid w:val="00E34A4A"/>
    <w:rsid w:val="00E35AFC"/>
    <w:rsid w:val="00E403E9"/>
    <w:rsid w:val="00E40C0F"/>
    <w:rsid w:val="00E41D39"/>
    <w:rsid w:val="00E42161"/>
    <w:rsid w:val="00E50A02"/>
    <w:rsid w:val="00E54106"/>
    <w:rsid w:val="00E54697"/>
    <w:rsid w:val="00E57A08"/>
    <w:rsid w:val="00E626A0"/>
    <w:rsid w:val="00E63631"/>
    <w:rsid w:val="00E64C2A"/>
    <w:rsid w:val="00E65C85"/>
    <w:rsid w:val="00E66199"/>
    <w:rsid w:val="00E70526"/>
    <w:rsid w:val="00E754B4"/>
    <w:rsid w:val="00E755EC"/>
    <w:rsid w:val="00E7624D"/>
    <w:rsid w:val="00E81724"/>
    <w:rsid w:val="00E819A4"/>
    <w:rsid w:val="00E833FA"/>
    <w:rsid w:val="00E84B74"/>
    <w:rsid w:val="00E87066"/>
    <w:rsid w:val="00E87D45"/>
    <w:rsid w:val="00E966BF"/>
    <w:rsid w:val="00EA0C04"/>
    <w:rsid w:val="00EA3D42"/>
    <w:rsid w:val="00EA58B3"/>
    <w:rsid w:val="00EA6B1B"/>
    <w:rsid w:val="00EB1CBD"/>
    <w:rsid w:val="00EB3A34"/>
    <w:rsid w:val="00EB3C3F"/>
    <w:rsid w:val="00EC04F1"/>
    <w:rsid w:val="00EC118B"/>
    <w:rsid w:val="00EC12FF"/>
    <w:rsid w:val="00EC237F"/>
    <w:rsid w:val="00EC276A"/>
    <w:rsid w:val="00EC573A"/>
    <w:rsid w:val="00ED0ACD"/>
    <w:rsid w:val="00ED35C8"/>
    <w:rsid w:val="00ED3968"/>
    <w:rsid w:val="00ED72FE"/>
    <w:rsid w:val="00ED7323"/>
    <w:rsid w:val="00EE142F"/>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5AF9"/>
    <w:rsid w:val="00F170C7"/>
    <w:rsid w:val="00F171E0"/>
    <w:rsid w:val="00F20BD3"/>
    <w:rsid w:val="00F322E9"/>
    <w:rsid w:val="00F3231B"/>
    <w:rsid w:val="00F33808"/>
    <w:rsid w:val="00F373A5"/>
    <w:rsid w:val="00F37864"/>
    <w:rsid w:val="00F404F9"/>
    <w:rsid w:val="00F44B0A"/>
    <w:rsid w:val="00F47559"/>
    <w:rsid w:val="00F50B30"/>
    <w:rsid w:val="00F51F5F"/>
    <w:rsid w:val="00F52003"/>
    <w:rsid w:val="00F52D75"/>
    <w:rsid w:val="00F55582"/>
    <w:rsid w:val="00F57647"/>
    <w:rsid w:val="00F577D8"/>
    <w:rsid w:val="00F62A14"/>
    <w:rsid w:val="00F644AB"/>
    <w:rsid w:val="00F64C7B"/>
    <w:rsid w:val="00F676DD"/>
    <w:rsid w:val="00F67AB6"/>
    <w:rsid w:val="00F70028"/>
    <w:rsid w:val="00F70434"/>
    <w:rsid w:val="00F75A26"/>
    <w:rsid w:val="00F75EEC"/>
    <w:rsid w:val="00F7606A"/>
    <w:rsid w:val="00F76706"/>
    <w:rsid w:val="00F77D6D"/>
    <w:rsid w:val="00F80206"/>
    <w:rsid w:val="00F83034"/>
    <w:rsid w:val="00F83FAD"/>
    <w:rsid w:val="00F844C6"/>
    <w:rsid w:val="00F9251E"/>
    <w:rsid w:val="00F92FA6"/>
    <w:rsid w:val="00F9353B"/>
    <w:rsid w:val="00F937F1"/>
    <w:rsid w:val="00F952A0"/>
    <w:rsid w:val="00F96819"/>
    <w:rsid w:val="00FA31B1"/>
    <w:rsid w:val="00FA3320"/>
    <w:rsid w:val="00FA3C7F"/>
    <w:rsid w:val="00FA6246"/>
    <w:rsid w:val="00FB24ED"/>
    <w:rsid w:val="00FB2664"/>
    <w:rsid w:val="00FB3304"/>
    <w:rsid w:val="00FB5005"/>
    <w:rsid w:val="00FB60FE"/>
    <w:rsid w:val="00FB74E2"/>
    <w:rsid w:val="00FB778B"/>
    <w:rsid w:val="00FD5614"/>
    <w:rsid w:val="00FD5E78"/>
    <w:rsid w:val="00FE0BE1"/>
    <w:rsid w:val="00FE11BB"/>
    <w:rsid w:val="00FE1DE9"/>
    <w:rsid w:val="00FE36AF"/>
    <w:rsid w:val="00FE39C2"/>
    <w:rsid w:val="00FE3C32"/>
    <w:rsid w:val="00FE64AE"/>
    <w:rsid w:val="00FF34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59005371">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7EAC5300.dotm</Template>
  <TotalTime>0</TotalTime>
  <Pages>16</Pages>
  <Words>3775</Words>
  <Characters>21521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AER draft decision - Powerlink - Attachment 9 - EBSS</vt:lpstr>
    </vt:vector>
  </TitlesOfParts>
  <LinksUpToDate>false</LinksUpToDate>
  <CharactersWithSpaces>25246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Powerlink - Attachment 9 - EBSS</dc:title>
  <dc:creator/>
  <cp:lastModifiedBy/>
  <cp:revision>1</cp:revision>
  <dcterms:created xsi:type="dcterms:W3CDTF">2016-09-27T23:42:00Z</dcterms:created>
  <dcterms:modified xsi:type="dcterms:W3CDTF">2016-09-27T23:42:00Z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powerlink transmission determination - attachment 9 - ebss - september 2016 (D2015-00169065[V02]).docx</vt:lpwstr>
  </property>
</Properties>
</file>