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0F5" w:rsidRDefault="00D93E2F" w:rsidP="00951978">
      <w:r w:rsidRPr="00FA042E">
        <w:rPr>
          <w:noProof/>
          <w:lang w:eastAsia="en-AU"/>
        </w:rPr>
        <w:drawing>
          <wp:anchor distT="0" distB="0" distL="114300" distR="114300" simplePos="0" relativeHeight="251659264" behindDoc="1" locked="0" layoutInCell="1" allowOverlap="1" wp14:anchorId="1AF90FB8" wp14:editId="5FDCB951">
            <wp:simplePos x="0" y="0"/>
            <wp:positionH relativeFrom="column">
              <wp:posOffset>-1107440</wp:posOffset>
            </wp:positionH>
            <wp:positionV relativeFrom="paragraph">
              <wp:posOffset>-908050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r w:rsidR="008C40F5">
        <w:t>T</w:t>
      </w:r>
    </w:p>
    <w:sdt>
      <w:sdtPr>
        <w:id w:val="-225538598"/>
        <w:docPartObj>
          <w:docPartGallery w:val="Cover Pages"/>
          <w:docPartUnique/>
        </w:docPartObj>
      </w:sdtPr>
      <w:sdtEndPr>
        <w:rPr>
          <w:noProof/>
          <w:lang w:eastAsia="en-AU"/>
        </w:rPr>
      </w:sdtEndPr>
      <w:sdtContent>
        <w:p w:rsidR="00FA042E" w:rsidRPr="00FA042E" w:rsidRDefault="00FA042E" w:rsidP="00951978"/>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CC4C68"/>
        <w:p w:rsidR="00FA042E" w:rsidRPr="00FA042E" w:rsidRDefault="00FA042E" w:rsidP="00CC4C68"/>
        <w:p w:rsidR="00FA042E" w:rsidRPr="00FA042E" w:rsidRDefault="00FA042E" w:rsidP="00CC4C68"/>
        <w:p w:rsidR="00FA042E" w:rsidRPr="00FA042E" w:rsidRDefault="00FA042E" w:rsidP="00CC4C68"/>
        <w:p w:rsidR="00FA042E" w:rsidRPr="00FA042E" w:rsidRDefault="00FA042E" w:rsidP="00E85328">
          <w:pPr>
            <w:pStyle w:val="ReportTitle"/>
          </w:pPr>
          <w:bookmarkStart w:id="0" w:name="_GoBack"/>
          <w:bookmarkEnd w:id="0"/>
          <w:r w:rsidRPr="00FA042E">
            <w:t>D</w:t>
          </w:r>
          <w:r w:rsidR="00E85328">
            <w:t>raft</w:t>
          </w:r>
          <w:r w:rsidRPr="00FA042E">
            <w:t xml:space="preserve"> </w:t>
          </w:r>
          <w:r w:rsidR="00E85328">
            <w:t>Decision</w:t>
          </w:r>
        </w:p>
        <w:p w:rsidR="00FA042E" w:rsidRPr="00FA042E" w:rsidRDefault="00E85328" w:rsidP="00327A1E">
          <w:pPr>
            <w:pStyle w:val="ReportSubtitle"/>
          </w:pPr>
          <w:r>
            <w:t xml:space="preserve">SA Power Networks </w:t>
          </w:r>
          <w:r w:rsidR="001B7B0C">
            <w:t>application for waiver from the Electricity Distribution Ring</w:t>
          </w:r>
          <w:r w:rsidR="001B7B0C">
            <w:noBreakHyphen/>
            <w:t>fencing Guideline</w:t>
          </w:r>
        </w:p>
        <w:p w:rsidR="00FA042E" w:rsidRPr="00FA042E" w:rsidRDefault="00E85328" w:rsidP="00327A1E">
          <w:pPr>
            <w:pStyle w:val="ReportDate"/>
          </w:pPr>
          <w:r>
            <w:t>May</w:t>
          </w:r>
          <w:r w:rsidR="00FA042E" w:rsidRPr="00FA042E">
            <w:t xml:space="preserve"> 201</w:t>
          </w:r>
          <w:r w:rsidR="00782C38">
            <w:t>7</w:t>
          </w:r>
        </w:p>
        <w:p w:rsidR="00FA042E" w:rsidRDefault="00FA042E" w:rsidP="000D1BBB">
          <w:r w:rsidRPr="00FA042E">
            <w:br w:type="page"/>
          </w:r>
        </w:p>
      </w:sdtContent>
    </w:sdt>
    <w:p w:rsidR="000A6C7B" w:rsidRDefault="000A6C7B" w:rsidP="007D482E">
      <w:pPr>
        <w:spacing w:line="240" w:lineRule="auto"/>
      </w:pPr>
      <w:r>
        <w:lastRenderedPageBreak/>
        <w:t>© Commonwealth of Australia 20</w:t>
      </w:r>
      <w:r w:rsidR="00782C38">
        <w:t>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Dire</w:t>
      </w:r>
      <w:r w:rsidR="007D4EEE">
        <w:t>ctor, Corporate Communications</w:t>
      </w:r>
      <w:r w:rsidR="007A4D1F">
        <w:br/>
      </w:r>
      <w:r>
        <w:t>Australian Compe</w:t>
      </w:r>
      <w:r w:rsidR="000765F2">
        <w:t>tition and Consumer Commission</w:t>
      </w:r>
      <w:r w:rsidR="007A4D1F">
        <w:br/>
      </w:r>
      <w:r>
        <w:t xml:space="preserve">GPO Box </w:t>
      </w:r>
      <w:r w:rsidR="00872B78">
        <w:t>3</w:t>
      </w:r>
      <w:r>
        <w:t>1</w:t>
      </w:r>
      <w:r w:rsidR="00872B78">
        <w:t>3</w:t>
      </w:r>
      <w:r w:rsidR="000765F2">
        <w:t>1</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765F2" w:rsidRPr="0013432D" w:rsidRDefault="000765F2" w:rsidP="000765F2">
      <w:pPr>
        <w:pStyle w:val="NoSpacing"/>
      </w:pPr>
      <w:r w:rsidRPr="0013432D">
        <w:t>Mr Chris Pattas</w:t>
      </w:r>
    </w:p>
    <w:p w:rsidR="000765F2" w:rsidRPr="0013432D" w:rsidRDefault="000765F2" w:rsidP="000765F2">
      <w:pPr>
        <w:pStyle w:val="NoSpacing"/>
      </w:pPr>
      <w:r w:rsidRPr="0013432D">
        <w:t>General Manager, Networks</w:t>
      </w:r>
    </w:p>
    <w:p w:rsidR="000A6C7B" w:rsidRDefault="000A6C7B" w:rsidP="000765F2">
      <w:pPr>
        <w:pStyle w:val="NoSpacing"/>
      </w:pPr>
      <w:r>
        <w:t xml:space="preserve">Australian Energy </w:t>
      </w:r>
      <w:r w:rsidRPr="00F171E0">
        <w:t>Regulator</w:t>
      </w:r>
      <w:r w:rsidR="00951978">
        <w:br/>
      </w:r>
      <w:r>
        <w:t>GPO Box 520</w:t>
      </w:r>
      <w:r w:rsidR="00951978">
        <w:br/>
      </w:r>
      <w:r w:rsidR="00B37D1E">
        <w:t>Melbourne  VIC</w:t>
      </w:r>
      <w:r>
        <w:t xml:space="preserve">  3001</w:t>
      </w:r>
    </w:p>
    <w:p w:rsidR="004B085B" w:rsidRDefault="000A6C7B" w:rsidP="00872B78">
      <w:pPr>
        <w:pStyle w:val="Copyright"/>
      </w:pPr>
      <w:r>
        <w:t xml:space="preserve">Tel: </w:t>
      </w:r>
      <w:r w:rsidR="00872B78">
        <w:t>1300 585165</w:t>
      </w:r>
    </w:p>
    <w:p w:rsidR="000A6C7B" w:rsidRPr="00951978" w:rsidRDefault="000A6C7B" w:rsidP="00872B78">
      <w:pPr>
        <w:pStyle w:val="Copyright"/>
        <w:rPr>
          <w:color w:val="0000FF"/>
          <w:sz w:val="22"/>
          <w:u w:val="single"/>
        </w:rPr>
      </w:pPr>
      <w:r>
        <w:t>Email</w:t>
      </w:r>
      <w:r w:rsidR="00B8301F">
        <w:t>: ringfencing@aer.gov.au</w:t>
      </w:r>
      <w:r w:rsidR="00951978">
        <w:rPr>
          <w:rStyle w:val="Hyperlink"/>
        </w:rPr>
        <w:br/>
      </w:r>
      <w:r>
        <w:t xml:space="preserve">AER Reference: </w:t>
      </w:r>
      <w:r w:rsidR="007D4EEE">
        <w:t>61887</w:t>
      </w:r>
    </w:p>
    <w:p w:rsidR="000A6C7B" w:rsidRDefault="000A6C7B" w:rsidP="000A6C7B"/>
    <w:p w:rsidR="002010BC" w:rsidRDefault="002010BC">
      <w:pPr>
        <w:spacing w:line="240" w:lineRule="auto"/>
      </w:pPr>
      <w:r>
        <w:br w:type="page"/>
      </w:r>
    </w:p>
    <w:sdt>
      <w:sdtPr>
        <w:rPr>
          <w:rFonts w:eastAsiaTheme="minorHAnsi" w:cstheme="minorBidi"/>
          <w:b w:val="0"/>
          <w:bCs w:val="0"/>
          <w:color w:val="auto"/>
          <w:sz w:val="22"/>
          <w:szCs w:val="22"/>
          <w:lang w:val="en-AU" w:eastAsia="en-US"/>
        </w:rPr>
        <w:id w:val="743919612"/>
        <w:docPartObj>
          <w:docPartGallery w:val="Table of Contents"/>
          <w:docPartUnique/>
        </w:docPartObj>
      </w:sdtPr>
      <w:sdtEndPr/>
      <w:sdtContent>
        <w:p w:rsidR="00970A82" w:rsidRPr="00970A82" w:rsidRDefault="00970A82">
          <w:pPr>
            <w:pStyle w:val="TOCHeading"/>
          </w:pPr>
          <w:r w:rsidRPr="00970A82">
            <w:t>Contents</w:t>
          </w:r>
        </w:p>
        <w:p w:rsidR="003C4A56" w:rsidRDefault="00970A82">
          <w:pPr>
            <w:pStyle w:val="TOC1"/>
            <w:rPr>
              <w:rFonts w:asciiTheme="minorHAnsi" w:eastAsiaTheme="minorEastAsia" w:hAnsiTheme="minorHAnsi"/>
              <w:b w:val="0"/>
              <w:color w:val="auto"/>
              <w:sz w:val="22"/>
              <w:lang w:val="en-AU" w:eastAsia="en-AU"/>
            </w:rPr>
          </w:pPr>
          <w:r w:rsidRPr="00970A82">
            <w:fldChar w:fldCharType="begin"/>
          </w:r>
          <w:r w:rsidRPr="00970A82">
            <w:instrText xml:space="preserve"> TOC \o "1-3" \h \z \u </w:instrText>
          </w:r>
          <w:r w:rsidRPr="00970A82">
            <w:fldChar w:fldCharType="separate"/>
          </w:r>
          <w:hyperlink w:anchor="_Toc483569685" w:history="1">
            <w:r w:rsidR="003C4A56" w:rsidRPr="006A79F2">
              <w:rPr>
                <w:rStyle w:val="Hyperlink"/>
              </w:rPr>
              <w:t>Shortened forms</w:t>
            </w:r>
            <w:r w:rsidR="003C4A56">
              <w:rPr>
                <w:webHidden/>
              </w:rPr>
              <w:tab/>
            </w:r>
            <w:r w:rsidR="003C4A56">
              <w:rPr>
                <w:webHidden/>
              </w:rPr>
              <w:fldChar w:fldCharType="begin"/>
            </w:r>
            <w:r w:rsidR="003C4A56">
              <w:rPr>
                <w:webHidden/>
              </w:rPr>
              <w:instrText xml:space="preserve"> PAGEREF _Toc483569685 \h </w:instrText>
            </w:r>
            <w:r w:rsidR="003C4A56">
              <w:rPr>
                <w:webHidden/>
              </w:rPr>
            </w:r>
            <w:r w:rsidR="003C4A56">
              <w:rPr>
                <w:webHidden/>
              </w:rPr>
              <w:fldChar w:fldCharType="separate"/>
            </w:r>
            <w:r w:rsidR="003C4A56">
              <w:rPr>
                <w:webHidden/>
              </w:rPr>
              <w:t>iv</w:t>
            </w:r>
            <w:r w:rsidR="003C4A56">
              <w:rPr>
                <w:webHidden/>
              </w:rPr>
              <w:fldChar w:fldCharType="end"/>
            </w:r>
          </w:hyperlink>
        </w:p>
        <w:p w:rsidR="003C4A56" w:rsidRDefault="003C4A56">
          <w:pPr>
            <w:pStyle w:val="TOC1"/>
            <w:rPr>
              <w:rFonts w:asciiTheme="minorHAnsi" w:eastAsiaTheme="minorEastAsia" w:hAnsiTheme="minorHAnsi"/>
              <w:b w:val="0"/>
              <w:color w:val="auto"/>
              <w:sz w:val="22"/>
              <w:lang w:val="en-AU" w:eastAsia="en-AU"/>
            </w:rPr>
          </w:pPr>
          <w:hyperlink w:anchor="_Toc483569686" w:history="1">
            <w:r w:rsidRPr="006A79F2">
              <w:rPr>
                <w:rStyle w:val="Hyperlink"/>
              </w:rPr>
              <w:t>Request for submissions</w:t>
            </w:r>
            <w:r>
              <w:rPr>
                <w:webHidden/>
              </w:rPr>
              <w:tab/>
            </w:r>
            <w:r>
              <w:rPr>
                <w:webHidden/>
              </w:rPr>
              <w:fldChar w:fldCharType="begin"/>
            </w:r>
            <w:r>
              <w:rPr>
                <w:webHidden/>
              </w:rPr>
              <w:instrText xml:space="preserve"> PAGEREF _Toc483569686 \h </w:instrText>
            </w:r>
            <w:r>
              <w:rPr>
                <w:webHidden/>
              </w:rPr>
            </w:r>
            <w:r>
              <w:rPr>
                <w:webHidden/>
              </w:rPr>
              <w:fldChar w:fldCharType="separate"/>
            </w:r>
            <w:r>
              <w:rPr>
                <w:webHidden/>
              </w:rPr>
              <w:t>v</w:t>
            </w:r>
            <w:r>
              <w:rPr>
                <w:webHidden/>
              </w:rPr>
              <w:fldChar w:fldCharType="end"/>
            </w:r>
          </w:hyperlink>
        </w:p>
        <w:p w:rsidR="003C4A56" w:rsidRDefault="003C4A56">
          <w:pPr>
            <w:pStyle w:val="TOC1"/>
            <w:rPr>
              <w:rFonts w:asciiTheme="minorHAnsi" w:eastAsiaTheme="minorEastAsia" w:hAnsiTheme="minorHAnsi"/>
              <w:b w:val="0"/>
              <w:color w:val="auto"/>
              <w:sz w:val="22"/>
              <w:lang w:val="en-AU" w:eastAsia="en-AU"/>
            </w:rPr>
          </w:pPr>
          <w:hyperlink w:anchor="_Toc483569687" w:history="1">
            <w:r w:rsidRPr="006A79F2">
              <w:rPr>
                <w:rStyle w:val="Hyperlink"/>
              </w:rPr>
              <w:t>Summary</w:t>
            </w:r>
            <w:r>
              <w:rPr>
                <w:webHidden/>
              </w:rPr>
              <w:tab/>
            </w:r>
            <w:r>
              <w:rPr>
                <w:webHidden/>
              </w:rPr>
              <w:fldChar w:fldCharType="begin"/>
            </w:r>
            <w:r>
              <w:rPr>
                <w:webHidden/>
              </w:rPr>
              <w:instrText xml:space="preserve"> PAGEREF _Toc483569687 \h </w:instrText>
            </w:r>
            <w:r>
              <w:rPr>
                <w:webHidden/>
              </w:rPr>
            </w:r>
            <w:r>
              <w:rPr>
                <w:webHidden/>
              </w:rPr>
              <w:fldChar w:fldCharType="separate"/>
            </w:r>
            <w:r>
              <w:rPr>
                <w:webHidden/>
              </w:rPr>
              <w:t>vi</w:t>
            </w:r>
            <w:r>
              <w:rPr>
                <w:webHidden/>
              </w:rPr>
              <w:fldChar w:fldCharType="end"/>
            </w:r>
          </w:hyperlink>
        </w:p>
        <w:p w:rsidR="003C4A56" w:rsidRDefault="003C4A56">
          <w:pPr>
            <w:pStyle w:val="TOC1"/>
            <w:rPr>
              <w:rFonts w:asciiTheme="minorHAnsi" w:eastAsiaTheme="minorEastAsia" w:hAnsiTheme="minorHAnsi"/>
              <w:b w:val="0"/>
              <w:color w:val="auto"/>
              <w:sz w:val="22"/>
              <w:lang w:val="en-AU" w:eastAsia="en-AU"/>
            </w:rPr>
          </w:pPr>
          <w:hyperlink w:anchor="_Toc483569688" w:history="1">
            <w:r w:rsidRPr="006A79F2">
              <w:rPr>
                <w:rStyle w:val="Hyperlink"/>
              </w:rPr>
              <w:t>1</w:t>
            </w:r>
            <w:r>
              <w:rPr>
                <w:rFonts w:asciiTheme="minorHAnsi" w:eastAsiaTheme="minorEastAsia" w:hAnsiTheme="minorHAnsi"/>
                <w:b w:val="0"/>
                <w:color w:val="auto"/>
                <w:sz w:val="22"/>
                <w:lang w:val="en-AU" w:eastAsia="en-AU"/>
              </w:rPr>
              <w:tab/>
            </w:r>
            <w:r w:rsidRPr="006A79F2">
              <w:rPr>
                <w:rStyle w:val="Hyperlink"/>
              </w:rPr>
              <w:t>AER Ring-fencing Guideline</w:t>
            </w:r>
            <w:r>
              <w:rPr>
                <w:webHidden/>
              </w:rPr>
              <w:tab/>
            </w:r>
            <w:r>
              <w:rPr>
                <w:webHidden/>
              </w:rPr>
              <w:fldChar w:fldCharType="begin"/>
            </w:r>
            <w:r>
              <w:rPr>
                <w:webHidden/>
              </w:rPr>
              <w:instrText xml:space="preserve"> PAGEREF _Toc483569688 \h </w:instrText>
            </w:r>
            <w:r>
              <w:rPr>
                <w:webHidden/>
              </w:rPr>
            </w:r>
            <w:r>
              <w:rPr>
                <w:webHidden/>
              </w:rPr>
              <w:fldChar w:fldCharType="separate"/>
            </w:r>
            <w:r>
              <w:rPr>
                <w:webHidden/>
              </w:rPr>
              <w:t>1</w:t>
            </w:r>
            <w:r>
              <w:rPr>
                <w:webHidden/>
              </w:rPr>
              <w:fldChar w:fldCharType="end"/>
            </w:r>
          </w:hyperlink>
        </w:p>
        <w:p w:rsidR="003C4A56" w:rsidRDefault="003C4A56">
          <w:pPr>
            <w:pStyle w:val="TOC2"/>
            <w:rPr>
              <w:rFonts w:asciiTheme="minorHAnsi" w:eastAsiaTheme="minorEastAsia" w:hAnsiTheme="minorHAnsi"/>
              <w:b w:val="0"/>
              <w:color w:val="auto"/>
              <w:sz w:val="22"/>
              <w:lang w:eastAsia="en-AU"/>
            </w:rPr>
          </w:pPr>
          <w:hyperlink w:anchor="_Toc483569689" w:history="1">
            <w:r w:rsidRPr="006A79F2">
              <w:rPr>
                <w:rStyle w:val="Hyperlink"/>
              </w:rPr>
              <w:t>1.1</w:t>
            </w:r>
            <w:r>
              <w:rPr>
                <w:rFonts w:asciiTheme="minorHAnsi" w:eastAsiaTheme="minorEastAsia" w:hAnsiTheme="minorHAnsi"/>
                <w:b w:val="0"/>
                <w:color w:val="auto"/>
                <w:sz w:val="22"/>
                <w:lang w:eastAsia="en-AU"/>
              </w:rPr>
              <w:tab/>
            </w:r>
            <w:r w:rsidRPr="006A79F2">
              <w:rPr>
                <w:rStyle w:val="Hyperlink"/>
              </w:rPr>
              <w:t>Waiver process</w:t>
            </w:r>
            <w:r>
              <w:rPr>
                <w:webHidden/>
              </w:rPr>
              <w:tab/>
            </w:r>
            <w:r>
              <w:rPr>
                <w:webHidden/>
              </w:rPr>
              <w:fldChar w:fldCharType="begin"/>
            </w:r>
            <w:r>
              <w:rPr>
                <w:webHidden/>
              </w:rPr>
              <w:instrText xml:space="preserve"> PAGEREF _Toc483569689 \h </w:instrText>
            </w:r>
            <w:r>
              <w:rPr>
                <w:webHidden/>
              </w:rPr>
            </w:r>
            <w:r>
              <w:rPr>
                <w:webHidden/>
              </w:rPr>
              <w:fldChar w:fldCharType="separate"/>
            </w:r>
            <w:r>
              <w:rPr>
                <w:webHidden/>
              </w:rPr>
              <w:t>1</w:t>
            </w:r>
            <w:r>
              <w:rPr>
                <w:webHidden/>
              </w:rPr>
              <w:fldChar w:fldCharType="end"/>
            </w:r>
          </w:hyperlink>
        </w:p>
        <w:p w:rsidR="003C4A56" w:rsidRDefault="003C4A56">
          <w:pPr>
            <w:pStyle w:val="TOC1"/>
            <w:rPr>
              <w:rFonts w:asciiTheme="minorHAnsi" w:eastAsiaTheme="minorEastAsia" w:hAnsiTheme="minorHAnsi"/>
              <w:b w:val="0"/>
              <w:color w:val="auto"/>
              <w:sz w:val="22"/>
              <w:lang w:val="en-AU" w:eastAsia="en-AU"/>
            </w:rPr>
          </w:pPr>
          <w:hyperlink w:anchor="_Toc483569690" w:history="1">
            <w:r w:rsidRPr="006A79F2">
              <w:rPr>
                <w:rStyle w:val="Hyperlink"/>
              </w:rPr>
              <w:t>2</w:t>
            </w:r>
            <w:r>
              <w:rPr>
                <w:rFonts w:asciiTheme="minorHAnsi" w:eastAsiaTheme="minorEastAsia" w:hAnsiTheme="minorHAnsi"/>
                <w:b w:val="0"/>
                <w:color w:val="auto"/>
                <w:sz w:val="22"/>
                <w:lang w:val="en-AU" w:eastAsia="en-AU"/>
              </w:rPr>
              <w:tab/>
            </w:r>
            <w:r w:rsidRPr="006A79F2">
              <w:rPr>
                <w:rStyle w:val="Hyperlink"/>
              </w:rPr>
              <w:t>SA Power Networks' waiver application</w:t>
            </w:r>
            <w:r>
              <w:rPr>
                <w:webHidden/>
              </w:rPr>
              <w:tab/>
            </w:r>
            <w:r>
              <w:rPr>
                <w:webHidden/>
              </w:rPr>
              <w:fldChar w:fldCharType="begin"/>
            </w:r>
            <w:r>
              <w:rPr>
                <w:webHidden/>
              </w:rPr>
              <w:instrText xml:space="preserve"> PAGEREF _Toc483569690 \h </w:instrText>
            </w:r>
            <w:r>
              <w:rPr>
                <w:webHidden/>
              </w:rPr>
            </w:r>
            <w:r>
              <w:rPr>
                <w:webHidden/>
              </w:rPr>
              <w:fldChar w:fldCharType="separate"/>
            </w:r>
            <w:r>
              <w:rPr>
                <w:webHidden/>
              </w:rPr>
              <w:t>3</w:t>
            </w:r>
            <w:r>
              <w:rPr>
                <w:webHidden/>
              </w:rPr>
              <w:fldChar w:fldCharType="end"/>
            </w:r>
          </w:hyperlink>
        </w:p>
        <w:p w:rsidR="003C4A56" w:rsidRDefault="003C4A56">
          <w:pPr>
            <w:pStyle w:val="TOC2"/>
            <w:rPr>
              <w:rFonts w:asciiTheme="minorHAnsi" w:eastAsiaTheme="minorEastAsia" w:hAnsiTheme="minorHAnsi"/>
              <w:b w:val="0"/>
              <w:color w:val="auto"/>
              <w:sz w:val="22"/>
              <w:lang w:eastAsia="en-AU"/>
            </w:rPr>
          </w:pPr>
          <w:hyperlink w:anchor="_Toc483569691" w:history="1">
            <w:r w:rsidRPr="006A79F2">
              <w:rPr>
                <w:rStyle w:val="Hyperlink"/>
              </w:rPr>
              <w:t>2.1</w:t>
            </w:r>
            <w:r>
              <w:rPr>
                <w:rFonts w:asciiTheme="minorHAnsi" w:eastAsiaTheme="minorEastAsia" w:hAnsiTheme="minorHAnsi"/>
                <w:b w:val="0"/>
                <w:color w:val="auto"/>
                <w:sz w:val="22"/>
                <w:lang w:eastAsia="en-AU"/>
              </w:rPr>
              <w:tab/>
            </w:r>
            <w:r w:rsidRPr="006A79F2">
              <w:rPr>
                <w:rStyle w:val="Hyperlink"/>
              </w:rPr>
              <w:t>Energy security issues</w:t>
            </w:r>
            <w:r>
              <w:rPr>
                <w:webHidden/>
              </w:rPr>
              <w:tab/>
            </w:r>
            <w:r>
              <w:rPr>
                <w:webHidden/>
              </w:rPr>
              <w:fldChar w:fldCharType="begin"/>
            </w:r>
            <w:r>
              <w:rPr>
                <w:webHidden/>
              </w:rPr>
              <w:instrText xml:space="preserve"> PAGEREF _Toc483569691 \h </w:instrText>
            </w:r>
            <w:r>
              <w:rPr>
                <w:webHidden/>
              </w:rPr>
            </w:r>
            <w:r>
              <w:rPr>
                <w:webHidden/>
              </w:rPr>
              <w:fldChar w:fldCharType="separate"/>
            </w:r>
            <w:r>
              <w:rPr>
                <w:webHidden/>
              </w:rPr>
              <w:t>3</w:t>
            </w:r>
            <w:r>
              <w:rPr>
                <w:webHidden/>
              </w:rPr>
              <w:fldChar w:fldCharType="end"/>
            </w:r>
          </w:hyperlink>
        </w:p>
        <w:p w:rsidR="003C4A56" w:rsidRDefault="003C4A56">
          <w:pPr>
            <w:pStyle w:val="TOC2"/>
            <w:rPr>
              <w:rFonts w:asciiTheme="minorHAnsi" w:eastAsiaTheme="minorEastAsia" w:hAnsiTheme="minorHAnsi"/>
              <w:b w:val="0"/>
              <w:color w:val="auto"/>
              <w:sz w:val="22"/>
              <w:lang w:eastAsia="en-AU"/>
            </w:rPr>
          </w:pPr>
          <w:hyperlink w:anchor="_Toc483569692" w:history="1">
            <w:r w:rsidRPr="006A79F2">
              <w:rPr>
                <w:rStyle w:val="Hyperlink"/>
              </w:rPr>
              <w:t>2.2</w:t>
            </w:r>
            <w:r>
              <w:rPr>
                <w:rFonts w:asciiTheme="minorHAnsi" w:eastAsiaTheme="minorEastAsia" w:hAnsiTheme="minorHAnsi"/>
                <w:b w:val="0"/>
                <w:color w:val="auto"/>
                <w:sz w:val="22"/>
                <w:lang w:eastAsia="en-AU"/>
              </w:rPr>
              <w:tab/>
            </w:r>
            <w:r w:rsidRPr="006A79F2">
              <w:rPr>
                <w:rStyle w:val="Hyperlink"/>
              </w:rPr>
              <w:t>South Australian Government's response</w:t>
            </w:r>
            <w:r>
              <w:rPr>
                <w:webHidden/>
              </w:rPr>
              <w:tab/>
            </w:r>
            <w:r>
              <w:rPr>
                <w:webHidden/>
              </w:rPr>
              <w:fldChar w:fldCharType="begin"/>
            </w:r>
            <w:r>
              <w:rPr>
                <w:webHidden/>
              </w:rPr>
              <w:instrText xml:space="preserve"> PAGEREF _Toc483569692 \h </w:instrText>
            </w:r>
            <w:r>
              <w:rPr>
                <w:webHidden/>
              </w:rPr>
            </w:r>
            <w:r>
              <w:rPr>
                <w:webHidden/>
              </w:rPr>
              <w:fldChar w:fldCharType="separate"/>
            </w:r>
            <w:r>
              <w:rPr>
                <w:webHidden/>
              </w:rPr>
              <w:t>3</w:t>
            </w:r>
            <w:r>
              <w:rPr>
                <w:webHidden/>
              </w:rPr>
              <w:fldChar w:fldCharType="end"/>
            </w:r>
          </w:hyperlink>
        </w:p>
        <w:p w:rsidR="003C4A56" w:rsidRDefault="003C4A56">
          <w:pPr>
            <w:pStyle w:val="TOC2"/>
            <w:rPr>
              <w:rFonts w:asciiTheme="minorHAnsi" w:eastAsiaTheme="minorEastAsia" w:hAnsiTheme="minorHAnsi"/>
              <w:b w:val="0"/>
              <w:color w:val="auto"/>
              <w:sz w:val="22"/>
              <w:lang w:eastAsia="en-AU"/>
            </w:rPr>
          </w:pPr>
          <w:hyperlink w:anchor="_Toc483569693" w:history="1">
            <w:r w:rsidRPr="006A79F2">
              <w:rPr>
                <w:rStyle w:val="Hyperlink"/>
              </w:rPr>
              <w:t>2.3</w:t>
            </w:r>
            <w:r>
              <w:rPr>
                <w:rFonts w:asciiTheme="minorHAnsi" w:eastAsiaTheme="minorEastAsia" w:hAnsiTheme="minorHAnsi"/>
                <w:b w:val="0"/>
                <w:color w:val="auto"/>
                <w:sz w:val="22"/>
                <w:lang w:eastAsia="en-AU"/>
              </w:rPr>
              <w:tab/>
            </w:r>
            <w:r w:rsidRPr="006A79F2">
              <w:rPr>
                <w:rStyle w:val="Hyperlink"/>
              </w:rPr>
              <w:t>Obligations on SA Power Networks</w:t>
            </w:r>
            <w:r>
              <w:rPr>
                <w:webHidden/>
              </w:rPr>
              <w:tab/>
            </w:r>
            <w:r>
              <w:rPr>
                <w:webHidden/>
              </w:rPr>
              <w:fldChar w:fldCharType="begin"/>
            </w:r>
            <w:r>
              <w:rPr>
                <w:webHidden/>
              </w:rPr>
              <w:instrText xml:space="preserve"> PAGEREF _Toc483569693 \h </w:instrText>
            </w:r>
            <w:r>
              <w:rPr>
                <w:webHidden/>
              </w:rPr>
            </w:r>
            <w:r>
              <w:rPr>
                <w:webHidden/>
              </w:rPr>
              <w:fldChar w:fldCharType="separate"/>
            </w:r>
            <w:r>
              <w:rPr>
                <w:webHidden/>
              </w:rPr>
              <w:t>4</w:t>
            </w:r>
            <w:r>
              <w:rPr>
                <w:webHidden/>
              </w:rPr>
              <w:fldChar w:fldCharType="end"/>
            </w:r>
          </w:hyperlink>
        </w:p>
        <w:p w:rsidR="003C4A56" w:rsidRDefault="003C4A56">
          <w:pPr>
            <w:pStyle w:val="TOC2"/>
            <w:rPr>
              <w:rFonts w:asciiTheme="minorHAnsi" w:eastAsiaTheme="minorEastAsia" w:hAnsiTheme="minorHAnsi"/>
              <w:b w:val="0"/>
              <w:color w:val="auto"/>
              <w:sz w:val="22"/>
              <w:lang w:eastAsia="en-AU"/>
            </w:rPr>
          </w:pPr>
          <w:hyperlink w:anchor="_Toc483569694" w:history="1">
            <w:r w:rsidRPr="006A79F2">
              <w:rPr>
                <w:rStyle w:val="Hyperlink"/>
              </w:rPr>
              <w:t>2.4</w:t>
            </w:r>
            <w:r>
              <w:rPr>
                <w:rFonts w:asciiTheme="minorHAnsi" w:eastAsiaTheme="minorEastAsia" w:hAnsiTheme="minorHAnsi"/>
                <w:b w:val="0"/>
                <w:color w:val="auto"/>
                <w:sz w:val="22"/>
                <w:lang w:eastAsia="en-AU"/>
              </w:rPr>
              <w:tab/>
            </w:r>
            <w:r w:rsidRPr="006A79F2">
              <w:rPr>
                <w:rStyle w:val="Hyperlink"/>
              </w:rPr>
              <w:t>Waiver sought by SA Power Networks</w:t>
            </w:r>
            <w:r>
              <w:rPr>
                <w:webHidden/>
              </w:rPr>
              <w:tab/>
            </w:r>
            <w:r>
              <w:rPr>
                <w:webHidden/>
              </w:rPr>
              <w:fldChar w:fldCharType="begin"/>
            </w:r>
            <w:r>
              <w:rPr>
                <w:webHidden/>
              </w:rPr>
              <w:instrText xml:space="preserve"> PAGEREF _Toc483569694 \h </w:instrText>
            </w:r>
            <w:r>
              <w:rPr>
                <w:webHidden/>
              </w:rPr>
            </w:r>
            <w:r>
              <w:rPr>
                <w:webHidden/>
              </w:rPr>
              <w:fldChar w:fldCharType="separate"/>
            </w:r>
            <w:r>
              <w:rPr>
                <w:webHidden/>
              </w:rPr>
              <w:t>4</w:t>
            </w:r>
            <w:r>
              <w:rPr>
                <w:webHidden/>
              </w:rPr>
              <w:fldChar w:fldCharType="end"/>
            </w:r>
          </w:hyperlink>
        </w:p>
        <w:p w:rsidR="003C4A56" w:rsidRDefault="003C4A56">
          <w:pPr>
            <w:pStyle w:val="TOC1"/>
            <w:rPr>
              <w:rFonts w:asciiTheme="minorHAnsi" w:eastAsiaTheme="minorEastAsia" w:hAnsiTheme="minorHAnsi"/>
              <w:b w:val="0"/>
              <w:color w:val="auto"/>
              <w:sz w:val="22"/>
              <w:lang w:val="en-AU" w:eastAsia="en-AU"/>
            </w:rPr>
          </w:pPr>
          <w:hyperlink w:anchor="_Toc483569695" w:history="1">
            <w:r w:rsidRPr="006A79F2">
              <w:rPr>
                <w:rStyle w:val="Hyperlink"/>
              </w:rPr>
              <w:t>3</w:t>
            </w:r>
            <w:r>
              <w:rPr>
                <w:rFonts w:asciiTheme="minorHAnsi" w:eastAsiaTheme="minorEastAsia" w:hAnsiTheme="minorHAnsi"/>
                <w:b w:val="0"/>
                <w:color w:val="auto"/>
                <w:sz w:val="22"/>
                <w:lang w:val="en-AU" w:eastAsia="en-AU"/>
              </w:rPr>
              <w:tab/>
            </w:r>
            <w:r w:rsidRPr="006A79F2">
              <w:rPr>
                <w:rStyle w:val="Hyperlink"/>
              </w:rPr>
              <w:t>AER's draft decision and reasons</w:t>
            </w:r>
            <w:r>
              <w:rPr>
                <w:webHidden/>
              </w:rPr>
              <w:tab/>
            </w:r>
            <w:r>
              <w:rPr>
                <w:webHidden/>
              </w:rPr>
              <w:fldChar w:fldCharType="begin"/>
            </w:r>
            <w:r>
              <w:rPr>
                <w:webHidden/>
              </w:rPr>
              <w:instrText xml:space="preserve"> PAGEREF _Toc483569695 \h </w:instrText>
            </w:r>
            <w:r>
              <w:rPr>
                <w:webHidden/>
              </w:rPr>
            </w:r>
            <w:r>
              <w:rPr>
                <w:webHidden/>
              </w:rPr>
              <w:fldChar w:fldCharType="separate"/>
            </w:r>
            <w:r>
              <w:rPr>
                <w:webHidden/>
              </w:rPr>
              <w:t>5</w:t>
            </w:r>
            <w:r>
              <w:rPr>
                <w:webHidden/>
              </w:rPr>
              <w:fldChar w:fldCharType="end"/>
            </w:r>
          </w:hyperlink>
        </w:p>
        <w:p w:rsidR="003C4A56" w:rsidRDefault="003C4A56">
          <w:pPr>
            <w:pStyle w:val="TOC2"/>
            <w:rPr>
              <w:rFonts w:asciiTheme="minorHAnsi" w:eastAsiaTheme="minorEastAsia" w:hAnsiTheme="minorHAnsi"/>
              <w:b w:val="0"/>
              <w:color w:val="auto"/>
              <w:sz w:val="22"/>
              <w:lang w:eastAsia="en-AU"/>
            </w:rPr>
          </w:pPr>
          <w:hyperlink w:anchor="_Toc483569696" w:history="1">
            <w:r w:rsidRPr="006A79F2">
              <w:rPr>
                <w:rStyle w:val="Hyperlink"/>
              </w:rPr>
              <w:t>3.1</w:t>
            </w:r>
            <w:r>
              <w:rPr>
                <w:rFonts w:asciiTheme="minorHAnsi" w:eastAsiaTheme="minorEastAsia" w:hAnsiTheme="minorHAnsi"/>
                <w:b w:val="0"/>
                <w:color w:val="auto"/>
                <w:sz w:val="22"/>
                <w:lang w:eastAsia="en-AU"/>
              </w:rPr>
              <w:tab/>
            </w:r>
            <w:r w:rsidRPr="006A79F2">
              <w:rPr>
                <w:rStyle w:val="Hyperlink"/>
              </w:rPr>
              <w:t>AER's draft decision</w:t>
            </w:r>
            <w:r>
              <w:rPr>
                <w:webHidden/>
              </w:rPr>
              <w:tab/>
            </w:r>
            <w:r>
              <w:rPr>
                <w:webHidden/>
              </w:rPr>
              <w:fldChar w:fldCharType="begin"/>
            </w:r>
            <w:r>
              <w:rPr>
                <w:webHidden/>
              </w:rPr>
              <w:instrText xml:space="preserve"> PAGEREF _Toc483569696 \h </w:instrText>
            </w:r>
            <w:r>
              <w:rPr>
                <w:webHidden/>
              </w:rPr>
            </w:r>
            <w:r>
              <w:rPr>
                <w:webHidden/>
              </w:rPr>
              <w:fldChar w:fldCharType="separate"/>
            </w:r>
            <w:r>
              <w:rPr>
                <w:webHidden/>
              </w:rPr>
              <w:t>5</w:t>
            </w:r>
            <w:r>
              <w:rPr>
                <w:webHidden/>
              </w:rPr>
              <w:fldChar w:fldCharType="end"/>
            </w:r>
          </w:hyperlink>
        </w:p>
        <w:p w:rsidR="003C4A56" w:rsidRDefault="003C4A56">
          <w:pPr>
            <w:pStyle w:val="TOC2"/>
            <w:rPr>
              <w:rFonts w:asciiTheme="minorHAnsi" w:eastAsiaTheme="minorEastAsia" w:hAnsiTheme="minorHAnsi"/>
              <w:b w:val="0"/>
              <w:color w:val="auto"/>
              <w:sz w:val="22"/>
              <w:lang w:eastAsia="en-AU"/>
            </w:rPr>
          </w:pPr>
          <w:hyperlink w:anchor="_Toc483569697" w:history="1">
            <w:r w:rsidRPr="006A79F2">
              <w:rPr>
                <w:rStyle w:val="Hyperlink"/>
              </w:rPr>
              <w:t>3.2</w:t>
            </w:r>
            <w:r>
              <w:rPr>
                <w:rFonts w:asciiTheme="minorHAnsi" w:eastAsiaTheme="minorEastAsia" w:hAnsiTheme="minorHAnsi"/>
                <w:b w:val="0"/>
                <w:color w:val="auto"/>
                <w:sz w:val="22"/>
                <w:lang w:eastAsia="en-AU"/>
              </w:rPr>
              <w:tab/>
            </w:r>
            <w:r w:rsidRPr="006A79F2">
              <w:rPr>
                <w:rStyle w:val="Hyperlink"/>
              </w:rPr>
              <w:t>AER's reasons</w:t>
            </w:r>
            <w:r>
              <w:rPr>
                <w:webHidden/>
              </w:rPr>
              <w:tab/>
            </w:r>
            <w:r>
              <w:rPr>
                <w:webHidden/>
              </w:rPr>
              <w:fldChar w:fldCharType="begin"/>
            </w:r>
            <w:r>
              <w:rPr>
                <w:webHidden/>
              </w:rPr>
              <w:instrText xml:space="preserve"> PAGEREF _Toc483569697 \h </w:instrText>
            </w:r>
            <w:r>
              <w:rPr>
                <w:webHidden/>
              </w:rPr>
            </w:r>
            <w:r>
              <w:rPr>
                <w:webHidden/>
              </w:rPr>
              <w:fldChar w:fldCharType="separate"/>
            </w:r>
            <w:r>
              <w:rPr>
                <w:webHidden/>
              </w:rPr>
              <w:t>5</w:t>
            </w:r>
            <w:r>
              <w:rPr>
                <w:webHidden/>
              </w:rPr>
              <w:fldChar w:fldCharType="end"/>
            </w:r>
          </w:hyperlink>
        </w:p>
        <w:p w:rsidR="003C4A56" w:rsidRDefault="003C4A56">
          <w:pPr>
            <w:pStyle w:val="TOC3"/>
            <w:rPr>
              <w:rFonts w:asciiTheme="minorHAnsi" w:eastAsiaTheme="minorEastAsia" w:hAnsiTheme="minorHAnsi"/>
              <w:lang w:eastAsia="en-AU"/>
            </w:rPr>
          </w:pPr>
          <w:hyperlink w:anchor="_Toc483569698" w:history="1">
            <w:r w:rsidRPr="006A79F2">
              <w:rPr>
                <w:rStyle w:val="Hyperlink"/>
              </w:rPr>
              <w:t>3.2.1</w:t>
            </w:r>
            <w:r>
              <w:rPr>
                <w:rFonts w:asciiTheme="minorHAnsi" w:eastAsiaTheme="minorEastAsia" w:hAnsiTheme="minorHAnsi"/>
                <w:lang w:eastAsia="en-AU"/>
              </w:rPr>
              <w:tab/>
            </w:r>
            <w:r w:rsidRPr="006A79F2">
              <w:rPr>
                <w:rStyle w:val="Hyperlink"/>
              </w:rPr>
              <w:t>Request for interim waiver</w:t>
            </w:r>
            <w:r>
              <w:rPr>
                <w:webHidden/>
              </w:rPr>
              <w:tab/>
            </w:r>
            <w:r>
              <w:rPr>
                <w:webHidden/>
              </w:rPr>
              <w:fldChar w:fldCharType="begin"/>
            </w:r>
            <w:r>
              <w:rPr>
                <w:webHidden/>
              </w:rPr>
              <w:instrText xml:space="preserve"> PAGEREF _Toc483569698 \h </w:instrText>
            </w:r>
            <w:r>
              <w:rPr>
                <w:webHidden/>
              </w:rPr>
            </w:r>
            <w:r>
              <w:rPr>
                <w:webHidden/>
              </w:rPr>
              <w:fldChar w:fldCharType="separate"/>
            </w:r>
            <w:r>
              <w:rPr>
                <w:webHidden/>
              </w:rPr>
              <w:t>6</w:t>
            </w:r>
            <w:r>
              <w:rPr>
                <w:webHidden/>
              </w:rPr>
              <w:fldChar w:fldCharType="end"/>
            </w:r>
          </w:hyperlink>
        </w:p>
        <w:p w:rsidR="003C4A56" w:rsidRDefault="003C4A56">
          <w:pPr>
            <w:pStyle w:val="TOC3"/>
            <w:rPr>
              <w:rFonts w:asciiTheme="minorHAnsi" w:eastAsiaTheme="minorEastAsia" w:hAnsiTheme="minorHAnsi"/>
              <w:lang w:eastAsia="en-AU"/>
            </w:rPr>
          </w:pPr>
          <w:hyperlink w:anchor="_Toc483569699" w:history="1">
            <w:r w:rsidRPr="006A79F2">
              <w:rPr>
                <w:rStyle w:val="Hyperlink"/>
              </w:rPr>
              <w:t>3.2.2</w:t>
            </w:r>
            <w:r>
              <w:rPr>
                <w:rFonts w:asciiTheme="minorHAnsi" w:eastAsiaTheme="minorEastAsia" w:hAnsiTheme="minorHAnsi"/>
                <w:lang w:eastAsia="en-AU"/>
              </w:rPr>
              <w:tab/>
            </w:r>
            <w:r w:rsidRPr="006A79F2">
              <w:rPr>
                <w:rStyle w:val="Hyperlink"/>
              </w:rPr>
              <w:t>Scope of waiver</w:t>
            </w:r>
            <w:r>
              <w:rPr>
                <w:webHidden/>
              </w:rPr>
              <w:tab/>
            </w:r>
            <w:r>
              <w:rPr>
                <w:webHidden/>
              </w:rPr>
              <w:fldChar w:fldCharType="begin"/>
            </w:r>
            <w:r>
              <w:rPr>
                <w:webHidden/>
              </w:rPr>
              <w:instrText xml:space="preserve"> PAGEREF _Toc483569699 \h </w:instrText>
            </w:r>
            <w:r>
              <w:rPr>
                <w:webHidden/>
              </w:rPr>
            </w:r>
            <w:r>
              <w:rPr>
                <w:webHidden/>
              </w:rPr>
              <w:fldChar w:fldCharType="separate"/>
            </w:r>
            <w:r>
              <w:rPr>
                <w:webHidden/>
              </w:rPr>
              <w:t>7</w:t>
            </w:r>
            <w:r>
              <w:rPr>
                <w:webHidden/>
              </w:rPr>
              <w:fldChar w:fldCharType="end"/>
            </w:r>
          </w:hyperlink>
        </w:p>
        <w:p w:rsidR="003C4A56" w:rsidRDefault="003C4A56">
          <w:pPr>
            <w:pStyle w:val="TOC3"/>
            <w:rPr>
              <w:rFonts w:asciiTheme="minorHAnsi" w:eastAsiaTheme="minorEastAsia" w:hAnsiTheme="minorHAnsi"/>
              <w:lang w:eastAsia="en-AU"/>
            </w:rPr>
          </w:pPr>
          <w:hyperlink w:anchor="_Toc483569700" w:history="1">
            <w:r w:rsidRPr="006A79F2">
              <w:rPr>
                <w:rStyle w:val="Hyperlink"/>
              </w:rPr>
              <w:t>3.2.3</w:t>
            </w:r>
            <w:r>
              <w:rPr>
                <w:rFonts w:asciiTheme="minorHAnsi" w:eastAsiaTheme="minorEastAsia" w:hAnsiTheme="minorHAnsi"/>
                <w:lang w:eastAsia="en-AU"/>
              </w:rPr>
              <w:tab/>
            </w:r>
            <w:r w:rsidRPr="006A79F2">
              <w:rPr>
                <w:rStyle w:val="Hyperlink"/>
              </w:rPr>
              <w:t>National Electricity Objective</w:t>
            </w:r>
            <w:r>
              <w:rPr>
                <w:webHidden/>
              </w:rPr>
              <w:tab/>
            </w:r>
            <w:r>
              <w:rPr>
                <w:webHidden/>
              </w:rPr>
              <w:fldChar w:fldCharType="begin"/>
            </w:r>
            <w:r>
              <w:rPr>
                <w:webHidden/>
              </w:rPr>
              <w:instrText xml:space="preserve"> PAGEREF _Toc483569700 \h </w:instrText>
            </w:r>
            <w:r>
              <w:rPr>
                <w:webHidden/>
              </w:rPr>
            </w:r>
            <w:r>
              <w:rPr>
                <w:webHidden/>
              </w:rPr>
              <w:fldChar w:fldCharType="separate"/>
            </w:r>
            <w:r>
              <w:rPr>
                <w:webHidden/>
              </w:rPr>
              <w:t>7</w:t>
            </w:r>
            <w:r>
              <w:rPr>
                <w:webHidden/>
              </w:rPr>
              <w:fldChar w:fldCharType="end"/>
            </w:r>
          </w:hyperlink>
        </w:p>
        <w:p w:rsidR="003C4A56" w:rsidRDefault="003C4A56">
          <w:pPr>
            <w:pStyle w:val="TOC3"/>
            <w:rPr>
              <w:rFonts w:asciiTheme="minorHAnsi" w:eastAsiaTheme="minorEastAsia" w:hAnsiTheme="minorHAnsi"/>
              <w:lang w:eastAsia="en-AU"/>
            </w:rPr>
          </w:pPr>
          <w:hyperlink w:anchor="_Toc483569701" w:history="1">
            <w:r w:rsidRPr="006A79F2">
              <w:rPr>
                <w:rStyle w:val="Hyperlink"/>
              </w:rPr>
              <w:t>3.2.4</w:t>
            </w:r>
            <w:r>
              <w:rPr>
                <w:rFonts w:asciiTheme="minorHAnsi" w:eastAsiaTheme="minorEastAsia" w:hAnsiTheme="minorHAnsi"/>
                <w:lang w:eastAsia="en-AU"/>
              </w:rPr>
              <w:tab/>
            </w:r>
            <w:r w:rsidRPr="006A79F2">
              <w:rPr>
                <w:rStyle w:val="Hyperlink"/>
              </w:rPr>
              <w:t>Potential for cross-subsidisation and discrimination if the waiver is granted or refused</w:t>
            </w:r>
            <w:r>
              <w:rPr>
                <w:webHidden/>
              </w:rPr>
              <w:tab/>
            </w:r>
            <w:r>
              <w:rPr>
                <w:webHidden/>
              </w:rPr>
              <w:fldChar w:fldCharType="begin"/>
            </w:r>
            <w:r>
              <w:rPr>
                <w:webHidden/>
              </w:rPr>
              <w:instrText xml:space="preserve"> PAGEREF _Toc483569701 \h </w:instrText>
            </w:r>
            <w:r>
              <w:rPr>
                <w:webHidden/>
              </w:rPr>
            </w:r>
            <w:r>
              <w:rPr>
                <w:webHidden/>
              </w:rPr>
              <w:fldChar w:fldCharType="separate"/>
            </w:r>
            <w:r>
              <w:rPr>
                <w:webHidden/>
              </w:rPr>
              <w:t>8</w:t>
            </w:r>
            <w:r>
              <w:rPr>
                <w:webHidden/>
              </w:rPr>
              <w:fldChar w:fldCharType="end"/>
            </w:r>
          </w:hyperlink>
        </w:p>
        <w:p w:rsidR="003C4A56" w:rsidRDefault="003C4A56">
          <w:pPr>
            <w:pStyle w:val="TOC3"/>
            <w:rPr>
              <w:rFonts w:asciiTheme="minorHAnsi" w:eastAsiaTheme="minorEastAsia" w:hAnsiTheme="minorHAnsi"/>
              <w:lang w:eastAsia="en-AU"/>
            </w:rPr>
          </w:pPr>
          <w:hyperlink w:anchor="_Toc483569702" w:history="1">
            <w:r w:rsidRPr="006A79F2">
              <w:rPr>
                <w:rStyle w:val="Hyperlink"/>
              </w:rPr>
              <w:t>3.2.5</w:t>
            </w:r>
            <w:r>
              <w:rPr>
                <w:rFonts w:asciiTheme="minorHAnsi" w:eastAsiaTheme="minorEastAsia" w:hAnsiTheme="minorHAnsi"/>
                <w:lang w:eastAsia="en-AU"/>
              </w:rPr>
              <w:tab/>
            </w:r>
            <w:r w:rsidRPr="006A79F2">
              <w:rPr>
                <w:rStyle w:val="Hyperlink"/>
              </w:rPr>
              <w:t>Balance of benefits and detriments from complying</w:t>
            </w:r>
            <w:r>
              <w:rPr>
                <w:webHidden/>
              </w:rPr>
              <w:tab/>
            </w:r>
            <w:r>
              <w:rPr>
                <w:webHidden/>
              </w:rPr>
              <w:fldChar w:fldCharType="begin"/>
            </w:r>
            <w:r>
              <w:rPr>
                <w:webHidden/>
              </w:rPr>
              <w:instrText xml:space="preserve"> PAGEREF _Toc483569702 \h </w:instrText>
            </w:r>
            <w:r>
              <w:rPr>
                <w:webHidden/>
              </w:rPr>
            </w:r>
            <w:r>
              <w:rPr>
                <w:webHidden/>
              </w:rPr>
              <w:fldChar w:fldCharType="separate"/>
            </w:r>
            <w:r>
              <w:rPr>
                <w:webHidden/>
              </w:rPr>
              <w:t>9</w:t>
            </w:r>
            <w:r>
              <w:rPr>
                <w:webHidden/>
              </w:rPr>
              <w:fldChar w:fldCharType="end"/>
            </w:r>
          </w:hyperlink>
        </w:p>
        <w:p w:rsidR="003C4A56" w:rsidRDefault="003C4A56">
          <w:pPr>
            <w:pStyle w:val="TOC3"/>
            <w:rPr>
              <w:rFonts w:asciiTheme="minorHAnsi" w:eastAsiaTheme="minorEastAsia" w:hAnsiTheme="minorHAnsi"/>
              <w:lang w:eastAsia="en-AU"/>
            </w:rPr>
          </w:pPr>
          <w:hyperlink w:anchor="_Toc483569703" w:history="1">
            <w:r w:rsidRPr="006A79F2">
              <w:rPr>
                <w:rStyle w:val="Hyperlink"/>
              </w:rPr>
              <w:t>3.2.6</w:t>
            </w:r>
            <w:r>
              <w:rPr>
                <w:rFonts w:asciiTheme="minorHAnsi" w:eastAsiaTheme="minorEastAsia" w:hAnsiTheme="minorHAnsi"/>
                <w:lang w:eastAsia="en-AU"/>
              </w:rPr>
              <w:tab/>
            </w:r>
            <w:r w:rsidRPr="006A79F2">
              <w:rPr>
                <w:rStyle w:val="Hyperlink"/>
              </w:rPr>
              <w:t>Duration of the waiver</w:t>
            </w:r>
            <w:r>
              <w:rPr>
                <w:webHidden/>
              </w:rPr>
              <w:tab/>
            </w:r>
            <w:r>
              <w:rPr>
                <w:webHidden/>
              </w:rPr>
              <w:fldChar w:fldCharType="begin"/>
            </w:r>
            <w:r>
              <w:rPr>
                <w:webHidden/>
              </w:rPr>
              <w:instrText xml:space="preserve"> PAGEREF _Toc483569703 \h </w:instrText>
            </w:r>
            <w:r>
              <w:rPr>
                <w:webHidden/>
              </w:rPr>
            </w:r>
            <w:r>
              <w:rPr>
                <w:webHidden/>
              </w:rPr>
              <w:fldChar w:fldCharType="separate"/>
            </w:r>
            <w:r>
              <w:rPr>
                <w:webHidden/>
              </w:rPr>
              <w:t>9</w:t>
            </w:r>
            <w:r>
              <w:rPr>
                <w:webHidden/>
              </w:rPr>
              <w:fldChar w:fldCharType="end"/>
            </w:r>
          </w:hyperlink>
        </w:p>
        <w:p w:rsidR="00C11F95" w:rsidRPr="00F36DC0" w:rsidRDefault="00970A82" w:rsidP="00F36DC0">
          <w:r w:rsidRPr="00970A82">
            <w:fldChar w:fldCharType="end"/>
          </w:r>
        </w:p>
      </w:sdtContent>
    </w:sdt>
    <w:bookmarkStart w:id="1" w:name="_Toc481747788" w:displacedByCustomXml="prev"/>
    <w:bookmarkStart w:id="2" w:name="_Toc213047617" w:displacedByCustomXml="prev"/>
    <w:p w:rsidR="00C11F95" w:rsidRPr="00C11F95" w:rsidRDefault="00083404" w:rsidP="00231FBB">
      <w:pPr>
        <w:pStyle w:val="Heading1notnumber"/>
      </w:pPr>
      <w:bookmarkStart w:id="3" w:name="_Toc386455922"/>
      <w:bookmarkStart w:id="4" w:name="_Toc483569685"/>
      <w:r>
        <w:lastRenderedPageBreak/>
        <w:t>Shortened forms</w:t>
      </w:r>
      <w:bookmarkEnd w:id="3"/>
      <w:bookmarkEnd w:id="4"/>
    </w:p>
    <w:tbl>
      <w:tblPr>
        <w:tblStyle w:val="AERTable-Text"/>
        <w:tblW w:w="0" w:type="auto"/>
        <w:tblLook w:val="04A0" w:firstRow="1" w:lastRow="0" w:firstColumn="1" w:lastColumn="0" w:noHBand="0" w:noVBand="1"/>
      </w:tblPr>
      <w:tblGrid>
        <w:gridCol w:w="3071"/>
        <w:gridCol w:w="5622"/>
      </w:tblGrid>
      <w:tr w:rsidR="00C11F95" w:rsidTr="00C11F95">
        <w:trPr>
          <w:cnfStyle w:val="100000000000" w:firstRow="1" w:lastRow="0" w:firstColumn="0" w:lastColumn="0" w:oddVBand="0" w:evenVBand="0" w:oddHBand="0" w:evenHBand="0" w:firstRowFirstColumn="0" w:firstRowLastColumn="0" w:lastRowFirstColumn="0" w:lastRowLastColumn="0"/>
        </w:trPr>
        <w:tc>
          <w:tcPr>
            <w:tcW w:w="3071" w:type="dxa"/>
          </w:tcPr>
          <w:p w:rsidR="00C11F95" w:rsidRPr="00C11F95" w:rsidRDefault="00C11F95" w:rsidP="00C11F95">
            <w:r>
              <w:t>Shortened form</w:t>
            </w:r>
          </w:p>
        </w:tc>
        <w:tc>
          <w:tcPr>
            <w:tcW w:w="5622" w:type="dxa"/>
          </w:tcPr>
          <w:p w:rsidR="00C11F95" w:rsidRPr="00C11F95" w:rsidRDefault="00C11F95" w:rsidP="00C11F95">
            <w:r>
              <w:t>Extended form</w:t>
            </w:r>
          </w:p>
        </w:tc>
      </w:tr>
      <w:tr w:rsidR="00083404" w:rsidTr="00C11F95">
        <w:tc>
          <w:tcPr>
            <w:tcW w:w="3071" w:type="dxa"/>
          </w:tcPr>
          <w:p w:rsidR="00083404" w:rsidRDefault="00083404" w:rsidP="00C11F95">
            <w:r>
              <w:t>AEMO</w:t>
            </w:r>
          </w:p>
        </w:tc>
        <w:tc>
          <w:tcPr>
            <w:tcW w:w="5622" w:type="dxa"/>
          </w:tcPr>
          <w:p w:rsidR="00083404" w:rsidRDefault="00083404" w:rsidP="00C11F95">
            <w:r>
              <w:t>Australian Energy Market Operator</w:t>
            </w:r>
          </w:p>
        </w:tc>
      </w:tr>
      <w:tr w:rsidR="00C11F95" w:rsidTr="00C11F95">
        <w:trPr>
          <w:cnfStyle w:val="000000010000" w:firstRow="0" w:lastRow="0" w:firstColumn="0" w:lastColumn="0" w:oddVBand="0" w:evenVBand="0" w:oddHBand="0" w:evenHBand="1" w:firstRowFirstColumn="0" w:firstRowLastColumn="0" w:lastRowFirstColumn="0" w:lastRowLastColumn="0"/>
        </w:trPr>
        <w:tc>
          <w:tcPr>
            <w:tcW w:w="3071" w:type="dxa"/>
          </w:tcPr>
          <w:p w:rsidR="00C11F95" w:rsidRPr="00C11F95" w:rsidRDefault="00C11F95" w:rsidP="00C11F95">
            <w:r>
              <w:t>AER</w:t>
            </w:r>
          </w:p>
        </w:tc>
        <w:tc>
          <w:tcPr>
            <w:tcW w:w="5622" w:type="dxa"/>
          </w:tcPr>
          <w:p w:rsidR="00C11F95" w:rsidRPr="00C11F95" w:rsidRDefault="00C11F95" w:rsidP="00C11F95">
            <w:r>
              <w:t>Australian Energy Regulator</w:t>
            </w:r>
          </w:p>
        </w:tc>
      </w:tr>
      <w:tr w:rsidR="00C11F95" w:rsidTr="00C11F95">
        <w:tc>
          <w:tcPr>
            <w:tcW w:w="3071" w:type="dxa"/>
          </w:tcPr>
          <w:p w:rsidR="00C11F95" w:rsidRPr="00C11F95" w:rsidRDefault="00C11F95" w:rsidP="00C11F95">
            <w:r>
              <w:t>DNSP</w:t>
            </w:r>
          </w:p>
        </w:tc>
        <w:tc>
          <w:tcPr>
            <w:tcW w:w="5622" w:type="dxa"/>
          </w:tcPr>
          <w:p w:rsidR="00C11F95" w:rsidRPr="00C11F95" w:rsidRDefault="00C11F95" w:rsidP="00ED5B10">
            <w:r>
              <w:t xml:space="preserve">Distribution </w:t>
            </w:r>
            <w:r w:rsidR="00ED5B10">
              <w:t>n</w:t>
            </w:r>
            <w:r>
              <w:t>etwork</w:t>
            </w:r>
            <w:r w:rsidRPr="00C11F95">
              <w:t xml:space="preserve"> </w:t>
            </w:r>
            <w:r w:rsidR="00ED5B10">
              <w:t>s</w:t>
            </w:r>
            <w:r w:rsidRPr="00C11F95">
              <w:t xml:space="preserve">ervice </w:t>
            </w:r>
            <w:r w:rsidR="00ED5B10">
              <w:t>p</w:t>
            </w:r>
            <w:r w:rsidRPr="00C11F95">
              <w:t>rovider</w:t>
            </w:r>
          </w:p>
        </w:tc>
      </w:tr>
      <w:tr w:rsidR="00C11F95" w:rsidTr="00C11F95">
        <w:trPr>
          <w:cnfStyle w:val="000000010000" w:firstRow="0" w:lastRow="0" w:firstColumn="0" w:lastColumn="0" w:oddVBand="0" w:evenVBand="0" w:oddHBand="0" w:evenHBand="1" w:firstRowFirstColumn="0" w:firstRowLastColumn="0" w:lastRowFirstColumn="0" w:lastRowLastColumn="0"/>
        </w:trPr>
        <w:tc>
          <w:tcPr>
            <w:tcW w:w="3071" w:type="dxa"/>
          </w:tcPr>
          <w:p w:rsidR="00C11F95" w:rsidRPr="00C11F95" w:rsidRDefault="00C11F95" w:rsidP="001B7B0C">
            <w:r>
              <w:t>Guideline</w:t>
            </w:r>
          </w:p>
        </w:tc>
        <w:tc>
          <w:tcPr>
            <w:tcW w:w="5622" w:type="dxa"/>
          </w:tcPr>
          <w:p w:rsidR="00C11F95" w:rsidRPr="00C11F95" w:rsidRDefault="00C11F95" w:rsidP="00C11F95">
            <w:r>
              <w:t>Australian Energy Regulator, Electricity Distribution Ring</w:t>
            </w:r>
            <w:r>
              <w:noBreakHyphen/>
              <w:t>Fencing Guideline</w:t>
            </w:r>
            <w:r w:rsidRPr="00C11F95">
              <w:t>,</w:t>
            </w:r>
            <w:r>
              <w:t xml:space="preserve"> November 2016</w:t>
            </w:r>
          </w:p>
        </w:tc>
      </w:tr>
      <w:tr w:rsidR="00C11F95" w:rsidTr="00C11F95">
        <w:tc>
          <w:tcPr>
            <w:tcW w:w="3071" w:type="dxa"/>
          </w:tcPr>
          <w:p w:rsidR="00C11F95" w:rsidRPr="00C11F95" w:rsidRDefault="00C11F95" w:rsidP="00C11F95">
            <w:r w:rsidRPr="00D16E9E">
              <w:t>NE</w:t>
            </w:r>
            <w:r>
              <w:t>O</w:t>
            </w:r>
            <w:r w:rsidRPr="00D16E9E">
              <w:tab/>
            </w:r>
          </w:p>
        </w:tc>
        <w:tc>
          <w:tcPr>
            <w:tcW w:w="5622" w:type="dxa"/>
          </w:tcPr>
          <w:p w:rsidR="00C11F95" w:rsidRPr="00C11F95" w:rsidRDefault="00C11F95" w:rsidP="00C11F95">
            <w:r w:rsidRPr="00D16E9E">
              <w:t xml:space="preserve">National Electricity </w:t>
            </w:r>
            <w:r>
              <w:t>Objective</w:t>
            </w:r>
          </w:p>
        </w:tc>
      </w:tr>
      <w:tr w:rsidR="00977EDB" w:rsidTr="00C11F95">
        <w:trPr>
          <w:cnfStyle w:val="000000010000" w:firstRow="0" w:lastRow="0" w:firstColumn="0" w:lastColumn="0" w:oddVBand="0" w:evenVBand="0" w:oddHBand="0" w:evenHBand="1" w:firstRowFirstColumn="0" w:firstRowLastColumn="0" w:lastRowFirstColumn="0" w:lastRowLastColumn="0"/>
        </w:trPr>
        <w:tc>
          <w:tcPr>
            <w:tcW w:w="3071" w:type="dxa"/>
          </w:tcPr>
          <w:p w:rsidR="00977EDB" w:rsidRDefault="00977EDB" w:rsidP="00C11F95">
            <w:r>
              <w:t>SA Government</w:t>
            </w:r>
          </w:p>
        </w:tc>
        <w:tc>
          <w:tcPr>
            <w:tcW w:w="5622" w:type="dxa"/>
          </w:tcPr>
          <w:p w:rsidR="00977EDB" w:rsidRDefault="00977EDB" w:rsidP="00C11F95">
            <w:r>
              <w:t>South Australian Government</w:t>
            </w:r>
          </w:p>
        </w:tc>
      </w:tr>
    </w:tbl>
    <w:p w:rsidR="0020492C" w:rsidRDefault="0013432D" w:rsidP="0013432D">
      <w:pPr>
        <w:pStyle w:val="Heading1notnumber"/>
      </w:pPr>
      <w:bookmarkStart w:id="5" w:name="_Toc483569686"/>
      <w:r>
        <w:lastRenderedPageBreak/>
        <w:t>Request for submissions</w:t>
      </w:r>
      <w:bookmarkEnd w:id="1"/>
      <w:bookmarkEnd w:id="5"/>
    </w:p>
    <w:p w:rsidR="0013432D" w:rsidRPr="0013432D" w:rsidRDefault="0013432D" w:rsidP="0013432D">
      <w:r w:rsidRPr="0013432D">
        <w:t>Interested parties are invited to make written submissions to the Australian Energy Regulator (</w:t>
      </w:r>
      <w:r w:rsidRPr="00737EF2">
        <w:rPr>
          <w:rStyle w:val="Strong"/>
        </w:rPr>
        <w:t>AER</w:t>
      </w:r>
      <w:r w:rsidRPr="0013432D">
        <w:t xml:space="preserve">) regarding this paper by the close of business, </w:t>
      </w:r>
      <w:r w:rsidR="00030538">
        <w:t xml:space="preserve">Friday </w:t>
      </w:r>
      <w:r w:rsidR="00030538">
        <w:rPr>
          <w:rStyle w:val="Strong"/>
        </w:rPr>
        <w:t>9</w:t>
      </w:r>
      <w:r w:rsidR="000D1BBB" w:rsidRPr="005F369D">
        <w:rPr>
          <w:rStyle w:val="Strong"/>
        </w:rPr>
        <w:t xml:space="preserve"> June</w:t>
      </w:r>
      <w:r w:rsidRPr="005F369D">
        <w:rPr>
          <w:rStyle w:val="Strong"/>
        </w:rPr>
        <w:t xml:space="preserve"> 2017</w:t>
      </w:r>
      <w:r w:rsidRPr="0013432D">
        <w:t xml:space="preserve">. </w:t>
      </w:r>
    </w:p>
    <w:p w:rsidR="0013432D" w:rsidRPr="0013432D" w:rsidRDefault="0013432D" w:rsidP="0013432D">
      <w:r w:rsidRPr="0013432D">
        <w:t xml:space="preserve">Submissions should be sent electronically to: </w:t>
      </w:r>
      <w:r w:rsidR="009E52D6" w:rsidRPr="009E52D6">
        <w:t>ringfencing@aer.gov.au</w:t>
      </w:r>
      <w:r w:rsidR="009E52D6">
        <w:t xml:space="preserve">. </w:t>
      </w:r>
    </w:p>
    <w:p w:rsidR="0013432D" w:rsidRPr="0013432D" w:rsidRDefault="0013432D" w:rsidP="0013432D">
      <w:r w:rsidRPr="0013432D">
        <w:t>Alternatively, submissions can be mailed to:</w:t>
      </w:r>
    </w:p>
    <w:p w:rsidR="0013432D" w:rsidRPr="0013432D" w:rsidRDefault="0013432D" w:rsidP="007D4EEE">
      <w:pPr>
        <w:pStyle w:val="NoSpacing"/>
      </w:pPr>
      <w:r w:rsidRPr="0013432D">
        <w:t>Mr Chris Pattas</w:t>
      </w:r>
    </w:p>
    <w:p w:rsidR="0013432D" w:rsidRPr="0013432D" w:rsidRDefault="0013432D" w:rsidP="000D1BBB">
      <w:pPr>
        <w:pStyle w:val="NoSpacing"/>
      </w:pPr>
      <w:r w:rsidRPr="0013432D">
        <w:t>General Manager, Networks</w:t>
      </w:r>
    </w:p>
    <w:p w:rsidR="0013432D" w:rsidRPr="0013432D" w:rsidRDefault="0013432D" w:rsidP="000D1BBB">
      <w:pPr>
        <w:pStyle w:val="NoSpacing"/>
      </w:pPr>
      <w:r w:rsidRPr="0013432D">
        <w:t>Australian Energy Regulator</w:t>
      </w:r>
    </w:p>
    <w:p w:rsidR="0013432D" w:rsidRPr="0013432D" w:rsidRDefault="0013432D" w:rsidP="000D1BBB">
      <w:pPr>
        <w:pStyle w:val="NoSpacing"/>
      </w:pPr>
      <w:r w:rsidRPr="0013432D">
        <w:t>GPO Box 520</w:t>
      </w:r>
    </w:p>
    <w:p w:rsidR="0013432D" w:rsidRPr="0013432D" w:rsidRDefault="00766A59" w:rsidP="000D1BBB">
      <w:pPr>
        <w:pStyle w:val="NoSpacing"/>
      </w:pPr>
      <w:r>
        <w:t>Melbourne  VIC  3001</w:t>
      </w:r>
    </w:p>
    <w:p w:rsidR="0013432D" w:rsidRPr="0013432D" w:rsidRDefault="0013432D" w:rsidP="0013432D">
      <w:r w:rsidRPr="0013432D">
        <w:t xml:space="preserve">We prefer that all submissions be publicly available to facilitate an informed and transparent consultative process. Submissions will be treated as public documents unless otherwise requested. Parties wishing to submit confidential information are requested to: </w:t>
      </w:r>
    </w:p>
    <w:p w:rsidR="0013432D" w:rsidRPr="0013432D" w:rsidRDefault="0013432D" w:rsidP="0013432D">
      <w:pPr>
        <w:pStyle w:val="ListBullet"/>
      </w:pPr>
      <w:r w:rsidRPr="0013432D">
        <w:t>clearly identify the information that is the subject of the confidentiality claim</w:t>
      </w:r>
    </w:p>
    <w:p w:rsidR="0013432D" w:rsidRPr="0013432D" w:rsidRDefault="0013432D" w:rsidP="0013432D">
      <w:pPr>
        <w:pStyle w:val="ListBullet"/>
      </w:pPr>
      <w:r w:rsidRPr="0013432D">
        <w:t>provide a non-confidential version of the submission in a form suitable for publication.</w:t>
      </w:r>
    </w:p>
    <w:p w:rsidR="0013432D" w:rsidRPr="0013432D" w:rsidRDefault="0013432D" w:rsidP="0013432D">
      <w:r w:rsidRPr="0013432D">
        <w:t xml:space="preserve">All non-confidential submissions will be placed on our website at </w:t>
      </w:r>
      <w:hyperlink r:id="rId11" w:history="1">
        <w:r w:rsidRPr="0013432D">
          <w:t>www.aer.gov.au</w:t>
        </w:r>
      </w:hyperlink>
      <w:r w:rsidRPr="0013432D">
        <w:t>. For further information regarding our use and disclos</w:t>
      </w:r>
      <w:r w:rsidR="00737EF2">
        <w:t>ure of information provided to us</w:t>
      </w:r>
      <w:r w:rsidRPr="0013432D">
        <w:t xml:space="preserve">, see the ACCC/AER Information Policy, </w:t>
      </w:r>
      <w:r w:rsidR="0076546B">
        <w:t>June 2014</w:t>
      </w:r>
      <w:r w:rsidRPr="0013432D">
        <w:t xml:space="preserve"> available on our website.</w:t>
      </w:r>
    </w:p>
    <w:p w:rsidR="0013432D" w:rsidRPr="0013432D" w:rsidRDefault="0013432D" w:rsidP="0013432D">
      <w:r w:rsidRPr="0013432D">
        <w:t>Enquiries about this paper, or about lodging submissions, should be directed</w:t>
      </w:r>
      <w:r w:rsidR="00B37D1E" w:rsidRPr="00B37D1E">
        <w:t xml:space="preserve"> </w:t>
      </w:r>
      <w:r w:rsidR="00B37D1E">
        <w:t>to ringfencing@aer.gov.au</w:t>
      </w:r>
      <w:r w:rsidRPr="0013432D">
        <w:t>.</w:t>
      </w:r>
    </w:p>
    <w:p w:rsidR="0013432D" w:rsidRPr="0013432D" w:rsidRDefault="0013432D" w:rsidP="0013432D"/>
    <w:p w:rsidR="0020492C" w:rsidRDefault="0020492C" w:rsidP="0020492C"/>
    <w:p w:rsidR="0013432D" w:rsidRDefault="0013432D" w:rsidP="0013432D">
      <w:pPr>
        <w:pStyle w:val="Heading1notnumber"/>
      </w:pPr>
      <w:bookmarkStart w:id="6" w:name="_Toc481747789"/>
      <w:bookmarkStart w:id="7" w:name="_Toc483569687"/>
      <w:r>
        <w:lastRenderedPageBreak/>
        <w:t>Summary</w:t>
      </w:r>
      <w:bookmarkEnd w:id="6"/>
      <w:bookmarkEnd w:id="7"/>
    </w:p>
    <w:p w:rsidR="00075779" w:rsidRPr="00B871E4" w:rsidRDefault="0004665B" w:rsidP="00075779">
      <w:r>
        <w:t xml:space="preserve">On 27 April 2017, </w:t>
      </w:r>
      <w:r w:rsidR="00075779">
        <w:t xml:space="preserve">SA Power Networks applied to the AER for </w:t>
      </w:r>
      <w:r w:rsidR="00AE5073">
        <w:t xml:space="preserve">a </w:t>
      </w:r>
      <w:r>
        <w:t>waiver</w:t>
      </w:r>
      <w:r w:rsidR="00AE5073">
        <w:t xml:space="preserve"> of the </w:t>
      </w:r>
      <w:r w:rsidR="00075779">
        <w:t>l</w:t>
      </w:r>
      <w:r w:rsidR="00075779" w:rsidRPr="00B871E4">
        <w:t xml:space="preserve">egal separation obligations listed in </w:t>
      </w:r>
      <w:r w:rsidR="00AE5073">
        <w:t xml:space="preserve">clause </w:t>
      </w:r>
      <w:r w:rsidR="00075779" w:rsidRPr="00B871E4">
        <w:t>3.1 and</w:t>
      </w:r>
      <w:r w:rsidR="00075779">
        <w:t xml:space="preserve"> the f</w:t>
      </w:r>
      <w:r w:rsidR="00075779" w:rsidRPr="00B871E4">
        <w:t xml:space="preserve">unctional separation obligations listed in </w:t>
      </w:r>
      <w:r w:rsidR="00AE5073">
        <w:t xml:space="preserve">clause </w:t>
      </w:r>
      <w:r w:rsidR="00075779">
        <w:t xml:space="preserve">4 of </w:t>
      </w:r>
      <w:r w:rsidR="00231FBB">
        <w:t xml:space="preserve">the </w:t>
      </w:r>
      <w:r w:rsidR="00D641D8">
        <w:t xml:space="preserve">AER's Electricity Distribution Ring-fencing </w:t>
      </w:r>
      <w:r w:rsidR="00231FBB">
        <w:t>Guideline</w:t>
      </w:r>
      <w:r w:rsidR="00075779">
        <w:t xml:space="preserve">. </w:t>
      </w:r>
    </w:p>
    <w:p w:rsidR="00C50247" w:rsidRDefault="00753759" w:rsidP="00075779">
      <w:r>
        <w:t>S</w:t>
      </w:r>
      <w:r w:rsidR="00594862">
        <w:t>A</w:t>
      </w:r>
      <w:r>
        <w:t xml:space="preserve"> Power Networks </w:t>
      </w:r>
      <w:r w:rsidR="00075779">
        <w:t xml:space="preserve">seeks </w:t>
      </w:r>
      <w:r w:rsidR="00AF327D">
        <w:t xml:space="preserve">this </w:t>
      </w:r>
      <w:r w:rsidR="00075779">
        <w:t>waiver</w:t>
      </w:r>
      <w:r w:rsidR="00E54481">
        <w:t xml:space="preserve"> </w:t>
      </w:r>
      <w:r w:rsidR="00D641D8">
        <w:t xml:space="preserve">until 1 June 2020 </w:t>
      </w:r>
      <w:r w:rsidR="00075779">
        <w:t>to enable it to design, construct, commission, connect and operate 200MW</w:t>
      </w:r>
      <w:r w:rsidR="000765F2">
        <w:t xml:space="preserve"> of temporary generation from 1 </w:t>
      </w:r>
      <w:r w:rsidR="00075779">
        <w:t xml:space="preserve">December 2017, as requested by the South Australian Government. </w:t>
      </w:r>
      <w:r w:rsidR="00A81D6D">
        <w:t xml:space="preserve">Without a waiver, SA Power Networks is likely to </w:t>
      </w:r>
      <w:r w:rsidR="006D77DE">
        <w:t>be in breach of the Guideline</w:t>
      </w:r>
      <w:r w:rsidR="00D641D8">
        <w:t xml:space="preserve"> during this period</w:t>
      </w:r>
      <w:r w:rsidR="006D77DE">
        <w:t xml:space="preserve">. </w:t>
      </w:r>
    </w:p>
    <w:p w:rsidR="00075779" w:rsidRDefault="00075779" w:rsidP="00075779">
      <w:r>
        <w:t>The temporary generation would assist the SA Government to manage energy security risks</w:t>
      </w:r>
      <w:r w:rsidRPr="003F12FA">
        <w:t xml:space="preserve"> </w:t>
      </w:r>
      <w:r>
        <w:t>facing ener</w:t>
      </w:r>
      <w:r w:rsidR="00231FBB">
        <w:t>gy consumers in South Australia</w:t>
      </w:r>
      <w:r>
        <w:t xml:space="preserve"> until it has built its own</w:t>
      </w:r>
      <w:r w:rsidR="00231FBB">
        <w:t xml:space="preserve"> permanent</w:t>
      </w:r>
      <w:r>
        <w:t xml:space="preserve"> 250MW gas-fired electricity generator. </w:t>
      </w:r>
      <w:r w:rsidR="00AF327D">
        <w:t>SA Power Networks submits t</w:t>
      </w:r>
      <w:r w:rsidR="00795D64">
        <w:t>he</w:t>
      </w:r>
      <w:r>
        <w:t xml:space="preserve"> temporary generation will be used solely for the purpose of avoiding load shedding for NEM operational purposes when there is no alternative generation available, and only at the direction of </w:t>
      </w:r>
      <w:r w:rsidR="00231FBB">
        <w:t>AEMO or the South Australian</w:t>
      </w:r>
      <w:r w:rsidR="00795D64">
        <w:t xml:space="preserve"> Energy Minister. The SA Government will bear all costs </w:t>
      </w:r>
      <w:r w:rsidR="00231FBB">
        <w:t>from</w:t>
      </w:r>
      <w:r w:rsidR="00795D64">
        <w:t xml:space="preserve"> the project and will also receive any market revenues from </w:t>
      </w:r>
      <w:r w:rsidR="00594862">
        <w:t>providing</w:t>
      </w:r>
      <w:r w:rsidR="00795D64">
        <w:t xml:space="preserve"> the generation. </w:t>
      </w:r>
      <w:r>
        <w:t xml:space="preserve">Once the 250MW generator is operational, </w:t>
      </w:r>
      <w:r w:rsidR="00753759">
        <w:t xml:space="preserve">SA Power Networks </w:t>
      </w:r>
      <w:r>
        <w:t xml:space="preserve">will decommission the temporary generation. </w:t>
      </w:r>
    </w:p>
    <w:p w:rsidR="00DD2A72" w:rsidRDefault="00231FBB" w:rsidP="0004665B">
      <w:r>
        <w:t xml:space="preserve">Clause 5.3.1 of the Guideline provides that </w:t>
      </w:r>
      <w:r w:rsidR="00CC35FD">
        <w:t>the AER</w:t>
      </w:r>
      <w:r w:rsidR="00CC35FD" w:rsidRPr="00686C90">
        <w:t xml:space="preserve"> </w:t>
      </w:r>
      <w:r w:rsidR="00CC35FD">
        <w:t xml:space="preserve">may waive </w:t>
      </w:r>
      <w:r>
        <w:t>a DNSP's</w:t>
      </w:r>
      <w:r w:rsidR="00CC35FD">
        <w:t xml:space="preserve"> obligations under clause</w:t>
      </w:r>
      <w:r>
        <w:t>s</w:t>
      </w:r>
      <w:r w:rsidR="00CC35FD">
        <w:t xml:space="preserve"> 3.1, 4.2 </w:t>
      </w:r>
      <w:r>
        <w:t>and/</w:t>
      </w:r>
      <w:r w:rsidR="00CC35FD">
        <w:t>or 4.4.1(a) of the Guideline</w:t>
      </w:r>
      <w:r w:rsidR="00CC35FD" w:rsidRPr="00686C90">
        <w:t xml:space="preserve"> subject to any conditions the AER considers appropriate</w:t>
      </w:r>
      <w:r w:rsidR="00CC35FD">
        <w:t>)</w:t>
      </w:r>
      <w:r w:rsidR="00594862">
        <w:t>. In deciding whether t</w:t>
      </w:r>
      <w:r w:rsidR="0055337A">
        <w:t xml:space="preserve">o grant </w:t>
      </w:r>
      <w:r w:rsidR="00594862">
        <w:t>a waiver, we must have</w:t>
      </w:r>
      <w:r w:rsidR="00CC35FD">
        <w:t xml:space="preserve"> regard to the </w:t>
      </w:r>
      <w:r>
        <w:t>factors</w:t>
      </w:r>
      <w:r w:rsidR="00CC35FD">
        <w:t xml:space="preserve"> at clause 5.3.2 of the Guideline. </w:t>
      </w:r>
      <w:r w:rsidR="00DD2A72">
        <w:t xml:space="preserve">The waiver sought by </w:t>
      </w:r>
      <w:r w:rsidR="00753759">
        <w:t xml:space="preserve">SA Power Networks </w:t>
      </w:r>
      <w:r w:rsidR="00DD2A72">
        <w:t>relate</w:t>
      </w:r>
      <w:r w:rsidR="00B61642">
        <w:t>s</w:t>
      </w:r>
      <w:r w:rsidR="00DD2A72">
        <w:t xml:space="preserve"> to obligations </w:t>
      </w:r>
      <w:r w:rsidR="00E2628E">
        <w:t>regarding:</w:t>
      </w:r>
    </w:p>
    <w:p w:rsidR="00E2628E" w:rsidRDefault="00E2628E" w:rsidP="00E2628E">
      <w:pPr>
        <w:pStyle w:val="Bulletpoint"/>
      </w:pPr>
      <w:r>
        <w:t>legal separation</w:t>
      </w:r>
    </w:p>
    <w:p w:rsidR="00E2628E" w:rsidRDefault="00E2628E" w:rsidP="00E2628E">
      <w:pPr>
        <w:pStyle w:val="Bulletpoint"/>
      </w:pPr>
      <w:r>
        <w:t>physical separation, staff separation, branding and cross-promotion and office and staff registers, and</w:t>
      </w:r>
    </w:p>
    <w:p w:rsidR="00E2628E" w:rsidRDefault="00E2628E" w:rsidP="00E2628E">
      <w:pPr>
        <w:pStyle w:val="Bulletpoint"/>
      </w:pPr>
      <w:r>
        <w:t xml:space="preserve">ensuring that any new or varied agreement between the DNSP and a service provider requires that service provider to comply with the relevant clauses of the Guideline. </w:t>
      </w:r>
    </w:p>
    <w:p w:rsidR="00E17FF8" w:rsidRPr="00E17FF8" w:rsidRDefault="00E17FF8" w:rsidP="00E17FF8">
      <w:pPr>
        <w:pStyle w:val="Bulletpoint"/>
        <w:numPr>
          <w:ilvl w:val="0"/>
          <w:numId w:val="0"/>
        </w:numPr>
      </w:pPr>
      <w:r w:rsidRPr="00E17FF8">
        <w:t>SA Power Networks requested the AER grant an interim waiver to enable it to meet the SA Government's target date for operation of the temporary generation</w:t>
      </w:r>
      <w:r w:rsidR="0092599A">
        <w:t xml:space="preserve"> of 1 December 2017</w:t>
      </w:r>
      <w:r w:rsidRPr="00E17FF8">
        <w:t xml:space="preserve">. We are satisfied an interim waiver is not required because SA Power Networks is unlikely to be in breach of the Guideline until the temporary generators are </w:t>
      </w:r>
      <w:r>
        <w:t xml:space="preserve">operational. </w:t>
      </w:r>
      <w:r w:rsidR="00D641D8">
        <w:t>Instead, w</w:t>
      </w:r>
      <w:r w:rsidRPr="00E17FF8">
        <w:t xml:space="preserve">e consider </w:t>
      </w:r>
      <w:r w:rsidR="008E4CF1">
        <w:t xml:space="preserve">that </w:t>
      </w:r>
      <w:r w:rsidR="00D641D8">
        <w:t>a</w:t>
      </w:r>
      <w:r w:rsidRPr="00E17FF8">
        <w:t xml:space="preserve"> standard waiver process is appropriate </w:t>
      </w:r>
      <w:r w:rsidR="00D641D8">
        <w:t>in</w:t>
      </w:r>
      <w:r w:rsidRPr="00E17FF8">
        <w:t xml:space="preserve"> this </w:t>
      </w:r>
      <w:r w:rsidR="00D641D8">
        <w:t>instance as this would permit time for consultation with stakeholders</w:t>
      </w:r>
      <w:r w:rsidRPr="00E17FF8">
        <w:t xml:space="preserve">. </w:t>
      </w:r>
      <w:r w:rsidR="00D641D8">
        <w:t>Nevertheless, we are expediting our</w:t>
      </w:r>
      <w:r w:rsidRPr="00E17FF8">
        <w:t xml:space="preserve"> </w:t>
      </w:r>
      <w:r w:rsidR="00D641D8">
        <w:t>consultation</w:t>
      </w:r>
      <w:r w:rsidRPr="00E17FF8">
        <w:t xml:space="preserve"> process </w:t>
      </w:r>
      <w:r w:rsidR="00D641D8">
        <w:t>to</w:t>
      </w:r>
      <w:r w:rsidRPr="00E17FF8">
        <w:t xml:space="preserve"> assist SA Power Networks </w:t>
      </w:r>
      <w:r w:rsidR="00D641D8">
        <w:t xml:space="preserve">to </w:t>
      </w:r>
      <w:r w:rsidRPr="00E17FF8">
        <w:t xml:space="preserve">enter into </w:t>
      </w:r>
      <w:r w:rsidR="00D641D8">
        <w:t>contracts</w:t>
      </w:r>
      <w:r w:rsidRPr="00E17FF8">
        <w:t xml:space="preserve"> and other arrangements necessary to progress the development of the temporary generation service</w:t>
      </w:r>
      <w:r w:rsidR="00D641D8">
        <w:t xml:space="preserve"> by 1 December this year</w:t>
      </w:r>
      <w:r w:rsidRPr="00E17FF8">
        <w:t>.</w:t>
      </w:r>
      <w:r>
        <w:t xml:space="preserve"> </w:t>
      </w:r>
    </w:p>
    <w:p w:rsidR="00CA6F03" w:rsidRPr="00CA6F03" w:rsidRDefault="00CA6F03" w:rsidP="0021402A">
      <w:pPr>
        <w:pStyle w:val="Bulletpoint"/>
        <w:numPr>
          <w:ilvl w:val="0"/>
          <w:numId w:val="0"/>
        </w:numPr>
      </w:pPr>
      <w:r w:rsidRPr="00CA6F03">
        <w:t xml:space="preserve">On the basis of SA Power Networks' application and information, including from the South Australian Government about the temporary generation project, our preliminary </w:t>
      </w:r>
      <w:r w:rsidRPr="00CA6F03">
        <w:lastRenderedPageBreak/>
        <w:t xml:space="preserve">view is </w:t>
      </w:r>
      <w:r w:rsidR="000765F2">
        <w:t>to grant</w:t>
      </w:r>
      <w:r w:rsidR="00C62CA2">
        <w:t xml:space="preserve"> </w:t>
      </w:r>
      <w:r w:rsidR="00D641D8">
        <w:t>the waiver SA power Network is seeking. G</w:t>
      </w:r>
      <w:r w:rsidR="00E2573D">
        <w:t>ranting</w:t>
      </w:r>
      <w:r w:rsidRPr="00CA6F03">
        <w:t xml:space="preserve"> the waiver </w:t>
      </w:r>
      <w:r w:rsidR="00E2573D">
        <w:t xml:space="preserve">is </w:t>
      </w:r>
      <w:r w:rsidRPr="00CA6F03">
        <w:t xml:space="preserve">likely to advance the National Electricity Objective by providing greater reliability and security of electricity supply for South Australian electricity customers, until the permanent generation becomes operational. </w:t>
      </w:r>
    </w:p>
    <w:p w:rsidR="0021402A" w:rsidRPr="0021402A" w:rsidRDefault="00E2573D" w:rsidP="0021402A">
      <w:r>
        <w:t xml:space="preserve">The waiver </w:t>
      </w:r>
      <w:r w:rsidR="00C62CA2">
        <w:t xml:space="preserve">only applies where the </w:t>
      </w:r>
      <w:r w:rsidR="0021402A" w:rsidRPr="0021402A">
        <w:t xml:space="preserve">generation capacity </w:t>
      </w:r>
      <w:r w:rsidR="000765F2" w:rsidRPr="0021402A">
        <w:t>is operated</w:t>
      </w:r>
      <w:r w:rsidR="0021402A" w:rsidRPr="0021402A">
        <w:t xml:space="preserve"> in the way specified by </w:t>
      </w:r>
      <w:r w:rsidR="0021402A">
        <w:t>SA Power Networks</w:t>
      </w:r>
      <w:r w:rsidR="000765F2">
        <w:t xml:space="preserve"> in its application. </w:t>
      </w:r>
      <w:r w:rsidR="0021402A" w:rsidRPr="0021402A">
        <w:t>That is:</w:t>
      </w:r>
    </w:p>
    <w:p w:rsidR="0021402A" w:rsidRPr="0021402A" w:rsidRDefault="0021402A" w:rsidP="0021402A">
      <w:pPr>
        <w:pStyle w:val="Bulletpoint"/>
      </w:pPr>
      <w:r w:rsidRPr="0021402A">
        <w:t xml:space="preserve">it is utilised for the purpose of avoiding load shedding for NEM operational purposes when there is no alternative generation available </w:t>
      </w:r>
    </w:p>
    <w:p w:rsidR="00C50247" w:rsidRDefault="0021402A" w:rsidP="0021402A">
      <w:pPr>
        <w:pStyle w:val="Bulletpoint"/>
      </w:pPr>
      <w:r w:rsidRPr="0021402A">
        <w:t>is only utilised at the direction of AEMO or the South Australian Energy Minister</w:t>
      </w:r>
      <w:r w:rsidR="00C50247">
        <w:t>, and</w:t>
      </w:r>
    </w:p>
    <w:p w:rsidR="0021402A" w:rsidRPr="0021402A" w:rsidRDefault="00C50247" w:rsidP="0021402A">
      <w:pPr>
        <w:pStyle w:val="Bulletpoint"/>
      </w:pPr>
      <w:r>
        <w:t>is fully funded by the SA Government, who also receives all revenues from the project</w:t>
      </w:r>
      <w:r w:rsidR="00E2573D">
        <w:t>.</w:t>
      </w:r>
      <w:r w:rsidR="0021402A" w:rsidRPr="0021402A">
        <w:t xml:space="preserve"> </w:t>
      </w:r>
    </w:p>
    <w:p w:rsidR="0021402A" w:rsidRPr="0021402A" w:rsidRDefault="0021402A" w:rsidP="0021402A">
      <w:r w:rsidRPr="0021402A">
        <w:t xml:space="preserve">If </w:t>
      </w:r>
      <w:r w:rsidR="00C62CA2">
        <w:t>the generation capacity is operated in this way</w:t>
      </w:r>
      <w:r w:rsidRPr="0021402A">
        <w:t>, the expected benefit is likely to outweigh any detriments from granting the waive</w:t>
      </w:r>
      <w:r>
        <w:t>r</w:t>
      </w:r>
      <w:r w:rsidRPr="0021402A">
        <w:t xml:space="preserve">. </w:t>
      </w:r>
    </w:p>
    <w:p w:rsidR="0004665B" w:rsidRDefault="00CC35FD" w:rsidP="0004665B">
      <w:r>
        <w:t>T</w:t>
      </w:r>
      <w:r w:rsidR="0004665B">
        <w:t xml:space="preserve">he AER proposes to grant </w:t>
      </w:r>
      <w:r w:rsidR="00753759">
        <w:t xml:space="preserve">SA Power Networks </w:t>
      </w:r>
      <w:r w:rsidR="0021402A">
        <w:t>a waiver</w:t>
      </w:r>
      <w:r w:rsidR="0004665B">
        <w:t xml:space="preserve"> only:</w:t>
      </w:r>
    </w:p>
    <w:p w:rsidR="0004665B" w:rsidRDefault="0004665B" w:rsidP="0004665B">
      <w:pPr>
        <w:pStyle w:val="Bulletpoint"/>
      </w:pPr>
      <w:r>
        <w:t>from</w:t>
      </w:r>
      <w:r w:rsidR="0021402A">
        <w:t xml:space="preserve"> its obligations under</w:t>
      </w:r>
      <w:r>
        <w:t xml:space="preserve"> clauses 3.1, 4.2 and 4.4.1(a) of the Guideline</w:t>
      </w:r>
    </w:p>
    <w:p w:rsidR="0004665B" w:rsidRDefault="0004665B" w:rsidP="0004665B">
      <w:pPr>
        <w:pStyle w:val="Bulletpoint"/>
      </w:pPr>
      <w:r>
        <w:t>in respect of the temporary generation project</w:t>
      </w:r>
    </w:p>
    <w:p w:rsidR="0004665B" w:rsidRDefault="0004665B" w:rsidP="0004665B">
      <w:pPr>
        <w:pStyle w:val="Bulletpoint"/>
      </w:pPr>
      <w:r>
        <w:t>until 1 June 2020.</w:t>
      </w:r>
    </w:p>
    <w:p w:rsidR="0013432D" w:rsidRDefault="0004665B" w:rsidP="0020492C">
      <w:pPr>
        <w:sectPr w:rsidR="0013432D" w:rsidSect="007A4D1F">
          <w:footerReference w:type="default" r:id="rId12"/>
          <w:pgSz w:w="11906" w:h="16838" w:code="9"/>
          <w:pgMar w:top="1440" w:right="1700" w:bottom="1582" w:left="1729" w:header="720" w:footer="1009" w:gutter="0"/>
          <w:pgNumType w:fmt="lowerRoman"/>
          <w:cols w:space="720"/>
          <w:docGrid w:linePitch="326"/>
        </w:sectPr>
      </w:pPr>
      <w:r>
        <w:t xml:space="preserve">We now invite submissions </w:t>
      </w:r>
      <w:r w:rsidR="00231FBB">
        <w:t xml:space="preserve">in relation to this draft decision </w:t>
      </w:r>
      <w:r>
        <w:t xml:space="preserve">from interested parties </w:t>
      </w:r>
      <w:r w:rsidR="00CC35FD">
        <w:t xml:space="preserve">for consideration in forming our final decision. </w:t>
      </w:r>
    </w:p>
    <w:p w:rsidR="0013432D" w:rsidRDefault="00BE717E" w:rsidP="00562632">
      <w:pPr>
        <w:pStyle w:val="Heading1"/>
      </w:pPr>
      <w:bookmarkStart w:id="8" w:name="_Toc481747790"/>
      <w:bookmarkStart w:id="9" w:name="_Toc483569688"/>
      <w:bookmarkEnd w:id="2"/>
      <w:r>
        <w:lastRenderedPageBreak/>
        <w:t xml:space="preserve">AER </w:t>
      </w:r>
      <w:r w:rsidR="0013432D">
        <w:t xml:space="preserve">Ring-fencing </w:t>
      </w:r>
      <w:r>
        <w:t>G</w:t>
      </w:r>
      <w:r w:rsidR="0013432D">
        <w:t>uideline</w:t>
      </w:r>
      <w:bookmarkEnd w:id="8"/>
      <w:bookmarkEnd w:id="9"/>
    </w:p>
    <w:p w:rsidR="00B21984" w:rsidRDefault="006A29CA" w:rsidP="00EA33AB">
      <w:bookmarkStart w:id="10" w:name="_Toc481747792"/>
      <w:r>
        <w:t>R</w:t>
      </w:r>
      <w:r w:rsidRPr="00047475">
        <w:t xml:space="preserve">ing-fencing </w:t>
      </w:r>
      <w:r w:rsidR="00ED5B10">
        <w:t>separates</w:t>
      </w:r>
      <w:r w:rsidRPr="00047475">
        <w:t xml:space="preserve"> the regulated </w:t>
      </w:r>
      <w:r w:rsidR="00E7602F" w:rsidRPr="00047475">
        <w:t xml:space="preserve">and </w:t>
      </w:r>
      <w:r w:rsidR="00E7602F">
        <w:t xml:space="preserve">contestable </w:t>
      </w:r>
      <w:r w:rsidRPr="00047475">
        <w:t xml:space="preserve">parts of </w:t>
      </w:r>
      <w:r w:rsidR="00ED5B10">
        <w:t>an electricity distribution network service provider's (</w:t>
      </w:r>
      <w:r w:rsidR="00ED5B10" w:rsidRPr="00737EF2">
        <w:rPr>
          <w:rStyle w:val="Strong"/>
        </w:rPr>
        <w:t>DNSP</w:t>
      </w:r>
      <w:r w:rsidR="00ED5B10">
        <w:rPr>
          <w:rStyle w:val="Strong"/>
        </w:rPr>
        <w:t>'s</w:t>
      </w:r>
      <w:r w:rsidR="00ED5B10">
        <w:t>)</w:t>
      </w:r>
      <w:r w:rsidR="00DB49BE">
        <w:t xml:space="preserve"> </w:t>
      </w:r>
      <w:r w:rsidRPr="00047475">
        <w:t>network business</w:t>
      </w:r>
      <w:r w:rsidR="00B21984">
        <w:t xml:space="preserve"> via legal separation and functional separation obligations. </w:t>
      </w:r>
      <w:r w:rsidR="00201765">
        <w:t xml:space="preserve">Without ring-fencing, there is a risk that </w:t>
      </w:r>
      <w:r w:rsidR="00760C41">
        <w:t xml:space="preserve">a DNSP </w:t>
      </w:r>
      <w:r w:rsidR="00201765">
        <w:t xml:space="preserve">might </w:t>
      </w:r>
      <w:r w:rsidR="00760C41">
        <w:t>cross-subsidis</w:t>
      </w:r>
      <w:r w:rsidR="00201765">
        <w:t>e</w:t>
      </w:r>
      <w:r w:rsidR="00760C41">
        <w:t xml:space="preserve"> </w:t>
      </w:r>
      <w:r w:rsidR="004A7489">
        <w:t>unregulated electricity</w:t>
      </w:r>
      <w:r w:rsidR="00760C41">
        <w:t xml:space="preserve"> services with revenue earned from provision of distribution (and transmission) services. </w:t>
      </w:r>
      <w:r w:rsidR="00201765">
        <w:t>There is also a</w:t>
      </w:r>
      <w:r w:rsidR="00760C41">
        <w:t xml:space="preserve"> risk </w:t>
      </w:r>
      <w:r w:rsidR="00201765">
        <w:t>that</w:t>
      </w:r>
      <w:r w:rsidR="00760C41">
        <w:t xml:space="preserve"> a DNSP </w:t>
      </w:r>
      <w:r w:rsidR="00201765">
        <w:t xml:space="preserve">might </w:t>
      </w:r>
      <w:r w:rsidR="00760C41">
        <w:t>discriminat</w:t>
      </w:r>
      <w:r w:rsidR="00201765">
        <w:t>e</w:t>
      </w:r>
      <w:r w:rsidR="00064472">
        <w:t xml:space="preserve"> in contestable markets</w:t>
      </w:r>
      <w:r w:rsidR="00201765">
        <w:t xml:space="preserve"> </w:t>
      </w:r>
      <w:r w:rsidR="00760C41">
        <w:t>i</w:t>
      </w:r>
      <w:r w:rsidR="00555C5C">
        <w:t>n favour of its own negotiat</w:t>
      </w:r>
      <w:r w:rsidR="00064472">
        <w:t>ed service,</w:t>
      </w:r>
      <w:r w:rsidR="00760C41">
        <w:t xml:space="preserve"> other distribution services</w:t>
      </w:r>
      <w:r w:rsidR="00064472">
        <w:t>,</w:t>
      </w:r>
      <w:r w:rsidR="00760C41">
        <w:t xml:space="preserve"> or an affiliated entity's other electricity services</w:t>
      </w:r>
      <w:r w:rsidR="00201765">
        <w:t xml:space="preserve">. </w:t>
      </w:r>
      <w:r w:rsidR="00064472">
        <w:t>Such outcomes</w:t>
      </w:r>
      <w:r w:rsidR="00E7602F">
        <w:t xml:space="preserve"> could lead to less efficient prices for operation and use of both regulated and contestable electricity services</w:t>
      </w:r>
      <w:r w:rsidR="00E7602F" w:rsidRPr="004A7489">
        <w:t xml:space="preserve"> </w:t>
      </w:r>
      <w:r w:rsidR="00E7602F">
        <w:t>and restrict</w:t>
      </w:r>
      <w:r w:rsidR="000671AC">
        <w:t xml:space="preserve"> </w:t>
      </w:r>
      <w:r w:rsidR="00E7602F">
        <w:t>the</w:t>
      </w:r>
      <w:r w:rsidR="00E7602F" w:rsidRPr="004A7489">
        <w:t xml:space="preserve"> development of competiti</w:t>
      </w:r>
      <w:r w:rsidR="00DD2A72">
        <w:t>on</w:t>
      </w:r>
      <w:r w:rsidR="00E7602F" w:rsidRPr="004A7489">
        <w:t xml:space="preserve"> </w:t>
      </w:r>
      <w:r w:rsidR="00E7602F">
        <w:t xml:space="preserve">in contestable </w:t>
      </w:r>
      <w:r w:rsidR="00E7602F" w:rsidRPr="004A7489">
        <w:t>markets</w:t>
      </w:r>
      <w:r w:rsidR="00E7602F">
        <w:t xml:space="preserve">. </w:t>
      </w:r>
    </w:p>
    <w:p w:rsidR="004A7489" w:rsidRDefault="00E7602F" w:rsidP="00EA33AB">
      <w:r>
        <w:t>In this way,</w:t>
      </w:r>
      <w:r w:rsidR="004A7489">
        <w:t xml:space="preserve"> </w:t>
      </w:r>
      <w:r>
        <w:t xml:space="preserve">ring-fencing aims to achieve the </w:t>
      </w:r>
      <w:r w:rsidR="004A7489">
        <w:t>National Electricity Objective</w:t>
      </w:r>
      <w:r w:rsidR="004A7489" w:rsidRPr="004A7489">
        <w:t xml:space="preserve"> </w:t>
      </w:r>
      <w:r w:rsidR="00737EF2">
        <w:t>(</w:t>
      </w:r>
      <w:r w:rsidR="00737EF2" w:rsidRPr="00737EF2">
        <w:rPr>
          <w:rStyle w:val="Strong"/>
        </w:rPr>
        <w:t>NEO</w:t>
      </w:r>
      <w:r w:rsidR="00737EF2">
        <w:t xml:space="preserve">) </w:t>
      </w:r>
      <w:r>
        <w:t>of promoting</w:t>
      </w:r>
      <w:r w:rsidR="004A7489" w:rsidRPr="004A7489">
        <w:t xml:space="preserve"> efficient investment in, and efficient operation and use of, electricity services for the long-term interests of consumers of electricity with respect to price, quality, safety, reliability, and security of supply of electricity</w:t>
      </w:r>
      <w:r w:rsidR="000671AC">
        <w:t>,</w:t>
      </w:r>
      <w:r w:rsidR="004A7489" w:rsidRPr="004A7489">
        <w:t xml:space="preserve"> and the reliability, safety and security of the national electricity system.</w:t>
      </w:r>
    </w:p>
    <w:bookmarkEnd w:id="10"/>
    <w:p w:rsidR="0013432D" w:rsidRDefault="00047475" w:rsidP="0013432D">
      <w:r>
        <w:t xml:space="preserve">The AER published its Electricity Distribution Ring-fencing Guideline </w:t>
      </w:r>
      <w:r w:rsidR="00DD2A72">
        <w:t xml:space="preserve">(the Guideline) </w:t>
      </w:r>
      <w:r>
        <w:t>on 30</w:t>
      </w:r>
      <w:r w:rsidR="00E2573D">
        <w:t> </w:t>
      </w:r>
      <w:r>
        <w:t>November 201</w:t>
      </w:r>
      <w:r w:rsidR="00E76B37">
        <w:t>6</w:t>
      </w:r>
      <w:r>
        <w:t>. Th</w:t>
      </w:r>
      <w:r w:rsidR="00DD2A72">
        <w:t>e</w:t>
      </w:r>
      <w:r>
        <w:t xml:space="preserve"> Guideline became effective across the National Electricity Market </w:t>
      </w:r>
      <w:r w:rsidR="00737EF2">
        <w:t>(</w:t>
      </w:r>
      <w:r w:rsidR="00737EF2" w:rsidRPr="00737EF2">
        <w:rPr>
          <w:rStyle w:val="Strong"/>
        </w:rPr>
        <w:t>NEM</w:t>
      </w:r>
      <w:r w:rsidR="00737EF2">
        <w:t>) on 1 </w:t>
      </w:r>
      <w:r>
        <w:t>December 2016</w:t>
      </w:r>
      <w:r w:rsidR="00E76B37">
        <w:t>, replacing jurisdictional ring-fencing guidelines</w:t>
      </w:r>
      <w:r>
        <w:t>.</w:t>
      </w:r>
      <w:r w:rsidR="00555C5C">
        <w:rPr>
          <w:rStyle w:val="FootnoteReference"/>
        </w:rPr>
        <w:footnoteReference w:id="2"/>
      </w:r>
      <w:r>
        <w:t xml:space="preserve"> </w:t>
      </w:r>
      <w:r w:rsidR="00DC3579">
        <w:t>Each DNSP must comply with all of the obligations of the Guideline as soon as reasonably practical and by no later than 1 January 2018</w:t>
      </w:r>
      <w:r w:rsidR="00431260">
        <w:t xml:space="preserve">. The period from commencement of the Guideline until </w:t>
      </w:r>
      <w:r w:rsidR="002F19CB">
        <w:t>the compliance deadline</w:t>
      </w:r>
      <w:r w:rsidR="00F15750">
        <w:t xml:space="preserve"> </w:t>
      </w:r>
      <w:r w:rsidR="00DD2A72">
        <w:t>is</w:t>
      </w:r>
      <w:r w:rsidR="00431260">
        <w:t xml:space="preserve"> considered </w:t>
      </w:r>
      <w:r w:rsidR="00E7602F">
        <w:t>a transition</w:t>
      </w:r>
      <w:r w:rsidR="00431260">
        <w:t xml:space="preserve"> period</w:t>
      </w:r>
      <w:r w:rsidR="00E76B37">
        <w:t>,</w:t>
      </w:r>
      <w:r w:rsidR="00431260">
        <w:t xml:space="preserve"> during which </w:t>
      </w:r>
      <w:r w:rsidR="002F19CB">
        <w:t xml:space="preserve">DNSPs </w:t>
      </w:r>
      <w:r w:rsidR="00594862">
        <w:t xml:space="preserve">are </w:t>
      </w:r>
      <w:r w:rsidR="002F19CB">
        <w:t xml:space="preserve">expected to design and implement their compliance plans and engage with the AER on their progress. </w:t>
      </w:r>
    </w:p>
    <w:p w:rsidR="0013432D" w:rsidRDefault="0013432D" w:rsidP="0013432D">
      <w:pPr>
        <w:pStyle w:val="Heading2"/>
      </w:pPr>
      <w:bookmarkStart w:id="11" w:name="_Toc481747793"/>
      <w:bookmarkStart w:id="12" w:name="_Toc483569689"/>
      <w:r>
        <w:t>Waiver process</w:t>
      </w:r>
      <w:bookmarkEnd w:id="11"/>
      <w:bookmarkEnd w:id="12"/>
    </w:p>
    <w:p w:rsidR="00E2628E" w:rsidRDefault="00431260" w:rsidP="00FB0BC7">
      <w:r>
        <w:t>Clause 5.2 of the Guideline states that a</w:t>
      </w:r>
      <w:r w:rsidR="00FB0BC7" w:rsidRPr="00FB0BC7">
        <w:t xml:space="preserve"> DNSP may apply in writing to the AER for a waiver of its obligations under clauses 3.1, 4.2 and / or 4.4.1(a) of th</w:t>
      </w:r>
      <w:r w:rsidR="00DD2A72">
        <w:t>e</w:t>
      </w:r>
      <w:r w:rsidR="00FB0BC7" w:rsidRPr="00FB0BC7">
        <w:t xml:space="preserve"> Guideline</w:t>
      </w:r>
      <w:r w:rsidR="00E2628E">
        <w:t xml:space="preserve"> regarding: </w:t>
      </w:r>
    </w:p>
    <w:p w:rsidR="00E2628E" w:rsidRDefault="00E2628E" w:rsidP="00E2628E">
      <w:pPr>
        <w:pStyle w:val="Bulletpoint"/>
      </w:pPr>
      <w:r>
        <w:t>legal separation</w:t>
      </w:r>
    </w:p>
    <w:p w:rsidR="00E2628E" w:rsidRDefault="00E2628E" w:rsidP="00E2628E">
      <w:pPr>
        <w:pStyle w:val="Bulletpoint"/>
      </w:pPr>
      <w:r>
        <w:t>physical separation, staff separation, branding and cross-promotion and office and staff registers, and</w:t>
      </w:r>
    </w:p>
    <w:p w:rsidR="00E2628E" w:rsidRDefault="00E2628E" w:rsidP="00E2628E">
      <w:pPr>
        <w:pStyle w:val="Bulletpoint"/>
      </w:pPr>
      <w:r>
        <w:t xml:space="preserve">ensuring that any new or varied agreement between the DNSP and a service provider requires that service provider to comply with the relevant clauses of the Guideline. </w:t>
      </w:r>
    </w:p>
    <w:p w:rsidR="00431260" w:rsidRDefault="00AE5073" w:rsidP="00FB0BC7">
      <w:r>
        <w:t>A DNSP may apply</w:t>
      </w:r>
      <w:r w:rsidR="00E2573D">
        <w:t xml:space="preserve"> on</w:t>
      </w:r>
      <w:r w:rsidR="00FB0BC7" w:rsidRPr="00FB0BC7">
        <w:t xml:space="preserve"> its own behalf or on behalf of itself and one or more other DNSPs who are affiliated entities of the DNSP. </w:t>
      </w:r>
    </w:p>
    <w:p w:rsidR="00FB0BC7" w:rsidRPr="00FB0BC7" w:rsidRDefault="008559B5" w:rsidP="00FB0BC7">
      <w:r>
        <w:t xml:space="preserve">Upon </w:t>
      </w:r>
      <w:r w:rsidR="003C2196">
        <w:t>receiving</w:t>
      </w:r>
      <w:r>
        <w:t xml:space="preserve"> a </w:t>
      </w:r>
      <w:r w:rsidR="003C2196" w:rsidRPr="003C2196">
        <w:t xml:space="preserve">DNSP's </w:t>
      </w:r>
      <w:r>
        <w:t xml:space="preserve">waiver application, </w:t>
      </w:r>
      <w:r w:rsidR="00E76B37">
        <w:t xml:space="preserve">the AER </w:t>
      </w:r>
      <w:r>
        <w:t xml:space="preserve">will check that it </w:t>
      </w:r>
      <w:r w:rsidR="00FB0BC7" w:rsidRPr="00FB0BC7">
        <w:t>contain</w:t>
      </w:r>
      <w:r>
        <w:t>s</w:t>
      </w:r>
      <w:r w:rsidR="00FB0BC7" w:rsidRPr="00FB0BC7">
        <w:t xml:space="preserve"> all </w:t>
      </w:r>
      <w:r w:rsidR="003C2196">
        <w:t xml:space="preserve">the </w:t>
      </w:r>
      <w:r w:rsidR="00FB0BC7" w:rsidRPr="00FB0BC7">
        <w:t xml:space="preserve">information and materials necessary to support </w:t>
      </w:r>
      <w:r w:rsidR="003C2196">
        <w:t>it</w:t>
      </w:r>
      <w:r w:rsidR="00E31D9A">
        <w:t xml:space="preserve">, including in relation to the matters specified at clause 5.2 of the Guideline. </w:t>
      </w:r>
    </w:p>
    <w:p w:rsidR="00A11CB8" w:rsidRDefault="006A3D97" w:rsidP="00686C90">
      <w:r w:rsidRPr="006A3D97">
        <w:lastRenderedPageBreak/>
        <w:t xml:space="preserve">If we consider the waiver application does not fully comply with clause 5.2, we will notify the DNSP within 10 business days </w:t>
      </w:r>
      <w:r>
        <w:t>of receiving the application.</w:t>
      </w:r>
      <w:r w:rsidR="004E30D7">
        <w:t xml:space="preserve"> </w:t>
      </w:r>
      <w:r w:rsidR="007F27A7">
        <w:t xml:space="preserve">Upon receiving </w:t>
      </w:r>
      <w:r w:rsidR="007F27A7" w:rsidRPr="007F27A7">
        <w:t xml:space="preserve">validly lodged </w:t>
      </w:r>
      <w:r w:rsidR="004E30D7">
        <w:t>application</w:t>
      </w:r>
      <w:r w:rsidR="007F27A7">
        <w:t xml:space="preserve">, </w:t>
      </w:r>
      <w:r w:rsidR="00686C90">
        <w:t xml:space="preserve">we will commence the assessment process. </w:t>
      </w:r>
    </w:p>
    <w:p w:rsidR="00E76B37" w:rsidRDefault="00D37490" w:rsidP="00D37490">
      <w:r>
        <w:t>We</w:t>
      </w:r>
      <w:r w:rsidRPr="00D37490">
        <w:t xml:space="preserve"> will </w:t>
      </w:r>
      <w:r w:rsidR="00642966">
        <w:t xml:space="preserve">assess the application as directed by clause 5.3.2 of the Guideline and </w:t>
      </w:r>
      <w:r w:rsidRPr="00D37490">
        <w:t>prepare a draft decision for consultation w</w:t>
      </w:r>
      <w:r w:rsidR="004E30D7">
        <w:t xml:space="preserve">ith interested parties, which we will publish at ww.aer.gov.au. </w:t>
      </w:r>
    </w:p>
    <w:p w:rsidR="00D37490" w:rsidRDefault="00D37490" w:rsidP="00D37490">
      <w:r w:rsidRPr="00D37490">
        <w:t>After the consultation period ends, we will publish a final decision on the waiver application</w:t>
      </w:r>
      <w:r w:rsidR="00546080">
        <w:t>, including the terms and conditions of any waiver we grant</w:t>
      </w:r>
      <w:r w:rsidRPr="00D37490">
        <w:t xml:space="preserve">. </w:t>
      </w:r>
      <w:r w:rsidR="00686C90">
        <w:t>W</w:t>
      </w:r>
      <w:r w:rsidR="00686C90" w:rsidRPr="00686C90">
        <w:t>e will endeavour to make a final decision on each waiver application within 90 days</w:t>
      </w:r>
      <w:r w:rsidR="00E76B37">
        <w:t xml:space="preserve"> of valid lodgement. </w:t>
      </w:r>
    </w:p>
    <w:p w:rsidR="00D37490" w:rsidRPr="00D37490" w:rsidRDefault="00D37490" w:rsidP="00D37490">
      <w:r>
        <w:t xml:space="preserve">In </w:t>
      </w:r>
      <w:r w:rsidR="00546080">
        <w:t xml:space="preserve">exceptional </w:t>
      </w:r>
      <w:r>
        <w:t>circumstances, we may modi</w:t>
      </w:r>
      <w:r w:rsidR="00E85B38">
        <w:t xml:space="preserve">fy this </w:t>
      </w:r>
      <w:r w:rsidR="00546080">
        <w:t>waiver process to the extent we consider appropriate</w:t>
      </w:r>
      <w:r w:rsidR="001214AD">
        <w:t xml:space="preserve"> and allowed by the Guideline</w:t>
      </w:r>
      <w:r w:rsidR="00546080">
        <w:t xml:space="preserve">. </w:t>
      </w:r>
    </w:p>
    <w:p w:rsidR="0035482F" w:rsidRDefault="0035482F" w:rsidP="0035482F">
      <w:r>
        <w:t xml:space="preserve">In the event that a waiver is granted, the AER may, in its absolute discretion and at any time, vary or revoke a DNSP's waiver as long it has given the DNSP at least 40 days' notice that it is considering doing so. </w:t>
      </w:r>
    </w:p>
    <w:p w:rsidR="00F321AA" w:rsidRPr="009D1679" w:rsidRDefault="00F321AA" w:rsidP="00F321AA">
      <w:pPr>
        <w:pStyle w:val="Caption"/>
      </w:pPr>
      <w:bookmarkStart w:id="13" w:name="_Ref234297185"/>
      <w:r w:rsidRPr="009D1679">
        <w:t>Table 1</w:t>
      </w:r>
      <w:bookmarkEnd w:id="13"/>
      <w:r>
        <w:t xml:space="preserve">: </w:t>
      </w:r>
      <w:r>
        <w:tab/>
      </w:r>
      <w:r w:rsidRPr="009D1679">
        <w:t>Time</w:t>
      </w:r>
      <w:r>
        <w:t>table for assessing SA Power Networks'</w:t>
      </w:r>
      <w:r w:rsidRPr="009D1679">
        <w:t xml:space="preserve"> waiver application</w:t>
      </w:r>
    </w:p>
    <w:tbl>
      <w:tblPr>
        <w:tblStyle w:val="AERTable-Text"/>
        <w:tblW w:w="0" w:type="auto"/>
        <w:tblLook w:val="01E0" w:firstRow="1" w:lastRow="1" w:firstColumn="1" w:lastColumn="1" w:noHBand="0" w:noVBand="0"/>
      </w:tblPr>
      <w:tblGrid>
        <w:gridCol w:w="5508"/>
        <w:gridCol w:w="3014"/>
      </w:tblGrid>
      <w:tr w:rsidR="00F321AA" w:rsidTr="00F321AA">
        <w:trPr>
          <w:cnfStyle w:val="100000000000" w:firstRow="1" w:lastRow="0" w:firstColumn="0" w:lastColumn="0" w:oddVBand="0" w:evenVBand="0" w:oddHBand="0" w:evenHBand="0" w:firstRowFirstColumn="0" w:firstRowLastColumn="0" w:lastRowFirstColumn="0" w:lastRowLastColumn="0"/>
        </w:trPr>
        <w:tc>
          <w:tcPr>
            <w:tcW w:w="5508" w:type="dxa"/>
          </w:tcPr>
          <w:p w:rsidR="00F321AA" w:rsidRPr="00F321AA" w:rsidRDefault="00F321AA" w:rsidP="00F321AA">
            <w:r w:rsidRPr="00D47479">
              <w:t>Event</w:t>
            </w:r>
          </w:p>
        </w:tc>
        <w:tc>
          <w:tcPr>
            <w:tcW w:w="3014" w:type="dxa"/>
          </w:tcPr>
          <w:p w:rsidR="00F321AA" w:rsidRPr="00F321AA" w:rsidRDefault="00F321AA" w:rsidP="00F321AA">
            <w:r w:rsidRPr="00D47479">
              <w:t>Date</w:t>
            </w:r>
          </w:p>
        </w:tc>
      </w:tr>
      <w:tr w:rsidR="00F321AA" w:rsidTr="00F321AA">
        <w:tc>
          <w:tcPr>
            <w:tcW w:w="5508" w:type="dxa"/>
          </w:tcPr>
          <w:p w:rsidR="00F321AA" w:rsidRPr="00F321AA" w:rsidRDefault="00F321AA" w:rsidP="00F321AA">
            <w:r w:rsidRPr="00D47479">
              <w:t xml:space="preserve">Waiver application received from </w:t>
            </w:r>
            <w:r>
              <w:t xml:space="preserve">SA Power </w:t>
            </w:r>
            <w:r w:rsidRPr="00F321AA">
              <w:t>Networks</w:t>
            </w:r>
          </w:p>
        </w:tc>
        <w:tc>
          <w:tcPr>
            <w:tcW w:w="3014" w:type="dxa"/>
          </w:tcPr>
          <w:p w:rsidR="00F321AA" w:rsidRPr="00F321AA" w:rsidRDefault="00F321AA" w:rsidP="00F321AA">
            <w:pPr>
              <w:rPr>
                <w:highlight w:val="yellow"/>
              </w:rPr>
            </w:pPr>
            <w:r>
              <w:t>27 April 2017</w:t>
            </w:r>
          </w:p>
        </w:tc>
      </w:tr>
      <w:tr w:rsidR="00F321AA" w:rsidTr="00F321AA">
        <w:trPr>
          <w:cnfStyle w:val="000000010000" w:firstRow="0" w:lastRow="0" w:firstColumn="0" w:lastColumn="0" w:oddVBand="0" w:evenVBand="0" w:oddHBand="0" w:evenHBand="1" w:firstRowFirstColumn="0" w:firstRowLastColumn="0" w:lastRowFirstColumn="0" w:lastRowLastColumn="0"/>
        </w:trPr>
        <w:tc>
          <w:tcPr>
            <w:tcW w:w="5508" w:type="dxa"/>
          </w:tcPr>
          <w:p w:rsidR="00F321AA" w:rsidRPr="00F321AA" w:rsidRDefault="00CD522F" w:rsidP="00CD522F">
            <w:r w:rsidRPr="00D47479">
              <w:t>AER’s draft decision released</w:t>
            </w:r>
            <w:r>
              <w:t>, call for submissions</w:t>
            </w:r>
          </w:p>
        </w:tc>
        <w:tc>
          <w:tcPr>
            <w:tcW w:w="3014" w:type="dxa"/>
          </w:tcPr>
          <w:p w:rsidR="00F321AA" w:rsidRPr="00F321AA" w:rsidRDefault="00057DFE" w:rsidP="00F321AA">
            <w:pPr>
              <w:rPr>
                <w:highlight w:val="yellow"/>
              </w:rPr>
            </w:pPr>
            <w:r>
              <w:t>26</w:t>
            </w:r>
            <w:r w:rsidR="00F321AA">
              <w:t xml:space="preserve"> May 2017</w:t>
            </w:r>
          </w:p>
        </w:tc>
      </w:tr>
      <w:tr w:rsidR="00F321AA" w:rsidTr="00F321AA">
        <w:tc>
          <w:tcPr>
            <w:tcW w:w="5508" w:type="dxa"/>
          </w:tcPr>
          <w:p w:rsidR="00F321AA" w:rsidRPr="00F321AA" w:rsidRDefault="00F321AA" w:rsidP="00CD522F">
            <w:r w:rsidRPr="00D47479">
              <w:t>Submissions on application</w:t>
            </w:r>
            <w:r w:rsidR="00CD522F">
              <w:t xml:space="preserve"> and draft decision </w:t>
            </w:r>
            <w:r w:rsidRPr="00D47479">
              <w:t>due</w:t>
            </w:r>
          </w:p>
        </w:tc>
        <w:tc>
          <w:tcPr>
            <w:tcW w:w="3014" w:type="dxa"/>
          </w:tcPr>
          <w:p w:rsidR="00F321AA" w:rsidRPr="00F321AA" w:rsidRDefault="00057DFE" w:rsidP="00F321AA">
            <w:pPr>
              <w:rPr>
                <w:highlight w:val="yellow"/>
              </w:rPr>
            </w:pPr>
            <w:r>
              <w:t>9</w:t>
            </w:r>
            <w:r w:rsidR="00F321AA">
              <w:t xml:space="preserve"> June 2017</w:t>
            </w:r>
          </w:p>
        </w:tc>
      </w:tr>
      <w:tr w:rsidR="00F321AA" w:rsidTr="00F321AA">
        <w:trPr>
          <w:cnfStyle w:val="000000010000" w:firstRow="0" w:lastRow="0" w:firstColumn="0" w:lastColumn="0" w:oddVBand="0" w:evenVBand="0" w:oddHBand="0" w:evenHBand="1" w:firstRowFirstColumn="0" w:firstRowLastColumn="0" w:lastRowFirstColumn="0" w:lastRowLastColumn="0"/>
        </w:trPr>
        <w:tc>
          <w:tcPr>
            <w:tcW w:w="5508" w:type="dxa"/>
          </w:tcPr>
          <w:p w:rsidR="00F321AA" w:rsidRPr="00F321AA" w:rsidRDefault="00CD522F" w:rsidP="00F321AA">
            <w:r>
              <w:t xml:space="preserve">Target release date for </w:t>
            </w:r>
            <w:r w:rsidR="00F321AA" w:rsidRPr="00D47479">
              <w:t>AER’s final decision</w:t>
            </w:r>
          </w:p>
        </w:tc>
        <w:tc>
          <w:tcPr>
            <w:tcW w:w="3014" w:type="dxa"/>
          </w:tcPr>
          <w:p w:rsidR="00F321AA" w:rsidRPr="00F321AA" w:rsidRDefault="00CD522F" w:rsidP="00F321AA">
            <w:pPr>
              <w:rPr>
                <w:highlight w:val="yellow"/>
              </w:rPr>
            </w:pPr>
            <w:r>
              <w:t>21 June 2017</w:t>
            </w:r>
          </w:p>
        </w:tc>
      </w:tr>
    </w:tbl>
    <w:p w:rsidR="0013432D" w:rsidRDefault="0013432D" w:rsidP="00D37490"/>
    <w:p w:rsidR="0013432D" w:rsidRDefault="000D1BBB" w:rsidP="0013432D">
      <w:pPr>
        <w:pStyle w:val="Heading1"/>
      </w:pPr>
      <w:bookmarkStart w:id="14" w:name="_Toc481747794"/>
      <w:bookmarkStart w:id="15" w:name="_Toc483569690"/>
      <w:r>
        <w:lastRenderedPageBreak/>
        <w:t>SA Power Networks' waiver application</w:t>
      </w:r>
      <w:bookmarkEnd w:id="14"/>
      <w:bookmarkEnd w:id="15"/>
    </w:p>
    <w:p w:rsidR="00CA1D6B" w:rsidRDefault="00CA1D6B" w:rsidP="00CA1D6B">
      <w:bookmarkStart w:id="16" w:name="_Toc481747795"/>
      <w:r>
        <w:t xml:space="preserve">On 27 April 2017, </w:t>
      </w:r>
      <w:r w:rsidR="00753759">
        <w:t xml:space="preserve">SA Power Networks </w:t>
      </w:r>
      <w:r>
        <w:t xml:space="preserve">submitted to the AER a waiver application under clause 5.2 of the Guideline. </w:t>
      </w:r>
      <w:r w:rsidR="00753759">
        <w:t>SA Power Networks</w:t>
      </w:r>
      <w:r>
        <w:t xml:space="preserve"> submitted that </w:t>
      </w:r>
      <w:r w:rsidR="005A6BF2">
        <w:t xml:space="preserve">a </w:t>
      </w:r>
      <w:r>
        <w:t xml:space="preserve">waiver </w:t>
      </w:r>
      <w:r w:rsidR="005A6BF2">
        <w:t>is</w:t>
      </w:r>
      <w:r>
        <w:t xml:space="preserve"> necessary to allow it to assist the SA Government to address energy security risks facing South Australian customers. </w:t>
      </w:r>
    </w:p>
    <w:p w:rsidR="0013432D" w:rsidRDefault="001214AD" w:rsidP="0013432D">
      <w:pPr>
        <w:pStyle w:val="Heading2"/>
      </w:pPr>
      <w:bookmarkStart w:id="17" w:name="_Toc483569691"/>
      <w:r>
        <w:t>Energy security issues</w:t>
      </w:r>
      <w:bookmarkEnd w:id="17"/>
      <w:r w:rsidR="0013432D">
        <w:t xml:space="preserve"> </w:t>
      </w:r>
      <w:bookmarkEnd w:id="16"/>
    </w:p>
    <w:p w:rsidR="00A53FC9" w:rsidRDefault="00B3416C" w:rsidP="00213F87">
      <w:r>
        <w:t xml:space="preserve">Over the past year, </w:t>
      </w:r>
      <w:r w:rsidR="00AC014F">
        <w:t xml:space="preserve">a number of states have experienced </w:t>
      </w:r>
      <w:r w:rsidR="00E62E60">
        <w:t xml:space="preserve">ongoing </w:t>
      </w:r>
      <w:r>
        <w:t>e</w:t>
      </w:r>
      <w:r w:rsidR="00101E79">
        <w:t xml:space="preserve">nergy security </w:t>
      </w:r>
      <w:r w:rsidR="00977EDB">
        <w:t>concerns</w:t>
      </w:r>
      <w:r>
        <w:t xml:space="preserve">, with unreliable </w:t>
      </w:r>
      <w:r w:rsidR="00977EDB">
        <w:t xml:space="preserve">electricity </w:t>
      </w:r>
      <w:r>
        <w:t xml:space="preserve">supply resulting in </w:t>
      </w:r>
      <w:r w:rsidRPr="00B3416C">
        <w:t xml:space="preserve">significant </w:t>
      </w:r>
      <w:r w:rsidR="00CB2F47">
        <w:t>electricity shortages at times of high</w:t>
      </w:r>
      <w:r w:rsidRPr="00B3416C">
        <w:t xml:space="preserve"> demand</w:t>
      </w:r>
      <w:r>
        <w:t xml:space="preserve">. </w:t>
      </w:r>
      <w:r w:rsidR="00CB2F47" w:rsidRPr="003D3DA0">
        <w:t>South Australia</w:t>
      </w:r>
      <w:r w:rsidR="00CB2F47">
        <w:t xml:space="preserve"> experienced a state-wide power outage in September 2016 and more localised power outages in December 2016 and February 2017. </w:t>
      </w:r>
    </w:p>
    <w:p w:rsidR="003F12FA" w:rsidRPr="00064CF3" w:rsidRDefault="003F12FA" w:rsidP="00064CF3">
      <w:r>
        <w:t xml:space="preserve">The SA Government has submitted that the withdrawal of the Hazelwood power station in Victoria has increased </w:t>
      </w:r>
      <w:r w:rsidR="00E62E60">
        <w:t xml:space="preserve">the </w:t>
      </w:r>
      <w:r>
        <w:t xml:space="preserve">risk of system security issues. It estimated there is a potential shortfall of up to 500MW of generation to meet peak demand on days of extreme heat during the 2018 and 2019 summer periods, or earlier. </w:t>
      </w:r>
    </w:p>
    <w:p w:rsidR="0013432D" w:rsidRDefault="0013432D" w:rsidP="0013432D">
      <w:pPr>
        <w:pStyle w:val="Heading2"/>
      </w:pPr>
      <w:bookmarkStart w:id="18" w:name="_Toc481747796"/>
      <w:bookmarkStart w:id="19" w:name="_Toc483569692"/>
      <w:r>
        <w:t>South Australian Government's response</w:t>
      </w:r>
      <w:bookmarkEnd w:id="18"/>
      <w:bookmarkEnd w:id="19"/>
    </w:p>
    <w:p w:rsidR="0013432D" w:rsidRDefault="0029760E" w:rsidP="0013432D">
      <w:r>
        <w:t>O</w:t>
      </w:r>
      <w:r w:rsidR="00840EDC">
        <w:t>n</w:t>
      </w:r>
      <w:r>
        <w:t xml:space="preserve"> 14 March 2017, t</w:t>
      </w:r>
      <w:r w:rsidR="003D3DA0">
        <w:t xml:space="preserve">he </w:t>
      </w:r>
      <w:r w:rsidR="003F12FA">
        <w:t>SA</w:t>
      </w:r>
      <w:r w:rsidR="003D3DA0">
        <w:t xml:space="preserve"> Government </w:t>
      </w:r>
      <w:r>
        <w:t>a</w:t>
      </w:r>
      <w:r w:rsidR="00840EDC">
        <w:t>nnounced its Energy </w:t>
      </w:r>
      <w:r>
        <w:t>Plan</w:t>
      </w:r>
      <w:r w:rsidR="00064CF3">
        <w:rPr>
          <w:rStyle w:val="FootnoteReference"/>
        </w:rPr>
        <w:footnoteReference w:id="3"/>
      </w:r>
      <w:r>
        <w:t xml:space="preserve"> </w:t>
      </w:r>
      <w:r w:rsidR="00C84BD2">
        <w:t xml:space="preserve">to improve reliability of energy supply across </w:t>
      </w:r>
      <w:r>
        <w:t xml:space="preserve">South Australia </w:t>
      </w:r>
      <w:r w:rsidR="00C84BD2">
        <w:t xml:space="preserve">and </w:t>
      </w:r>
      <w:r w:rsidR="00FF4891">
        <w:t xml:space="preserve">make </w:t>
      </w:r>
      <w:r w:rsidR="00C84BD2">
        <w:t xml:space="preserve">the state </w:t>
      </w:r>
      <w:r>
        <w:t xml:space="preserve">will </w:t>
      </w:r>
      <w:r w:rsidR="00C84BD2">
        <w:t>more self-</w:t>
      </w:r>
      <w:r w:rsidR="00FF4891">
        <w:t>sufficient</w:t>
      </w:r>
      <w:r>
        <w:t>.</w:t>
      </w:r>
      <w:r w:rsidR="00840EDC">
        <w:t xml:space="preserve"> </w:t>
      </w:r>
    </w:p>
    <w:p w:rsidR="003F12FA" w:rsidRDefault="00423977" w:rsidP="0013432D">
      <w:r>
        <w:t xml:space="preserve">As part of the Energy Plan, the SA Government </w:t>
      </w:r>
      <w:r w:rsidR="00FF4891">
        <w:t>has announced construction of</w:t>
      </w:r>
      <w:r>
        <w:t xml:space="preserve"> </w:t>
      </w:r>
      <w:r w:rsidR="00FF4891">
        <w:t>a</w:t>
      </w:r>
      <w:r>
        <w:t xml:space="preserve"> 250MW gas-fired electricity generator. </w:t>
      </w:r>
      <w:r w:rsidR="005A3A30">
        <w:t>T</w:t>
      </w:r>
      <w:r>
        <w:t>his plant is expected to be</w:t>
      </w:r>
      <w:r w:rsidR="005A3A30">
        <w:t>come</w:t>
      </w:r>
      <w:r>
        <w:t xml:space="preserve"> operational </w:t>
      </w:r>
      <w:r w:rsidR="005A3A30">
        <w:t>in</w:t>
      </w:r>
      <w:r>
        <w:t xml:space="preserve"> December 2018. </w:t>
      </w:r>
      <w:r w:rsidR="003F12FA">
        <w:t>To manage energy security risks</w:t>
      </w:r>
      <w:r w:rsidR="003F12FA" w:rsidRPr="003F12FA">
        <w:t xml:space="preserve"> </w:t>
      </w:r>
      <w:r w:rsidR="003F12FA">
        <w:t>in the short term,</w:t>
      </w:r>
      <w:r>
        <w:t xml:space="preserve"> the SA Government has </w:t>
      </w:r>
      <w:r w:rsidR="00AE5073">
        <w:t xml:space="preserve">requested that </w:t>
      </w:r>
      <w:r w:rsidR="00753759">
        <w:t xml:space="preserve">SA Power Networks </w:t>
      </w:r>
      <w:r>
        <w:t xml:space="preserve">design, construct, commission, connect and operate 200MW of temporary generation from 1 December 2017. </w:t>
      </w:r>
    </w:p>
    <w:p w:rsidR="00CE0494" w:rsidRPr="00CE0494" w:rsidRDefault="00753759" w:rsidP="00CE0494">
      <w:pPr>
        <w:pStyle w:val="Bulletpoint"/>
        <w:numPr>
          <w:ilvl w:val="0"/>
          <w:numId w:val="0"/>
        </w:numPr>
      </w:pPr>
      <w:r>
        <w:t>SA Power Networks</w:t>
      </w:r>
      <w:r w:rsidRPr="00753759">
        <w:t xml:space="preserve"> </w:t>
      </w:r>
      <w:r w:rsidR="00423977">
        <w:t>submit</w:t>
      </w:r>
      <w:r w:rsidR="005A3A30">
        <w:t>ted</w:t>
      </w:r>
      <w:r w:rsidR="00423977">
        <w:t xml:space="preserve"> that the temporary generation will be used solely for the purpose of avoiding load shedding for NEM operational purposes when there is no alternative generation available</w:t>
      </w:r>
      <w:r w:rsidR="004C5851">
        <w:t>, and only at the direction of AEMO or the S</w:t>
      </w:r>
      <w:r w:rsidR="0020734E">
        <w:t xml:space="preserve">outh </w:t>
      </w:r>
      <w:r w:rsidR="004C5851">
        <w:t>A</w:t>
      </w:r>
      <w:r w:rsidR="0020734E">
        <w:t>ustralian</w:t>
      </w:r>
      <w:r w:rsidR="004C5851">
        <w:t xml:space="preserve"> Energy Minister</w:t>
      </w:r>
      <w:r w:rsidR="00423977">
        <w:t xml:space="preserve">. </w:t>
      </w:r>
      <w:r w:rsidR="00CE0494">
        <w:t xml:space="preserve">Once the SA Government's new 250MW plant is operational, </w:t>
      </w:r>
      <w:r>
        <w:t>SA Power Networks</w:t>
      </w:r>
      <w:r w:rsidRPr="00753759">
        <w:t xml:space="preserve"> </w:t>
      </w:r>
      <w:r w:rsidR="00CE0494">
        <w:t>will decommission the temporary generation facilities.</w:t>
      </w:r>
    </w:p>
    <w:p w:rsidR="00CE0494" w:rsidRDefault="00753759" w:rsidP="00CE0494">
      <w:r>
        <w:t>SA Power Networks</w:t>
      </w:r>
      <w:r w:rsidR="00AE5073">
        <w:t xml:space="preserve"> submitted</w:t>
      </w:r>
      <w:r w:rsidR="004C5851">
        <w:t xml:space="preserve"> that the SA Government has determined that </w:t>
      </w:r>
      <w:r>
        <w:t xml:space="preserve">SA Power Networks </w:t>
      </w:r>
      <w:r w:rsidR="004C5851">
        <w:t xml:space="preserve">is best placed to </w:t>
      </w:r>
      <w:r w:rsidR="008B4EF0">
        <w:t>undertake the temporary generation</w:t>
      </w:r>
      <w:r w:rsidR="004C5851">
        <w:t xml:space="preserve"> project within the required timeframe and at least cost.</w:t>
      </w:r>
      <w:r w:rsidR="00D61B42">
        <w:t xml:space="preserve"> It</w:t>
      </w:r>
      <w:r w:rsidR="00AE5073">
        <w:t xml:space="preserve"> submitted</w:t>
      </w:r>
      <w:r w:rsidR="00FB0913">
        <w:t xml:space="preserve"> that t</w:t>
      </w:r>
      <w:r w:rsidR="00D61B42">
        <w:t>he SA </w:t>
      </w:r>
      <w:r w:rsidR="004D59A3">
        <w:t xml:space="preserve">Government will bear all costs of the project and will also receive any market revenues from operating the </w:t>
      </w:r>
      <w:r w:rsidR="008B4EF0">
        <w:t xml:space="preserve">temporary </w:t>
      </w:r>
      <w:r w:rsidR="004D59A3">
        <w:t xml:space="preserve">generation. </w:t>
      </w:r>
      <w:r w:rsidR="009F4D58">
        <w:t xml:space="preserve">The </w:t>
      </w:r>
      <w:r w:rsidR="008B4EF0">
        <w:t xml:space="preserve">temporary </w:t>
      </w:r>
      <w:r w:rsidR="009F4D58">
        <w:t>generation will not be used to set the</w:t>
      </w:r>
      <w:r w:rsidR="00FB0913">
        <w:t xml:space="preserve"> NEM</w:t>
      </w:r>
      <w:r w:rsidR="009F4D58">
        <w:t xml:space="preserve"> pool price in South Australia. </w:t>
      </w:r>
      <w:r>
        <w:t>SA</w:t>
      </w:r>
      <w:r w:rsidR="005A6BF2">
        <w:t> </w:t>
      </w:r>
      <w:r>
        <w:t xml:space="preserve">Power Networks </w:t>
      </w:r>
      <w:r w:rsidR="00CE0494">
        <w:t>will e</w:t>
      </w:r>
      <w:r w:rsidR="009271B1">
        <w:t>stablish and maintain s</w:t>
      </w:r>
      <w:r w:rsidR="009271B1" w:rsidRPr="009271B1">
        <w:t xml:space="preserve">eparate accounts and cost allocation and attribution </w:t>
      </w:r>
      <w:r w:rsidR="009271B1">
        <w:t xml:space="preserve">to the temporary generation project </w:t>
      </w:r>
      <w:r w:rsidR="009271B1" w:rsidRPr="009271B1">
        <w:t xml:space="preserve">to ensure </w:t>
      </w:r>
      <w:r w:rsidR="00C7007B">
        <w:t>the project</w:t>
      </w:r>
      <w:r w:rsidR="009271B1" w:rsidRPr="009271B1">
        <w:t xml:space="preserve"> can be funded transparently by the</w:t>
      </w:r>
      <w:r w:rsidR="00C7007B">
        <w:t xml:space="preserve"> SA </w:t>
      </w:r>
      <w:r w:rsidR="009271B1">
        <w:t>Government</w:t>
      </w:r>
      <w:r w:rsidR="00CE0494">
        <w:t>.</w:t>
      </w:r>
    </w:p>
    <w:p w:rsidR="00D344EC" w:rsidRDefault="00D344EC" w:rsidP="00CE0494"/>
    <w:p w:rsidR="00CE0494" w:rsidRDefault="00CE0494" w:rsidP="00CE0494">
      <w:pPr>
        <w:pStyle w:val="Heading2"/>
      </w:pPr>
      <w:bookmarkStart w:id="20" w:name="_Toc481747797"/>
      <w:bookmarkStart w:id="21" w:name="_Toc483569693"/>
      <w:r>
        <w:lastRenderedPageBreak/>
        <w:t>Obligations on SA Power Networks</w:t>
      </w:r>
      <w:bookmarkEnd w:id="20"/>
      <w:bookmarkEnd w:id="21"/>
      <w:r>
        <w:t xml:space="preserve"> </w:t>
      </w:r>
    </w:p>
    <w:p w:rsidR="00CE0494" w:rsidRDefault="00CE0494" w:rsidP="00CE0494">
      <w:pPr>
        <w:pStyle w:val="Bulletpoint"/>
        <w:numPr>
          <w:ilvl w:val="0"/>
          <w:numId w:val="0"/>
        </w:numPr>
        <w:ind w:left="357" w:hanging="357"/>
      </w:pPr>
      <w:r>
        <w:t xml:space="preserve">The Guideline imposes obligations on </w:t>
      </w:r>
      <w:r w:rsidR="00753759">
        <w:t>SA Power Networks</w:t>
      </w:r>
      <w:r w:rsidR="00753759" w:rsidRPr="00753759">
        <w:t xml:space="preserve"> </w:t>
      </w:r>
      <w:r>
        <w:t>in relation to:</w:t>
      </w:r>
    </w:p>
    <w:p w:rsidR="00CE0494" w:rsidRDefault="00E2628E" w:rsidP="00CE0494">
      <w:pPr>
        <w:pStyle w:val="Bulletpoint"/>
      </w:pPr>
      <w:r>
        <w:t>legal separation</w:t>
      </w:r>
    </w:p>
    <w:p w:rsidR="00CE0494" w:rsidRDefault="00E2628E" w:rsidP="00CE0494">
      <w:pPr>
        <w:pStyle w:val="Bulletpoint"/>
      </w:pPr>
      <w:r>
        <w:t>establishing and maintaining accounts</w:t>
      </w:r>
    </w:p>
    <w:p w:rsidR="00CE0494" w:rsidRDefault="00E2628E" w:rsidP="00CE0494">
      <w:pPr>
        <w:pStyle w:val="Bulletpoint"/>
      </w:pPr>
      <w:r>
        <w:t>obligation not to discriminate</w:t>
      </w:r>
    </w:p>
    <w:p w:rsidR="00CE0494" w:rsidRDefault="00E2628E" w:rsidP="00CE0494">
      <w:pPr>
        <w:pStyle w:val="Bulletpoint"/>
      </w:pPr>
      <w:r>
        <w:t>separating offices, staff, branding and promotions</w:t>
      </w:r>
    </w:p>
    <w:p w:rsidR="00CE0494" w:rsidRDefault="00E2628E" w:rsidP="00CE0494">
      <w:pPr>
        <w:pStyle w:val="Bulletpoint"/>
      </w:pPr>
      <w:r>
        <w:t>information access and disclosure</w:t>
      </w:r>
    </w:p>
    <w:p w:rsidR="00CE0494" w:rsidRDefault="00E2628E" w:rsidP="00CE0494">
      <w:pPr>
        <w:pStyle w:val="Bulletpoint"/>
      </w:pPr>
      <w:r>
        <w:t>registers for offices, staff and waivers</w:t>
      </w:r>
    </w:p>
    <w:p w:rsidR="00CE0494" w:rsidRDefault="00E2628E" w:rsidP="00CE0494">
      <w:pPr>
        <w:pStyle w:val="Bulletpoint"/>
      </w:pPr>
      <w:r>
        <w:t xml:space="preserve">maintaining and reporting compliance, and </w:t>
      </w:r>
    </w:p>
    <w:p w:rsidR="00CE0494" w:rsidRDefault="00E2628E" w:rsidP="00CE0494">
      <w:pPr>
        <w:pStyle w:val="Bulletpoint"/>
      </w:pPr>
      <w:r>
        <w:t>transitional arrangements.</w:t>
      </w:r>
    </w:p>
    <w:p w:rsidR="0013432D" w:rsidRDefault="0013432D" w:rsidP="0013432D">
      <w:pPr>
        <w:pStyle w:val="Heading2"/>
      </w:pPr>
      <w:bookmarkStart w:id="22" w:name="_Toc481747799"/>
      <w:bookmarkStart w:id="23" w:name="_Toc483569694"/>
      <w:r>
        <w:t>Waiver sought by SA Power Networks</w:t>
      </w:r>
      <w:bookmarkEnd w:id="22"/>
      <w:bookmarkEnd w:id="23"/>
    </w:p>
    <w:p w:rsidR="00A11CB8" w:rsidRDefault="00753759" w:rsidP="00A11CB8">
      <w:r>
        <w:t>SA Power Networks</w:t>
      </w:r>
      <w:r w:rsidDel="004B4427">
        <w:t xml:space="preserve"> </w:t>
      </w:r>
      <w:r w:rsidR="004B4427">
        <w:t xml:space="preserve">requested </w:t>
      </w:r>
      <w:r w:rsidR="000E1670">
        <w:t xml:space="preserve">an </w:t>
      </w:r>
      <w:r w:rsidR="00D9050D">
        <w:t xml:space="preserve">interim </w:t>
      </w:r>
      <w:r w:rsidR="00A11CB8">
        <w:t>waiver in respect of</w:t>
      </w:r>
      <w:r w:rsidR="000E1670">
        <w:t xml:space="preserve"> the</w:t>
      </w:r>
      <w:r w:rsidR="00A11CB8">
        <w:t>:</w:t>
      </w:r>
    </w:p>
    <w:p w:rsidR="00A11CB8" w:rsidRPr="00B871E4" w:rsidRDefault="002709B4" w:rsidP="00A11CB8">
      <w:pPr>
        <w:pStyle w:val="Bulletpoint"/>
      </w:pPr>
      <w:r>
        <w:t>l</w:t>
      </w:r>
      <w:r w:rsidR="00A11CB8" w:rsidRPr="00B871E4">
        <w:t xml:space="preserve">egal separation obligations listed in </w:t>
      </w:r>
      <w:r w:rsidR="00CE0494">
        <w:t xml:space="preserve">clause </w:t>
      </w:r>
      <w:r w:rsidR="00A11CB8" w:rsidRPr="00B871E4">
        <w:t>3.1 of the Guideline</w:t>
      </w:r>
      <w:r w:rsidR="00E2628E">
        <w:t>,</w:t>
      </w:r>
      <w:r w:rsidR="00A11CB8" w:rsidRPr="00B871E4">
        <w:t xml:space="preserve"> and </w:t>
      </w:r>
    </w:p>
    <w:p w:rsidR="00A11CB8" w:rsidRPr="00B871E4" w:rsidRDefault="002709B4" w:rsidP="00A11CB8">
      <w:pPr>
        <w:pStyle w:val="Bulletpoint"/>
      </w:pPr>
      <w:r>
        <w:t>f</w:t>
      </w:r>
      <w:r w:rsidR="00A11CB8" w:rsidRPr="00B871E4">
        <w:t xml:space="preserve">unctional separation obligations listed in </w:t>
      </w:r>
      <w:r w:rsidR="00CE0494">
        <w:t xml:space="preserve">clause </w:t>
      </w:r>
      <w:r w:rsidR="00A11CB8" w:rsidRPr="00B871E4">
        <w:t xml:space="preserve">4 of the Guideline. </w:t>
      </w:r>
    </w:p>
    <w:p w:rsidR="00A11CB8" w:rsidRDefault="00753759" w:rsidP="00A11CB8">
      <w:r>
        <w:t>SA Power Networks</w:t>
      </w:r>
      <w:r w:rsidR="00A11CB8">
        <w:t xml:space="preserve"> </w:t>
      </w:r>
      <w:r w:rsidR="00D9050D">
        <w:t>submit</w:t>
      </w:r>
      <w:r w:rsidR="002709B4">
        <w:t>ted</w:t>
      </w:r>
      <w:r w:rsidR="00D9050D">
        <w:t xml:space="preserve"> </w:t>
      </w:r>
      <w:r w:rsidR="00A11CB8">
        <w:t xml:space="preserve">it </w:t>
      </w:r>
      <w:r w:rsidR="00D9050D">
        <w:t>i</w:t>
      </w:r>
      <w:r w:rsidR="00A11CB8">
        <w:t>s applying for the waive</w:t>
      </w:r>
      <w:r>
        <w:t>r so that it can meet the SA </w:t>
      </w:r>
      <w:r w:rsidR="00D9050D">
        <w:t>Government's request</w:t>
      </w:r>
      <w:r w:rsidR="00A11CB8">
        <w:t xml:space="preserve"> </w:t>
      </w:r>
      <w:r w:rsidR="00D9050D">
        <w:t xml:space="preserve">to </w:t>
      </w:r>
      <w:r w:rsidR="00A11CB8">
        <w:t>undertake t</w:t>
      </w:r>
      <w:r w:rsidR="00DD79FB">
        <w:t xml:space="preserve">he temporary generation project in line with proposed timing </w:t>
      </w:r>
      <w:r w:rsidR="00D9050D">
        <w:t>without</w:t>
      </w:r>
      <w:r w:rsidR="00A11CB8">
        <w:t xml:space="preserve"> breaching the Guideline.</w:t>
      </w:r>
      <w:r w:rsidR="00D61B42">
        <w:rPr>
          <w:rStyle w:val="FootnoteReference"/>
        </w:rPr>
        <w:footnoteReference w:id="4"/>
      </w:r>
    </w:p>
    <w:p w:rsidR="00A11CB8" w:rsidRDefault="00753759" w:rsidP="00A11CB8">
      <w:r>
        <w:t>SA Power Networks</w:t>
      </w:r>
      <w:r w:rsidDel="004B4427">
        <w:t xml:space="preserve"> </w:t>
      </w:r>
      <w:r w:rsidR="004B4427">
        <w:t>requested</w:t>
      </w:r>
      <w:r w:rsidR="00A11CB8">
        <w:t xml:space="preserve"> </w:t>
      </w:r>
      <w:r w:rsidR="005A6BF2">
        <w:t xml:space="preserve">that </w:t>
      </w:r>
      <w:r w:rsidR="004B4427">
        <w:t xml:space="preserve">the </w:t>
      </w:r>
      <w:r w:rsidR="00A11CB8">
        <w:t xml:space="preserve">waiver </w:t>
      </w:r>
      <w:r w:rsidR="004B4427">
        <w:t xml:space="preserve">apply for </w:t>
      </w:r>
      <w:r>
        <w:t>the period commencing 14 March </w:t>
      </w:r>
      <w:r w:rsidR="00A11CB8">
        <w:t>2017 until 1 June 2020. That is, the period from the SA Government's announcement of its Energy Plan until the end of the initial operational phase (one year), plus a potential second year, plus a six-month decommissioning period.</w:t>
      </w:r>
    </w:p>
    <w:p w:rsidR="00F72D87" w:rsidRDefault="00F72D87" w:rsidP="00F72D87">
      <w:r>
        <w:t xml:space="preserve">SA Power Networks submitted that, if the waiver </w:t>
      </w:r>
      <w:r w:rsidR="000E1670">
        <w:t>was</w:t>
      </w:r>
      <w:r>
        <w:t xml:space="preserve"> refused:</w:t>
      </w:r>
    </w:p>
    <w:p w:rsidR="00F72D87" w:rsidRDefault="00F72D87" w:rsidP="00F72D87">
      <w:pPr>
        <w:pStyle w:val="Bulletpoint"/>
      </w:pPr>
      <w:r>
        <w:t>it would be unable to deliver the project to the SA Government's timeframes and meet its obligations under the Guideline. SA Power Networks would therefore choose to exit the project</w:t>
      </w:r>
    </w:p>
    <w:p w:rsidR="00F72D87" w:rsidRDefault="00F72D87" w:rsidP="00F72D87">
      <w:pPr>
        <w:pStyle w:val="Bulletpoint"/>
      </w:pPr>
      <w:r>
        <w:t>the SA Government's requested start date for the temporary generation would be substantially exceeded</w:t>
      </w:r>
    </w:p>
    <w:p w:rsidR="00F72D87" w:rsidRDefault="00F72D87" w:rsidP="00F72D87">
      <w:pPr>
        <w:pStyle w:val="Bulletpoint"/>
      </w:pPr>
      <w:r>
        <w:t>the SA Government would incur sunk costs, and</w:t>
      </w:r>
    </w:p>
    <w:p w:rsidR="00F72D87" w:rsidRDefault="00F72D87" w:rsidP="00F72D87">
      <w:pPr>
        <w:pStyle w:val="Bulletpoint"/>
      </w:pPr>
      <w:r>
        <w:t>load shedding of customers may eventuate.</w:t>
      </w:r>
    </w:p>
    <w:p w:rsidR="00F72D87" w:rsidRDefault="00F72D87" w:rsidP="00A11CB8"/>
    <w:p w:rsidR="0013432D" w:rsidRDefault="0013432D" w:rsidP="0013432D">
      <w:pPr>
        <w:pStyle w:val="Heading1"/>
      </w:pPr>
      <w:bookmarkStart w:id="24" w:name="_Toc481747800"/>
      <w:bookmarkStart w:id="25" w:name="_Toc483569695"/>
      <w:r>
        <w:lastRenderedPageBreak/>
        <w:t>AER's draft decision and reasons</w:t>
      </w:r>
      <w:bookmarkEnd w:id="24"/>
      <w:bookmarkEnd w:id="25"/>
    </w:p>
    <w:p w:rsidR="008B4EF0" w:rsidRPr="00686C90" w:rsidRDefault="008B4EF0" w:rsidP="008B4EF0">
      <w:bookmarkStart w:id="26" w:name="_Toc481747801"/>
      <w:r>
        <w:t xml:space="preserve">Clause 5.3.1 of the Guideline states that the </w:t>
      </w:r>
      <w:r w:rsidRPr="00686C90">
        <w:t xml:space="preserve">AER </w:t>
      </w:r>
      <w:r>
        <w:t xml:space="preserve">may make </w:t>
      </w:r>
      <w:r w:rsidRPr="00686C90">
        <w:t>a decision to either:</w:t>
      </w:r>
    </w:p>
    <w:p w:rsidR="008B4EF0" w:rsidRPr="00686C90" w:rsidRDefault="008B4EF0" w:rsidP="008B4EF0">
      <w:pPr>
        <w:pStyle w:val="Bulletpoint"/>
      </w:pPr>
      <w:r w:rsidRPr="00686C90">
        <w:t>grant the waiver subject to any conditions the AER considers appropriate</w:t>
      </w:r>
      <w:r>
        <w:t>,</w:t>
      </w:r>
      <w:r w:rsidRPr="00686C90">
        <w:t xml:space="preserve"> or </w:t>
      </w:r>
    </w:p>
    <w:p w:rsidR="008B4EF0" w:rsidRPr="00686C90" w:rsidRDefault="008B4EF0" w:rsidP="008B4EF0">
      <w:pPr>
        <w:pStyle w:val="Bulletpoint"/>
      </w:pPr>
      <w:r w:rsidRPr="00686C90">
        <w:t>grant the waiver as an interim waiver subject to any conditions the AER considers app</w:t>
      </w:r>
      <w:r>
        <w:t>ropriate,</w:t>
      </w:r>
      <w:r w:rsidRPr="00686C90">
        <w:t xml:space="preserve"> or </w:t>
      </w:r>
    </w:p>
    <w:p w:rsidR="008B4EF0" w:rsidRPr="00686C90" w:rsidRDefault="008B4EF0" w:rsidP="008B4EF0">
      <w:pPr>
        <w:pStyle w:val="Bulletpoint"/>
      </w:pPr>
      <w:r w:rsidRPr="00686C90">
        <w:t xml:space="preserve">refuse to grant the waiver. </w:t>
      </w:r>
    </w:p>
    <w:p w:rsidR="0013432D" w:rsidRDefault="0013432D" w:rsidP="0013432D">
      <w:pPr>
        <w:pStyle w:val="Heading2"/>
      </w:pPr>
      <w:bookmarkStart w:id="27" w:name="_Toc483569696"/>
      <w:r>
        <w:t>AER's draft decision</w:t>
      </w:r>
      <w:bookmarkEnd w:id="26"/>
      <w:bookmarkEnd w:id="27"/>
    </w:p>
    <w:p w:rsidR="00C82D33" w:rsidRDefault="00EF063A" w:rsidP="001A756E">
      <w:bookmarkStart w:id="28" w:name="_Toc481747802"/>
      <w:r>
        <w:t xml:space="preserve">We </w:t>
      </w:r>
      <w:r w:rsidR="009E011B">
        <w:t>consider</w:t>
      </w:r>
      <w:r>
        <w:t xml:space="preserve"> </w:t>
      </w:r>
      <w:r w:rsidR="00C62CA2">
        <w:t xml:space="preserve">that </w:t>
      </w:r>
      <w:r w:rsidR="00B61642">
        <w:t xml:space="preserve">an </w:t>
      </w:r>
      <w:r>
        <w:t>interim waiver</w:t>
      </w:r>
      <w:r w:rsidR="009E011B">
        <w:t xml:space="preserve"> is not necessary in this instance</w:t>
      </w:r>
      <w:r>
        <w:t xml:space="preserve">. </w:t>
      </w:r>
      <w:r w:rsidR="002709B4">
        <w:t>W</w:t>
      </w:r>
      <w:r>
        <w:t xml:space="preserve">e will follow the standard assessment process for this waiver application. </w:t>
      </w:r>
    </w:p>
    <w:p w:rsidR="00C82D33" w:rsidRDefault="00C82D33" w:rsidP="00C82D33">
      <w:pPr>
        <w:pStyle w:val="NoSpacing"/>
      </w:pPr>
    </w:p>
    <w:tbl>
      <w:tblPr>
        <w:tblW w:w="930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7"/>
      </w:tblGrid>
      <w:tr w:rsidR="00EF063A" w:rsidTr="00C82D33">
        <w:trPr>
          <w:trHeight w:val="1678"/>
        </w:trPr>
        <w:tc>
          <w:tcPr>
            <w:tcW w:w="9307" w:type="dxa"/>
          </w:tcPr>
          <w:p w:rsidR="0020734E" w:rsidRDefault="00C82D33" w:rsidP="00C82D33">
            <w:pPr>
              <w:pStyle w:val="Bulletpoint"/>
              <w:ind w:left="70"/>
            </w:pPr>
            <w:r>
              <w:t xml:space="preserve">The AER proposes </w:t>
            </w:r>
            <w:r w:rsidR="0020734E">
              <w:t xml:space="preserve">to waive </w:t>
            </w:r>
            <w:r w:rsidR="00753759">
              <w:t>SA Power Networks'</w:t>
            </w:r>
            <w:r>
              <w:t xml:space="preserve"> obligation</w:t>
            </w:r>
            <w:r w:rsidR="0020734E">
              <w:rPr>
                <w:rStyle w:val="FootnoteReference"/>
              </w:rPr>
              <w:footnoteReference w:id="5"/>
            </w:r>
            <w:r>
              <w:t xml:space="preserve"> to comply with </w:t>
            </w:r>
            <w:r w:rsidR="00EF063A">
              <w:t>clauses 3.1, 4.2 and 4.4.1(a) of the Guideline</w:t>
            </w:r>
            <w:r w:rsidR="0020734E">
              <w:t xml:space="preserve"> </w:t>
            </w:r>
            <w:r w:rsidR="00FC3128">
              <w:t>until 1 </w:t>
            </w:r>
            <w:r>
              <w:t>June 2020</w:t>
            </w:r>
            <w:r w:rsidR="0020734E">
              <w:rPr>
                <w:rStyle w:val="FootnoteReference"/>
              </w:rPr>
              <w:footnoteReference w:id="6"/>
            </w:r>
            <w:r>
              <w:t xml:space="preserve"> </w:t>
            </w:r>
            <w:r w:rsidR="006C5A1F">
              <w:t>for</w:t>
            </w:r>
            <w:r w:rsidR="00EF063A">
              <w:t xml:space="preserve"> </w:t>
            </w:r>
            <w:r w:rsidR="00753759">
              <w:t xml:space="preserve">SA Power Networks' </w:t>
            </w:r>
            <w:r w:rsidR="00EF063A">
              <w:t>temporary generation project</w:t>
            </w:r>
            <w:r w:rsidR="0020734E">
              <w:t>. This is on the following co</w:t>
            </w:r>
            <w:r w:rsidR="006C5A1F">
              <w:t>ndition</w:t>
            </w:r>
            <w:r w:rsidR="0085701B">
              <w:t>s</w:t>
            </w:r>
            <w:r w:rsidR="0020734E">
              <w:t xml:space="preserve">: </w:t>
            </w:r>
          </w:p>
          <w:p w:rsidR="0020734E" w:rsidRDefault="006C5A1F" w:rsidP="0020734E">
            <w:pPr>
              <w:pStyle w:val="Bulletpoint"/>
            </w:pPr>
            <w:r>
              <w:t xml:space="preserve">that the generation capacity </w:t>
            </w:r>
            <w:r w:rsidR="0085701B">
              <w:t>is only utilised for the purpose of avoiding load shedding for NEM operational purposes when there is no alternative generation available</w:t>
            </w:r>
          </w:p>
          <w:p w:rsidR="00C50247" w:rsidRDefault="006C5A1F" w:rsidP="0020734E">
            <w:pPr>
              <w:pStyle w:val="Bulletpoint"/>
            </w:pPr>
            <w:r>
              <w:t>is only utilised at the direction of AEMO or the South Australian Energy Minister</w:t>
            </w:r>
            <w:r w:rsidR="00C50247">
              <w:t>, and</w:t>
            </w:r>
          </w:p>
          <w:p w:rsidR="00EF063A" w:rsidRDefault="00C50247" w:rsidP="0020734E">
            <w:pPr>
              <w:pStyle w:val="Bulletpoint"/>
            </w:pPr>
            <w:r>
              <w:t>is fully funded by the SA Government</w:t>
            </w:r>
            <w:r w:rsidRPr="00C50247">
              <w:t>, who also receives all revenues from the project</w:t>
            </w:r>
            <w:r w:rsidR="008A60AC">
              <w:t>.</w:t>
            </w:r>
          </w:p>
          <w:p w:rsidR="00EF063A" w:rsidRDefault="00753759" w:rsidP="00EF063A">
            <w:pPr>
              <w:ind w:left="70"/>
            </w:pPr>
            <w:r>
              <w:t>SA Power Networks</w:t>
            </w:r>
            <w:r w:rsidRPr="00753759">
              <w:t xml:space="preserve"> </w:t>
            </w:r>
            <w:r w:rsidR="00EF063A">
              <w:t xml:space="preserve">will be expected to comply with the Guideline in all other </w:t>
            </w:r>
            <w:r w:rsidR="006C5A1F">
              <w:t xml:space="preserve">circumstances, and in all other respects. </w:t>
            </w:r>
          </w:p>
        </w:tc>
      </w:tr>
    </w:tbl>
    <w:p w:rsidR="00D94042" w:rsidRDefault="00EA4F71" w:rsidP="001A756E">
      <w:r>
        <w:t xml:space="preserve">We now invite submissions from interested parties in relation to this draft </w:t>
      </w:r>
      <w:r w:rsidR="00DF708E">
        <w:t>decision.</w:t>
      </w:r>
      <w:r w:rsidR="0004665B">
        <w:t xml:space="preserve"> </w:t>
      </w:r>
      <w:r w:rsidR="00D9050D">
        <w:t xml:space="preserve">After consideration of any submissions, we will prepare our final decision. </w:t>
      </w:r>
    </w:p>
    <w:p w:rsidR="0013432D" w:rsidRDefault="0013432D" w:rsidP="00EA4F71">
      <w:pPr>
        <w:pStyle w:val="Heading2"/>
      </w:pPr>
      <w:bookmarkStart w:id="29" w:name="_Toc483569697"/>
      <w:r>
        <w:t>AER's reasons</w:t>
      </w:r>
      <w:bookmarkEnd w:id="28"/>
      <w:bookmarkEnd w:id="29"/>
    </w:p>
    <w:p w:rsidR="00642966" w:rsidRPr="00686C90" w:rsidRDefault="002709B4" w:rsidP="00642966">
      <w:r>
        <w:t>The Guideline requires that</w:t>
      </w:r>
      <w:r w:rsidR="00B61642">
        <w:t>,</w:t>
      </w:r>
      <w:r>
        <w:t xml:space="preserve"> i</w:t>
      </w:r>
      <w:r w:rsidR="00642966" w:rsidRPr="00686C90">
        <w:t xml:space="preserve">n assessing a waiver application and coming to a decision, </w:t>
      </w:r>
      <w:r w:rsidR="00D9050D">
        <w:t>the AER</w:t>
      </w:r>
      <w:r w:rsidR="00642966" w:rsidRPr="00686C90">
        <w:t xml:space="preserve"> </w:t>
      </w:r>
      <w:r w:rsidR="006C5A1F">
        <w:t>must</w:t>
      </w:r>
      <w:r w:rsidR="00642966" w:rsidRPr="00686C90">
        <w:t xml:space="preserve"> have regard to</w:t>
      </w:r>
      <w:r w:rsidR="00642966" w:rsidRPr="00686C90">
        <w:rPr>
          <w:rStyle w:val="FootnoteReference"/>
        </w:rPr>
        <w:footnoteReference w:id="7"/>
      </w:r>
      <w:r w:rsidR="00642966" w:rsidRPr="00686C90">
        <w:t xml:space="preserve">: </w:t>
      </w:r>
    </w:p>
    <w:p w:rsidR="00642966" w:rsidRPr="00686C90" w:rsidRDefault="00642966" w:rsidP="00642966">
      <w:pPr>
        <w:pStyle w:val="Bulletpoint"/>
      </w:pPr>
      <w:r w:rsidRPr="00686C90">
        <w:t xml:space="preserve">the </w:t>
      </w:r>
      <w:r w:rsidR="00737EF2">
        <w:t>NEO</w:t>
      </w:r>
    </w:p>
    <w:p w:rsidR="00642966" w:rsidRPr="00686C90" w:rsidRDefault="00642966" w:rsidP="00642966">
      <w:pPr>
        <w:pStyle w:val="Bulletpoint"/>
      </w:pPr>
      <w:r w:rsidRPr="00686C90">
        <w:t>the potential for cross-subsidisation and discrimination if th</w:t>
      </w:r>
      <w:r w:rsidR="00D61B42">
        <w:t>e waiver is granted or refused</w:t>
      </w:r>
    </w:p>
    <w:p w:rsidR="00642966" w:rsidRPr="00686C90" w:rsidRDefault="00642966" w:rsidP="00642966">
      <w:pPr>
        <w:pStyle w:val="Bulletpoint"/>
      </w:pPr>
      <w:r w:rsidRPr="00686C90">
        <w:t>whether the benefit, or likely benefit, to electricity consumers of the DNSP complying with the obligation (including any benefit, or likely benefit, from increased competition) would be outweighed by the cost to the DNSP of complying with that obligation</w:t>
      </w:r>
    </w:p>
    <w:p w:rsidR="0079217C" w:rsidRDefault="0079217C" w:rsidP="00642966"/>
    <w:p w:rsidR="00642966" w:rsidRPr="00686C90" w:rsidRDefault="00642966" w:rsidP="00642966">
      <w:r w:rsidRPr="00686C90">
        <w:lastRenderedPageBreak/>
        <w:t xml:space="preserve">and may: </w:t>
      </w:r>
    </w:p>
    <w:p w:rsidR="00642966" w:rsidRPr="00686C90" w:rsidRDefault="00642966" w:rsidP="00642966">
      <w:pPr>
        <w:pStyle w:val="Bulletpoint"/>
      </w:pPr>
      <w:r w:rsidRPr="00686C90">
        <w:t>have regar</w:t>
      </w:r>
      <w:r w:rsidR="00D61B42">
        <w:t>d to any other relevant matter</w:t>
      </w:r>
    </w:p>
    <w:p w:rsidR="00642966" w:rsidRPr="00686C90" w:rsidRDefault="00642966" w:rsidP="00642966">
      <w:pPr>
        <w:pStyle w:val="Bulletpoint"/>
      </w:pPr>
      <w:r w:rsidRPr="00686C90">
        <w:t xml:space="preserve">request further information from </w:t>
      </w:r>
      <w:r w:rsidR="00D61B42">
        <w:t>the DNSP</w:t>
      </w:r>
    </w:p>
    <w:p w:rsidR="00642966" w:rsidRPr="00686C90" w:rsidRDefault="00642966" w:rsidP="00642966">
      <w:pPr>
        <w:pStyle w:val="Bulletpoint"/>
      </w:pPr>
      <w:r w:rsidRPr="00686C90">
        <w:t>invite public</w:t>
      </w:r>
      <w:r w:rsidR="00D61B42">
        <w:t xml:space="preserve"> submissions on the application,</w:t>
      </w:r>
      <w:r w:rsidRPr="00686C90">
        <w:t xml:space="preserve"> and </w:t>
      </w:r>
    </w:p>
    <w:p w:rsidR="00642966" w:rsidRPr="00686C90" w:rsidRDefault="00642966" w:rsidP="00642966">
      <w:pPr>
        <w:pStyle w:val="Bulletpoint"/>
      </w:pPr>
      <w:r w:rsidRPr="00686C90">
        <w:t xml:space="preserve">otherwise conduct such consultation as we consider appropriate with any person. </w:t>
      </w:r>
    </w:p>
    <w:p w:rsidR="006B7EC2" w:rsidRDefault="00EF063A" w:rsidP="00EF063A">
      <w:pPr>
        <w:pStyle w:val="Heading3"/>
      </w:pPr>
      <w:bookmarkStart w:id="30" w:name="_Toc483569698"/>
      <w:r>
        <w:t>Request for interim waiver</w:t>
      </w:r>
      <w:bookmarkEnd w:id="30"/>
    </w:p>
    <w:p w:rsidR="00420041" w:rsidRDefault="00420041" w:rsidP="006B7EC2">
      <w:r>
        <w:t xml:space="preserve">Clause 5.3.3 of the Guideline provides that the AER may grant an interim waiver without having regard to any of the matters specified at </w:t>
      </w:r>
      <w:r w:rsidR="00FC6414">
        <w:t xml:space="preserve">clause </w:t>
      </w:r>
      <w:r>
        <w:t>5.3.2.</w:t>
      </w:r>
      <w:r w:rsidR="00FC6414">
        <w:t xml:space="preserve"> We may then make a further decision to grant or refuse the waiver, or allow the interim waiver to expire on a specified date. </w:t>
      </w:r>
    </w:p>
    <w:p w:rsidR="006A043F" w:rsidRPr="006A043F" w:rsidRDefault="006A043F" w:rsidP="006A043F">
      <w:r w:rsidRPr="006A043F">
        <w:t>We consider it likely that interim waivers will be granted in exceptional circumstances only. Significant factors in deciding to grant an interim waiver will be that:</w:t>
      </w:r>
    </w:p>
    <w:p w:rsidR="006A043F" w:rsidRPr="006A043F" w:rsidRDefault="006A043F" w:rsidP="006A043F">
      <w:pPr>
        <w:pStyle w:val="Bulletpoint"/>
      </w:pPr>
      <w:r w:rsidRPr="006A043F">
        <w:t>we consider we will not be able to make a final decision about the waiver application before the date on which the DNSP would be non-compliant with our Guideli</w:t>
      </w:r>
      <w:r>
        <w:t>ne in the absence of the waiver,</w:t>
      </w:r>
      <w:r w:rsidRPr="006A043F">
        <w:t xml:space="preserve"> or</w:t>
      </w:r>
    </w:p>
    <w:p w:rsidR="00A81D6D" w:rsidRDefault="006A043F" w:rsidP="006A043F">
      <w:pPr>
        <w:pStyle w:val="Bulletpoint"/>
      </w:pPr>
      <w:r w:rsidRPr="006A043F">
        <w:t>we consider it reasonable to allow the DNSP a transitional period where we have decided not to grant, or to vary or revoke, a substantiv</w:t>
      </w:r>
      <w:r w:rsidR="005C6695">
        <w:t>e (that is, non-interim) waiver</w:t>
      </w:r>
      <w:r w:rsidRPr="006A043F">
        <w:t>.</w:t>
      </w:r>
    </w:p>
    <w:p w:rsidR="007A5F9E" w:rsidRDefault="007A5F9E" w:rsidP="007A5F9E">
      <w:r>
        <w:t xml:space="preserve">Clause 7.1(a) of the Guideline requires that a DNSP must fully comply with each of the obligations in clauses 3 and 4 of the Guideline in respect of its existing services as soon as reasonably practicable, having regard to the likely costs of having to fully comply with those obligations any sooner, but in any event no later than 1 January 2018. </w:t>
      </w:r>
      <w:r w:rsidR="000C2550">
        <w:t xml:space="preserve">However, we consider that </w:t>
      </w:r>
      <w:r w:rsidR="006C5A1F">
        <w:t>the services to which the waiver appli</w:t>
      </w:r>
      <w:r w:rsidR="000C2550">
        <w:t xml:space="preserve">cation relates are new services, as they </w:t>
      </w:r>
      <w:r w:rsidR="006C5A1F">
        <w:t>do not involve any legacy arrangements that would require amendment in order to comply with the Guideline</w:t>
      </w:r>
      <w:r w:rsidR="000C2550">
        <w:t>. W</w:t>
      </w:r>
      <w:r w:rsidR="006C5A1F">
        <w:t xml:space="preserve">e </w:t>
      </w:r>
      <w:r w:rsidR="000C2550">
        <w:t xml:space="preserve">therefore </w:t>
      </w:r>
      <w:r w:rsidR="006C5A1F">
        <w:t xml:space="preserve">consider that, </w:t>
      </w:r>
      <w:r w:rsidR="000C2550">
        <w:t xml:space="preserve">unless the waiver is granted, </w:t>
      </w:r>
      <w:r w:rsidR="00C50247">
        <w:t xml:space="preserve">SA Power Networks </w:t>
      </w:r>
      <w:r w:rsidR="006C5A1F">
        <w:t xml:space="preserve">would be required to comply with the Guideline in respect of those services from 1 December 2017 (that is, from the date on which the temporary generation becomes operational). </w:t>
      </w:r>
    </w:p>
    <w:p w:rsidR="00EF063A" w:rsidRDefault="001D2540" w:rsidP="006B7EC2">
      <w:r>
        <w:t>SA Power Networks</w:t>
      </w:r>
      <w:r w:rsidR="00EF063A">
        <w:t xml:space="preserve"> request</w:t>
      </w:r>
      <w:r w:rsidR="00420041">
        <w:t>ed the AER grant</w:t>
      </w:r>
      <w:r w:rsidR="00B61642">
        <w:t xml:space="preserve"> an</w:t>
      </w:r>
      <w:r w:rsidR="00420041">
        <w:t xml:space="preserve"> interim waiver to enable it </w:t>
      </w:r>
      <w:r w:rsidR="00EF063A">
        <w:t xml:space="preserve">to </w:t>
      </w:r>
      <w:r w:rsidR="00420041">
        <w:t>meet the SA Government's target date for operation of the temporary generation.</w:t>
      </w:r>
      <w:r w:rsidR="00C62C0B">
        <w:t xml:space="preserve"> We are satisfied an interim waiver is not required because </w:t>
      </w:r>
      <w:r>
        <w:t>SA Power Networks</w:t>
      </w:r>
      <w:r w:rsidR="00C62C0B">
        <w:t xml:space="preserve"> </w:t>
      </w:r>
      <w:r w:rsidR="00F72D87">
        <w:t>is unlikely to</w:t>
      </w:r>
      <w:r w:rsidR="00C62C0B">
        <w:t xml:space="preserve"> be in breach of the Guideline until the temporary generators are </w:t>
      </w:r>
      <w:r w:rsidR="0092599A">
        <w:t>operational</w:t>
      </w:r>
      <w:r w:rsidR="006A043F">
        <w:t>, from 1 December 2017</w:t>
      </w:r>
      <w:r w:rsidR="00C62C0B">
        <w:t xml:space="preserve">. </w:t>
      </w:r>
    </w:p>
    <w:p w:rsidR="00EF063A" w:rsidRDefault="00175E3D" w:rsidP="006B7EC2">
      <w:r>
        <w:t xml:space="preserve">The </w:t>
      </w:r>
      <w:r w:rsidR="00FC6414">
        <w:t>standard assessment process allows for us to fully consider the matters specified at clause 5.3.2 and also invite submissions from interested parties.</w:t>
      </w:r>
      <w:r w:rsidR="00C62CA2">
        <w:t xml:space="preserve"> T</w:t>
      </w:r>
      <w:r w:rsidR="00F77D70">
        <w:t xml:space="preserve">he standard assessment process will </w:t>
      </w:r>
      <w:r w:rsidR="00C62CA2">
        <w:t>apply except in</w:t>
      </w:r>
      <w:r w:rsidR="00F77D70">
        <w:t xml:space="preserve"> exceptional circumstances. </w:t>
      </w:r>
      <w:r w:rsidR="007A5F9E">
        <w:t>While we note that the temporary generation is not due to be operational until 1 December 2017, we</w:t>
      </w:r>
      <w:r w:rsidR="00420041">
        <w:t xml:space="preserve"> </w:t>
      </w:r>
      <w:r w:rsidR="00FC6414">
        <w:t xml:space="preserve">also </w:t>
      </w:r>
      <w:r w:rsidR="00420041">
        <w:t xml:space="preserve">note that </w:t>
      </w:r>
      <w:r w:rsidR="00FC6414">
        <w:t>the timeframe</w:t>
      </w:r>
      <w:r w:rsidR="00C62C0B">
        <w:t xml:space="preserve"> </w:t>
      </w:r>
      <w:r w:rsidR="005E21FE">
        <w:t xml:space="preserve">set </w:t>
      </w:r>
      <w:r w:rsidR="00FC6414">
        <w:t>by the SA Government</w:t>
      </w:r>
      <w:r w:rsidR="00C62C0B">
        <w:t xml:space="preserve"> </w:t>
      </w:r>
      <w:r w:rsidR="005E21FE">
        <w:t xml:space="preserve">for </w:t>
      </w:r>
      <w:r w:rsidR="00B66178">
        <w:t>commission</w:t>
      </w:r>
      <w:r w:rsidR="005E21FE">
        <w:t>ing</w:t>
      </w:r>
      <w:r w:rsidR="00C62C0B">
        <w:t xml:space="preserve"> </w:t>
      </w:r>
      <w:r w:rsidR="00F77D70">
        <w:t>and construct</w:t>
      </w:r>
      <w:r w:rsidR="005E21FE">
        <w:t>ing</w:t>
      </w:r>
      <w:r w:rsidR="00F77D70">
        <w:t xml:space="preserve"> </w:t>
      </w:r>
      <w:r w:rsidR="00C62C0B">
        <w:t xml:space="preserve">the generators </w:t>
      </w:r>
      <w:r w:rsidR="00FC6414">
        <w:t>is limited</w:t>
      </w:r>
      <w:r w:rsidR="00C62C0B">
        <w:t xml:space="preserve">. We accept that </w:t>
      </w:r>
      <w:r w:rsidR="00420041">
        <w:t xml:space="preserve">a </w:t>
      </w:r>
      <w:r w:rsidR="00C62C0B">
        <w:t xml:space="preserve">timely waiver assessment </w:t>
      </w:r>
      <w:r w:rsidR="00420041">
        <w:t xml:space="preserve">process will </w:t>
      </w:r>
      <w:r w:rsidR="00C62C0B">
        <w:t xml:space="preserve">assist </w:t>
      </w:r>
      <w:r w:rsidR="001D2540">
        <w:t>SA</w:t>
      </w:r>
      <w:r w:rsidR="00F77D70">
        <w:t> </w:t>
      </w:r>
      <w:r w:rsidR="001D2540">
        <w:t>Power Networks</w:t>
      </w:r>
      <w:r w:rsidR="0092599A">
        <w:t xml:space="preserve"> to decide whether</w:t>
      </w:r>
      <w:r w:rsidR="00420041">
        <w:t xml:space="preserve"> </w:t>
      </w:r>
      <w:r w:rsidR="00C62C0B">
        <w:t>to enter</w:t>
      </w:r>
      <w:r w:rsidR="00420041">
        <w:t xml:space="preserve"> into agreements and </w:t>
      </w:r>
      <w:r w:rsidR="00D46D5B">
        <w:t>other</w:t>
      </w:r>
      <w:r w:rsidR="00C62C0B">
        <w:t xml:space="preserve"> </w:t>
      </w:r>
      <w:r w:rsidR="001D2540">
        <w:t>arrangements</w:t>
      </w:r>
      <w:r w:rsidR="00C62C0B">
        <w:t xml:space="preserve"> necessary to</w:t>
      </w:r>
      <w:r w:rsidR="00D46D5B">
        <w:t xml:space="preserve"> </w:t>
      </w:r>
      <w:r w:rsidR="00420041">
        <w:t xml:space="preserve">progress the development of the </w:t>
      </w:r>
      <w:r w:rsidR="00FC6414">
        <w:t xml:space="preserve">new </w:t>
      </w:r>
      <w:r w:rsidR="00420041">
        <w:t>temporary generation</w:t>
      </w:r>
      <w:r w:rsidR="00FC6414">
        <w:t xml:space="preserve"> service</w:t>
      </w:r>
      <w:r w:rsidR="00F72D87">
        <w:t>.</w:t>
      </w:r>
    </w:p>
    <w:p w:rsidR="00420041" w:rsidRDefault="00420041" w:rsidP="006B7EC2">
      <w:r>
        <w:lastRenderedPageBreak/>
        <w:t xml:space="preserve">On this basis, we consider </w:t>
      </w:r>
      <w:r w:rsidR="00FC6414">
        <w:t xml:space="preserve">the standard </w:t>
      </w:r>
      <w:r w:rsidR="00175E3D">
        <w:t xml:space="preserve">assessment </w:t>
      </w:r>
      <w:r w:rsidR="00FC6414">
        <w:t>process is appropr</w:t>
      </w:r>
      <w:r w:rsidR="00D46D5B">
        <w:t>iate</w:t>
      </w:r>
      <w:r w:rsidR="007A5F9E">
        <w:t xml:space="preserve"> for this application</w:t>
      </w:r>
      <w:r w:rsidR="00D46D5B">
        <w:t xml:space="preserve">. </w:t>
      </w:r>
      <w:r w:rsidR="00175E3D">
        <w:t xml:space="preserve">In this case, to the extent possible, we </w:t>
      </w:r>
      <w:r w:rsidR="005E21FE">
        <w:t xml:space="preserve">are aiming </w:t>
      </w:r>
      <w:r w:rsidR="000765F2">
        <w:t>to expedite</w:t>
      </w:r>
      <w:r w:rsidR="00175E3D">
        <w:t xml:space="preserve"> </w:t>
      </w:r>
      <w:r w:rsidR="000765F2">
        <w:t>that</w:t>
      </w:r>
      <w:r w:rsidR="00175E3D">
        <w:t xml:space="preserve"> process. </w:t>
      </w:r>
      <w:r w:rsidR="005E21FE">
        <w:t xml:space="preserve">Our timetabling objective is </w:t>
      </w:r>
      <w:r w:rsidR="00175E3D">
        <w:t xml:space="preserve">to complete our standard assessment process for this matter by 5 July 2017. </w:t>
      </w:r>
    </w:p>
    <w:p w:rsidR="00D46D5B" w:rsidRDefault="00D46D5B" w:rsidP="00D46D5B">
      <w:pPr>
        <w:pStyle w:val="Heading3"/>
      </w:pPr>
      <w:bookmarkStart w:id="31" w:name="_Toc483569699"/>
      <w:r>
        <w:t>Scope of waiver</w:t>
      </w:r>
      <w:bookmarkEnd w:id="31"/>
    </w:p>
    <w:p w:rsidR="006B7EC2" w:rsidRDefault="001D2540" w:rsidP="006B7EC2">
      <w:r>
        <w:t>SA Power Networks</w:t>
      </w:r>
      <w:r w:rsidR="006B7EC2">
        <w:t xml:space="preserve"> has sought </w:t>
      </w:r>
      <w:r w:rsidR="00B61642">
        <w:t xml:space="preserve">a </w:t>
      </w:r>
      <w:r w:rsidR="006B7EC2">
        <w:t>waiver from all of the:</w:t>
      </w:r>
    </w:p>
    <w:p w:rsidR="006B7EC2" w:rsidRPr="00B871E4" w:rsidRDefault="00B61642" w:rsidP="006B7EC2">
      <w:pPr>
        <w:pStyle w:val="Bulletpoint"/>
      </w:pPr>
      <w:r>
        <w:t>l</w:t>
      </w:r>
      <w:r w:rsidR="006B7EC2" w:rsidRPr="00B871E4">
        <w:t xml:space="preserve">egal separation obligations listed in </w:t>
      </w:r>
      <w:r w:rsidR="00AE5073">
        <w:t>clause</w:t>
      </w:r>
      <w:r w:rsidR="006B7EC2" w:rsidRPr="00B871E4">
        <w:t xml:space="preserve"> 3.1 of the Guideline</w:t>
      </w:r>
      <w:r>
        <w:t>,</w:t>
      </w:r>
      <w:r w:rsidR="006B7EC2" w:rsidRPr="00B871E4">
        <w:t xml:space="preserve"> and </w:t>
      </w:r>
    </w:p>
    <w:p w:rsidR="006B7EC2" w:rsidRPr="00B871E4" w:rsidRDefault="00B61642" w:rsidP="006B7EC2">
      <w:pPr>
        <w:pStyle w:val="Bulletpoint"/>
      </w:pPr>
      <w:r>
        <w:t>f</w:t>
      </w:r>
      <w:r w:rsidR="006B7EC2" w:rsidRPr="00B871E4">
        <w:t xml:space="preserve">unctional separation obligations listed in </w:t>
      </w:r>
      <w:r w:rsidR="00AE5073">
        <w:t>clause</w:t>
      </w:r>
      <w:r w:rsidR="006B7EC2" w:rsidRPr="00B871E4">
        <w:t xml:space="preserve"> 4 of the Guideline. </w:t>
      </w:r>
    </w:p>
    <w:p w:rsidR="00107E30" w:rsidRDefault="006B7EC2" w:rsidP="001A756E">
      <w:r>
        <w:t xml:space="preserve">However, </w:t>
      </w:r>
      <w:r w:rsidR="00E54481">
        <w:t xml:space="preserve">a </w:t>
      </w:r>
      <w:r>
        <w:t xml:space="preserve">waiver </w:t>
      </w:r>
      <w:r w:rsidR="00B61642">
        <w:t>is</w:t>
      </w:r>
      <w:r>
        <w:t xml:space="preserve"> only available in relation to</w:t>
      </w:r>
      <w:r w:rsidR="00107E30">
        <w:t xml:space="preserve"> clauses:</w:t>
      </w:r>
    </w:p>
    <w:p w:rsidR="00107E30" w:rsidRDefault="00107E30" w:rsidP="00107E30">
      <w:pPr>
        <w:pStyle w:val="Bulletpoint"/>
      </w:pPr>
      <w:r>
        <w:t>3.1</w:t>
      </w:r>
      <w:r w:rsidR="00127B9E">
        <w:t xml:space="preserve"> - </w:t>
      </w:r>
      <w:r>
        <w:t>Legal separation</w:t>
      </w:r>
    </w:p>
    <w:p w:rsidR="00107E30" w:rsidRDefault="00107E30" w:rsidP="00107E30">
      <w:pPr>
        <w:pStyle w:val="Bulletpoint"/>
      </w:pPr>
      <w:r>
        <w:t xml:space="preserve">4.2 </w:t>
      </w:r>
      <w:r w:rsidR="00B37F90">
        <w:t xml:space="preserve">- </w:t>
      </w:r>
      <w:r>
        <w:t>Physical separation, staff separation, branding and cross-promotion and office and staff registers, and</w:t>
      </w:r>
    </w:p>
    <w:p w:rsidR="00107E30" w:rsidRDefault="00107E30" w:rsidP="00107E30">
      <w:pPr>
        <w:pStyle w:val="Bulletpoint"/>
      </w:pPr>
      <w:r>
        <w:t xml:space="preserve">4.4.1(a) </w:t>
      </w:r>
      <w:r w:rsidR="00B37F90">
        <w:t xml:space="preserve">- </w:t>
      </w:r>
      <w:r>
        <w:t xml:space="preserve">Ensuring that any new or varied agreement between the DNSP and a service provider requires that service provider to comply with the relevant clauses of the Guideline. </w:t>
      </w:r>
    </w:p>
    <w:p w:rsidR="00107E30" w:rsidRDefault="00107E30" w:rsidP="00107E30">
      <w:pPr>
        <w:pStyle w:val="Bulletpoint"/>
        <w:numPr>
          <w:ilvl w:val="0"/>
          <w:numId w:val="0"/>
        </w:numPr>
      </w:pPr>
      <w:r>
        <w:t xml:space="preserve">Therefore, </w:t>
      </w:r>
      <w:r w:rsidRPr="00107E30">
        <w:t xml:space="preserve">we will conduct our assessment in relation </w:t>
      </w:r>
      <w:r w:rsidR="00B21984">
        <w:t xml:space="preserve">to </w:t>
      </w:r>
      <w:r>
        <w:t xml:space="preserve">these clauses </w:t>
      </w:r>
      <w:r w:rsidRPr="00107E30">
        <w:t>only.</w:t>
      </w:r>
    </w:p>
    <w:p w:rsidR="006B7EC2" w:rsidRDefault="006B7EC2" w:rsidP="006B7EC2">
      <w:pPr>
        <w:pStyle w:val="Heading3"/>
      </w:pPr>
      <w:bookmarkStart w:id="32" w:name="_Toc483569700"/>
      <w:r>
        <w:t>N</w:t>
      </w:r>
      <w:r w:rsidR="00F36DC0">
        <w:t>ational Electricity Objective</w:t>
      </w:r>
      <w:bookmarkEnd w:id="32"/>
    </w:p>
    <w:p w:rsidR="0013432D" w:rsidRDefault="00DF708E" w:rsidP="001A756E">
      <w:r>
        <w:t xml:space="preserve">With regard to the NEO, </w:t>
      </w:r>
      <w:r w:rsidR="001D2540">
        <w:t>SA Power Networks</w:t>
      </w:r>
      <w:r>
        <w:t xml:space="preserve"> submit</w:t>
      </w:r>
      <w:r w:rsidR="00AE5073">
        <w:t>ted</w:t>
      </w:r>
      <w:r>
        <w:t xml:space="preserve"> that:</w:t>
      </w:r>
    </w:p>
    <w:p w:rsidR="00F53CC9" w:rsidRDefault="00AE5073" w:rsidP="00DF708E">
      <w:pPr>
        <w:pStyle w:val="Bulletpoint"/>
      </w:pPr>
      <w:r>
        <w:t>the operation will be temporary and will facilitate the delivery of the SA Government's Energy Plan</w:t>
      </w:r>
    </w:p>
    <w:p w:rsidR="00DF708E" w:rsidRDefault="00AE5073" w:rsidP="00DF708E">
      <w:pPr>
        <w:pStyle w:val="Bulletpoint"/>
      </w:pPr>
      <w:r>
        <w:t xml:space="preserve">the provision and operation of the temporary generation </w:t>
      </w:r>
      <w:r w:rsidR="00B66178">
        <w:t xml:space="preserve">is designed </w:t>
      </w:r>
      <w:r w:rsidR="00C3658B">
        <w:t xml:space="preserve">to </w:t>
      </w:r>
      <w:r>
        <w:t>prevent the need for load shedding of customers in South Australia due to a shortfall in available generation</w:t>
      </w:r>
    </w:p>
    <w:p w:rsidR="0061401B" w:rsidRDefault="00AE5073" w:rsidP="00DF708E">
      <w:pPr>
        <w:pStyle w:val="Bulletpoint"/>
      </w:pPr>
      <w:r>
        <w:t xml:space="preserve">the temporary generation will not </w:t>
      </w:r>
      <w:r w:rsidR="00B66178">
        <w:t xml:space="preserve">normally </w:t>
      </w:r>
      <w:r>
        <w:t>affect the operation of the NEM</w:t>
      </w:r>
    </w:p>
    <w:p w:rsidR="00C50247" w:rsidRDefault="00AE5073" w:rsidP="00DF708E">
      <w:pPr>
        <w:pStyle w:val="Bulletpoint"/>
      </w:pPr>
      <w:r>
        <w:t>the temporary generation will only be operated at the direction of AEMO or the S</w:t>
      </w:r>
      <w:r w:rsidR="0020734E">
        <w:t>outh Australian</w:t>
      </w:r>
      <w:r w:rsidR="008B4EF0">
        <w:t> </w:t>
      </w:r>
      <w:r>
        <w:t>Energy Minister</w:t>
      </w:r>
      <w:r w:rsidR="00B66178">
        <w:t xml:space="preserve"> </w:t>
      </w:r>
    </w:p>
    <w:p w:rsidR="009579D7" w:rsidRDefault="001A3728" w:rsidP="00DF708E">
      <w:pPr>
        <w:pStyle w:val="Bulletpoint"/>
      </w:pPr>
      <w:r>
        <w:t>t</w:t>
      </w:r>
      <w:r w:rsidR="009579D7">
        <w:t>he SA Government will bear all costs from the project and will also receive any market revenues from providing the generation</w:t>
      </w:r>
    </w:p>
    <w:p w:rsidR="0061401B" w:rsidRDefault="00AE5073" w:rsidP="00DF708E">
      <w:pPr>
        <w:pStyle w:val="Bulletpoint"/>
      </w:pPr>
      <w:r>
        <w:t xml:space="preserve">the SA Government considers </w:t>
      </w:r>
      <w:r w:rsidR="001D2540">
        <w:t>SA Power Networks</w:t>
      </w:r>
      <w:r>
        <w:t xml:space="preserve"> is likely to be able to deliver the project at the least cost. </w:t>
      </w:r>
    </w:p>
    <w:p w:rsidR="0061401B" w:rsidRDefault="00924F6C" w:rsidP="0061401B">
      <w:pPr>
        <w:pStyle w:val="Bulletpoint"/>
        <w:numPr>
          <w:ilvl w:val="0"/>
          <w:numId w:val="0"/>
        </w:numPr>
        <w:ind w:left="357" w:hanging="357"/>
      </w:pPr>
      <w:r>
        <w:t>We</w:t>
      </w:r>
      <w:r w:rsidR="000C2550">
        <w:t xml:space="preserve"> consider that</w:t>
      </w:r>
      <w:r w:rsidR="0061401B">
        <w:t>:</w:t>
      </w:r>
    </w:p>
    <w:p w:rsidR="0021402A" w:rsidRPr="0021402A" w:rsidRDefault="0021402A" w:rsidP="0021402A">
      <w:pPr>
        <w:pStyle w:val="Bulletpoint"/>
      </w:pPr>
      <w:r w:rsidRPr="0021402A">
        <w:t>based on the assessme</w:t>
      </w:r>
      <w:r w:rsidR="0020734E">
        <w:t>nt of the SA Government in its E</w:t>
      </w:r>
      <w:r>
        <w:t xml:space="preserve">nergy </w:t>
      </w:r>
      <w:r w:rsidR="0020734E">
        <w:t>P</w:t>
      </w:r>
      <w:r>
        <w:t>lan, granting the waiver</w:t>
      </w:r>
      <w:r w:rsidRPr="0021402A">
        <w:t xml:space="preserve"> is likely </w:t>
      </w:r>
      <w:r w:rsidR="00991D8B">
        <w:t>to enable the project to be delivered at a</w:t>
      </w:r>
      <w:r w:rsidRPr="0021402A">
        <w:t xml:space="preserve"> lower cost. The project, regardless of the entity that delivers it, is likely to represent a significant cost to the SA Government. If the waiver </w:t>
      </w:r>
      <w:r w:rsidR="00B61642">
        <w:t>is</w:t>
      </w:r>
      <w:r w:rsidRPr="0021402A">
        <w:t xml:space="preserve"> refused, these costs may be higher (including both sunk costs in relation to </w:t>
      </w:r>
      <w:r w:rsidR="00C50247" w:rsidRPr="0021402A">
        <w:t>SA</w:t>
      </w:r>
      <w:r w:rsidR="00C50247">
        <w:t xml:space="preserve"> Power Networks</w:t>
      </w:r>
      <w:r w:rsidR="00C50247" w:rsidRPr="0021402A">
        <w:t xml:space="preserve">' </w:t>
      </w:r>
      <w:r w:rsidRPr="0021402A">
        <w:t xml:space="preserve">delivery of this project, and any additional costs that a new provider, </w:t>
      </w:r>
      <w:r w:rsidRPr="0021402A">
        <w:lastRenderedPageBreak/>
        <w:t xml:space="preserve">and the SA </w:t>
      </w:r>
      <w:r w:rsidR="00C50247">
        <w:t>G</w:t>
      </w:r>
      <w:r w:rsidRPr="0021402A">
        <w:t>overnment, might incur in order for the new provider to deliver the project in lieu of SA</w:t>
      </w:r>
      <w:r>
        <w:t xml:space="preserve"> Power Networks</w:t>
      </w:r>
      <w:r w:rsidRPr="0021402A">
        <w:t xml:space="preserve">). </w:t>
      </w:r>
    </w:p>
    <w:p w:rsidR="00880159" w:rsidRDefault="000C2550" w:rsidP="004A249D">
      <w:pPr>
        <w:pStyle w:val="Bulletpoint"/>
      </w:pPr>
      <w:r>
        <w:t>a</w:t>
      </w:r>
      <w:r w:rsidR="0048771C">
        <w:t xml:space="preserve">s the </w:t>
      </w:r>
      <w:r w:rsidR="00B66178">
        <w:t xml:space="preserve">generator </w:t>
      </w:r>
      <w:r w:rsidR="0048771C">
        <w:t xml:space="preserve">will not </w:t>
      </w:r>
      <w:r w:rsidR="00B66178">
        <w:t xml:space="preserve">normally </w:t>
      </w:r>
      <w:r w:rsidR="0048771C">
        <w:t xml:space="preserve">be </w:t>
      </w:r>
      <w:r w:rsidR="00B66178">
        <w:t xml:space="preserve">operated </w:t>
      </w:r>
      <w:r w:rsidR="00BB1A1B">
        <w:t xml:space="preserve">as </w:t>
      </w:r>
      <w:r w:rsidR="0048771C">
        <w:t xml:space="preserve">part of the NEM, it will not </w:t>
      </w:r>
      <w:r w:rsidR="00B66178">
        <w:t xml:space="preserve">normally </w:t>
      </w:r>
      <w:r w:rsidR="0048771C">
        <w:t xml:space="preserve">affect the NEM pool price in South Australia. </w:t>
      </w:r>
      <w:r w:rsidR="00B66178">
        <w:t>I</w:t>
      </w:r>
      <w:r w:rsidR="00BB1A1B">
        <w:t xml:space="preserve">n the exceptional </w:t>
      </w:r>
      <w:r w:rsidR="00B66178">
        <w:t>circum</w:t>
      </w:r>
      <w:r w:rsidR="00BB1A1B">
        <w:t>stances</w:t>
      </w:r>
      <w:r w:rsidR="00B66178">
        <w:t xml:space="preserve"> where the </w:t>
      </w:r>
      <w:r w:rsidR="001D2540">
        <w:t>generator</w:t>
      </w:r>
      <w:r w:rsidR="00B66178">
        <w:t xml:space="preserve"> is operated</w:t>
      </w:r>
      <w:r w:rsidR="00BB1A1B">
        <w:t xml:space="preserve"> to</w:t>
      </w:r>
      <w:r w:rsidR="0099711D">
        <w:t xml:space="preserve"> </w:t>
      </w:r>
      <w:r w:rsidR="00BB1A1B">
        <w:t xml:space="preserve">help </w:t>
      </w:r>
      <w:r w:rsidR="0099711D">
        <w:t xml:space="preserve">prevent load shedding, </w:t>
      </w:r>
      <w:r w:rsidR="0048771C">
        <w:t>consumers are likely to benefit by paying a lower price for electricity received in times of shortage than they would without the te</w:t>
      </w:r>
      <w:r w:rsidR="0099711D">
        <w:t xml:space="preserve">mporary generation in operation. </w:t>
      </w:r>
    </w:p>
    <w:p w:rsidR="009579D7" w:rsidRDefault="001A3728" w:rsidP="004A249D">
      <w:pPr>
        <w:pStyle w:val="Bulletpoint"/>
      </w:pPr>
      <w:r>
        <w:t>based on SA Power Networks' submission</w:t>
      </w:r>
      <w:r w:rsidR="0079217C">
        <w:t>s</w:t>
      </w:r>
      <w:r>
        <w:t xml:space="preserve"> tha</w:t>
      </w:r>
      <w:r w:rsidR="005E21FE">
        <w:t xml:space="preserve">t the costs of the temporary generation will be borne by the SA Government, </w:t>
      </w:r>
      <w:r w:rsidR="0079217C">
        <w:t xml:space="preserve">that </w:t>
      </w:r>
      <w:r w:rsidR="005E21FE">
        <w:t>SA Power Networks</w:t>
      </w:r>
      <w:r>
        <w:t xml:space="preserve"> will not be able to earn revenue from the temporary generation, </w:t>
      </w:r>
      <w:r w:rsidR="00F773B1">
        <w:t xml:space="preserve">and </w:t>
      </w:r>
      <w:r w:rsidR="005E21FE">
        <w:t xml:space="preserve">that SA Power Networks </w:t>
      </w:r>
      <w:r w:rsidR="00F773B1">
        <w:t xml:space="preserve">will not be able to decide when to operate the temporary generation, </w:t>
      </w:r>
      <w:r>
        <w:t>we consider</w:t>
      </w:r>
      <w:r w:rsidR="008E4CF1">
        <w:t xml:space="preserve"> that</w:t>
      </w:r>
      <w:r>
        <w:t xml:space="preserve"> it is unlikely to </w:t>
      </w:r>
      <w:r w:rsidR="00F773B1">
        <w:t>gain any benefit from cross-subsidising</w:t>
      </w:r>
      <w:r>
        <w:t xml:space="preserve"> </w:t>
      </w:r>
      <w:r w:rsidR="00F773B1">
        <w:t>or discriminating in favour of the temporary generation.</w:t>
      </w:r>
      <w:r w:rsidR="008E4CF1">
        <w:t xml:space="preserve"> On this basis, </w:t>
      </w:r>
      <w:r w:rsidR="00F773B1">
        <w:t xml:space="preserve">SA Power </w:t>
      </w:r>
      <w:r w:rsidR="005C6695">
        <w:t>Networks' remaining</w:t>
      </w:r>
      <w:r w:rsidR="008E4CF1">
        <w:t xml:space="preserve"> role in relation to the temporary generation </w:t>
      </w:r>
      <w:r w:rsidR="0079217C">
        <w:t>is</w:t>
      </w:r>
      <w:r w:rsidR="00F773B1">
        <w:t xml:space="preserve"> unlikely to distort </w:t>
      </w:r>
      <w:r w:rsidR="00F773B1" w:rsidRPr="004A7489">
        <w:t xml:space="preserve">efficient investment in, </w:t>
      </w:r>
      <w:r w:rsidR="008E4CF1">
        <w:t>or</w:t>
      </w:r>
      <w:r w:rsidR="00F773B1" w:rsidRPr="004A7489">
        <w:t xml:space="preserve"> efficient operation and use of, </w:t>
      </w:r>
      <w:r w:rsidR="008E4CF1">
        <w:t>other generation assets or services.</w:t>
      </w:r>
    </w:p>
    <w:p w:rsidR="0021402A" w:rsidRPr="0021402A" w:rsidRDefault="0021402A" w:rsidP="0021402A">
      <w:pPr>
        <w:pStyle w:val="Bulletpoint"/>
        <w:numPr>
          <w:ilvl w:val="0"/>
          <w:numId w:val="0"/>
        </w:numPr>
      </w:pPr>
      <w:r w:rsidRPr="0021402A">
        <w:t>We consider, based on the assessments by the SA Government, that</w:t>
      </w:r>
      <w:r>
        <w:t xml:space="preserve"> </w:t>
      </w:r>
      <w:r w:rsidRPr="0021402A">
        <w:t xml:space="preserve">granting SA Power Networks </w:t>
      </w:r>
      <w:r w:rsidR="00B61642">
        <w:t xml:space="preserve">a </w:t>
      </w:r>
      <w:r w:rsidRPr="0021402A">
        <w:t>waiver to enable it to provide the temporary generation is likely to be consistent with the NEO, as long as</w:t>
      </w:r>
      <w:r w:rsidR="00F773B1">
        <w:t>:</w:t>
      </w:r>
      <w:r w:rsidRPr="0021402A">
        <w:t xml:space="preserve"> the temporary generation capacity is only utilised for the purpose of avoiding load shedding for NEM operational purposes when there is no alternative generation available</w:t>
      </w:r>
      <w:r w:rsidR="00F773B1">
        <w:t xml:space="preserve">; </w:t>
      </w:r>
      <w:r w:rsidRPr="0021402A">
        <w:t xml:space="preserve">is only utilised at the direction of AEMO or </w:t>
      </w:r>
      <w:r w:rsidR="0020734E">
        <w:t xml:space="preserve">the South Australian </w:t>
      </w:r>
      <w:r w:rsidRPr="0021402A">
        <w:t>Energy Minister</w:t>
      </w:r>
      <w:r w:rsidR="00F773B1">
        <w:t>; and the</w:t>
      </w:r>
      <w:r w:rsidR="00F773B1" w:rsidRPr="00F773B1">
        <w:t xml:space="preserve"> project is fully funded by the SA Government, who will also receive </w:t>
      </w:r>
      <w:r w:rsidR="005E21FE">
        <w:t>all revenue</w:t>
      </w:r>
      <w:r w:rsidR="00F773B1" w:rsidRPr="00F773B1">
        <w:t xml:space="preserve"> from providing the generation</w:t>
      </w:r>
      <w:r w:rsidRPr="0021402A">
        <w:t xml:space="preserve">. </w:t>
      </w:r>
    </w:p>
    <w:p w:rsidR="00880159" w:rsidRDefault="006B7EC2" w:rsidP="006B7EC2">
      <w:pPr>
        <w:pStyle w:val="Heading3"/>
      </w:pPr>
      <w:bookmarkStart w:id="33" w:name="_Toc483569701"/>
      <w:r>
        <w:t xml:space="preserve">Potential </w:t>
      </w:r>
      <w:r w:rsidRPr="006B7EC2">
        <w:t>for cross-subsidisation and discrimination if the waiver is granted or refused</w:t>
      </w:r>
      <w:bookmarkEnd w:id="33"/>
    </w:p>
    <w:p w:rsidR="0061401B" w:rsidRDefault="006B7EC2" w:rsidP="00B4634F">
      <w:r>
        <w:t>With regard to the above</w:t>
      </w:r>
      <w:r w:rsidR="00B4634F">
        <w:t xml:space="preserve">, </w:t>
      </w:r>
      <w:r w:rsidR="00753759">
        <w:t xml:space="preserve">SA </w:t>
      </w:r>
      <w:r w:rsidR="00FF60D0">
        <w:t>Power Networks</w:t>
      </w:r>
      <w:r w:rsidR="00B4634F">
        <w:t xml:space="preserve"> submit</w:t>
      </w:r>
      <w:r w:rsidR="008B4EF0">
        <w:t>ted</w:t>
      </w:r>
      <w:r w:rsidR="00B4634F">
        <w:t xml:space="preserve"> that:</w:t>
      </w:r>
    </w:p>
    <w:p w:rsidR="009579D7" w:rsidRDefault="009579D7" w:rsidP="00B4634F">
      <w:pPr>
        <w:pStyle w:val="Bulletpoint"/>
      </w:pPr>
      <w:r>
        <w:t>t</w:t>
      </w:r>
      <w:r w:rsidR="00FE04FF">
        <w:t>here are no incentives for it to cross-subsidise the temporary generation, as all costs associated with the provision, operation and decommissioning will be borne by the SA</w:t>
      </w:r>
      <w:r>
        <w:t> </w:t>
      </w:r>
      <w:r w:rsidR="00FE04FF">
        <w:t>Government</w:t>
      </w:r>
    </w:p>
    <w:p w:rsidR="00B4634F" w:rsidRDefault="009579D7" w:rsidP="00B4634F">
      <w:pPr>
        <w:pStyle w:val="Bulletpoint"/>
      </w:pPr>
      <w:r>
        <w:t>the provision and operation of the temporary generation will be structured as a specific project within its financial system and SA Power Networks will ensure separation of accounts and cost allocation and attribution</w:t>
      </w:r>
      <w:r w:rsidR="00C7007B">
        <w:t>, and</w:t>
      </w:r>
    </w:p>
    <w:p w:rsidR="00FE04FF" w:rsidRDefault="00C7007B" w:rsidP="00B4634F">
      <w:pPr>
        <w:pStyle w:val="Bulletpoint"/>
      </w:pPr>
      <w:r>
        <w:t>so</w:t>
      </w:r>
      <w:r w:rsidR="00FE04FF">
        <w:t>urcing of the</w:t>
      </w:r>
      <w:r w:rsidR="00940D5F">
        <w:t xml:space="preserve"> temporary generation solution i</w:t>
      </w:r>
      <w:r w:rsidR="00FE04FF">
        <w:t>s being undertaken through a competitive process</w:t>
      </w:r>
      <w:r w:rsidR="00BB1A1B">
        <w:t xml:space="preserve"> administered by SA Power Networks</w:t>
      </w:r>
      <w:r w:rsidR="00FE04FF">
        <w:t xml:space="preserve">. </w:t>
      </w:r>
    </w:p>
    <w:p w:rsidR="00FE04FF" w:rsidRDefault="00924F6C" w:rsidP="00FE04FF">
      <w:pPr>
        <w:pStyle w:val="Bulletpoint"/>
        <w:numPr>
          <w:ilvl w:val="0"/>
          <w:numId w:val="0"/>
        </w:numPr>
        <w:ind w:left="357" w:hanging="357"/>
      </w:pPr>
      <w:r>
        <w:t>We</w:t>
      </w:r>
      <w:r w:rsidR="002A5746">
        <w:t xml:space="preserve"> </w:t>
      </w:r>
      <w:r w:rsidR="00FE04FF">
        <w:t>consider that:</w:t>
      </w:r>
    </w:p>
    <w:p w:rsidR="00FF60D0" w:rsidRDefault="00F773B1" w:rsidP="00FE04FF">
      <w:pPr>
        <w:pStyle w:val="Bulletpoint"/>
      </w:pPr>
      <w:r>
        <w:t xml:space="preserve">based on </w:t>
      </w:r>
      <w:r w:rsidR="00FF60D0">
        <w:t>SA Power Networks</w:t>
      </w:r>
      <w:r>
        <w:t>' submission, it</w:t>
      </w:r>
      <w:r w:rsidR="00FF60D0">
        <w:t xml:space="preserve"> will not be able to earn revenue or make a profit from the temporary </w:t>
      </w:r>
      <w:r w:rsidR="00FD68C6">
        <w:t>generation, it will only be able to</w:t>
      </w:r>
      <w:r w:rsidR="00FF60D0">
        <w:t xml:space="preserve"> recover its costs</w:t>
      </w:r>
      <w:r w:rsidR="00FD68C6">
        <w:t xml:space="preserve"> from the SA Government</w:t>
      </w:r>
      <w:r w:rsidR="00FF60D0">
        <w:t>. It is therefore</w:t>
      </w:r>
      <w:r w:rsidR="00D5573F">
        <w:t xml:space="preserve"> unlikely to have an incentive to cross-subsidise the temporary generation</w:t>
      </w:r>
      <w:r w:rsidR="00FD68C6">
        <w:t xml:space="preserve">, as it will gain no advantage from doing so. </w:t>
      </w:r>
    </w:p>
    <w:p w:rsidR="00D5573F" w:rsidRDefault="001D2540" w:rsidP="00FE04FF">
      <w:pPr>
        <w:pStyle w:val="Bulletpoint"/>
      </w:pPr>
      <w:r>
        <w:t>SA Power Networks</w:t>
      </w:r>
      <w:r w:rsidR="00D5573F">
        <w:t xml:space="preserve"> is </w:t>
      </w:r>
      <w:r w:rsidR="00C61BAC">
        <w:t xml:space="preserve">also unlikely </w:t>
      </w:r>
      <w:r w:rsidR="00D5573F">
        <w:t>to discriminate in favour of the temporary generation</w:t>
      </w:r>
      <w:r w:rsidR="00B913BA">
        <w:t>.</w:t>
      </w:r>
      <w:r w:rsidR="00FC3128">
        <w:t xml:space="preserve"> </w:t>
      </w:r>
      <w:r w:rsidR="00B913BA">
        <w:t xml:space="preserve">The </w:t>
      </w:r>
      <w:r w:rsidR="00FC3128">
        <w:t xml:space="preserve">provision of </w:t>
      </w:r>
      <w:r w:rsidR="009F3285">
        <w:t>temporary generation services in the case of load shedding in South</w:t>
      </w:r>
      <w:r w:rsidR="00D11E97">
        <w:t> </w:t>
      </w:r>
      <w:r w:rsidR="009F3285">
        <w:t>Australia is unlikely to be contestable</w:t>
      </w:r>
      <w:r w:rsidR="00D11E97">
        <w:t>.</w:t>
      </w:r>
      <w:r w:rsidR="009F3285">
        <w:t xml:space="preserve"> </w:t>
      </w:r>
      <w:r w:rsidR="00D11E97">
        <w:t>I</w:t>
      </w:r>
      <w:r w:rsidR="00B913BA">
        <w:t xml:space="preserve">t is therefore unlikely that </w:t>
      </w:r>
      <w:r w:rsidR="009F3285">
        <w:t xml:space="preserve">SA Power </w:t>
      </w:r>
      <w:r w:rsidR="009F3285">
        <w:lastRenderedPageBreak/>
        <w:t xml:space="preserve">Networks </w:t>
      </w:r>
      <w:r w:rsidR="00B913BA">
        <w:t xml:space="preserve">would </w:t>
      </w:r>
      <w:r w:rsidR="009F3285">
        <w:t xml:space="preserve">gain any </w:t>
      </w:r>
      <w:r w:rsidR="00B913BA">
        <w:t xml:space="preserve">competitive </w:t>
      </w:r>
      <w:r w:rsidR="009F3285">
        <w:t xml:space="preserve">advantage from attempting to </w:t>
      </w:r>
      <w:r w:rsidR="00D11E97">
        <w:t>discriminate,</w:t>
      </w:r>
      <w:r w:rsidR="009F3285">
        <w:t xml:space="preserve"> </w:t>
      </w:r>
      <w:r w:rsidR="003D1957">
        <w:t>as</w:t>
      </w:r>
      <w:r w:rsidR="00D5573F">
        <w:t xml:space="preserve"> </w:t>
      </w:r>
      <w:r w:rsidR="00FD68C6">
        <w:t>SA Power Networks will not have the power to make a decision to operate the temporary generat</w:t>
      </w:r>
      <w:r w:rsidR="003D1957">
        <w:t xml:space="preserve">ion capacity. </w:t>
      </w:r>
      <w:r w:rsidR="00FF60D0">
        <w:t xml:space="preserve"> </w:t>
      </w:r>
    </w:p>
    <w:p w:rsidR="00B4634F" w:rsidRDefault="00D53C39" w:rsidP="00B4634F">
      <w:r>
        <w:t>Therefore</w:t>
      </w:r>
      <w:r w:rsidR="002A5746">
        <w:t>, we</w:t>
      </w:r>
      <w:r w:rsidR="00B0034D">
        <w:t xml:space="preserve"> consider </w:t>
      </w:r>
      <w:r w:rsidR="00FF0E0D">
        <w:t>that</w:t>
      </w:r>
      <w:r w:rsidR="00F273A4">
        <w:t xml:space="preserve"> there is unlikely to</w:t>
      </w:r>
      <w:r w:rsidR="00B0034D">
        <w:t xml:space="preserve"> be potential for cross-su</w:t>
      </w:r>
      <w:r w:rsidR="002A4D70">
        <w:t xml:space="preserve">bsidisation </w:t>
      </w:r>
      <w:r>
        <w:t xml:space="preserve">or </w:t>
      </w:r>
      <w:r w:rsidR="002A4D70">
        <w:t>discrimination</w:t>
      </w:r>
      <w:r w:rsidR="00FF0E0D">
        <w:t xml:space="preserve"> whether the waiver</w:t>
      </w:r>
      <w:r w:rsidR="00B61642">
        <w:t xml:space="preserve"> is</w:t>
      </w:r>
      <w:r w:rsidR="00FF0E0D">
        <w:t xml:space="preserve"> granted or refused</w:t>
      </w:r>
      <w:r w:rsidR="00F273A4">
        <w:t>, as long as</w:t>
      </w:r>
      <w:r w:rsidR="009579D7">
        <w:t>:</w:t>
      </w:r>
      <w:r w:rsidR="00F273A4">
        <w:t xml:space="preserve"> </w:t>
      </w:r>
      <w:r w:rsidR="00B913BA">
        <w:t>the generation capacity is only utilised for the purpose of avoiding load shedding for NEM operational purposes when there is no alternative generation available</w:t>
      </w:r>
      <w:r w:rsidR="009579D7">
        <w:t xml:space="preserve">; </w:t>
      </w:r>
      <w:r w:rsidR="00F273A4">
        <w:t xml:space="preserve">the </w:t>
      </w:r>
      <w:r w:rsidR="00EC1317">
        <w:t>temporary generation capacity is only utilised at the direction of AEMO or the South Australian Energy Minister</w:t>
      </w:r>
      <w:r w:rsidR="009579D7">
        <w:t>; and the project is fully funded by the SA Government, who will also receive any market revenues from providing the generation</w:t>
      </w:r>
      <w:r w:rsidR="00EC1317">
        <w:t xml:space="preserve">. </w:t>
      </w:r>
    </w:p>
    <w:p w:rsidR="0048196B" w:rsidRDefault="006B7EC2" w:rsidP="00291995">
      <w:pPr>
        <w:pStyle w:val="Heading3"/>
      </w:pPr>
      <w:bookmarkStart w:id="34" w:name="_Toc483569702"/>
      <w:r>
        <w:t>Balan</w:t>
      </w:r>
      <w:r w:rsidR="0004665B">
        <w:t>ce of benefits and detriments from</w:t>
      </w:r>
      <w:r>
        <w:t xml:space="preserve"> complying</w:t>
      </w:r>
      <w:bookmarkEnd w:id="34"/>
    </w:p>
    <w:p w:rsidR="0048196B" w:rsidRPr="00686C90" w:rsidRDefault="0048196B" w:rsidP="0048196B">
      <w:pPr>
        <w:pStyle w:val="Bulletpoint"/>
        <w:numPr>
          <w:ilvl w:val="0"/>
          <w:numId w:val="0"/>
        </w:numPr>
      </w:pPr>
      <w:r>
        <w:t xml:space="preserve">With regard to the </w:t>
      </w:r>
      <w:r w:rsidRPr="00686C90">
        <w:t xml:space="preserve">likely </w:t>
      </w:r>
      <w:r>
        <w:t xml:space="preserve">balance of </w:t>
      </w:r>
      <w:r w:rsidRPr="00686C90">
        <w:t>benefit</w:t>
      </w:r>
      <w:r>
        <w:t>s</w:t>
      </w:r>
      <w:r w:rsidRPr="00686C90">
        <w:t xml:space="preserve"> to electricity consumers </w:t>
      </w:r>
      <w:r>
        <w:t xml:space="preserve">and costs to </w:t>
      </w:r>
      <w:r w:rsidR="001D2540">
        <w:t>SA Power Networks</w:t>
      </w:r>
      <w:r>
        <w:t xml:space="preserve"> </w:t>
      </w:r>
      <w:r w:rsidRPr="00686C90">
        <w:t xml:space="preserve">of </w:t>
      </w:r>
      <w:r w:rsidR="001D2540">
        <w:t>SA Power Networks</w:t>
      </w:r>
      <w:r>
        <w:t xml:space="preserve"> complying with clauses 3.1, 4.2 and 4.4.1(a), </w:t>
      </w:r>
      <w:r w:rsidR="001D2540">
        <w:t>SA Power Networks</w:t>
      </w:r>
      <w:r>
        <w:t xml:space="preserve"> submit</w:t>
      </w:r>
      <w:r w:rsidR="008B4EF0">
        <w:t>ted</w:t>
      </w:r>
      <w:r>
        <w:t>:</w:t>
      </w:r>
    </w:p>
    <w:p w:rsidR="00D53C39" w:rsidRDefault="00D53C39" w:rsidP="00D53C39">
      <w:pPr>
        <w:pStyle w:val="Bulletpoint"/>
      </w:pPr>
      <w:r>
        <w:t>It is unable to both deliver the project by 1 December 2017 and comply with the above obligations of the Guideline.</w:t>
      </w:r>
      <w:r w:rsidR="00305169">
        <w:t xml:space="preserve"> If it is obliged to comply with the above clauses of the Guideline it will not deliver the project. </w:t>
      </w:r>
    </w:p>
    <w:p w:rsidR="00305169" w:rsidRDefault="00305169" w:rsidP="0048196B">
      <w:pPr>
        <w:pStyle w:val="Bulletpoint"/>
      </w:pPr>
      <w:r>
        <w:t>In the absence of the project, load shedding is more likely to occur. Therefore complying with the Guideline would result in detriment to electricity customers</w:t>
      </w:r>
    </w:p>
    <w:p w:rsidR="00305169" w:rsidRDefault="00305169" w:rsidP="00305169">
      <w:pPr>
        <w:pStyle w:val="Bulletpoint"/>
      </w:pPr>
      <w:r>
        <w:t xml:space="preserve">There is no benefit to electricity customers of </w:t>
      </w:r>
      <w:r w:rsidR="001D2540">
        <w:t>SA Power Networks</w:t>
      </w:r>
      <w:r>
        <w:t xml:space="preserve"> complying with these provisions of the Guideline</w:t>
      </w:r>
      <w:r w:rsidR="00A6483A">
        <w:t xml:space="preserve"> with respect to the temp</w:t>
      </w:r>
      <w:r w:rsidR="001D2540">
        <w:t xml:space="preserve">orary </w:t>
      </w:r>
      <w:r w:rsidR="00A6483A">
        <w:t>generators</w:t>
      </w:r>
      <w:r>
        <w:t>.</w:t>
      </w:r>
    </w:p>
    <w:p w:rsidR="00C45262" w:rsidRDefault="00C45262" w:rsidP="00C45262">
      <w:pPr>
        <w:ind w:left="340" w:hanging="340"/>
      </w:pPr>
      <w:r>
        <w:t>We consider that:</w:t>
      </w:r>
    </w:p>
    <w:p w:rsidR="00C45262" w:rsidRDefault="004A249D" w:rsidP="00C45262">
      <w:pPr>
        <w:pStyle w:val="Bulletpoint"/>
      </w:pPr>
      <w:r>
        <w:t>If</w:t>
      </w:r>
      <w:r w:rsidR="00B64B53">
        <w:t xml:space="preserve"> </w:t>
      </w:r>
      <w:r w:rsidR="001D2540">
        <w:t>SA Power Networks</w:t>
      </w:r>
      <w:r w:rsidR="00B64B53">
        <w:t xml:space="preserve"> complies with the Guideline in relation to the above clauses, it will not </w:t>
      </w:r>
      <w:r w:rsidR="0021402A">
        <w:t xml:space="preserve">be able to </w:t>
      </w:r>
      <w:r w:rsidR="00B64B53">
        <w:t>deliver the temporary generation</w:t>
      </w:r>
      <w:r w:rsidR="00C45262">
        <w:t xml:space="preserve">. It </w:t>
      </w:r>
      <w:r w:rsidR="003D1957">
        <w:t>will therefore not incur any additional costs in order to comply with Guideline</w:t>
      </w:r>
      <w:r w:rsidR="00B64B53">
        <w:t>.</w:t>
      </w:r>
      <w:r w:rsidR="003D1957">
        <w:t xml:space="preserve"> </w:t>
      </w:r>
      <w:r w:rsidR="00C45262">
        <w:t>(SA Power Networks</w:t>
      </w:r>
      <w:r w:rsidR="003D1957">
        <w:t xml:space="preserve"> will still be required to comply with the Guideline in respect of its other activities</w:t>
      </w:r>
      <w:r w:rsidR="00C45262">
        <w:t>)</w:t>
      </w:r>
      <w:r w:rsidR="003D1957">
        <w:t>.</w:t>
      </w:r>
      <w:r w:rsidR="00C45262">
        <w:t xml:space="preserve"> Similarly, consumers will not receive any benefit from SA Power Networks complying with the Guideline</w:t>
      </w:r>
    </w:p>
    <w:p w:rsidR="00B64B53" w:rsidRDefault="004A249D" w:rsidP="004A249D">
      <w:pPr>
        <w:pStyle w:val="Bulletpoint"/>
        <w:numPr>
          <w:ilvl w:val="0"/>
          <w:numId w:val="0"/>
        </w:numPr>
      </w:pPr>
      <w:r>
        <w:t>In</w:t>
      </w:r>
      <w:r w:rsidR="00C45262">
        <w:t xml:space="preserve"> these circumstances, therefore, the benefits for consumers of SA Power Networks complying with Guideline would not outweigh the costs to SA Power Networks of doing so. </w:t>
      </w:r>
      <w:r w:rsidR="00B64B53">
        <w:t xml:space="preserve"> </w:t>
      </w:r>
    </w:p>
    <w:p w:rsidR="00291995" w:rsidRDefault="00291995" w:rsidP="00291995">
      <w:pPr>
        <w:pStyle w:val="Heading3"/>
      </w:pPr>
      <w:bookmarkStart w:id="35" w:name="_Toc483569703"/>
      <w:r>
        <w:t>Duration of the waiver</w:t>
      </w:r>
      <w:bookmarkEnd w:id="35"/>
    </w:p>
    <w:p w:rsidR="00951352" w:rsidRDefault="00951352" w:rsidP="00642966">
      <w:r>
        <w:t xml:space="preserve">With regard to the requested duration of the waiver, </w:t>
      </w:r>
      <w:r w:rsidR="001D2540">
        <w:t>SA Power Networks</w:t>
      </w:r>
      <w:r>
        <w:t xml:space="preserve"> submit</w:t>
      </w:r>
      <w:r w:rsidR="008B4EF0">
        <w:t>ted</w:t>
      </w:r>
      <w:r>
        <w:t xml:space="preserve"> that, while it is progressing the establishment of its new ring-fenced entities to legally separate its existing unregulated business activities, the compressed SA Government timeframes mean that using these entities as the vehicle for the temporary generation </w:t>
      </w:r>
      <w:r w:rsidR="002A5746">
        <w:t xml:space="preserve">project is not feasible. </w:t>
      </w:r>
    </w:p>
    <w:p w:rsidR="002B56FA" w:rsidRDefault="001D2540" w:rsidP="00642966">
      <w:r>
        <w:t>SA Power Networks</w:t>
      </w:r>
      <w:r w:rsidR="002B56FA">
        <w:t xml:space="preserve"> also submits that it expects decommissioning to occur no more than six months after the end of the operational period, which will last one to two years. On this basis, if the operational period ends sooner, decommissioning of the plant will occur earlier.  </w:t>
      </w:r>
    </w:p>
    <w:p w:rsidR="00CF58B4" w:rsidRDefault="003234F0" w:rsidP="00642966">
      <w:r>
        <w:lastRenderedPageBreak/>
        <w:t>We</w:t>
      </w:r>
      <w:r w:rsidR="00CF58B4">
        <w:t xml:space="preserve"> </w:t>
      </w:r>
      <w:r w:rsidR="00261E3E">
        <w:t>accept</w:t>
      </w:r>
      <w:r w:rsidR="00CF58B4">
        <w:t xml:space="preserve"> that it is likely to be difficult for </w:t>
      </w:r>
      <w:r w:rsidR="00B61642">
        <w:t xml:space="preserve">SA Power Networks </w:t>
      </w:r>
      <w:r w:rsidR="00CF58B4">
        <w:t>to</w:t>
      </w:r>
      <w:r w:rsidR="00291995" w:rsidRPr="00291995">
        <w:t xml:space="preserve"> </w:t>
      </w:r>
      <w:r w:rsidR="00291995">
        <w:t xml:space="preserve">achieve </w:t>
      </w:r>
      <w:r w:rsidR="00107E30">
        <w:t xml:space="preserve">all of the obligations of the Guideline in respect of the temporary generation project </w:t>
      </w:r>
      <w:r w:rsidR="00291995">
        <w:t>by 1 December 2017</w:t>
      </w:r>
      <w:r w:rsidR="00107E30">
        <w:t>.</w:t>
      </w:r>
    </w:p>
    <w:p w:rsidR="00F934D3" w:rsidRDefault="00F934D3" w:rsidP="00F934D3">
      <w:r>
        <w:t xml:space="preserve">Given </w:t>
      </w:r>
      <w:r w:rsidR="0055337A">
        <w:t xml:space="preserve">the proposed limited duration of the project (that is, until 1 June 2020), we consider it appropriate, in this case,  that </w:t>
      </w:r>
      <w:r>
        <w:t xml:space="preserve"> </w:t>
      </w:r>
      <w:r w:rsidR="00B61642">
        <w:t xml:space="preserve">the </w:t>
      </w:r>
      <w:r>
        <w:t>waiver should apply for the duration of the project</w:t>
      </w:r>
      <w:r w:rsidR="0055337A">
        <w:t xml:space="preserve"> (instead of SA Power Networks being requir</w:t>
      </w:r>
      <w:r w:rsidR="00A80928">
        <w:t>ed to comply with the Guideline</w:t>
      </w:r>
      <w:r w:rsidR="0055337A">
        <w:t xml:space="preserve"> at a later time prior to the project coming to an end)</w:t>
      </w:r>
      <w:r>
        <w:t xml:space="preserve">. However, </w:t>
      </w:r>
      <w:r w:rsidR="00B53A75">
        <w:t>we consider</w:t>
      </w:r>
      <w:r>
        <w:t xml:space="preserve"> it is not appropriate to grant a waiver retrospectively. Therefore, we consider the waiver should be gr</w:t>
      </w:r>
      <w:r w:rsidR="00B53A75">
        <w:t xml:space="preserve">anted from the date of our final decision on </w:t>
      </w:r>
      <w:r w:rsidR="001D2540">
        <w:t>SA Power Networks</w:t>
      </w:r>
      <w:r w:rsidR="00B53A75">
        <w:t>' waiver application</w:t>
      </w:r>
      <w:r>
        <w:t xml:space="preserve"> </w:t>
      </w:r>
      <w:r w:rsidR="00CC5E3E">
        <w:t>and ending 1 June </w:t>
      </w:r>
      <w:r w:rsidR="002B56FA">
        <w:t>2020.</w:t>
      </w:r>
    </w:p>
    <w:sectPr w:rsidR="00F934D3" w:rsidSect="00E137FB">
      <w:footerReference w:type="even" r:id="rId13"/>
      <w:footerReference w:type="default" r:id="rId14"/>
      <w:footerReference w:type="first" r:id="rId1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550" w:rsidRDefault="000C2550" w:rsidP="004B4412">
      <w:pPr>
        <w:spacing w:before="0"/>
      </w:pPr>
      <w:r>
        <w:separator/>
      </w:r>
    </w:p>
    <w:p w:rsidR="000C2550" w:rsidRDefault="000C2550"/>
    <w:p w:rsidR="000C2550" w:rsidRDefault="000C2550"/>
  </w:endnote>
  <w:endnote w:type="continuationSeparator" w:id="0">
    <w:p w:rsidR="000C2550" w:rsidRDefault="000C2550" w:rsidP="004B4412">
      <w:pPr>
        <w:spacing w:before="0"/>
      </w:pPr>
      <w:r>
        <w:continuationSeparator/>
      </w:r>
    </w:p>
    <w:p w:rsidR="000C2550" w:rsidRDefault="000C2550"/>
    <w:p w:rsidR="000C2550" w:rsidRDefault="000C2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50" w:rsidRPr="007A4D1F" w:rsidRDefault="000C2550"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F66B1F" w:rsidRPr="00F66B1F">
      <w:rPr>
        <w:rFonts w:eastAsia="Arial" w:cs="Times New Roman"/>
        <w:b/>
        <w:bCs/>
        <w:noProof/>
        <w:color w:val="076A92" w:themeColor="text1"/>
        <w:sz w:val="18"/>
        <w:lang w:val="en-US"/>
      </w:rPr>
      <w:t>Draft Decision</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F66B1F">
      <w:rPr>
        <w:rFonts w:eastAsia="Arial" w:cs="Times New Roman"/>
        <w:noProof/>
        <w:color w:val="076A92" w:themeColor="text1"/>
        <w:sz w:val="18"/>
      </w:rPr>
      <w:t>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0C2550" w:rsidRDefault="000C2550"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50" w:rsidRPr="00A91A9E" w:rsidRDefault="000C2550" w:rsidP="00CC4C68">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C2550" w:rsidRDefault="000C2550"/>
  <w:p w:rsidR="000C2550" w:rsidRDefault="000C255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50" w:rsidRDefault="00324686" w:rsidP="00CC7F1D">
    <w:pPr>
      <w:pStyle w:val="Footer"/>
      <w:tabs>
        <w:tab w:val="clear" w:pos="9026"/>
        <w:tab w:val="right" w:pos="8505"/>
      </w:tabs>
    </w:pPr>
    <w:fldSimple w:instr=" STYLEREF  &quot;Report Title&quot;  \* MERGEFORMAT ">
      <w:r w:rsidR="003C4A56" w:rsidRPr="003C4A56">
        <w:rPr>
          <w:b/>
          <w:bCs/>
          <w:noProof/>
          <w:lang w:val="en-US"/>
        </w:rPr>
        <w:t>Draft Decision</w:t>
      </w:r>
    </w:fldSimple>
    <w:r w:rsidR="000C2550">
      <w:tab/>
    </w:r>
    <w:r w:rsidR="000C2550">
      <w:tab/>
    </w:r>
    <w:r w:rsidR="000C2550">
      <w:fldChar w:fldCharType="begin"/>
    </w:r>
    <w:r w:rsidR="000C2550">
      <w:instrText xml:space="preserve"> PAGE   \* MERGEFORMAT </w:instrText>
    </w:r>
    <w:r w:rsidR="000C2550">
      <w:fldChar w:fldCharType="separate"/>
    </w:r>
    <w:r w:rsidR="003C4A56">
      <w:rPr>
        <w:noProof/>
      </w:rPr>
      <w:t>10</w:t>
    </w:r>
    <w:r w:rsidR="000C2550">
      <w:rPr>
        <w:noProof/>
      </w:rPr>
      <w:fldChar w:fldCharType="end"/>
    </w:r>
  </w:p>
  <w:p w:rsidR="000C2550" w:rsidRDefault="000C2550"/>
  <w:p w:rsidR="000C2550" w:rsidRDefault="000C255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50" w:rsidRDefault="00324686" w:rsidP="00CC7F1D">
    <w:pPr>
      <w:pStyle w:val="Footer"/>
      <w:tabs>
        <w:tab w:val="clear" w:pos="9026"/>
        <w:tab w:val="right" w:pos="8505"/>
      </w:tabs>
    </w:pPr>
    <w:fldSimple w:instr=" STYLEREF  &quot;Report Title&quot;  \* MERGEFORMAT ">
      <w:r w:rsidR="003C4A56" w:rsidRPr="003C4A56">
        <w:rPr>
          <w:b/>
          <w:bCs/>
          <w:noProof/>
          <w:lang w:val="en-US"/>
        </w:rPr>
        <w:t>Draft Decision</w:t>
      </w:r>
    </w:fldSimple>
    <w:r w:rsidR="000C2550">
      <w:tab/>
    </w:r>
    <w:r w:rsidR="000C2550">
      <w:tab/>
    </w:r>
    <w:r w:rsidR="000C2550">
      <w:fldChar w:fldCharType="begin"/>
    </w:r>
    <w:r w:rsidR="000C2550">
      <w:instrText xml:space="preserve"> PAGE   \* MERGEFORMAT </w:instrText>
    </w:r>
    <w:r w:rsidR="000C2550">
      <w:fldChar w:fldCharType="separate"/>
    </w:r>
    <w:r w:rsidR="003C4A56">
      <w:rPr>
        <w:noProof/>
      </w:rPr>
      <w:t>1</w:t>
    </w:r>
    <w:r w:rsidR="000C2550">
      <w:fldChar w:fldCharType="end"/>
    </w:r>
  </w:p>
  <w:p w:rsidR="000C2550" w:rsidRDefault="000C2550">
    <w:pPr>
      <w:pStyle w:val="Footer"/>
    </w:pPr>
  </w:p>
  <w:p w:rsidR="000C2550" w:rsidRDefault="000C2550"/>
  <w:p w:rsidR="000C2550" w:rsidRDefault="000C25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550" w:rsidRDefault="000C2550" w:rsidP="00182906">
      <w:pPr>
        <w:spacing w:before="0"/>
      </w:pPr>
      <w:r>
        <w:separator/>
      </w:r>
    </w:p>
  </w:footnote>
  <w:footnote w:type="continuationSeparator" w:id="0">
    <w:p w:rsidR="000C2550" w:rsidRDefault="000C2550" w:rsidP="00182906">
      <w:pPr>
        <w:spacing w:before="0"/>
      </w:pPr>
      <w:r>
        <w:continuationSeparator/>
      </w:r>
    </w:p>
  </w:footnote>
  <w:footnote w:type="continuationNotice" w:id="1">
    <w:p w:rsidR="000C2550" w:rsidRDefault="000C2550">
      <w:pPr>
        <w:spacing w:before="0" w:line="240" w:lineRule="auto"/>
      </w:pPr>
    </w:p>
  </w:footnote>
  <w:footnote w:id="2">
    <w:p w:rsidR="000C2550" w:rsidRDefault="000C2550">
      <w:pPr>
        <w:pStyle w:val="FootnoteText"/>
      </w:pPr>
      <w:r>
        <w:rPr>
          <w:rStyle w:val="FootnoteReference"/>
        </w:rPr>
        <w:footnoteRef/>
      </w:r>
      <w:r>
        <w:t xml:space="preserve"> </w:t>
      </w:r>
      <w:r>
        <w:tab/>
        <w:t>Clause 6.17.1 of the National Electricity Rules obliges all DNSPs to comply with the Guideline.</w:t>
      </w:r>
    </w:p>
  </w:footnote>
  <w:footnote w:id="3">
    <w:p w:rsidR="000C2550" w:rsidRDefault="000C2550">
      <w:pPr>
        <w:pStyle w:val="FootnoteText"/>
      </w:pPr>
      <w:r>
        <w:rPr>
          <w:rStyle w:val="FootnoteReference"/>
        </w:rPr>
        <w:footnoteRef/>
      </w:r>
      <w:r w:rsidR="005C6695">
        <w:t xml:space="preserve"> </w:t>
      </w:r>
      <w:r w:rsidR="005C6695">
        <w:tab/>
        <w:t xml:space="preserve">See </w:t>
      </w:r>
      <w:hyperlink r:id="rId1" w:history="1">
        <w:r w:rsidR="005C6695" w:rsidRPr="005C6695">
          <w:rPr>
            <w:rStyle w:val="Hyperlink"/>
            <w:sz w:val="16"/>
          </w:rPr>
          <w:t>ourenergyplan.sa.gov.au</w:t>
        </w:r>
      </w:hyperlink>
      <w:r w:rsidR="005C6695">
        <w:t xml:space="preserve"> </w:t>
      </w:r>
    </w:p>
  </w:footnote>
  <w:footnote w:id="4">
    <w:p w:rsidR="000C2550" w:rsidRDefault="000C2550">
      <w:pPr>
        <w:pStyle w:val="FootnoteText"/>
      </w:pPr>
      <w:r>
        <w:rPr>
          <w:rStyle w:val="FootnoteReference"/>
        </w:rPr>
        <w:footnoteRef/>
      </w:r>
      <w:r>
        <w:t xml:space="preserve"> </w:t>
      </w:r>
      <w:r>
        <w:tab/>
      </w:r>
      <w:r w:rsidRPr="00D61B42">
        <w:t>On 4 May 2017, the AER wrote to SA</w:t>
      </w:r>
      <w:r w:rsidR="00C50247">
        <w:t xml:space="preserve"> Power Networks</w:t>
      </w:r>
      <w:r w:rsidR="00C50247" w:rsidRPr="00D61B42">
        <w:t xml:space="preserve"> </w:t>
      </w:r>
      <w:r w:rsidRPr="00D61B42">
        <w:t xml:space="preserve">requesting further information to support its application. On 8 May 2017, </w:t>
      </w:r>
      <w:r w:rsidR="00C50247" w:rsidRPr="00D61B42">
        <w:t>SA</w:t>
      </w:r>
      <w:r w:rsidR="00C50247">
        <w:t xml:space="preserve"> Power Networks</w:t>
      </w:r>
      <w:r w:rsidR="00C50247" w:rsidRPr="00D61B42">
        <w:t xml:space="preserve"> </w:t>
      </w:r>
      <w:r w:rsidRPr="00D61B42">
        <w:t xml:space="preserve">provided a copy of a letter it had received from the SA Government Department of </w:t>
      </w:r>
      <w:r w:rsidR="00324686">
        <w:t xml:space="preserve">the </w:t>
      </w:r>
      <w:r w:rsidRPr="00D61B42">
        <w:t xml:space="preserve">Premier </w:t>
      </w:r>
      <w:r>
        <w:t>and Cabinet, setting out the SA </w:t>
      </w:r>
      <w:r w:rsidRPr="00D61B42">
        <w:t xml:space="preserve">Government's request for assistance.  </w:t>
      </w:r>
    </w:p>
  </w:footnote>
  <w:footnote w:id="5">
    <w:p w:rsidR="0020734E" w:rsidRDefault="0020734E">
      <w:pPr>
        <w:pStyle w:val="FootnoteText"/>
      </w:pPr>
      <w:r>
        <w:rPr>
          <w:rStyle w:val="FootnoteReference"/>
        </w:rPr>
        <w:footnoteRef/>
      </w:r>
      <w:r>
        <w:t xml:space="preserve"> </w:t>
      </w:r>
      <w:r>
        <w:tab/>
        <w:t>By issuing</w:t>
      </w:r>
      <w:r w:rsidRPr="0020734E">
        <w:t xml:space="preserve"> a notice under cl</w:t>
      </w:r>
      <w:r>
        <w:t>ause 5.3.1 of the Guideline.</w:t>
      </w:r>
    </w:p>
  </w:footnote>
  <w:footnote w:id="6">
    <w:p w:rsidR="0020734E" w:rsidRDefault="0020734E">
      <w:pPr>
        <w:pStyle w:val="FootnoteText"/>
      </w:pPr>
      <w:r>
        <w:rPr>
          <w:rStyle w:val="FootnoteReference"/>
        </w:rPr>
        <w:footnoteRef/>
      </w:r>
      <w:r>
        <w:t xml:space="preserve"> </w:t>
      </w:r>
      <w:r>
        <w:tab/>
      </w:r>
      <w:r w:rsidRPr="0020734E">
        <w:t>This waiver will be granted from the time that this waiver application is decided, assuming our draft decision is affirmed, until 1 June 2020.</w:t>
      </w:r>
    </w:p>
  </w:footnote>
  <w:footnote w:id="7">
    <w:p w:rsidR="000C2550" w:rsidRPr="003C2196" w:rsidRDefault="000C2550" w:rsidP="005C6695">
      <w:pPr>
        <w:pStyle w:val="List"/>
        <w:rPr>
          <w:rStyle w:val="AERtextsize8"/>
        </w:rPr>
      </w:pPr>
      <w:r w:rsidRPr="003C2196">
        <w:rPr>
          <w:rStyle w:val="AERtextsize8"/>
        </w:rPr>
        <w:footnoteRef/>
      </w:r>
      <w:r w:rsidRPr="003C2196">
        <w:rPr>
          <w:rStyle w:val="AERtextsize8"/>
        </w:rPr>
        <w:t xml:space="preserve"> </w:t>
      </w:r>
      <w:r w:rsidR="0020734E">
        <w:rPr>
          <w:rStyle w:val="AERtextsize8"/>
        </w:rPr>
        <w:t xml:space="preserve">     </w:t>
      </w:r>
      <w:r w:rsidRPr="003C2196">
        <w:rPr>
          <w:rStyle w:val="AERtextsize8"/>
        </w:rPr>
        <w:t>As required by clause 5.3.2 of the Guideline.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A9C34B5"/>
    <w:multiLevelType w:val="hybridMultilevel"/>
    <w:tmpl w:val="7A4EA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7C44E5"/>
    <w:multiLevelType w:val="hybridMultilevel"/>
    <w:tmpl w:val="6C72D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2C2B2EFE"/>
    <w:multiLevelType w:val="hybridMultilevel"/>
    <w:tmpl w:val="ED4AD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6AC1A40"/>
    <w:multiLevelType w:val="hybridMultilevel"/>
    <w:tmpl w:val="64CC6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3"/>
  </w:num>
  <w:num w:numId="14">
    <w:abstractNumId w:val="14"/>
  </w:num>
  <w:num w:numId="15">
    <w:abstractNumId w:val="17"/>
  </w:num>
  <w:num w:numId="16">
    <w:abstractNumId w:val="25"/>
  </w:num>
  <w:num w:numId="17">
    <w:abstractNumId w:val="13"/>
  </w:num>
  <w:num w:numId="18">
    <w:abstractNumId w:val="20"/>
  </w:num>
  <w:num w:numId="19">
    <w:abstractNumId w:val="11"/>
  </w:num>
  <w:num w:numId="20">
    <w:abstractNumId w:val="26"/>
  </w:num>
  <w:num w:numId="21">
    <w:abstractNumId w:val="30"/>
  </w:num>
  <w:num w:numId="22">
    <w:abstractNumId w:val="18"/>
  </w:num>
  <w:num w:numId="23">
    <w:abstractNumId w:val="2"/>
    <w:lvlOverride w:ilvl="0">
      <w:startOverride w:val="1"/>
    </w:lvlOverride>
  </w:num>
  <w:num w:numId="24">
    <w:abstractNumId w:val="20"/>
    <w:lvlOverride w:ilvl="0">
      <w:startOverride w:val="1"/>
    </w:lvlOverride>
  </w:num>
  <w:num w:numId="25">
    <w:abstractNumId w:val="28"/>
  </w:num>
  <w:num w:numId="26">
    <w:abstractNumId w:val="24"/>
  </w:num>
  <w:num w:numId="27">
    <w:abstractNumId w:val="9"/>
  </w:num>
  <w:num w:numId="28">
    <w:abstractNumId w:val="16"/>
  </w:num>
  <w:num w:numId="29">
    <w:abstractNumId w:val="10"/>
  </w:num>
  <w:num w:numId="30">
    <w:abstractNumId w:val="27"/>
  </w:num>
  <w:num w:numId="31">
    <w:abstractNumId w:val="12"/>
  </w:num>
  <w:num w:numId="32">
    <w:abstractNumId w:val="19"/>
  </w:num>
  <w:num w:numId="33">
    <w:abstractNumId w:val="22"/>
  </w:num>
  <w:num w:numId="34">
    <w:abstractNumId w:val="21"/>
  </w:num>
  <w:num w:numId="35">
    <w:abstractNumId w:val="22"/>
  </w:num>
  <w:num w:numId="36">
    <w:abstractNumId w:val="27"/>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Desktop\Coord\Web\Draft decision - SA Power Networks application for waiver from the Ring-fencing Guideline - 26.05.2017.DOCX"/>
  </w:docVars>
  <w:rsids>
    <w:rsidRoot w:val="0013432D"/>
    <w:rsid w:val="00021202"/>
    <w:rsid w:val="000232BF"/>
    <w:rsid w:val="0002517F"/>
    <w:rsid w:val="00030538"/>
    <w:rsid w:val="0003578C"/>
    <w:rsid w:val="0004665B"/>
    <w:rsid w:val="00047475"/>
    <w:rsid w:val="00052823"/>
    <w:rsid w:val="00057DFE"/>
    <w:rsid w:val="00063247"/>
    <w:rsid w:val="00064472"/>
    <w:rsid w:val="00064CF3"/>
    <w:rsid w:val="000671AC"/>
    <w:rsid w:val="00070F9F"/>
    <w:rsid w:val="0007137B"/>
    <w:rsid w:val="00074341"/>
    <w:rsid w:val="00075779"/>
    <w:rsid w:val="000765F2"/>
    <w:rsid w:val="00083404"/>
    <w:rsid w:val="00085663"/>
    <w:rsid w:val="00085AB2"/>
    <w:rsid w:val="00085EBF"/>
    <w:rsid w:val="000A6C7B"/>
    <w:rsid w:val="000B7A44"/>
    <w:rsid w:val="000C2550"/>
    <w:rsid w:val="000D122C"/>
    <w:rsid w:val="000D1BBB"/>
    <w:rsid w:val="000E0B6F"/>
    <w:rsid w:val="000E1670"/>
    <w:rsid w:val="000E1819"/>
    <w:rsid w:val="000E6C72"/>
    <w:rsid w:val="00101E79"/>
    <w:rsid w:val="00107CC7"/>
    <w:rsid w:val="00107E30"/>
    <w:rsid w:val="00116EB2"/>
    <w:rsid w:val="001214AD"/>
    <w:rsid w:val="00124609"/>
    <w:rsid w:val="00126E54"/>
    <w:rsid w:val="00127B9E"/>
    <w:rsid w:val="00130C3C"/>
    <w:rsid w:val="0013432D"/>
    <w:rsid w:val="0014573B"/>
    <w:rsid w:val="001573E4"/>
    <w:rsid w:val="00157A6F"/>
    <w:rsid w:val="00160756"/>
    <w:rsid w:val="00170114"/>
    <w:rsid w:val="0017232E"/>
    <w:rsid w:val="00174102"/>
    <w:rsid w:val="00175E3D"/>
    <w:rsid w:val="00180157"/>
    <w:rsid w:val="00182906"/>
    <w:rsid w:val="00185CB9"/>
    <w:rsid w:val="00186F77"/>
    <w:rsid w:val="001926A4"/>
    <w:rsid w:val="00192AD5"/>
    <w:rsid w:val="0019393F"/>
    <w:rsid w:val="001A3728"/>
    <w:rsid w:val="001A756E"/>
    <w:rsid w:val="001B45A0"/>
    <w:rsid w:val="001B7B0C"/>
    <w:rsid w:val="001D055E"/>
    <w:rsid w:val="001D2540"/>
    <w:rsid w:val="001F492E"/>
    <w:rsid w:val="001F6DA3"/>
    <w:rsid w:val="002010BC"/>
    <w:rsid w:val="00201765"/>
    <w:rsid w:val="00201DAF"/>
    <w:rsid w:val="00202E03"/>
    <w:rsid w:val="0020492C"/>
    <w:rsid w:val="0020734E"/>
    <w:rsid w:val="00207FDC"/>
    <w:rsid w:val="00210DB7"/>
    <w:rsid w:val="00213F87"/>
    <w:rsid w:val="0021402A"/>
    <w:rsid w:val="00224DB9"/>
    <w:rsid w:val="00231FBB"/>
    <w:rsid w:val="00233775"/>
    <w:rsid w:val="00251745"/>
    <w:rsid w:val="00261E3E"/>
    <w:rsid w:val="00263AC0"/>
    <w:rsid w:val="0026772D"/>
    <w:rsid w:val="002709B4"/>
    <w:rsid w:val="00272921"/>
    <w:rsid w:val="00286874"/>
    <w:rsid w:val="00290A81"/>
    <w:rsid w:val="00291995"/>
    <w:rsid w:val="00296B65"/>
    <w:rsid w:val="0029760E"/>
    <w:rsid w:val="002A4D70"/>
    <w:rsid w:val="002A5746"/>
    <w:rsid w:val="002A7DEF"/>
    <w:rsid w:val="002B56FA"/>
    <w:rsid w:val="002C5B4D"/>
    <w:rsid w:val="002E1BE5"/>
    <w:rsid w:val="002E2BFC"/>
    <w:rsid w:val="002F19CB"/>
    <w:rsid w:val="002F4843"/>
    <w:rsid w:val="002F7986"/>
    <w:rsid w:val="00301B40"/>
    <w:rsid w:val="00305169"/>
    <w:rsid w:val="00305CC8"/>
    <w:rsid w:val="00307F6D"/>
    <w:rsid w:val="003177A2"/>
    <w:rsid w:val="003234F0"/>
    <w:rsid w:val="00324686"/>
    <w:rsid w:val="003271B5"/>
    <w:rsid w:val="00327A1E"/>
    <w:rsid w:val="00331264"/>
    <w:rsid w:val="00334C8D"/>
    <w:rsid w:val="00343548"/>
    <w:rsid w:val="003518B3"/>
    <w:rsid w:val="0035482F"/>
    <w:rsid w:val="003846F1"/>
    <w:rsid w:val="003C2196"/>
    <w:rsid w:val="003C4A56"/>
    <w:rsid w:val="003D1957"/>
    <w:rsid w:val="003D3DA0"/>
    <w:rsid w:val="003E46E0"/>
    <w:rsid w:val="003F12FA"/>
    <w:rsid w:val="0040606F"/>
    <w:rsid w:val="0041153F"/>
    <w:rsid w:val="00416FEC"/>
    <w:rsid w:val="00420041"/>
    <w:rsid w:val="00423977"/>
    <w:rsid w:val="00426F29"/>
    <w:rsid w:val="00431260"/>
    <w:rsid w:val="00457DB8"/>
    <w:rsid w:val="004668EC"/>
    <w:rsid w:val="00480B4B"/>
    <w:rsid w:val="0048196B"/>
    <w:rsid w:val="00485DC4"/>
    <w:rsid w:val="0048771C"/>
    <w:rsid w:val="004A249D"/>
    <w:rsid w:val="004A43D1"/>
    <w:rsid w:val="004A7489"/>
    <w:rsid w:val="004B085B"/>
    <w:rsid w:val="004B4412"/>
    <w:rsid w:val="004B4427"/>
    <w:rsid w:val="004C348C"/>
    <w:rsid w:val="004C5851"/>
    <w:rsid w:val="004D55BA"/>
    <w:rsid w:val="004D59A3"/>
    <w:rsid w:val="004E22EC"/>
    <w:rsid w:val="004E30D7"/>
    <w:rsid w:val="00503BFE"/>
    <w:rsid w:val="00505488"/>
    <w:rsid w:val="005156A6"/>
    <w:rsid w:val="005212FC"/>
    <w:rsid w:val="00524B8B"/>
    <w:rsid w:val="00530128"/>
    <w:rsid w:val="00532467"/>
    <w:rsid w:val="00546080"/>
    <w:rsid w:val="0055337A"/>
    <w:rsid w:val="00555C5C"/>
    <w:rsid w:val="0056080A"/>
    <w:rsid w:val="00562632"/>
    <w:rsid w:val="00564A4D"/>
    <w:rsid w:val="00567BA5"/>
    <w:rsid w:val="00571B35"/>
    <w:rsid w:val="00571D57"/>
    <w:rsid w:val="00577A09"/>
    <w:rsid w:val="005829C2"/>
    <w:rsid w:val="00584D8F"/>
    <w:rsid w:val="00594862"/>
    <w:rsid w:val="005A3A30"/>
    <w:rsid w:val="005A3D0B"/>
    <w:rsid w:val="005A404D"/>
    <w:rsid w:val="005A6BF2"/>
    <w:rsid w:val="005B1E3C"/>
    <w:rsid w:val="005C26CC"/>
    <w:rsid w:val="005C4261"/>
    <w:rsid w:val="005C6695"/>
    <w:rsid w:val="005D3304"/>
    <w:rsid w:val="005E006E"/>
    <w:rsid w:val="005E21FE"/>
    <w:rsid w:val="005F369D"/>
    <w:rsid w:val="0061401B"/>
    <w:rsid w:val="00615C6B"/>
    <w:rsid w:val="00632D6D"/>
    <w:rsid w:val="006365E3"/>
    <w:rsid w:val="00642966"/>
    <w:rsid w:val="00642C3E"/>
    <w:rsid w:val="00663DAD"/>
    <w:rsid w:val="00670957"/>
    <w:rsid w:val="00676679"/>
    <w:rsid w:val="00686C90"/>
    <w:rsid w:val="006A043F"/>
    <w:rsid w:val="006A29CA"/>
    <w:rsid w:val="006A3D97"/>
    <w:rsid w:val="006B4CF9"/>
    <w:rsid w:val="006B7AC8"/>
    <w:rsid w:val="006B7EC2"/>
    <w:rsid w:val="006C1FEB"/>
    <w:rsid w:val="006C2B9D"/>
    <w:rsid w:val="006C5A1F"/>
    <w:rsid w:val="006D550F"/>
    <w:rsid w:val="006D77DE"/>
    <w:rsid w:val="00701CAB"/>
    <w:rsid w:val="00707563"/>
    <w:rsid w:val="0072348C"/>
    <w:rsid w:val="00724A37"/>
    <w:rsid w:val="007301A2"/>
    <w:rsid w:val="007303C3"/>
    <w:rsid w:val="00737EF2"/>
    <w:rsid w:val="007420FA"/>
    <w:rsid w:val="00743223"/>
    <w:rsid w:val="00746E01"/>
    <w:rsid w:val="00753759"/>
    <w:rsid w:val="0075642D"/>
    <w:rsid w:val="00757BDF"/>
    <w:rsid w:val="00760C41"/>
    <w:rsid w:val="0076304C"/>
    <w:rsid w:val="00763E5D"/>
    <w:rsid w:val="0076546B"/>
    <w:rsid w:val="00766A59"/>
    <w:rsid w:val="00767740"/>
    <w:rsid w:val="00777EE6"/>
    <w:rsid w:val="00782C38"/>
    <w:rsid w:val="00782EEA"/>
    <w:rsid w:val="0079217C"/>
    <w:rsid w:val="00795D64"/>
    <w:rsid w:val="007A4BE2"/>
    <w:rsid w:val="007A4D1F"/>
    <w:rsid w:val="007A5F9E"/>
    <w:rsid w:val="007B2C72"/>
    <w:rsid w:val="007C1C53"/>
    <w:rsid w:val="007C74BB"/>
    <w:rsid w:val="007D482E"/>
    <w:rsid w:val="007D4EEE"/>
    <w:rsid w:val="007E4904"/>
    <w:rsid w:val="007E4CB5"/>
    <w:rsid w:val="007F066B"/>
    <w:rsid w:val="007F27A7"/>
    <w:rsid w:val="008033C4"/>
    <w:rsid w:val="00806C88"/>
    <w:rsid w:val="0081034E"/>
    <w:rsid w:val="008173C0"/>
    <w:rsid w:val="008344F6"/>
    <w:rsid w:val="0083510F"/>
    <w:rsid w:val="00835DD0"/>
    <w:rsid w:val="00840EDC"/>
    <w:rsid w:val="00843704"/>
    <w:rsid w:val="00851209"/>
    <w:rsid w:val="008559B5"/>
    <w:rsid w:val="0085701B"/>
    <w:rsid w:val="0086016D"/>
    <w:rsid w:val="0086070B"/>
    <w:rsid w:val="00872B78"/>
    <w:rsid w:val="00880159"/>
    <w:rsid w:val="008812D6"/>
    <w:rsid w:val="008837AC"/>
    <w:rsid w:val="008A3E3C"/>
    <w:rsid w:val="008A587D"/>
    <w:rsid w:val="008A60AC"/>
    <w:rsid w:val="008B4EF0"/>
    <w:rsid w:val="008C09D4"/>
    <w:rsid w:val="008C40F5"/>
    <w:rsid w:val="008C5486"/>
    <w:rsid w:val="008D1661"/>
    <w:rsid w:val="008E4CF1"/>
    <w:rsid w:val="008E7031"/>
    <w:rsid w:val="008F2354"/>
    <w:rsid w:val="009114CA"/>
    <w:rsid w:val="0092129C"/>
    <w:rsid w:val="009233EE"/>
    <w:rsid w:val="00924F6C"/>
    <w:rsid w:val="0092599A"/>
    <w:rsid w:val="009271B1"/>
    <w:rsid w:val="00940D5F"/>
    <w:rsid w:val="009460AA"/>
    <w:rsid w:val="00951352"/>
    <w:rsid w:val="00951978"/>
    <w:rsid w:val="009579D7"/>
    <w:rsid w:val="00963343"/>
    <w:rsid w:val="009661DE"/>
    <w:rsid w:val="00970A82"/>
    <w:rsid w:val="00977EDB"/>
    <w:rsid w:val="009856B7"/>
    <w:rsid w:val="00991D8B"/>
    <w:rsid w:val="0099711D"/>
    <w:rsid w:val="009A5FC3"/>
    <w:rsid w:val="009B74B0"/>
    <w:rsid w:val="009C011F"/>
    <w:rsid w:val="009D4D5D"/>
    <w:rsid w:val="009D6B46"/>
    <w:rsid w:val="009E011B"/>
    <w:rsid w:val="009E52D6"/>
    <w:rsid w:val="009F3285"/>
    <w:rsid w:val="009F4940"/>
    <w:rsid w:val="009F4D58"/>
    <w:rsid w:val="009F5BA1"/>
    <w:rsid w:val="00A02A88"/>
    <w:rsid w:val="00A0562E"/>
    <w:rsid w:val="00A0726D"/>
    <w:rsid w:val="00A11CB8"/>
    <w:rsid w:val="00A22495"/>
    <w:rsid w:val="00A32FBB"/>
    <w:rsid w:val="00A4478A"/>
    <w:rsid w:val="00A44852"/>
    <w:rsid w:val="00A53FC9"/>
    <w:rsid w:val="00A57D04"/>
    <w:rsid w:val="00A60023"/>
    <w:rsid w:val="00A60A26"/>
    <w:rsid w:val="00A61598"/>
    <w:rsid w:val="00A6483A"/>
    <w:rsid w:val="00A75077"/>
    <w:rsid w:val="00A80928"/>
    <w:rsid w:val="00A81D6D"/>
    <w:rsid w:val="00A84F46"/>
    <w:rsid w:val="00A871F4"/>
    <w:rsid w:val="00A87670"/>
    <w:rsid w:val="00AC014F"/>
    <w:rsid w:val="00AC1B2C"/>
    <w:rsid w:val="00AC3264"/>
    <w:rsid w:val="00AD4EC9"/>
    <w:rsid w:val="00AE1BF1"/>
    <w:rsid w:val="00AE4E7F"/>
    <w:rsid w:val="00AE5073"/>
    <w:rsid w:val="00AF0857"/>
    <w:rsid w:val="00AF0DD2"/>
    <w:rsid w:val="00AF1ED6"/>
    <w:rsid w:val="00AF327D"/>
    <w:rsid w:val="00B0034D"/>
    <w:rsid w:val="00B13048"/>
    <w:rsid w:val="00B1716D"/>
    <w:rsid w:val="00B17A1D"/>
    <w:rsid w:val="00B207A0"/>
    <w:rsid w:val="00B21984"/>
    <w:rsid w:val="00B2679A"/>
    <w:rsid w:val="00B3416C"/>
    <w:rsid w:val="00B37D1E"/>
    <w:rsid w:val="00B37E38"/>
    <w:rsid w:val="00B37F90"/>
    <w:rsid w:val="00B4634F"/>
    <w:rsid w:val="00B514DD"/>
    <w:rsid w:val="00B52AF0"/>
    <w:rsid w:val="00B53A75"/>
    <w:rsid w:val="00B56E03"/>
    <w:rsid w:val="00B61642"/>
    <w:rsid w:val="00B64B53"/>
    <w:rsid w:val="00B66178"/>
    <w:rsid w:val="00B8080B"/>
    <w:rsid w:val="00B8301F"/>
    <w:rsid w:val="00B8709D"/>
    <w:rsid w:val="00B87C39"/>
    <w:rsid w:val="00B913BA"/>
    <w:rsid w:val="00B927D8"/>
    <w:rsid w:val="00BA3C98"/>
    <w:rsid w:val="00BA4665"/>
    <w:rsid w:val="00BB1A1B"/>
    <w:rsid w:val="00BB2FB2"/>
    <w:rsid w:val="00BB3304"/>
    <w:rsid w:val="00BC1A75"/>
    <w:rsid w:val="00BC337A"/>
    <w:rsid w:val="00BD3446"/>
    <w:rsid w:val="00BE1F1B"/>
    <w:rsid w:val="00BE47B5"/>
    <w:rsid w:val="00BE717E"/>
    <w:rsid w:val="00C049AC"/>
    <w:rsid w:val="00C11F95"/>
    <w:rsid w:val="00C25FA6"/>
    <w:rsid w:val="00C3658B"/>
    <w:rsid w:val="00C45262"/>
    <w:rsid w:val="00C50247"/>
    <w:rsid w:val="00C538A9"/>
    <w:rsid w:val="00C53B5A"/>
    <w:rsid w:val="00C54F5A"/>
    <w:rsid w:val="00C569B4"/>
    <w:rsid w:val="00C61BAC"/>
    <w:rsid w:val="00C62C0B"/>
    <w:rsid w:val="00C62CA2"/>
    <w:rsid w:val="00C67A92"/>
    <w:rsid w:val="00C7007B"/>
    <w:rsid w:val="00C82D33"/>
    <w:rsid w:val="00C84BD2"/>
    <w:rsid w:val="00C86679"/>
    <w:rsid w:val="00CA1D6B"/>
    <w:rsid w:val="00CA489E"/>
    <w:rsid w:val="00CA6F03"/>
    <w:rsid w:val="00CB2F47"/>
    <w:rsid w:val="00CB666B"/>
    <w:rsid w:val="00CC017D"/>
    <w:rsid w:val="00CC213C"/>
    <w:rsid w:val="00CC35FD"/>
    <w:rsid w:val="00CC4C68"/>
    <w:rsid w:val="00CC5E3E"/>
    <w:rsid w:val="00CC7F1D"/>
    <w:rsid w:val="00CD522F"/>
    <w:rsid w:val="00CD6849"/>
    <w:rsid w:val="00CE0494"/>
    <w:rsid w:val="00CF4E7B"/>
    <w:rsid w:val="00CF58B4"/>
    <w:rsid w:val="00D01CF0"/>
    <w:rsid w:val="00D0442A"/>
    <w:rsid w:val="00D11E97"/>
    <w:rsid w:val="00D344EC"/>
    <w:rsid w:val="00D37490"/>
    <w:rsid w:val="00D46D5B"/>
    <w:rsid w:val="00D53C39"/>
    <w:rsid w:val="00D5573F"/>
    <w:rsid w:val="00D61388"/>
    <w:rsid w:val="00D61A54"/>
    <w:rsid w:val="00D61B42"/>
    <w:rsid w:val="00D641D8"/>
    <w:rsid w:val="00D64DEA"/>
    <w:rsid w:val="00D7168E"/>
    <w:rsid w:val="00D71E57"/>
    <w:rsid w:val="00D72016"/>
    <w:rsid w:val="00D7330C"/>
    <w:rsid w:val="00D80893"/>
    <w:rsid w:val="00D81EF4"/>
    <w:rsid w:val="00D9050D"/>
    <w:rsid w:val="00D92CF1"/>
    <w:rsid w:val="00D92D38"/>
    <w:rsid w:val="00D93E2F"/>
    <w:rsid w:val="00D94042"/>
    <w:rsid w:val="00D950F5"/>
    <w:rsid w:val="00DB0F93"/>
    <w:rsid w:val="00DB1A67"/>
    <w:rsid w:val="00DB1C30"/>
    <w:rsid w:val="00DB49BE"/>
    <w:rsid w:val="00DB5074"/>
    <w:rsid w:val="00DB723B"/>
    <w:rsid w:val="00DC3579"/>
    <w:rsid w:val="00DC7981"/>
    <w:rsid w:val="00DD2A72"/>
    <w:rsid w:val="00DD79FB"/>
    <w:rsid w:val="00DE4EFA"/>
    <w:rsid w:val="00DE5520"/>
    <w:rsid w:val="00DF708E"/>
    <w:rsid w:val="00E04818"/>
    <w:rsid w:val="00E06442"/>
    <w:rsid w:val="00E137FB"/>
    <w:rsid w:val="00E16751"/>
    <w:rsid w:val="00E17FF8"/>
    <w:rsid w:val="00E22820"/>
    <w:rsid w:val="00E23993"/>
    <w:rsid w:val="00E2573D"/>
    <w:rsid w:val="00E25B8C"/>
    <w:rsid w:val="00E2628E"/>
    <w:rsid w:val="00E31909"/>
    <w:rsid w:val="00E31D9A"/>
    <w:rsid w:val="00E34D39"/>
    <w:rsid w:val="00E54481"/>
    <w:rsid w:val="00E62E60"/>
    <w:rsid w:val="00E65C85"/>
    <w:rsid w:val="00E66199"/>
    <w:rsid w:val="00E755EC"/>
    <w:rsid w:val="00E7602F"/>
    <w:rsid w:val="00E7624D"/>
    <w:rsid w:val="00E76B37"/>
    <w:rsid w:val="00E85328"/>
    <w:rsid w:val="00E85B38"/>
    <w:rsid w:val="00EA33AB"/>
    <w:rsid w:val="00EA3D42"/>
    <w:rsid w:val="00EA4F71"/>
    <w:rsid w:val="00EA6B1B"/>
    <w:rsid w:val="00EB505D"/>
    <w:rsid w:val="00EC1317"/>
    <w:rsid w:val="00ED5B10"/>
    <w:rsid w:val="00ED7CDB"/>
    <w:rsid w:val="00EE28F3"/>
    <w:rsid w:val="00EE296D"/>
    <w:rsid w:val="00EF063A"/>
    <w:rsid w:val="00EF5110"/>
    <w:rsid w:val="00F04CDB"/>
    <w:rsid w:val="00F15750"/>
    <w:rsid w:val="00F15882"/>
    <w:rsid w:val="00F171E0"/>
    <w:rsid w:val="00F20BD3"/>
    <w:rsid w:val="00F273A4"/>
    <w:rsid w:val="00F321AA"/>
    <w:rsid w:val="00F36DC0"/>
    <w:rsid w:val="00F373A5"/>
    <w:rsid w:val="00F47559"/>
    <w:rsid w:val="00F53CC9"/>
    <w:rsid w:val="00F64C7B"/>
    <w:rsid w:val="00F66B1F"/>
    <w:rsid w:val="00F676DD"/>
    <w:rsid w:val="00F71778"/>
    <w:rsid w:val="00F72D87"/>
    <w:rsid w:val="00F75A26"/>
    <w:rsid w:val="00F773B1"/>
    <w:rsid w:val="00F77D70"/>
    <w:rsid w:val="00F835C9"/>
    <w:rsid w:val="00F83FAD"/>
    <w:rsid w:val="00F934D3"/>
    <w:rsid w:val="00F952A0"/>
    <w:rsid w:val="00FA042E"/>
    <w:rsid w:val="00FA3C7F"/>
    <w:rsid w:val="00FB0913"/>
    <w:rsid w:val="00FB0BC7"/>
    <w:rsid w:val="00FB2997"/>
    <w:rsid w:val="00FB74E2"/>
    <w:rsid w:val="00FC3128"/>
    <w:rsid w:val="00FC6414"/>
    <w:rsid w:val="00FD5614"/>
    <w:rsid w:val="00FD68C6"/>
    <w:rsid w:val="00FE04FF"/>
    <w:rsid w:val="00FE0BE1"/>
    <w:rsid w:val="00FE1DE9"/>
    <w:rsid w:val="00FE39C2"/>
    <w:rsid w:val="00FE3C32"/>
    <w:rsid w:val="00FE64AE"/>
    <w:rsid w:val="00FF0E0D"/>
    <w:rsid w:val="00FF4891"/>
    <w:rsid w:val="00FF6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13432D"/>
    <w:pPr>
      <w:spacing w:line="240" w:lineRule="auto"/>
    </w:pPr>
    <w:rPr>
      <w:sz w:val="20"/>
      <w:szCs w:val="20"/>
    </w:rPr>
  </w:style>
  <w:style w:type="character" w:customStyle="1" w:styleId="CommentTextChar">
    <w:name w:val="Comment Text Char"/>
    <w:basedOn w:val="DefaultParagraphFont"/>
    <w:link w:val="CommentText"/>
    <w:uiPriority w:val="99"/>
    <w:semiHidden/>
    <w:rsid w:val="001343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432D"/>
    <w:rPr>
      <w:b/>
      <w:bCs/>
    </w:rPr>
  </w:style>
  <w:style w:type="character" w:customStyle="1" w:styleId="CommentSubjectChar">
    <w:name w:val="Comment Subject Char"/>
    <w:basedOn w:val="CommentTextChar"/>
    <w:link w:val="CommentSubject"/>
    <w:uiPriority w:val="99"/>
    <w:semiHidden/>
    <w:rsid w:val="0013432D"/>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13432D"/>
    <w:pPr>
      <w:spacing w:line="240" w:lineRule="auto"/>
    </w:pPr>
    <w:rPr>
      <w:sz w:val="20"/>
      <w:szCs w:val="20"/>
    </w:rPr>
  </w:style>
  <w:style w:type="character" w:customStyle="1" w:styleId="CommentTextChar">
    <w:name w:val="Comment Text Char"/>
    <w:basedOn w:val="DefaultParagraphFont"/>
    <w:link w:val="CommentText"/>
    <w:uiPriority w:val="99"/>
    <w:semiHidden/>
    <w:rsid w:val="001343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432D"/>
    <w:rPr>
      <w:b/>
      <w:bCs/>
    </w:rPr>
  </w:style>
  <w:style w:type="character" w:customStyle="1" w:styleId="CommentSubjectChar">
    <w:name w:val="Comment Subject Char"/>
    <w:basedOn w:val="CommentTextChar"/>
    <w:link w:val="CommentSubject"/>
    <w:uiPriority w:val="99"/>
    <w:semiHidden/>
    <w:rsid w:val="0013432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868763532">
      <w:bodyDiv w:val="1"/>
      <w:marLeft w:val="0"/>
      <w:marRight w:val="0"/>
      <w:marTop w:val="0"/>
      <w:marBottom w:val="0"/>
      <w:divBdr>
        <w:top w:val="none" w:sz="0" w:space="0" w:color="auto"/>
        <w:left w:val="none" w:sz="0" w:space="0" w:color="auto"/>
        <w:bottom w:val="none" w:sz="0" w:space="0" w:color="auto"/>
        <w:right w:val="none" w:sz="0" w:space="0" w:color="auto"/>
      </w:divBdr>
      <w:divsChild>
        <w:div w:id="33820868">
          <w:marLeft w:val="0"/>
          <w:marRight w:val="0"/>
          <w:marTop w:val="0"/>
          <w:marBottom w:val="0"/>
          <w:divBdr>
            <w:top w:val="none" w:sz="0" w:space="0" w:color="auto"/>
            <w:left w:val="none" w:sz="0" w:space="0" w:color="auto"/>
            <w:bottom w:val="none" w:sz="0" w:space="0" w:color="auto"/>
            <w:right w:val="none" w:sz="0" w:space="0" w:color="auto"/>
          </w:divBdr>
          <w:divsChild>
            <w:div w:id="810440163">
              <w:marLeft w:val="0"/>
              <w:marRight w:val="0"/>
              <w:marTop w:val="0"/>
              <w:marBottom w:val="0"/>
              <w:divBdr>
                <w:top w:val="none" w:sz="0" w:space="0" w:color="auto"/>
                <w:left w:val="none" w:sz="0" w:space="0" w:color="auto"/>
                <w:bottom w:val="none" w:sz="0" w:space="0" w:color="auto"/>
                <w:right w:val="none" w:sz="0" w:space="0" w:color="auto"/>
              </w:divBdr>
              <w:divsChild>
                <w:div w:id="322860075">
                  <w:marLeft w:val="0"/>
                  <w:marRight w:val="0"/>
                  <w:marTop w:val="0"/>
                  <w:marBottom w:val="0"/>
                  <w:divBdr>
                    <w:top w:val="none" w:sz="0" w:space="0" w:color="auto"/>
                    <w:left w:val="none" w:sz="0" w:space="0" w:color="auto"/>
                    <w:bottom w:val="none" w:sz="0" w:space="0" w:color="auto"/>
                    <w:right w:val="none" w:sz="0" w:space="0" w:color="auto"/>
                  </w:divBdr>
                  <w:divsChild>
                    <w:div w:id="689337142">
                      <w:marLeft w:val="645"/>
                      <w:marRight w:val="645"/>
                      <w:marTop w:val="900"/>
                      <w:marBottom w:val="0"/>
                      <w:divBdr>
                        <w:top w:val="none" w:sz="0" w:space="0" w:color="auto"/>
                        <w:left w:val="none" w:sz="0" w:space="0" w:color="auto"/>
                        <w:bottom w:val="none" w:sz="0" w:space="0" w:color="auto"/>
                        <w:right w:val="none" w:sz="0" w:space="0" w:color="auto"/>
                      </w:divBdr>
                      <w:divsChild>
                        <w:div w:id="964240080">
                          <w:marLeft w:val="0"/>
                          <w:marRight w:val="0"/>
                          <w:marTop w:val="0"/>
                          <w:marBottom w:val="0"/>
                          <w:divBdr>
                            <w:top w:val="none" w:sz="0" w:space="0" w:color="auto"/>
                            <w:left w:val="none" w:sz="0" w:space="0" w:color="auto"/>
                            <w:bottom w:val="none" w:sz="0" w:space="0" w:color="auto"/>
                            <w:right w:val="none" w:sz="0" w:space="0" w:color="auto"/>
                          </w:divBdr>
                          <w:divsChild>
                            <w:div w:id="1922716055">
                              <w:marLeft w:val="0"/>
                              <w:marRight w:val="0"/>
                              <w:marTop w:val="0"/>
                              <w:marBottom w:val="0"/>
                              <w:divBdr>
                                <w:top w:val="none" w:sz="0" w:space="0" w:color="auto"/>
                                <w:left w:val="none" w:sz="0" w:space="0" w:color="auto"/>
                                <w:bottom w:val="none" w:sz="0" w:space="0" w:color="auto"/>
                                <w:right w:val="none" w:sz="0" w:space="0" w:color="auto"/>
                              </w:divBdr>
                              <w:divsChild>
                                <w:div w:id="20988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00371051">
      <w:bodyDiv w:val="1"/>
      <w:marLeft w:val="0"/>
      <w:marRight w:val="0"/>
      <w:marTop w:val="0"/>
      <w:marBottom w:val="0"/>
      <w:divBdr>
        <w:top w:val="none" w:sz="0" w:space="0" w:color="auto"/>
        <w:left w:val="none" w:sz="0" w:space="0" w:color="auto"/>
        <w:bottom w:val="none" w:sz="0" w:space="0" w:color="auto"/>
        <w:right w:val="none" w:sz="0" w:space="0" w:color="auto"/>
      </w:divBdr>
    </w:div>
    <w:div w:id="1250574929">
      <w:bodyDiv w:val="1"/>
      <w:marLeft w:val="0"/>
      <w:marRight w:val="0"/>
      <w:marTop w:val="0"/>
      <w:marBottom w:val="0"/>
      <w:divBdr>
        <w:top w:val="none" w:sz="0" w:space="0" w:color="auto"/>
        <w:left w:val="none" w:sz="0" w:space="0" w:color="auto"/>
        <w:bottom w:val="none" w:sz="0" w:space="0" w:color="auto"/>
        <w:right w:val="none" w:sz="0" w:space="0" w:color="auto"/>
      </w:divBdr>
    </w:div>
    <w:div w:id="1726298548">
      <w:bodyDiv w:val="1"/>
      <w:marLeft w:val="0"/>
      <w:marRight w:val="0"/>
      <w:marTop w:val="0"/>
      <w:marBottom w:val="0"/>
      <w:divBdr>
        <w:top w:val="none" w:sz="0" w:space="0" w:color="auto"/>
        <w:left w:val="none" w:sz="0" w:space="0" w:color="auto"/>
        <w:bottom w:val="none" w:sz="0" w:space="0" w:color="auto"/>
        <w:right w:val="none" w:sz="0" w:space="0" w:color="auto"/>
      </w:divBdr>
    </w:div>
    <w:div w:id="1808813583">
      <w:bodyDiv w:val="1"/>
      <w:marLeft w:val="0"/>
      <w:marRight w:val="0"/>
      <w:marTop w:val="0"/>
      <w:marBottom w:val="0"/>
      <w:divBdr>
        <w:top w:val="none" w:sz="0" w:space="0" w:color="auto"/>
        <w:left w:val="none" w:sz="0" w:space="0" w:color="auto"/>
        <w:bottom w:val="none" w:sz="0" w:space="0" w:color="auto"/>
        <w:right w:val="none" w:sz="0" w:space="0" w:color="auto"/>
      </w:divBdr>
    </w:div>
    <w:div w:id="199363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ourenergyplan.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ul%202016.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541AC3-C33D-4F3F-844C-A2A3E3E4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Jul 2016.dotm</Template>
  <TotalTime>1</TotalTime>
  <Pages>17</Pages>
  <Words>4575</Words>
  <Characters>26078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30592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SAPN application for ring fencing waiver - May 2017</dc:title>
  <dc:subject>[subtitle]</dc:subject>
  <dc:creator>AER</dc:creator>
  <cp:lastModifiedBy>Le Cornu, Matthew</cp:lastModifiedBy>
  <cp:revision>3</cp:revision>
  <cp:lastPrinted>2017-05-11T23:17:00Z</cp:lastPrinted>
  <dcterms:created xsi:type="dcterms:W3CDTF">2017-05-26T03:47:00Z</dcterms:created>
  <dcterms:modified xsi:type="dcterms:W3CDTF">2017-05-26T03:47:00Z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\\cdchnas-evs02\home$\mleco\Desktop\Coord\Web\Draft decision - SA Power Networks application for waiver from the Ring-fencing Guideline - 26.05.2017.DOCX</vt:lpwstr>
  </property>
</Properties>
</file>