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0C78415" wp14:editId="5122C589">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E01038B" wp14:editId="47F1BF1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C53CB4">
            <w:t>1</w:t>
          </w:r>
          <w:r w:rsidR="000474DF">
            <w:t xml:space="preserve"> </w:t>
          </w:r>
          <w:r w:rsidR="00185BA5">
            <w:t>–</w:t>
          </w:r>
          <w:r w:rsidR="000474DF">
            <w:t xml:space="preserve"> </w:t>
          </w:r>
          <w:r w:rsidR="00C53CB4">
            <w:t xml:space="preserve">Service target performance incentive </w:t>
          </w:r>
          <w:r w:rsidR="00CC058C">
            <w:t>scheme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2052C">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62755206"/>
      <w:r>
        <w:lastRenderedPageBreak/>
        <w:t>Note</w:t>
      </w:r>
      <w:bookmarkEnd w:id="1"/>
      <w:bookmarkEnd w:id="2"/>
      <w:bookmarkEnd w:id="3"/>
    </w:p>
    <w:p w:rsidR="00761454" w:rsidRDefault="00761454" w:rsidP="00761454">
      <w:pPr>
        <w:numPr>
          <w:ilvl w:val="0"/>
          <w:numId w:val="24"/>
        </w:numPr>
      </w:pPr>
      <w:r>
        <w:t xml:space="preserve">This </w:t>
      </w:r>
      <w:r w:rsidR="0092052C">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92052C" w:rsidRDefault="0092052C"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62755207"/>
      <w:r>
        <w:lastRenderedPageBreak/>
        <w:t>Contents</w:t>
      </w:r>
      <w:bookmarkEnd w:id="8"/>
      <w:bookmarkEnd w:id="9"/>
    </w:p>
    <w:sdt>
      <w:sdtPr>
        <w:id w:val="1269200322"/>
        <w:docPartObj>
          <w:docPartGallery w:val="Table of Contents"/>
          <w:docPartUnique/>
        </w:docPartObj>
      </w:sdtPr>
      <w:sdtEndPr/>
      <w:sdtContent>
        <w:p w:rsidR="001C5AD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206" w:history="1">
            <w:r w:rsidR="001C5AD6" w:rsidRPr="00C54CEB">
              <w:rPr>
                <w:rStyle w:val="Hyperlink"/>
              </w:rPr>
              <w:t>Note</w:t>
            </w:r>
            <w:r w:rsidR="001C5AD6">
              <w:rPr>
                <w:webHidden/>
              </w:rPr>
              <w:tab/>
            </w:r>
            <w:r w:rsidR="001C5AD6">
              <w:rPr>
                <w:webHidden/>
              </w:rPr>
              <w:fldChar w:fldCharType="begin"/>
            </w:r>
            <w:r w:rsidR="001C5AD6">
              <w:rPr>
                <w:webHidden/>
              </w:rPr>
              <w:instrText xml:space="preserve"> PAGEREF _Toc462755206 \h </w:instrText>
            </w:r>
            <w:r w:rsidR="001C5AD6">
              <w:rPr>
                <w:webHidden/>
              </w:rPr>
            </w:r>
            <w:r w:rsidR="001C5AD6">
              <w:rPr>
                <w:webHidden/>
              </w:rPr>
              <w:fldChar w:fldCharType="separate"/>
            </w:r>
            <w:r w:rsidR="001C5AD6">
              <w:rPr>
                <w:webHidden/>
              </w:rPr>
              <w:t>11-2</w:t>
            </w:r>
            <w:r w:rsidR="001C5AD6">
              <w:rPr>
                <w:webHidden/>
              </w:rPr>
              <w:fldChar w:fldCharType="end"/>
            </w:r>
          </w:hyperlink>
        </w:p>
        <w:p w:rsidR="001C5AD6" w:rsidRDefault="0036526B">
          <w:pPr>
            <w:pStyle w:val="TOC1"/>
            <w:rPr>
              <w:rFonts w:asciiTheme="minorHAnsi" w:eastAsiaTheme="minorEastAsia" w:hAnsiTheme="minorHAnsi"/>
              <w:b w:val="0"/>
              <w:color w:val="auto"/>
              <w:sz w:val="22"/>
              <w:lang w:val="en-AU" w:eastAsia="en-AU"/>
            </w:rPr>
          </w:pPr>
          <w:hyperlink w:anchor="_Toc462755207" w:history="1">
            <w:r w:rsidR="001C5AD6" w:rsidRPr="00C54CEB">
              <w:rPr>
                <w:rStyle w:val="Hyperlink"/>
              </w:rPr>
              <w:t>Contents</w:t>
            </w:r>
            <w:r w:rsidR="001C5AD6">
              <w:rPr>
                <w:webHidden/>
              </w:rPr>
              <w:tab/>
            </w:r>
            <w:r w:rsidR="001C5AD6">
              <w:rPr>
                <w:webHidden/>
              </w:rPr>
              <w:fldChar w:fldCharType="begin"/>
            </w:r>
            <w:r w:rsidR="001C5AD6">
              <w:rPr>
                <w:webHidden/>
              </w:rPr>
              <w:instrText xml:space="preserve"> PAGEREF _Toc462755207 \h </w:instrText>
            </w:r>
            <w:r w:rsidR="001C5AD6">
              <w:rPr>
                <w:webHidden/>
              </w:rPr>
            </w:r>
            <w:r w:rsidR="001C5AD6">
              <w:rPr>
                <w:webHidden/>
              </w:rPr>
              <w:fldChar w:fldCharType="separate"/>
            </w:r>
            <w:r w:rsidR="001C5AD6">
              <w:rPr>
                <w:webHidden/>
              </w:rPr>
              <w:t>11-3</w:t>
            </w:r>
            <w:r w:rsidR="001C5AD6">
              <w:rPr>
                <w:webHidden/>
              </w:rPr>
              <w:fldChar w:fldCharType="end"/>
            </w:r>
          </w:hyperlink>
        </w:p>
        <w:p w:rsidR="001C5AD6" w:rsidRDefault="0036526B">
          <w:pPr>
            <w:pStyle w:val="TOC1"/>
            <w:rPr>
              <w:rFonts w:asciiTheme="minorHAnsi" w:eastAsiaTheme="minorEastAsia" w:hAnsiTheme="minorHAnsi"/>
              <w:b w:val="0"/>
              <w:color w:val="auto"/>
              <w:sz w:val="22"/>
              <w:lang w:val="en-AU" w:eastAsia="en-AU"/>
            </w:rPr>
          </w:pPr>
          <w:hyperlink w:anchor="_Toc462755208" w:history="1">
            <w:r w:rsidR="001C5AD6" w:rsidRPr="00C54CEB">
              <w:rPr>
                <w:rStyle w:val="Hyperlink"/>
              </w:rPr>
              <w:t>Shortened forms</w:t>
            </w:r>
            <w:r w:rsidR="001C5AD6">
              <w:rPr>
                <w:webHidden/>
              </w:rPr>
              <w:tab/>
            </w:r>
            <w:r w:rsidR="001C5AD6">
              <w:rPr>
                <w:webHidden/>
              </w:rPr>
              <w:fldChar w:fldCharType="begin"/>
            </w:r>
            <w:r w:rsidR="001C5AD6">
              <w:rPr>
                <w:webHidden/>
              </w:rPr>
              <w:instrText xml:space="preserve"> PAGEREF _Toc462755208 \h </w:instrText>
            </w:r>
            <w:r w:rsidR="001C5AD6">
              <w:rPr>
                <w:webHidden/>
              </w:rPr>
            </w:r>
            <w:r w:rsidR="001C5AD6">
              <w:rPr>
                <w:webHidden/>
              </w:rPr>
              <w:fldChar w:fldCharType="separate"/>
            </w:r>
            <w:r w:rsidR="001C5AD6">
              <w:rPr>
                <w:webHidden/>
              </w:rPr>
              <w:t>11-4</w:t>
            </w:r>
            <w:r w:rsidR="001C5AD6">
              <w:rPr>
                <w:webHidden/>
              </w:rPr>
              <w:fldChar w:fldCharType="end"/>
            </w:r>
          </w:hyperlink>
        </w:p>
        <w:p w:rsidR="001C5AD6" w:rsidRDefault="0036526B">
          <w:pPr>
            <w:pStyle w:val="TOC1"/>
            <w:rPr>
              <w:rFonts w:asciiTheme="minorHAnsi" w:eastAsiaTheme="minorEastAsia" w:hAnsiTheme="minorHAnsi"/>
              <w:b w:val="0"/>
              <w:color w:val="auto"/>
              <w:sz w:val="22"/>
              <w:lang w:val="en-AU" w:eastAsia="en-AU"/>
            </w:rPr>
          </w:pPr>
          <w:hyperlink w:anchor="_Toc462755209" w:history="1">
            <w:r w:rsidR="001C5AD6" w:rsidRPr="00C54CEB">
              <w:rPr>
                <w:rStyle w:val="Hyperlink"/>
              </w:rPr>
              <w:t>11</w:t>
            </w:r>
            <w:r w:rsidR="001C5AD6">
              <w:rPr>
                <w:rFonts w:asciiTheme="minorHAnsi" w:eastAsiaTheme="minorEastAsia" w:hAnsiTheme="minorHAnsi"/>
                <w:b w:val="0"/>
                <w:color w:val="auto"/>
                <w:sz w:val="22"/>
                <w:lang w:val="en-AU" w:eastAsia="en-AU"/>
              </w:rPr>
              <w:tab/>
            </w:r>
            <w:r w:rsidR="001C5AD6" w:rsidRPr="00C54CEB">
              <w:rPr>
                <w:rStyle w:val="Hyperlink"/>
              </w:rPr>
              <w:t>Service target performance incentive scheme</w:t>
            </w:r>
            <w:r w:rsidR="001C5AD6">
              <w:rPr>
                <w:webHidden/>
              </w:rPr>
              <w:tab/>
            </w:r>
            <w:r w:rsidR="001C5AD6">
              <w:rPr>
                <w:webHidden/>
              </w:rPr>
              <w:fldChar w:fldCharType="begin"/>
            </w:r>
            <w:r w:rsidR="001C5AD6">
              <w:rPr>
                <w:webHidden/>
              </w:rPr>
              <w:instrText xml:space="preserve"> PAGEREF _Toc462755209 \h </w:instrText>
            </w:r>
            <w:r w:rsidR="001C5AD6">
              <w:rPr>
                <w:webHidden/>
              </w:rPr>
            </w:r>
            <w:r w:rsidR="001C5AD6">
              <w:rPr>
                <w:webHidden/>
              </w:rPr>
              <w:fldChar w:fldCharType="separate"/>
            </w:r>
            <w:r w:rsidR="001C5AD6">
              <w:rPr>
                <w:webHidden/>
              </w:rPr>
              <w:t>11-6</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0" w:history="1">
            <w:r w:rsidR="001C5AD6" w:rsidRPr="00C54CEB">
              <w:rPr>
                <w:rStyle w:val="Hyperlink"/>
              </w:rPr>
              <w:t>11.1</w:t>
            </w:r>
            <w:r w:rsidR="001C5AD6">
              <w:rPr>
                <w:rFonts w:asciiTheme="minorHAnsi" w:eastAsiaTheme="minorEastAsia" w:hAnsiTheme="minorHAnsi"/>
                <w:b w:val="0"/>
                <w:color w:val="auto"/>
                <w:sz w:val="22"/>
                <w:lang w:eastAsia="en-AU"/>
              </w:rPr>
              <w:tab/>
            </w:r>
            <w:r w:rsidR="001C5AD6" w:rsidRPr="00C54CEB">
              <w:rPr>
                <w:rStyle w:val="Hyperlink"/>
              </w:rPr>
              <w:t>Draft decision</w:t>
            </w:r>
            <w:r w:rsidR="001C5AD6">
              <w:rPr>
                <w:webHidden/>
              </w:rPr>
              <w:tab/>
            </w:r>
            <w:r w:rsidR="001C5AD6">
              <w:rPr>
                <w:webHidden/>
              </w:rPr>
              <w:fldChar w:fldCharType="begin"/>
            </w:r>
            <w:r w:rsidR="001C5AD6">
              <w:rPr>
                <w:webHidden/>
              </w:rPr>
              <w:instrText xml:space="preserve"> PAGEREF _Toc462755210 \h </w:instrText>
            </w:r>
            <w:r w:rsidR="001C5AD6">
              <w:rPr>
                <w:webHidden/>
              </w:rPr>
            </w:r>
            <w:r w:rsidR="001C5AD6">
              <w:rPr>
                <w:webHidden/>
              </w:rPr>
              <w:fldChar w:fldCharType="separate"/>
            </w:r>
            <w:r w:rsidR="001C5AD6">
              <w:rPr>
                <w:webHidden/>
              </w:rPr>
              <w:t>11-6</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1" w:history="1">
            <w:r w:rsidR="001C5AD6" w:rsidRPr="00C54CEB">
              <w:rPr>
                <w:rStyle w:val="Hyperlink"/>
              </w:rPr>
              <w:t>11.2</w:t>
            </w:r>
            <w:r w:rsidR="001C5AD6">
              <w:rPr>
                <w:rFonts w:asciiTheme="minorHAnsi" w:eastAsiaTheme="minorEastAsia" w:hAnsiTheme="minorHAnsi"/>
                <w:b w:val="0"/>
                <w:color w:val="auto"/>
                <w:sz w:val="22"/>
                <w:lang w:eastAsia="en-AU"/>
              </w:rPr>
              <w:tab/>
            </w:r>
            <w:r w:rsidR="001C5AD6" w:rsidRPr="00C54CEB">
              <w:rPr>
                <w:rStyle w:val="Hyperlink"/>
              </w:rPr>
              <w:t>Our framework and approach paper</w:t>
            </w:r>
            <w:r w:rsidR="001C5AD6">
              <w:rPr>
                <w:webHidden/>
              </w:rPr>
              <w:tab/>
            </w:r>
            <w:r w:rsidR="001C5AD6">
              <w:rPr>
                <w:webHidden/>
              </w:rPr>
              <w:fldChar w:fldCharType="begin"/>
            </w:r>
            <w:r w:rsidR="001C5AD6">
              <w:rPr>
                <w:webHidden/>
              </w:rPr>
              <w:instrText xml:space="preserve"> PAGEREF _Toc462755211 \h </w:instrText>
            </w:r>
            <w:r w:rsidR="001C5AD6">
              <w:rPr>
                <w:webHidden/>
              </w:rPr>
            </w:r>
            <w:r w:rsidR="001C5AD6">
              <w:rPr>
                <w:webHidden/>
              </w:rPr>
              <w:fldChar w:fldCharType="separate"/>
            </w:r>
            <w:r w:rsidR="001C5AD6">
              <w:rPr>
                <w:webHidden/>
              </w:rPr>
              <w:t>11-8</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2" w:history="1">
            <w:r w:rsidR="001C5AD6" w:rsidRPr="00C54CEB">
              <w:rPr>
                <w:rStyle w:val="Hyperlink"/>
              </w:rPr>
              <w:t>11.3</w:t>
            </w:r>
            <w:r w:rsidR="001C5AD6">
              <w:rPr>
                <w:rFonts w:asciiTheme="minorHAnsi" w:eastAsiaTheme="minorEastAsia" w:hAnsiTheme="minorHAnsi"/>
                <w:b w:val="0"/>
                <w:color w:val="auto"/>
                <w:sz w:val="22"/>
                <w:lang w:eastAsia="en-AU"/>
              </w:rPr>
              <w:tab/>
            </w:r>
            <w:r w:rsidR="001C5AD6" w:rsidRPr="00C54CEB">
              <w:rPr>
                <w:rStyle w:val="Hyperlink"/>
              </w:rPr>
              <w:t>TasNetworks' proposal</w:t>
            </w:r>
            <w:r w:rsidR="001C5AD6">
              <w:rPr>
                <w:webHidden/>
              </w:rPr>
              <w:tab/>
            </w:r>
            <w:r w:rsidR="001C5AD6">
              <w:rPr>
                <w:webHidden/>
              </w:rPr>
              <w:fldChar w:fldCharType="begin"/>
            </w:r>
            <w:r w:rsidR="001C5AD6">
              <w:rPr>
                <w:webHidden/>
              </w:rPr>
              <w:instrText xml:space="preserve"> PAGEREF _Toc462755212 \h </w:instrText>
            </w:r>
            <w:r w:rsidR="001C5AD6">
              <w:rPr>
                <w:webHidden/>
              </w:rPr>
            </w:r>
            <w:r w:rsidR="001C5AD6">
              <w:rPr>
                <w:webHidden/>
              </w:rPr>
              <w:fldChar w:fldCharType="separate"/>
            </w:r>
            <w:r w:rsidR="001C5AD6">
              <w:rPr>
                <w:webHidden/>
              </w:rPr>
              <w:t>11-8</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3" w:history="1">
            <w:r w:rsidR="001C5AD6" w:rsidRPr="00C54CEB">
              <w:rPr>
                <w:rStyle w:val="Hyperlink"/>
              </w:rPr>
              <w:t>11.4</w:t>
            </w:r>
            <w:r w:rsidR="001C5AD6">
              <w:rPr>
                <w:rFonts w:asciiTheme="minorHAnsi" w:eastAsiaTheme="minorEastAsia" w:hAnsiTheme="minorHAnsi"/>
                <w:b w:val="0"/>
                <w:color w:val="auto"/>
                <w:sz w:val="22"/>
                <w:lang w:eastAsia="en-AU"/>
              </w:rPr>
              <w:tab/>
            </w:r>
            <w:r w:rsidR="001C5AD6" w:rsidRPr="00C54CEB">
              <w:rPr>
                <w:rStyle w:val="Hyperlink"/>
              </w:rPr>
              <w:t>Assessment approach</w:t>
            </w:r>
            <w:r w:rsidR="001C5AD6">
              <w:rPr>
                <w:webHidden/>
              </w:rPr>
              <w:tab/>
            </w:r>
            <w:r w:rsidR="001C5AD6">
              <w:rPr>
                <w:webHidden/>
              </w:rPr>
              <w:fldChar w:fldCharType="begin"/>
            </w:r>
            <w:r w:rsidR="001C5AD6">
              <w:rPr>
                <w:webHidden/>
              </w:rPr>
              <w:instrText xml:space="preserve"> PAGEREF _Toc462755213 \h </w:instrText>
            </w:r>
            <w:r w:rsidR="001C5AD6">
              <w:rPr>
                <w:webHidden/>
              </w:rPr>
            </w:r>
            <w:r w:rsidR="001C5AD6">
              <w:rPr>
                <w:webHidden/>
              </w:rPr>
              <w:fldChar w:fldCharType="separate"/>
            </w:r>
            <w:r w:rsidR="001C5AD6">
              <w:rPr>
                <w:webHidden/>
              </w:rPr>
              <w:t>11-9</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14" w:history="1">
            <w:r w:rsidR="001C5AD6" w:rsidRPr="00C54CEB">
              <w:rPr>
                <w:rStyle w:val="Hyperlink"/>
              </w:rPr>
              <w:t>11.4.1</w:t>
            </w:r>
            <w:r w:rsidR="001C5AD6">
              <w:rPr>
                <w:rFonts w:asciiTheme="minorHAnsi" w:eastAsiaTheme="minorEastAsia" w:hAnsiTheme="minorHAnsi"/>
                <w:lang w:eastAsia="en-AU"/>
              </w:rPr>
              <w:tab/>
            </w:r>
            <w:r w:rsidR="001C5AD6" w:rsidRPr="00C54CEB">
              <w:rPr>
                <w:rStyle w:val="Hyperlink"/>
              </w:rPr>
              <w:t>Interrelationships</w:t>
            </w:r>
            <w:r w:rsidR="001C5AD6">
              <w:rPr>
                <w:webHidden/>
              </w:rPr>
              <w:tab/>
            </w:r>
            <w:r w:rsidR="001C5AD6">
              <w:rPr>
                <w:webHidden/>
              </w:rPr>
              <w:fldChar w:fldCharType="begin"/>
            </w:r>
            <w:r w:rsidR="001C5AD6">
              <w:rPr>
                <w:webHidden/>
              </w:rPr>
              <w:instrText xml:space="preserve"> PAGEREF _Toc462755214 \h </w:instrText>
            </w:r>
            <w:r w:rsidR="001C5AD6">
              <w:rPr>
                <w:webHidden/>
              </w:rPr>
            </w:r>
            <w:r w:rsidR="001C5AD6">
              <w:rPr>
                <w:webHidden/>
              </w:rPr>
              <w:fldChar w:fldCharType="separate"/>
            </w:r>
            <w:r w:rsidR="001C5AD6">
              <w:rPr>
                <w:webHidden/>
              </w:rPr>
              <w:t>11-9</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5" w:history="1">
            <w:r w:rsidR="001C5AD6" w:rsidRPr="00C54CEB">
              <w:rPr>
                <w:rStyle w:val="Hyperlink"/>
              </w:rPr>
              <w:t>11.5</w:t>
            </w:r>
            <w:r w:rsidR="001C5AD6">
              <w:rPr>
                <w:rFonts w:asciiTheme="minorHAnsi" w:eastAsiaTheme="minorEastAsia" w:hAnsiTheme="minorHAnsi"/>
                <w:b w:val="0"/>
                <w:color w:val="auto"/>
                <w:sz w:val="22"/>
                <w:lang w:eastAsia="en-AU"/>
              </w:rPr>
              <w:tab/>
            </w:r>
            <w:r w:rsidR="001C5AD6" w:rsidRPr="00C54CEB">
              <w:rPr>
                <w:rStyle w:val="Hyperlink"/>
              </w:rPr>
              <w:t>Reasons for draft decision</w:t>
            </w:r>
            <w:r w:rsidR="001C5AD6">
              <w:rPr>
                <w:webHidden/>
              </w:rPr>
              <w:tab/>
            </w:r>
            <w:r w:rsidR="001C5AD6">
              <w:rPr>
                <w:webHidden/>
              </w:rPr>
              <w:fldChar w:fldCharType="begin"/>
            </w:r>
            <w:r w:rsidR="001C5AD6">
              <w:rPr>
                <w:webHidden/>
              </w:rPr>
              <w:instrText xml:space="preserve"> PAGEREF _Toc462755215 \h </w:instrText>
            </w:r>
            <w:r w:rsidR="001C5AD6">
              <w:rPr>
                <w:webHidden/>
              </w:rPr>
            </w:r>
            <w:r w:rsidR="001C5AD6">
              <w:rPr>
                <w:webHidden/>
              </w:rPr>
              <w:fldChar w:fldCharType="separate"/>
            </w:r>
            <w:r w:rsidR="001C5AD6">
              <w:rPr>
                <w:webHidden/>
              </w:rPr>
              <w:t>11-10</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16" w:history="1">
            <w:r w:rsidR="001C5AD6" w:rsidRPr="00C54CEB">
              <w:rPr>
                <w:rStyle w:val="Hyperlink"/>
              </w:rPr>
              <w:t>11.6</w:t>
            </w:r>
            <w:r w:rsidR="001C5AD6">
              <w:rPr>
                <w:rFonts w:asciiTheme="minorHAnsi" w:eastAsiaTheme="minorEastAsia" w:hAnsiTheme="minorHAnsi"/>
                <w:b w:val="0"/>
                <w:color w:val="auto"/>
                <w:sz w:val="22"/>
                <w:lang w:eastAsia="en-AU"/>
              </w:rPr>
              <w:tab/>
            </w:r>
            <w:r w:rsidR="001C5AD6" w:rsidRPr="00C54CEB">
              <w:rPr>
                <w:rStyle w:val="Hyperlink"/>
              </w:rPr>
              <w:t>Applying the STPIS</w:t>
            </w:r>
            <w:r w:rsidR="001C5AD6">
              <w:rPr>
                <w:webHidden/>
              </w:rPr>
              <w:tab/>
            </w:r>
            <w:r w:rsidR="001C5AD6">
              <w:rPr>
                <w:webHidden/>
              </w:rPr>
              <w:fldChar w:fldCharType="begin"/>
            </w:r>
            <w:r w:rsidR="001C5AD6">
              <w:rPr>
                <w:webHidden/>
              </w:rPr>
              <w:instrText xml:space="preserve"> PAGEREF _Toc462755216 \h </w:instrText>
            </w:r>
            <w:r w:rsidR="001C5AD6">
              <w:rPr>
                <w:webHidden/>
              </w:rPr>
            </w:r>
            <w:r w:rsidR="001C5AD6">
              <w:rPr>
                <w:webHidden/>
              </w:rPr>
              <w:fldChar w:fldCharType="separate"/>
            </w:r>
            <w:r w:rsidR="001C5AD6">
              <w:rPr>
                <w:webHidden/>
              </w:rPr>
              <w:t>11-10</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17" w:history="1">
            <w:r w:rsidR="001C5AD6" w:rsidRPr="00C54CEB">
              <w:rPr>
                <w:rStyle w:val="Hyperlink"/>
              </w:rPr>
              <w:t>11.6.1</w:t>
            </w:r>
            <w:r w:rsidR="001C5AD6">
              <w:rPr>
                <w:rFonts w:asciiTheme="minorHAnsi" w:eastAsiaTheme="minorEastAsia" w:hAnsiTheme="minorHAnsi"/>
                <w:lang w:eastAsia="en-AU"/>
              </w:rPr>
              <w:tab/>
            </w:r>
            <w:r w:rsidR="001C5AD6" w:rsidRPr="00C54CEB">
              <w:rPr>
                <w:rStyle w:val="Hyperlink"/>
              </w:rPr>
              <w:t>Revenue at risk</w:t>
            </w:r>
            <w:r w:rsidR="001C5AD6">
              <w:rPr>
                <w:webHidden/>
              </w:rPr>
              <w:tab/>
            </w:r>
            <w:r w:rsidR="001C5AD6">
              <w:rPr>
                <w:webHidden/>
              </w:rPr>
              <w:fldChar w:fldCharType="begin"/>
            </w:r>
            <w:r w:rsidR="001C5AD6">
              <w:rPr>
                <w:webHidden/>
              </w:rPr>
              <w:instrText xml:space="preserve"> PAGEREF _Toc462755217 \h </w:instrText>
            </w:r>
            <w:r w:rsidR="001C5AD6">
              <w:rPr>
                <w:webHidden/>
              </w:rPr>
            </w:r>
            <w:r w:rsidR="001C5AD6">
              <w:rPr>
                <w:webHidden/>
              </w:rPr>
              <w:fldChar w:fldCharType="separate"/>
            </w:r>
            <w:r w:rsidR="001C5AD6">
              <w:rPr>
                <w:webHidden/>
              </w:rPr>
              <w:t>11-10</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18" w:history="1">
            <w:r w:rsidR="001C5AD6" w:rsidRPr="00C54CEB">
              <w:rPr>
                <w:rStyle w:val="Hyperlink"/>
              </w:rPr>
              <w:t>11.6.2</w:t>
            </w:r>
            <w:r w:rsidR="001C5AD6">
              <w:rPr>
                <w:rFonts w:asciiTheme="minorHAnsi" w:eastAsiaTheme="minorEastAsia" w:hAnsiTheme="minorHAnsi"/>
                <w:lang w:eastAsia="en-AU"/>
              </w:rPr>
              <w:tab/>
            </w:r>
            <w:r w:rsidR="001C5AD6" w:rsidRPr="00C54CEB">
              <w:rPr>
                <w:rStyle w:val="Hyperlink"/>
              </w:rPr>
              <w:t>Reliability of supply component</w:t>
            </w:r>
            <w:r w:rsidR="001C5AD6">
              <w:rPr>
                <w:webHidden/>
              </w:rPr>
              <w:tab/>
            </w:r>
            <w:r w:rsidR="001C5AD6">
              <w:rPr>
                <w:webHidden/>
              </w:rPr>
              <w:fldChar w:fldCharType="begin"/>
            </w:r>
            <w:r w:rsidR="001C5AD6">
              <w:rPr>
                <w:webHidden/>
              </w:rPr>
              <w:instrText xml:space="preserve"> PAGEREF _Toc462755218 \h </w:instrText>
            </w:r>
            <w:r w:rsidR="001C5AD6">
              <w:rPr>
                <w:webHidden/>
              </w:rPr>
            </w:r>
            <w:r w:rsidR="001C5AD6">
              <w:rPr>
                <w:webHidden/>
              </w:rPr>
              <w:fldChar w:fldCharType="separate"/>
            </w:r>
            <w:r w:rsidR="001C5AD6">
              <w:rPr>
                <w:webHidden/>
              </w:rPr>
              <w:t>11-11</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19" w:history="1">
            <w:r w:rsidR="001C5AD6" w:rsidRPr="00C54CEB">
              <w:rPr>
                <w:rStyle w:val="Hyperlink"/>
              </w:rPr>
              <w:t>11.6.3</w:t>
            </w:r>
            <w:r w:rsidR="001C5AD6">
              <w:rPr>
                <w:rFonts w:asciiTheme="minorHAnsi" w:eastAsiaTheme="minorEastAsia" w:hAnsiTheme="minorHAnsi"/>
                <w:lang w:eastAsia="en-AU"/>
              </w:rPr>
              <w:tab/>
            </w:r>
            <w:r w:rsidR="001C5AD6" w:rsidRPr="00C54CEB">
              <w:rPr>
                <w:rStyle w:val="Hyperlink"/>
              </w:rPr>
              <w:t>Customer service component</w:t>
            </w:r>
            <w:r w:rsidR="001C5AD6">
              <w:rPr>
                <w:webHidden/>
              </w:rPr>
              <w:tab/>
            </w:r>
            <w:r w:rsidR="001C5AD6">
              <w:rPr>
                <w:webHidden/>
              </w:rPr>
              <w:fldChar w:fldCharType="begin"/>
            </w:r>
            <w:r w:rsidR="001C5AD6">
              <w:rPr>
                <w:webHidden/>
              </w:rPr>
              <w:instrText xml:space="preserve"> PAGEREF _Toc462755219 \h </w:instrText>
            </w:r>
            <w:r w:rsidR="001C5AD6">
              <w:rPr>
                <w:webHidden/>
              </w:rPr>
            </w:r>
            <w:r w:rsidR="001C5AD6">
              <w:rPr>
                <w:webHidden/>
              </w:rPr>
              <w:fldChar w:fldCharType="separate"/>
            </w:r>
            <w:r w:rsidR="001C5AD6">
              <w:rPr>
                <w:webHidden/>
              </w:rPr>
              <w:t>11-13</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20" w:history="1">
            <w:r w:rsidR="001C5AD6" w:rsidRPr="00C54CEB">
              <w:rPr>
                <w:rStyle w:val="Hyperlink"/>
              </w:rPr>
              <w:t>11.6.4</w:t>
            </w:r>
            <w:r w:rsidR="001C5AD6">
              <w:rPr>
                <w:rFonts w:asciiTheme="minorHAnsi" w:eastAsiaTheme="minorEastAsia" w:hAnsiTheme="minorHAnsi"/>
                <w:lang w:eastAsia="en-AU"/>
              </w:rPr>
              <w:tab/>
            </w:r>
            <w:r w:rsidR="001C5AD6" w:rsidRPr="00C54CEB">
              <w:rPr>
                <w:rStyle w:val="Hyperlink"/>
              </w:rPr>
              <w:t>Incentive rates</w:t>
            </w:r>
            <w:r w:rsidR="001C5AD6">
              <w:rPr>
                <w:webHidden/>
              </w:rPr>
              <w:tab/>
            </w:r>
            <w:r w:rsidR="001C5AD6">
              <w:rPr>
                <w:webHidden/>
              </w:rPr>
              <w:fldChar w:fldCharType="begin"/>
            </w:r>
            <w:r w:rsidR="001C5AD6">
              <w:rPr>
                <w:webHidden/>
              </w:rPr>
              <w:instrText xml:space="preserve"> PAGEREF _Toc462755220 \h </w:instrText>
            </w:r>
            <w:r w:rsidR="001C5AD6">
              <w:rPr>
                <w:webHidden/>
              </w:rPr>
            </w:r>
            <w:r w:rsidR="001C5AD6">
              <w:rPr>
                <w:webHidden/>
              </w:rPr>
              <w:fldChar w:fldCharType="separate"/>
            </w:r>
            <w:r w:rsidR="001C5AD6">
              <w:rPr>
                <w:webHidden/>
              </w:rPr>
              <w:t>11-13</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21" w:history="1">
            <w:r w:rsidR="001C5AD6" w:rsidRPr="00C54CEB">
              <w:rPr>
                <w:rStyle w:val="Hyperlink"/>
              </w:rPr>
              <w:t>11.7</w:t>
            </w:r>
            <w:r w:rsidR="001C5AD6">
              <w:rPr>
                <w:rFonts w:asciiTheme="minorHAnsi" w:eastAsiaTheme="minorEastAsia" w:hAnsiTheme="minorHAnsi"/>
                <w:b w:val="0"/>
                <w:color w:val="auto"/>
                <w:sz w:val="22"/>
                <w:lang w:eastAsia="en-AU"/>
              </w:rPr>
              <w:tab/>
            </w:r>
            <w:r w:rsidR="001C5AD6" w:rsidRPr="00C54CEB">
              <w:rPr>
                <w:rStyle w:val="Hyperlink"/>
              </w:rPr>
              <w:t>Reasons for not departing from our F&amp;A on revenue at risk</w:t>
            </w:r>
            <w:r w:rsidR="001C5AD6">
              <w:rPr>
                <w:webHidden/>
              </w:rPr>
              <w:tab/>
            </w:r>
            <w:r w:rsidR="001C5AD6">
              <w:rPr>
                <w:webHidden/>
              </w:rPr>
              <w:fldChar w:fldCharType="begin"/>
            </w:r>
            <w:r w:rsidR="001C5AD6">
              <w:rPr>
                <w:webHidden/>
              </w:rPr>
              <w:instrText xml:space="preserve"> PAGEREF _Toc462755221 \h </w:instrText>
            </w:r>
            <w:r w:rsidR="001C5AD6">
              <w:rPr>
                <w:webHidden/>
              </w:rPr>
            </w:r>
            <w:r w:rsidR="001C5AD6">
              <w:rPr>
                <w:webHidden/>
              </w:rPr>
              <w:fldChar w:fldCharType="separate"/>
            </w:r>
            <w:r w:rsidR="001C5AD6">
              <w:rPr>
                <w:webHidden/>
              </w:rPr>
              <w:t>11-13</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22" w:history="1">
            <w:r w:rsidR="001C5AD6" w:rsidRPr="00C54CEB">
              <w:rPr>
                <w:rStyle w:val="Hyperlink"/>
              </w:rPr>
              <w:t>11.7.1</w:t>
            </w:r>
            <w:r w:rsidR="001C5AD6">
              <w:rPr>
                <w:rFonts w:asciiTheme="minorHAnsi" w:eastAsiaTheme="minorEastAsia" w:hAnsiTheme="minorHAnsi"/>
                <w:lang w:eastAsia="en-AU"/>
              </w:rPr>
              <w:tab/>
            </w:r>
            <w:r w:rsidR="001C5AD6" w:rsidRPr="00C54CEB">
              <w:rPr>
                <w:rStyle w:val="Hyperlink"/>
              </w:rPr>
              <w:t>Level of revenue at risk</w:t>
            </w:r>
            <w:r w:rsidR="001C5AD6">
              <w:rPr>
                <w:webHidden/>
              </w:rPr>
              <w:tab/>
            </w:r>
            <w:r w:rsidR="001C5AD6">
              <w:rPr>
                <w:webHidden/>
              </w:rPr>
              <w:fldChar w:fldCharType="begin"/>
            </w:r>
            <w:r w:rsidR="001C5AD6">
              <w:rPr>
                <w:webHidden/>
              </w:rPr>
              <w:instrText xml:space="preserve"> PAGEREF _Toc462755222 \h </w:instrText>
            </w:r>
            <w:r w:rsidR="001C5AD6">
              <w:rPr>
                <w:webHidden/>
              </w:rPr>
            </w:r>
            <w:r w:rsidR="001C5AD6">
              <w:rPr>
                <w:webHidden/>
              </w:rPr>
              <w:fldChar w:fldCharType="separate"/>
            </w:r>
            <w:r w:rsidR="001C5AD6">
              <w:rPr>
                <w:webHidden/>
              </w:rPr>
              <w:t>11-13</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23" w:history="1">
            <w:r w:rsidR="001C5AD6" w:rsidRPr="00C54CEB">
              <w:rPr>
                <w:rStyle w:val="Hyperlink"/>
              </w:rPr>
              <w:t>11.8</w:t>
            </w:r>
            <w:r w:rsidR="001C5AD6">
              <w:rPr>
                <w:rFonts w:asciiTheme="minorHAnsi" w:eastAsiaTheme="minorEastAsia" w:hAnsiTheme="minorHAnsi"/>
                <w:b w:val="0"/>
                <w:color w:val="auto"/>
                <w:sz w:val="22"/>
                <w:lang w:eastAsia="en-AU"/>
              </w:rPr>
              <w:tab/>
            </w:r>
            <w:r w:rsidR="001C5AD6" w:rsidRPr="00C54CEB">
              <w:rPr>
                <w:rStyle w:val="Hyperlink"/>
              </w:rPr>
              <w:t>Other considerations in applying the STPIS</w:t>
            </w:r>
            <w:r w:rsidR="001C5AD6">
              <w:rPr>
                <w:webHidden/>
              </w:rPr>
              <w:tab/>
            </w:r>
            <w:r w:rsidR="001C5AD6">
              <w:rPr>
                <w:webHidden/>
              </w:rPr>
              <w:fldChar w:fldCharType="begin"/>
            </w:r>
            <w:r w:rsidR="001C5AD6">
              <w:rPr>
                <w:webHidden/>
              </w:rPr>
              <w:instrText xml:space="preserve"> PAGEREF _Toc462755223 \h </w:instrText>
            </w:r>
            <w:r w:rsidR="001C5AD6">
              <w:rPr>
                <w:webHidden/>
              </w:rPr>
            </w:r>
            <w:r w:rsidR="001C5AD6">
              <w:rPr>
                <w:webHidden/>
              </w:rPr>
              <w:fldChar w:fldCharType="separate"/>
            </w:r>
            <w:r w:rsidR="001C5AD6">
              <w:rPr>
                <w:webHidden/>
              </w:rPr>
              <w:t>11-17</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24" w:history="1">
            <w:r w:rsidR="001C5AD6" w:rsidRPr="00C54CEB">
              <w:rPr>
                <w:rStyle w:val="Hyperlink"/>
              </w:rPr>
              <w:t>11.8.1</w:t>
            </w:r>
            <w:r w:rsidR="001C5AD6">
              <w:rPr>
                <w:rFonts w:asciiTheme="minorHAnsi" w:eastAsiaTheme="minorEastAsia" w:hAnsiTheme="minorHAnsi"/>
                <w:lang w:eastAsia="en-AU"/>
              </w:rPr>
              <w:tab/>
            </w:r>
            <w:r w:rsidR="001C5AD6" w:rsidRPr="00C54CEB">
              <w:rPr>
                <w:rStyle w:val="Hyperlink"/>
              </w:rPr>
              <w:t>Value of customer reliability to calculate the incentive rates</w:t>
            </w:r>
            <w:r w:rsidR="001C5AD6">
              <w:rPr>
                <w:webHidden/>
              </w:rPr>
              <w:tab/>
            </w:r>
            <w:r w:rsidR="001C5AD6">
              <w:rPr>
                <w:webHidden/>
              </w:rPr>
              <w:fldChar w:fldCharType="begin"/>
            </w:r>
            <w:r w:rsidR="001C5AD6">
              <w:rPr>
                <w:webHidden/>
              </w:rPr>
              <w:instrText xml:space="preserve"> PAGEREF _Toc462755224 \h </w:instrText>
            </w:r>
            <w:r w:rsidR="001C5AD6">
              <w:rPr>
                <w:webHidden/>
              </w:rPr>
            </w:r>
            <w:r w:rsidR="001C5AD6">
              <w:rPr>
                <w:webHidden/>
              </w:rPr>
              <w:fldChar w:fldCharType="separate"/>
            </w:r>
            <w:r w:rsidR="001C5AD6">
              <w:rPr>
                <w:webHidden/>
              </w:rPr>
              <w:t>11-17</w:t>
            </w:r>
            <w:r w:rsidR="001C5AD6">
              <w:rPr>
                <w:webHidden/>
              </w:rPr>
              <w:fldChar w:fldCharType="end"/>
            </w:r>
          </w:hyperlink>
        </w:p>
        <w:p w:rsidR="001C5AD6" w:rsidRDefault="0036526B">
          <w:pPr>
            <w:pStyle w:val="TOC2"/>
            <w:tabs>
              <w:tab w:val="left" w:pos="1276"/>
            </w:tabs>
            <w:rPr>
              <w:rFonts w:asciiTheme="minorHAnsi" w:eastAsiaTheme="minorEastAsia" w:hAnsiTheme="minorHAnsi"/>
              <w:b w:val="0"/>
              <w:color w:val="auto"/>
              <w:sz w:val="22"/>
              <w:lang w:eastAsia="en-AU"/>
            </w:rPr>
          </w:pPr>
          <w:hyperlink w:anchor="_Toc462755225" w:history="1">
            <w:r w:rsidR="001C5AD6" w:rsidRPr="00C54CEB">
              <w:rPr>
                <w:rStyle w:val="Hyperlink"/>
              </w:rPr>
              <w:t>11.9</w:t>
            </w:r>
            <w:r w:rsidR="001C5AD6">
              <w:rPr>
                <w:rFonts w:asciiTheme="minorHAnsi" w:eastAsiaTheme="minorEastAsia" w:hAnsiTheme="minorHAnsi"/>
                <w:b w:val="0"/>
                <w:color w:val="auto"/>
                <w:sz w:val="22"/>
                <w:lang w:eastAsia="en-AU"/>
              </w:rPr>
              <w:tab/>
            </w:r>
            <w:r w:rsidR="001C5AD6" w:rsidRPr="00C54CEB">
              <w:rPr>
                <w:rStyle w:val="Hyperlink"/>
              </w:rPr>
              <w:t>Arrangements for the overlap between regulatory control periods</w:t>
            </w:r>
            <w:r w:rsidR="001C5AD6">
              <w:rPr>
                <w:webHidden/>
              </w:rPr>
              <w:tab/>
            </w:r>
            <w:r w:rsidR="001C5AD6">
              <w:rPr>
                <w:webHidden/>
              </w:rPr>
              <w:fldChar w:fldCharType="begin"/>
            </w:r>
            <w:r w:rsidR="001C5AD6">
              <w:rPr>
                <w:webHidden/>
              </w:rPr>
              <w:instrText xml:space="preserve"> PAGEREF _Toc462755225 \h </w:instrText>
            </w:r>
            <w:r w:rsidR="001C5AD6">
              <w:rPr>
                <w:webHidden/>
              </w:rPr>
            </w:r>
            <w:r w:rsidR="001C5AD6">
              <w:rPr>
                <w:webHidden/>
              </w:rPr>
              <w:fldChar w:fldCharType="separate"/>
            </w:r>
            <w:r w:rsidR="001C5AD6">
              <w:rPr>
                <w:webHidden/>
              </w:rPr>
              <w:t>11-17</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26" w:history="1">
            <w:r w:rsidR="001C5AD6" w:rsidRPr="00C54CEB">
              <w:rPr>
                <w:rStyle w:val="Hyperlink"/>
              </w:rPr>
              <w:t>11.9.1</w:t>
            </w:r>
            <w:r w:rsidR="001C5AD6">
              <w:rPr>
                <w:rFonts w:asciiTheme="minorHAnsi" w:eastAsiaTheme="minorEastAsia" w:hAnsiTheme="minorHAnsi"/>
                <w:lang w:eastAsia="en-AU"/>
              </w:rPr>
              <w:tab/>
            </w:r>
            <w:r w:rsidR="001C5AD6" w:rsidRPr="00C54CEB">
              <w:rPr>
                <w:rStyle w:val="Hyperlink"/>
              </w:rPr>
              <w:t>Adjusting the S-factor between regulatory control periods</w:t>
            </w:r>
            <w:r w:rsidR="001C5AD6">
              <w:rPr>
                <w:webHidden/>
              </w:rPr>
              <w:tab/>
            </w:r>
            <w:r w:rsidR="001C5AD6">
              <w:rPr>
                <w:webHidden/>
              </w:rPr>
              <w:fldChar w:fldCharType="begin"/>
            </w:r>
            <w:r w:rsidR="001C5AD6">
              <w:rPr>
                <w:webHidden/>
              </w:rPr>
              <w:instrText xml:space="preserve"> PAGEREF _Toc462755226 \h </w:instrText>
            </w:r>
            <w:r w:rsidR="001C5AD6">
              <w:rPr>
                <w:webHidden/>
              </w:rPr>
            </w:r>
            <w:r w:rsidR="001C5AD6">
              <w:rPr>
                <w:webHidden/>
              </w:rPr>
              <w:fldChar w:fldCharType="separate"/>
            </w:r>
            <w:r w:rsidR="001C5AD6">
              <w:rPr>
                <w:webHidden/>
              </w:rPr>
              <w:t>11-18</w:t>
            </w:r>
            <w:r w:rsidR="001C5AD6">
              <w:rPr>
                <w:webHidden/>
              </w:rPr>
              <w:fldChar w:fldCharType="end"/>
            </w:r>
          </w:hyperlink>
        </w:p>
        <w:p w:rsidR="001C5AD6" w:rsidRDefault="0036526B">
          <w:pPr>
            <w:pStyle w:val="TOC3"/>
            <w:rPr>
              <w:rFonts w:asciiTheme="minorHAnsi" w:eastAsiaTheme="minorEastAsia" w:hAnsiTheme="minorHAnsi"/>
              <w:lang w:eastAsia="en-AU"/>
            </w:rPr>
          </w:pPr>
          <w:hyperlink w:anchor="_Toc462755227" w:history="1">
            <w:r w:rsidR="001C5AD6" w:rsidRPr="00C54CEB">
              <w:rPr>
                <w:rStyle w:val="Hyperlink"/>
              </w:rPr>
              <w:t>11.9.2</w:t>
            </w:r>
            <w:r w:rsidR="001C5AD6">
              <w:rPr>
                <w:rFonts w:asciiTheme="minorHAnsi" w:eastAsiaTheme="minorEastAsia" w:hAnsiTheme="minorHAnsi"/>
                <w:lang w:eastAsia="en-AU"/>
              </w:rPr>
              <w:tab/>
            </w:r>
            <w:r w:rsidR="001C5AD6" w:rsidRPr="00C54CEB">
              <w:rPr>
                <w:rStyle w:val="Hyperlink"/>
              </w:rPr>
              <w:t>Accounting for revenue increments decrements between regulatory periods</w:t>
            </w:r>
            <w:r w:rsidR="001C5AD6">
              <w:rPr>
                <w:webHidden/>
              </w:rPr>
              <w:tab/>
            </w:r>
            <w:r w:rsidR="001C5AD6">
              <w:rPr>
                <w:webHidden/>
              </w:rPr>
              <w:fldChar w:fldCharType="begin"/>
            </w:r>
            <w:r w:rsidR="001C5AD6">
              <w:rPr>
                <w:webHidden/>
              </w:rPr>
              <w:instrText xml:space="preserve"> PAGEREF _Toc462755227 \h </w:instrText>
            </w:r>
            <w:r w:rsidR="001C5AD6">
              <w:rPr>
                <w:webHidden/>
              </w:rPr>
            </w:r>
            <w:r w:rsidR="001C5AD6">
              <w:rPr>
                <w:webHidden/>
              </w:rPr>
              <w:fldChar w:fldCharType="separate"/>
            </w:r>
            <w:r w:rsidR="001C5AD6">
              <w:rPr>
                <w:webHidden/>
              </w:rPr>
              <w:t>11-18</w:t>
            </w:r>
            <w:r w:rsidR="001C5AD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62755208"/>
      <w:r>
        <w:lastRenderedPageBreak/>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proofErr w:type="spellStart"/>
            <w:r w:rsidRPr="00712239">
              <w:rPr>
                <w:rStyle w:val="AERtextsize8"/>
              </w:rPr>
              <w:t>DUoS</w:t>
            </w:r>
            <w:proofErr w:type="spellEnd"/>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w:t>
            </w:r>
            <w:bookmarkStart w:id="12" w:name="_GoBack"/>
            <w:bookmarkEnd w:id="12"/>
            <w:r w:rsidRPr="00712239">
              <w:rPr>
                <w:rStyle w:val="AERtextsize8"/>
              </w:rPr>
              <w:t>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w:t>
            </w:r>
            <w:proofErr w:type="spellStart"/>
            <w:r w:rsidRPr="00712239">
              <w:rPr>
                <w:rStyle w:val="AERtextsize8"/>
              </w:rPr>
              <w:t>Lintner</w:t>
            </w:r>
            <w:proofErr w:type="spellEnd"/>
            <w:r w:rsidRPr="00712239">
              <w:rPr>
                <w:rStyle w:val="AERtextsize8"/>
              </w:rPr>
              <w:t xml:space="preserve">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53CB4" w:rsidP="00C53CB4">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209"/>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Service target performance</w:t>
      </w:r>
      <w:r w:rsidR="00CC058C">
        <w:t xml:space="preserve"> incentive scheme</w:t>
      </w:r>
      <w:bookmarkEnd w:id="71"/>
    </w:p>
    <w:p w:rsidR="008E771D" w:rsidRDefault="008E771D" w:rsidP="008E771D">
      <w:r>
        <w:t>Under clause</w:t>
      </w:r>
      <w:r w:rsidR="00261658">
        <w:t>s</w:t>
      </w:r>
      <w:r>
        <w:t xml:space="preserve"> 6.3.2 </w:t>
      </w:r>
      <w:r w:rsidR="00261658">
        <w:t>and 6.12.1</w:t>
      </w:r>
      <w:r w:rsidR="007E1264">
        <w:t>(</w:t>
      </w:r>
      <w:r w:rsidR="00261658">
        <w:t>9</w:t>
      </w:r>
      <w:r w:rsidR="007E1264">
        <w:t>)</w:t>
      </w:r>
      <w:r w:rsidR="00261658">
        <w:t xml:space="preserve"> </w:t>
      </w:r>
      <w:r>
        <w:t>of the National Electricity Rules</w:t>
      </w:r>
      <w:r w:rsidR="007E1264">
        <w:t xml:space="preserve"> (NER)</w:t>
      </w:r>
      <w:r>
        <w:t xml:space="preserve"> our regulatory determination must </w:t>
      </w:r>
      <w:r w:rsidRPr="00277932">
        <w:t xml:space="preserve">specify how any applicable </w:t>
      </w:r>
      <w:r>
        <w:t>service target performance incentive</w:t>
      </w:r>
      <w:r w:rsidR="00BF1AC1">
        <w:t xml:space="preserve"> scheme</w:t>
      </w:r>
      <w:r>
        <w:t xml:space="preserve"> (</w:t>
      </w:r>
      <w:r w:rsidRPr="00277932">
        <w:t>STPIS</w:t>
      </w:r>
      <w:r>
        <w:t>)</w:t>
      </w:r>
      <w:r w:rsidRPr="00277932">
        <w:t xml:space="preserve"> is to apply in the next regulatory control period.</w:t>
      </w:r>
      <w:r>
        <w:t xml:space="preserve"> </w:t>
      </w:r>
    </w:p>
    <w:p w:rsidR="008E771D" w:rsidRDefault="008E771D" w:rsidP="008E771D">
      <w:r>
        <w:t>This attachment sets out how we will apply the STPIS to TasNetworks</w:t>
      </w:r>
      <w:r w:rsidR="00EC5AA5">
        <w:t xml:space="preserve"> for the 2017–19</w:t>
      </w:r>
      <w:r>
        <w:t xml:space="preserve"> regulatory control </w:t>
      </w:r>
      <w:proofErr w:type="gramStart"/>
      <w:r>
        <w:t>period</w:t>
      </w:r>
      <w:proofErr w:type="gramEnd"/>
      <w:r>
        <w:t>.</w:t>
      </w:r>
    </w:p>
    <w:p w:rsidR="008E771D" w:rsidRDefault="008E771D" w:rsidP="00BF1AC1">
      <w:pPr>
        <w:pStyle w:val="Caption"/>
      </w:pPr>
      <w:bookmarkStart w:id="72" w:name="_Toc433038406"/>
      <w:r>
        <w:t>AER’s service target performance incentive scheme</w:t>
      </w:r>
      <w:bookmarkEnd w:id="72"/>
    </w:p>
    <w:p w:rsidR="008E771D" w:rsidRDefault="008E771D" w:rsidP="008E771D">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132D43" w:rsidRDefault="00132D43" w:rsidP="00132D43">
      <w:pPr>
        <w:pStyle w:val="Heading2"/>
      </w:pPr>
      <w:bookmarkStart w:id="73" w:name="_Toc462755210"/>
      <w:r>
        <w:t>Draft decision</w:t>
      </w:r>
      <w:bookmarkEnd w:id="73"/>
    </w:p>
    <w:p w:rsidR="00087A8A" w:rsidRDefault="00F64E83" w:rsidP="00087A8A">
      <w:r>
        <w:t xml:space="preserve">In accordance </w:t>
      </w:r>
      <w:r w:rsidR="00087A8A">
        <w:t>with our framework and approach (F&amp;A) position on STPIS</w:t>
      </w:r>
      <w:r w:rsidR="00B956F7">
        <w:t>,</w:t>
      </w:r>
      <w:r w:rsidR="00B956F7">
        <w:rPr>
          <w:rStyle w:val="FootnoteReference"/>
        </w:rPr>
        <w:footnoteReference w:id="2"/>
      </w:r>
      <w:r w:rsidR="00087A8A">
        <w:t xml:space="preserve"> our </w:t>
      </w:r>
      <w:r w:rsidR="000D6FCF">
        <w:t xml:space="preserve">draft </w:t>
      </w:r>
      <w:r w:rsidR="00087A8A">
        <w:t xml:space="preserve">decision is to </w:t>
      </w:r>
      <w:r w:rsidR="00087A8A" w:rsidRPr="0035295E">
        <w:t xml:space="preserve">apply the STPIS to </w:t>
      </w:r>
      <w:r w:rsidR="00087A8A">
        <w:t>TasNetworks for the 2017–19 in the following manner:</w:t>
      </w:r>
    </w:p>
    <w:p w:rsidR="00087A8A" w:rsidRPr="00D6741A" w:rsidRDefault="00087A8A" w:rsidP="00087A8A">
      <w:pPr>
        <w:pStyle w:val="AERbulletlistfirststyle"/>
        <w:rPr>
          <w:rStyle w:val="AERbody"/>
        </w:rPr>
      </w:pPr>
      <w:r w:rsidRPr="00441E9B">
        <w:rPr>
          <w:rStyle w:val="AERbody"/>
        </w:rPr>
        <w:t xml:space="preserve">set revenue at risk for </w:t>
      </w:r>
      <w:r>
        <w:rPr>
          <w:rStyle w:val="AERbody"/>
        </w:rPr>
        <w:t xml:space="preserve">TasNetworks at the </w:t>
      </w:r>
      <w:r w:rsidRPr="00441E9B">
        <w:rPr>
          <w:rStyle w:val="AERbody"/>
        </w:rPr>
        <w:t xml:space="preserve">range </w:t>
      </w:r>
      <w:r w:rsidRPr="00087A8A">
        <w:rPr>
          <w:rStyle w:val="AERbody"/>
        </w:rPr>
        <w:t>±</w:t>
      </w:r>
      <w:r>
        <w:rPr>
          <w:rStyle w:val="AERbody"/>
        </w:rPr>
        <w:t xml:space="preserve"> 5.0</w:t>
      </w:r>
      <w:r w:rsidRPr="00D6741A">
        <w:rPr>
          <w:rStyle w:val="AERbody"/>
        </w:rPr>
        <w:t xml:space="preserve"> per cent</w:t>
      </w:r>
    </w:p>
    <w:p w:rsidR="0092576D" w:rsidRDefault="00087A8A" w:rsidP="00087A8A">
      <w:pPr>
        <w:pStyle w:val="AERbulletlistfirststyle"/>
      </w:pPr>
      <w:r w:rsidRPr="00C16C7B">
        <w:t xml:space="preserve">segment </w:t>
      </w:r>
      <w:r>
        <w:rPr>
          <w:rStyle w:val="AERbody"/>
        </w:rPr>
        <w:t>TasNetworks'</w:t>
      </w:r>
      <w:r>
        <w:t xml:space="preserve"> </w:t>
      </w:r>
      <w:r w:rsidRPr="00C16C7B">
        <w:t>network according to feeder categories</w:t>
      </w:r>
      <w:r w:rsidR="0092576D">
        <w:t>:</w:t>
      </w:r>
    </w:p>
    <w:p w:rsidR="0092576D" w:rsidRDefault="007D5777" w:rsidP="0092576D">
      <w:pPr>
        <w:pStyle w:val="AERbulletlistsecondstyle"/>
      </w:pPr>
      <w:r w:rsidRPr="0092576D">
        <w:t>critical infrastructure</w:t>
      </w:r>
      <w:r w:rsidRPr="0092576D">
        <w:tab/>
      </w:r>
    </w:p>
    <w:p w:rsidR="0092576D" w:rsidRDefault="007D5777" w:rsidP="0092576D">
      <w:pPr>
        <w:pStyle w:val="AERbulletlistsecondstyle"/>
      </w:pPr>
      <w:r w:rsidRPr="0092576D">
        <w:t>high density commercial</w:t>
      </w:r>
      <w:r w:rsidRPr="0092576D">
        <w:tab/>
      </w:r>
    </w:p>
    <w:p w:rsidR="0092576D" w:rsidRDefault="007D5777" w:rsidP="0092576D">
      <w:pPr>
        <w:pStyle w:val="AERbulletlistsecondstyle"/>
      </w:pPr>
      <w:r w:rsidRPr="0092576D">
        <w:t>urban</w:t>
      </w:r>
      <w:r w:rsidRPr="0092576D">
        <w:tab/>
      </w:r>
    </w:p>
    <w:p w:rsidR="0092576D" w:rsidRDefault="007D5777" w:rsidP="0092576D">
      <w:pPr>
        <w:pStyle w:val="AERbulletlistsecondstyle"/>
      </w:pPr>
      <w:r w:rsidRPr="0092576D">
        <w:t>high density rural</w:t>
      </w:r>
      <w:r w:rsidRPr="0092576D">
        <w:tab/>
      </w:r>
    </w:p>
    <w:p w:rsidR="00087A8A" w:rsidRPr="00D6741A" w:rsidRDefault="007D5777" w:rsidP="0092576D">
      <w:pPr>
        <w:pStyle w:val="AERbulletlistsecondstyle"/>
      </w:pPr>
      <w:r w:rsidRPr="0092576D">
        <w:t>low density rural</w:t>
      </w:r>
      <w:r w:rsidRPr="00C16C7B">
        <w:t xml:space="preserve"> </w:t>
      </w:r>
    </w:p>
    <w:p w:rsidR="00087A8A" w:rsidRDefault="00087A8A" w:rsidP="00087A8A">
      <w:pPr>
        <w:pStyle w:val="AERbulletlistfirststyle"/>
      </w:pPr>
      <w:r>
        <w:t xml:space="preserve">apply </w:t>
      </w:r>
      <w:r w:rsidRPr="00C16C7B">
        <w:t>reliability of supply</w:t>
      </w:r>
      <w:r>
        <w:t xml:space="preserve"> parameters of:</w:t>
      </w:r>
    </w:p>
    <w:p w:rsidR="00087A8A" w:rsidRDefault="00087A8A" w:rsidP="00087A8A">
      <w:pPr>
        <w:pStyle w:val="AERbulletlistsecondstyle"/>
      </w:pPr>
      <w:r w:rsidRPr="00D6741A">
        <w:t xml:space="preserve">system average interruption duration index </w:t>
      </w:r>
      <w:r>
        <w:t>(</w:t>
      </w:r>
      <w:r w:rsidRPr="00D6741A">
        <w:t>SAIDI</w:t>
      </w:r>
      <w:r>
        <w:t>)</w:t>
      </w:r>
      <w:r w:rsidRPr="00D6741A">
        <w:t xml:space="preserve"> </w:t>
      </w:r>
    </w:p>
    <w:p w:rsidR="00087A8A" w:rsidRDefault="00087A8A" w:rsidP="00087A8A">
      <w:pPr>
        <w:pStyle w:val="AERbulletlistsecondstyle"/>
      </w:pPr>
      <w:r w:rsidRPr="00D6741A">
        <w:t xml:space="preserve">system average interruption frequency index </w:t>
      </w:r>
      <w:r>
        <w:t>(</w:t>
      </w:r>
      <w:r w:rsidRPr="00D6741A">
        <w:t>SAIFI</w:t>
      </w:r>
      <w:r>
        <w:t xml:space="preserve">) </w:t>
      </w:r>
    </w:p>
    <w:p w:rsidR="00087A8A" w:rsidRDefault="00087A8A" w:rsidP="00087A8A">
      <w:pPr>
        <w:pStyle w:val="AERbulletlistsecondstyle"/>
        <w:rPr>
          <w:rStyle w:val="AERbody"/>
        </w:rPr>
      </w:pPr>
      <w:r w:rsidRPr="00D6741A">
        <w:rPr>
          <w:rStyle w:val="AERbody"/>
        </w:rPr>
        <w:t>customer service (telephone answering)</w:t>
      </w:r>
    </w:p>
    <w:p w:rsidR="00087A8A" w:rsidRPr="00D6741A" w:rsidRDefault="00087A8A" w:rsidP="00087A8A">
      <w:pPr>
        <w:pStyle w:val="AERbulletlistfirststyle"/>
      </w:pPr>
      <w:r w:rsidRPr="00D6741A">
        <w:t xml:space="preserve">set performance targets based on </w:t>
      </w:r>
      <w:r>
        <w:rPr>
          <w:rStyle w:val="AERbody"/>
        </w:rPr>
        <w:t>TasNetworks'</w:t>
      </w:r>
      <w:r w:rsidRPr="00D6741A">
        <w:t xml:space="preserve"> average performance over the past five regulatory years </w:t>
      </w:r>
    </w:p>
    <w:p w:rsidR="00087A8A" w:rsidRPr="00D6741A" w:rsidRDefault="00087A8A" w:rsidP="00087A8A">
      <w:pPr>
        <w:pStyle w:val="AERbulletlistfirststyle"/>
      </w:pPr>
      <w:r w:rsidRPr="00D6741A">
        <w:lastRenderedPageBreak/>
        <w:t>apply the methodology indicated in the national STPIS for excluding specific events from the calculation of annual performance targets</w:t>
      </w:r>
    </w:p>
    <w:p w:rsidR="00087A8A" w:rsidRDefault="00087A8A" w:rsidP="00087A8A">
      <w:pPr>
        <w:pStyle w:val="AERbulletlistfirststyle"/>
      </w:pPr>
      <w:proofErr w:type="gramStart"/>
      <w:r w:rsidRPr="00D6741A">
        <w:t>apply</w:t>
      </w:r>
      <w:proofErr w:type="gramEnd"/>
      <w:r w:rsidRPr="00D6741A">
        <w:t xml:space="preserve"> the methodology and value of customer reliability (VCR) values to the calculation of incentive rates</w:t>
      </w:r>
      <w:r>
        <w:t xml:space="preserve"> u</w:t>
      </w:r>
      <w:r w:rsidR="00B33DFC">
        <w:t>sing the latest VCR for Tasmania</w:t>
      </w:r>
      <w:r w:rsidRPr="00D6741A">
        <w:t>.</w:t>
      </w:r>
    </w:p>
    <w:p w:rsidR="00087A8A" w:rsidRPr="00914BCE" w:rsidRDefault="00087A8A" w:rsidP="00087A8A">
      <w:r>
        <w:t xml:space="preserve">In making our </w:t>
      </w:r>
      <w:r w:rsidR="00711B80">
        <w:t xml:space="preserve">draft </w:t>
      </w:r>
      <w:r>
        <w:t xml:space="preserve">decision on the STPIS, we have taken into account our F&amp;A, </w:t>
      </w:r>
      <w:r>
        <w:rPr>
          <w:rStyle w:val="AERbody"/>
        </w:rPr>
        <w:t>TasNetworks'</w:t>
      </w:r>
      <w:r>
        <w:t xml:space="preserve"> regulatory proposal, our information requests to </w:t>
      </w:r>
      <w:r>
        <w:rPr>
          <w:rStyle w:val="AERbody"/>
        </w:rPr>
        <w:t>TasNetworks</w:t>
      </w:r>
      <w:r>
        <w:t xml:space="preserve"> and submissions raised by stakeholders.</w:t>
      </w:r>
      <w:r w:rsidR="00634C07">
        <w:rPr>
          <w:rStyle w:val="FootnoteReference"/>
        </w:rPr>
        <w:footnoteReference w:id="3"/>
      </w:r>
      <w:r>
        <w:t xml:space="preserve"> Our responses to the matters raised by </w:t>
      </w:r>
      <w:r>
        <w:rPr>
          <w:rStyle w:val="AERbody"/>
        </w:rPr>
        <w:t>TasNetworks</w:t>
      </w:r>
      <w:r>
        <w:t xml:space="preserve"> and stakeholders about the application of the STPIS are discussed in this </w:t>
      </w:r>
      <w:r w:rsidR="00711B80">
        <w:t xml:space="preserve">draft </w:t>
      </w:r>
      <w:r>
        <w:t>decision.</w:t>
      </w:r>
    </w:p>
    <w:p w:rsidR="00087A8A" w:rsidRDefault="00087A8A" w:rsidP="00087A8A">
      <w:r>
        <w:fldChar w:fldCharType="begin"/>
      </w:r>
      <w:r>
        <w:instrText xml:space="preserve"> REF _Ref417394508 \h </w:instrText>
      </w:r>
      <w:r>
        <w:fldChar w:fldCharType="separate"/>
      </w:r>
      <w:r w:rsidR="001C5AD6">
        <w:t xml:space="preserve">Table </w:t>
      </w:r>
      <w:r w:rsidR="001C5AD6">
        <w:rPr>
          <w:noProof/>
        </w:rPr>
        <w:t>11</w:t>
      </w:r>
      <w:r w:rsidR="001C5AD6">
        <w:noBreakHyphen/>
      </w:r>
      <w:r w:rsidR="001C5AD6">
        <w:rPr>
          <w:noProof/>
        </w:rPr>
        <w:t>1</w:t>
      </w:r>
      <w:r>
        <w:fldChar w:fldCharType="end"/>
      </w:r>
      <w:r>
        <w:t xml:space="preserve"> and </w:t>
      </w:r>
      <w:r>
        <w:fldChar w:fldCharType="begin"/>
      </w:r>
      <w:r>
        <w:instrText xml:space="preserve"> REF _Ref429039906 \h </w:instrText>
      </w:r>
      <w:r>
        <w:fldChar w:fldCharType="separate"/>
      </w:r>
      <w:r w:rsidR="001C5AD6">
        <w:t xml:space="preserve">Table </w:t>
      </w:r>
      <w:r w:rsidR="001C5AD6">
        <w:rPr>
          <w:noProof/>
        </w:rPr>
        <w:t>11</w:t>
      </w:r>
      <w:r w:rsidR="001C5AD6">
        <w:noBreakHyphen/>
      </w:r>
      <w:r w:rsidR="001C5AD6">
        <w:rPr>
          <w:noProof/>
        </w:rPr>
        <w:t>2</w:t>
      </w:r>
      <w:r>
        <w:fldChar w:fldCharType="end"/>
      </w:r>
      <w:r>
        <w:t xml:space="preserve"> </w:t>
      </w:r>
      <w:r w:rsidRPr="000B05E8">
        <w:t xml:space="preserve">present </w:t>
      </w:r>
      <w:r>
        <w:t xml:space="preserve">our </w:t>
      </w:r>
      <w:r w:rsidR="00711B80">
        <w:t xml:space="preserve">draft </w:t>
      </w:r>
      <w:r>
        <w:t xml:space="preserve">decision on the applicable incentive rates and targets that will be applied to </w:t>
      </w:r>
      <w:r>
        <w:rPr>
          <w:rStyle w:val="AERbody"/>
        </w:rPr>
        <w:t>TasNetworks'</w:t>
      </w:r>
      <w:r w:rsidR="00086019">
        <w:t xml:space="preserve"> STPIS for the 2017–19</w:t>
      </w:r>
      <w:r>
        <w:t xml:space="preserve"> regulatory </w:t>
      </w:r>
      <w:proofErr w:type="gramStart"/>
      <w:r>
        <w:t>period</w:t>
      </w:r>
      <w:proofErr w:type="gramEnd"/>
      <w:r>
        <w:t xml:space="preserve">. </w:t>
      </w:r>
      <w:r w:rsidRPr="002A3A62">
        <w:t xml:space="preserve">The incentive rate for the </w:t>
      </w:r>
      <w:r>
        <w:t xml:space="preserve">customer service component </w:t>
      </w:r>
      <w:r w:rsidRPr="002A3A62">
        <w:t xml:space="preserve">will be </w:t>
      </w:r>
      <w:r>
        <w:t>–0.040</w:t>
      </w:r>
      <w:r w:rsidRPr="002A3A62">
        <w:t xml:space="preserve"> per cent per unit of the telephone answering parameter.</w:t>
      </w:r>
      <w:r>
        <w:rPr>
          <w:rStyle w:val="FootnoteReference"/>
        </w:rPr>
        <w:footnoteReference w:id="4"/>
      </w:r>
      <w:r>
        <w:t xml:space="preserve"> </w:t>
      </w:r>
    </w:p>
    <w:p w:rsidR="00087A8A" w:rsidRPr="00A946AA" w:rsidRDefault="00087A8A" w:rsidP="00087A8A">
      <w:pPr>
        <w:pStyle w:val="Caption"/>
      </w:pPr>
      <w:bookmarkStart w:id="74" w:name="_Ref417394508"/>
      <w:r>
        <w:t xml:space="preserve">Table </w:t>
      </w:r>
      <w:r w:rsidRPr="00087A8A">
        <w:fldChar w:fldCharType="begin"/>
      </w:r>
      <w:r>
        <w:instrText xml:space="preserve"> STYLEREF 1 \s </w:instrText>
      </w:r>
      <w:r w:rsidRPr="00087A8A">
        <w:fldChar w:fldCharType="separate"/>
      </w:r>
      <w:r w:rsidR="001C5AD6">
        <w:rPr>
          <w:noProof/>
        </w:rPr>
        <w:t>11</w:t>
      </w:r>
      <w:r w:rsidRPr="00087A8A">
        <w:fldChar w:fldCharType="end"/>
      </w:r>
      <w:r>
        <w:noBreakHyphen/>
      </w:r>
      <w:r w:rsidRPr="00087A8A">
        <w:fldChar w:fldCharType="begin"/>
      </w:r>
      <w:r>
        <w:instrText xml:space="preserve"> SEQ Table \* ARABIC \s 1 </w:instrText>
      </w:r>
      <w:r w:rsidRPr="00087A8A">
        <w:fldChar w:fldCharType="separate"/>
      </w:r>
      <w:r w:rsidR="001C5AD6">
        <w:rPr>
          <w:noProof/>
        </w:rPr>
        <w:t>1</w:t>
      </w:r>
      <w:r w:rsidRPr="00087A8A">
        <w:fldChar w:fldCharType="end"/>
      </w:r>
      <w:bookmarkStart w:id="75" w:name="_Ref417394504"/>
      <w:bookmarkEnd w:id="74"/>
      <w:r w:rsidRPr="00087A8A">
        <w:tab/>
      </w:r>
      <w:r w:rsidR="00A734E6">
        <w:t>Draft</w:t>
      </w:r>
      <w:r>
        <w:t xml:space="preserve"> decision—STPIS i</w:t>
      </w:r>
      <w:r w:rsidRPr="00A946AA">
        <w:t>ncentive rates</w:t>
      </w:r>
      <w:r>
        <w:t xml:space="preserve"> for </w:t>
      </w:r>
      <w:r w:rsidRPr="00087A8A">
        <w:t>TasNetworks</w:t>
      </w:r>
      <w:r w:rsidRPr="00A946AA">
        <w:t xml:space="preserve"> </w:t>
      </w:r>
      <w:r>
        <w:t>for the 2017–</w:t>
      </w:r>
      <w:bookmarkEnd w:id="75"/>
      <w:r>
        <w:t>19 regulatory period</w:t>
      </w:r>
    </w:p>
    <w:tbl>
      <w:tblPr>
        <w:tblStyle w:val="AERtable-numbers"/>
        <w:tblW w:w="5000" w:type="pct"/>
        <w:tblLook w:val="04A0" w:firstRow="1" w:lastRow="0" w:firstColumn="1" w:lastColumn="0" w:noHBand="0" w:noVBand="1"/>
      </w:tblPr>
      <w:tblGrid>
        <w:gridCol w:w="1449"/>
        <w:gridCol w:w="1449"/>
        <w:gridCol w:w="1449"/>
        <w:gridCol w:w="1449"/>
        <w:gridCol w:w="1449"/>
        <w:gridCol w:w="1448"/>
      </w:tblGrid>
      <w:tr w:rsidR="00086019" w:rsidRPr="00A946AA" w:rsidTr="000860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hideMark/>
          </w:tcPr>
          <w:p w:rsidR="00086019" w:rsidRPr="00086019" w:rsidRDefault="00086019" w:rsidP="00086019">
            <w:pPr>
              <w:pStyle w:val="Tabletext-centred"/>
            </w:pPr>
            <w:r w:rsidRPr="00086019">
              <w:t> </w:t>
            </w:r>
          </w:p>
        </w:tc>
        <w:tc>
          <w:tcPr>
            <w:tcW w:w="833" w:type="pct"/>
            <w:vAlign w:val="top"/>
          </w:tcPr>
          <w:p w:rsidR="00086019" w:rsidRPr="00086019" w:rsidRDefault="00086019" w:rsidP="00DF6262">
            <w:pPr>
              <w:cnfStyle w:val="100000000000" w:firstRow="1" w:lastRow="0" w:firstColumn="0" w:lastColumn="0" w:oddVBand="0" w:evenVBand="0" w:oddHBand="0" w:evenHBand="0" w:firstRowFirstColumn="0" w:firstRowLastColumn="0" w:lastRowFirstColumn="0" w:lastRowLastColumn="0"/>
            </w:pPr>
            <w:r w:rsidRPr="00086019">
              <w:t>Critical Infrastructure</w:t>
            </w:r>
          </w:p>
        </w:tc>
        <w:tc>
          <w:tcPr>
            <w:tcW w:w="833" w:type="pct"/>
            <w:vAlign w:val="top"/>
          </w:tcPr>
          <w:p w:rsidR="00086019" w:rsidRPr="00086019" w:rsidRDefault="00086019" w:rsidP="00DF6262">
            <w:pPr>
              <w:cnfStyle w:val="100000000000" w:firstRow="1" w:lastRow="0" w:firstColumn="0" w:lastColumn="0" w:oddVBand="0" w:evenVBand="0" w:oddHBand="0" w:evenHBand="0" w:firstRowFirstColumn="0" w:firstRowLastColumn="0" w:lastRowFirstColumn="0" w:lastRowLastColumn="0"/>
            </w:pPr>
            <w:r w:rsidRPr="00086019">
              <w:t>High Density Commercial</w:t>
            </w:r>
          </w:p>
        </w:tc>
        <w:tc>
          <w:tcPr>
            <w:tcW w:w="833" w:type="pct"/>
            <w:vAlign w:val="top"/>
          </w:tcPr>
          <w:p w:rsidR="00086019" w:rsidRPr="00086019" w:rsidRDefault="00086019" w:rsidP="00DF6262">
            <w:pPr>
              <w:cnfStyle w:val="100000000000" w:firstRow="1" w:lastRow="0" w:firstColumn="0" w:lastColumn="0" w:oddVBand="0" w:evenVBand="0" w:oddHBand="0" w:evenHBand="0" w:firstRowFirstColumn="0" w:firstRowLastColumn="0" w:lastRowFirstColumn="0" w:lastRowLastColumn="0"/>
            </w:pPr>
            <w:r w:rsidRPr="00086019">
              <w:t>Urban</w:t>
            </w:r>
          </w:p>
        </w:tc>
        <w:tc>
          <w:tcPr>
            <w:tcW w:w="833" w:type="pct"/>
            <w:vAlign w:val="top"/>
          </w:tcPr>
          <w:p w:rsidR="00086019" w:rsidRPr="00086019" w:rsidRDefault="00086019" w:rsidP="00DF6262">
            <w:pPr>
              <w:cnfStyle w:val="100000000000" w:firstRow="1" w:lastRow="0" w:firstColumn="0" w:lastColumn="0" w:oddVBand="0" w:evenVBand="0" w:oddHBand="0" w:evenHBand="0" w:firstRowFirstColumn="0" w:firstRowLastColumn="0" w:lastRowFirstColumn="0" w:lastRowLastColumn="0"/>
            </w:pPr>
            <w:r w:rsidRPr="00086019">
              <w:t>High Density Rural</w:t>
            </w:r>
          </w:p>
        </w:tc>
        <w:tc>
          <w:tcPr>
            <w:tcW w:w="833" w:type="pct"/>
            <w:vAlign w:val="top"/>
          </w:tcPr>
          <w:p w:rsidR="00086019" w:rsidRPr="00086019" w:rsidRDefault="00086019" w:rsidP="00DF6262">
            <w:pPr>
              <w:cnfStyle w:val="100000000000" w:firstRow="1" w:lastRow="0" w:firstColumn="0" w:lastColumn="0" w:oddVBand="0" w:evenVBand="0" w:oddHBand="0" w:evenHBand="0" w:firstRowFirstColumn="0" w:firstRowLastColumn="0" w:lastRowFirstColumn="0" w:lastRowLastColumn="0"/>
            </w:pPr>
            <w:r w:rsidRPr="00086019">
              <w:t>Low Density Rural</w:t>
            </w:r>
          </w:p>
        </w:tc>
      </w:tr>
      <w:tr w:rsidR="00B83C9F" w:rsidRPr="00A946AA" w:rsidTr="00086019">
        <w:trPr>
          <w:trHeight w:val="465"/>
        </w:trPr>
        <w:tc>
          <w:tcPr>
            <w:cnfStyle w:val="001000000000" w:firstRow="0" w:lastRow="0" w:firstColumn="1" w:lastColumn="0" w:oddVBand="0" w:evenVBand="0" w:oddHBand="0" w:evenHBand="0" w:firstRowFirstColumn="0" w:firstRowLastColumn="0" w:lastRowFirstColumn="0" w:lastRowLastColumn="0"/>
            <w:tcW w:w="833" w:type="pct"/>
            <w:hideMark/>
          </w:tcPr>
          <w:p w:rsidR="00B83C9F" w:rsidRPr="0036526B" w:rsidRDefault="00B83C9F" w:rsidP="0036526B">
            <w:r w:rsidRPr="0036526B">
              <w:t>SAIDI</w:t>
            </w:r>
          </w:p>
        </w:tc>
        <w:tc>
          <w:tcPr>
            <w:tcW w:w="833" w:type="pct"/>
            <w:vAlign w:val="top"/>
          </w:tcPr>
          <w:p w:rsidR="00B83C9F" w:rsidRPr="0036526B" w:rsidRDefault="00B83C9F" w:rsidP="0036526B">
            <w:pPr>
              <w:cnfStyle w:val="000000000000" w:firstRow="0" w:lastRow="0" w:firstColumn="0" w:lastColumn="0" w:oddVBand="0" w:evenVBand="0" w:oddHBand="0" w:evenHBand="0" w:firstRowFirstColumn="0" w:firstRowLastColumn="0" w:lastRowFirstColumn="0" w:lastRowLastColumn="0"/>
            </w:pPr>
            <w:r w:rsidRPr="0036526B">
              <w:t>0.0031</w:t>
            </w:r>
          </w:p>
        </w:tc>
        <w:tc>
          <w:tcPr>
            <w:tcW w:w="833" w:type="pct"/>
            <w:vAlign w:val="top"/>
          </w:tcPr>
          <w:p w:rsidR="00B83C9F" w:rsidRPr="0036526B" w:rsidRDefault="00B83C9F" w:rsidP="0036526B">
            <w:pPr>
              <w:cnfStyle w:val="000000000000" w:firstRow="0" w:lastRow="0" w:firstColumn="0" w:lastColumn="0" w:oddVBand="0" w:evenVBand="0" w:oddHBand="0" w:evenHBand="0" w:firstRowFirstColumn="0" w:firstRowLastColumn="0" w:lastRowFirstColumn="0" w:lastRowLastColumn="0"/>
            </w:pPr>
            <w:r w:rsidRPr="0036526B">
              <w:t>0.0034</w:t>
            </w:r>
          </w:p>
        </w:tc>
        <w:tc>
          <w:tcPr>
            <w:tcW w:w="833" w:type="pct"/>
            <w:vAlign w:val="top"/>
          </w:tcPr>
          <w:p w:rsidR="00B83C9F" w:rsidRPr="0036526B" w:rsidRDefault="00B83C9F" w:rsidP="0036526B">
            <w:pPr>
              <w:cnfStyle w:val="000000000000" w:firstRow="0" w:lastRow="0" w:firstColumn="0" w:lastColumn="0" w:oddVBand="0" w:evenVBand="0" w:oddHBand="0" w:evenHBand="0" w:firstRowFirstColumn="0" w:firstRowLastColumn="0" w:lastRowFirstColumn="0" w:lastRowLastColumn="0"/>
            </w:pPr>
            <w:r w:rsidRPr="0036526B">
              <w:t>0.0362</w:t>
            </w:r>
          </w:p>
        </w:tc>
        <w:tc>
          <w:tcPr>
            <w:tcW w:w="833" w:type="pct"/>
            <w:vAlign w:val="top"/>
          </w:tcPr>
          <w:p w:rsidR="00B83C9F" w:rsidRPr="0036526B" w:rsidRDefault="00B83C9F" w:rsidP="0036526B">
            <w:pPr>
              <w:cnfStyle w:val="000000000000" w:firstRow="0" w:lastRow="0" w:firstColumn="0" w:lastColumn="0" w:oddVBand="0" w:evenVBand="0" w:oddHBand="0" w:evenHBand="0" w:firstRowFirstColumn="0" w:firstRowLastColumn="0" w:lastRowFirstColumn="0" w:lastRowLastColumn="0"/>
            </w:pPr>
            <w:r w:rsidRPr="0036526B">
              <w:t>0.0092</w:t>
            </w:r>
          </w:p>
        </w:tc>
        <w:tc>
          <w:tcPr>
            <w:tcW w:w="833" w:type="pct"/>
            <w:vAlign w:val="top"/>
          </w:tcPr>
          <w:p w:rsidR="00B83C9F" w:rsidRPr="0036526B" w:rsidRDefault="00B83C9F" w:rsidP="0036526B">
            <w:pPr>
              <w:cnfStyle w:val="000000000000" w:firstRow="0" w:lastRow="0" w:firstColumn="0" w:lastColumn="0" w:oddVBand="0" w:evenVBand="0" w:oddHBand="0" w:evenHBand="0" w:firstRowFirstColumn="0" w:firstRowLastColumn="0" w:lastRowFirstColumn="0" w:lastRowLastColumn="0"/>
            </w:pPr>
            <w:r w:rsidRPr="0036526B">
              <w:t>0.0125</w:t>
            </w:r>
          </w:p>
        </w:tc>
      </w:tr>
      <w:tr w:rsidR="00B83C9F" w:rsidRPr="00A946AA" w:rsidTr="0008601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33" w:type="pct"/>
          </w:tcPr>
          <w:p w:rsidR="00B83C9F" w:rsidRPr="0036526B" w:rsidRDefault="00B83C9F" w:rsidP="0036526B">
            <w:r w:rsidRPr="0036526B">
              <w:t>SAIFI</w:t>
            </w:r>
          </w:p>
        </w:tc>
        <w:tc>
          <w:tcPr>
            <w:tcW w:w="833" w:type="pct"/>
            <w:vAlign w:val="top"/>
          </w:tcPr>
          <w:p w:rsidR="00B83C9F" w:rsidRPr="0036526B" w:rsidRDefault="00B83C9F" w:rsidP="0036526B">
            <w:pPr>
              <w:cnfStyle w:val="000000010000" w:firstRow="0" w:lastRow="0" w:firstColumn="0" w:lastColumn="0" w:oddVBand="0" w:evenVBand="0" w:oddHBand="0" w:evenHBand="1" w:firstRowFirstColumn="0" w:firstRowLastColumn="0" w:lastRowFirstColumn="0" w:lastRowLastColumn="0"/>
            </w:pPr>
            <w:r w:rsidRPr="0036526B">
              <w:t>0.2258</w:t>
            </w:r>
          </w:p>
        </w:tc>
        <w:tc>
          <w:tcPr>
            <w:tcW w:w="833" w:type="pct"/>
            <w:vAlign w:val="top"/>
          </w:tcPr>
          <w:p w:rsidR="00B83C9F" w:rsidRPr="0036526B" w:rsidRDefault="00B83C9F" w:rsidP="0036526B">
            <w:pPr>
              <w:cnfStyle w:val="000000010000" w:firstRow="0" w:lastRow="0" w:firstColumn="0" w:lastColumn="0" w:oddVBand="0" w:evenVBand="0" w:oddHBand="0" w:evenHBand="1" w:firstRowFirstColumn="0" w:firstRowLastColumn="0" w:lastRowFirstColumn="0" w:lastRowLastColumn="0"/>
            </w:pPr>
            <w:r w:rsidRPr="0036526B">
              <w:t>0.2586</w:t>
            </w:r>
          </w:p>
        </w:tc>
        <w:tc>
          <w:tcPr>
            <w:tcW w:w="833" w:type="pct"/>
            <w:vAlign w:val="top"/>
          </w:tcPr>
          <w:p w:rsidR="00B83C9F" w:rsidRPr="0036526B" w:rsidRDefault="00B83C9F" w:rsidP="0036526B">
            <w:pPr>
              <w:cnfStyle w:val="000000010000" w:firstRow="0" w:lastRow="0" w:firstColumn="0" w:lastColumn="0" w:oddVBand="0" w:evenVBand="0" w:oddHBand="0" w:evenHBand="1" w:firstRowFirstColumn="0" w:firstRowLastColumn="0" w:lastRowFirstColumn="0" w:lastRowLastColumn="0"/>
            </w:pPr>
            <w:r w:rsidRPr="0036526B">
              <w:t>3.0036</w:t>
            </w:r>
          </w:p>
        </w:tc>
        <w:tc>
          <w:tcPr>
            <w:tcW w:w="833" w:type="pct"/>
            <w:vAlign w:val="top"/>
          </w:tcPr>
          <w:p w:rsidR="00B83C9F" w:rsidRPr="0036526B" w:rsidRDefault="00B83C9F" w:rsidP="0036526B">
            <w:pPr>
              <w:cnfStyle w:val="000000010000" w:firstRow="0" w:lastRow="0" w:firstColumn="0" w:lastColumn="0" w:oddVBand="0" w:evenVBand="0" w:oddHBand="0" w:evenHBand="1" w:firstRowFirstColumn="0" w:firstRowLastColumn="0" w:lastRowFirstColumn="0" w:lastRowLastColumn="0"/>
            </w:pPr>
            <w:r w:rsidRPr="0036526B">
              <w:t>0.9495</w:t>
            </w:r>
          </w:p>
        </w:tc>
        <w:tc>
          <w:tcPr>
            <w:tcW w:w="833" w:type="pct"/>
            <w:vAlign w:val="top"/>
          </w:tcPr>
          <w:p w:rsidR="00B83C9F" w:rsidRPr="0036526B" w:rsidRDefault="00B83C9F" w:rsidP="0036526B">
            <w:pPr>
              <w:cnfStyle w:val="000000010000" w:firstRow="0" w:lastRow="0" w:firstColumn="0" w:lastColumn="0" w:oddVBand="0" w:evenVBand="0" w:oddHBand="0" w:evenHBand="1" w:firstRowFirstColumn="0" w:firstRowLastColumn="0" w:lastRowFirstColumn="0" w:lastRowLastColumn="0"/>
            </w:pPr>
            <w:r w:rsidRPr="0036526B">
              <w:t>1.7290</w:t>
            </w:r>
          </w:p>
        </w:tc>
      </w:tr>
    </w:tbl>
    <w:p w:rsidR="00087A8A" w:rsidRDefault="00087A8A" w:rsidP="00087A8A">
      <w:pPr>
        <w:pStyle w:val="AERtablesource"/>
      </w:pPr>
      <w:r>
        <w:t>Source: AER analysis.</w:t>
      </w:r>
    </w:p>
    <w:p w:rsidR="00086019" w:rsidRDefault="00086019" w:rsidP="00086019">
      <w:pPr>
        <w:pStyle w:val="Caption"/>
      </w:pPr>
      <w:bookmarkStart w:id="76" w:name="_Ref429039906"/>
      <w:r>
        <w:t xml:space="preserve">Table </w:t>
      </w:r>
      <w:r w:rsidRPr="00086019">
        <w:fldChar w:fldCharType="begin"/>
      </w:r>
      <w:r>
        <w:instrText xml:space="preserve"> STYLEREF 1 \s </w:instrText>
      </w:r>
      <w:r w:rsidRPr="00086019">
        <w:fldChar w:fldCharType="separate"/>
      </w:r>
      <w:r w:rsidR="001C5AD6">
        <w:rPr>
          <w:noProof/>
        </w:rPr>
        <w:t>11</w:t>
      </w:r>
      <w:r w:rsidRPr="00086019">
        <w:fldChar w:fldCharType="end"/>
      </w:r>
      <w:r>
        <w:noBreakHyphen/>
      </w:r>
      <w:r w:rsidRPr="00086019">
        <w:fldChar w:fldCharType="begin"/>
      </w:r>
      <w:r>
        <w:instrText xml:space="preserve"> SEQ Table \* ARABIC \s 1 </w:instrText>
      </w:r>
      <w:r w:rsidRPr="00086019">
        <w:fldChar w:fldCharType="separate"/>
      </w:r>
      <w:r w:rsidR="001C5AD6">
        <w:rPr>
          <w:noProof/>
        </w:rPr>
        <w:t>2</w:t>
      </w:r>
      <w:r w:rsidRPr="00086019">
        <w:fldChar w:fldCharType="end"/>
      </w:r>
      <w:bookmarkEnd w:id="76"/>
      <w:r w:rsidRPr="00086019">
        <w:tab/>
      </w:r>
      <w:r w:rsidR="00A734E6">
        <w:t>Draft</w:t>
      </w:r>
      <w:r>
        <w:t xml:space="preserve"> decision—STPIS reliability targets for TasNetworks for the 2017–19 regulatory period</w:t>
      </w:r>
    </w:p>
    <w:tbl>
      <w:tblPr>
        <w:tblStyle w:val="AERtable-numbers"/>
        <w:tblW w:w="5000" w:type="pct"/>
        <w:tblLook w:val="04A0" w:firstRow="1" w:lastRow="0" w:firstColumn="1" w:lastColumn="0" w:noHBand="0" w:noVBand="1"/>
      </w:tblPr>
      <w:tblGrid>
        <w:gridCol w:w="2389"/>
        <w:gridCol w:w="6304"/>
      </w:tblGrid>
      <w:tr w:rsidR="00B956F7" w:rsidRPr="00670E6D" w:rsidTr="00B956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4" w:type="pct"/>
            <w:hideMark/>
          </w:tcPr>
          <w:p w:rsidR="00B956F7" w:rsidRPr="00670E6D" w:rsidRDefault="00B956F7" w:rsidP="00086019">
            <w:pPr>
              <w:pStyle w:val="Tabletext-centred"/>
            </w:pPr>
          </w:p>
        </w:tc>
        <w:tc>
          <w:tcPr>
            <w:tcW w:w="3626" w:type="pct"/>
          </w:tcPr>
          <w:p w:rsidR="00B956F7" w:rsidRPr="00086019" w:rsidRDefault="00B956F7" w:rsidP="00086019">
            <w:pPr>
              <w:pStyle w:val="AERtabletextright"/>
              <w:cnfStyle w:val="100000000000" w:firstRow="1" w:lastRow="0" w:firstColumn="0" w:lastColumn="0" w:oddVBand="0" w:evenVBand="0" w:oddHBand="0" w:evenHBand="0" w:firstRowFirstColumn="0" w:firstRowLastColumn="0" w:lastRowFirstColumn="0" w:lastRowLastColumn="0"/>
            </w:pPr>
            <w:r w:rsidRPr="00086019">
              <w:t>value</w:t>
            </w:r>
          </w:p>
        </w:tc>
      </w:tr>
      <w:tr w:rsidR="00B956F7" w:rsidRPr="00670E6D" w:rsidTr="00B956F7">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856AD8" w:rsidRDefault="00B956F7" w:rsidP="00DF6262">
            <w:pPr>
              <w:rPr>
                <w:rStyle w:val="Strong"/>
              </w:rPr>
            </w:pPr>
            <w:r w:rsidRPr="00856AD8">
              <w:rPr>
                <w:rStyle w:val="Strong"/>
              </w:rPr>
              <w:t>Critical Infrastructure</w:t>
            </w:r>
          </w:p>
        </w:tc>
        <w:tc>
          <w:tcPr>
            <w:tcW w:w="3626" w:type="pct"/>
          </w:tcPr>
          <w:p w:rsidR="00B956F7" w:rsidRPr="00856AD8" w:rsidRDefault="00B956F7" w:rsidP="00DF6262">
            <w:pPr>
              <w:cnfStyle w:val="000000000000" w:firstRow="0" w:lastRow="0" w:firstColumn="0" w:lastColumn="0" w:oddVBand="0" w:evenVBand="0" w:oddHBand="0" w:evenHBand="0" w:firstRowFirstColumn="0" w:firstRowLastColumn="0" w:lastRowFirstColumn="0" w:lastRowLastColumn="0"/>
            </w:pPr>
          </w:p>
        </w:tc>
      </w:tr>
      <w:tr w:rsidR="00B956F7" w:rsidRPr="00670E6D" w:rsidTr="001E2DC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hideMark/>
          </w:tcPr>
          <w:p w:rsidR="00B956F7" w:rsidRPr="00B956F7" w:rsidRDefault="00B956F7" w:rsidP="00B956F7">
            <w:r w:rsidRPr="00B956F7">
              <w:t>SAIDI</w:t>
            </w:r>
          </w:p>
        </w:tc>
        <w:tc>
          <w:tcPr>
            <w:tcW w:w="3626" w:type="pct"/>
            <w:vAlign w:val="top"/>
          </w:tcPr>
          <w:p w:rsidR="00B956F7" w:rsidRPr="00B956F7" w:rsidRDefault="00B956F7" w:rsidP="00507D80">
            <w:pPr>
              <w:cnfStyle w:val="000000010000" w:firstRow="0" w:lastRow="0" w:firstColumn="0" w:lastColumn="0" w:oddVBand="0" w:evenVBand="0" w:oddHBand="0" w:evenHBand="1" w:firstRowFirstColumn="0" w:firstRowLastColumn="0" w:lastRowFirstColumn="0" w:lastRowLastColumn="0"/>
            </w:pPr>
            <w:r w:rsidRPr="00B956F7">
              <w:t>23.900</w:t>
            </w:r>
          </w:p>
        </w:tc>
      </w:tr>
      <w:tr w:rsidR="00B956F7" w:rsidRPr="00670E6D" w:rsidTr="001E2DCE">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SAIFI</w:t>
            </w:r>
          </w:p>
        </w:tc>
        <w:tc>
          <w:tcPr>
            <w:tcW w:w="3626" w:type="pct"/>
            <w:vAlign w:val="top"/>
          </w:tcPr>
          <w:p w:rsidR="00B956F7" w:rsidRPr="00B956F7" w:rsidRDefault="00B956F7" w:rsidP="00507D80">
            <w:pPr>
              <w:cnfStyle w:val="000000000000" w:firstRow="0" w:lastRow="0" w:firstColumn="0" w:lastColumn="0" w:oddVBand="0" w:evenVBand="0" w:oddHBand="0" w:evenHBand="0" w:firstRowFirstColumn="0" w:firstRowLastColumn="0" w:lastRowFirstColumn="0" w:lastRowLastColumn="0"/>
            </w:pPr>
            <w:r w:rsidRPr="00B956F7">
              <w:t>0.293</w:t>
            </w:r>
          </w:p>
        </w:tc>
      </w:tr>
      <w:tr w:rsidR="00B956F7" w:rsidRPr="00670E6D" w:rsidTr="00B956F7">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4C501B" w:rsidRDefault="00B956F7" w:rsidP="004C501B">
            <w:pPr>
              <w:rPr>
                <w:rStyle w:val="Strong"/>
              </w:rPr>
            </w:pPr>
            <w:r w:rsidRPr="004C501B">
              <w:rPr>
                <w:rStyle w:val="Strong"/>
              </w:rPr>
              <w:t>High Density Commercial</w:t>
            </w:r>
          </w:p>
        </w:tc>
        <w:tc>
          <w:tcPr>
            <w:tcW w:w="3626" w:type="pct"/>
          </w:tcPr>
          <w:p w:rsidR="00B956F7" w:rsidRPr="004C501B" w:rsidRDefault="00B956F7" w:rsidP="004C501B">
            <w:pPr>
              <w:cnfStyle w:val="000000010000" w:firstRow="0" w:lastRow="0" w:firstColumn="0" w:lastColumn="0" w:oddVBand="0" w:evenVBand="0" w:oddHBand="0" w:evenHBand="1" w:firstRowFirstColumn="0" w:firstRowLastColumn="0" w:lastRowFirstColumn="0" w:lastRowLastColumn="0"/>
            </w:pPr>
          </w:p>
        </w:tc>
      </w:tr>
      <w:tr w:rsidR="00B956F7" w:rsidRPr="00670E6D" w:rsidTr="006D341D">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SAIDI</w:t>
            </w:r>
          </w:p>
        </w:tc>
        <w:tc>
          <w:tcPr>
            <w:tcW w:w="3626" w:type="pct"/>
            <w:vAlign w:val="top"/>
          </w:tcPr>
          <w:p w:rsidR="00B956F7" w:rsidRPr="00B956F7" w:rsidRDefault="00B956F7" w:rsidP="005D0E5D">
            <w:pPr>
              <w:cnfStyle w:val="000000000000" w:firstRow="0" w:lastRow="0" w:firstColumn="0" w:lastColumn="0" w:oddVBand="0" w:evenVBand="0" w:oddHBand="0" w:evenHBand="0" w:firstRowFirstColumn="0" w:firstRowLastColumn="0" w:lastRowFirstColumn="0" w:lastRowLastColumn="0"/>
            </w:pPr>
            <w:r w:rsidRPr="00B956F7">
              <w:t>26.068</w:t>
            </w:r>
          </w:p>
        </w:tc>
      </w:tr>
      <w:tr w:rsidR="00B956F7" w:rsidRPr="00670E6D" w:rsidTr="006D341D">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lastRenderedPageBreak/>
              <w:t>SAIFI</w:t>
            </w:r>
          </w:p>
        </w:tc>
        <w:tc>
          <w:tcPr>
            <w:tcW w:w="3626" w:type="pct"/>
            <w:vAlign w:val="top"/>
          </w:tcPr>
          <w:p w:rsidR="00B956F7" w:rsidRPr="00B956F7" w:rsidRDefault="00B956F7" w:rsidP="005D0E5D">
            <w:pPr>
              <w:cnfStyle w:val="000000010000" w:firstRow="0" w:lastRow="0" w:firstColumn="0" w:lastColumn="0" w:oddVBand="0" w:evenVBand="0" w:oddHBand="0" w:evenHBand="1" w:firstRowFirstColumn="0" w:firstRowLastColumn="0" w:lastRowFirstColumn="0" w:lastRowLastColumn="0"/>
            </w:pPr>
            <w:r w:rsidRPr="00B956F7">
              <w:t>0.303</w:t>
            </w:r>
          </w:p>
        </w:tc>
      </w:tr>
      <w:tr w:rsidR="00B956F7" w:rsidRPr="00856AD8" w:rsidTr="00B956F7">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4C501B" w:rsidRDefault="00B956F7" w:rsidP="004C501B">
            <w:pPr>
              <w:rPr>
                <w:rStyle w:val="Strong"/>
              </w:rPr>
            </w:pPr>
            <w:r w:rsidRPr="004C501B">
              <w:rPr>
                <w:rStyle w:val="Strong"/>
              </w:rPr>
              <w:t>Urban</w:t>
            </w:r>
          </w:p>
        </w:tc>
        <w:tc>
          <w:tcPr>
            <w:tcW w:w="3626" w:type="pct"/>
          </w:tcPr>
          <w:p w:rsidR="00B956F7" w:rsidRPr="004C501B" w:rsidRDefault="00B956F7" w:rsidP="004C501B">
            <w:pPr>
              <w:cnfStyle w:val="000000000000" w:firstRow="0" w:lastRow="0" w:firstColumn="0" w:lastColumn="0" w:oddVBand="0" w:evenVBand="0" w:oddHBand="0" w:evenHBand="0" w:firstRowFirstColumn="0" w:firstRowLastColumn="0" w:lastRowFirstColumn="0" w:lastRowLastColumn="0"/>
              <w:rPr>
                <w:rStyle w:val="Strong"/>
              </w:rPr>
            </w:pPr>
          </w:p>
        </w:tc>
      </w:tr>
      <w:tr w:rsidR="00B956F7" w:rsidRPr="00670E6D" w:rsidTr="006D058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SAIDI</w:t>
            </w:r>
          </w:p>
        </w:tc>
        <w:tc>
          <w:tcPr>
            <w:tcW w:w="3626" w:type="pct"/>
            <w:vAlign w:val="top"/>
          </w:tcPr>
          <w:p w:rsidR="00B956F7" w:rsidRPr="00B956F7" w:rsidRDefault="00B956F7" w:rsidP="00FC30DD">
            <w:pPr>
              <w:cnfStyle w:val="000000010000" w:firstRow="0" w:lastRow="0" w:firstColumn="0" w:lastColumn="0" w:oddVBand="0" w:evenVBand="0" w:oddHBand="0" w:evenHBand="1" w:firstRowFirstColumn="0" w:firstRowLastColumn="0" w:lastRowFirstColumn="0" w:lastRowLastColumn="0"/>
            </w:pPr>
            <w:r w:rsidRPr="00B956F7">
              <w:t>82.589</w:t>
            </w:r>
          </w:p>
        </w:tc>
      </w:tr>
      <w:tr w:rsidR="00B956F7" w:rsidRPr="00670E6D" w:rsidTr="006D058C">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SAIFI</w:t>
            </w:r>
          </w:p>
        </w:tc>
        <w:tc>
          <w:tcPr>
            <w:tcW w:w="3626" w:type="pct"/>
            <w:vAlign w:val="top"/>
          </w:tcPr>
          <w:p w:rsidR="00B956F7" w:rsidRPr="00B956F7" w:rsidRDefault="00B956F7" w:rsidP="00FC30DD">
            <w:pPr>
              <w:cnfStyle w:val="000000000000" w:firstRow="0" w:lastRow="0" w:firstColumn="0" w:lastColumn="0" w:oddVBand="0" w:evenVBand="0" w:oddHBand="0" w:evenHBand="0" w:firstRowFirstColumn="0" w:firstRowLastColumn="0" w:lastRowFirstColumn="0" w:lastRowLastColumn="0"/>
            </w:pPr>
            <w:r w:rsidRPr="00B956F7">
              <w:t>1.027</w:t>
            </w:r>
          </w:p>
        </w:tc>
      </w:tr>
      <w:tr w:rsidR="00B956F7" w:rsidRPr="00856AD8" w:rsidTr="00B956F7">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4C501B" w:rsidRDefault="00B956F7" w:rsidP="004C501B">
            <w:pPr>
              <w:rPr>
                <w:rStyle w:val="Strong"/>
              </w:rPr>
            </w:pPr>
            <w:r w:rsidRPr="004C501B">
              <w:rPr>
                <w:rStyle w:val="Strong"/>
              </w:rPr>
              <w:t>High Density Rural</w:t>
            </w:r>
          </w:p>
        </w:tc>
        <w:tc>
          <w:tcPr>
            <w:tcW w:w="3626" w:type="pct"/>
          </w:tcPr>
          <w:p w:rsidR="00B956F7" w:rsidRPr="004C501B" w:rsidRDefault="00B956F7" w:rsidP="004C501B">
            <w:pPr>
              <w:cnfStyle w:val="000000010000" w:firstRow="0" w:lastRow="0" w:firstColumn="0" w:lastColumn="0" w:oddVBand="0" w:evenVBand="0" w:oddHBand="0" w:evenHBand="1" w:firstRowFirstColumn="0" w:firstRowLastColumn="0" w:lastRowFirstColumn="0" w:lastRowLastColumn="0"/>
              <w:rPr>
                <w:rStyle w:val="Strong"/>
              </w:rPr>
            </w:pPr>
          </w:p>
        </w:tc>
      </w:tr>
      <w:tr w:rsidR="00B956F7" w:rsidRPr="00670E6D" w:rsidTr="00697A12">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SAIDI</w:t>
            </w:r>
          </w:p>
        </w:tc>
        <w:tc>
          <w:tcPr>
            <w:tcW w:w="3626" w:type="pct"/>
            <w:vAlign w:val="top"/>
          </w:tcPr>
          <w:p w:rsidR="00B956F7" w:rsidRPr="00B956F7" w:rsidRDefault="00B956F7" w:rsidP="000A571F">
            <w:pPr>
              <w:cnfStyle w:val="000000000000" w:firstRow="0" w:lastRow="0" w:firstColumn="0" w:lastColumn="0" w:oddVBand="0" w:evenVBand="0" w:oddHBand="0" w:evenHBand="0" w:firstRowFirstColumn="0" w:firstRowLastColumn="0" w:lastRowFirstColumn="0" w:lastRowLastColumn="0"/>
            </w:pPr>
            <w:r w:rsidRPr="00B956F7">
              <w:t>242.015</w:t>
            </w:r>
          </w:p>
        </w:tc>
      </w:tr>
      <w:tr w:rsidR="00B956F7" w:rsidRPr="00670E6D" w:rsidTr="00697A1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SAIFI</w:t>
            </w:r>
          </w:p>
        </w:tc>
        <w:tc>
          <w:tcPr>
            <w:tcW w:w="3626" w:type="pct"/>
            <w:vAlign w:val="top"/>
          </w:tcPr>
          <w:p w:rsidR="00B956F7" w:rsidRPr="00B956F7" w:rsidRDefault="00B956F7" w:rsidP="000A571F">
            <w:pPr>
              <w:cnfStyle w:val="000000010000" w:firstRow="0" w:lastRow="0" w:firstColumn="0" w:lastColumn="0" w:oddVBand="0" w:evenVBand="0" w:oddHBand="0" w:evenHBand="1" w:firstRowFirstColumn="0" w:firstRowLastColumn="0" w:lastRowFirstColumn="0" w:lastRowLastColumn="0"/>
            </w:pPr>
            <w:r w:rsidRPr="00B956F7">
              <w:t>2.548</w:t>
            </w:r>
          </w:p>
        </w:tc>
      </w:tr>
      <w:tr w:rsidR="00B956F7" w:rsidRPr="00856AD8" w:rsidTr="00B956F7">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4C501B" w:rsidRDefault="00B956F7" w:rsidP="004C501B">
            <w:pPr>
              <w:rPr>
                <w:rStyle w:val="Strong"/>
              </w:rPr>
            </w:pPr>
            <w:r w:rsidRPr="004C501B">
              <w:rPr>
                <w:rStyle w:val="Strong"/>
              </w:rPr>
              <w:t>Low Density Rural</w:t>
            </w:r>
          </w:p>
        </w:tc>
        <w:tc>
          <w:tcPr>
            <w:tcW w:w="3626" w:type="pct"/>
          </w:tcPr>
          <w:p w:rsidR="00B956F7" w:rsidRPr="004C501B" w:rsidRDefault="00B956F7" w:rsidP="004C501B">
            <w:pPr>
              <w:cnfStyle w:val="000000000000" w:firstRow="0" w:lastRow="0" w:firstColumn="0" w:lastColumn="0" w:oddVBand="0" w:evenVBand="0" w:oddHBand="0" w:evenHBand="0" w:firstRowFirstColumn="0" w:firstRowLastColumn="0" w:lastRowFirstColumn="0" w:lastRowLastColumn="0"/>
              <w:rPr>
                <w:rStyle w:val="Strong"/>
              </w:rPr>
            </w:pPr>
          </w:p>
        </w:tc>
      </w:tr>
      <w:tr w:rsidR="00B956F7" w:rsidRPr="00670E6D" w:rsidTr="00B86C5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SAIDI</w:t>
            </w:r>
          </w:p>
        </w:tc>
        <w:tc>
          <w:tcPr>
            <w:tcW w:w="3626" w:type="pct"/>
            <w:vAlign w:val="top"/>
          </w:tcPr>
          <w:p w:rsidR="00B956F7" w:rsidRPr="00B956F7" w:rsidRDefault="00B956F7" w:rsidP="00E678FE">
            <w:pPr>
              <w:cnfStyle w:val="000000010000" w:firstRow="0" w:lastRow="0" w:firstColumn="0" w:lastColumn="0" w:oddVBand="0" w:evenVBand="0" w:oddHBand="0" w:evenHBand="1" w:firstRowFirstColumn="0" w:firstRowLastColumn="0" w:lastRowFirstColumn="0" w:lastRowLastColumn="0"/>
            </w:pPr>
            <w:r w:rsidRPr="00B956F7">
              <w:t>430.087</w:t>
            </w:r>
          </w:p>
        </w:tc>
      </w:tr>
      <w:tr w:rsidR="00B956F7" w:rsidRPr="00670E6D" w:rsidTr="00B86C5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B956F7">
            <w:r w:rsidRPr="00B956F7">
              <w:t>SAIFI</w:t>
            </w:r>
          </w:p>
        </w:tc>
        <w:tc>
          <w:tcPr>
            <w:tcW w:w="3626" w:type="pct"/>
            <w:vAlign w:val="top"/>
          </w:tcPr>
          <w:p w:rsidR="00B956F7" w:rsidRPr="00B956F7" w:rsidRDefault="00B956F7" w:rsidP="00E678FE">
            <w:pPr>
              <w:cnfStyle w:val="000000000000" w:firstRow="0" w:lastRow="0" w:firstColumn="0" w:lastColumn="0" w:oddVBand="0" w:evenVBand="0" w:oddHBand="0" w:evenHBand="0" w:firstRowFirstColumn="0" w:firstRowLastColumn="0" w:lastRowFirstColumn="0" w:lastRowLastColumn="0"/>
            </w:pPr>
            <w:r w:rsidRPr="00B956F7">
              <w:t>3.378</w:t>
            </w:r>
          </w:p>
        </w:tc>
      </w:tr>
      <w:tr w:rsidR="00B956F7" w:rsidRPr="00856AD8" w:rsidTr="00B956F7">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856AD8" w:rsidRDefault="00B956F7" w:rsidP="00086019">
            <w:pPr>
              <w:pStyle w:val="HeadingOrange"/>
              <w:rPr>
                <w:rStyle w:val="AERtextbolditalics"/>
              </w:rPr>
            </w:pPr>
            <w:r w:rsidRPr="00856AD8">
              <w:rPr>
                <w:rStyle w:val="AERtextbolditalics"/>
              </w:rPr>
              <w:t>Telephone answering</w:t>
            </w:r>
          </w:p>
        </w:tc>
        <w:tc>
          <w:tcPr>
            <w:tcW w:w="3626" w:type="pct"/>
          </w:tcPr>
          <w:p w:rsidR="00B956F7" w:rsidRPr="00856AD8" w:rsidRDefault="00B956F7" w:rsidP="00086019">
            <w:pPr>
              <w:pStyle w:val="AERtabletextleft"/>
              <w:cnfStyle w:val="000000010000" w:firstRow="0" w:lastRow="0" w:firstColumn="0" w:lastColumn="0" w:oddVBand="0" w:evenVBand="0" w:oddHBand="0" w:evenHBand="1" w:firstRowFirstColumn="0" w:firstRowLastColumn="0" w:lastRowFirstColumn="0" w:lastRowLastColumn="0"/>
              <w:rPr>
                <w:rStyle w:val="AERtextbolditalics"/>
              </w:rPr>
            </w:pPr>
          </w:p>
        </w:tc>
      </w:tr>
      <w:tr w:rsidR="00B956F7" w:rsidRPr="00670E6D" w:rsidTr="00B956F7">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B956F7" w:rsidRPr="00B956F7" w:rsidRDefault="00B956F7" w:rsidP="00086019">
            <w:pPr>
              <w:pStyle w:val="AERtabletextleft"/>
              <w:rPr>
                <w:rStyle w:val="Strong"/>
              </w:rPr>
            </w:pPr>
            <w:r w:rsidRPr="00B956F7">
              <w:rPr>
                <w:rStyle w:val="Strong"/>
              </w:rPr>
              <w:t>Percentage of calls will be answered within 30 seconds</w:t>
            </w:r>
          </w:p>
        </w:tc>
        <w:tc>
          <w:tcPr>
            <w:tcW w:w="3626" w:type="pct"/>
          </w:tcPr>
          <w:p w:rsidR="00B956F7" w:rsidRPr="00086019" w:rsidRDefault="00B956F7" w:rsidP="00B956F7">
            <w:pPr>
              <w:cnfStyle w:val="000000000000" w:firstRow="0" w:lastRow="0" w:firstColumn="0" w:lastColumn="0" w:oddVBand="0" w:evenVBand="0" w:oddHBand="0" w:evenHBand="0" w:firstRowFirstColumn="0" w:firstRowLastColumn="0" w:lastRowFirstColumn="0" w:lastRowLastColumn="0"/>
            </w:pPr>
            <w:r>
              <w:t>78</w:t>
            </w:r>
            <w:r w:rsidRPr="005C5B8B">
              <w:t>.</w:t>
            </w:r>
            <w:r>
              <w:t>70</w:t>
            </w:r>
          </w:p>
        </w:tc>
      </w:tr>
    </w:tbl>
    <w:p w:rsidR="00086019" w:rsidRDefault="00086019" w:rsidP="00086019">
      <w:pPr>
        <w:pStyle w:val="AERtablesource"/>
      </w:pPr>
      <w:r>
        <w:t xml:space="preserve">Source: </w:t>
      </w:r>
      <w:r>
        <w:tab/>
        <w:t>AER analysis.</w:t>
      </w:r>
    </w:p>
    <w:p w:rsidR="005C5C7F" w:rsidRDefault="005C5C7F" w:rsidP="005C5C7F">
      <w:pPr>
        <w:pStyle w:val="Heading2"/>
      </w:pPr>
      <w:bookmarkStart w:id="77" w:name="_Toc428779191"/>
      <w:bookmarkStart w:id="78" w:name="_Toc433038408"/>
      <w:bookmarkStart w:id="79" w:name="_Toc462755211"/>
      <w:r>
        <w:t>Our framework and approach paper</w:t>
      </w:r>
      <w:bookmarkEnd w:id="77"/>
      <w:bookmarkEnd w:id="78"/>
      <w:bookmarkEnd w:id="79"/>
    </w:p>
    <w:p w:rsidR="005C5C7F" w:rsidRDefault="005C5C7F" w:rsidP="005C5C7F">
      <w:pPr>
        <w:rPr>
          <w:rStyle w:val="AERbody"/>
        </w:rPr>
      </w:pPr>
      <w:r w:rsidRPr="00C75F23">
        <w:t xml:space="preserve">We are required to set out our likely approach on how </w:t>
      </w:r>
      <w:r>
        <w:t xml:space="preserve">to apply our </w:t>
      </w:r>
      <w:r w:rsidRPr="00C75F23">
        <w:t>STPIS in our F&amp;A</w:t>
      </w:r>
      <w:r w:rsidRPr="00545D68">
        <w:t>.</w:t>
      </w:r>
      <w:r>
        <w:rPr>
          <w:rStyle w:val="FootnoteReference"/>
        </w:rPr>
        <w:footnoteReference w:id="5"/>
      </w:r>
      <w:r>
        <w:t xml:space="preserve"> </w:t>
      </w:r>
      <w:proofErr w:type="gramStart"/>
      <w:r>
        <w:t>Our</w:t>
      </w:r>
      <w:proofErr w:type="gramEnd"/>
      <w:r>
        <w:t xml:space="preserve"> final F&amp;A for TasNetworks</w:t>
      </w:r>
      <w:r w:rsidRPr="00C75F23">
        <w:t xml:space="preserve"> proposed to apply our national STPIS but n</w:t>
      </w:r>
      <w:r>
        <w:t>ot apply the guarantee service level (GSL)</w:t>
      </w:r>
      <w:r w:rsidR="0090526B">
        <w:t xml:space="preserve"> </w:t>
      </w:r>
      <w:r>
        <w:t>component.</w:t>
      </w:r>
      <w:r>
        <w:rPr>
          <w:rStyle w:val="FootnoteReference"/>
        </w:rPr>
        <w:footnoteReference w:id="6"/>
      </w:r>
      <w:r w:rsidR="002960B7">
        <w:t xml:space="preserve"> It also proposed to apply the latest </w:t>
      </w:r>
      <w:r>
        <w:t xml:space="preserve">values for VCR </w:t>
      </w:r>
      <w:r w:rsidR="00BF1AC1">
        <w:t>in</w:t>
      </w:r>
      <w:r>
        <w:t xml:space="preserve"> the distribution determination.</w:t>
      </w:r>
      <w:r>
        <w:rPr>
          <w:rStyle w:val="FootnoteReference"/>
        </w:rPr>
        <w:footnoteReference w:id="7"/>
      </w:r>
    </w:p>
    <w:p w:rsidR="00132D43" w:rsidRDefault="004523B2" w:rsidP="00132D43">
      <w:pPr>
        <w:pStyle w:val="Heading2"/>
      </w:pPr>
      <w:bookmarkStart w:id="80" w:name="_Toc462755212"/>
      <w:r>
        <w:t>TasNetworks'</w:t>
      </w:r>
      <w:r w:rsidR="00132D43">
        <w:t xml:space="preserve"> proposal</w:t>
      </w:r>
      <w:bookmarkEnd w:id="80"/>
    </w:p>
    <w:p w:rsidR="00132D43" w:rsidRDefault="009364A5" w:rsidP="009364A5">
      <w:pPr>
        <w:pStyle w:val="ListContinue"/>
        <w:ind w:left="0"/>
      </w:pPr>
      <w:r w:rsidRPr="009364A5">
        <w:rPr>
          <w:rStyle w:val="AERbody"/>
        </w:rPr>
        <w:t>TasNetworks</w:t>
      </w:r>
      <w:r w:rsidRPr="009364A5">
        <w:t xml:space="preserve"> proposed to adopt the approach specified in the F&amp;A, except for the level of revenue at risk.</w:t>
      </w:r>
      <w:r>
        <w:rPr>
          <w:rStyle w:val="FootnoteReference"/>
        </w:rPr>
        <w:footnoteReference w:id="8"/>
      </w:r>
      <w:r w:rsidR="00D53BAF">
        <w:t xml:space="preserve"> </w:t>
      </w:r>
      <w:r w:rsidR="00D53BAF" w:rsidRPr="00D53BAF">
        <w:t>TasNetworks proposed to lower the revenue at risk to ±</w:t>
      </w:r>
      <w:r w:rsidR="007E1264">
        <w:t xml:space="preserve"> </w:t>
      </w:r>
      <w:r w:rsidR="00D53BAF" w:rsidRPr="00D53BAF">
        <w:t>2.5 percent rather than the standard scheme design of ±</w:t>
      </w:r>
      <w:r w:rsidR="007E1264">
        <w:t xml:space="preserve"> </w:t>
      </w:r>
      <w:r w:rsidR="00D53BAF" w:rsidRPr="00D53BAF">
        <w:t>5</w:t>
      </w:r>
      <w:r w:rsidR="00A3475E">
        <w:t>.0</w:t>
      </w:r>
      <w:r w:rsidR="00D53BAF" w:rsidRPr="00D53BAF">
        <w:t xml:space="preserve"> per cent, on the basis of:</w:t>
      </w:r>
      <w:r w:rsidR="00D53BAF" w:rsidRPr="00D53BAF">
        <w:rPr>
          <w:rStyle w:val="FootnoteReference"/>
        </w:rPr>
        <w:t xml:space="preserve"> </w:t>
      </w:r>
      <w:r w:rsidR="00D53BAF" w:rsidRPr="00D53BAF">
        <w:rPr>
          <w:rStyle w:val="FootnoteReference"/>
        </w:rPr>
        <w:footnoteReference w:id="9"/>
      </w:r>
    </w:p>
    <w:p w:rsidR="00D53BAF" w:rsidRPr="00D53BAF" w:rsidRDefault="00BF1AC1" w:rsidP="00D53BAF">
      <w:pPr>
        <w:pStyle w:val="AERbulletlistfirststyle"/>
      </w:pPr>
      <w:r>
        <w:t>c</w:t>
      </w:r>
      <w:r w:rsidR="00D53BAF" w:rsidRPr="00D53BAF">
        <w:t xml:space="preserve">ustomers </w:t>
      </w:r>
      <w:r w:rsidR="00DD137E">
        <w:t xml:space="preserve">do </w:t>
      </w:r>
      <w:r w:rsidR="00D53BAF" w:rsidRPr="00D53BAF">
        <w:t>not want to pay for improvements in reliability</w:t>
      </w:r>
      <w:r w:rsidR="00814BFA">
        <w:t xml:space="preserve"> </w:t>
      </w:r>
      <w:r w:rsidR="00B35A9C">
        <w:t xml:space="preserve"> </w:t>
      </w:r>
    </w:p>
    <w:p w:rsidR="00D53BAF" w:rsidRPr="00D53BAF" w:rsidRDefault="00BF1AC1" w:rsidP="00D53BAF">
      <w:pPr>
        <w:pStyle w:val="AERbulletlistfirststyle"/>
      </w:pPr>
      <w:r>
        <w:lastRenderedPageBreak/>
        <w:t>c</w:t>
      </w:r>
      <w:r w:rsidR="00D53BAF" w:rsidRPr="00D53BAF">
        <w:t>ustomers support measures to reduce annual price volatility</w:t>
      </w:r>
    </w:p>
    <w:p w:rsidR="00D53BAF" w:rsidRPr="00D53BAF" w:rsidRDefault="007E1264" w:rsidP="00D53BAF">
      <w:pPr>
        <w:pStyle w:val="AERbulletlistfirststyle"/>
      </w:pPr>
      <w:r>
        <w:t xml:space="preserve">the </w:t>
      </w:r>
      <w:r w:rsidR="00D53BAF" w:rsidRPr="00D53BAF">
        <w:t>AER’s proposed rate of revenue at risk in relation to distribution service performance is five times greater than th</w:t>
      </w:r>
      <w:r w:rsidR="00745673">
        <w:t xml:space="preserve">ose under the </w:t>
      </w:r>
      <w:r w:rsidR="00D53BAF" w:rsidRPr="00D53BAF">
        <w:t xml:space="preserve">transmission </w:t>
      </w:r>
      <w:r w:rsidR="00745673">
        <w:t>STPIS</w:t>
      </w:r>
      <w:r w:rsidR="00D53BAF" w:rsidRPr="00D53BAF">
        <w:t>. As TasNetworks is an integrated transmission and distribution business, the interaction between the two schemes needs to be reconsidered</w:t>
      </w:r>
    </w:p>
    <w:p w:rsidR="00D53BAF" w:rsidRPr="00D53BAF" w:rsidRDefault="00D53BAF" w:rsidP="00D53BAF">
      <w:pPr>
        <w:pStyle w:val="AERbulletlistfirststyle"/>
      </w:pPr>
      <w:r w:rsidRPr="00D53BAF">
        <w:t>the regulatory period is only two years in duration</w:t>
      </w:r>
    </w:p>
    <w:p w:rsidR="00D53BAF" w:rsidRPr="00D53BAF" w:rsidRDefault="007E1264" w:rsidP="00D53BAF">
      <w:pPr>
        <w:pStyle w:val="AERbulletlistfirststyle"/>
      </w:pPr>
      <w:proofErr w:type="gramStart"/>
      <w:r>
        <w:t>the</w:t>
      </w:r>
      <w:proofErr w:type="gramEnd"/>
      <w:r>
        <w:t xml:space="preserve"> </w:t>
      </w:r>
      <w:r w:rsidR="00D53BAF" w:rsidRPr="00D53BAF">
        <w:t>AER recently accepted Energex’s and Ergon Energy's proposal to cap revenue at risk under the STPIS at ± 2.0 per cent.</w:t>
      </w:r>
      <w:r w:rsidR="00D53BAF" w:rsidRPr="00D53BAF">
        <w:rPr>
          <w:rStyle w:val="FootnoteReference"/>
        </w:rPr>
        <w:footnoteReference w:id="10"/>
      </w:r>
    </w:p>
    <w:p w:rsidR="00CF5092" w:rsidRPr="00CF5092" w:rsidRDefault="00CF5092" w:rsidP="00CF5092">
      <w:pPr>
        <w:pStyle w:val="AERbulletlistfirststyle"/>
        <w:numPr>
          <w:ilvl w:val="0"/>
          <w:numId w:val="0"/>
        </w:numPr>
      </w:pPr>
      <w:r w:rsidRPr="00CF5092">
        <w:t xml:space="preserve">Section </w:t>
      </w:r>
      <w:r w:rsidRPr="00CF5092">
        <w:fldChar w:fldCharType="begin"/>
      </w:r>
      <w:r w:rsidRPr="00CF5092">
        <w:instrText xml:space="preserve"> REF _Ref429403542 \r \h </w:instrText>
      </w:r>
      <w:r w:rsidRPr="00CF5092">
        <w:fldChar w:fldCharType="separate"/>
      </w:r>
      <w:r w:rsidR="001C5AD6">
        <w:t>11.7</w:t>
      </w:r>
      <w:r w:rsidRPr="00CF5092">
        <w:fldChar w:fldCharType="end"/>
      </w:r>
      <w:r w:rsidRPr="00CF5092">
        <w:t xml:space="preserve"> below sets out our consideration o</w:t>
      </w:r>
      <w:r w:rsidR="00261658">
        <w:t>f</w:t>
      </w:r>
      <w:r w:rsidRPr="00CF5092">
        <w:t xml:space="preserve"> the</w:t>
      </w:r>
      <w:r w:rsidR="00B35A9C">
        <w:t>se</w:t>
      </w:r>
      <w:r w:rsidRPr="00CF5092">
        <w:t xml:space="preserve"> matters. </w:t>
      </w:r>
    </w:p>
    <w:p w:rsidR="00132D43" w:rsidRDefault="00132D43" w:rsidP="00132D43">
      <w:pPr>
        <w:pStyle w:val="Heading2"/>
      </w:pPr>
      <w:bookmarkStart w:id="81" w:name="_Toc462755213"/>
      <w:r>
        <w:t>Assessment approach</w:t>
      </w:r>
      <w:bookmarkEnd w:id="81"/>
    </w:p>
    <w:p w:rsidR="00DF4A21" w:rsidRPr="00543215" w:rsidRDefault="00DF4A21" w:rsidP="00DF4A21">
      <w:r>
        <w:t xml:space="preserve">We are required to make a decision on how the STPIS is to apply to </w:t>
      </w:r>
      <w:r w:rsidR="0069792D">
        <w:t>TasNetworks</w:t>
      </w:r>
      <w:r>
        <w:t>.</w:t>
      </w:r>
      <w:r>
        <w:rPr>
          <w:rStyle w:val="FootnoteReference"/>
        </w:rPr>
        <w:footnoteReference w:id="11"/>
      </w:r>
      <w:r>
        <w:t xml:space="preserve"> When making a distribution determination, the STPIS requires us to </w:t>
      </w:r>
      <w:r w:rsidRPr="00543215">
        <w:t xml:space="preserve">determine all performance targets, incentive rates, revenue at risk and other parameters </w:t>
      </w:r>
      <w:r>
        <w:t xml:space="preserve">under the </w:t>
      </w:r>
      <w:r w:rsidRPr="00543215">
        <w:t>scheme</w:t>
      </w:r>
      <w:r>
        <w:t>.</w:t>
      </w:r>
      <w:r>
        <w:rPr>
          <w:rStyle w:val="FootnoteReference"/>
        </w:rPr>
        <w:footnoteReference w:id="12"/>
      </w:r>
    </w:p>
    <w:p w:rsidR="00DF4A21" w:rsidRDefault="00DF4A21" w:rsidP="00DF4A21">
      <w:r>
        <w:t>We</w:t>
      </w:r>
      <w:r w:rsidRPr="00543215">
        <w:t xml:space="preserve"> outlined </w:t>
      </w:r>
      <w:r>
        <w:t xml:space="preserve">our proposed </w:t>
      </w:r>
      <w:r w:rsidRPr="00543215">
        <w:t xml:space="preserve">approach </w:t>
      </w:r>
      <w:r>
        <w:t xml:space="preserve">to, and </w:t>
      </w:r>
      <w:r w:rsidR="00F64E83">
        <w:t xml:space="preserve">reasons </w:t>
      </w:r>
      <w:r>
        <w:t xml:space="preserve">for, </w:t>
      </w:r>
      <w:r w:rsidRPr="00543215">
        <w:t xml:space="preserve">the application of the STPIS in </w:t>
      </w:r>
      <w:r>
        <w:t>our</w:t>
      </w:r>
      <w:r w:rsidRPr="00543215">
        <w:t xml:space="preserve"> </w:t>
      </w:r>
      <w:r>
        <w:t xml:space="preserve">F&amp;A </w:t>
      </w:r>
      <w:r w:rsidRPr="00543215">
        <w:t xml:space="preserve">for </w:t>
      </w:r>
      <w:r w:rsidR="0069792D">
        <w:t>TasNetworks</w:t>
      </w:r>
      <w:r w:rsidRPr="00543215">
        <w:t xml:space="preserve">. </w:t>
      </w:r>
      <w:r>
        <w:t xml:space="preserve">Our </w:t>
      </w:r>
      <w:r w:rsidR="0069792D">
        <w:t>draft</w:t>
      </w:r>
      <w:r>
        <w:t xml:space="preserve"> decision </w:t>
      </w:r>
      <w:r w:rsidRPr="00543215">
        <w:t xml:space="preserve">has adopted the position in the </w:t>
      </w:r>
      <w:r>
        <w:t>F&amp;A</w:t>
      </w:r>
      <w:r w:rsidR="00BF1263">
        <w:t>.</w:t>
      </w:r>
      <w:r w:rsidR="00EA056F">
        <w:t xml:space="preserve"> </w:t>
      </w:r>
      <w:r>
        <w:t xml:space="preserve">We have considered materials submitted to us by </w:t>
      </w:r>
      <w:r w:rsidR="0069792D">
        <w:t>TasNetworks</w:t>
      </w:r>
      <w:r>
        <w:t xml:space="preserve"> and by stakeholders.</w:t>
      </w:r>
    </w:p>
    <w:p w:rsidR="00132D43" w:rsidRDefault="00132D43" w:rsidP="00132D43">
      <w:pPr>
        <w:pStyle w:val="Heading3"/>
        <w:tabs>
          <w:tab w:val="clear" w:pos="1021"/>
        </w:tabs>
        <w:ind w:left="142" w:hanging="142"/>
      </w:pPr>
      <w:bookmarkStart w:id="82" w:name="_Toc462755214"/>
      <w:r>
        <w:t>Interrelationships</w:t>
      </w:r>
      <w:bookmarkEnd w:id="82"/>
    </w:p>
    <w:p w:rsidR="00EC2090" w:rsidRPr="003861C2" w:rsidRDefault="00EC2090" w:rsidP="00EC2090">
      <w:r w:rsidRPr="003861C2">
        <w:t xml:space="preserve">In </w:t>
      </w:r>
      <w:r w:rsidR="00C040B4">
        <w:t>implementing</w:t>
      </w:r>
      <w:r w:rsidR="00C040B4" w:rsidRPr="003861C2">
        <w:t xml:space="preserve"> </w:t>
      </w:r>
      <w:r w:rsidRPr="003861C2">
        <w:t xml:space="preserve">the STPIS we must </w:t>
      </w:r>
      <w:r w:rsidR="00C040B4">
        <w:t>take into account</w:t>
      </w:r>
      <w:r w:rsidR="00C040B4" w:rsidRPr="003861C2">
        <w:t xml:space="preserve"> </w:t>
      </w:r>
      <w:r w:rsidRPr="003861C2">
        <w:t>any other incentives available to the distributor under the NER or relevant distribution determination</w:t>
      </w:r>
      <w:r w:rsidRPr="002204A1">
        <w:rPr>
          <w:rStyle w:val="AERbody"/>
        </w:rPr>
        <w:t>.</w:t>
      </w:r>
      <w:r>
        <w:rPr>
          <w:rStyle w:val="FootnoteReference"/>
        </w:rPr>
        <w:footnoteReference w:id="13"/>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 For the 201</w:t>
      </w:r>
      <w:r>
        <w:t>7–19</w:t>
      </w:r>
      <w:r w:rsidRPr="003861C2">
        <w:t xml:space="preserve"> regulatory control </w:t>
      </w:r>
      <w:proofErr w:type="gramStart"/>
      <w:r w:rsidRPr="003861C2">
        <w:t>period</w:t>
      </w:r>
      <w:proofErr w:type="gramEnd"/>
      <w:r w:rsidRPr="003861C2">
        <w:t>, the STPIS will interact with the Capital Expenditure Sharing Scheme (CESS) and the opex Expenditure Benefit Sharing Scheme (EBSS).</w:t>
      </w:r>
      <w:r w:rsidR="00C92A54">
        <w:rPr>
          <w:rStyle w:val="FootnoteReference"/>
        </w:rPr>
        <w:footnoteReference w:id="14"/>
      </w:r>
    </w:p>
    <w:p w:rsidR="00EC2090" w:rsidRPr="002204A1" w:rsidRDefault="00EC2090" w:rsidP="00EC2090">
      <w:pPr>
        <w:rPr>
          <w:rStyle w:val="AERbody"/>
        </w:rPr>
      </w:pPr>
      <w:r w:rsidRPr="002204A1">
        <w:rPr>
          <w:rStyle w:val="AERbody"/>
        </w:rPr>
        <w:t>The reward and penalt</w:t>
      </w:r>
      <w:r>
        <w:rPr>
          <w:rStyle w:val="AERbody"/>
        </w:rPr>
        <w:t>y</w:t>
      </w:r>
      <w:r w:rsidRPr="002204A1">
        <w:rPr>
          <w:rStyle w:val="AERbody"/>
        </w:rPr>
        <w:t xml:space="preserve"> </w:t>
      </w:r>
      <w:r w:rsidR="00B35A9C">
        <w:rPr>
          <w:rStyle w:val="AERbody"/>
        </w:rPr>
        <w:t>mechanism,</w:t>
      </w:r>
      <w:r w:rsidR="00B35A9C" w:rsidRPr="002204A1">
        <w:rPr>
          <w:rStyle w:val="AERbody"/>
        </w:rPr>
        <w:t xml:space="preserve"> </w:t>
      </w:r>
      <w:r w:rsidRPr="002204A1">
        <w:rPr>
          <w:rStyle w:val="AERbody"/>
        </w:rPr>
        <w:t>under STPIS</w:t>
      </w:r>
      <w:r>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reliability</w:t>
      </w:r>
      <w:r>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EC2090" w:rsidRDefault="00EC2090" w:rsidP="00EC2090">
      <w:pPr>
        <w:rPr>
          <w:rStyle w:val="AERbody"/>
        </w:rPr>
      </w:pPr>
      <w:r>
        <w:rPr>
          <w:rStyle w:val="AERbody"/>
        </w:rPr>
        <w:lastRenderedPageBreak/>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EC2090" w:rsidRPr="002204A1" w:rsidRDefault="00EC2090" w:rsidP="00EC2090">
      <w:pPr>
        <w:rPr>
          <w:rStyle w:val="AERbody"/>
        </w:rPr>
      </w:pPr>
      <w:r>
        <w:rPr>
          <w:rStyle w:val="AERbody"/>
        </w:rPr>
        <w:t>T</w:t>
      </w:r>
      <w:r w:rsidRPr="002204A1">
        <w:rPr>
          <w:rStyle w:val="AERbody"/>
        </w:rPr>
        <w:t xml:space="preserve">he STPIS </w:t>
      </w:r>
      <w:r>
        <w:rPr>
          <w:rStyle w:val="AERbody"/>
        </w:rPr>
        <w:t xml:space="preserve">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EC2090" w:rsidRPr="002204A1" w:rsidRDefault="00EC2090" w:rsidP="00EC2090">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EC2090" w:rsidRPr="003861C2" w:rsidRDefault="00EC2090" w:rsidP="00EC2090">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EC2090" w:rsidRDefault="00EC2090" w:rsidP="00EC2090">
      <w:pPr>
        <w:pStyle w:val="AERbulletlistfirststyle"/>
        <w:rPr>
          <w:rStyle w:val="AERbody"/>
        </w:rPr>
      </w:pPr>
      <w:r w:rsidRPr="003861C2">
        <w:rPr>
          <w:rStyle w:val="AERbody"/>
        </w:rPr>
        <w:tab/>
      </w:r>
      <w:proofErr w:type="gramStart"/>
      <w:r w:rsidRPr="003861C2">
        <w:rPr>
          <w:rStyle w:val="AERbody"/>
        </w:rPr>
        <w:t>reductions</w:t>
      </w:r>
      <w:proofErr w:type="gramEnd"/>
      <w:r w:rsidRPr="003861C2">
        <w:rPr>
          <w:rStyle w:val="AERbody"/>
        </w:rPr>
        <w:t xml:space="preserve"> in capex and opex are achieved efficiently, rather than at the expense of service levels to customers.</w:t>
      </w:r>
    </w:p>
    <w:p w:rsidR="00132D43" w:rsidRDefault="00132D43" w:rsidP="00132D43">
      <w:pPr>
        <w:pStyle w:val="Heading2"/>
      </w:pPr>
      <w:bookmarkStart w:id="83" w:name="_Toc462755215"/>
      <w:r>
        <w:t>Reasons for draft decision</w:t>
      </w:r>
      <w:bookmarkEnd w:id="83"/>
    </w:p>
    <w:p w:rsidR="00CE5F13" w:rsidRDefault="00CE5F13" w:rsidP="00CE5F13">
      <w:r w:rsidRPr="009C0D52">
        <w:t xml:space="preserve">The following section sets out our </w:t>
      </w:r>
      <w:r>
        <w:t>detailed consideration o</w:t>
      </w:r>
      <w:r w:rsidRPr="009C0D52">
        <w:t>n</w:t>
      </w:r>
      <w:r>
        <w:t>:</w:t>
      </w:r>
    </w:p>
    <w:p w:rsidR="001A2695" w:rsidRDefault="00CE5F13" w:rsidP="001A2695">
      <w:pPr>
        <w:pStyle w:val="AERbulletlistfirststyle"/>
      </w:pPr>
      <w:r w:rsidRPr="009C0D52">
        <w:t xml:space="preserve">applying the STPIS to </w:t>
      </w:r>
      <w:r>
        <w:t>TasNetworks</w:t>
      </w:r>
      <w:r w:rsidRPr="009C0D52">
        <w:t xml:space="preserve"> for the 201</w:t>
      </w:r>
      <w:r>
        <w:t>7</w:t>
      </w:r>
      <w:r w:rsidRPr="009C0D52">
        <w:t>–</w:t>
      </w:r>
      <w:r>
        <w:t>19 regulatory control period</w:t>
      </w:r>
    </w:p>
    <w:p w:rsidR="00CE5F13" w:rsidRPr="001A2695" w:rsidRDefault="00CE5F13" w:rsidP="001A2695">
      <w:pPr>
        <w:pStyle w:val="AERbulletlistfirststyle"/>
        <w:rPr>
          <w:rStyle w:val="AERtexthighlight"/>
          <w:shd w:val="clear" w:color="auto" w:fill="auto"/>
        </w:rPr>
      </w:pPr>
      <w:proofErr w:type="gramStart"/>
      <w:r w:rsidRPr="001A2695">
        <w:rPr>
          <w:rStyle w:val="AERtexthighlight"/>
          <w:shd w:val="clear" w:color="auto" w:fill="auto"/>
        </w:rPr>
        <w:t>transitional</w:t>
      </w:r>
      <w:proofErr w:type="gramEnd"/>
      <w:r w:rsidRPr="001A2695">
        <w:rPr>
          <w:rStyle w:val="AERtexthighlight"/>
          <w:shd w:val="clear" w:color="auto" w:fill="auto"/>
        </w:rPr>
        <w:t xml:space="preserve"> matters in applying the STPIS between regulatory control period</w:t>
      </w:r>
      <w:r w:rsidRPr="00FD74DD">
        <w:rPr>
          <w:rStyle w:val="AERbody"/>
        </w:rPr>
        <w:t>s</w:t>
      </w:r>
      <w:r w:rsidR="0091606A" w:rsidRPr="00FD74DD">
        <w:rPr>
          <w:rStyle w:val="AERbody"/>
        </w:rPr>
        <w:t>.</w:t>
      </w:r>
      <w:r w:rsidRPr="001A2695">
        <w:rPr>
          <w:rStyle w:val="AERtexthighlight"/>
          <w:shd w:val="clear" w:color="auto" w:fill="auto"/>
        </w:rPr>
        <w:t xml:space="preserve"> </w:t>
      </w:r>
    </w:p>
    <w:p w:rsidR="00CF5092" w:rsidRDefault="00CF5092" w:rsidP="00CF5092">
      <w:pPr>
        <w:pStyle w:val="Heading2"/>
      </w:pPr>
      <w:bookmarkStart w:id="84" w:name="_Toc433038413"/>
      <w:bookmarkStart w:id="85" w:name="_Toc462755216"/>
      <w:r>
        <w:t xml:space="preserve">Applying the </w:t>
      </w:r>
      <w:r w:rsidRPr="00BA36D5">
        <w:t>STPIS</w:t>
      </w:r>
      <w:bookmarkEnd w:id="84"/>
      <w:bookmarkEnd w:id="85"/>
    </w:p>
    <w:p w:rsidR="0008264C" w:rsidRDefault="0008264C" w:rsidP="0008264C">
      <w:r>
        <w:t xml:space="preserve">We will apply the STPIS in accordance with our </w:t>
      </w:r>
      <w:r w:rsidR="0091606A">
        <w:t>F&amp;A</w:t>
      </w:r>
      <w:r>
        <w:t xml:space="preserve"> paper to TasNetworks.</w:t>
      </w:r>
      <w:r>
        <w:rPr>
          <w:rStyle w:val="FootnoteReference"/>
        </w:rPr>
        <w:footnoteReference w:id="15"/>
      </w:r>
      <w:r>
        <w:t xml:space="preserve"> </w:t>
      </w:r>
      <w:r w:rsidR="00D359C1">
        <w:t>W</w:t>
      </w:r>
      <w:r>
        <w:t xml:space="preserve">e have not accepted TasNetworks’ proposal to depart from our F&amp;A in applying the STPIS </w:t>
      </w:r>
      <w:r w:rsidR="00814BFA">
        <w:t xml:space="preserve">via adopting </w:t>
      </w:r>
      <w:proofErr w:type="gramStart"/>
      <w:r>
        <w:t>a</w:t>
      </w:r>
      <w:r w:rsidR="0091606A">
        <w:t xml:space="preserve"> </w:t>
      </w:r>
      <w:r>
        <w:t>lower</w:t>
      </w:r>
      <w:proofErr w:type="gramEnd"/>
      <w:r w:rsidR="00DB76C2">
        <w:t xml:space="preserve"> revenue at risk</w:t>
      </w:r>
      <w:r>
        <w:t>.</w:t>
      </w:r>
    </w:p>
    <w:p w:rsidR="00DB76C2" w:rsidRPr="00DB76C2" w:rsidRDefault="00DB76C2" w:rsidP="00DB76C2">
      <w:pPr>
        <w:pStyle w:val="Heading3"/>
      </w:pPr>
      <w:bookmarkStart w:id="86" w:name="_Toc433038414"/>
      <w:bookmarkStart w:id="87" w:name="_Toc462755217"/>
      <w:r w:rsidRPr="009C0D52">
        <w:t>Revenue at risk</w:t>
      </w:r>
      <w:bookmarkEnd w:id="86"/>
      <w:bookmarkEnd w:id="87"/>
    </w:p>
    <w:p w:rsidR="00DB76C2" w:rsidRDefault="00DB76C2" w:rsidP="00DB76C2">
      <w:pPr>
        <w:rPr>
          <w:rStyle w:val="AERbody"/>
        </w:rPr>
      </w:pPr>
      <w:r>
        <w:rPr>
          <w:rStyle w:val="AERbody"/>
        </w:rPr>
        <w:t>TasNetwor</w:t>
      </w:r>
      <w:r w:rsidR="0091606A">
        <w:rPr>
          <w:rStyle w:val="AERbody"/>
        </w:rPr>
        <w:t>k</w:t>
      </w:r>
      <w:r>
        <w:rPr>
          <w:rStyle w:val="AERbody"/>
        </w:rPr>
        <w:t>s'</w:t>
      </w:r>
      <w:r w:rsidRPr="005473F3">
        <w:rPr>
          <w:rStyle w:val="AERbody"/>
        </w:rPr>
        <w:t xml:space="preserve"> revenue at risk for each regulatory year of the 201</w:t>
      </w:r>
      <w:r>
        <w:rPr>
          <w:rStyle w:val="AERbody"/>
        </w:rPr>
        <w:t>7–19</w:t>
      </w:r>
      <w:r w:rsidRPr="005473F3">
        <w:rPr>
          <w:rStyle w:val="AERbody"/>
        </w:rPr>
        <w:t xml:space="preserve"> regulatory control </w:t>
      </w:r>
      <w:proofErr w:type="gramStart"/>
      <w:r w:rsidRPr="005473F3">
        <w:rPr>
          <w:rStyle w:val="AERbody"/>
        </w:rPr>
        <w:t>period</w:t>
      </w:r>
      <w:proofErr w:type="gramEnd"/>
      <w:r w:rsidRPr="005473F3">
        <w:rPr>
          <w:rStyle w:val="AERbody"/>
        </w:rPr>
        <w:t xml:space="preserve"> will be capped at </w:t>
      </w:r>
      <w:r w:rsidRPr="00DB76C2">
        <w:rPr>
          <w:rStyle w:val="AERbody"/>
        </w:rPr>
        <w:t>±</w:t>
      </w:r>
      <w:r>
        <w:rPr>
          <w:rStyle w:val="AERbody"/>
        </w:rPr>
        <w:t xml:space="preserve"> </w:t>
      </w:r>
      <w:r w:rsidRPr="005473F3">
        <w:rPr>
          <w:rStyle w:val="AERbody"/>
        </w:rPr>
        <w:t>5.0 per cent</w:t>
      </w:r>
      <w:r>
        <w:rPr>
          <w:rStyle w:val="AERbody"/>
        </w:rPr>
        <w:t xml:space="preserve"> as per the scheme standard</w:t>
      </w:r>
      <w:r w:rsidRPr="005473F3">
        <w:rPr>
          <w:rStyle w:val="AERbody"/>
        </w:rPr>
        <w:t>.</w:t>
      </w:r>
      <w:r w:rsidR="00A13881">
        <w:rPr>
          <w:rStyle w:val="AERbody"/>
        </w:rPr>
        <w:t xml:space="preserve"> This was also the revenue at risk applied to TasNetworks in the current regulatory period.</w:t>
      </w:r>
      <w:r>
        <w:rPr>
          <w:rStyle w:val="AERbody"/>
        </w:rPr>
        <w:t xml:space="preserve"> </w:t>
      </w:r>
    </w:p>
    <w:p w:rsidR="00DB76C2" w:rsidRPr="00121985" w:rsidRDefault="00DB76C2" w:rsidP="00DB76C2">
      <w:pPr>
        <w:rPr>
          <w:rStyle w:val="AERbody"/>
        </w:rPr>
      </w:pPr>
      <w:r>
        <w:rPr>
          <w:rStyle w:val="AERbody"/>
        </w:rPr>
        <w:t xml:space="preserve">For the reasons outlined in section </w:t>
      </w:r>
      <w:r>
        <w:rPr>
          <w:rStyle w:val="AERbody"/>
        </w:rPr>
        <w:fldChar w:fldCharType="begin"/>
      </w:r>
      <w:r>
        <w:rPr>
          <w:rStyle w:val="AERbody"/>
        </w:rPr>
        <w:instrText xml:space="preserve"> REF _Ref429403542 \r \h </w:instrText>
      </w:r>
      <w:r>
        <w:rPr>
          <w:rStyle w:val="AERbody"/>
        </w:rPr>
      </w:r>
      <w:r>
        <w:rPr>
          <w:rStyle w:val="AERbody"/>
        </w:rPr>
        <w:fldChar w:fldCharType="separate"/>
      </w:r>
      <w:r w:rsidR="001C5AD6">
        <w:rPr>
          <w:rStyle w:val="AERbody"/>
        </w:rPr>
        <w:t>11.7</w:t>
      </w:r>
      <w:r>
        <w:rPr>
          <w:rStyle w:val="AERbody"/>
        </w:rPr>
        <w:fldChar w:fldCharType="end"/>
      </w:r>
      <w:r>
        <w:rPr>
          <w:rStyle w:val="AERbody"/>
        </w:rPr>
        <w:t xml:space="preserve">, we have not accepted </w:t>
      </w:r>
      <w:r w:rsidR="00813EAD">
        <w:rPr>
          <w:rStyle w:val="AERbody"/>
        </w:rPr>
        <w:t>Tas</w:t>
      </w:r>
      <w:r w:rsidR="0091606A">
        <w:rPr>
          <w:rStyle w:val="AERbody"/>
        </w:rPr>
        <w:t>N</w:t>
      </w:r>
      <w:r w:rsidR="00813EAD">
        <w:rPr>
          <w:rStyle w:val="AERbody"/>
        </w:rPr>
        <w:t>etworks'</w:t>
      </w:r>
      <w:r>
        <w:rPr>
          <w:rStyle w:val="AERbody"/>
        </w:rPr>
        <w:t xml:space="preserve"> proposal to depart from our F&amp;A position on the STPIS by</w:t>
      </w:r>
      <w:r w:rsidR="00813EAD">
        <w:rPr>
          <w:rStyle w:val="AERbody"/>
        </w:rPr>
        <w:t xml:space="preserve"> modifying the revenue at risk</w:t>
      </w:r>
      <w:r>
        <w:rPr>
          <w:rStyle w:val="AERbody"/>
        </w:rPr>
        <w:t>.</w:t>
      </w:r>
      <w:r w:rsidR="00813EAD" w:rsidRPr="00D53BAF">
        <w:rPr>
          <w:rStyle w:val="FootnoteReference"/>
        </w:rPr>
        <w:footnoteReference w:id="16"/>
      </w:r>
    </w:p>
    <w:p w:rsidR="00DB76C2" w:rsidRDefault="00DB76C2" w:rsidP="00DB76C2">
      <w:pPr>
        <w:rPr>
          <w:rStyle w:val="AERbody"/>
        </w:rPr>
      </w:pPr>
      <w:r w:rsidRPr="005473F3">
        <w:rPr>
          <w:rStyle w:val="AERbody"/>
        </w:rPr>
        <w:t>Revenue at risk</w:t>
      </w:r>
      <w:r w:rsidR="0091606A">
        <w:rPr>
          <w:rStyle w:val="AERbody"/>
        </w:rPr>
        <w:t>,</w:t>
      </w:r>
      <w:r w:rsidRPr="005473F3">
        <w:rPr>
          <w:rStyle w:val="AERbody"/>
        </w:rPr>
        <w:t xml:space="preserve"> caps the potential reward and penalt</w:t>
      </w:r>
      <w:r>
        <w:rPr>
          <w:rStyle w:val="AERbody"/>
        </w:rPr>
        <w:t>y</w:t>
      </w:r>
      <w:r w:rsidRPr="005473F3">
        <w:rPr>
          <w:rStyle w:val="AERbody"/>
        </w:rPr>
        <w:t xml:space="preserve"> for </w:t>
      </w:r>
      <w:r w:rsidR="00813EAD">
        <w:rPr>
          <w:rStyle w:val="AERbody"/>
        </w:rPr>
        <w:t>TasNetworks</w:t>
      </w:r>
      <w:r w:rsidRPr="005473F3">
        <w:rPr>
          <w:rStyle w:val="AERbody"/>
        </w:rPr>
        <w:t xml:space="preserve"> under the STPIS. We consider an incentive of </w:t>
      </w:r>
      <w:r w:rsidRPr="00DB76C2">
        <w:rPr>
          <w:rStyle w:val="AERbody"/>
        </w:rPr>
        <w:t>±</w:t>
      </w:r>
      <w:r>
        <w:rPr>
          <w:rStyle w:val="AERbody"/>
        </w:rPr>
        <w:t xml:space="preserve"> 5.0 </w:t>
      </w:r>
      <w:r w:rsidRPr="005473F3">
        <w:rPr>
          <w:rStyle w:val="AERbody"/>
        </w:rPr>
        <w:t xml:space="preserve">per cent of </w:t>
      </w:r>
      <w:r>
        <w:rPr>
          <w:rStyle w:val="AERbody"/>
        </w:rPr>
        <w:t xml:space="preserve">the annual allowable revenue </w:t>
      </w:r>
      <w:r w:rsidR="00B35A9C">
        <w:rPr>
          <w:rStyle w:val="AERbody"/>
        </w:rPr>
        <w:t xml:space="preserve">would result in the right balance with the </w:t>
      </w:r>
      <w:r w:rsidR="00A13881">
        <w:rPr>
          <w:rStyle w:val="AERbody"/>
        </w:rPr>
        <w:t xml:space="preserve">operation of the </w:t>
      </w:r>
      <w:r w:rsidR="00B35A9C">
        <w:rPr>
          <w:rStyle w:val="AERbody"/>
        </w:rPr>
        <w:t xml:space="preserve">EBSS and CESS </w:t>
      </w:r>
      <w:r w:rsidR="00B35A9C" w:rsidRPr="003861C2">
        <w:t xml:space="preserve">to </w:t>
      </w:r>
      <w:r w:rsidR="00B35A9C">
        <w:t xml:space="preserve">ensure </w:t>
      </w:r>
      <w:r w:rsidR="00B35A9C">
        <w:lastRenderedPageBreak/>
        <w:t xml:space="preserve">that </w:t>
      </w:r>
      <w:r w:rsidR="00B35A9C" w:rsidRPr="003861C2">
        <w:t>the</w:t>
      </w:r>
      <w:r w:rsidR="00B35A9C">
        <w:t xml:space="preserve"> incentives </w:t>
      </w:r>
      <w:r w:rsidR="00B35A9C" w:rsidRPr="003861C2">
        <w:t xml:space="preserve">to reduce costs </w:t>
      </w:r>
      <w:r w:rsidR="00B35A9C">
        <w:t xml:space="preserve">will not be delivered </w:t>
      </w:r>
      <w:r w:rsidR="00B35A9C" w:rsidRPr="003861C2">
        <w:t>at the expense of service levels</w:t>
      </w:r>
      <w:r w:rsidR="00B35A9C">
        <w:rPr>
          <w:rStyle w:val="AERbody"/>
        </w:rPr>
        <w:t xml:space="preserve"> to customers––hence </w:t>
      </w:r>
      <w:r w:rsidR="00B54C33">
        <w:rPr>
          <w:rStyle w:val="AERbody"/>
        </w:rPr>
        <w:t>meet</w:t>
      </w:r>
      <w:r w:rsidR="00B35A9C">
        <w:rPr>
          <w:rStyle w:val="AERbody"/>
        </w:rPr>
        <w:t>ing</w:t>
      </w:r>
      <w:r w:rsidR="00B54C33">
        <w:rPr>
          <w:rStyle w:val="AERbody"/>
        </w:rPr>
        <w:t xml:space="preserve"> the </w:t>
      </w:r>
      <w:r w:rsidR="00B35A9C">
        <w:rPr>
          <w:rStyle w:val="AERbody"/>
        </w:rPr>
        <w:t>long term interest of c</w:t>
      </w:r>
      <w:r w:rsidR="0091606A">
        <w:rPr>
          <w:rStyle w:val="AERbody"/>
        </w:rPr>
        <w:t>onsumer</w:t>
      </w:r>
      <w:r w:rsidR="00ED37A8">
        <w:rPr>
          <w:rStyle w:val="AERbody"/>
        </w:rPr>
        <w:t>s</w:t>
      </w:r>
      <w:r w:rsidRPr="005473F3">
        <w:rPr>
          <w:rStyle w:val="AERbody"/>
        </w:rPr>
        <w:t xml:space="preserve">. </w:t>
      </w:r>
    </w:p>
    <w:p w:rsidR="007A30F4" w:rsidRPr="007A30F4" w:rsidRDefault="007A30F4" w:rsidP="007A30F4">
      <w:pPr>
        <w:pStyle w:val="Heading3"/>
      </w:pPr>
      <w:bookmarkStart w:id="88" w:name="_Toc433038415"/>
      <w:bookmarkStart w:id="89" w:name="_Toc462755218"/>
      <w:r w:rsidRPr="00B82706">
        <w:t>Reliability of supply component</w:t>
      </w:r>
      <w:bookmarkEnd w:id="88"/>
      <w:bookmarkEnd w:id="89"/>
    </w:p>
    <w:p w:rsidR="007A30F4" w:rsidRPr="00DF06C5" w:rsidRDefault="007A30F4" w:rsidP="007A30F4">
      <w:pPr>
        <w:pStyle w:val="HeadingBoldBlue"/>
      </w:pPr>
      <w:bookmarkStart w:id="90" w:name="_Toc433038416"/>
      <w:r w:rsidRPr="00DF06C5">
        <w:t>Applica</w:t>
      </w:r>
      <w:r>
        <w:t>ble</w:t>
      </w:r>
      <w:r w:rsidRPr="00DF06C5">
        <w:t xml:space="preserve"> components and parameters</w:t>
      </w:r>
      <w:bookmarkEnd w:id="90"/>
      <w:r w:rsidRPr="00DF06C5">
        <w:t xml:space="preserve"> </w:t>
      </w:r>
    </w:p>
    <w:p w:rsidR="007A30F4" w:rsidRDefault="007A30F4" w:rsidP="007A30F4">
      <w:r w:rsidRPr="00B82706">
        <w:t>We will apply unplanned SAIDI</w:t>
      </w:r>
      <w:r w:rsidR="00A734E6">
        <w:t xml:space="preserve"> and</w:t>
      </w:r>
      <w:r w:rsidRPr="00B82706">
        <w:t xml:space="preserve"> unplanned SAIFI</w:t>
      </w:r>
      <w:r>
        <w:t xml:space="preserve"> </w:t>
      </w:r>
      <w:r w:rsidRPr="00B82706">
        <w:t xml:space="preserve">parameters under the reliability of supply component to </w:t>
      </w:r>
      <w:r>
        <w:t xml:space="preserve">TasNetworks' feeders </w:t>
      </w:r>
      <w:r w:rsidRPr="00B82706">
        <w:t>for the 201</w:t>
      </w:r>
      <w:r>
        <w:t>7</w:t>
      </w:r>
      <w:r w:rsidRPr="00B82706">
        <w:t>–</w:t>
      </w:r>
      <w:r>
        <w:t>19</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w:t>
      </w:r>
    </w:p>
    <w:p w:rsidR="007A30F4" w:rsidRPr="00B82706" w:rsidRDefault="007A30F4" w:rsidP="007A30F4">
      <w:pPr>
        <w:pStyle w:val="HeadingBoldBlue"/>
      </w:pPr>
      <w:bookmarkStart w:id="91" w:name="_Toc433038417"/>
      <w:r>
        <w:t>E</w:t>
      </w:r>
      <w:r w:rsidRPr="00B82706">
        <w:t>xclusions</w:t>
      </w:r>
      <w:bookmarkEnd w:id="91"/>
    </w:p>
    <w:p w:rsidR="007A30F4" w:rsidRPr="00B82706" w:rsidRDefault="007A30F4" w:rsidP="007A30F4">
      <w:r w:rsidRPr="005473F3">
        <w:rPr>
          <w:rStyle w:val="AERbody"/>
        </w:rPr>
        <w:t xml:space="preserve">The STPIS allows certain events to be excluded from the calculation of the S-factor revenue adjustment. These exclusions include the events </w:t>
      </w:r>
      <w:r>
        <w:rPr>
          <w:rStyle w:val="AERbody"/>
        </w:rPr>
        <w:t>specified in the STPIS</w:t>
      </w:r>
      <w:r w:rsidRPr="005473F3">
        <w:rPr>
          <w:rStyle w:val="AERbody"/>
        </w:rPr>
        <w:t xml:space="preserve">, such as the effects of transmission network outages and other upstream events. They also exclude the effects of extreme weather events that have the potential to significantly affect </w:t>
      </w:r>
      <w:r>
        <w:rPr>
          <w:rStyle w:val="AERbody"/>
        </w:rPr>
        <w:t>TasNetworks'</w:t>
      </w:r>
      <w:r w:rsidRPr="005473F3">
        <w:rPr>
          <w:rStyle w:val="AERbody"/>
        </w:rPr>
        <w:t xml:space="preserve"> </w:t>
      </w:r>
      <w:r w:rsidR="00454201">
        <w:rPr>
          <w:rStyle w:val="AERbody"/>
        </w:rPr>
        <w:t xml:space="preserve">underlying </w:t>
      </w:r>
      <w:r w:rsidRPr="005473F3">
        <w:rPr>
          <w:rStyle w:val="AERbody"/>
        </w:rPr>
        <w:t>STPIS performance</w:t>
      </w:r>
      <w:r w:rsidRPr="00B82706">
        <w:t xml:space="preserve">. </w:t>
      </w:r>
    </w:p>
    <w:p w:rsidR="00A734E6" w:rsidRDefault="007A30F4" w:rsidP="007A30F4">
      <w:pPr>
        <w:rPr>
          <w:rStyle w:val="AERbody"/>
        </w:rPr>
      </w:pPr>
      <w:r>
        <w:rPr>
          <w:rStyle w:val="AERbody"/>
        </w:rPr>
        <w:t>TasN</w:t>
      </w:r>
      <w:r w:rsidR="00A734E6">
        <w:rPr>
          <w:rStyle w:val="AERbody"/>
        </w:rPr>
        <w:t>etworks</w:t>
      </w:r>
      <w:r w:rsidRPr="007F2C2A">
        <w:rPr>
          <w:rStyle w:val="AERbody"/>
        </w:rPr>
        <w:t xml:space="preserve"> proposed to calculate the major event day (MED) threshold using the 2.5 beta method in accordance our F&amp;A. Since we have not received any submissions that we should depart from our F&amp;A, we accept </w:t>
      </w:r>
      <w:r w:rsidR="00A734E6">
        <w:rPr>
          <w:rStyle w:val="AERbody"/>
        </w:rPr>
        <w:t>Tas</w:t>
      </w:r>
      <w:r w:rsidR="00C92A54">
        <w:rPr>
          <w:rStyle w:val="AERbody"/>
        </w:rPr>
        <w:t>N</w:t>
      </w:r>
      <w:r w:rsidR="00A734E6">
        <w:rPr>
          <w:rStyle w:val="AERbody"/>
        </w:rPr>
        <w:t>etworks'</w:t>
      </w:r>
      <w:r w:rsidRPr="007F2C2A">
        <w:rPr>
          <w:rStyle w:val="AERbody"/>
        </w:rPr>
        <w:t xml:space="preserve"> proposal. </w:t>
      </w:r>
    </w:p>
    <w:p w:rsidR="007A30F4" w:rsidRPr="00A734E6" w:rsidRDefault="007A30F4" w:rsidP="00A734E6">
      <w:pPr>
        <w:pStyle w:val="HeadingBoldBlue"/>
        <w:rPr>
          <w:rStyle w:val="AERbody"/>
          <w:color w:val="70635A" w:themeColor="text2"/>
          <w:sz w:val="28"/>
        </w:rPr>
      </w:pPr>
      <w:r w:rsidRPr="00A734E6">
        <w:rPr>
          <w:rStyle w:val="AERbody"/>
          <w:color w:val="70635A" w:themeColor="text2"/>
          <w:sz w:val="28"/>
        </w:rPr>
        <w:t>Performance targets</w:t>
      </w:r>
    </w:p>
    <w:p w:rsidR="005844EE" w:rsidRDefault="007A30F4" w:rsidP="004A6AF7">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It also states that the performance target</w:t>
      </w:r>
      <w:r w:rsidR="0091606A">
        <w:t>s</w:t>
      </w:r>
      <w:r>
        <w:t xml:space="preserve"> must be modified for </w:t>
      </w:r>
      <w:r w:rsidRPr="00C639D9">
        <w:t>any reliability improvements completed or planned where the planned</w:t>
      </w:r>
      <w:r>
        <w:t xml:space="preserve"> </w:t>
      </w:r>
      <w:r w:rsidRPr="00C639D9">
        <w:t>reliability improvements</w:t>
      </w:r>
      <w:r w:rsidR="00BF1263">
        <w:t xml:space="preserve"> are included in the expenditure program proposed by the network service provider and expected to result in a material improvement in supply reliability</w:t>
      </w:r>
      <w:r w:rsidR="00B35A9C">
        <w:t>.</w:t>
      </w:r>
      <w:r>
        <w:rPr>
          <w:rStyle w:val="FootnoteReference"/>
        </w:rPr>
        <w:footnoteReference w:id="17"/>
      </w:r>
    </w:p>
    <w:p w:rsidR="007A30F4" w:rsidRDefault="00191FF2" w:rsidP="004A6AF7">
      <w:r>
        <w:rPr>
          <w:rStyle w:val="AERbody"/>
        </w:rPr>
        <w:t xml:space="preserve">Subsequent to its regulatory proposal, </w:t>
      </w:r>
      <w:r w:rsidR="005844EE">
        <w:t xml:space="preserve">TasNetworks advised that </w:t>
      </w:r>
      <w:r>
        <w:t xml:space="preserve">it has since </w:t>
      </w:r>
      <w:r w:rsidR="005844EE" w:rsidRPr="005844EE">
        <w:t>identified data accuracy issues</w:t>
      </w:r>
      <w:r w:rsidR="00784614">
        <w:t xml:space="preserve"> </w:t>
      </w:r>
      <w:r w:rsidR="00784614" w:rsidRPr="00784614">
        <w:t xml:space="preserve">with the historical performance data </w:t>
      </w:r>
      <w:r>
        <w:t xml:space="preserve">previously </w:t>
      </w:r>
      <w:r w:rsidR="00784614" w:rsidRPr="00784614">
        <w:t xml:space="preserve">provided </w:t>
      </w:r>
      <w:r>
        <w:t xml:space="preserve">to the AER in </w:t>
      </w:r>
      <w:r w:rsidR="00784614" w:rsidRPr="00784614">
        <w:t>the</w:t>
      </w:r>
      <w:r>
        <w:t xml:space="preserve"> relevant</w:t>
      </w:r>
      <w:r w:rsidR="00784614" w:rsidRPr="00784614">
        <w:t xml:space="preserve"> </w:t>
      </w:r>
      <w:r w:rsidR="00D07DD5">
        <w:t>regulatory information notices (</w:t>
      </w:r>
      <w:r w:rsidR="00784614" w:rsidRPr="00784614">
        <w:t>RINs</w:t>
      </w:r>
      <w:r w:rsidR="00D07DD5">
        <w:t>)</w:t>
      </w:r>
      <w:r w:rsidR="005844EE">
        <w:t>.</w:t>
      </w:r>
      <w:r w:rsidR="005844EE">
        <w:rPr>
          <w:rStyle w:val="FootnoteReference"/>
        </w:rPr>
        <w:footnoteReference w:id="18"/>
      </w:r>
      <w:r w:rsidR="005844EE">
        <w:t xml:space="preserve"> </w:t>
      </w:r>
      <w:r w:rsidR="00784614" w:rsidRPr="00784614">
        <w:t>However, TasNetworks have not provide</w:t>
      </w:r>
      <w:r w:rsidR="00784614">
        <w:t>d</w:t>
      </w:r>
      <w:r w:rsidR="00784614" w:rsidRPr="00784614">
        <w:t xml:space="preserve"> any specific information in this regard. We consider that</w:t>
      </w:r>
      <w:r>
        <w:t xml:space="preserve"> any attempt to modify historical RIN data must be subject to the same level of scrutiny as the standard RIN reporting process and must be independently verified. Hence, f</w:t>
      </w:r>
      <w:r>
        <w:rPr>
          <w:rStyle w:val="AERbody"/>
        </w:rPr>
        <w:t>or the purpose of this draft decision, we appl</w:t>
      </w:r>
      <w:r w:rsidR="007E6857">
        <w:rPr>
          <w:rStyle w:val="AERbody"/>
        </w:rPr>
        <w:t>ied</w:t>
      </w:r>
      <w:r>
        <w:rPr>
          <w:rStyle w:val="AERbody"/>
        </w:rPr>
        <w:t xml:space="preserve"> TasNetworks' originally reported historical </w:t>
      </w:r>
      <w:r>
        <w:rPr>
          <w:rStyle w:val="AERbody"/>
        </w:rPr>
        <w:lastRenderedPageBreak/>
        <w:t>performance to set the perfo</w:t>
      </w:r>
      <w:r w:rsidR="005E0125">
        <w:rPr>
          <w:rStyle w:val="AERbody"/>
        </w:rPr>
        <w:t>r</w:t>
      </w:r>
      <w:r>
        <w:rPr>
          <w:rStyle w:val="AERbody"/>
        </w:rPr>
        <w:t xml:space="preserve">mance targets as a placeholder. We consider that TasNetworks should clarify </w:t>
      </w:r>
      <w:r w:rsidR="00204AED">
        <w:t xml:space="preserve">this matter </w:t>
      </w:r>
      <w:r w:rsidR="00784614" w:rsidRPr="00784614">
        <w:t xml:space="preserve">in </w:t>
      </w:r>
      <w:r w:rsidR="007E6857">
        <w:t>its</w:t>
      </w:r>
      <w:r w:rsidR="00784614" w:rsidRPr="00784614">
        <w:t xml:space="preserve"> revised proposal</w:t>
      </w:r>
      <w:r w:rsidR="007E6857">
        <w:t>.</w:t>
      </w:r>
      <w:r w:rsidR="00784614" w:rsidRPr="00784614">
        <w:t xml:space="preserve"> </w:t>
      </w:r>
      <w:r w:rsidR="007E6857">
        <w:t>T</w:t>
      </w:r>
      <w:r w:rsidR="00784614" w:rsidRPr="00784614">
        <w:t xml:space="preserve">his will provide transparency to the process as well as enabling TasNetworks adequate time to submit properly verified data to </w:t>
      </w:r>
      <w:r w:rsidR="007E6857">
        <w:t>us</w:t>
      </w:r>
      <w:r w:rsidR="00784614" w:rsidRPr="00784614">
        <w:t xml:space="preserve">. </w:t>
      </w:r>
    </w:p>
    <w:p w:rsidR="0091606A" w:rsidRDefault="00204AED" w:rsidP="00A734E6">
      <w:pPr>
        <w:rPr>
          <w:rStyle w:val="AERbody"/>
        </w:rPr>
      </w:pPr>
      <w:r>
        <w:rPr>
          <w:rStyle w:val="AERbody"/>
        </w:rPr>
        <w:t>Since TasNetworks</w:t>
      </w:r>
      <w:r w:rsidR="007E6857">
        <w:rPr>
          <w:rStyle w:val="AERbody"/>
        </w:rPr>
        <w:t>' capex</w:t>
      </w:r>
      <w:r>
        <w:rPr>
          <w:rStyle w:val="AERbody"/>
        </w:rPr>
        <w:t xml:space="preserve"> for </w:t>
      </w:r>
      <w:r w:rsidR="0091606A">
        <w:rPr>
          <w:rStyle w:val="AERbody"/>
        </w:rPr>
        <w:t>the current and next regulatory control period</w:t>
      </w:r>
      <w:r>
        <w:rPr>
          <w:rStyle w:val="AERbody"/>
        </w:rPr>
        <w:t xml:space="preserve"> do not contain reliability improvement </w:t>
      </w:r>
      <w:r w:rsidR="007E6857">
        <w:rPr>
          <w:rStyle w:val="AERbody"/>
        </w:rPr>
        <w:t>expenditure</w:t>
      </w:r>
      <w:r>
        <w:rPr>
          <w:rStyle w:val="AERbody"/>
        </w:rPr>
        <w:t>, we have not made adjustments to the targets, which are based on the relevant historical average levels.</w:t>
      </w:r>
    </w:p>
    <w:p w:rsidR="0091606A" w:rsidRDefault="0091606A" w:rsidP="00A734E6">
      <w:pPr>
        <w:rPr>
          <w:rStyle w:val="AERbody"/>
        </w:rPr>
      </w:pPr>
      <w:r>
        <w:rPr>
          <w:rStyle w:val="AERbody"/>
        </w:rPr>
        <w:t>We received no submissions from stakeholders regarding the application of TasNetworks performance targets.</w:t>
      </w:r>
    </w:p>
    <w:p w:rsidR="007A30F4" w:rsidRDefault="007358EC" w:rsidP="007A30F4">
      <w:r>
        <w:t>O</w:t>
      </w:r>
      <w:r w:rsidR="007A30F4">
        <w:t>ur calculated p</w:t>
      </w:r>
      <w:r w:rsidR="00A734E6">
        <w:t>erformance targets for TasNetworks for the 2017–19</w:t>
      </w:r>
      <w:r w:rsidR="007A30F4">
        <w:t xml:space="preserve"> regulatory control </w:t>
      </w:r>
      <w:proofErr w:type="gramStart"/>
      <w:r w:rsidR="007A30F4">
        <w:t>period</w:t>
      </w:r>
      <w:proofErr w:type="gramEnd"/>
      <w:r w:rsidR="007A30F4">
        <w:t xml:space="preserve"> are presented in</w:t>
      </w:r>
      <w:r w:rsidR="00454201">
        <w:t xml:space="preserve"> the table below</w:t>
      </w:r>
      <w:r w:rsidR="007E6857">
        <w:t>.</w:t>
      </w:r>
      <w:r w:rsidR="007A30F4">
        <w:t xml:space="preserve"> </w:t>
      </w:r>
    </w:p>
    <w:p w:rsidR="00A734E6" w:rsidRDefault="00A734E6" w:rsidP="00A734E6">
      <w:pPr>
        <w:pStyle w:val="Caption"/>
      </w:pPr>
      <w:r>
        <w:t xml:space="preserve">Table </w:t>
      </w:r>
      <w:r w:rsidRPr="00086019">
        <w:fldChar w:fldCharType="begin"/>
      </w:r>
      <w:r>
        <w:instrText xml:space="preserve"> STYLEREF 1 \s </w:instrText>
      </w:r>
      <w:r w:rsidRPr="00086019">
        <w:fldChar w:fldCharType="separate"/>
      </w:r>
      <w:r w:rsidR="001C5AD6">
        <w:rPr>
          <w:noProof/>
        </w:rPr>
        <w:t>11</w:t>
      </w:r>
      <w:r w:rsidRPr="00086019">
        <w:fldChar w:fldCharType="end"/>
      </w:r>
      <w:r>
        <w:noBreakHyphen/>
      </w:r>
      <w:r w:rsidRPr="00086019">
        <w:fldChar w:fldCharType="begin"/>
      </w:r>
      <w:r>
        <w:instrText xml:space="preserve"> SEQ Table \* ARABIC \s 1 </w:instrText>
      </w:r>
      <w:r w:rsidRPr="00086019">
        <w:fldChar w:fldCharType="separate"/>
      </w:r>
      <w:r w:rsidR="001C5AD6">
        <w:rPr>
          <w:noProof/>
        </w:rPr>
        <w:t>3</w:t>
      </w:r>
      <w:r w:rsidRPr="00086019">
        <w:fldChar w:fldCharType="end"/>
      </w:r>
      <w:r w:rsidRPr="00086019">
        <w:tab/>
      </w:r>
      <w:r>
        <w:t>Draft decision—STPIS reliability targets for TasNetworks for the 2017–19 regulatory period</w:t>
      </w:r>
    </w:p>
    <w:tbl>
      <w:tblPr>
        <w:tblStyle w:val="AERtable-numbers"/>
        <w:tblW w:w="5000" w:type="pct"/>
        <w:tblLook w:val="04A0" w:firstRow="1" w:lastRow="0" w:firstColumn="1" w:lastColumn="0" w:noHBand="0" w:noVBand="1"/>
      </w:tblPr>
      <w:tblGrid>
        <w:gridCol w:w="3769"/>
        <w:gridCol w:w="4924"/>
      </w:tblGrid>
      <w:tr w:rsidR="00A734E6" w:rsidRPr="00670E6D" w:rsidTr="00DF62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A734E6" w:rsidRPr="00670E6D" w:rsidRDefault="00A734E6" w:rsidP="00A734E6">
            <w:pPr>
              <w:pStyle w:val="Tabletext-centred"/>
            </w:pPr>
          </w:p>
        </w:tc>
        <w:tc>
          <w:tcPr>
            <w:tcW w:w="2832" w:type="pct"/>
          </w:tcPr>
          <w:p w:rsidR="00A734E6" w:rsidRPr="00A734E6" w:rsidRDefault="00A734E6" w:rsidP="00A734E6">
            <w:pPr>
              <w:pStyle w:val="AERtabletextright"/>
              <w:cnfStyle w:val="100000000000" w:firstRow="1" w:lastRow="0" w:firstColumn="0" w:lastColumn="0" w:oddVBand="0" w:evenVBand="0" w:oddHBand="0" w:evenHBand="0" w:firstRowFirstColumn="0" w:firstRowLastColumn="0" w:lastRowFirstColumn="0" w:lastRowLastColumn="0"/>
            </w:pPr>
            <w:r w:rsidRPr="00086019">
              <w:t>value</w:t>
            </w:r>
          </w:p>
        </w:tc>
      </w:tr>
      <w:tr w:rsidR="00A734E6"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A734E6" w:rsidRPr="00A734E6" w:rsidRDefault="00A734E6" w:rsidP="00A734E6">
            <w:pPr>
              <w:rPr>
                <w:rStyle w:val="Strong"/>
              </w:rPr>
            </w:pPr>
            <w:r w:rsidRPr="00856AD8">
              <w:rPr>
                <w:rStyle w:val="Strong"/>
              </w:rPr>
              <w:t>Critical Infrastructure</w:t>
            </w:r>
          </w:p>
        </w:tc>
        <w:tc>
          <w:tcPr>
            <w:tcW w:w="2832" w:type="pct"/>
            <w:vAlign w:val="top"/>
          </w:tcPr>
          <w:p w:rsidR="00A734E6" w:rsidRPr="00856AD8" w:rsidRDefault="00A734E6" w:rsidP="00A734E6">
            <w:pPr>
              <w:cnfStyle w:val="000000000000" w:firstRow="0" w:lastRow="0" w:firstColumn="0" w:lastColumn="0" w:oddVBand="0" w:evenVBand="0" w:oddHBand="0" w:evenHBand="0" w:firstRowFirstColumn="0" w:firstRowLastColumn="0" w:lastRowFirstColumn="0" w:lastRowLastColumn="0"/>
            </w:pPr>
          </w:p>
        </w:tc>
      </w:tr>
      <w:tr w:rsidR="00B956F7" w:rsidRPr="00670E6D"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hideMark/>
          </w:tcPr>
          <w:p w:rsidR="00B956F7" w:rsidRPr="00B956F7" w:rsidRDefault="00B956F7" w:rsidP="00B956F7">
            <w:r w:rsidRPr="00856AD8">
              <w:t>SAIDI</w:t>
            </w:r>
          </w:p>
        </w:tc>
        <w:tc>
          <w:tcPr>
            <w:tcW w:w="2832" w:type="pct"/>
            <w:vAlign w:val="top"/>
          </w:tcPr>
          <w:p w:rsidR="00B956F7" w:rsidRPr="00B956F7" w:rsidRDefault="00B956F7" w:rsidP="00B956F7">
            <w:pPr>
              <w:cnfStyle w:val="000000010000" w:firstRow="0" w:lastRow="0" w:firstColumn="0" w:lastColumn="0" w:oddVBand="0" w:evenVBand="0" w:oddHBand="0" w:evenHBand="1" w:firstRowFirstColumn="0" w:firstRowLastColumn="0" w:lastRowFirstColumn="0" w:lastRowLastColumn="0"/>
            </w:pPr>
            <w:r w:rsidRPr="00B956F7">
              <w:t>23.900</w:t>
            </w: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SAIFI</w:t>
            </w:r>
          </w:p>
        </w:tc>
        <w:tc>
          <w:tcPr>
            <w:tcW w:w="2832" w:type="pct"/>
            <w:vAlign w:val="top"/>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rsidRPr="00B956F7">
              <w:t>0.293</w:t>
            </w:r>
          </w:p>
        </w:tc>
      </w:tr>
      <w:tr w:rsidR="00B956F7" w:rsidRPr="00670E6D" w:rsidTr="0083292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pPr>
              <w:rPr>
                <w:rStyle w:val="Strong"/>
              </w:rPr>
            </w:pPr>
            <w:r w:rsidRPr="00856AD8">
              <w:rPr>
                <w:rStyle w:val="Strong"/>
              </w:rPr>
              <w:t>High Density Commercial</w:t>
            </w:r>
          </w:p>
        </w:tc>
        <w:tc>
          <w:tcPr>
            <w:tcW w:w="2832" w:type="pct"/>
          </w:tcPr>
          <w:p w:rsidR="00B956F7" w:rsidRPr="004C501B" w:rsidRDefault="00B956F7" w:rsidP="00B956F7">
            <w:pPr>
              <w:cnfStyle w:val="000000010000" w:firstRow="0" w:lastRow="0" w:firstColumn="0" w:lastColumn="0" w:oddVBand="0" w:evenVBand="0" w:oddHBand="0" w:evenHBand="1" w:firstRowFirstColumn="0" w:firstRowLastColumn="0" w:lastRowFirstColumn="0" w:lastRowLastColumn="0"/>
            </w:pP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SAIDI</w:t>
            </w:r>
          </w:p>
        </w:tc>
        <w:tc>
          <w:tcPr>
            <w:tcW w:w="2832" w:type="pct"/>
            <w:vAlign w:val="top"/>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rsidRPr="00B956F7">
              <w:t>26.068</w:t>
            </w:r>
          </w:p>
        </w:tc>
      </w:tr>
      <w:tr w:rsidR="00B956F7" w:rsidRPr="00670E6D"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SAIFI</w:t>
            </w:r>
          </w:p>
        </w:tc>
        <w:tc>
          <w:tcPr>
            <w:tcW w:w="2832" w:type="pct"/>
            <w:vAlign w:val="top"/>
          </w:tcPr>
          <w:p w:rsidR="00B956F7" w:rsidRPr="00B956F7" w:rsidRDefault="00B956F7" w:rsidP="00B956F7">
            <w:pPr>
              <w:cnfStyle w:val="000000010000" w:firstRow="0" w:lastRow="0" w:firstColumn="0" w:lastColumn="0" w:oddVBand="0" w:evenVBand="0" w:oddHBand="0" w:evenHBand="1" w:firstRowFirstColumn="0" w:firstRowLastColumn="0" w:lastRowFirstColumn="0" w:lastRowLastColumn="0"/>
            </w:pPr>
            <w:r w:rsidRPr="00B956F7">
              <w:t>0.303</w:t>
            </w:r>
          </w:p>
        </w:tc>
      </w:tr>
      <w:tr w:rsidR="00B956F7" w:rsidRPr="00856AD8" w:rsidTr="0083292E">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pPr>
              <w:rPr>
                <w:rStyle w:val="Strong"/>
              </w:rPr>
            </w:pPr>
            <w:r w:rsidRPr="00856AD8">
              <w:rPr>
                <w:rStyle w:val="Strong"/>
              </w:rPr>
              <w:t>Urban</w:t>
            </w:r>
          </w:p>
        </w:tc>
        <w:tc>
          <w:tcPr>
            <w:tcW w:w="2832" w:type="pct"/>
          </w:tcPr>
          <w:p w:rsidR="00B956F7" w:rsidRPr="004C501B" w:rsidRDefault="00B956F7" w:rsidP="00B956F7">
            <w:pPr>
              <w:cnfStyle w:val="000000000000" w:firstRow="0" w:lastRow="0" w:firstColumn="0" w:lastColumn="0" w:oddVBand="0" w:evenVBand="0" w:oddHBand="0" w:evenHBand="0" w:firstRowFirstColumn="0" w:firstRowLastColumn="0" w:lastRowFirstColumn="0" w:lastRowLastColumn="0"/>
              <w:rPr>
                <w:rStyle w:val="Strong"/>
              </w:rPr>
            </w:pPr>
          </w:p>
        </w:tc>
      </w:tr>
      <w:tr w:rsidR="00B956F7" w:rsidRPr="00670E6D"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SAIDI</w:t>
            </w:r>
          </w:p>
        </w:tc>
        <w:tc>
          <w:tcPr>
            <w:tcW w:w="2832" w:type="pct"/>
            <w:vAlign w:val="top"/>
          </w:tcPr>
          <w:p w:rsidR="00B956F7" w:rsidRPr="00B956F7" w:rsidRDefault="00B956F7" w:rsidP="00B956F7">
            <w:pPr>
              <w:cnfStyle w:val="000000010000" w:firstRow="0" w:lastRow="0" w:firstColumn="0" w:lastColumn="0" w:oddVBand="0" w:evenVBand="0" w:oddHBand="0" w:evenHBand="1" w:firstRowFirstColumn="0" w:firstRowLastColumn="0" w:lastRowFirstColumn="0" w:lastRowLastColumn="0"/>
            </w:pPr>
            <w:r w:rsidRPr="00B956F7">
              <w:t>82.589</w:t>
            </w: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SAIFI</w:t>
            </w:r>
          </w:p>
        </w:tc>
        <w:tc>
          <w:tcPr>
            <w:tcW w:w="2832" w:type="pct"/>
            <w:vAlign w:val="top"/>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rsidRPr="00B956F7">
              <w:t>1.027</w:t>
            </w:r>
          </w:p>
        </w:tc>
      </w:tr>
      <w:tr w:rsidR="00B956F7" w:rsidRPr="00856AD8" w:rsidTr="0083292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pPr>
              <w:rPr>
                <w:rStyle w:val="Strong"/>
              </w:rPr>
            </w:pPr>
            <w:r w:rsidRPr="00856AD8">
              <w:rPr>
                <w:rStyle w:val="Strong"/>
              </w:rPr>
              <w:t xml:space="preserve">High </w:t>
            </w:r>
            <w:r w:rsidRPr="00B956F7">
              <w:rPr>
                <w:rStyle w:val="Strong"/>
              </w:rPr>
              <w:t>Density Rural</w:t>
            </w:r>
          </w:p>
        </w:tc>
        <w:tc>
          <w:tcPr>
            <w:tcW w:w="2832" w:type="pct"/>
          </w:tcPr>
          <w:p w:rsidR="00B956F7" w:rsidRPr="004C501B" w:rsidRDefault="00B956F7" w:rsidP="00B956F7">
            <w:pPr>
              <w:cnfStyle w:val="000000010000" w:firstRow="0" w:lastRow="0" w:firstColumn="0" w:lastColumn="0" w:oddVBand="0" w:evenVBand="0" w:oddHBand="0" w:evenHBand="1" w:firstRowFirstColumn="0" w:firstRowLastColumn="0" w:lastRowFirstColumn="0" w:lastRowLastColumn="0"/>
              <w:rPr>
                <w:rStyle w:val="Strong"/>
              </w:rPr>
            </w:pP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SAIDI</w:t>
            </w:r>
          </w:p>
        </w:tc>
        <w:tc>
          <w:tcPr>
            <w:tcW w:w="2832" w:type="pct"/>
            <w:vAlign w:val="top"/>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rsidRPr="00B956F7">
              <w:t>242.015</w:t>
            </w:r>
          </w:p>
        </w:tc>
      </w:tr>
      <w:tr w:rsidR="00B956F7" w:rsidRPr="00670E6D"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SAIFI</w:t>
            </w:r>
          </w:p>
        </w:tc>
        <w:tc>
          <w:tcPr>
            <w:tcW w:w="2832" w:type="pct"/>
            <w:vAlign w:val="top"/>
          </w:tcPr>
          <w:p w:rsidR="00B956F7" w:rsidRPr="00B956F7" w:rsidRDefault="00B956F7" w:rsidP="00B956F7">
            <w:pPr>
              <w:cnfStyle w:val="000000010000" w:firstRow="0" w:lastRow="0" w:firstColumn="0" w:lastColumn="0" w:oddVBand="0" w:evenVBand="0" w:oddHBand="0" w:evenHBand="1" w:firstRowFirstColumn="0" w:firstRowLastColumn="0" w:lastRowFirstColumn="0" w:lastRowLastColumn="0"/>
            </w:pPr>
            <w:r w:rsidRPr="00B956F7">
              <w:t>2.548</w:t>
            </w:r>
          </w:p>
        </w:tc>
      </w:tr>
      <w:tr w:rsidR="00B956F7" w:rsidRPr="00856AD8" w:rsidTr="0083292E">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pPr>
              <w:rPr>
                <w:rStyle w:val="Strong"/>
              </w:rPr>
            </w:pPr>
            <w:r w:rsidRPr="00856AD8">
              <w:rPr>
                <w:rStyle w:val="Strong"/>
              </w:rPr>
              <w:t>Low Density Rural</w:t>
            </w:r>
          </w:p>
        </w:tc>
        <w:tc>
          <w:tcPr>
            <w:tcW w:w="2832" w:type="pct"/>
          </w:tcPr>
          <w:p w:rsidR="00B956F7" w:rsidRPr="004C501B" w:rsidRDefault="00B956F7" w:rsidP="00B956F7">
            <w:pPr>
              <w:cnfStyle w:val="000000000000" w:firstRow="0" w:lastRow="0" w:firstColumn="0" w:lastColumn="0" w:oddVBand="0" w:evenVBand="0" w:oddHBand="0" w:evenHBand="0" w:firstRowFirstColumn="0" w:firstRowLastColumn="0" w:lastRowFirstColumn="0" w:lastRowLastColumn="0"/>
              <w:rPr>
                <w:rStyle w:val="Strong"/>
              </w:rPr>
            </w:pPr>
          </w:p>
        </w:tc>
      </w:tr>
      <w:tr w:rsidR="00B956F7" w:rsidRPr="00670E6D"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SAIDI</w:t>
            </w:r>
          </w:p>
        </w:tc>
        <w:tc>
          <w:tcPr>
            <w:tcW w:w="2832" w:type="pct"/>
            <w:vAlign w:val="top"/>
          </w:tcPr>
          <w:p w:rsidR="00B956F7" w:rsidRPr="00B956F7" w:rsidRDefault="00B956F7" w:rsidP="00B956F7">
            <w:pPr>
              <w:cnfStyle w:val="000000010000" w:firstRow="0" w:lastRow="0" w:firstColumn="0" w:lastColumn="0" w:oddVBand="0" w:evenVBand="0" w:oddHBand="0" w:evenHBand="1" w:firstRowFirstColumn="0" w:firstRowLastColumn="0" w:lastRowFirstColumn="0" w:lastRowLastColumn="0"/>
            </w:pPr>
            <w:r w:rsidRPr="00B956F7">
              <w:t>430.087</w:t>
            </w: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vAlign w:val="top"/>
          </w:tcPr>
          <w:p w:rsidR="00B956F7" w:rsidRPr="00B956F7" w:rsidRDefault="00B956F7" w:rsidP="00B956F7">
            <w:r w:rsidRPr="00856AD8">
              <w:t>SAIFI</w:t>
            </w:r>
          </w:p>
        </w:tc>
        <w:tc>
          <w:tcPr>
            <w:tcW w:w="2832" w:type="pct"/>
            <w:vAlign w:val="top"/>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rsidRPr="00B956F7">
              <w:t>3.378</w:t>
            </w:r>
          </w:p>
        </w:tc>
      </w:tr>
      <w:tr w:rsidR="00B956F7" w:rsidRPr="00856AD8" w:rsidTr="00DF626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B956F7" w:rsidRPr="00B956F7" w:rsidRDefault="00B956F7" w:rsidP="00B956F7">
            <w:pPr>
              <w:pStyle w:val="HeadingOrange"/>
              <w:rPr>
                <w:rStyle w:val="AERtextbolditalics"/>
              </w:rPr>
            </w:pPr>
            <w:r w:rsidRPr="00856AD8">
              <w:rPr>
                <w:rStyle w:val="AERtextbolditalics"/>
              </w:rPr>
              <w:t>Telephone answering</w:t>
            </w:r>
          </w:p>
        </w:tc>
        <w:tc>
          <w:tcPr>
            <w:tcW w:w="2832" w:type="pct"/>
          </w:tcPr>
          <w:p w:rsidR="00B956F7" w:rsidRPr="00856AD8" w:rsidRDefault="00B956F7" w:rsidP="00B956F7">
            <w:pPr>
              <w:pStyle w:val="AERtabletextleft"/>
              <w:cnfStyle w:val="000000010000" w:firstRow="0" w:lastRow="0" w:firstColumn="0" w:lastColumn="0" w:oddVBand="0" w:evenVBand="0" w:oddHBand="0" w:evenHBand="1" w:firstRowFirstColumn="0" w:firstRowLastColumn="0" w:lastRowFirstColumn="0" w:lastRowLastColumn="0"/>
              <w:rPr>
                <w:rStyle w:val="AERtextbolditalics"/>
              </w:rPr>
            </w:pPr>
          </w:p>
        </w:tc>
      </w:tr>
      <w:tr w:rsidR="00B956F7" w:rsidRPr="00670E6D" w:rsidTr="00DF6262">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B956F7" w:rsidRPr="00B956F7" w:rsidRDefault="00B956F7" w:rsidP="00B956F7">
            <w:pPr>
              <w:pStyle w:val="AERtabletextleft"/>
              <w:rPr>
                <w:rStyle w:val="Strong"/>
              </w:rPr>
            </w:pPr>
            <w:r w:rsidRPr="00B956F7">
              <w:rPr>
                <w:rStyle w:val="Strong"/>
              </w:rPr>
              <w:t>Percentage of calls will be answered within 30 seconds</w:t>
            </w:r>
          </w:p>
        </w:tc>
        <w:tc>
          <w:tcPr>
            <w:tcW w:w="2832" w:type="pct"/>
          </w:tcPr>
          <w:p w:rsidR="00B956F7" w:rsidRPr="00B956F7" w:rsidRDefault="00B956F7" w:rsidP="00B956F7">
            <w:pPr>
              <w:cnfStyle w:val="000000000000" w:firstRow="0" w:lastRow="0" w:firstColumn="0" w:lastColumn="0" w:oddVBand="0" w:evenVBand="0" w:oddHBand="0" w:evenHBand="0" w:firstRowFirstColumn="0" w:firstRowLastColumn="0" w:lastRowFirstColumn="0" w:lastRowLastColumn="0"/>
            </w:pPr>
            <w:r>
              <w:t>78</w:t>
            </w:r>
            <w:r w:rsidRPr="00B956F7">
              <w:t>.70</w:t>
            </w:r>
          </w:p>
        </w:tc>
      </w:tr>
    </w:tbl>
    <w:p w:rsidR="00A734E6" w:rsidRDefault="00A734E6" w:rsidP="00A734E6">
      <w:pPr>
        <w:pStyle w:val="AERtablesource"/>
      </w:pPr>
      <w:r>
        <w:lastRenderedPageBreak/>
        <w:t xml:space="preserve">Source: </w:t>
      </w:r>
      <w:r>
        <w:tab/>
        <w:t>AER analysis.</w:t>
      </w:r>
    </w:p>
    <w:p w:rsidR="00A734E6" w:rsidRPr="00A734E6" w:rsidRDefault="00A734E6" w:rsidP="00A734E6">
      <w:pPr>
        <w:pStyle w:val="Heading3"/>
      </w:pPr>
      <w:bookmarkStart w:id="92" w:name="_Toc433038418"/>
      <w:bookmarkStart w:id="93" w:name="_Toc462755219"/>
      <w:r w:rsidRPr="00574E96">
        <w:t>Customer service component</w:t>
      </w:r>
      <w:bookmarkEnd w:id="92"/>
      <w:bookmarkEnd w:id="93"/>
    </w:p>
    <w:p w:rsidR="00A22199" w:rsidRDefault="00A734E6" w:rsidP="00A734E6">
      <w:r>
        <w:t xml:space="preserve">The </w:t>
      </w:r>
      <w:r w:rsidRPr="00574E96">
        <w:t>STPIS customer service target applicable to</w:t>
      </w:r>
      <w:r>
        <w:t xml:space="preserve"> TasNetworks</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A734E6" w:rsidRDefault="00DF6262" w:rsidP="00A734E6">
      <w:r>
        <w:t>We accept TasNetworks</w:t>
      </w:r>
      <w:r w:rsidR="00A734E6">
        <w:t>' customer service targets as it has applied a 5 year's historical average to derived them for the next regulatory control period. This is consistent with our national STPIS.</w:t>
      </w:r>
      <w:r w:rsidR="00A734E6">
        <w:rPr>
          <w:rStyle w:val="FootnoteReference"/>
        </w:rPr>
        <w:footnoteReference w:id="19"/>
      </w:r>
    </w:p>
    <w:p w:rsidR="00ED37A8" w:rsidRPr="00ED37A8" w:rsidRDefault="00ED37A8" w:rsidP="00ED37A8">
      <w:pPr>
        <w:rPr>
          <w:rStyle w:val="AERbody"/>
        </w:rPr>
      </w:pPr>
      <w:r w:rsidRPr="00ED37A8">
        <w:rPr>
          <w:rStyle w:val="AERbody"/>
        </w:rPr>
        <w:t xml:space="preserve">We received no submissions from stakeholders regarding the application of TasNetworks </w:t>
      </w:r>
      <w:r>
        <w:rPr>
          <w:rStyle w:val="AERbody"/>
        </w:rPr>
        <w:t>customer service p</w:t>
      </w:r>
      <w:r w:rsidRPr="00ED37A8">
        <w:rPr>
          <w:rStyle w:val="AERbody"/>
        </w:rPr>
        <w:t>erformance target.</w:t>
      </w:r>
    </w:p>
    <w:p w:rsidR="00DF6262" w:rsidRPr="00DF6262" w:rsidRDefault="00DF6262" w:rsidP="00DF6262">
      <w:pPr>
        <w:pStyle w:val="Heading3"/>
      </w:pPr>
      <w:bookmarkStart w:id="94" w:name="_Toc458762316"/>
      <w:bookmarkStart w:id="95" w:name="_Toc433038419"/>
      <w:bookmarkStart w:id="96" w:name="_Toc462755220"/>
      <w:bookmarkEnd w:id="94"/>
      <w:r w:rsidRPr="007D3DEA">
        <w:t>Incentive rates</w:t>
      </w:r>
      <w:bookmarkEnd w:id="95"/>
      <w:bookmarkEnd w:id="96"/>
    </w:p>
    <w:p w:rsidR="00DF6262" w:rsidRDefault="00DF6262" w:rsidP="004A6AF7">
      <w:r w:rsidRPr="00E51231">
        <w:t xml:space="preserve">The </w:t>
      </w:r>
      <w:r>
        <w:t>incentive rates applicable to TasNetworks</w:t>
      </w:r>
      <w:r w:rsidRPr="00E51231">
        <w:t xml:space="preserve"> for the reliability of supply performance parameters of the STPIS have been calculated in accordance with clause 3.2.2 and using the formulae provided as </w:t>
      </w:r>
      <w:r>
        <w:t>a</w:t>
      </w:r>
      <w:r w:rsidRPr="00E51231">
        <w:t>ppendix B of the National STPIS.</w:t>
      </w:r>
      <w:r>
        <w:t xml:space="preserve"> Our </w:t>
      </w:r>
      <w:r w:rsidR="00ED37A8">
        <w:t>draft</w:t>
      </w:r>
      <w:r>
        <w:t xml:space="preserve"> decision of </w:t>
      </w:r>
      <w:r w:rsidR="00ED37A8">
        <w:t>TasNetworks'</w:t>
      </w:r>
      <w:r>
        <w:t xml:space="preserve"> incentive rates are at </w:t>
      </w:r>
      <w:r>
        <w:fldChar w:fldCharType="begin"/>
      </w:r>
      <w:r>
        <w:instrText xml:space="preserve"> REF _Ref429469844 \h </w:instrText>
      </w:r>
      <w:r w:rsidR="004A6AF7">
        <w:instrText xml:space="preserve"> \* MERGEFORMAT </w:instrText>
      </w:r>
      <w:r>
        <w:fldChar w:fldCharType="separate"/>
      </w:r>
      <w:r w:rsidR="001C5AD6">
        <w:t xml:space="preserve">Table </w:t>
      </w:r>
      <w:r w:rsidR="001C5AD6">
        <w:rPr>
          <w:noProof/>
        </w:rPr>
        <w:t>11</w:t>
      </w:r>
      <w:r w:rsidR="001C5AD6">
        <w:rPr>
          <w:noProof/>
        </w:rPr>
        <w:noBreakHyphen/>
        <w:t>4</w:t>
      </w:r>
      <w:r>
        <w:fldChar w:fldCharType="end"/>
      </w:r>
      <w:r>
        <w:t xml:space="preserve">. </w:t>
      </w:r>
      <w:r w:rsidRPr="002A3A62">
        <w:t xml:space="preserve">The incentive rate for the </w:t>
      </w:r>
      <w:r>
        <w:t xml:space="preserve">customer service component </w:t>
      </w:r>
      <w:r w:rsidRPr="002A3A62">
        <w:t xml:space="preserve">will be </w:t>
      </w:r>
      <w:r w:rsidR="004A6AF7">
        <w:t xml:space="preserve">–0.040 </w:t>
      </w:r>
      <w:r w:rsidRPr="002A3A62">
        <w:t>per cent per unit of the telephone answering parameter.</w:t>
      </w:r>
      <w:r>
        <w:rPr>
          <w:rStyle w:val="FootnoteReference"/>
        </w:rPr>
        <w:footnoteReference w:id="20"/>
      </w:r>
      <w:r>
        <w:t xml:space="preserve"> </w:t>
      </w:r>
    </w:p>
    <w:p w:rsidR="00DF6262" w:rsidRDefault="00DF6262" w:rsidP="00DF6262">
      <w:pPr>
        <w:pStyle w:val="Caption"/>
      </w:pPr>
      <w:bookmarkStart w:id="97" w:name="_Ref429469844"/>
      <w:r>
        <w:t xml:space="preserve">Table </w:t>
      </w:r>
      <w:fldSimple w:instr=" STYLEREF 1 \s ">
        <w:r w:rsidR="001C5AD6">
          <w:rPr>
            <w:noProof/>
          </w:rPr>
          <w:t>11</w:t>
        </w:r>
      </w:fldSimple>
      <w:r>
        <w:noBreakHyphen/>
      </w:r>
      <w:fldSimple w:instr=" SEQ Table \* ARABIC \s 1 ">
        <w:r w:rsidR="001C5AD6">
          <w:rPr>
            <w:noProof/>
          </w:rPr>
          <w:t>4</w:t>
        </w:r>
      </w:fldSimple>
      <w:bookmarkEnd w:id="97"/>
      <w:r w:rsidRPr="00DF6262">
        <w:tab/>
      </w:r>
      <w:r>
        <w:t>Draft</w:t>
      </w:r>
      <w:r w:rsidRPr="00E51231">
        <w:t xml:space="preserve"> decision</w:t>
      </w:r>
      <w:r>
        <w:t>—STPIS i</w:t>
      </w:r>
      <w:r w:rsidRPr="00E51231">
        <w:t xml:space="preserve">ncentive rates </w:t>
      </w:r>
      <w:r>
        <w:t>for TasNetworks</w:t>
      </w:r>
      <w:r w:rsidRPr="00E51231">
        <w:t xml:space="preserve"> </w:t>
      </w:r>
      <w:r>
        <w:t>for the 2017–19 regulatory period</w:t>
      </w:r>
    </w:p>
    <w:tbl>
      <w:tblPr>
        <w:tblStyle w:val="AERtable-numbers"/>
        <w:tblW w:w="5000" w:type="pct"/>
        <w:tblLook w:val="04A0" w:firstRow="1" w:lastRow="0" w:firstColumn="1" w:lastColumn="0" w:noHBand="0" w:noVBand="1"/>
      </w:tblPr>
      <w:tblGrid>
        <w:gridCol w:w="1400"/>
        <w:gridCol w:w="1459"/>
        <w:gridCol w:w="1459"/>
        <w:gridCol w:w="1459"/>
        <w:gridCol w:w="1459"/>
        <w:gridCol w:w="1457"/>
      </w:tblGrid>
      <w:tr w:rsidR="00DF6262" w:rsidRPr="00A946AA" w:rsidTr="000B28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hideMark/>
          </w:tcPr>
          <w:p w:rsidR="00DF6262" w:rsidRPr="00DF6262" w:rsidRDefault="00DF6262" w:rsidP="00DF6262">
            <w:pPr>
              <w:pStyle w:val="Tabletext-centred"/>
            </w:pPr>
            <w:r w:rsidRPr="00DF6262">
              <w:t> </w:t>
            </w:r>
          </w:p>
        </w:tc>
        <w:tc>
          <w:tcPr>
            <w:tcW w:w="839" w:type="pct"/>
            <w:vAlign w:val="top"/>
          </w:tcPr>
          <w:p w:rsidR="00DF6262" w:rsidRPr="00DF6262" w:rsidRDefault="00DF6262" w:rsidP="00DF6262">
            <w:pPr>
              <w:cnfStyle w:val="100000000000" w:firstRow="1" w:lastRow="0" w:firstColumn="0" w:lastColumn="0" w:oddVBand="0" w:evenVBand="0" w:oddHBand="0" w:evenHBand="0" w:firstRowFirstColumn="0" w:firstRowLastColumn="0" w:lastRowFirstColumn="0" w:lastRowLastColumn="0"/>
            </w:pPr>
            <w:r w:rsidRPr="00DF6262">
              <w:t>Critical Infrastructure</w:t>
            </w:r>
          </w:p>
        </w:tc>
        <w:tc>
          <w:tcPr>
            <w:tcW w:w="839" w:type="pct"/>
            <w:vAlign w:val="top"/>
          </w:tcPr>
          <w:p w:rsidR="00DF6262" w:rsidRPr="00DF6262" w:rsidRDefault="00DF6262" w:rsidP="00DF6262">
            <w:pPr>
              <w:cnfStyle w:val="100000000000" w:firstRow="1" w:lastRow="0" w:firstColumn="0" w:lastColumn="0" w:oddVBand="0" w:evenVBand="0" w:oddHBand="0" w:evenHBand="0" w:firstRowFirstColumn="0" w:firstRowLastColumn="0" w:lastRowFirstColumn="0" w:lastRowLastColumn="0"/>
            </w:pPr>
            <w:r w:rsidRPr="00DF6262">
              <w:t>High Density Commercial</w:t>
            </w:r>
          </w:p>
        </w:tc>
        <w:tc>
          <w:tcPr>
            <w:tcW w:w="839" w:type="pct"/>
            <w:vAlign w:val="top"/>
          </w:tcPr>
          <w:p w:rsidR="00DF6262" w:rsidRPr="00DF6262" w:rsidRDefault="00DF6262" w:rsidP="00DF6262">
            <w:pPr>
              <w:cnfStyle w:val="100000000000" w:firstRow="1" w:lastRow="0" w:firstColumn="0" w:lastColumn="0" w:oddVBand="0" w:evenVBand="0" w:oddHBand="0" w:evenHBand="0" w:firstRowFirstColumn="0" w:firstRowLastColumn="0" w:lastRowFirstColumn="0" w:lastRowLastColumn="0"/>
            </w:pPr>
            <w:r w:rsidRPr="00DF6262">
              <w:t>Urban</w:t>
            </w:r>
          </w:p>
        </w:tc>
        <w:tc>
          <w:tcPr>
            <w:tcW w:w="839" w:type="pct"/>
            <w:vAlign w:val="top"/>
            <w:hideMark/>
          </w:tcPr>
          <w:p w:rsidR="00DF6262" w:rsidRPr="00DF6262" w:rsidRDefault="00DF6262" w:rsidP="00DF6262">
            <w:pPr>
              <w:cnfStyle w:val="100000000000" w:firstRow="1" w:lastRow="0" w:firstColumn="0" w:lastColumn="0" w:oddVBand="0" w:evenVBand="0" w:oddHBand="0" w:evenHBand="0" w:firstRowFirstColumn="0" w:firstRowLastColumn="0" w:lastRowFirstColumn="0" w:lastRowLastColumn="0"/>
            </w:pPr>
            <w:r w:rsidRPr="00DF6262">
              <w:t>High Density Rural</w:t>
            </w:r>
          </w:p>
        </w:tc>
        <w:tc>
          <w:tcPr>
            <w:tcW w:w="838" w:type="pct"/>
            <w:vAlign w:val="top"/>
          </w:tcPr>
          <w:p w:rsidR="00DF6262" w:rsidRPr="00DF6262" w:rsidRDefault="00DF6262" w:rsidP="00DF6262">
            <w:pPr>
              <w:cnfStyle w:val="100000000000" w:firstRow="1" w:lastRow="0" w:firstColumn="0" w:lastColumn="0" w:oddVBand="0" w:evenVBand="0" w:oddHBand="0" w:evenHBand="0" w:firstRowFirstColumn="0" w:firstRowLastColumn="0" w:lastRowFirstColumn="0" w:lastRowLastColumn="0"/>
            </w:pPr>
            <w:r w:rsidRPr="00DF6262">
              <w:t>Low Density Rural</w:t>
            </w:r>
          </w:p>
        </w:tc>
      </w:tr>
      <w:tr w:rsidR="000B28BF" w:rsidRPr="000B28BF" w:rsidTr="000B28BF">
        <w:trPr>
          <w:trHeight w:val="465"/>
        </w:trPr>
        <w:tc>
          <w:tcPr>
            <w:cnfStyle w:val="001000000000" w:firstRow="0" w:lastRow="0" w:firstColumn="1" w:lastColumn="0" w:oddVBand="0" w:evenVBand="0" w:oddHBand="0" w:evenHBand="0" w:firstRowFirstColumn="0" w:firstRowLastColumn="0" w:lastRowFirstColumn="0" w:lastRowLastColumn="0"/>
            <w:tcW w:w="805" w:type="pct"/>
            <w:hideMark/>
          </w:tcPr>
          <w:p w:rsidR="000B28BF" w:rsidRPr="0036526B" w:rsidRDefault="000B28BF" w:rsidP="0036526B">
            <w:r w:rsidRPr="0036526B">
              <w:t>SAIDI</w:t>
            </w:r>
          </w:p>
        </w:tc>
        <w:tc>
          <w:tcPr>
            <w:tcW w:w="839" w:type="pct"/>
            <w:vAlign w:val="top"/>
          </w:tcPr>
          <w:p w:rsidR="000B28BF" w:rsidRPr="0036526B" w:rsidRDefault="000B28BF" w:rsidP="0036526B">
            <w:pPr>
              <w:cnfStyle w:val="000000000000" w:firstRow="0" w:lastRow="0" w:firstColumn="0" w:lastColumn="0" w:oddVBand="0" w:evenVBand="0" w:oddHBand="0" w:evenHBand="0" w:firstRowFirstColumn="0" w:firstRowLastColumn="0" w:lastRowFirstColumn="0" w:lastRowLastColumn="0"/>
            </w:pPr>
            <w:r w:rsidRPr="0036526B">
              <w:t>0.0031</w:t>
            </w:r>
          </w:p>
        </w:tc>
        <w:tc>
          <w:tcPr>
            <w:tcW w:w="839" w:type="pct"/>
            <w:vAlign w:val="top"/>
          </w:tcPr>
          <w:p w:rsidR="000B28BF" w:rsidRPr="0036526B" w:rsidRDefault="000B28BF" w:rsidP="0036526B">
            <w:pPr>
              <w:cnfStyle w:val="000000000000" w:firstRow="0" w:lastRow="0" w:firstColumn="0" w:lastColumn="0" w:oddVBand="0" w:evenVBand="0" w:oddHBand="0" w:evenHBand="0" w:firstRowFirstColumn="0" w:firstRowLastColumn="0" w:lastRowFirstColumn="0" w:lastRowLastColumn="0"/>
            </w:pPr>
            <w:r w:rsidRPr="0036526B">
              <w:t>0.0034</w:t>
            </w:r>
          </w:p>
        </w:tc>
        <w:tc>
          <w:tcPr>
            <w:tcW w:w="839" w:type="pct"/>
            <w:vAlign w:val="top"/>
          </w:tcPr>
          <w:p w:rsidR="000B28BF" w:rsidRPr="0036526B" w:rsidRDefault="000B28BF" w:rsidP="0036526B">
            <w:pPr>
              <w:cnfStyle w:val="000000000000" w:firstRow="0" w:lastRow="0" w:firstColumn="0" w:lastColumn="0" w:oddVBand="0" w:evenVBand="0" w:oddHBand="0" w:evenHBand="0" w:firstRowFirstColumn="0" w:firstRowLastColumn="0" w:lastRowFirstColumn="0" w:lastRowLastColumn="0"/>
            </w:pPr>
            <w:r w:rsidRPr="0036526B">
              <w:t>0.0362</w:t>
            </w:r>
          </w:p>
        </w:tc>
        <w:tc>
          <w:tcPr>
            <w:tcW w:w="839" w:type="pct"/>
            <w:vAlign w:val="top"/>
          </w:tcPr>
          <w:p w:rsidR="000B28BF" w:rsidRPr="0036526B" w:rsidRDefault="000B28BF" w:rsidP="0036526B">
            <w:pPr>
              <w:cnfStyle w:val="000000000000" w:firstRow="0" w:lastRow="0" w:firstColumn="0" w:lastColumn="0" w:oddVBand="0" w:evenVBand="0" w:oddHBand="0" w:evenHBand="0" w:firstRowFirstColumn="0" w:firstRowLastColumn="0" w:lastRowFirstColumn="0" w:lastRowLastColumn="0"/>
            </w:pPr>
            <w:r w:rsidRPr="0036526B">
              <w:t>0.0092</w:t>
            </w:r>
          </w:p>
        </w:tc>
        <w:tc>
          <w:tcPr>
            <w:tcW w:w="838" w:type="pct"/>
            <w:vAlign w:val="top"/>
          </w:tcPr>
          <w:p w:rsidR="000B28BF" w:rsidRPr="0036526B" w:rsidRDefault="000B28BF" w:rsidP="0036526B">
            <w:pPr>
              <w:cnfStyle w:val="000000000000" w:firstRow="0" w:lastRow="0" w:firstColumn="0" w:lastColumn="0" w:oddVBand="0" w:evenVBand="0" w:oddHBand="0" w:evenHBand="0" w:firstRowFirstColumn="0" w:firstRowLastColumn="0" w:lastRowFirstColumn="0" w:lastRowLastColumn="0"/>
            </w:pPr>
            <w:r w:rsidRPr="0036526B">
              <w:t>0.0125</w:t>
            </w:r>
          </w:p>
        </w:tc>
      </w:tr>
      <w:tr w:rsidR="000B28BF" w:rsidRPr="000B28BF" w:rsidTr="000B28BF">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5" w:type="pct"/>
          </w:tcPr>
          <w:p w:rsidR="000B28BF" w:rsidRPr="0036526B" w:rsidRDefault="000B28BF" w:rsidP="0036526B">
            <w:r w:rsidRPr="0036526B">
              <w:t>SAIFI</w:t>
            </w:r>
          </w:p>
        </w:tc>
        <w:tc>
          <w:tcPr>
            <w:tcW w:w="839" w:type="pct"/>
            <w:vAlign w:val="top"/>
          </w:tcPr>
          <w:p w:rsidR="000B28BF" w:rsidRPr="0036526B" w:rsidRDefault="000B28BF" w:rsidP="0036526B">
            <w:pPr>
              <w:cnfStyle w:val="000000010000" w:firstRow="0" w:lastRow="0" w:firstColumn="0" w:lastColumn="0" w:oddVBand="0" w:evenVBand="0" w:oddHBand="0" w:evenHBand="1" w:firstRowFirstColumn="0" w:firstRowLastColumn="0" w:lastRowFirstColumn="0" w:lastRowLastColumn="0"/>
            </w:pPr>
            <w:r w:rsidRPr="0036526B">
              <w:t>0.2258</w:t>
            </w:r>
          </w:p>
        </w:tc>
        <w:tc>
          <w:tcPr>
            <w:tcW w:w="839" w:type="pct"/>
            <w:vAlign w:val="top"/>
          </w:tcPr>
          <w:p w:rsidR="000B28BF" w:rsidRPr="0036526B" w:rsidRDefault="000B28BF" w:rsidP="0036526B">
            <w:pPr>
              <w:cnfStyle w:val="000000010000" w:firstRow="0" w:lastRow="0" w:firstColumn="0" w:lastColumn="0" w:oddVBand="0" w:evenVBand="0" w:oddHBand="0" w:evenHBand="1" w:firstRowFirstColumn="0" w:firstRowLastColumn="0" w:lastRowFirstColumn="0" w:lastRowLastColumn="0"/>
            </w:pPr>
            <w:r w:rsidRPr="0036526B">
              <w:t>0.2586</w:t>
            </w:r>
          </w:p>
        </w:tc>
        <w:tc>
          <w:tcPr>
            <w:tcW w:w="839" w:type="pct"/>
            <w:vAlign w:val="top"/>
          </w:tcPr>
          <w:p w:rsidR="000B28BF" w:rsidRPr="0036526B" w:rsidRDefault="000B28BF" w:rsidP="0036526B">
            <w:pPr>
              <w:cnfStyle w:val="000000010000" w:firstRow="0" w:lastRow="0" w:firstColumn="0" w:lastColumn="0" w:oddVBand="0" w:evenVBand="0" w:oddHBand="0" w:evenHBand="1" w:firstRowFirstColumn="0" w:firstRowLastColumn="0" w:lastRowFirstColumn="0" w:lastRowLastColumn="0"/>
            </w:pPr>
            <w:r w:rsidRPr="0036526B">
              <w:t>3.0036</w:t>
            </w:r>
          </w:p>
        </w:tc>
        <w:tc>
          <w:tcPr>
            <w:tcW w:w="839" w:type="pct"/>
            <w:vAlign w:val="top"/>
          </w:tcPr>
          <w:p w:rsidR="000B28BF" w:rsidRPr="0036526B" w:rsidRDefault="000B28BF" w:rsidP="0036526B">
            <w:pPr>
              <w:cnfStyle w:val="000000010000" w:firstRow="0" w:lastRow="0" w:firstColumn="0" w:lastColumn="0" w:oddVBand="0" w:evenVBand="0" w:oddHBand="0" w:evenHBand="1" w:firstRowFirstColumn="0" w:firstRowLastColumn="0" w:lastRowFirstColumn="0" w:lastRowLastColumn="0"/>
            </w:pPr>
            <w:r w:rsidRPr="0036526B">
              <w:t>0.9495</w:t>
            </w:r>
          </w:p>
        </w:tc>
        <w:tc>
          <w:tcPr>
            <w:tcW w:w="838" w:type="pct"/>
            <w:vAlign w:val="top"/>
          </w:tcPr>
          <w:p w:rsidR="000B28BF" w:rsidRPr="0036526B" w:rsidRDefault="000B28BF" w:rsidP="0036526B">
            <w:pPr>
              <w:cnfStyle w:val="000000010000" w:firstRow="0" w:lastRow="0" w:firstColumn="0" w:lastColumn="0" w:oddVBand="0" w:evenVBand="0" w:oddHBand="0" w:evenHBand="1" w:firstRowFirstColumn="0" w:firstRowLastColumn="0" w:lastRowFirstColumn="0" w:lastRowLastColumn="0"/>
            </w:pPr>
            <w:r w:rsidRPr="0036526B">
              <w:t>1.7290</w:t>
            </w:r>
          </w:p>
        </w:tc>
      </w:tr>
    </w:tbl>
    <w:p w:rsidR="00DF6262" w:rsidRDefault="00DF6262" w:rsidP="00DF6262">
      <w:pPr>
        <w:pStyle w:val="AERtablesource"/>
      </w:pPr>
      <w:r w:rsidRPr="004839B3">
        <w:t>Source:</w:t>
      </w:r>
      <w:r w:rsidRPr="004839B3">
        <w:tab/>
      </w:r>
      <w:r>
        <w:t xml:space="preserve">AER analysis </w:t>
      </w:r>
    </w:p>
    <w:p w:rsidR="00CF5092" w:rsidRPr="00436A39" w:rsidRDefault="00CF5092" w:rsidP="00CF5092">
      <w:pPr>
        <w:pStyle w:val="Heading2"/>
      </w:pPr>
      <w:bookmarkStart w:id="98" w:name="_Ref429403542"/>
      <w:bookmarkStart w:id="99" w:name="_Toc433038420"/>
      <w:bookmarkStart w:id="100" w:name="_Toc462755221"/>
      <w:r>
        <w:t>Reasons for not departing from our F&amp;A</w:t>
      </w:r>
      <w:bookmarkEnd w:id="98"/>
      <w:bookmarkEnd w:id="99"/>
      <w:r w:rsidR="00ED37A8">
        <w:t xml:space="preserve"> on revenue at risk</w:t>
      </w:r>
      <w:bookmarkEnd w:id="100"/>
    </w:p>
    <w:p w:rsidR="000C539F" w:rsidRPr="000C539F" w:rsidRDefault="008046C7" w:rsidP="00E32C0B">
      <w:pPr>
        <w:pStyle w:val="Heading3"/>
      </w:pPr>
      <w:bookmarkStart w:id="101" w:name="_Toc462755222"/>
      <w:r>
        <w:t>Level of r</w:t>
      </w:r>
      <w:r w:rsidR="00E32C0B" w:rsidRPr="00E32C0B">
        <w:t>evenue at risk</w:t>
      </w:r>
      <w:bookmarkEnd w:id="101"/>
    </w:p>
    <w:p w:rsidR="00E32C0B" w:rsidRPr="00E32C0B" w:rsidRDefault="00ED37A8" w:rsidP="00ED37A8">
      <w:pPr>
        <w:rPr>
          <w:rStyle w:val="AERbody"/>
        </w:rPr>
      </w:pPr>
      <w:r w:rsidRPr="00ED37A8">
        <w:rPr>
          <w:rStyle w:val="AERbody"/>
        </w:rPr>
        <w:t xml:space="preserve">Revenue at risk, caps the potential reward and penalty for TasNetworks under the STPIS. </w:t>
      </w:r>
      <w:r w:rsidR="00E32C0B" w:rsidRPr="00E32C0B">
        <w:rPr>
          <w:rStyle w:val="AERbody"/>
        </w:rPr>
        <w:t>TasNetworks proposed to lower the revenue at risk to ±2.5 per</w:t>
      </w:r>
      <w:r>
        <w:rPr>
          <w:rStyle w:val="AERbody"/>
        </w:rPr>
        <w:t xml:space="preserve"> </w:t>
      </w:r>
      <w:r w:rsidR="00E32C0B" w:rsidRPr="00E32C0B">
        <w:rPr>
          <w:rStyle w:val="AERbody"/>
        </w:rPr>
        <w:t>cent rather than the standard scheme design of ±5</w:t>
      </w:r>
      <w:r w:rsidR="00A22199">
        <w:rPr>
          <w:rStyle w:val="AERbody"/>
        </w:rPr>
        <w:t>.0</w:t>
      </w:r>
      <w:r w:rsidR="00E32C0B" w:rsidRPr="00E32C0B">
        <w:rPr>
          <w:rStyle w:val="AERbody"/>
        </w:rPr>
        <w:t xml:space="preserve"> per cent on the basis of:</w:t>
      </w:r>
    </w:p>
    <w:p w:rsidR="00E32C0B" w:rsidRDefault="008046C7" w:rsidP="00DB2091">
      <w:pPr>
        <w:pStyle w:val="AERbulletlistfirststyle"/>
        <w:rPr>
          <w:rStyle w:val="AERbody"/>
        </w:rPr>
      </w:pPr>
      <w:r>
        <w:rPr>
          <w:rStyle w:val="AERbody"/>
        </w:rPr>
        <w:lastRenderedPageBreak/>
        <w:t>c</w:t>
      </w:r>
      <w:r w:rsidR="00E32C0B" w:rsidRPr="00E32C0B">
        <w:rPr>
          <w:rStyle w:val="AERbody"/>
        </w:rPr>
        <w:t>ustomers do not want to pay for improvements in reliability</w:t>
      </w:r>
    </w:p>
    <w:p w:rsidR="00E32C0B" w:rsidRPr="00E32C0B" w:rsidRDefault="008046C7" w:rsidP="00DB2091">
      <w:pPr>
        <w:pStyle w:val="AERbulletlistfirststyle"/>
        <w:rPr>
          <w:rStyle w:val="AERbody"/>
        </w:rPr>
      </w:pPr>
      <w:r>
        <w:rPr>
          <w:rStyle w:val="AERbody"/>
        </w:rPr>
        <w:t>c</w:t>
      </w:r>
      <w:r w:rsidR="00E32C0B" w:rsidRPr="00E32C0B">
        <w:rPr>
          <w:rStyle w:val="AERbody"/>
        </w:rPr>
        <w:t>ustomers support measures to</w:t>
      </w:r>
      <w:r>
        <w:rPr>
          <w:rStyle w:val="AERbody"/>
        </w:rPr>
        <w:t xml:space="preserve"> reduce annual price volatility</w:t>
      </w:r>
    </w:p>
    <w:p w:rsidR="00E32C0B" w:rsidRPr="00E32C0B" w:rsidRDefault="007E6857" w:rsidP="00DB2091">
      <w:pPr>
        <w:pStyle w:val="AERbulletlistfirststyle"/>
        <w:rPr>
          <w:rStyle w:val="AERbody"/>
        </w:rPr>
      </w:pPr>
      <w:proofErr w:type="gramStart"/>
      <w:r>
        <w:rPr>
          <w:rStyle w:val="AERbody"/>
        </w:rPr>
        <w:t>the</w:t>
      </w:r>
      <w:proofErr w:type="gramEnd"/>
      <w:r>
        <w:rPr>
          <w:rStyle w:val="AERbody"/>
        </w:rPr>
        <w:t xml:space="preserve"> </w:t>
      </w:r>
      <w:r w:rsidR="00E32C0B" w:rsidRPr="00E32C0B">
        <w:rPr>
          <w:rStyle w:val="AERbody"/>
        </w:rPr>
        <w:t>AER’s proposed rate of revenue at risk in relation to distribution service performance is five times greater than the incentive for transmission services. As TasNetworks is an integrated transmission and distribution business, the interaction between the two schemes needs to be reconsidered.</w:t>
      </w:r>
    </w:p>
    <w:p w:rsidR="00E32C0B" w:rsidRPr="00E32C0B" w:rsidRDefault="00E32C0B" w:rsidP="00DB2091">
      <w:pPr>
        <w:pStyle w:val="AERbulletlistfirststyle"/>
        <w:rPr>
          <w:rStyle w:val="AERbody"/>
        </w:rPr>
      </w:pPr>
      <w:r w:rsidRPr="00E32C0B">
        <w:rPr>
          <w:rStyle w:val="AERbody"/>
        </w:rPr>
        <w:t>the regulatory period is only two years in duration</w:t>
      </w:r>
    </w:p>
    <w:p w:rsidR="00132D43" w:rsidRDefault="007E6857" w:rsidP="00DB2091">
      <w:pPr>
        <w:pStyle w:val="AERbulletlistfirststyle"/>
        <w:rPr>
          <w:rStyle w:val="AERbody"/>
        </w:rPr>
      </w:pPr>
      <w:proofErr w:type="gramStart"/>
      <w:r>
        <w:rPr>
          <w:rStyle w:val="AERbody"/>
        </w:rPr>
        <w:t>the</w:t>
      </w:r>
      <w:proofErr w:type="gramEnd"/>
      <w:r>
        <w:rPr>
          <w:rStyle w:val="AERbody"/>
        </w:rPr>
        <w:t xml:space="preserve"> </w:t>
      </w:r>
      <w:r w:rsidR="00E32C0B" w:rsidRPr="00E32C0B">
        <w:rPr>
          <w:rStyle w:val="AERbody"/>
        </w:rPr>
        <w:t>AER has recently accepted Energex’s and Ergon Energy's proposal to cap revenue at risk under the STPIS at ± 2.0 per cent</w:t>
      </w:r>
      <w:r w:rsidR="00D04377">
        <w:rPr>
          <w:rStyle w:val="AERbody"/>
        </w:rPr>
        <w:t>.</w:t>
      </w:r>
      <w:r w:rsidR="00BA7C60" w:rsidRPr="00D53BAF">
        <w:rPr>
          <w:rStyle w:val="FootnoteReference"/>
        </w:rPr>
        <w:footnoteReference w:id="21"/>
      </w:r>
      <w:r w:rsidR="00E32C0B" w:rsidRPr="00E32C0B">
        <w:rPr>
          <w:rStyle w:val="AERbody"/>
        </w:rPr>
        <w:t xml:space="preserve"> </w:t>
      </w:r>
    </w:p>
    <w:p w:rsidR="00074C34" w:rsidRDefault="00C73DDC" w:rsidP="00074C34">
      <w:r w:rsidRPr="00C73DDC">
        <w:t>Clause 2.5(b) of the STPIS provides that a DNSP may propose a different level of revenue at risk where this would satisfy the objectives of the scheme.</w:t>
      </w:r>
      <w:r>
        <w:t xml:space="preserve"> </w:t>
      </w:r>
      <w:r w:rsidR="00074C34">
        <w:t>We determine</w:t>
      </w:r>
      <w:r w:rsidR="00074C34" w:rsidRPr="00074C34">
        <w:t xml:space="preserve"> that the revenue at risk should remai</w:t>
      </w:r>
      <w:r w:rsidR="00074C34">
        <w:t>n ±</w:t>
      </w:r>
      <w:r w:rsidR="00ED37A8">
        <w:t xml:space="preserve"> </w:t>
      </w:r>
      <w:r w:rsidR="00074C34">
        <w:t>5</w:t>
      </w:r>
      <w:r w:rsidR="00A22199">
        <w:t>.0</w:t>
      </w:r>
      <w:r w:rsidR="00074C34">
        <w:t xml:space="preserve"> per cent of annual </w:t>
      </w:r>
      <w:r w:rsidR="00ED37A8">
        <w:t xml:space="preserve">allowable </w:t>
      </w:r>
      <w:r w:rsidR="00074C34">
        <w:t>revenue</w:t>
      </w:r>
      <w:r w:rsidR="00ED37A8">
        <w:t xml:space="preserve"> because</w:t>
      </w:r>
      <w:r w:rsidR="00074C34">
        <w:t>:</w:t>
      </w:r>
    </w:p>
    <w:p w:rsidR="00E54068" w:rsidRDefault="00E54068" w:rsidP="00E54068">
      <w:pPr>
        <w:pStyle w:val="AERbulletlistfirststyle"/>
      </w:pPr>
      <w:r>
        <w:rPr>
          <w:rStyle w:val="AERbody"/>
        </w:rPr>
        <w:t xml:space="preserve">Due to the two year lag nature of the STPIS between the actual service performance and the </w:t>
      </w:r>
      <w:r w:rsidRPr="00482592">
        <w:rPr>
          <w:rStyle w:val="AERbody"/>
        </w:rPr>
        <w:t>s-factor adjustment of annual revenue</w:t>
      </w:r>
      <w:r>
        <w:rPr>
          <w:rStyle w:val="AERbody"/>
        </w:rPr>
        <w:t xml:space="preserve">, the network tariffs of the forthcoming 2017–19 regulatory years will be subject to SPTIS adjustments based on TasNetworks' actual performance of the 2015/16 and 2016/17 regulatory years of the current regulatory control period––which is subject to the </w:t>
      </w:r>
      <w:r w:rsidRPr="00EE340F">
        <w:rPr>
          <w:rStyle w:val="AERbody"/>
        </w:rPr>
        <w:t>scheme standard ±5</w:t>
      </w:r>
      <w:r>
        <w:rPr>
          <w:rStyle w:val="AERbody"/>
        </w:rPr>
        <w:t>.0</w:t>
      </w:r>
      <w:r w:rsidRPr="00EE340F">
        <w:rPr>
          <w:rStyle w:val="AERbody"/>
        </w:rPr>
        <w:t xml:space="preserve"> per cent </w:t>
      </w:r>
      <w:r>
        <w:rPr>
          <w:rStyle w:val="AERbody"/>
        </w:rPr>
        <w:t>cap. A change to the revenue cap for the forthcoming two year regulatory control period will have no impact on the network tariff for the period.</w:t>
      </w:r>
    </w:p>
    <w:p w:rsidR="00C045E1" w:rsidRDefault="004354D0" w:rsidP="00C045E1">
      <w:pPr>
        <w:pStyle w:val="AERbulletlistfirststyle"/>
      </w:pPr>
      <w:r>
        <w:t xml:space="preserve">TasNetworks is currently subject to the </w:t>
      </w:r>
      <w:r w:rsidRPr="004354D0">
        <w:t>standard ±</w:t>
      </w:r>
      <w:r w:rsidR="00B44CCA">
        <w:t xml:space="preserve"> </w:t>
      </w:r>
      <w:r w:rsidRPr="004354D0">
        <w:t>5</w:t>
      </w:r>
      <w:r w:rsidR="00A3475E">
        <w:t>.0</w:t>
      </w:r>
      <w:r w:rsidRPr="004354D0">
        <w:t xml:space="preserve"> per cent revenue at risk cap </w:t>
      </w:r>
      <w:r>
        <w:t>of</w:t>
      </w:r>
      <w:r w:rsidRPr="004354D0">
        <w:t xml:space="preserve"> the distribution STPIS.</w:t>
      </w:r>
      <w:r w:rsidR="008574BB">
        <w:t xml:space="preserve"> </w:t>
      </w:r>
      <w:r w:rsidR="00E641F8">
        <w:t>O</w:t>
      </w:r>
      <w:r w:rsidR="00C045E1" w:rsidRPr="00C045E1">
        <w:t>ur expenditure incentive schemes encourage a business to pursue efficiency improvements in opex and capex.</w:t>
      </w:r>
      <w:r w:rsidR="00C045E1">
        <w:rPr>
          <w:rStyle w:val="FootnoteReference"/>
        </w:rPr>
        <w:footnoteReference w:id="22"/>
      </w:r>
      <w:r w:rsidR="00C045E1" w:rsidRPr="00C045E1">
        <w:t xml:space="preserve"> The </w:t>
      </w:r>
      <w:r w:rsidR="00C045E1">
        <w:t>STPIS</w:t>
      </w:r>
      <w:r w:rsidR="00C045E1" w:rsidRPr="00C045E1">
        <w:t xml:space="preserve"> incentivises a business to maintain or improve the quality of its services. Our expenditure incentives are balanced with STPIS incentives so a business does not make expenditure savings at the expense of service quality.</w:t>
      </w:r>
      <w:r w:rsidR="00C045E1">
        <w:t xml:space="preserve"> </w:t>
      </w:r>
      <w:r w:rsidR="00B44CCA">
        <w:t>A reduction in the revenue at risk may</w:t>
      </w:r>
      <w:r w:rsidR="004A6AF7">
        <w:t xml:space="preserve"> off-set th</w:t>
      </w:r>
      <w:r w:rsidR="00B44CCA">
        <w:t>is</w:t>
      </w:r>
      <w:r w:rsidR="004A6AF7">
        <w:t xml:space="preserve"> balance and may result in outcomes not in the interest of c</w:t>
      </w:r>
      <w:r w:rsidR="00B44CCA">
        <w:t>onsumers</w:t>
      </w:r>
      <w:r w:rsidR="004A6AF7">
        <w:t>.</w:t>
      </w:r>
    </w:p>
    <w:p w:rsidR="00074C34" w:rsidRDefault="00B44CCA" w:rsidP="00B65164">
      <w:pPr>
        <w:pStyle w:val="AERbulletlistfirststyle"/>
      </w:pPr>
      <w:r>
        <w:t>W</w:t>
      </w:r>
      <w:r w:rsidR="00687669">
        <w:t xml:space="preserve">e </w:t>
      </w:r>
      <w:r>
        <w:t xml:space="preserve">recognise that </w:t>
      </w:r>
      <w:r w:rsidR="00B65164">
        <w:t>TasNetworks</w:t>
      </w:r>
      <w:r>
        <w:t>'</w:t>
      </w:r>
      <w:r w:rsidR="00BE6D91">
        <w:t xml:space="preserve"> customers</w:t>
      </w:r>
      <w:r w:rsidR="00B65164">
        <w:t xml:space="preserve"> </w:t>
      </w:r>
      <w:r>
        <w:t xml:space="preserve">may </w:t>
      </w:r>
      <w:r w:rsidR="00B65164">
        <w:t>not want to pay for improvements in reliability</w:t>
      </w:r>
      <w:r>
        <w:t xml:space="preserve"> but they still want reliability to be maintained</w:t>
      </w:r>
      <w:r w:rsidR="00B65164">
        <w:t xml:space="preserve">. </w:t>
      </w:r>
      <w:r w:rsidR="009858E9">
        <w:t xml:space="preserve">The incentive rates under the scheme for the forthcoming regulatory control period are based on the latest VCR survey findings. Hence, we </w:t>
      </w:r>
      <w:r w:rsidR="00BA7C60">
        <w:t>consider</w:t>
      </w:r>
      <w:r w:rsidR="009858E9">
        <w:t xml:space="preserve"> that the scheme incentive mechanism is reflective of customers' value in terms of reliability outcomes. </w:t>
      </w:r>
      <w:r w:rsidR="00B65164">
        <w:t>Further, we consider that the potential for deterioration in service performance will increase if revenue at risk is reduced under the STPIS</w:t>
      </w:r>
      <w:r w:rsidR="00F5651D">
        <w:t xml:space="preserve">, given that the incentive </w:t>
      </w:r>
      <w:r w:rsidR="008E28CC">
        <w:t xml:space="preserve">to reduce expenditure </w:t>
      </w:r>
      <w:r w:rsidR="00F5651D">
        <w:lastRenderedPageBreak/>
        <w:t xml:space="preserve">under EBSS and CESS </w:t>
      </w:r>
      <w:r w:rsidR="00B75C30">
        <w:t>c</w:t>
      </w:r>
      <w:r w:rsidR="00F5651D">
        <w:t xml:space="preserve">ould outweigh the incentive to </w:t>
      </w:r>
      <w:r w:rsidR="00B75C30">
        <w:t>maintain</w:t>
      </w:r>
      <w:r w:rsidR="00F5651D">
        <w:t xml:space="preserve"> service performance</w:t>
      </w:r>
      <w:r w:rsidR="008E28CC">
        <w:t xml:space="preserve"> under STPIS</w:t>
      </w:r>
      <w:r w:rsidR="0037376B">
        <w:t>.</w:t>
      </w:r>
    </w:p>
    <w:p w:rsidR="004A6AF7" w:rsidRDefault="00B65164" w:rsidP="00B65164">
      <w:pPr>
        <w:pStyle w:val="AERbulletlistfirststyle"/>
      </w:pPr>
      <w:r w:rsidRPr="00B65164">
        <w:t>Regarding the price volatility issue raised by TasNetworks</w:t>
      </w:r>
      <w:r>
        <w:t>, our national STPIS includes a banking mechanism</w:t>
      </w:r>
      <w:r w:rsidR="00B44CCA">
        <w:t xml:space="preserve"> to minimise price shocks. Under this mechanism</w:t>
      </w:r>
      <w:r>
        <w:t xml:space="preserve">, TasNetworks </w:t>
      </w:r>
      <w:r w:rsidR="00B44CCA">
        <w:t xml:space="preserve">may </w:t>
      </w:r>
      <w:r>
        <w:t>delay a portion of the revenue increment or decrement arising from the STPIS to limit price volatility for customers.</w:t>
      </w:r>
      <w:r>
        <w:rPr>
          <w:rStyle w:val="FootnoteReference"/>
        </w:rPr>
        <w:footnoteReference w:id="23"/>
      </w:r>
      <w:r>
        <w:t xml:space="preserve"> </w:t>
      </w:r>
      <w:r w:rsidR="00A2750E">
        <w:t xml:space="preserve">To date, applying </w:t>
      </w:r>
      <w:r w:rsidR="00DB2091">
        <w:t xml:space="preserve">revenue at risk of </w:t>
      </w:r>
      <w:r w:rsidR="00A2750E">
        <w:t>±</w:t>
      </w:r>
      <w:r w:rsidR="00B44CCA">
        <w:t xml:space="preserve"> </w:t>
      </w:r>
      <w:r w:rsidR="00A2750E">
        <w:t>5</w:t>
      </w:r>
      <w:r w:rsidR="00A22199">
        <w:t>.0</w:t>
      </w:r>
      <w:r w:rsidR="00A2750E">
        <w:t xml:space="preserve"> per cen</w:t>
      </w:r>
      <w:r w:rsidR="00664AB3">
        <w:t xml:space="preserve">t </w:t>
      </w:r>
      <w:r w:rsidR="00A2750E">
        <w:t xml:space="preserve">resulted in </w:t>
      </w:r>
      <w:r w:rsidR="00664AB3">
        <w:t xml:space="preserve">an average </w:t>
      </w:r>
      <w:r w:rsidR="004A6AF7">
        <w:t xml:space="preserve">net impact </w:t>
      </w:r>
      <w:r w:rsidR="00BA7C60">
        <w:t xml:space="preserve">to the revenue </w:t>
      </w:r>
      <w:r w:rsidR="004A6AF7">
        <w:t xml:space="preserve">due to </w:t>
      </w:r>
      <w:r w:rsidR="00DB2091">
        <w:t xml:space="preserve">STPIS of </w:t>
      </w:r>
      <w:r w:rsidR="00664AB3">
        <w:t>around 1 per cent. Given that distribution network charge</w:t>
      </w:r>
      <w:r w:rsidR="00DB2091">
        <w:t>s</w:t>
      </w:r>
      <w:r w:rsidR="00664AB3">
        <w:t xml:space="preserve"> accounts around 40 per cent of the final bill, this translates less than 0.5 per cent of the total final electricity bill for an average typical customer.</w:t>
      </w:r>
    </w:p>
    <w:p w:rsidR="009432C6" w:rsidRDefault="009858E9" w:rsidP="00B65164">
      <w:pPr>
        <w:pStyle w:val="AERbulletlistfirststyle"/>
      </w:pPr>
      <w:r>
        <w:t>The latest</w:t>
      </w:r>
      <w:r w:rsidR="00A2750E">
        <w:t xml:space="preserve"> </w:t>
      </w:r>
      <w:r w:rsidR="00DB2091">
        <w:t xml:space="preserve">AEMO </w:t>
      </w:r>
      <w:r w:rsidR="00A2750E">
        <w:t>VCR values</w:t>
      </w:r>
      <w:r w:rsidR="008574BB">
        <w:t xml:space="preserve">, which is </w:t>
      </w:r>
      <w:r w:rsidR="00F815EC">
        <w:t>about 40 per cent</w:t>
      </w:r>
      <w:r w:rsidR="008574BB">
        <w:t xml:space="preserve"> less than the historical value under the standard scheme values,</w:t>
      </w:r>
      <w:r>
        <w:t xml:space="preserve"> </w:t>
      </w:r>
      <w:r w:rsidR="00DB2091">
        <w:t>also minimises the effects of a price shock to customers</w:t>
      </w:r>
      <w:r w:rsidR="009432C6">
        <w:t>. The lower VCR will flow across to TasNetworks' incentive rates thereby lowering reward/</w:t>
      </w:r>
      <w:r w:rsidR="008574BB">
        <w:t>penalty rates per each event and each minute of supply interruptions</w:t>
      </w:r>
      <w:r w:rsidR="009432C6">
        <w:t xml:space="preserve">. </w:t>
      </w:r>
    </w:p>
    <w:p w:rsidR="002D2710" w:rsidRPr="00A3475E" w:rsidRDefault="00B75C30" w:rsidP="002633FF">
      <w:pPr>
        <w:pStyle w:val="AERbulletlistfirststyle"/>
        <w:rPr>
          <w:rStyle w:val="AERbody"/>
        </w:rPr>
      </w:pPr>
      <w:r>
        <w:rPr>
          <w:rStyle w:val="AERbody"/>
        </w:rPr>
        <w:t xml:space="preserve">Regarding the interaction between the transmission STPIS and the distribution STPIS schemes, we do not </w:t>
      </w:r>
      <w:r w:rsidR="00BA7C60">
        <w:rPr>
          <w:rStyle w:val="AERbody"/>
        </w:rPr>
        <w:t>consider</w:t>
      </w:r>
      <w:r>
        <w:rPr>
          <w:rStyle w:val="AERbody"/>
        </w:rPr>
        <w:t xml:space="preserve"> that these two schemes should be linked together; because the two schemes have different purpose and focus </w:t>
      </w:r>
      <w:r w:rsidR="009432C6">
        <w:rPr>
          <w:rStyle w:val="AERbody"/>
        </w:rPr>
        <w:t>in both design and operation</w:t>
      </w:r>
      <w:r w:rsidR="00A3475E">
        <w:rPr>
          <w:rStyle w:val="AERbody"/>
        </w:rPr>
        <w:t xml:space="preserve">. </w:t>
      </w:r>
      <w:r w:rsidR="00687669">
        <w:rPr>
          <w:rStyle w:val="AERbody"/>
        </w:rPr>
        <w:t xml:space="preserve">The distribution STPIS </w:t>
      </w:r>
      <w:r w:rsidR="00780441">
        <w:rPr>
          <w:rStyle w:val="AERbody"/>
        </w:rPr>
        <w:t xml:space="preserve">focuses on direct customer impacts in terms of availability of supply; whereas the </w:t>
      </w:r>
      <w:r w:rsidR="002D2710">
        <w:rPr>
          <w:rStyle w:val="AERbody"/>
        </w:rPr>
        <w:t>transmission STPIS</w:t>
      </w:r>
      <w:r w:rsidR="00780441">
        <w:rPr>
          <w:rStyle w:val="AERbody"/>
        </w:rPr>
        <w:t xml:space="preserve"> focuses on the impact on the wholesales market.</w:t>
      </w:r>
      <w:r>
        <w:rPr>
          <w:rStyle w:val="AERbody"/>
        </w:rPr>
        <w:t xml:space="preserve"> For example, </w:t>
      </w:r>
      <w:r w:rsidR="00FD74DD">
        <w:rPr>
          <w:rStyle w:val="AERbody"/>
        </w:rPr>
        <w:t>90</w:t>
      </w:r>
      <w:r w:rsidR="00FD74DD" w:rsidRPr="00A3475E">
        <w:rPr>
          <w:rStyle w:val="AERbody"/>
        </w:rPr>
        <w:t xml:space="preserve"> </w:t>
      </w:r>
      <w:r w:rsidR="00780441" w:rsidRPr="00A3475E">
        <w:rPr>
          <w:rStyle w:val="AERbody"/>
        </w:rPr>
        <w:t>per cent of</w:t>
      </w:r>
      <w:r w:rsidR="002D2710" w:rsidRPr="00A3475E">
        <w:rPr>
          <w:rStyle w:val="AERbody"/>
        </w:rPr>
        <w:t xml:space="preserve"> </w:t>
      </w:r>
      <w:r w:rsidR="00780441" w:rsidRPr="00A3475E">
        <w:rPr>
          <w:rStyle w:val="AERbody"/>
        </w:rPr>
        <w:t>the distribution scheme</w:t>
      </w:r>
      <w:r w:rsidR="001C5CFD">
        <w:rPr>
          <w:rStyle w:val="AERbody"/>
        </w:rPr>
        <w:t>'s</w:t>
      </w:r>
      <w:r w:rsidR="00780441" w:rsidRPr="00A3475E">
        <w:rPr>
          <w:rStyle w:val="AERbody"/>
        </w:rPr>
        <w:t xml:space="preserve"> </w:t>
      </w:r>
      <w:r w:rsidR="00EE340F" w:rsidRPr="00A3475E">
        <w:rPr>
          <w:rStyle w:val="AERbody"/>
        </w:rPr>
        <w:t xml:space="preserve">incentive mechanism </w:t>
      </w:r>
      <w:r w:rsidR="00780441" w:rsidRPr="00A3475E">
        <w:rPr>
          <w:rStyle w:val="AERbody"/>
        </w:rPr>
        <w:t xml:space="preserve">is on </w:t>
      </w:r>
      <w:r w:rsidR="001C5CFD">
        <w:rPr>
          <w:rStyle w:val="AERbody"/>
        </w:rPr>
        <w:t xml:space="preserve">the </w:t>
      </w:r>
      <w:r w:rsidR="00780441" w:rsidRPr="00A3475E">
        <w:rPr>
          <w:rStyle w:val="AERbody"/>
        </w:rPr>
        <w:t xml:space="preserve">availability of supply and is measured </w:t>
      </w:r>
      <w:r w:rsidR="00EE340F" w:rsidRPr="00A3475E">
        <w:rPr>
          <w:rStyle w:val="AERbody"/>
        </w:rPr>
        <w:t>based up</w:t>
      </w:r>
      <w:r w:rsidR="00780441" w:rsidRPr="00A3475E">
        <w:rPr>
          <w:rStyle w:val="AERbody"/>
        </w:rPr>
        <w:t xml:space="preserve">on the impact </w:t>
      </w:r>
      <w:r w:rsidR="00EE340F" w:rsidRPr="00A3475E">
        <w:rPr>
          <w:rStyle w:val="AERbody"/>
        </w:rPr>
        <w:t>on</w:t>
      </w:r>
      <w:r w:rsidR="00780441" w:rsidRPr="00A3475E">
        <w:rPr>
          <w:rStyle w:val="AERbody"/>
        </w:rPr>
        <w:t xml:space="preserve"> each customer irrespective of </w:t>
      </w:r>
      <w:r w:rsidR="00EE340F" w:rsidRPr="00A3475E">
        <w:rPr>
          <w:rStyle w:val="AERbody"/>
        </w:rPr>
        <w:t>each</w:t>
      </w:r>
      <w:r w:rsidR="00780441" w:rsidRPr="00A3475E">
        <w:rPr>
          <w:rStyle w:val="AERbody"/>
        </w:rPr>
        <w:t xml:space="preserve"> customer's size.</w:t>
      </w:r>
      <w:r w:rsidR="00FD74DD">
        <w:rPr>
          <w:rStyle w:val="FootnoteReference"/>
        </w:rPr>
        <w:footnoteReference w:id="24"/>
      </w:r>
      <w:r w:rsidR="00780441" w:rsidRPr="00A3475E">
        <w:rPr>
          <w:rStyle w:val="AERbody"/>
        </w:rPr>
        <w:t xml:space="preserve"> </w:t>
      </w:r>
      <w:r w:rsidR="00EE340F" w:rsidRPr="00A3475E">
        <w:rPr>
          <w:rStyle w:val="AERbody"/>
        </w:rPr>
        <w:t>By comparison, o</w:t>
      </w:r>
      <w:r w:rsidR="00780441" w:rsidRPr="00A3475E">
        <w:rPr>
          <w:rStyle w:val="AERbody"/>
        </w:rPr>
        <w:t>nly eight per cent of the</w:t>
      </w:r>
      <w:r w:rsidR="0031030C" w:rsidRPr="00A3475E">
        <w:rPr>
          <w:rStyle w:val="AERbody"/>
        </w:rPr>
        <w:t xml:space="preserve"> incentive mechanism under the</w:t>
      </w:r>
      <w:r w:rsidR="00780441" w:rsidRPr="00A3475E">
        <w:rPr>
          <w:rStyle w:val="AERbody"/>
        </w:rPr>
        <w:t xml:space="preserve"> transmission scheme </w:t>
      </w:r>
      <w:r w:rsidR="0031030C" w:rsidRPr="00A3475E">
        <w:rPr>
          <w:rStyle w:val="AERbody"/>
        </w:rPr>
        <w:t xml:space="preserve">relates to </w:t>
      </w:r>
      <w:r w:rsidR="00780441" w:rsidRPr="00A3475E">
        <w:rPr>
          <w:rStyle w:val="AERbody"/>
        </w:rPr>
        <w:t>loss of supply events</w:t>
      </w:r>
      <w:r w:rsidR="0031030C" w:rsidRPr="00A3475E">
        <w:rPr>
          <w:rStyle w:val="AERbody"/>
        </w:rPr>
        <w:t>;</w:t>
      </w:r>
      <w:r w:rsidR="00780441" w:rsidRPr="00A3475E">
        <w:rPr>
          <w:rStyle w:val="AERbody"/>
        </w:rPr>
        <w:t xml:space="preserve"> which is measured based on the </w:t>
      </w:r>
      <w:r w:rsidR="00902E46" w:rsidRPr="00A3475E">
        <w:rPr>
          <w:rStyle w:val="AERbody"/>
        </w:rPr>
        <w:t>impact on the total energy sale</w:t>
      </w:r>
      <w:r w:rsidR="007E5221">
        <w:rPr>
          <w:rStyle w:val="AERbody"/>
        </w:rPr>
        <w:t>s</w:t>
      </w:r>
      <w:r w:rsidR="00902E46" w:rsidRPr="00A3475E">
        <w:rPr>
          <w:rStyle w:val="AERbody"/>
        </w:rPr>
        <w:t xml:space="preserve"> of the TNSP (rather than the number of end users––in other words </w:t>
      </w:r>
      <w:r w:rsidR="001C5CFD">
        <w:rPr>
          <w:rStyle w:val="AERbody"/>
        </w:rPr>
        <w:t xml:space="preserve">a </w:t>
      </w:r>
      <w:r w:rsidR="00902E46" w:rsidRPr="00A3475E">
        <w:rPr>
          <w:rStyle w:val="AERbody"/>
        </w:rPr>
        <w:t xml:space="preserve">one minute outage </w:t>
      </w:r>
      <w:r w:rsidR="001C5CFD">
        <w:rPr>
          <w:rStyle w:val="AERbody"/>
        </w:rPr>
        <w:t>at</w:t>
      </w:r>
      <w:r w:rsidR="00902E46" w:rsidRPr="00A3475E">
        <w:rPr>
          <w:rStyle w:val="AERbody"/>
        </w:rPr>
        <w:t xml:space="preserve"> the Bell Bay </w:t>
      </w:r>
      <w:r w:rsidR="0031030C" w:rsidRPr="00A3475E">
        <w:rPr>
          <w:rStyle w:val="AERbody"/>
        </w:rPr>
        <w:t>Aluminium s</w:t>
      </w:r>
      <w:r w:rsidR="00902E46" w:rsidRPr="00A3475E">
        <w:rPr>
          <w:rStyle w:val="AERbody"/>
        </w:rPr>
        <w:t>melter</w:t>
      </w:r>
      <w:r w:rsidR="003232C8">
        <w:rPr>
          <w:rStyle w:val="AERbody"/>
        </w:rPr>
        <w:t xml:space="preserve"> </w:t>
      </w:r>
      <w:r w:rsidR="001C5CFD">
        <w:rPr>
          <w:rStyle w:val="AERbody"/>
        </w:rPr>
        <w:t>(</w:t>
      </w:r>
      <w:r w:rsidR="003232C8">
        <w:rPr>
          <w:rStyle w:val="AERbody"/>
        </w:rPr>
        <w:t>when operating at full capacity</w:t>
      </w:r>
      <w:r w:rsidR="001C5CFD">
        <w:rPr>
          <w:rStyle w:val="AERbody"/>
        </w:rPr>
        <w:t>)</w:t>
      </w:r>
      <w:r w:rsidR="003232C8">
        <w:rPr>
          <w:rStyle w:val="AERbody"/>
        </w:rPr>
        <w:t xml:space="preserve"> </w:t>
      </w:r>
      <w:r w:rsidR="0031030C" w:rsidRPr="00A3475E">
        <w:rPr>
          <w:rStyle w:val="AERbody"/>
        </w:rPr>
        <w:t xml:space="preserve">is equivalent to </w:t>
      </w:r>
      <w:r w:rsidR="003F0A65" w:rsidRPr="00A3475E">
        <w:rPr>
          <w:rStyle w:val="AERbody"/>
        </w:rPr>
        <w:t xml:space="preserve">one minute outages of about </w:t>
      </w:r>
      <w:r w:rsidR="004354D0" w:rsidRPr="00A3475E">
        <w:rPr>
          <w:rStyle w:val="AERbody"/>
        </w:rPr>
        <w:t>70,000</w:t>
      </w:r>
      <w:r w:rsidR="0031030C" w:rsidRPr="00A3475E">
        <w:rPr>
          <w:rStyle w:val="AERbody"/>
        </w:rPr>
        <w:t xml:space="preserve"> average </w:t>
      </w:r>
      <w:r w:rsidR="004354D0" w:rsidRPr="00A3475E">
        <w:rPr>
          <w:rStyle w:val="AERbody"/>
        </w:rPr>
        <w:t xml:space="preserve">Tasmanian </w:t>
      </w:r>
      <w:r w:rsidR="001C5CFD">
        <w:rPr>
          <w:rStyle w:val="AERbody"/>
        </w:rPr>
        <w:t xml:space="preserve">retail </w:t>
      </w:r>
      <w:r w:rsidR="0031030C" w:rsidRPr="00A3475E">
        <w:rPr>
          <w:rStyle w:val="AERbody"/>
        </w:rPr>
        <w:t>customers</w:t>
      </w:r>
      <w:r w:rsidR="00902E46" w:rsidRPr="00A3475E">
        <w:rPr>
          <w:rStyle w:val="AERbody"/>
        </w:rPr>
        <w:t>)</w:t>
      </w:r>
      <w:r w:rsidR="0031030C" w:rsidRPr="00A3475E">
        <w:rPr>
          <w:rStyle w:val="AERbody"/>
        </w:rPr>
        <w:t>.</w:t>
      </w:r>
      <w:r w:rsidR="00A3475E">
        <w:rPr>
          <w:rStyle w:val="FootnoteReference"/>
        </w:rPr>
        <w:footnoteReference w:id="25"/>
      </w:r>
      <w:r w:rsidR="00902E46" w:rsidRPr="00A3475E">
        <w:rPr>
          <w:rStyle w:val="AERbody"/>
        </w:rPr>
        <w:t xml:space="preserve"> </w:t>
      </w:r>
      <w:r w:rsidR="0031030C" w:rsidRPr="00A3475E">
        <w:rPr>
          <w:rStyle w:val="AERbody"/>
        </w:rPr>
        <w:t xml:space="preserve"> </w:t>
      </w:r>
    </w:p>
    <w:p w:rsidR="001966F5" w:rsidRPr="00A3475E" w:rsidRDefault="001966F5" w:rsidP="00BA7C60">
      <w:pPr>
        <w:pStyle w:val="ListContinue"/>
        <w:rPr>
          <w:rStyle w:val="AERbody"/>
        </w:rPr>
      </w:pPr>
      <w:r w:rsidRPr="00A3475E">
        <w:rPr>
          <w:rStyle w:val="AERbody"/>
        </w:rPr>
        <w:t xml:space="preserve">AusNet Services in Victoria also has an integrated distribution and transmission services </w:t>
      </w:r>
      <w:r w:rsidR="0031030C" w:rsidRPr="00A3475E">
        <w:rPr>
          <w:rStyle w:val="AERbody"/>
        </w:rPr>
        <w:t xml:space="preserve">and </w:t>
      </w:r>
      <w:r w:rsidR="001C5CFD">
        <w:rPr>
          <w:rStyle w:val="AERbody"/>
        </w:rPr>
        <w:t xml:space="preserve">is </w:t>
      </w:r>
      <w:r w:rsidR="0031030C" w:rsidRPr="00A3475E">
        <w:rPr>
          <w:rStyle w:val="AERbody"/>
        </w:rPr>
        <w:t xml:space="preserve">subject to both the transmission and distribution SPTIS. AusNet Services currently has a </w:t>
      </w:r>
      <w:r w:rsidR="00EE340F" w:rsidRPr="00A3475E">
        <w:rPr>
          <w:rStyle w:val="AERbody"/>
        </w:rPr>
        <w:t xml:space="preserve">scheme standard </w:t>
      </w:r>
      <w:r w:rsidR="0031030C" w:rsidRPr="00A3475E">
        <w:rPr>
          <w:rStyle w:val="AERbody"/>
        </w:rPr>
        <w:t>±5</w:t>
      </w:r>
      <w:r w:rsidR="00A22199" w:rsidRPr="00A3475E">
        <w:rPr>
          <w:rStyle w:val="AERbody"/>
        </w:rPr>
        <w:t>.0</w:t>
      </w:r>
      <w:r w:rsidR="0031030C" w:rsidRPr="00A3475E">
        <w:rPr>
          <w:rStyle w:val="AERbody"/>
        </w:rPr>
        <w:t xml:space="preserve"> per cent revenue at risk cap under the distribution STPIS. It </w:t>
      </w:r>
      <w:r w:rsidRPr="00A3475E">
        <w:rPr>
          <w:rStyle w:val="AERbody"/>
        </w:rPr>
        <w:t xml:space="preserve">has </w:t>
      </w:r>
      <w:r w:rsidR="0031030C" w:rsidRPr="00A3475E">
        <w:rPr>
          <w:rStyle w:val="AERbody"/>
        </w:rPr>
        <w:t xml:space="preserve">not </w:t>
      </w:r>
      <w:r w:rsidRPr="00A3475E">
        <w:rPr>
          <w:rStyle w:val="AERbody"/>
        </w:rPr>
        <w:t xml:space="preserve">raised </w:t>
      </w:r>
      <w:r w:rsidR="00EE340F" w:rsidRPr="00A3475E">
        <w:rPr>
          <w:rStyle w:val="AERbody"/>
        </w:rPr>
        <w:t xml:space="preserve">concerns about </w:t>
      </w:r>
      <w:r w:rsidR="007E5221">
        <w:rPr>
          <w:rStyle w:val="AERbody"/>
        </w:rPr>
        <w:t xml:space="preserve">different </w:t>
      </w:r>
      <w:r w:rsidR="000E7288" w:rsidRPr="00A3475E">
        <w:rPr>
          <w:rStyle w:val="AERbody"/>
        </w:rPr>
        <w:t xml:space="preserve">revenue </w:t>
      </w:r>
      <w:r w:rsidR="00EE340F" w:rsidRPr="00A3475E">
        <w:rPr>
          <w:rStyle w:val="AERbody"/>
        </w:rPr>
        <w:t>cap</w:t>
      </w:r>
      <w:r w:rsidR="007E5221">
        <w:rPr>
          <w:rStyle w:val="AERbody"/>
        </w:rPr>
        <w:t xml:space="preserve">s under the different </w:t>
      </w:r>
      <w:r w:rsidR="001C5CFD">
        <w:rPr>
          <w:rStyle w:val="AERbody"/>
        </w:rPr>
        <w:t xml:space="preserve">STPIS </w:t>
      </w:r>
      <w:r w:rsidR="007E5221">
        <w:rPr>
          <w:rStyle w:val="AERbody"/>
        </w:rPr>
        <w:t xml:space="preserve">schemes for </w:t>
      </w:r>
      <w:r w:rsidR="00EE340F" w:rsidRPr="00A3475E">
        <w:rPr>
          <w:rStyle w:val="AERbody"/>
        </w:rPr>
        <w:t xml:space="preserve">distribution </w:t>
      </w:r>
      <w:r w:rsidR="007E5221">
        <w:rPr>
          <w:rStyle w:val="AERbody"/>
        </w:rPr>
        <w:t>and transmission</w:t>
      </w:r>
      <w:r w:rsidRPr="00A3475E">
        <w:rPr>
          <w:rStyle w:val="AERbody"/>
        </w:rPr>
        <w:t xml:space="preserve">.  </w:t>
      </w:r>
    </w:p>
    <w:p w:rsidR="00A2309E" w:rsidRDefault="000E7288" w:rsidP="002C079A">
      <w:pPr>
        <w:pStyle w:val="AERbulletlistfirststyle"/>
      </w:pPr>
      <w:r>
        <w:lastRenderedPageBreak/>
        <w:t xml:space="preserve">Our decision to apply lower revenue at risk for Queensland </w:t>
      </w:r>
      <w:r w:rsidR="002B5D94">
        <w:t>DNSPs</w:t>
      </w:r>
      <w:r>
        <w:t xml:space="preserve"> was due to</w:t>
      </w:r>
      <w:r w:rsidR="007E6857">
        <w:t xml:space="preserve"> the</w:t>
      </w:r>
      <w:r w:rsidR="002C079A">
        <w:t xml:space="preserve"> NER </w:t>
      </w:r>
      <w:r>
        <w:t xml:space="preserve">that </w:t>
      </w:r>
      <w:r w:rsidR="002C079A" w:rsidRPr="002C079A">
        <w:t xml:space="preserve">imposed </w:t>
      </w:r>
      <w:r w:rsidR="00A2309E">
        <w:t xml:space="preserve">1 </w:t>
      </w:r>
      <w:r w:rsidR="00A2309E" w:rsidRPr="00A2309E">
        <w:t>and 2 per cent of revenue at risk</w:t>
      </w:r>
      <w:r w:rsidR="00A2309E">
        <w:t>.</w:t>
      </w:r>
      <w:r w:rsidR="00A2309E">
        <w:rPr>
          <w:rStyle w:val="FootnoteReference"/>
        </w:rPr>
        <w:footnoteReference w:id="26"/>
      </w:r>
      <w:r w:rsidR="002C079A">
        <w:t xml:space="preserve"> </w:t>
      </w:r>
      <w:r w:rsidR="007E5221">
        <w:t xml:space="preserve">This was the first time we applied the scheme. </w:t>
      </w:r>
      <w:r>
        <w:t xml:space="preserve">We </w:t>
      </w:r>
      <w:r w:rsidR="00A2309E">
        <w:t xml:space="preserve">continued to apply </w:t>
      </w:r>
      <w:r w:rsidR="00A2309E" w:rsidRPr="002B5D94">
        <w:t>± 2 per cent of revenue at risk</w:t>
      </w:r>
      <w:r w:rsidR="00A2309E">
        <w:t xml:space="preserve"> for the 2016–21 regulatory period given that no issue was raised against it. </w:t>
      </w:r>
    </w:p>
    <w:p w:rsidR="00BE6D91" w:rsidRDefault="00A2309E" w:rsidP="00A2309E">
      <w:pPr>
        <w:pStyle w:val="AERbulletlistfirststyle"/>
      </w:pPr>
      <w:r>
        <w:t>For TasNetworks,</w:t>
      </w:r>
      <w:r w:rsidR="007B6210">
        <w:t xml:space="preserve"> we</w:t>
      </w:r>
      <w:r>
        <w:t xml:space="preserve"> determined</w:t>
      </w:r>
      <w:r w:rsidRPr="00A2309E">
        <w:t xml:space="preserve"> that the revenue at risk should </w:t>
      </w:r>
      <w:r w:rsidR="0054728E">
        <w:t xml:space="preserve">be </w:t>
      </w:r>
      <w:r>
        <w:t>±5</w:t>
      </w:r>
      <w:r w:rsidR="00A22199">
        <w:t>.0</w:t>
      </w:r>
      <w:r>
        <w:t xml:space="preserve"> per cent for the 2012–17 regulatory period</w:t>
      </w:r>
      <w:r w:rsidR="007B6210">
        <w:t xml:space="preserve"> because it</w:t>
      </w:r>
      <w:r>
        <w:t xml:space="preserve"> </w:t>
      </w:r>
      <w:r w:rsidRPr="00A2309E">
        <w:t>mitigate</w:t>
      </w:r>
      <w:r w:rsidR="007B6210">
        <w:t>d</w:t>
      </w:r>
      <w:r w:rsidRPr="00A2309E">
        <w:t xml:space="preserve"> the risk of </w:t>
      </w:r>
      <w:r>
        <w:t>the scheme to Tas</w:t>
      </w:r>
      <w:r w:rsidR="00C92A54">
        <w:t>N</w:t>
      </w:r>
      <w:r>
        <w:t>etworks</w:t>
      </w:r>
      <w:r w:rsidR="007B6210">
        <w:t>. It also</w:t>
      </w:r>
      <w:r w:rsidRPr="00A2309E">
        <w:t xml:space="preserve"> provide</w:t>
      </w:r>
      <w:r w:rsidR="007B6210">
        <w:t>d</w:t>
      </w:r>
      <w:r w:rsidRPr="00A2309E">
        <w:t xml:space="preserve"> a stronger incentive for </w:t>
      </w:r>
      <w:r>
        <w:t xml:space="preserve">TasNetworks </w:t>
      </w:r>
      <w:r w:rsidRPr="00A2309E">
        <w:t xml:space="preserve">to </w:t>
      </w:r>
      <w:r w:rsidR="007B6F5B">
        <w:t xml:space="preserve">at least </w:t>
      </w:r>
      <w:r w:rsidRPr="00A2309E">
        <w:t xml:space="preserve">maintain </w:t>
      </w:r>
      <w:r w:rsidR="007B6210">
        <w:t xml:space="preserve">network reliability </w:t>
      </w:r>
      <w:r w:rsidRPr="00A2309E">
        <w:t>performance.</w:t>
      </w:r>
      <w:r>
        <w:rPr>
          <w:rStyle w:val="FootnoteReference"/>
        </w:rPr>
        <w:footnoteReference w:id="27"/>
      </w:r>
    </w:p>
    <w:p w:rsidR="008046C7" w:rsidRPr="008046C7" w:rsidRDefault="008046C7" w:rsidP="008046C7">
      <w:pPr>
        <w:pStyle w:val="AERbulletlistfirststyle"/>
        <w:numPr>
          <w:ilvl w:val="0"/>
          <w:numId w:val="0"/>
        </w:numPr>
      </w:pPr>
      <w:r w:rsidRPr="008046C7">
        <w:t xml:space="preserve">We specifically consulted in the Issues </w:t>
      </w:r>
      <w:r w:rsidR="0054728E">
        <w:t>P</w:t>
      </w:r>
      <w:r w:rsidRPr="008046C7">
        <w:t>aper on TasNetworks' proposal to depart from the F&amp;A position, for lowering the revenue at risk to ± 2.5 per cent.</w:t>
      </w:r>
      <w:r w:rsidRPr="008046C7">
        <w:rPr>
          <w:rStyle w:val="FootnoteReference"/>
        </w:rPr>
        <w:footnoteReference w:id="28"/>
      </w:r>
      <w:r w:rsidRPr="008046C7">
        <w:t xml:space="preserve"> Three submissions </w:t>
      </w:r>
      <w:r w:rsidR="007B6210">
        <w:t>were</w:t>
      </w:r>
      <w:r w:rsidRPr="008046C7">
        <w:t xml:space="preserve"> received from the stakeholders, </w:t>
      </w:r>
      <w:r w:rsidR="007B6F5B">
        <w:t>none of which</w:t>
      </w:r>
      <w:r w:rsidR="0054728E">
        <w:t xml:space="preserve"> </w:t>
      </w:r>
      <w:r w:rsidR="006C59CB">
        <w:t>support</w:t>
      </w:r>
      <w:r w:rsidR="007E6857">
        <w:t>ed</w:t>
      </w:r>
      <w:r w:rsidR="006C59CB">
        <w:t xml:space="preserve"> </w:t>
      </w:r>
      <w:r w:rsidR="0054728E">
        <w:t xml:space="preserve">TasNetworks' proposal </w:t>
      </w:r>
      <w:r w:rsidR="00FF10E8">
        <w:t>on the basis that:</w:t>
      </w:r>
      <w:r w:rsidRPr="008046C7">
        <w:rPr>
          <w:rStyle w:val="FootnoteReference"/>
        </w:rPr>
        <w:footnoteReference w:id="29"/>
      </w:r>
      <w:r w:rsidRPr="008046C7">
        <w:t xml:space="preserve"> </w:t>
      </w:r>
    </w:p>
    <w:p w:rsidR="003C7880" w:rsidRDefault="00442B0E" w:rsidP="00442B0E">
      <w:pPr>
        <w:pStyle w:val="AERbulletlistfirststyle"/>
        <w:rPr>
          <w:rStyle w:val="AERbody"/>
        </w:rPr>
      </w:pPr>
      <w:proofErr w:type="gramStart"/>
      <w:r>
        <w:rPr>
          <w:rStyle w:val="AERbody"/>
        </w:rPr>
        <w:t>a</w:t>
      </w:r>
      <w:proofErr w:type="gramEnd"/>
      <w:r>
        <w:rPr>
          <w:rStyle w:val="AERbody"/>
        </w:rPr>
        <w:t xml:space="preserve"> </w:t>
      </w:r>
      <w:r w:rsidRPr="00442B0E">
        <w:rPr>
          <w:rStyle w:val="AERbody"/>
        </w:rPr>
        <w:t>revenue at risk</w:t>
      </w:r>
      <w:r>
        <w:rPr>
          <w:rStyle w:val="AERbody"/>
        </w:rPr>
        <w:t xml:space="preserve"> of </w:t>
      </w:r>
      <w:r w:rsidRPr="00442B0E">
        <w:rPr>
          <w:rStyle w:val="AERbody"/>
        </w:rPr>
        <w:t>±</w:t>
      </w:r>
      <w:r>
        <w:rPr>
          <w:rStyle w:val="AERbody"/>
        </w:rPr>
        <w:t>5</w:t>
      </w:r>
      <w:r w:rsidR="00A22199">
        <w:rPr>
          <w:rStyle w:val="AERbody"/>
        </w:rPr>
        <w:t>.0</w:t>
      </w:r>
      <w:r>
        <w:rPr>
          <w:rStyle w:val="AERbody"/>
        </w:rPr>
        <w:t xml:space="preserve"> per cent, together with the jurisdictional GSL, provides significant incentive to maintain and improve levels of reliabili</w:t>
      </w:r>
      <w:r w:rsidR="002A41BB">
        <w:rPr>
          <w:rStyle w:val="AERbody"/>
        </w:rPr>
        <w:t>t</w:t>
      </w:r>
      <w:r>
        <w:rPr>
          <w:rStyle w:val="AERbody"/>
        </w:rPr>
        <w:t>y</w:t>
      </w:r>
      <w:r w:rsidR="00645E66">
        <w:rPr>
          <w:rStyle w:val="AERbody"/>
        </w:rPr>
        <w:t>.</w:t>
      </w:r>
      <w:r w:rsidR="00C726CB" w:rsidRPr="008046C7">
        <w:rPr>
          <w:rStyle w:val="FootnoteReference"/>
        </w:rPr>
        <w:footnoteReference w:id="30"/>
      </w:r>
    </w:p>
    <w:p w:rsidR="00442B0E" w:rsidRDefault="003C7880" w:rsidP="003C7880">
      <w:pPr>
        <w:pStyle w:val="AERbulletlistfirststyle"/>
        <w:rPr>
          <w:rStyle w:val="AERbody"/>
        </w:rPr>
      </w:pPr>
      <w:proofErr w:type="gramStart"/>
      <w:r>
        <w:rPr>
          <w:rStyle w:val="AERbody"/>
        </w:rPr>
        <w:t>a</w:t>
      </w:r>
      <w:proofErr w:type="gramEnd"/>
      <w:r>
        <w:rPr>
          <w:rStyle w:val="AERbody"/>
        </w:rPr>
        <w:t xml:space="preserve"> reduction on the revenue at risk will change the balance of the suite of incentive schemes ( such as EBSS and CESS)</w:t>
      </w:r>
      <w:r w:rsidR="00645E66">
        <w:rPr>
          <w:rStyle w:val="AERbody"/>
        </w:rPr>
        <w:t>.</w:t>
      </w:r>
      <w:r w:rsidR="00C726CB" w:rsidRPr="008046C7">
        <w:rPr>
          <w:rStyle w:val="FootnoteReference"/>
        </w:rPr>
        <w:footnoteReference w:id="31"/>
      </w:r>
      <w:r w:rsidR="00C726CB" w:rsidRPr="008046C7">
        <w:t xml:space="preserve"> </w:t>
      </w:r>
      <w:r w:rsidR="00442B0E">
        <w:rPr>
          <w:rStyle w:val="AERbody"/>
        </w:rPr>
        <w:t xml:space="preserve"> </w:t>
      </w:r>
    </w:p>
    <w:p w:rsidR="008046C7" w:rsidRDefault="003C7880" w:rsidP="006C59CB">
      <w:pPr>
        <w:pStyle w:val="AERbulletlistfirststyle"/>
        <w:rPr>
          <w:rStyle w:val="AERbody"/>
        </w:rPr>
      </w:pPr>
      <w:r>
        <w:rPr>
          <w:rStyle w:val="AERbody"/>
        </w:rPr>
        <w:t xml:space="preserve">there should not be a lesser penalty for reduced reliability as consumers do not </w:t>
      </w:r>
      <w:r w:rsidR="006C59CB">
        <w:t>want to see cost savings achieved at the expense of service provision</w:t>
      </w:r>
      <w:r w:rsidR="00C726CB" w:rsidRPr="008046C7">
        <w:rPr>
          <w:rStyle w:val="FootnoteReference"/>
        </w:rPr>
        <w:footnoteReference w:id="32"/>
      </w:r>
    </w:p>
    <w:p w:rsidR="002C2448" w:rsidRDefault="00A55100" w:rsidP="00A55100">
      <w:pPr>
        <w:pStyle w:val="AERbulletlistfirststyle"/>
        <w:rPr>
          <w:rStyle w:val="AERbody"/>
        </w:rPr>
      </w:pPr>
      <w:proofErr w:type="gramStart"/>
      <w:r>
        <w:rPr>
          <w:rStyle w:val="AERbody"/>
        </w:rPr>
        <w:t>the</w:t>
      </w:r>
      <w:proofErr w:type="gramEnd"/>
      <w:r>
        <w:rPr>
          <w:rStyle w:val="AERbody"/>
        </w:rPr>
        <w:t xml:space="preserve"> </w:t>
      </w:r>
      <w:r w:rsidRPr="00A55100">
        <w:rPr>
          <w:rStyle w:val="AERbody"/>
        </w:rPr>
        <w:t>argume</w:t>
      </w:r>
      <w:r>
        <w:rPr>
          <w:rStyle w:val="AERbody"/>
        </w:rPr>
        <w:t xml:space="preserve">nt for greater price stability </w:t>
      </w:r>
      <w:r w:rsidR="00442B0E">
        <w:rPr>
          <w:rStyle w:val="AERbody"/>
        </w:rPr>
        <w:t xml:space="preserve">achieved through </w:t>
      </w:r>
      <w:r>
        <w:rPr>
          <w:rStyle w:val="AERbody"/>
        </w:rPr>
        <w:t xml:space="preserve">a lower </w:t>
      </w:r>
      <w:r w:rsidR="00442B0E">
        <w:rPr>
          <w:rStyle w:val="AERbody"/>
        </w:rPr>
        <w:t>revenue at  risk does not hold</w:t>
      </w:r>
      <w:r>
        <w:rPr>
          <w:rStyle w:val="AERbody"/>
        </w:rPr>
        <w:t xml:space="preserve"> because </w:t>
      </w:r>
      <w:r w:rsidR="002A41BB">
        <w:rPr>
          <w:rStyle w:val="AERbody"/>
        </w:rPr>
        <w:t xml:space="preserve">the implementation of </w:t>
      </w:r>
      <w:r w:rsidRPr="00A55100">
        <w:t xml:space="preserve">other changes </w:t>
      </w:r>
      <w:r w:rsidR="002A41BB">
        <w:t>in the regulatory regime will have more significant volatility in pricing (s</w:t>
      </w:r>
      <w:r>
        <w:rPr>
          <w:rStyle w:val="AERbody"/>
        </w:rPr>
        <w:t xml:space="preserve">uch as </w:t>
      </w:r>
      <w:r w:rsidRPr="00A55100">
        <w:rPr>
          <w:rStyle w:val="AERbody"/>
        </w:rPr>
        <w:t>a revenue cap</w:t>
      </w:r>
      <w:r>
        <w:rPr>
          <w:rStyle w:val="AERbody"/>
        </w:rPr>
        <w:t xml:space="preserve"> and annual update of cost of debt</w:t>
      </w:r>
      <w:r w:rsidR="002A41BB">
        <w:rPr>
          <w:rStyle w:val="AERbody"/>
        </w:rPr>
        <w:t>)</w:t>
      </w:r>
      <w:r w:rsidR="00645E66">
        <w:rPr>
          <w:rStyle w:val="AERbody"/>
        </w:rPr>
        <w:t>.</w:t>
      </w:r>
      <w:r w:rsidR="00C726CB" w:rsidRPr="008046C7">
        <w:rPr>
          <w:rStyle w:val="FootnoteReference"/>
        </w:rPr>
        <w:footnoteReference w:id="33"/>
      </w:r>
    </w:p>
    <w:p w:rsidR="00C726CB" w:rsidRDefault="00C726CB" w:rsidP="00A55100">
      <w:pPr>
        <w:pStyle w:val="AERbulletlistfirststyle"/>
        <w:rPr>
          <w:rStyle w:val="AERbody"/>
        </w:rPr>
      </w:pPr>
      <w:proofErr w:type="gramStart"/>
      <w:r>
        <w:rPr>
          <w:rStyle w:val="AERbody"/>
        </w:rPr>
        <w:lastRenderedPageBreak/>
        <w:t>further</w:t>
      </w:r>
      <w:proofErr w:type="gramEnd"/>
      <w:r>
        <w:rPr>
          <w:rStyle w:val="AERbody"/>
        </w:rPr>
        <w:t xml:space="preserve"> investigation is required to support the claim that revenue at risk could skew the application of the scheme between the transmission and distribution networks.</w:t>
      </w:r>
      <w:r w:rsidRPr="008046C7">
        <w:rPr>
          <w:rStyle w:val="FootnoteReference"/>
        </w:rPr>
        <w:footnoteReference w:id="34"/>
      </w:r>
    </w:p>
    <w:p w:rsidR="006C59CB" w:rsidRDefault="0054728E" w:rsidP="00284316">
      <w:pPr>
        <w:rPr>
          <w:rStyle w:val="AERbody"/>
        </w:rPr>
      </w:pPr>
      <w:r>
        <w:t xml:space="preserve">We also note that </w:t>
      </w:r>
      <w:r w:rsidRPr="0025315C">
        <w:t>Tasmanian Small Business Council</w:t>
      </w:r>
      <w:r>
        <w:t xml:space="preserve"> submitted that the scheme should operate </w:t>
      </w:r>
      <w:r w:rsidR="007B6210">
        <w:t>on</w:t>
      </w:r>
      <w:r>
        <w:t xml:space="preserve"> a penalty only basis.</w:t>
      </w:r>
      <w:r w:rsidRPr="008046C7">
        <w:rPr>
          <w:rStyle w:val="FootnoteReference"/>
        </w:rPr>
        <w:footnoteReference w:id="35"/>
      </w:r>
      <w:r>
        <w:t xml:space="preserve"> We </w:t>
      </w:r>
      <w:r w:rsidR="007B6210">
        <w:t>are unable to</w:t>
      </w:r>
      <w:r>
        <w:t xml:space="preserve"> depart from the standard scheme design and the F&amp;A </w:t>
      </w:r>
      <w:r w:rsidR="00284316">
        <w:t>without a full review of the STPIS and its interaction with other incentive schemes.</w:t>
      </w:r>
      <w:r>
        <w:rPr>
          <w:rStyle w:val="AERbody"/>
        </w:rPr>
        <w:t xml:space="preserve"> </w:t>
      </w:r>
      <w:r w:rsidR="002C2448">
        <w:rPr>
          <w:rStyle w:val="AERbody"/>
        </w:rPr>
        <w:t xml:space="preserve"> </w:t>
      </w:r>
      <w:r w:rsidR="00A55100">
        <w:rPr>
          <w:rStyle w:val="AERbody"/>
        </w:rPr>
        <w:t xml:space="preserve">  </w:t>
      </w:r>
    </w:p>
    <w:p w:rsidR="008E1E0E" w:rsidRPr="008E1E0E" w:rsidRDefault="00FE6867" w:rsidP="008E1E0E">
      <w:pPr>
        <w:pStyle w:val="Heading2"/>
      </w:pPr>
      <w:r>
        <w:t xml:space="preserve"> </w:t>
      </w:r>
      <w:bookmarkStart w:id="102" w:name="_Toc462755223"/>
      <w:r w:rsidR="008E1E0E" w:rsidRPr="008E1E0E">
        <w:t>Other considerations in applying the STPIS</w:t>
      </w:r>
      <w:bookmarkEnd w:id="102"/>
      <w:r w:rsidR="008E1E0E" w:rsidRPr="008E1E0E">
        <w:t xml:space="preserve"> </w:t>
      </w:r>
    </w:p>
    <w:p w:rsidR="00FE6867" w:rsidRPr="00FE6867" w:rsidRDefault="00FE6867" w:rsidP="00FE6867">
      <w:pPr>
        <w:pStyle w:val="Heading3"/>
      </w:pPr>
      <w:bookmarkStart w:id="103" w:name="_Toc462755224"/>
      <w:r w:rsidRPr="00FE6867">
        <w:t>Value of customer reliability to calculate the incentive rates</w:t>
      </w:r>
      <w:bookmarkEnd w:id="103"/>
    </w:p>
    <w:p w:rsidR="00FE6867" w:rsidRPr="002C28FB" w:rsidRDefault="00FE6867" w:rsidP="00FE6867">
      <w:r>
        <w:t xml:space="preserve">Our F&amp;A paper stated that we will apply a </w:t>
      </w:r>
      <w:r w:rsidR="006600BA">
        <w:t>latest</w:t>
      </w:r>
      <w:r w:rsidR="006600BA" w:rsidRPr="00F17A7C">
        <w:t xml:space="preserve"> </w:t>
      </w:r>
      <w:r w:rsidRPr="00F17A7C">
        <w:t xml:space="preserve">value for VCR through the distribution determination </w:t>
      </w:r>
      <w:r>
        <w:t>in calculating TasNetworks' incentive rates.</w:t>
      </w:r>
      <w:r>
        <w:rPr>
          <w:rStyle w:val="FootnoteReference"/>
        </w:rPr>
        <w:footnoteReference w:id="36"/>
      </w:r>
      <w:r>
        <w:t xml:space="preserve"> </w:t>
      </w:r>
      <w:r w:rsidR="009305BF" w:rsidRPr="008E1E0E">
        <w:t xml:space="preserve">TasNetworks provided energy usage information based on AEMO’s load classification of residential, commercial, industry and agriculture. </w:t>
      </w:r>
      <w:r w:rsidR="009305BF">
        <w:t>Hence, f</w:t>
      </w:r>
      <w:r>
        <w:t xml:space="preserve">or this </w:t>
      </w:r>
      <w:r w:rsidR="006600BA">
        <w:t xml:space="preserve">draft </w:t>
      </w:r>
      <w:r>
        <w:t xml:space="preserve">decision, we have calculated TasNetworks' VCR for the incentive rates by deriving it from </w:t>
      </w:r>
      <w:r w:rsidR="007B6210">
        <w:t>its</w:t>
      </w:r>
      <w:r>
        <w:t xml:space="preserve"> consumption data and AEMO’s published </w:t>
      </w:r>
      <w:r w:rsidR="006600BA">
        <w:t>segment</w:t>
      </w:r>
      <w:r>
        <w:t xml:space="preserve"> VCR.</w:t>
      </w:r>
      <w:r w:rsidRPr="002C28FB">
        <w:t xml:space="preserve"> </w:t>
      </w:r>
    </w:p>
    <w:p w:rsidR="00FE6867" w:rsidRPr="00696547" w:rsidRDefault="00FE6867" w:rsidP="00FE6867">
      <w:r>
        <w:t xml:space="preserve">The VCR for network segments is outlined in </w:t>
      </w:r>
      <w:r>
        <w:fldChar w:fldCharType="begin"/>
      </w:r>
      <w:r>
        <w:instrText xml:space="preserve"> REF _Ref429063196 \h </w:instrText>
      </w:r>
      <w:r>
        <w:fldChar w:fldCharType="separate"/>
      </w:r>
      <w:r w:rsidR="001C5AD6">
        <w:t xml:space="preserve">Table </w:t>
      </w:r>
      <w:r w:rsidR="001C5AD6">
        <w:rPr>
          <w:noProof/>
        </w:rPr>
        <w:t>11</w:t>
      </w:r>
      <w:r w:rsidR="001C5AD6">
        <w:noBreakHyphen/>
      </w:r>
      <w:r w:rsidR="001C5AD6">
        <w:rPr>
          <w:noProof/>
        </w:rPr>
        <w:t>5</w:t>
      </w:r>
      <w:r>
        <w:fldChar w:fldCharType="end"/>
      </w:r>
      <w:r>
        <w:t>. We have applied this VCR to calculate its incentives rates for 2017–19.</w:t>
      </w:r>
    </w:p>
    <w:p w:rsidR="00FE6867" w:rsidRPr="00A946AA" w:rsidRDefault="00FE6867" w:rsidP="00FE6867">
      <w:pPr>
        <w:pStyle w:val="Caption"/>
      </w:pPr>
      <w:bookmarkStart w:id="104" w:name="_Ref429063196"/>
      <w:r>
        <w:t xml:space="preserve">Table </w:t>
      </w:r>
      <w:r w:rsidRPr="00FE6867">
        <w:fldChar w:fldCharType="begin"/>
      </w:r>
      <w:r>
        <w:instrText xml:space="preserve"> STYLEREF 1 \s </w:instrText>
      </w:r>
      <w:r w:rsidRPr="00FE6867">
        <w:fldChar w:fldCharType="separate"/>
      </w:r>
      <w:r w:rsidR="001C5AD6">
        <w:rPr>
          <w:noProof/>
        </w:rPr>
        <w:t>11</w:t>
      </w:r>
      <w:r w:rsidRPr="00FE6867">
        <w:fldChar w:fldCharType="end"/>
      </w:r>
      <w:r>
        <w:noBreakHyphen/>
      </w:r>
      <w:r w:rsidRPr="00FE6867">
        <w:fldChar w:fldCharType="begin"/>
      </w:r>
      <w:r>
        <w:instrText xml:space="preserve"> SEQ Table \* ARABIC \s 1 </w:instrText>
      </w:r>
      <w:r w:rsidRPr="00FE6867">
        <w:fldChar w:fldCharType="separate"/>
      </w:r>
      <w:r w:rsidR="001C5AD6">
        <w:rPr>
          <w:noProof/>
        </w:rPr>
        <w:t>5</w:t>
      </w:r>
      <w:r w:rsidRPr="00FE6867">
        <w:fldChar w:fldCharType="end"/>
      </w:r>
      <w:bookmarkEnd w:id="104"/>
      <w:r>
        <w:tab/>
        <w:t>Value of customer reliability ($/MWh)</w:t>
      </w:r>
    </w:p>
    <w:tbl>
      <w:tblPr>
        <w:tblStyle w:val="AERtable-numbers"/>
        <w:tblW w:w="5000" w:type="pct"/>
        <w:tblLook w:val="04A0" w:firstRow="1" w:lastRow="0" w:firstColumn="1" w:lastColumn="0" w:noHBand="0" w:noVBand="1"/>
      </w:tblPr>
      <w:tblGrid>
        <w:gridCol w:w="1254"/>
        <w:gridCol w:w="1488"/>
        <w:gridCol w:w="1488"/>
        <w:gridCol w:w="1488"/>
        <w:gridCol w:w="1488"/>
        <w:gridCol w:w="1487"/>
      </w:tblGrid>
      <w:tr w:rsidR="00EC4224" w:rsidRPr="00A946AA" w:rsidTr="00EC42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EC4224" w:rsidRPr="00EC4224" w:rsidRDefault="00EC4224" w:rsidP="00EC4224">
            <w:pPr>
              <w:pStyle w:val="Tabletext-centred"/>
            </w:pPr>
            <w:r w:rsidRPr="00EC4224">
              <w:t> </w:t>
            </w:r>
          </w:p>
        </w:tc>
        <w:tc>
          <w:tcPr>
            <w:tcW w:w="856" w:type="pct"/>
            <w:vAlign w:val="top"/>
          </w:tcPr>
          <w:p w:rsidR="00EC4224" w:rsidRPr="00EC4224" w:rsidRDefault="00EC4224" w:rsidP="008B2ACC">
            <w:pPr>
              <w:cnfStyle w:val="100000000000" w:firstRow="1" w:lastRow="0" w:firstColumn="0" w:lastColumn="0" w:oddVBand="0" w:evenVBand="0" w:oddHBand="0" w:evenHBand="0" w:firstRowFirstColumn="0" w:firstRowLastColumn="0" w:lastRowFirstColumn="0" w:lastRowLastColumn="0"/>
            </w:pPr>
            <w:r w:rsidRPr="00EC4224">
              <w:t>Critical Infrastructure</w:t>
            </w:r>
          </w:p>
        </w:tc>
        <w:tc>
          <w:tcPr>
            <w:tcW w:w="856" w:type="pct"/>
            <w:vAlign w:val="top"/>
          </w:tcPr>
          <w:p w:rsidR="00EC4224" w:rsidRPr="00EC4224" w:rsidRDefault="00EC4224" w:rsidP="008B2ACC">
            <w:pPr>
              <w:cnfStyle w:val="100000000000" w:firstRow="1" w:lastRow="0" w:firstColumn="0" w:lastColumn="0" w:oddVBand="0" w:evenVBand="0" w:oddHBand="0" w:evenHBand="0" w:firstRowFirstColumn="0" w:firstRowLastColumn="0" w:lastRowFirstColumn="0" w:lastRowLastColumn="0"/>
            </w:pPr>
            <w:r w:rsidRPr="00EC4224">
              <w:t>High Density Commercial</w:t>
            </w:r>
          </w:p>
        </w:tc>
        <w:tc>
          <w:tcPr>
            <w:tcW w:w="856" w:type="pct"/>
            <w:vAlign w:val="top"/>
          </w:tcPr>
          <w:p w:rsidR="00EC4224" w:rsidRPr="00EC4224" w:rsidRDefault="00EC4224" w:rsidP="008B2ACC">
            <w:pPr>
              <w:cnfStyle w:val="100000000000" w:firstRow="1" w:lastRow="0" w:firstColumn="0" w:lastColumn="0" w:oddVBand="0" w:evenVBand="0" w:oddHBand="0" w:evenHBand="0" w:firstRowFirstColumn="0" w:firstRowLastColumn="0" w:lastRowFirstColumn="0" w:lastRowLastColumn="0"/>
            </w:pPr>
            <w:r w:rsidRPr="00EC4224">
              <w:t>Urban</w:t>
            </w:r>
          </w:p>
        </w:tc>
        <w:tc>
          <w:tcPr>
            <w:tcW w:w="856" w:type="pct"/>
            <w:vAlign w:val="top"/>
            <w:hideMark/>
          </w:tcPr>
          <w:p w:rsidR="00EC4224" w:rsidRPr="00EC4224" w:rsidRDefault="00EC4224" w:rsidP="008B2ACC">
            <w:pPr>
              <w:cnfStyle w:val="100000000000" w:firstRow="1" w:lastRow="0" w:firstColumn="0" w:lastColumn="0" w:oddVBand="0" w:evenVBand="0" w:oddHBand="0" w:evenHBand="0" w:firstRowFirstColumn="0" w:firstRowLastColumn="0" w:lastRowFirstColumn="0" w:lastRowLastColumn="0"/>
            </w:pPr>
            <w:r w:rsidRPr="00EC4224">
              <w:t>High Density Rural</w:t>
            </w:r>
          </w:p>
        </w:tc>
        <w:tc>
          <w:tcPr>
            <w:tcW w:w="855" w:type="pct"/>
            <w:vAlign w:val="top"/>
            <w:hideMark/>
          </w:tcPr>
          <w:p w:rsidR="00EC4224" w:rsidRPr="00EC4224" w:rsidRDefault="00EC4224" w:rsidP="008B2ACC">
            <w:pPr>
              <w:cnfStyle w:val="100000000000" w:firstRow="1" w:lastRow="0" w:firstColumn="0" w:lastColumn="0" w:oddVBand="0" w:evenVBand="0" w:oddHBand="0" w:evenHBand="0" w:firstRowFirstColumn="0" w:firstRowLastColumn="0" w:lastRowFirstColumn="0" w:lastRowLastColumn="0"/>
            </w:pPr>
            <w:r w:rsidRPr="00EC4224">
              <w:t>Low Density Rural</w:t>
            </w:r>
          </w:p>
        </w:tc>
      </w:tr>
      <w:tr w:rsidR="00EC4224" w:rsidRPr="00A946AA" w:rsidTr="00EC4224">
        <w:trPr>
          <w:trHeight w:val="465"/>
        </w:trPr>
        <w:tc>
          <w:tcPr>
            <w:cnfStyle w:val="001000000000" w:firstRow="0" w:lastRow="0" w:firstColumn="1" w:lastColumn="0" w:oddVBand="0" w:evenVBand="0" w:oddHBand="0" w:evenHBand="0" w:firstRowFirstColumn="0" w:firstRowLastColumn="0" w:lastRowFirstColumn="0" w:lastRowLastColumn="0"/>
            <w:tcW w:w="721" w:type="pct"/>
            <w:hideMark/>
          </w:tcPr>
          <w:p w:rsidR="00EC4224" w:rsidRPr="00EC4224" w:rsidRDefault="00EC4224" w:rsidP="00EC4224">
            <w:pPr>
              <w:pStyle w:val="AERtabletextleft"/>
            </w:pPr>
            <w:r w:rsidRPr="00EC4224">
              <w:t>VCR</w:t>
            </w:r>
          </w:p>
        </w:tc>
        <w:tc>
          <w:tcPr>
            <w:tcW w:w="856" w:type="pct"/>
            <w:vAlign w:val="top"/>
          </w:tcPr>
          <w:p w:rsidR="00EC4224" w:rsidRPr="00EC4224" w:rsidRDefault="00EC4224" w:rsidP="008B2ACC">
            <w:pPr>
              <w:cnfStyle w:val="000000000000" w:firstRow="0" w:lastRow="0" w:firstColumn="0" w:lastColumn="0" w:oddVBand="0" w:evenVBand="0" w:oddHBand="0" w:evenHBand="0" w:firstRowFirstColumn="0" w:firstRowLastColumn="0" w:lastRowFirstColumn="0" w:lastRowLastColumn="0"/>
            </w:pPr>
            <w:r w:rsidRPr="00EC4224">
              <w:t xml:space="preserve"> 44,399.05 </w:t>
            </w:r>
          </w:p>
        </w:tc>
        <w:tc>
          <w:tcPr>
            <w:tcW w:w="856" w:type="pct"/>
            <w:vAlign w:val="top"/>
          </w:tcPr>
          <w:p w:rsidR="00EC4224" w:rsidRPr="00EC4224" w:rsidRDefault="00EC4224" w:rsidP="008B2ACC">
            <w:pPr>
              <w:cnfStyle w:val="000000000000" w:firstRow="0" w:lastRow="0" w:firstColumn="0" w:lastColumn="0" w:oddVBand="0" w:evenVBand="0" w:oddHBand="0" w:evenHBand="0" w:firstRowFirstColumn="0" w:firstRowLastColumn="0" w:lastRowFirstColumn="0" w:lastRowLastColumn="0"/>
            </w:pPr>
            <w:r w:rsidRPr="00EC4224">
              <w:t xml:space="preserve"> 43,785.62 </w:t>
            </w:r>
          </w:p>
        </w:tc>
        <w:tc>
          <w:tcPr>
            <w:tcW w:w="856" w:type="pct"/>
            <w:vAlign w:val="top"/>
          </w:tcPr>
          <w:p w:rsidR="00EC4224" w:rsidRPr="00EC4224" w:rsidRDefault="00EC4224" w:rsidP="008B2ACC">
            <w:pPr>
              <w:cnfStyle w:val="000000000000" w:firstRow="0" w:lastRow="0" w:firstColumn="0" w:lastColumn="0" w:oddVBand="0" w:evenVBand="0" w:oddHBand="0" w:evenHBand="0" w:firstRowFirstColumn="0" w:firstRowLastColumn="0" w:lastRowFirstColumn="0" w:lastRowLastColumn="0"/>
            </w:pPr>
            <w:r w:rsidRPr="00EC4224">
              <w:t xml:space="preserve"> 35,659.75 </w:t>
            </w:r>
          </w:p>
        </w:tc>
        <w:tc>
          <w:tcPr>
            <w:tcW w:w="856" w:type="pct"/>
            <w:vAlign w:val="top"/>
          </w:tcPr>
          <w:p w:rsidR="00EC4224" w:rsidRPr="00EC4224" w:rsidRDefault="00EC4224" w:rsidP="008B2ACC">
            <w:pPr>
              <w:cnfStyle w:val="000000000000" w:firstRow="0" w:lastRow="0" w:firstColumn="0" w:lastColumn="0" w:oddVBand="0" w:evenVBand="0" w:oddHBand="0" w:evenHBand="0" w:firstRowFirstColumn="0" w:firstRowLastColumn="0" w:lastRowFirstColumn="0" w:lastRowLastColumn="0"/>
            </w:pPr>
            <w:r w:rsidRPr="00EC4224">
              <w:t xml:space="preserve"> 38,146.86 </w:t>
            </w:r>
          </w:p>
        </w:tc>
        <w:tc>
          <w:tcPr>
            <w:tcW w:w="855" w:type="pct"/>
            <w:vAlign w:val="top"/>
          </w:tcPr>
          <w:p w:rsidR="00EC4224" w:rsidRPr="00EC4224" w:rsidRDefault="00EC4224" w:rsidP="008B2ACC">
            <w:pPr>
              <w:cnfStyle w:val="000000000000" w:firstRow="0" w:lastRow="0" w:firstColumn="0" w:lastColumn="0" w:oddVBand="0" w:evenVBand="0" w:oddHBand="0" w:evenHBand="0" w:firstRowFirstColumn="0" w:firstRowLastColumn="0" w:lastRowFirstColumn="0" w:lastRowLastColumn="0"/>
            </w:pPr>
            <w:r w:rsidRPr="00EC4224">
              <w:t xml:space="preserve"> 40,342.75 </w:t>
            </w:r>
          </w:p>
        </w:tc>
      </w:tr>
    </w:tbl>
    <w:p w:rsidR="00FE6867" w:rsidRDefault="00FE6867" w:rsidP="002633FF">
      <w:pPr>
        <w:pStyle w:val="AERtablesource"/>
      </w:pPr>
      <w:r w:rsidRPr="00146981">
        <w:t>Source:</w:t>
      </w:r>
      <w:r w:rsidRPr="00146981">
        <w:tab/>
      </w:r>
      <w:r w:rsidR="00EC4224">
        <w:t xml:space="preserve">AER analysis, </w:t>
      </w:r>
      <w:r>
        <w:t xml:space="preserve">and </w:t>
      </w:r>
      <w:r w:rsidRPr="00090759">
        <w:t xml:space="preserve">AEMO, </w:t>
      </w:r>
      <w:r w:rsidRPr="00C96459">
        <w:rPr>
          <w:rStyle w:val="AERtextitalic"/>
        </w:rPr>
        <w:t>Value of customer reliability review, final report</w:t>
      </w:r>
      <w:r w:rsidRPr="00090759">
        <w:t xml:space="preserve">, September 2014, p. 30. </w:t>
      </w:r>
      <w:r>
        <w:t>VCR values have been e</w:t>
      </w:r>
      <w:r w:rsidRPr="00090759">
        <w:t xml:space="preserve">scalated to the </w:t>
      </w:r>
      <w:r w:rsidRPr="002633FF">
        <w:rPr>
          <w:rStyle w:val="AERtexthighlight"/>
          <w:shd w:val="clear" w:color="auto" w:fill="auto"/>
        </w:rPr>
        <w:t>June</w:t>
      </w:r>
      <w:r w:rsidR="002E15C3" w:rsidRPr="002633FF">
        <w:rPr>
          <w:rStyle w:val="AERtexthighlight"/>
          <w:shd w:val="clear" w:color="auto" w:fill="auto"/>
        </w:rPr>
        <w:t xml:space="preserve"> 2016</w:t>
      </w:r>
      <w:r w:rsidRPr="002633FF">
        <w:rPr>
          <w:rStyle w:val="AERtexthighlight"/>
          <w:shd w:val="clear" w:color="auto" w:fill="auto"/>
        </w:rPr>
        <w:t xml:space="preserve"> quarter</w:t>
      </w:r>
      <w:r w:rsidR="00823AC6" w:rsidRPr="002633FF">
        <w:t xml:space="preserve"> and</w:t>
      </w:r>
      <w:r w:rsidR="00823AC6">
        <w:t xml:space="preserve"> will be updated for the final decision. </w:t>
      </w:r>
    </w:p>
    <w:p w:rsidR="009305BF" w:rsidRDefault="00762E55" w:rsidP="009305BF">
      <w:pPr>
        <w:pStyle w:val="Heading2"/>
      </w:pPr>
      <w:bookmarkStart w:id="105" w:name="_Toc458762322"/>
      <w:bookmarkStart w:id="106" w:name="_Toc428779202"/>
      <w:bookmarkStart w:id="107" w:name="_Toc433038430"/>
      <w:bookmarkStart w:id="108" w:name="_Toc462755225"/>
      <w:bookmarkEnd w:id="105"/>
      <w:r>
        <w:t>A</w:t>
      </w:r>
      <w:r w:rsidR="009305BF">
        <w:t xml:space="preserve">rrangements for the </w:t>
      </w:r>
      <w:r>
        <w:t>overlap between regulatory control periods</w:t>
      </w:r>
      <w:bookmarkEnd w:id="106"/>
      <w:bookmarkEnd w:id="107"/>
      <w:bookmarkEnd w:id="108"/>
    </w:p>
    <w:p w:rsidR="009305BF" w:rsidRDefault="009305BF" w:rsidP="009305BF">
      <w:r>
        <w:t>This section addresses the following transitional issues relating the STPIS:</w:t>
      </w:r>
    </w:p>
    <w:p w:rsidR="009305BF" w:rsidRDefault="009305BF" w:rsidP="009305BF">
      <w:pPr>
        <w:pStyle w:val="AERbulletlistfirststyle"/>
      </w:pPr>
      <w:r>
        <w:t>how we intend to adjust the S-factor between regulatory control periods</w:t>
      </w:r>
    </w:p>
    <w:p w:rsidR="009305BF" w:rsidRDefault="009305BF" w:rsidP="009305BF">
      <w:pPr>
        <w:pStyle w:val="AERbulletlistfirststyle"/>
      </w:pPr>
      <w:proofErr w:type="gramStart"/>
      <w:r>
        <w:t>how</w:t>
      </w:r>
      <w:proofErr w:type="gramEnd"/>
      <w:r>
        <w:t xml:space="preserve"> we intend to account for revenue increments or decrements resulting from the STPIS outcomes between regulatory control periods</w:t>
      </w:r>
      <w:r w:rsidR="00D04377">
        <w:t>.</w:t>
      </w:r>
      <w:r>
        <w:t xml:space="preserve"> </w:t>
      </w:r>
    </w:p>
    <w:p w:rsidR="009305BF" w:rsidRPr="009305BF" w:rsidRDefault="009305BF" w:rsidP="009305BF">
      <w:pPr>
        <w:pStyle w:val="Heading3"/>
      </w:pPr>
      <w:bookmarkStart w:id="109" w:name="_Toc428779203"/>
      <w:bookmarkStart w:id="110" w:name="_Toc433038431"/>
      <w:bookmarkStart w:id="111" w:name="_Toc462755226"/>
      <w:r>
        <w:lastRenderedPageBreak/>
        <w:t xml:space="preserve">Adjusting the </w:t>
      </w:r>
      <w:r w:rsidRPr="009305BF">
        <w:t>S-factor between regulatory control periods</w:t>
      </w:r>
      <w:bookmarkEnd w:id="109"/>
      <w:bookmarkEnd w:id="110"/>
      <w:bookmarkEnd w:id="111"/>
    </w:p>
    <w:p w:rsidR="009305BF" w:rsidRDefault="009305BF" w:rsidP="009305BF">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9305BF" w:rsidRDefault="009305BF" w:rsidP="009305BF">
      <w:r>
        <w:t xml:space="preserve">Consequently, the S-factor outcomes of 2015–16 and 2016–17 will apply to prices in the 2017–18 and 2018–19 regulatory years respectively. </w:t>
      </w:r>
    </w:p>
    <w:p w:rsidR="009305BF" w:rsidRDefault="009305BF" w:rsidP="009305BF">
      <w:r>
        <w:rPr>
          <w:rStyle w:val="AERbody"/>
        </w:rPr>
        <w:t>T</w:t>
      </w:r>
      <w:r w:rsidRPr="00432754">
        <w:rPr>
          <w:rStyle w:val="AERbody"/>
        </w:rPr>
        <w:t xml:space="preserve">he revenue at risk caps the risk of the STPIS to </w:t>
      </w:r>
      <w:r>
        <w:rPr>
          <w:rStyle w:val="AERbody"/>
        </w:rPr>
        <w:t xml:space="preserve">TasNetworks at </w:t>
      </w:r>
      <w:r w:rsidRPr="009305BF">
        <w:rPr>
          <w:rStyle w:val="AERbody"/>
        </w:rPr>
        <w:t>±</w:t>
      </w:r>
      <w:r>
        <w:rPr>
          <w:rStyle w:val="AERbody"/>
        </w:rPr>
        <w:t xml:space="preserve"> 5.0 per cent of the annual allowable revenue</w:t>
      </w:r>
      <w:r w:rsidRPr="00432754">
        <w:rPr>
          <w:rStyle w:val="AERbody"/>
        </w:rPr>
        <w:t xml:space="preserve">. </w:t>
      </w:r>
      <w:r>
        <w:rPr>
          <w:rStyle w:val="AERbody"/>
        </w:rPr>
        <w:t xml:space="preserve">However, distributors may exceed this cap where there are increases or decreases to the amount of the annual allowable revenue that they can recover between regulatory control periods. </w:t>
      </w:r>
      <w:r>
        <w:t>The STPIS scheme accounts for the differences to the allowable revenue recoverable between regulatory control periods by making an adjustment to the "raw"</w:t>
      </w:r>
      <w:r>
        <w:rPr>
          <w:rStyle w:val="FootnoteReference"/>
        </w:rPr>
        <w:footnoteReference w:id="37"/>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9305BF" w:rsidRDefault="009305BF" w:rsidP="009305BF">
      <w:pPr>
        <w:pStyle w:val="AERquoteindent1"/>
      </w:pPr>
      <w:proofErr w:type="gramStart"/>
      <w:r>
        <w:t>…</w:t>
      </w: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proofErr w:type="gramEnd"/>
      <w:r>
        <w:rPr>
          <w:rStyle w:val="FootnoteReference"/>
        </w:rPr>
        <w:footnoteReference w:id="38"/>
      </w:r>
    </w:p>
    <w:p w:rsidR="009305BF" w:rsidRDefault="009305BF" w:rsidP="009305BF">
      <w:r>
        <w:t>Hence, the revenue at risk cap for the first two years of the next regulatory control period will be adjusted based on the approved revenue at risk cap of the previous regulatory control period.</w:t>
      </w:r>
    </w:p>
    <w:p w:rsidR="009305BF" w:rsidRPr="009305BF" w:rsidRDefault="009305BF" w:rsidP="009305BF">
      <w:pPr>
        <w:pStyle w:val="Heading3"/>
      </w:pPr>
      <w:bookmarkStart w:id="112" w:name="_Toc458762325"/>
      <w:bookmarkStart w:id="113" w:name="_Toc428779204"/>
      <w:bookmarkStart w:id="114" w:name="_Toc433038432"/>
      <w:bookmarkStart w:id="115" w:name="_Toc462755227"/>
      <w:bookmarkEnd w:id="112"/>
      <w:r w:rsidRPr="00FD0BEC">
        <w:t xml:space="preserve">Accounting </w:t>
      </w:r>
      <w:r w:rsidRPr="009305BF">
        <w:t>for revenue increments decrements between regulatory periods</w:t>
      </w:r>
      <w:bookmarkEnd w:id="113"/>
      <w:bookmarkEnd w:id="114"/>
      <w:bookmarkEnd w:id="115"/>
      <w:r w:rsidRPr="009305BF">
        <w:t xml:space="preserve"> </w:t>
      </w:r>
    </w:p>
    <w:p w:rsidR="009305BF" w:rsidRPr="00AF64B3" w:rsidRDefault="009305BF" w:rsidP="009305BF">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9305BF" w:rsidRDefault="009305BF" w:rsidP="009305BF">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lastRenderedPageBreak/>
        <w:t>will affect its revenues in the second regulatory year of the next regulatory control</w:t>
      </w:r>
      <w:r>
        <w:t xml:space="preserve"> </w:t>
      </w:r>
      <w:r w:rsidRPr="00AF64B3">
        <w:t>period (that is from 1 July 2014).</w:t>
      </w:r>
      <w:r>
        <w:rPr>
          <w:rStyle w:val="FootnoteReference"/>
        </w:rPr>
        <w:footnoteReference w:id="39"/>
      </w:r>
    </w:p>
    <w:p w:rsidR="009305BF" w:rsidRPr="00FD0BEC" w:rsidRDefault="009305BF" w:rsidP="009305BF">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40"/>
        </m:r>
      </m:oMath>
      <w:r w:rsidRPr="00FD0BEC">
        <w:t xml:space="preserve"> from one regulatory</w:t>
      </w:r>
      <w:r>
        <w:t xml:space="preserve"> </w:t>
      </w:r>
      <w:r w:rsidRPr="00FD0BEC">
        <w:t>control period to the next</w:t>
      </w:r>
      <w:r>
        <w:t>. For TasNetworks, t</w:t>
      </w:r>
      <w:r w:rsidRPr="00FD0BEC">
        <w:t xml:space="preserve">he ‘raw’ </w:t>
      </w:r>
      <w:r>
        <w:t>S-factor</w:t>
      </w:r>
      <w:r w:rsidRPr="00FD0BEC">
        <w:t xml:space="preserve">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41"/>
      </w:r>
      <w:r w:rsidRPr="00FD0BEC">
        <w:t xml:space="preserve"> </w:t>
      </w:r>
    </w:p>
    <w:p w:rsidR="009305BF" w:rsidRPr="00FD0BEC" w:rsidRDefault="0036526B" w:rsidP="009305BF">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0</m:t>
                </m:r>
              </m:sub>
            </m:sSub>
          </m:den>
        </m:f>
      </m:oMath>
      <w:r w:rsidR="009305BF" w:rsidRPr="00FD0BEC">
        <w:t xml:space="preserve"> </w:t>
      </w:r>
    </w:p>
    <w:p w:rsidR="009305BF" w:rsidRDefault="009305BF" w:rsidP="009305BF"/>
    <w:p w:rsidR="009305BF" w:rsidRPr="00FD0BEC" w:rsidRDefault="009305BF" w:rsidP="009305BF">
      <w:r w:rsidRPr="00FD0BEC">
        <w:t>Where:</w:t>
      </w:r>
    </w:p>
    <w:p w:rsidR="009305BF" w:rsidRPr="00FD0BEC" w:rsidRDefault="0036526B" w:rsidP="009305BF">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AR</m:t>
                </m:r>
              </m:e>
              <m:sub>
                <m:r>
                  <m:rPr>
                    <m:sty m:val="p"/>
                  </m:rPr>
                  <w:rPr>
                    <w:rFonts w:ascii="Cambria Math" w:hAnsi="Cambria Math"/>
                  </w:rPr>
                  <m:t>2017-18</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m:rPr>
                    <m:sty m:val="p"/>
                  </m:rPr>
                  <w:rPr>
                    <w:rFonts w:ascii="Cambria Math" w:hAnsi="Cambria Math"/>
                  </w:rPr>
                  <m:t>2018-19</m:t>
                </m:r>
              </m:sub>
            </m:sSub>
          </m:num>
          <m:den>
            <m:sSub>
              <m:sSubPr>
                <m:ctrlPr>
                  <w:rPr>
                    <w:rFonts w:ascii="Cambria Math" w:hAnsi="Cambria Math"/>
                  </w:rPr>
                </m:ctrlPr>
              </m:sSubPr>
              <m:e>
                <m:r>
                  <w:rPr>
                    <w:rFonts w:ascii="Cambria Math" w:hAnsi="Cambria Math"/>
                  </w:rPr>
                  <m:t>AR</m:t>
                </m:r>
              </m:e>
              <m:sub>
                <m:r>
                  <m:rPr>
                    <m:sty m:val="p"/>
                  </m:rPr>
                  <w:rPr>
                    <w:rFonts w:ascii="Cambria Math" w:hAnsi="Cambria Math"/>
                  </w:rPr>
                  <m:t>2017-18</m:t>
                </m:r>
              </m:sub>
            </m:sSub>
          </m:den>
        </m:f>
      </m:oMath>
      <w:r w:rsidR="009305BF" w:rsidRPr="00FD0BEC">
        <w:t xml:space="preserve"> </w:t>
      </w:r>
    </w:p>
    <w:p w:rsidR="009305BF" w:rsidRPr="00E118B5" w:rsidRDefault="0036526B" w:rsidP="009305BF">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9305BF" w:rsidRPr="00E118B5">
        <w:t xml:space="preserve"> is the sum of the </w:t>
      </w:r>
      <w:r w:rsidR="009305BF">
        <w:t>S-factor</w:t>
      </w:r>
      <w:r w:rsidR="009305BF" w:rsidRPr="00E118B5">
        <w:t>s for all parameters, after application of the s-bank, as determined in equation (3) in the STPIS</w:t>
      </w:r>
    </w:p>
    <w:p w:rsidR="009305BF" w:rsidRPr="00FD0BEC" w:rsidRDefault="0036526B" w:rsidP="009305BF">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2017-18</m:t>
            </m:r>
          </m:sub>
        </m:sSub>
      </m:oMath>
      <w:r w:rsidR="009305BF" w:rsidRPr="00FD0BEC">
        <w:t xml:space="preserve"> is </w:t>
      </w:r>
      <w:r w:rsidR="007B6210">
        <w:t>TasNetworks'</w:t>
      </w:r>
      <w:r w:rsidR="009305BF" w:rsidRPr="00FD0BEC">
        <w:t xml:space="preserve"> approved revenue in the 201</w:t>
      </w:r>
      <w:r w:rsidR="009305BF">
        <w:t>7–18</w:t>
      </w:r>
      <w:r w:rsidR="009305BF" w:rsidRPr="00FD0BEC">
        <w:t xml:space="preserve"> pricing proposal </w:t>
      </w:r>
    </w:p>
    <w:p w:rsidR="009305BF" w:rsidRDefault="0036526B" w:rsidP="009305BF">
      <w:pPr>
        <w:pStyle w:val="AERbulletlistfirststyle"/>
      </w:pPr>
      <m:oMath>
        <m:sSub>
          <m:sSubPr>
            <m:ctrlPr>
              <w:rPr>
                <w:rFonts w:ascii="Cambria Math" w:hAnsi="Cambria Math"/>
              </w:rPr>
            </m:ctrlPr>
          </m:sSubPr>
          <m:e>
            <m:r>
              <w:rPr>
                <w:rFonts w:ascii="Cambria Math" w:hAnsi="Cambria Math"/>
              </w:rPr>
              <m:t>AR</m:t>
            </m:r>
          </m:e>
          <m:sub>
            <m:r>
              <m:rPr>
                <m:sty m:val="p"/>
              </m:rPr>
              <w:rPr>
                <w:rFonts w:ascii="Cambria Math" w:hAnsi="Cambria Math"/>
              </w:rPr>
              <m:t>2018-19</m:t>
            </m:r>
          </m:sub>
        </m:sSub>
      </m:oMath>
      <w:r w:rsidR="009305BF" w:rsidRPr="00FD0BEC">
        <w:t xml:space="preserve"> </w:t>
      </w:r>
      <w:proofErr w:type="gramStart"/>
      <w:r w:rsidR="009305BF" w:rsidRPr="00FD0BEC">
        <w:t>is</w:t>
      </w:r>
      <w:proofErr w:type="gramEnd"/>
      <w:r w:rsidR="009305BF" w:rsidRPr="00FD0BEC">
        <w:t xml:space="preserve"> </w:t>
      </w:r>
      <w:proofErr w:type="spellStart"/>
      <w:r w:rsidR="007B6210">
        <w:t>TasNetwoks</w:t>
      </w:r>
      <w:proofErr w:type="spellEnd"/>
      <w:r w:rsidR="007B6210">
        <w:t>'</w:t>
      </w:r>
      <w:r w:rsidR="007B6210" w:rsidRPr="00FD0BEC">
        <w:t xml:space="preserve"> </w:t>
      </w:r>
      <w:r w:rsidR="009305BF" w:rsidRPr="00FD0BEC">
        <w:t xml:space="preserve">allowable revenue </w:t>
      </w:r>
      <w:r w:rsidR="009305BF">
        <w:t xml:space="preserve">in the </w:t>
      </w:r>
      <w:r w:rsidR="009305BF" w:rsidRPr="00FD0BEC">
        <w:t>final determination 201</w:t>
      </w:r>
      <w:r w:rsidR="009305BF">
        <w:t>8–19</w:t>
      </w:r>
      <w:r w:rsidR="009305BF" w:rsidRPr="00FD0BEC">
        <w:t>.</w:t>
      </w:r>
    </w:p>
    <w:sectPr w:rsidR="009305BF"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A9" w:rsidRPr="00290C63" w:rsidRDefault="00A500A9" w:rsidP="00290C63">
      <w:r>
        <w:separator/>
      </w:r>
    </w:p>
    <w:p w:rsidR="00A500A9" w:rsidRDefault="00A500A9"/>
  </w:endnote>
  <w:endnote w:type="continuationSeparator" w:id="0">
    <w:p w:rsidR="00A500A9" w:rsidRPr="00290C63" w:rsidRDefault="00A500A9" w:rsidP="00290C63">
      <w:r>
        <w:continuationSeparator/>
      </w:r>
    </w:p>
    <w:p w:rsidR="00A500A9" w:rsidRDefault="00A50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A9" w:rsidRPr="00290C63" w:rsidRDefault="00A500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1C5AD6">
      <w:rPr>
        <w:rStyle w:val="PageNumber"/>
        <w:noProof/>
      </w:rPr>
      <w:t>11-19</w:t>
    </w:r>
    <w:r w:rsidRPr="00290C63">
      <w:rPr>
        <w:rStyle w:val="PageNumber"/>
      </w:rPr>
      <w:fldChar w:fldCharType="end"/>
    </w:r>
    <w:r w:rsidRPr="00290C63">
      <w:rPr>
        <w:rStyle w:val="PageNumber"/>
      </w:rPr>
      <w:tab/>
      <w:t>Xxx report—month/year</w:t>
    </w:r>
  </w:p>
  <w:p w:rsidR="00A500A9" w:rsidRDefault="00A500A9"/>
  <w:p w:rsidR="00A500A9" w:rsidRDefault="00A500A9"/>
  <w:p w:rsidR="00A500A9" w:rsidRDefault="00A500A9"/>
  <w:p w:rsidR="00A500A9" w:rsidRDefault="00A500A9"/>
  <w:p w:rsidR="00A500A9" w:rsidRDefault="00A500A9"/>
  <w:p w:rsidR="00A500A9" w:rsidRDefault="00A500A9"/>
  <w:p w:rsidR="00A500A9" w:rsidRDefault="00A500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A500A9" w:rsidRPr="009B6F84" w:rsidRDefault="00A500A9">
        <w:pPr>
          <w:pStyle w:val="Footer"/>
          <w:rPr>
            <w:sz w:val="20"/>
          </w:rPr>
        </w:pPr>
        <w:r>
          <w:fldChar w:fldCharType="begin"/>
        </w:r>
        <w:r>
          <w:instrText xml:space="preserve"> PAGE   \* MERGEFORMAT </w:instrText>
        </w:r>
        <w:r>
          <w:fldChar w:fldCharType="separate"/>
        </w:r>
        <w:r w:rsidR="0036526B">
          <w:rPr>
            <w:noProof/>
          </w:rPr>
          <w:t>11-2</w:t>
        </w:r>
        <w:r>
          <w:rPr>
            <w:noProof/>
          </w:rPr>
          <w:fldChar w:fldCharType="end"/>
        </w:r>
        <w:r>
          <w:rPr>
            <w:noProof/>
          </w:rPr>
          <w:t xml:space="preserve">  </w:t>
        </w:r>
        <w:r>
          <w:t>Attachment 11 – STPIS</w:t>
        </w:r>
        <w:r w:rsidRPr="004523B2">
          <w:t xml:space="preserve"> | </w:t>
        </w:r>
        <w:r>
          <w:t>TasNetworks distribution draft determination</w:t>
        </w:r>
        <w:r w:rsidRPr="004523B2">
          <w:t xml:space="preserve"> 201</w:t>
        </w:r>
        <w:r>
          <w:t>7</w:t>
        </w:r>
        <w:r w:rsidRPr="004523B2">
          <w:t>–</w:t>
        </w:r>
        <w:r>
          <w:t>19</w:t>
        </w:r>
      </w:p>
    </w:sdtContent>
  </w:sdt>
  <w:p w:rsidR="00A500A9" w:rsidRDefault="00A50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A9" w:rsidRPr="00290C63" w:rsidRDefault="00A500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1C5AD6">
      <w:rPr>
        <w:noProof/>
      </w:rPr>
      <w:t>11-19</w:t>
    </w:r>
    <w:r w:rsidRPr="00290C63">
      <w:fldChar w:fldCharType="end"/>
    </w:r>
  </w:p>
  <w:p w:rsidR="00A500A9" w:rsidRDefault="00A500A9">
    <w:pPr>
      <w:pStyle w:val="Footer"/>
    </w:pPr>
  </w:p>
  <w:p w:rsidR="00A500A9" w:rsidRDefault="00A500A9"/>
  <w:p w:rsidR="00A500A9" w:rsidRDefault="00A500A9"/>
  <w:p w:rsidR="00A500A9" w:rsidRDefault="00A500A9"/>
  <w:p w:rsidR="00A500A9" w:rsidRDefault="00A500A9"/>
  <w:p w:rsidR="00A500A9" w:rsidRDefault="00A500A9"/>
  <w:p w:rsidR="00A500A9" w:rsidRDefault="00A500A9"/>
  <w:p w:rsidR="00A500A9" w:rsidRDefault="00A500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A9" w:rsidRPr="00290C63" w:rsidRDefault="00A500A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1C5AD6">
      <w:rPr>
        <w:rStyle w:val="PageNumber"/>
        <w:noProof/>
      </w:rPr>
      <w:t>11-19</w:t>
    </w:r>
    <w:r w:rsidRPr="00290C63">
      <w:rPr>
        <w:rStyle w:val="PageNumber"/>
      </w:rPr>
      <w:fldChar w:fldCharType="end"/>
    </w:r>
    <w:r w:rsidRPr="00290C63">
      <w:rPr>
        <w:rStyle w:val="PageNumber"/>
      </w:rPr>
      <w:tab/>
      <w:t>Xxx report—month/year</w:t>
    </w:r>
  </w:p>
  <w:p w:rsidR="00A500A9" w:rsidRDefault="00A500A9"/>
  <w:p w:rsidR="00A500A9" w:rsidRDefault="00A500A9"/>
  <w:p w:rsidR="00A500A9" w:rsidRDefault="00A500A9"/>
  <w:p w:rsidR="00A500A9" w:rsidRDefault="00A500A9"/>
  <w:p w:rsidR="00A500A9" w:rsidRDefault="00A500A9"/>
  <w:p w:rsidR="00A500A9" w:rsidRDefault="00A500A9"/>
  <w:p w:rsidR="00A500A9" w:rsidRDefault="00A500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500A9" w:rsidRPr="009B6F84" w:rsidRDefault="00A500A9">
        <w:pPr>
          <w:pStyle w:val="Footer"/>
          <w:rPr>
            <w:sz w:val="20"/>
          </w:rPr>
        </w:pPr>
        <w:r>
          <w:fldChar w:fldCharType="begin"/>
        </w:r>
        <w:r>
          <w:instrText xml:space="preserve"> PAGE   \* MERGEFORMAT </w:instrText>
        </w:r>
        <w:r>
          <w:fldChar w:fldCharType="separate"/>
        </w:r>
        <w:r w:rsidR="0036526B">
          <w:rPr>
            <w:noProof/>
          </w:rPr>
          <w:t>11-5</w:t>
        </w:r>
        <w:r>
          <w:rPr>
            <w:noProof/>
          </w:rPr>
          <w:fldChar w:fldCharType="end"/>
        </w:r>
        <w:r>
          <w:rPr>
            <w:noProof/>
          </w:rPr>
          <w:t xml:space="preserve">  </w:t>
        </w:r>
        <w:r>
          <w:t>Attachment 11 – STPIS</w:t>
        </w:r>
        <w:r w:rsidRPr="004523B2">
          <w:t xml:space="preserve"> | </w:t>
        </w:r>
        <w:r>
          <w:t>TasNetworks distribution draft determination</w:t>
        </w:r>
        <w:r w:rsidRPr="004523B2">
          <w:t xml:space="preserve"> 201</w:t>
        </w:r>
        <w:r>
          <w:t>7</w:t>
        </w:r>
        <w:r w:rsidRPr="004523B2">
          <w:t>–</w:t>
        </w:r>
        <w:r>
          <w:t>19</w:t>
        </w:r>
      </w:p>
    </w:sdtContent>
  </w:sdt>
  <w:p w:rsidR="00A500A9" w:rsidRDefault="00A500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A9" w:rsidRPr="00290C63" w:rsidRDefault="00A500A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1C5AD6">
      <w:rPr>
        <w:noProof/>
      </w:rPr>
      <w:t>11-19</w:t>
    </w:r>
    <w:r w:rsidRPr="00290C63">
      <w:fldChar w:fldCharType="end"/>
    </w:r>
  </w:p>
  <w:p w:rsidR="00A500A9" w:rsidRDefault="00A500A9">
    <w:pPr>
      <w:pStyle w:val="Footer"/>
    </w:pPr>
  </w:p>
  <w:p w:rsidR="00A500A9" w:rsidRDefault="00A500A9"/>
  <w:p w:rsidR="00A500A9" w:rsidRDefault="00A500A9"/>
  <w:p w:rsidR="00A500A9" w:rsidRDefault="00A500A9"/>
  <w:p w:rsidR="00A500A9" w:rsidRDefault="00A500A9"/>
  <w:p w:rsidR="00A500A9" w:rsidRDefault="00A500A9"/>
  <w:p w:rsidR="00A500A9" w:rsidRDefault="00A500A9"/>
  <w:p w:rsidR="00A500A9" w:rsidRDefault="00A500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A9" w:rsidRPr="00290C63" w:rsidRDefault="00A500A9" w:rsidP="00290C63">
      <w:r>
        <w:separator/>
      </w:r>
    </w:p>
    <w:p w:rsidR="00A500A9" w:rsidRDefault="00A500A9"/>
  </w:footnote>
  <w:footnote w:type="continuationSeparator" w:id="0">
    <w:p w:rsidR="00A500A9" w:rsidRPr="00290C63" w:rsidRDefault="00A500A9" w:rsidP="00290C63">
      <w:r>
        <w:continuationSeparator/>
      </w:r>
    </w:p>
    <w:p w:rsidR="00A500A9" w:rsidRDefault="00A500A9"/>
  </w:footnote>
  <w:footnote w:id="1">
    <w:p w:rsidR="00A500A9" w:rsidRDefault="00A500A9" w:rsidP="008E771D">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00BA4EA2">
        <w:t xml:space="preserve">, </w:t>
      </w:r>
      <w:r w:rsidRPr="005D44E7">
        <w:t xml:space="preserve">November 2009. (AER, </w:t>
      </w:r>
      <w:r w:rsidRPr="000565BE">
        <w:rPr>
          <w:rStyle w:val="AERtextitalic"/>
        </w:rPr>
        <w:t>STPIS</w:t>
      </w:r>
      <w:r w:rsidRPr="005D44E7">
        <w:t>, Nov</w:t>
      </w:r>
      <w:r>
        <w:t>ember</w:t>
      </w:r>
      <w:r w:rsidRPr="005D44E7">
        <w:t xml:space="preserve"> 2009).</w:t>
      </w:r>
    </w:p>
  </w:footnote>
  <w:footnote w:id="2">
    <w:p w:rsidR="00B956F7" w:rsidRPr="00A04679" w:rsidRDefault="00B956F7" w:rsidP="00B956F7">
      <w:pPr>
        <w:pStyle w:val="FootnoteText"/>
        <w:rPr>
          <w:i/>
        </w:rPr>
      </w:pPr>
      <w:r>
        <w:rPr>
          <w:rStyle w:val="FootnoteReference"/>
        </w:rPr>
        <w:footnoteRef/>
      </w:r>
      <w:r>
        <w:t xml:space="preserve"> </w:t>
      </w:r>
      <w:r>
        <w:tab/>
      </w:r>
      <w:proofErr w:type="gramStart"/>
      <w:r w:rsidRPr="002316EC">
        <w:t>AER</w:t>
      </w:r>
      <w:r w:rsidRPr="002316EC">
        <w:rPr>
          <w:rStyle w:val="AERtextitalic"/>
        </w:rPr>
        <w:t xml:space="preserve">, Final framework and approach for </w:t>
      </w:r>
      <w:r>
        <w:rPr>
          <w:rStyle w:val="AERtextitalic"/>
        </w:rPr>
        <w:t xml:space="preserve">TasNetworks </w:t>
      </w:r>
      <w:r w:rsidRPr="00A04679">
        <w:rPr>
          <w:rStyle w:val="AERtextitalic"/>
        </w:rPr>
        <w:t>Distribution</w:t>
      </w:r>
      <w:r w:rsidRPr="002316EC">
        <w:rPr>
          <w:rStyle w:val="AERtextitalic"/>
        </w:rPr>
        <w:t xml:space="preserve">, </w:t>
      </w:r>
      <w:r w:rsidRPr="00A04679">
        <w:rPr>
          <w:rStyle w:val="AERtextitalic"/>
        </w:rPr>
        <w:t>for the</w:t>
      </w:r>
      <w:r>
        <w:rPr>
          <w:rStyle w:val="AERtextitalic"/>
        </w:rPr>
        <w:t xml:space="preserve"> </w:t>
      </w:r>
      <w:r w:rsidRPr="00A04679">
        <w:rPr>
          <w:rStyle w:val="AERtextitalic"/>
        </w:rPr>
        <w:t>Regulatory control period commencing 1 July 2017</w:t>
      </w:r>
      <w:r w:rsidRPr="002316EC">
        <w:t xml:space="preserve">, </w:t>
      </w:r>
      <w:r w:rsidRPr="00A04679">
        <w:t>July 2015</w:t>
      </w:r>
      <w:r>
        <w:t>, p. 15.</w:t>
      </w:r>
      <w:proofErr w:type="gramEnd"/>
      <w:r>
        <w:t xml:space="preserve"> </w:t>
      </w:r>
    </w:p>
  </w:footnote>
  <w:footnote w:id="3">
    <w:p w:rsidR="00634C07" w:rsidRDefault="00634C07" w:rsidP="00634C07">
      <w:pPr>
        <w:pStyle w:val="FootnoteText"/>
      </w:pPr>
      <w:r>
        <w:rPr>
          <w:rStyle w:val="FootnoteReference"/>
        </w:rPr>
        <w:footnoteRef/>
      </w:r>
      <w:r>
        <w:t xml:space="preserve"> </w:t>
      </w:r>
      <w:r>
        <w:tab/>
        <w:t xml:space="preserve">TasNetworks, </w:t>
      </w:r>
      <w:r w:rsidRPr="00FD74DD">
        <w:rPr>
          <w:rStyle w:val="Emphasis"/>
        </w:rPr>
        <w:t>Tasmanian Distribution Regulatory Proposal, Regulatory Control Period 1 July 2017 to 30 June 2019</w:t>
      </w:r>
      <w:r>
        <w:t xml:space="preserve">, </w:t>
      </w:r>
      <w:r w:rsidRPr="009364A5">
        <w:t>29 January 2016</w:t>
      </w:r>
      <w:r>
        <w:t xml:space="preserve">, pp. 125–126; TasNetworks, </w:t>
      </w:r>
      <w:r>
        <w:rPr>
          <w:rStyle w:val="Emphasis"/>
        </w:rPr>
        <w:t>TN Response AER Request IR004-</w:t>
      </w:r>
      <w:r w:rsidRPr="00D01B4F">
        <w:rPr>
          <w:rStyle w:val="Emphasis"/>
        </w:rPr>
        <w:t>STPIS</w:t>
      </w:r>
      <w:r>
        <w:t xml:space="preserve">, 17 May 2016; TasNetworks, </w:t>
      </w:r>
      <w:r>
        <w:rPr>
          <w:rStyle w:val="Emphasis"/>
        </w:rPr>
        <w:t>TN Response AER Request IR004-</w:t>
      </w:r>
      <w:r w:rsidRPr="00D01B4F">
        <w:rPr>
          <w:rStyle w:val="Emphasis"/>
        </w:rPr>
        <w:t>STPIS</w:t>
      </w:r>
      <w:r>
        <w:t>, 17 June 2016;</w:t>
      </w:r>
      <w:r w:rsidRPr="00D01B4F">
        <w:t xml:space="preserve"> </w:t>
      </w:r>
      <w:r>
        <w:t xml:space="preserve">TasNetworks, </w:t>
      </w:r>
      <w:r>
        <w:rPr>
          <w:rStyle w:val="Emphasis"/>
        </w:rPr>
        <w:t>TN Response AER Request IR004-</w:t>
      </w:r>
      <w:r w:rsidRPr="00D01B4F">
        <w:rPr>
          <w:rStyle w:val="Emphasis"/>
        </w:rPr>
        <w:t>STPIS</w:t>
      </w:r>
      <w:r>
        <w:t>, 15 July 2016.</w:t>
      </w:r>
    </w:p>
  </w:footnote>
  <w:footnote w:id="4">
    <w:p w:rsidR="00A500A9" w:rsidRDefault="00A500A9" w:rsidP="00087A8A">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5">
    <w:p w:rsidR="00A500A9" w:rsidRDefault="00A500A9" w:rsidP="005C5C7F">
      <w:pPr>
        <w:pStyle w:val="FootnoteText"/>
      </w:pPr>
      <w:r>
        <w:rPr>
          <w:rStyle w:val="FootnoteReference"/>
        </w:rPr>
        <w:footnoteRef/>
      </w:r>
      <w:r>
        <w:t xml:space="preserve"> </w:t>
      </w:r>
      <w:r>
        <w:tab/>
        <w:t xml:space="preserve">NER, cl </w:t>
      </w:r>
      <w:r w:rsidRPr="00545D68">
        <w:t>6.8.1(b</w:t>
      </w:r>
      <w:proofErr w:type="gramStart"/>
      <w:r w:rsidRPr="00545D68">
        <w:t>)</w:t>
      </w:r>
      <w:r>
        <w:t>(</w:t>
      </w:r>
      <w:proofErr w:type="gramEnd"/>
      <w:r>
        <w:t>2)(iii)</w:t>
      </w:r>
      <w:r w:rsidRPr="00545D68">
        <w:t xml:space="preserve">, </w:t>
      </w:r>
      <w:r>
        <w:t>.</w:t>
      </w:r>
    </w:p>
  </w:footnote>
  <w:footnote w:id="6">
    <w:p w:rsidR="00A500A9" w:rsidRPr="00A04679" w:rsidRDefault="00A500A9" w:rsidP="00A04679">
      <w:pPr>
        <w:pStyle w:val="FootnoteText"/>
        <w:rPr>
          <w:i/>
        </w:rPr>
      </w:pPr>
      <w:r>
        <w:rPr>
          <w:rStyle w:val="FootnoteReference"/>
        </w:rPr>
        <w:footnoteRef/>
      </w:r>
      <w:r>
        <w:t xml:space="preserve"> </w:t>
      </w:r>
      <w:r>
        <w:tab/>
      </w:r>
      <w:proofErr w:type="gramStart"/>
      <w:r w:rsidRPr="002316EC">
        <w:t>AER</w:t>
      </w:r>
      <w:r w:rsidRPr="002316EC">
        <w:rPr>
          <w:rStyle w:val="AERtextitalic"/>
        </w:rPr>
        <w:t xml:space="preserve">, Final framework and approach for </w:t>
      </w:r>
      <w:r>
        <w:rPr>
          <w:rStyle w:val="AERtextitalic"/>
        </w:rPr>
        <w:t xml:space="preserve">TasNetworks </w:t>
      </w:r>
      <w:r w:rsidRPr="00A04679">
        <w:rPr>
          <w:rStyle w:val="AERtextitalic"/>
        </w:rPr>
        <w:t>Distribution</w:t>
      </w:r>
      <w:r w:rsidRPr="002316EC">
        <w:rPr>
          <w:rStyle w:val="AERtextitalic"/>
        </w:rPr>
        <w:t xml:space="preserve">, </w:t>
      </w:r>
      <w:r w:rsidRPr="00A04679">
        <w:rPr>
          <w:rStyle w:val="AERtextitalic"/>
        </w:rPr>
        <w:t>for the</w:t>
      </w:r>
      <w:r>
        <w:rPr>
          <w:rStyle w:val="AERtextitalic"/>
        </w:rPr>
        <w:t xml:space="preserve"> </w:t>
      </w:r>
      <w:r w:rsidRPr="00A04679">
        <w:rPr>
          <w:rStyle w:val="AERtextitalic"/>
        </w:rPr>
        <w:t>Regulatory control period commencing 1 July 2017</w:t>
      </w:r>
      <w:r w:rsidRPr="002316EC">
        <w:t xml:space="preserve">, </w:t>
      </w:r>
      <w:r w:rsidRPr="00A04679">
        <w:t>July 2015</w:t>
      </w:r>
      <w:r>
        <w:t>, p. 15.</w:t>
      </w:r>
      <w:proofErr w:type="gramEnd"/>
      <w:r>
        <w:t xml:space="preserve"> </w:t>
      </w:r>
    </w:p>
  </w:footnote>
  <w:footnote w:id="7">
    <w:p w:rsidR="00A500A9" w:rsidRDefault="00A500A9" w:rsidP="005C5C7F">
      <w:pPr>
        <w:pStyle w:val="FootnoteText"/>
      </w:pPr>
      <w:r>
        <w:rPr>
          <w:rStyle w:val="FootnoteReference"/>
        </w:rPr>
        <w:footnoteRef/>
      </w:r>
      <w:r>
        <w:t xml:space="preserve"> </w:t>
      </w:r>
      <w:r>
        <w:tab/>
        <w:t>V</w:t>
      </w:r>
      <w:r w:rsidRPr="002316EC">
        <w:t>alues determined from the most recent Australian Energy Market Operator (AEMO) review of VCR values</w:t>
      </w:r>
      <w:r>
        <w:t>.</w:t>
      </w:r>
    </w:p>
  </w:footnote>
  <w:footnote w:id="8">
    <w:p w:rsidR="00A500A9" w:rsidRDefault="00A500A9">
      <w:pPr>
        <w:pStyle w:val="FootnoteText"/>
      </w:pPr>
      <w:r>
        <w:rPr>
          <w:rStyle w:val="FootnoteReference"/>
        </w:rPr>
        <w:footnoteRef/>
      </w:r>
      <w:r>
        <w:t xml:space="preserve"> </w:t>
      </w:r>
      <w:r>
        <w:tab/>
        <w:t xml:space="preserve">TasNetworks, </w:t>
      </w:r>
      <w:r w:rsidRPr="00FD74DD">
        <w:rPr>
          <w:rStyle w:val="Emphasis"/>
        </w:rPr>
        <w:t>Tasmanian Distribution Regulatory Proposal, Regulatory Control Period 1 July 2017 to 30 June 2019</w:t>
      </w:r>
      <w:r>
        <w:t xml:space="preserve">, </w:t>
      </w:r>
      <w:r w:rsidRPr="009364A5">
        <w:t>29 January 2016</w:t>
      </w:r>
      <w:r>
        <w:t>, p. 125.</w:t>
      </w:r>
    </w:p>
  </w:footnote>
  <w:footnote w:id="9">
    <w:p w:rsidR="00A500A9" w:rsidRDefault="00A500A9" w:rsidP="00D53BAF">
      <w:pPr>
        <w:pStyle w:val="FootnoteText"/>
      </w:pPr>
      <w:r>
        <w:rPr>
          <w:rStyle w:val="FootnoteReference"/>
        </w:rPr>
        <w:footnoteRef/>
      </w:r>
      <w:r>
        <w:t xml:space="preserve"> </w:t>
      </w:r>
      <w:r>
        <w:tab/>
        <w:t xml:space="preserve">TasNetworks, </w:t>
      </w:r>
      <w:r w:rsidRPr="00FD74DD">
        <w:rPr>
          <w:rStyle w:val="Emphasis"/>
        </w:rPr>
        <w:t>Tasmanian Distribution Regulatory Proposal, Regulatory Control Period 1 July 2017 to 30 June 2019</w:t>
      </w:r>
      <w:r>
        <w:t xml:space="preserve">, </w:t>
      </w:r>
      <w:r w:rsidRPr="009364A5">
        <w:t>29 January 2016</w:t>
      </w:r>
      <w:r>
        <w:t>, pp. 125–126.</w:t>
      </w:r>
    </w:p>
  </w:footnote>
  <w:footnote w:id="10">
    <w:p w:rsidR="00A500A9" w:rsidRDefault="00A500A9" w:rsidP="00D53BAF">
      <w:pPr>
        <w:pStyle w:val="FootnoteText"/>
      </w:pPr>
      <w:r>
        <w:rPr>
          <w:rStyle w:val="FootnoteReference"/>
        </w:rPr>
        <w:footnoteRef/>
      </w:r>
      <w:r>
        <w:t xml:space="preserve"> </w:t>
      </w:r>
      <w:r>
        <w:tab/>
      </w:r>
      <w:proofErr w:type="gramStart"/>
      <w:r w:rsidR="00D9022F">
        <w:t>AER,</w:t>
      </w:r>
      <w:r w:rsidR="00D9022F" w:rsidRPr="00D9022F">
        <w:t xml:space="preserve"> </w:t>
      </w:r>
      <w:r w:rsidR="00D9022F" w:rsidRPr="00D9022F">
        <w:rPr>
          <w:rStyle w:val="AERtextitalic"/>
        </w:rPr>
        <w:t>Final decision Ergon Energy distribution determination</w:t>
      </w:r>
      <w:r w:rsidR="00D9022F">
        <w:rPr>
          <w:rStyle w:val="AERtextitalic"/>
        </w:rPr>
        <w:t xml:space="preserve"> </w:t>
      </w:r>
      <w:r w:rsidR="00D9022F" w:rsidRPr="00D9022F">
        <w:rPr>
          <w:rStyle w:val="AERtextitalic"/>
        </w:rPr>
        <w:t>2015−16 to 2019−20</w:t>
      </w:r>
      <w:r w:rsidR="00D9022F">
        <w:t xml:space="preserve">, October 2015; </w:t>
      </w:r>
      <w:r w:rsidR="00D9022F" w:rsidRPr="00D9022F">
        <w:t>AER</w:t>
      </w:r>
      <w:r w:rsidR="00D9022F">
        <w:t>,</w:t>
      </w:r>
      <w:r w:rsidR="00D9022F" w:rsidRPr="00D9022F">
        <w:t xml:space="preserve"> </w:t>
      </w:r>
      <w:r w:rsidR="00D9022F" w:rsidRPr="00D9022F">
        <w:rPr>
          <w:rStyle w:val="AERtextitalic"/>
        </w:rPr>
        <w:t>Final decision Energex distribution determination</w:t>
      </w:r>
      <w:r w:rsidR="00D9022F">
        <w:rPr>
          <w:rStyle w:val="AERtextitalic"/>
        </w:rPr>
        <w:t xml:space="preserve"> </w:t>
      </w:r>
      <w:r w:rsidR="00D9022F" w:rsidRPr="00D9022F">
        <w:rPr>
          <w:rStyle w:val="AERtextitalic"/>
        </w:rPr>
        <w:t>2015−16 to 2019−20</w:t>
      </w:r>
      <w:r w:rsidR="00D9022F">
        <w:t>,</w:t>
      </w:r>
      <w:r w:rsidR="00D9022F" w:rsidRPr="00D9022F">
        <w:t xml:space="preserve"> October 2015</w:t>
      </w:r>
      <w:r w:rsidR="00D9022F">
        <w:t>.</w:t>
      </w:r>
      <w:proofErr w:type="gramEnd"/>
    </w:p>
  </w:footnote>
  <w:footnote w:id="11">
    <w:p w:rsidR="00A500A9" w:rsidRDefault="00A500A9" w:rsidP="00DF4A21">
      <w:pPr>
        <w:pStyle w:val="FootnoteText"/>
      </w:pPr>
      <w:r>
        <w:rPr>
          <w:rStyle w:val="FootnoteReference"/>
        </w:rPr>
        <w:footnoteRef/>
      </w:r>
      <w:r>
        <w:t xml:space="preserve"> </w:t>
      </w:r>
      <w:r>
        <w:tab/>
      </w:r>
      <w:proofErr w:type="gramStart"/>
      <w:r>
        <w:t>NER, cl. 6.12.1(a).</w:t>
      </w:r>
      <w:proofErr w:type="gramEnd"/>
    </w:p>
  </w:footnote>
  <w:footnote w:id="12">
    <w:p w:rsidR="00A500A9" w:rsidRDefault="00A500A9" w:rsidP="00DF4A21">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3">
    <w:p w:rsidR="00A500A9" w:rsidRDefault="00A500A9" w:rsidP="00EC2090">
      <w:pPr>
        <w:pStyle w:val="FootnoteText"/>
      </w:pPr>
      <w:r>
        <w:rPr>
          <w:rStyle w:val="FootnoteReference"/>
        </w:rPr>
        <w:footnoteRef/>
      </w:r>
      <w:r>
        <w:t xml:space="preserve"> </w:t>
      </w:r>
      <w:r>
        <w:tab/>
        <w:t>NER, cl. 6.6.2(b</w:t>
      </w:r>
      <w:proofErr w:type="gramStart"/>
      <w:r>
        <w:t>)(</w:t>
      </w:r>
      <w:proofErr w:type="gramEnd"/>
      <w:r>
        <w:t>3)(iv).</w:t>
      </w:r>
    </w:p>
  </w:footnote>
  <w:footnote w:id="14">
    <w:p w:rsidR="00A500A9" w:rsidRPr="00A04679" w:rsidRDefault="00A500A9" w:rsidP="00C92A54">
      <w:pPr>
        <w:pStyle w:val="FootnoteText"/>
        <w:rPr>
          <w:i/>
        </w:rPr>
      </w:pPr>
      <w:r>
        <w:rPr>
          <w:rStyle w:val="FootnoteReference"/>
        </w:rPr>
        <w:footnoteRef/>
      </w:r>
      <w:r>
        <w:t xml:space="preserve"> </w:t>
      </w:r>
      <w:r>
        <w:tab/>
      </w:r>
      <w:proofErr w:type="gramStart"/>
      <w:r w:rsidRPr="002316EC">
        <w:t>AER</w:t>
      </w:r>
      <w:r w:rsidRPr="002316EC">
        <w:rPr>
          <w:rStyle w:val="AERtextitalic"/>
        </w:rPr>
        <w:t xml:space="preserve">, Final framework and approach for </w:t>
      </w:r>
      <w:r>
        <w:rPr>
          <w:rStyle w:val="AERtextitalic"/>
        </w:rPr>
        <w:t xml:space="preserve">TasNetworks </w:t>
      </w:r>
      <w:r w:rsidRPr="00A04679">
        <w:rPr>
          <w:rStyle w:val="AERtextitalic"/>
        </w:rPr>
        <w:t>Distribution</w:t>
      </w:r>
      <w:r w:rsidRPr="002316EC">
        <w:rPr>
          <w:rStyle w:val="AERtextitalic"/>
        </w:rPr>
        <w:t xml:space="preserve">, </w:t>
      </w:r>
      <w:r w:rsidRPr="00A04679">
        <w:rPr>
          <w:rStyle w:val="AERtextitalic"/>
        </w:rPr>
        <w:t>for the</w:t>
      </w:r>
      <w:r>
        <w:rPr>
          <w:rStyle w:val="AERtextitalic"/>
        </w:rPr>
        <w:t xml:space="preserve"> </w:t>
      </w:r>
      <w:r w:rsidRPr="00A04679">
        <w:rPr>
          <w:rStyle w:val="AERtextitalic"/>
        </w:rPr>
        <w:t>Regulatory control period commencing 1 July 2017</w:t>
      </w:r>
      <w:r w:rsidRPr="002316EC">
        <w:t xml:space="preserve">, </w:t>
      </w:r>
      <w:r w:rsidRPr="00A04679">
        <w:t>July 2015</w:t>
      </w:r>
      <w:r>
        <w:t>, p. 15.</w:t>
      </w:r>
      <w:proofErr w:type="gramEnd"/>
      <w:r>
        <w:t xml:space="preserve"> </w:t>
      </w:r>
    </w:p>
  </w:footnote>
  <w:footnote w:id="15">
    <w:p w:rsidR="00A500A9" w:rsidRPr="00A04679" w:rsidRDefault="00A500A9" w:rsidP="0008264C">
      <w:pPr>
        <w:pStyle w:val="FootnoteText"/>
        <w:rPr>
          <w:i/>
        </w:rPr>
      </w:pPr>
      <w:r>
        <w:rPr>
          <w:rStyle w:val="FootnoteReference"/>
        </w:rPr>
        <w:footnoteRef/>
      </w:r>
      <w:r>
        <w:t xml:space="preserve"> </w:t>
      </w:r>
      <w:r>
        <w:tab/>
      </w:r>
      <w:proofErr w:type="gramStart"/>
      <w:r w:rsidRPr="002316EC">
        <w:t>AER</w:t>
      </w:r>
      <w:r w:rsidRPr="002316EC">
        <w:rPr>
          <w:rStyle w:val="AERtextitalic"/>
        </w:rPr>
        <w:t xml:space="preserve">, Final framework and approach for </w:t>
      </w:r>
      <w:r>
        <w:rPr>
          <w:rStyle w:val="AERtextitalic"/>
        </w:rPr>
        <w:t xml:space="preserve">TasNetworks </w:t>
      </w:r>
      <w:r w:rsidRPr="00A04679">
        <w:rPr>
          <w:rStyle w:val="AERtextitalic"/>
        </w:rPr>
        <w:t>Distribution</w:t>
      </w:r>
      <w:r w:rsidRPr="002316EC">
        <w:rPr>
          <w:rStyle w:val="AERtextitalic"/>
        </w:rPr>
        <w:t xml:space="preserve">, </w:t>
      </w:r>
      <w:r w:rsidRPr="00A04679">
        <w:rPr>
          <w:rStyle w:val="AERtextitalic"/>
        </w:rPr>
        <w:t>for the</w:t>
      </w:r>
      <w:r>
        <w:rPr>
          <w:rStyle w:val="AERtextitalic"/>
        </w:rPr>
        <w:t xml:space="preserve"> </w:t>
      </w:r>
      <w:r w:rsidRPr="00A04679">
        <w:rPr>
          <w:rStyle w:val="AERtextitalic"/>
        </w:rPr>
        <w:t>Regulatory control period commencing 1 July 2017</w:t>
      </w:r>
      <w:r w:rsidRPr="002316EC">
        <w:t xml:space="preserve">, </w:t>
      </w:r>
      <w:r w:rsidRPr="00A04679">
        <w:t>July 2015</w:t>
      </w:r>
      <w:r>
        <w:t>, p. 15.</w:t>
      </w:r>
      <w:proofErr w:type="gramEnd"/>
      <w:r>
        <w:t xml:space="preserve"> </w:t>
      </w:r>
    </w:p>
  </w:footnote>
  <w:footnote w:id="16">
    <w:p w:rsidR="00A500A9" w:rsidRDefault="00A500A9" w:rsidP="00813EAD">
      <w:pPr>
        <w:pStyle w:val="FootnoteText"/>
      </w:pPr>
      <w:r>
        <w:rPr>
          <w:rStyle w:val="FootnoteReference"/>
        </w:rPr>
        <w:footnoteRef/>
      </w:r>
      <w:r>
        <w:t xml:space="preserve"> </w:t>
      </w:r>
      <w:r>
        <w:tab/>
        <w:t xml:space="preserve">TasNetworks, </w:t>
      </w:r>
      <w:r w:rsidRPr="00FD74DD">
        <w:rPr>
          <w:rStyle w:val="Emphasis"/>
        </w:rPr>
        <w:t>Tasmanian Distribution Regulatory Proposal, Regulatory Control Period 1 July 2017 to 30 June 2019, 29 January 2016</w:t>
      </w:r>
      <w:r>
        <w:t>, pp. 125–126.</w:t>
      </w:r>
    </w:p>
  </w:footnote>
  <w:footnote w:id="17">
    <w:p w:rsidR="00A500A9" w:rsidRDefault="00A500A9" w:rsidP="007A30F4">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8">
    <w:p w:rsidR="00A500A9" w:rsidRDefault="00A500A9" w:rsidP="005844EE">
      <w:pPr>
        <w:pStyle w:val="FootnoteText"/>
      </w:pPr>
      <w:r>
        <w:rPr>
          <w:rStyle w:val="FootnoteReference"/>
        </w:rPr>
        <w:footnoteRef/>
      </w:r>
      <w:r>
        <w:t xml:space="preserve"> </w:t>
      </w:r>
      <w:r>
        <w:tab/>
        <w:t xml:space="preserve">TasNetworks, Supplementary information to </w:t>
      </w:r>
      <w:r w:rsidRPr="00191FF2">
        <w:rPr>
          <w:rStyle w:val="AERtextitalic"/>
        </w:rPr>
        <w:t>AER information request – TasNetworks Distribution – IR#010 – STPIS</w:t>
      </w:r>
      <w:r>
        <w:t>, 15 July 2016.</w:t>
      </w:r>
    </w:p>
  </w:footnote>
  <w:footnote w:id="19">
    <w:p w:rsidR="00A500A9" w:rsidRDefault="00A500A9" w:rsidP="00A734E6">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20">
    <w:p w:rsidR="00A500A9" w:rsidRDefault="00A500A9" w:rsidP="00DF6262">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21">
    <w:p w:rsidR="00BA7C60" w:rsidRDefault="00BA7C60" w:rsidP="00BA7C60">
      <w:pPr>
        <w:pStyle w:val="FootnoteText"/>
      </w:pPr>
      <w:r>
        <w:rPr>
          <w:rStyle w:val="FootnoteReference"/>
        </w:rPr>
        <w:footnoteRef/>
      </w:r>
      <w:r>
        <w:t xml:space="preserve"> </w:t>
      </w:r>
      <w:r>
        <w:tab/>
      </w:r>
      <w:proofErr w:type="gramStart"/>
      <w:r>
        <w:t>AER,</w:t>
      </w:r>
      <w:r w:rsidRPr="00D9022F">
        <w:t xml:space="preserve"> </w:t>
      </w:r>
      <w:r w:rsidRPr="00D9022F">
        <w:rPr>
          <w:rStyle w:val="AERtextitalic"/>
        </w:rPr>
        <w:t>Final decision Ergon Energy distribution determination</w:t>
      </w:r>
      <w:r>
        <w:rPr>
          <w:rStyle w:val="AERtextitalic"/>
        </w:rPr>
        <w:t xml:space="preserve"> </w:t>
      </w:r>
      <w:r w:rsidRPr="00D9022F">
        <w:rPr>
          <w:rStyle w:val="AERtextitalic"/>
        </w:rPr>
        <w:t>2015−16 to 2019−20</w:t>
      </w:r>
      <w:r>
        <w:t xml:space="preserve">, October 2015; </w:t>
      </w:r>
      <w:r w:rsidRPr="00D9022F">
        <w:t>AER</w:t>
      </w:r>
      <w:r>
        <w:t>,</w:t>
      </w:r>
      <w:r w:rsidRPr="00D9022F">
        <w:t xml:space="preserve"> </w:t>
      </w:r>
      <w:r w:rsidRPr="00D9022F">
        <w:rPr>
          <w:rStyle w:val="AERtextitalic"/>
        </w:rPr>
        <w:t>Final decision Energex distribution determination</w:t>
      </w:r>
      <w:r>
        <w:rPr>
          <w:rStyle w:val="AERtextitalic"/>
        </w:rPr>
        <w:t xml:space="preserve"> </w:t>
      </w:r>
      <w:r w:rsidRPr="00D9022F">
        <w:rPr>
          <w:rStyle w:val="AERtextitalic"/>
        </w:rPr>
        <w:t>2015−16 to 2019−20</w:t>
      </w:r>
      <w:r>
        <w:t>,</w:t>
      </w:r>
      <w:r w:rsidRPr="00D9022F">
        <w:t xml:space="preserve"> October 2015</w:t>
      </w:r>
      <w:r>
        <w:t>.</w:t>
      </w:r>
      <w:proofErr w:type="gramEnd"/>
    </w:p>
  </w:footnote>
  <w:footnote w:id="22">
    <w:p w:rsidR="00A500A9" w:rsidRDefault="00A500A9">
      <w:pPr>
        <w:pStyle w:val="FootnoteText"/>
      </w:pPr>
      <w:r>
        <w:rPr>
          <w:rStyle w:val="FootnoteReference"/>
        </w:rPr>
        <w:footnoteRef/>
      </w:r>
      <w:r>
        <w:t xml:space="preserve"> </w:t>
      </w:r>
      <w:r>
        <w:tab/>
      </w:r>
      <w:r w:rsidRPr="00C045E1">
        <w:t>These are the capital expenditure sharing scheme (CESS) for capex, and the efficiency benefit sharing scheme (EBSS) for opex.</w:t>
      </w:r>
    </w:p>
  </w:footnote>
  <w:footnote w:id="23">
    <w:p w:rsidR="00A500A9" w:rsidRDefault="00A500A9">
      <w:pPr>
        <w:pStyle w:val="FootnoteText"/>
      </w:pPr>
      <w:r>
        <w:rPr>
          <w:rStyle w:val="FootnoteReference"/>
        </w:rPr>
        <w:footnoteRef/>
      </w:r>
      <w:r>
        <w:t xml:space="preserve"> </w:t>
      </w:r>
      <w:r>
        <w:tab/>
      </w:r>
      <w:proofErr w:type="gramStart"/>
      <w:r w:rsidRPr="00B65164">
        <w:t xml:space="preserve">AER, </w:t>
      </w:r>
      <w:r w:rsidRPr="00FD74DD">
        <w:rPr>
          <w:rStyle w:val="Emphasis"/>
        </w:rPr>
        <w:t>Electricity distribution network service providers – service target performance incentive scheme</w:t>
      </w:r>
      <w:r w:rsidRPr="00B65164">
        <w:t>, 1 November 2009, clauses 2.5(d) and (e).</w:t>
      </w:r>
      <w:proofErr w:type="gramEnd"/>
    </w:p>
  </w:footnote>
  <w:footnote w:id="24">
    <w:p w:rsidR="00A500A9" w:rsidRDefault="00A500A9">
      <w:pPr>
        <w:pStyle w:val="FootnoteText"/>
      </w:pPr>
      <w:r>
        <w:rPr>
          <w:rStyle w:val="FootnoteReference"/>
        </w:rPr>
        <w:footnoteRef/>
      </w:r>
      <w:r>
        <w:t xml:space="preserve"> </w:t>
      </w:r>
      <w:r>
        <w:tab/>
        <w:t>Telephone service has ± 0</w:t>
      </w:r>
      <w:r w:rsidRPr="008046C7">
        <w:t>.5 per cent</w:t>
      </w:r>
      <w:r>
        <w:t xml:space="preserve"> cap of revenue at risk, among the ± </w:t>
      </w:r>
      <w:r w:rsidRPr="008046C7">
        <w:t>5 per cent</w:t>
      </w:r>
      <w:r>
        <w:t xml:space="preserve"> cap of the total revenue at risk.</w:t>
      </w:r>
    </w:p>
  </w:footnote>
  <w:footnote w:id="25">
    <w:p w:rsidR="00A500A9" w:rsidRDefault="00A500A9">
      <w:pPr>
        <w:pStyle w:val="FootnoteText"/>
      </w:pPr>
      <w:r>
        <w:rPr>
          <w:rStyle w:val="FootnoteReference"/>
        </w:rPr>
        <w:footnoteRef/>
      </w:r>
      <w:r>
        <w:t xml:space="preserve"> </w:t>
      </w:r>
      <w:r>
        <w:tab/>
      </w:r>
      <w:proofErr w:type="gramStart"/>
      <w:r>
        <w:t xml:space="preserve">Based on the statement contained in </w:t>
      </w:r>
      <w:r w:rsidRPr="003A2926">
        <w:rPr>
          <w:rStyle w:val="AERtextitalic"/>
        </w:rPr>
        <w:t>Bell Bay Aluminium - Submission on TasNetworks' revised proposal - 6 February 2015</w:t>
      </w:r>
      <w:r>
        <w:t>,</w:t>
      </w:r>
      <w:r w:rsidRPr="003A2926">
        <w:t xml:space="preserve"> </w:t>
      </w:r>
      <w:r>
        <w:t>that "</w:t>
      </w:r>
      <w:r w:rsidRPr="003A2926">
        <w:t>as</w:t>
      </w:r>
      <w:r>
        <w:t xml:space="preserve"> </w:t>
      </w:r>
      <w:r w:rsidRPr="003A2926">
        <w:t>Tasmania’s largest electricity consumer, the Bell Bay Smelter consumes more than 25% of the State’s electricity demand.</w:t>
      </w:r>
      <w:r>
        <w:t>"</w:t>
      </w:r>
      <w:proofErr w:type="gramEnd"/>
    </w:p>
  </w:footnote>
  <w:footnote w:id="26">
    <w:p w:rsidR="00A500A9" w:rsidRDefault="00A500A9">
      <w:pPr>
        <w:pStyle w:val="FootnoteText"/>
      </w:pPr>
      <w:r>
        <w:rPr>
          <w:rStyle w:val="FootnoteReference"/>
        </w:rPr>
        <w:footnoteRef/>
      </w:r>
      <w:r>
        <w:t xml:space="preserve"> </w:t>
      </w:r>
      <w:r>
        <w:tab/>
      </w:r>
      <w:proofErr w:type="gramStart"/>
      <w:r>
        <w:t xml:space="preserve">AER, </w:t>
      </w:r>
      <w:r w:rsidRPr="00FD74DD">
        <w:rPr>
          <w:rStyle w:val="Emphasis"/>
        </w:rPr>
        <w:t>Final framework and approach paper Application of schemes, Energex and Ergon Energy 2010–15</w:t>
      </w:r>
      <w:r>
        <w:t xml:space="preserve">, </w:t>
      </w:r>
      <w:r w:rsidRPr="00A2309E">
        <w:t>November 2008</w:t>
      </w:r>
      <w:r>
        <w:t>, PP. 17–18.</w:t>
      </w:r>
      <w:proofErr w:type="gramEnd"/>
      <w:r>
        <w:t xml:space="preserve"> </w:t>
      </w:r>
    </w:p>
  </w:footnote>
  <w:footnote w:id="27">
    <w:p w:rsidR="00A500A9" w:rsidRDefault="00A500A9" w:rsidP="00A2309E">
      <w:pPr>
        <w:pStyle w:val="FootnoteText"/>
      </w:pPr>
      <w:r>
        <w:rPr>
          <w:rStyle w:val="FootnoteReference"/>
        </w:rPr>
        <w:footnoteRef/>
      </w:r>
      <w:r>
        <w:t xml:space="preserve"> </w:t>
      </w:r>
      <w:r>
        <w:tab/>
        <w:t xml:space="preserve">AER, </w:t>
      </w:r>
      <w:r w:rsidRPr="00FD74DD">
        <w:rPr>
          <w:rStyle w:val="Emphasis"/>
        </w:rPr>
        <w:t>Draft Distribution Determination Aurora Energy Pty Ltd 2012–13 to 2016–17</w:t>
      </w:r>
      <w:r>
        <w:t>, November 2011, p. 274.</w:t>
      </w:r>
    </w:p>
  </w:footnote>
  <w:footnote w:id="28">
    <w:p w:rsidR="00A500A9" w:rsidRDefault="00A500A9" w:rsidP="008046C7">
      <w:pPr>
        <w:pStyle w:val="FootnoteText"/>
      </w:pPr>
      <w:r>
        <w:rPr>
          <w:rStyle w:val="FootnoteReference"/>
        </w:rPr>
        <w:footnoteRef/>
      </w:r>
      <w:r>
        <w:t xml:space="preserve"> </w:t>
      </w:r>
      <w:r>
        <w:tab/>
      </w:r>
      <w:proofErr w:type="gramStart"/>
      <w:r>
        <w:t xml:space="preserve">AER, </w:t>
      </w:r>
      <w:r w:rsidRPr="00E37DAB">
        <w:rPr>
          <w:i/>
        </w:rPr>
        <w:t>TasNetworks electricity distribution regulatory proposal 2017–19, Issues Paper</w:t>
      </w:r>
      <w:r>
        <w:t>, March 2016, p. 26.</w:t>
      </w:r>
      <w:proofErr w:type="gramEnd"/>
    </w:p>
  </w:footnote>
  <w:footnote w:id="29">
    <w:p w:rsidR="00A500A9" w:rsidRDefault="00A500A9" w:rsidP="008046C7">
      <w:pPr>
        <w:pStyle w:val="FootnoteText"/>
      </w:pPr>
      <w:r>
        <w:rPr>
          <w:rStyle w:val="FootnoteReference"/>
        </w:rPr>
        <w:footnoteRef/>
      </w:r>
      <w:r>
        <w:t xml:space="preserve"> </w:t>
      </w:r>
      <w:r>
        <w:tab/>
      </w:r>
      <w:r w:rsidRPr="008C0FEA">
        <w:t>Tasmanian Council of Social Service</w:t>
      </w:r>
      <w:r>
        <w:t xml:space="preserve">, </w:t>
      </w:r>
      <w:r w:rsidRPr="00E37DAB">
        <w:rPr>
          <w:i/>
        </w:rPr>
        <w:t>Submission to the TasNetworks issues paper</w:t>
      </w:r>
      <w:r>
        <w:t>, 28 April 2016, p. 2.</w:t>
      </w:r>
      <w:r w:rsidRPr="00386877">
        <w:t xml:space="preserve"> </w:t>
      </w:r>
      <w:r w:rsidR="0092052C" w:rsidRPr="0092052C">
        <w:t xml:space="preserve">CCP (David Headberry), </w:t>
      </w:r>
      <w:r w:rsidR="0092052C" w:rsidRPr="0092052C">
        <w:rPr>
          <w:rStyle w:val="AERtextitalic"/>
        </w:rPr>
        <w:t>Submission to the AER, Response to the proposal from Tasmania's electricity distribution network service provider (TasNetworks - TND) for a revenue reset for the 2017–19 regulatory period, 4 May 2016</w:t>
      </w:r>
      <w:r>
        <w:t xml:space="preserve">, p. 41. </w:t>
      </w:r>
      <w:r w:rsidRPr="0025315C">
        <w:t>Tasmanian Small Business Council</w:t>
      </w:r>
      <w:r>
        <w:t xml:space="preserve">, </w:t>
      </w:r>
      <w:r w:rsidRPr="00E37DAB">
        <w:rPr>
          <w:i/>
        </w:rPr>
        <w:t>Submission to the TasNetworks issues paper</w:t>
      </w:r>
      <w:r>
        <w:t xml:space="preserve">, </w:t>
      </w:r>
      <w:r w:rsidRPr="0025315C">
        <w:t xml:space="preserve">May 2016, p. </w:t>
      </w:r>
      <w:r>
        <w:t>37.</w:t>
      </w:r>
    </w:p>
  </w:footnote>
  <w:footnote w:id="30">
    <w:p w:rsidR="00A500A9" w:rsidRDefault="00A500A9" w:rsidP="00C726CB">
      <w:pPr>
        <w:pStyle w:val="FootnoteText"/>
      </w:pPr>
      <w:r>
        <w:rPr>
          <w:rStyle w:val="FootnoteReference"/>
        </w:rPr>
        <w:footnoteRef/>
      </w:r>
      <w:r>
        <w:t xml:space="preserve"> </w:t>
      </w:r>
      <w:r>
        <w:tab/>
      </w:r>
      <w:r w:rsidRPr="008C0FEA">
        <w:t>Tasmanian Council of Social Service</w:t>
      </w:r>
      <w:r>
        <w:t xml:space="preserve">, </w:t>
      </w:r>
      <w:r w:rsidRPr="00E37DAB">
        <w:rPr>
          <w:i/>
        </w:rPr>
        <w:t>Submission to the TasNetworks issues paper</w:t>
      </w:r>
      <w:r>
        <w:t>, 28 April 2016, p. 2.</w:t>
      </w:r>
      <w:r w:rsidRPr="00386877">
        <w:t xml:space="preserve"> </w:t>
      </w:r>
    </w:p>
  </w:footnote>
  <w:footnote w:id="31">
    <w:p w:rsidR="00A500A9" w:rsidRDefault="00A500A9" w:rsidP="00C726CB">
      <w:pPr>
        <w:pStyle w:val="FootnoteText"/>
      </w:pPr>
      <w:r>
        <w:rPr>
          <w:rStyle w:val="FootnoteReference"/>
        </w:rPr>
        <w:footnoteRef/>
      </w:r>
      <w:r>
        <w:t xml:space="preserve"> </w:t>
      </w:r>
      <w:r>
        <w:tab/>
      </w:r>
      <w:r w:rsidR="0092052C" w:rsidRPr="0092052C">
        <w:t xml:space="preserve">CCP (David Headberry), </w:t>
      </w:r>
      <w:r w:rsidR="0092052C" w:rsidRPr="0092052C">
        <w:rPr>
          <w:rStyle w:val="AERtextitalic"/>
        </w:rPr>
        <w:t>Submission to the AER, Response to the proposal from Tasmania's electricity distribution network service provider (TasNetworks - TND) for a revenue reset for the 2017–19 regulatory period, 4 May 2016</w:t>
      </w:r>
      <w:r>
        <w:t xml:space="preserve">, p. 41. </w:t>
      </w:r>
    </w:p>
  </w:footnote>
  <w:footnote w:id="32">
    <w:p w:rsidR="00A500A9" w:rsidRDefault="00A500A9" w:rsidP="00C726CB">
      <w:pPr>
        <w:pStyle w:val="FootnoteText"/>
      </w:pPr>
      <w:r>
        <w:rPr>
          <w:rStyle w:val="FootnoteReference"/>
        </w:rPr>
        <w:footnoteRef/>
      </w:r>
      <w:r>
        <w:t xml:space="preserve"> </w:t>
      </w:r>
      <w:r>
        <w:tab/>
      </w:r>
      <w:r w:rsidRPr="008C0FEA">
        <w:t>Tasmanian Council of Social Service</w:t>
      </w:r>
      <w:r>
        <w:t xml:space="preserve">, </w:t>
      </w:r>
      <w:r w:rsidRPr="00E37DAB">
        <w:rPr>
          <w:i/>
        </w:rPr>
        <w:t>Submission to the TasNetworks issues paper</w:t>
      </w:r>
      <w:r>
        <w:t>, 28 April 2016, p. 2</w:t>
      </w:r>
      <w:r w:rsidR="0092052C">
        <w:t>;</w:t>
      </w:r>
      <w:r w:rsidRPr="00386877">
        <w:t xml:space="preserve"> </w:t>
      </w:r>
      <w:r w:rsidR="0092052C" w:rsidRPr="0092052C">
        <w:t xml:space="preserve">CCP (David Headberry), </w:t>
      </w:r>
      <w:r w:rsidR="0092052C" w:rsidRPr="0092052C">
        <w:rPr>
          <w:rStyle w:val="AERtextitalic"/>
        </w:rPr>
        <w:t xml:space="preserve">Submission to the AER, Response to the proposal from Tasmania's electricity distribution network service provider (TasNetworks - TND) for a revenue reset for the 2017–19 regulatory </w:t>
      </w:r>
      <w:r w:rsidR="0092052C">
        <w:rPr>
          <w:rStyle w:val="AERtextitalic"/>
        </w:rPr>
        <w:t>period</w:t>
      </w:r>
      <w:r>
        <w:t xml:space="preserve">, 4 May 2016, p. 41. </w:t>
      </w:r>
      <w:r w:rsidRPr="0025315C">
        <w:t>Tasmanian Small Business Council</w:t>
      </w:r>
      <w:r>
        <w:t xml:space="preserve">, </w:t>
      </w:r>
      <w:r w:rsidRPr="00E37DAB">
        <w:rPr>
          <w:i/>
        </w:rPr>
        <w:t>Submission to the TasNetworks issues paper</w:t>
      </w:r>
      <w:r>
        <w:t xml:space="preserve">, </w:t>
      </w:r>
      <w:r w:rsidRPr="0025315C">
        <w:t xml:space="preserve">May 2016, p. </w:t>
      </w:r>
      <w:r>
        <w:t>37.</w:t>
      </w:r>
    </w:p>
  </w:footnote>
  <w:footnote w:id="33">
    <w:p w:rsidR="00A500A9" w:rsidRDefault="00A500A9" w:rsidP="00C726CB">
      <w:pPr>
        <w:pStyle w:val="FootnoteText"/>
      </w:pPr>
      <w:r>
        <w:rPr>
          <w:rStyle w:val="FootnoteReference"/>
        </w:rPr>
        <w:footnoteRef/>
      </w:r>
      <w:r>
        <w:t xml:space="preserve"> </w:t>
      </w:r>
      <w:r>
        <w:tab/>
      </w:r>
      <w:r w:rsidR="0092052C" w:rsidRPr="0092052C">
        <w:t xml:space="preserve">CCP (David Headberry), </w:t>
      </w:r>
      <w:r w:rsidR="0092052C" w:rsidRPr="0092052C">
        <w:rPr>
          <w:rStyle w:val="AERtextitalic"/>
        </w:rPr>
        <w:t>Submission to the AER, Response to the proposal from Tasmania's electricity distribution network service provider (TasNetworks - TND) for a revenue reset for the 2017–19 regulatory period</w:t>
      </w:r>
      <w:r>
        <w:t xml:space="preserve">, 4 May 2016, p. 41. </w:t>
      </w:r>
    </w:p>
  </w:footnote>
  <w:footnote w:id="34">
    <w:p w:rsidR="00A500A9" w:rsidRDefault="00A500A9" w:rsidP="00C726CB">
      <w:pPr>
        <w:pStyle w:val="FootnoteText"/>
      </w:pPr>
      <w:r>
        <w:rPr>
          <w:rStyle w:val="FootnoteReference"/>
        </w:rPr>
        <w:footnoteRef/>
      </w:r>
      <w:r>
        <w:t xml:space="preserve"> </w:t>
      </w:r>
      <w:r>
        <w:tab/>
      </w:r>
      <w:r w:rsidRPr="0025315C">
        <w:t>Tasmanian Small Business Council</w:t>
      </w:r>
      <w:r>
        <w:t xml:space="preserve">, </w:t>
      </w:r>
      <w:r w:rsidRPr="00E37DAB">
        <w:rPr>
          <w:i/>
        </w:rPr>
        <w:t>Submission to the TasNetworks issues paper</w:t>
      </w:r>
      <w:r>
        <w:t xml:space="preserve">, </w:t>
      </w:r>
      <w:r w:rsidRPr="0025315C">
        <w:t xml:space="preserve">May 2016, p. </w:t>
      </w:r>
      <w:r>
        <w:t>37.</w:t>
      </w:r>
    </w:p>
  </w:footnote>
  <w:footnote w:id="35">
    <w:p w:rsidR="00A500A9" w:rsidRDefault="00A500A9" w:rsidP="0054728E">
      <w:pPr>
        <w:pStyle w:val="FootnoteText"/>
      </w:pPr>
      <w:r>
        <w:rPr>
          <w:rStyle w:val="FootnoteReference"/>
        </w:rPr>
        <w:footnoteRef/>
      </w:r>
      <w:r>
        <w:t xml:space="preserve"> </w:t>
      </w:r>
      <w:r>
        <w:tab/>
      </w:r>
      <w:r w:rsidRPr="0025315C">
        <w:t>Tasmanian Small Business Council</w:t>
      </w:r>
      <w:r>
        <w:t xml:space="preserve">, </w:t>
      </w:r>
      <w:r w:rsidRPr="00E37DAB">
        <w:rPr>
          <w:i/>
        </w:rPr>
        <w:t>Submission to the TasNetworks issues paper</w:t>
      </w:r>
      <w:r>
        <w:t xml:space="preserve">, </w:t>
      </w:r>
      <w:r w:rsidRPr="0025315C">
        <w:t xml:space="preserve">May 2016, p. </w:t>
      </w:r>
      <w:r>
        <w:t>37.</w:t>
      </w:r>
    </w:p>
  </w:footnote>
  <w:footnote w:id="36">
    <w:p w:rsidR="00A500A9" w:rsidRDefault="00A500A9" w:rsidP="00FE6867">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p>
  </w:footnote>
  <w:footnote w:id="37">
    <w:p w:rsidR="00A500A9" w:rsidRDefault="00A500A9" w:rsidP="009305BF">
      <w:pPr>
        <w:pStyle w:val="FootnoteText"/>
      </w:pPr>
      <w:r>
        <w:rPr>
          <w:rStyle w:val="FootnoteReference"/>
        </w:rPr>
        <w:footnoteRef/>
      </w:r>
      <w:r>
        <w:t xml:space="preserve"> </w:t>
      </w:r>
      <w:r>
        <w:tab/>
        <w:t>"Raw" refers to the S-factor prior to any adjustments.</w:t>
      </w:r>
    </w:p>
  </w:footnote>
  <w:footnote w:id="38">
    <w:p w:rsidR="00A500A9" w:rsidRDefault="00A500A9" w:rsidP="009305BF">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39">
    <w:p w:rsidR="00A500A9" w:rsidRDefault="00A500A9" w:rsidP="009305BF">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40">
    <w:p w:rsidR="00A500A9" w:rsidRDefault="00A500A9" w:rsidP="009305BF">
      <w:pPr>
        <w:pStyle w:val="FootnoteText"/>
      </w:pPr>
      <w:r>
        <w:rPr>
          <w:rStyle w:val="FootnoteReference"/>
        </w:rPr>
        <w:footnoteRef/>
      </w:r>
      <w:r>
        <w:t xml:space="preserve"> </w:t>
      </w:r>
      <w:r>
        <w:tab/>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w:t>
      </w:r>
      <w:r w:rsidRPr="00F84359">
        <w:t xml:space="preserve"> </w:t>
      </w:r>
      <w:r w:rsidRPr="005D44E7">
        <w:t xml:space="preserve">AER, </w:t>
      </w:r>
      <w:r w:rsidRPr="000565BE">
        <w:rPr>
          <w:rStyle w:val="AERtextitalic"/>
        </w:rPr>
        <w:t>STPIS</w:t>
      </w:r>
      <w:r w:rsidRPr="005D44E7">
        <w:t>, Nov</w:t>
      </w:r>
      <w:r>
        <w:t>ember</w:t>
      </w:r>
      <w:r w:rsidRPr="005D44E7">
        <w:t xml:space="preserve"> 2009</w:t>
      </w:r>
      <w:r>
        <w:t xml:space="preserve">, Appendix C, pp. 33–34. </w:t>
      </w:r>
    </w:p>
  </w:footnote>
  <w:footnote w:id="41">
    <w:p w:rsidR="00A500A9" w:rsidRDefault="00A500A9" w:rsidP="009305BF">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6" w:rsidRDefault="001C5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6" w:rsidRDefault="001C5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D6" w:rsidRDefault="001C5A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A9" w:rsidRDefault="00A50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305BC6"/>
    <w:multiLevelType w:val="hybridMultilevel"/>
    <w:tmpl w:val="0622AE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8C7B0E"/>
    <w:multiLevelType w:val="multilevel"/>
    <w:tmpl w:val="367A31E2"/>
    <w:lvl w:ilvl="0">
      <w:start w:val="1"/>
      <w:numFmt w:val="bullet"/>
      <w:lvlText w:val=""/>
      <w:lvlJc w:val="left"/>
      <w:pPr>
        <w:tabs>
          <w:tab w:val="num" w:pos="0"/>
        </w:tabs>
      </w:pPr>
      <w:rPr>
        <w:rFonts w:ascii="Symbol" w:hAnsi="Symbol" w:hint="default"/>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720"/>
        </w:tabs>
        <w:ind w:left="720" w:hanging="363"/>
      </w:pPr>
      <w:rPr>
        <w:rFonts w:cs="Times New Roman" w:hint="default"/>
      </w:rPr>
    </w:lvl>
    <w:lvl w:ilvl="3">
      <w:start w:val="1"/>
      <w:numFmt w:val="lowerRoman"/>
      <w:lvlText w:val="%4."/>
      <w:lvlJc w:val="left"/>
      <w:pPr>
        <w:tabs>
          <w:tab w:val="num" w:pos="1077"/>
        </w:tabs>
        <w:ind w:left="1077" w:hanging="357"/>
      </w:pPr>
      <w:rPr>
        <w:rFonts w:cs="Times New Roman" w:hint="default"/>
      </w:rPr>
    </w:lvl>
    <w:lvl w:ilvl="4">
      <w:start w:val="1"/>
      <w:numFmt w:val="decimal"/>
      <w:lvlRestart w:val="0"/>
      <w:lvlText w:val="(%5)"/>
      <w:lvlJc w:val="left"/>
      <w:pPr>
        <w:tabs>
          <w:tab w:val="num" w:pos="454"/>
        </w:tabs>
        <w:ind w:left="454" w:hanging="454"/>
      </w:pPr>
      <w:rPr>
        <w:rFonts w:cs="Times New Roman" w:hint="default"/>
      </w:rPr>
    </w:lvl>
    <w:lvl w:ilvl="5">
      <w:start w:val="1"/>
      <w:numFmt w:val="lowerLetter"/>
      <w:lvlText w:val="(%6)"/>
      <w:lvlJc w:val="left"/>
      <w:pPr>
        <w:tabs>
          <w:tab w:val="num" w:pos="811"/>
        </w:tabs>
        <w:ind w:left="811" w:hanging="357"/>
      </w:pPr>
      <w:rPr>
        <w:rFonts w:cs="Times New Roman" w:hint="default"/>
      </w:rPr>
    </w:lvl>
    <w:lvl w:ilvl="6">
      <w:start w:val="1"/>
      <w:numFmt w:val="lowerRoman"/>
      <w:lvlText w:val="(%7)"/>
      <w:lvlJc w:val="left"/>
      <w:pPr>
        <w:tabs>
          <w:tab w:val="num" w:pos="1446"/>
        </w:tabs>
        <w:ind w:left="1446" w:hanging="635"/>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18028A00"/>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1662FEC8"/>
    <w:lvl w:ilvl="0" w:tplc="E8B05742">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AA33B42"/>
    <w:multiLevelType w:val="hybridMultilevel"/>
    <w:tmpl w:val="37065B08"/>
    <w:lvl w:ilvl="0" w:tplc="BAC0E806">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1"/>
  </w:num>
  <w:num w:numId="21">
    <w:abstractNumId w:val="27"/>
  </w:num>
  <w:num w:numId="22">
    <w:abstractNumId w:val="25"/>
  </w:num>
  <w:num w:numId="23">
    <w:abstractNumId w:val="18"/>
  </w:num>
  <w:num w:numId="24">
    <w:abstractNumId w:val="26"/>
  </w:num>
  <w:num w:numId="25">
    <w:abstractNumId w:val="28"/>
  </w:num>
  <w:num w:numId="26">
    <w:abstractNumId w:val="19"/>
  </w:num>
  <w:num w:numId="27">
    <w:abstractNumId w:val="16"/>
  </w:num>
  <w:num w:numId="28">
    <w:abstractNumId w:val="33"/>
  </w:num>
  <w:num w:numId="29">
    <w:abstractNumId w:val="22"/>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30"/>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TYcQbBFnjN9KZAQp/6O4nX1e1ZgQS/qCO3WyQBkFl4=" w:saltValue="qGhkBkrExaxyrwtehkGmOQ==" w:algorithmName="SHA-256"/>
  <w:defaultTabStop w:val="34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1 - stpis - september 2016 (D2015-00170689).docx"/>
  </w:docVars>
  <w:rsids>
    <w:rsidRoot w:val="00961A4A"/>
    <w:rsid w:val="000051DC"/>
    <w:rsid w:val="0000658F"/>
    <w:rsid w:val="000066CA"/>
    <w:rsid w:val="0001507B"/>
    <w:rsid w:val="00020016"/>
    <w:rsid w:val="00021202"/>
    <w:rsid w:val="00021C2B"/>
    <w:rsid w:val="0002498B"/>
    <w:rsid w:val="0002517F"/>
    <w:rsid w:val="00026187"/>
    <w:rsid w:val="000266FC"/>
    <w:rsid w:val="000273B3"/>
    <w:rsid w:val="00027E2D"/>
    <w:rsid w:val="0003578C"/>
    <w:rsid w:val="00040B5A"/>
    <w:rsid w:val="00044DA3"/>
    <w:rsid w:val="000474DF"/>
    <w:rsid w:val="00055A67"/>
    <w:rsid w:val="00063247"/>
    <w:rsid w:val="0006624E"/>
    <w:rsid w:val="00070F9F"/>
    <w:rsid w:val="0007137B"/>
    <w:rsid w:val="00073B74"/>
    <w:rsid w:val="00074C34"/>
    <w:rsid w:val="00076416"/>
    <w:rsid w:val="000805A8"/>
    <w:rsid w:val="0008190B"/>
    <w:rsid w:val="0008264C"/>
    <w:rsid w:val="000836D9"/>
    <w:rsid w:val="00085663"/>
    <w:rsid w:val="00085EBF"/>
    <w:rsid w:val="00086019"/>
    <w:rsid w:val="00087A8A"/>
    <w:rsid w:val="00091B15"/>
    <w:rsid w:val="00095186"/>
    <w:rsid w:val="000A0E71"/>
    <w:rsid w:val="000A1C0C"/>
    <w:rsid w:val="000A3020"/>
    <w:rsid w:val="000A4840"/>
    <w:rsid w:val="000A62C1"/>
    <w:rsid w:val="000A669F"/>
    <w:rsid w:val="000A6A79"/>
    <w:rsid w:val="000A6C7B"/>
    <w:rsid w:val="000B0A7B"/>
    <w:rsid w:val="000B1173"/>
    <w:rsid w:val="000B28BF"/>
    <w:rsid w:val="000B5827"/>
    <w:rsid w:val="000B7037"/>
    <w:rsid w:val="000C02D1"/>
    <w:rsid w:val="000C0C63"/>
    <w:rsid w:val="000C2B40"/>
    <w:rsid w:val="000C5255"/>
    <w:rsid w:val="000C539F"/>
    <w:rsid w:val="000D07A7"/>
    <w:rsid w:val="000D122C"/>
    <w:rsid w:val="000D6FCF"/>
    <w:rsid w:val="000D75B0"/>
    <w:rsid w:val="000E1819"/>
    <w:rsid w:val="000E4821"/>
    <w:rsid w:val="000E4AA9"/>
    <w:rsid w:val="000E6C72"/>
    <w:rsid w:val="000E7288"/>
    <w:rsid w:val="000E7F39"/>
    <w:rsid w:val="00100EA2"/>
    <w:rsid w:val="00101AA1"/>
    <w:rsid w:val="00102338"/>
    <w:rsid w:val="00104566"/>
    <w:rsid w:val="00104A59"/>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1FF2"/>
    <w:rsid w:val="001926A4"/>
    <w:rsid w:val="00192AD5"/>
    <w:rsid w:val="00194597"/>
    <w:rsid w:val="00194E00"/>
    <w:rsid w:val="001966F5"/>
    <w:rsid w:val="0019745E"/>
    <w:rsid w:val="001979B4"/>
    <w:rsid w:val="00197B16"/>
    <w:rsid w:val="001A2695"/>
    <w:rsid w:val="001A44BC"/>
    <w:rsid w:val="001A530D"/>
    <w:rsid w:val="001A5FB3"/>
    <w:rsid w:val="001A7155"/>
    <w:rsid w:val="001B01B4"/>
    <w:rsid w:val="001B45A0"/>
    <w:rsid w:val="001B680E"/>
    <w:rsid w:val="001C5AD6"/>
    <w:rsid w:val="001C5CFD"/>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AED"/>
    <w:rsid w:val="00204EC9"/>
    <w:rsid w:val="00206505"/>
    <w:rsid w:val="0020743F"/>
    <w:rsid w:val="00207E96"/>
    <w:rsid w:val="00216C93"/>
    <w:rsid w:val="00223051"/>
    <w:rsid w:val="00224DB9"/>
    <w:rsid w:val="0022569A"/>
    <w:rsid w:val="0023005C"/>
    <w:rsid w:val="00231012"/>
    <w:rsid w:val="00233775"/>
    <w:rsid w:val="0023414B"/>
    <w:rsid w:val="002413D0"/>
    <w:rsid w:val="00243635"/>
    <w:rsid w:val="00247079"/>
    <w:rsid w:val="00251745"/>
    <w:rsid w:val="002552BA"/>
    <w:rsid w:val="00260016"/>
    <w:rsid w:val="00261658"/>
    <w:rsid w:val="002633FF"/>
    <w:rsid w:val="00263AC0"/>
    <w:rsid w:val="00264264"/>
    <w:rsid w:val="0026689B"/>
    <w:rsid w:val="0026772D"/>
    <w:rsid w:val="002730B2"/>
    <w:rsid w:val="00274C7E"/>
    <w:rsid w:val="002777CF"/>
    <w:rsid w:val="002810F2"/>
    <w:rsid w:val="00284316"/>
    <w:rsid w:val="00286874"/>
    <w:rsid w:val="00290C63"/>
    <w:rsid w:val="00291A99"/>
    <w:rsid w:val="00293B6D"/>
    <w:rsid w:val="00294B08"/>
    <w:rsid w:val="0029518C"/>
    <w:rsid w:val="002960B7"/>
    <w:rsid w:val="002963DD"/>
    <w:rsid w:val="00296B65"/>
    <w:rsid w:val="002A41BB"/>
    <w:rsid w:val="002A7DEF"/>
    <w:rsid w:val="002B0696"/>
    <w:rsid w:val="002B5D94"/>
    <w:rsid w:val="002C0222"/>
    <w:rsid w:val="002C079A"/>
    <w:rsid w:val="002C1499"/>
    <w:rsid w:val="002C233C"/>
    <w:rsid w:val="002C2448"/>
    <w:rsid w:val="002C4BFA"/>
    <w:rsid w:val="002C517B"/>
    <w:rsid w:val="002D2710"/>
    <w:rsid w:val="002D3509"/>
    <w:rsid w:val="002D5457"/>
    <w:rsid w:val="002D72E8"/>
    <w:rsid w:val="002D79AD"/>
    <w:rsid w:val="002E15C3"/>
    <w:rsid w:val="002E268F"/>
    <w:rsid w:val="002E78DD"/>
    <w:rsid w:val="002E7B22"/>
    <w:rsid w:val="002F10B9"/>
    <w:rsid w:val="002F12EC"/>
    <w:rsid w:val="002F6053"/>
    <w:rsid w:val="002F7986"/>
    <w:rsid w:val="00301B40"/>
    <w:rsid w:val="00301C82"/>
    <w:rsid w:val="003029EE"/>
    <w:rsid w:val="00304D38"/>
    <w:rsid w:val="00305CC8"/>
    <w:rsid w:val="00307F6D"/>
    <w:rsid w:val="0031030C"/>
    <w:rsid w:val="00314D83"/>
    <w:rsid w:val="0031571F"/>
    <w:rsid w:val="003177A2"/>
    <w:rsid w:val="00317E02"/>
    <w:rsid w:val="003232C8"/>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526B"/>
    <w:rsid w:val="00366981"/>
    <w:rsid w:val="00370678"/>
    <w:rsid w:val="0037214E"/>
    <w:rsid w:val="00372C85"/>
    <w:rsid w:val="0037376B"/>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1302"/>
    <w:rsid w:val="003A2926"/>
    <w:rsid w:val="003A371A"/>
    <w:rsid w:val="003A59CD"/>
    <w:rsid w:val="003A6B00"/>
    <w:rsid w:val="003B010F"/>
    <w:rsid w:val="003B30B2"/>
    <w:rsid w:val="003B484F"/>
    <w:rsid w:val="003B504B"/>
    <w:rsid w:val="003B5179"/>
    <w:rsid w:val="003B685C"/>
    <w:rsid w:val="003B7FBA"/>
    <w:rsid w:val="003C6537"/>
    <w:rsid w:val="003C6A13"/>
    <w:rsid w:val="003C764A"/>
    <w:rsid w:val="003C7880"/>
    <w:rsid w:val="003C78BA"/>
    <w:rsid w:val="003D35B5"/>
    <w:rsid w:val="003D41F1"/>
    <w:rsid w:val="003D42AB"/>
    <w:rsid w:val="003D5B94"/>
    <w:rsid w:val="003E0D3A"/>
    <w:rsid w:val="003E3AAB"/>
    <w:rsid w:val="003E7FE9"/>
    <w:rsid w:val="003F07D4"/>
    <w:rsid w:val="003F0A65"/>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354D0"/>
    <w:rsid w:val="00442B0E"/>
    <w:rsid w:val="00444D6F"/>
    <w:rsid w:val="00445D43"/>
    <w:rsid w:val="00446CD2"/>
    <w:rsid w:val="004523B2"/>
    <w:rsid w:val="00454201"/>
    <w:rsid w:val="0045777E"/>
    <w:rsid w:val="00465258"/>
    <w:rsid w:val="004665C0"/>
    <w:rsid w:val="00471BC6"/>
    <w:rsid w:val="00476221"/>
    <w:rsid w:val="004766F5"/>
    <w:rsid w:val="00480B4B"/>
    <w:rsid w:val="00482592"/>
    <w:rsid w:val="004838D8"/>
    <w:rsid w:val="00485DC4"/>
    <w:rsid w:val="00494D04"/>
    <w:rsid w:val="004A40BA"/>
    <w:rsid w:val="004A43D1"/>
    <w:rsid w:val="004A492B"/>
    <w:rsid w:val="004A6AF7"/>
    <w:rsid w:val="004B4412"/>
    <w:rsid w:val="004B6269"/>
    <w:rsid w:val="004C348C"/>
    <w:rsid w:val="004C462E"/>
    <w:rsid w:val="004C501B"/>
    <w:rsid w:val="004C6CA3"/>
    <w:rsid w:val="004C7F5E"/>
    <w:rsid w:val="004D343C"/>
    <w:rsid w:val="004D372A"/>
    <w:rsid w:val="004D55BA"/>
    <w:rsid w:val="004D57AF"/>
    <w:rsid w:val="004D720C"/>
    <w:rsid w:val="004E017D"/>
    <w:rsid w:val="004E0FA7"/>
    <w:rsid w:val="004E22EC"/>
    <w:rsid w:val="004F0BFA"/>
    <w:rsid w:val="004F13DA"/>
    <w:rsid w:val="004F4D69"/>
    <w:rsid w:val="004F6883"/>
    <w:rsid w:val="004F6A0E"/>
    <w:rsid w:val="004F6BB3"/>
    <w:rsid w:val="005009CD"/>
    <w:rsid w:val="00504E5F"/>
    <w:rsid w:val="0051337E"/>
    <w:rsid w:val="00513FA7"/>
    <w:rsid w:val="005140AE"/>
    <w:rsid w:val="0051768F"/>
    <w:rsid w:val="00522DC2"/>
    <w:rsid w:val="00530128"/>
    <w:rsid w:val="00532467"/>
    <w:rsid w:val="005332A9"/>
    <w:rsid w:val="0053603C"/>
    <w:rsid w:val="00537871"/>
    <w:rsid w:val="00542FE9"/>
    <w:rsid w:val="00544598"/>
    <w:rsid w:val="00544C8D"/>
    <w:rsid w:val="00544DFD"/>
    <w:rsid w:val="0054728E"/>
    <w:rsid w:val="00556B1E"/>
    <w:rsid w:val="00564A4D"/>
    <w:rsid w:val="0056598C"/>
    <w:rsid w:val="00566E0B"/>
    <w:rsid w:val="00567BA5"/>
    <w:rsid w:val="00571B35"/>
    <w:rsid w:val="00571B43"/>
    <w:rsid w:val="00571D57"/>
    <w:rsid w:val="00573A3B"/>
    <w:rsid w:val="00577716"/>
    <w:rsid w:val="00577A09"/>
    <w:rsid w:val="005829C2"/>
    <w:rsid w:val="005844EE"/>
    <w:rsid w:val="00584D8F"/>
    <w:rsid w:val="00587A18"/>
    <w:rsid w:val="00587ADE"/>
    <w:rsid w:val="005A0BEC"/>
    <w:rsid w:val="005A404D"/>
    <w:rsid w:val="005A6876"/>
    <w:rsid w:val="005B1E3C"/>
    <w:rsid w:val="005B6518"/>
    <w:rsid w:val="005B704A"/>
    <w:rsid w:val="005B72D7"/>
    <w:rsid w:val="005C045F"/>
    <w:rsid w:val="005C16FE"/>
    <w:rsid w:val="005C1FAB"/>
    <w:rsid w:val="005C21A4"/>
    <w:rsid w:val="005C26CC"/>
    <w:rsid w:val="005C4463"/>
    <w:rsid w:val="005C5C7F"/>
    <w:rsid w:val="005D3D88"/>
    <w:rsid w:val="005D48C4"/>
    <w:rsid w:val="005D6208"/>
    <w:rsid w:val="005D6366"/>
    <w:rsid w:val="005D7BA2"/>
    <w:rsid w:val="005E0125"/>
    <w:rsid w:val="005E36C2"/>
    <w:rsid w:val="005E4AF4"/>
    <w:rsid w:val="005F387E"/>
    <w:rsid w:val="00601E0B"/>
    <w:rsid w:val="0060258B"/>
    <w:rsid w:val="00610EF9"/>
    <w:rsid w:val="00612F4F"/>
    <w:rsid w:val="00614EA0"/>
    <w:rsid w:val="00615C6B"/>
    <w:rsid w:val="00617D4C"/>
    <w:rsid w:val="00621DCE"/>
    <w:rsid w:val="00621FC5"/>
    <w:rsid w:val="00624F2C"/>
    <w:rsid w:val="00626831"/>
    <w:rsid w:val="0062767D"/>
    <w:rsid w:val="00632D6D"/>
    <w:rsid w:val="00634C07"/>
    <w:rsid w:val="00636569"/>
    <w:rsid w:val="00636EF9"/>
    <w:rsid w:val="00642C3E"/>
    <w:rsid w:val="00644A01"/>
    <w:rsid w:val="00645E66"/>
    <w:rsid w:val="00651E2D"/>
    <w:rsid w:val="00652324"/>
    <w:rsid w:val="006577FB"/>
    <w:rsid w:val="006600BA"/>
    <w:rsid w:val="0066104A"/>
    <w:rsid w:val="00663066"/>
    <w:rsid w:val="00663DAD"/>
    <w:rsid w:val="00664206"/>
    <w:rsid w:val="006649E7"/>
    <w:rsid w:val="00664AB3"/>
    <w:rsid w:val="00666634"/>
    <w:rsid w:val="00671692"/>
    <w:rsid w:val="00675E20"/>
    <w:rsid w:val="00676679"/>
    <w:rsid w:val="00683C89"/>
    <w:rsid w:val="00687669"/>
    <w:rsid w:val="00691B53"/>
    <w:rsid w:val="0069792D"/>
    <w:rsid w:val="00697D0B"/>
    <w:rsid w:val="006A12BA"/>
    <w:rsid w:val="006A4739"/>
    <w:rsid w:val="006A66A1"/>
    <w:rsid w:val="006B032D"/>
    <w:rsid w:val="006B2395"/>
    <w:rsid w:val="006B40AC"/>
    <w:rsid w:val="006B4CF9"/>
    <w:rsid w:val="006B797C"/>
    <w:rsid w:val="006B7AC8"/>
    <w:rsid w:val="006C1736"/>
    <w:rsid w:val="006C329B"/>
    <w:rsid w:val="006C59CB"/>
    <w:rsid w:val="006C6303"/>
    <w:rsid w:val="006D550F"/>
    <w:rsid w:val="006D6146"/>
    <w:rsid w:val="006D7F7E"/>
    <w:rsid w:val="006E0CFF"/>
    <w:rsid w:val="006F0D92"/>
    <w:rsid w:val="006F267D"/>
    <w:rsid w:val="0070011E"/>
    <w:rsid w:val="00701CAB"/>
    <w:rsid w:val="007023BB"/>
    <w:rsid w:val="00704DD7"/>
    <w:rsid w:val="00707563"/>
    <w:rsid w:val="00711B80"/>
    <w:rsid w:val="00715F61"/>
    <w:rsid w:val="00722132"/>
    <w:rsid w:val="007228F7"/>
    <w:rsid w:val="0072348C"/>
    <w:rsid w:val="00724A37"/>
    <w:rsid w:val="007303C3"/>
    <w:rsid w:val="00731188"/>
    <w:rsid w:val="007356CC"/>
    <w:rsid w:val="007358EC"/>
    <w:rsid w:val="007368E6"/>
    <w:rsid w:val="007375DF"/>
    <w:rsid w:val="007429BE"/>
    <w:rsid w:val="00743223"/>
    <w:rsid w:val="00743349"/>
    <w:rsid w:val="0074403A"/>
    <w:rsid w:val="00745673"/>
    <w:rsid w:val="00746E01"/>
    <w:rsid w:val="00751DCD"/>
    <w:rsid w:val="00755084"/>
    <w:rsid w:val="00757364"/>
    <w:rsid w:val="00757BDF"/>
    <w:rsid w:val="007609D0"/>
    <w:rsid w:val="00761454"/>
    <w:rsid w:val="0076193D"/>
    <w:rsid w:val="00762E55"/>
    <w:rsid w:val="00763E5D"/>
    <w:rsid w:val="00767740"/>
    <w:rsid w:val="00767B5E"/>
    <w:rsid w:val="00775460"/>
    <w:rsid w:val="00777EE6"/>
    <w:rsid w:val="00780441"/>
    <w:rsid w:val="00782EEA"/>
    <w:rsid w:val="00784614"/>
    <w:rsid w:val="00786CA4"/>
    <w:rsid w:val="007909B4"/>
    <w:rsid w:val="00790E86"/>
    <w:rsid w:val="007949D7"/>
    <w:rsid w:val="0079769A"/>
    <w:rsid w:val="007A0143"/>
    <w:rsid w:val="007A30F4"/>
    <w:rsid w:val="007A34C2"/>
    <w:rsid w:val="007A396C"/>
    <w:rsid w:val="007A4B02"/>
    <w:rsid w:val="007B0BE3"/>
    <w:rsid w:val="007B1816"/>
    <w:rsid w:val="007B186E"/>
    <w:rsid w:val="007B25DC"/>
    <w:rsid w:val="007B2C72"/>
    <w:rsid w:val="007B3789"/>
    <w:rsid w:val="007B6210"/>
    <w:rsid w:val="007B651F"/>
    <w:rsid w:val="007B6F5B"/>
    <w:rsid w:val="007B7BB5"/>
    <w:rsid w:val="007C1C53"/>
    <w:rsid w:val="007C284C"/>
    <w:rsid w:val="007C4B82"/>
    <w:rsid w:val="007C74BB"/>
    <w:rsid w:val="007C7F64"/>
    <w:rsid w:val="007D0A95"/>
    <w:rsid w:val="007D0EB5"/>
    <w:rsid w:val="007D456E"/>
    <w:rsid w:val="007D5777"/>
    <w:rsid w:val="007D5837"/>
    <w:rsid w:val="007E1264"/>
    <w:rsid w:val="007E4904"/>
    <w:rsid w:val="007E4CB5"/>
    <w:rsid w:val="007E4DAE"/>
    <w:rsid w:val="007E5221"/>
    <w:rsid w:val="007E6857"/>
    <w:rsid w:val="007F066B"/>
    <w:rsid w:val="007F4EAB"/>
    <w:rsid w:val="007F5B16"/>
    <w:rsid w:val="007F7C9D"/>
    <w:rsid w:val="008033C4"/>
    <w:rsid w:val="008046C7"/>
    <w:rsid w:val="00806731"/>
    <w:rsid w:val="00806C88"/>
    <w:rsid w:val="0081034E"/>
    <w:rsid w:val="00810806"/>
    <w:rsid w:val="00813EAD"/>
    <w:rsid w:val="00814BFA"/>
    <w:rsid w:val="00815882"/>
    <w:rsid w:val="00820454"/>
    <w:rsid w:val="00822AC7"/>
    <w:rsid w:val="00822E86"/>
    <w:rsid w:val="00823AC6"/>
    <w:rsid w:val="008344F6"/>
    <w:rsid w:val="0083510F"/>
    <w:rsid w:val="00837BF3"/>
    <w:rsid w:val="008415DE"/>
    <w:rsid w:val="008420DE"/>
    <w:rsid w:val="00845865"/>
    <w:rsid w:val="0084799B"/>
    <w:rsid w:val="00850C90"/>
    <w:rsid w:val="00851209"/>
    <w:rsid w:val="0085171F"/>
    <w:rsid w:val="00856AD8"/>
    <w:rsid w:val="008574BB"/>
    <w:rsid w:val="008658A1"/>
    <w:rsid w:val="0086716A"/>
    <w:rsid w:val="00870613"/>
    <w:rsid w:val="0087380F"/>
    <w:rsid w:val="0087648F"/>
    <w:rsid w:val="00876612"/>
    <w:rsid w:val="0087718C"/>
    <w:rsid w:val="00880956"/>
    <w:rsid w:val="00882BB1"/>
    <w:rsid w:val="008837AC"/>
    <w:rsid w:val="008909DC"/>
    <w:rsid w:val="00894255"/>
    <w:rsid w:val="008945AD"/>
    <w:rsid w:val="008A0645"/>
    <w:rsid w:val="008A1C02"/>
    <w:rsid w:val="008A370D"/>
    <w:rsid w:val="008A587D"/>
    <w:rsid w:val="008B16B0"/>
    <w:rsid w:val="008B1BD5"/>
    <w:rsid w:val="008B2ACC"/>
    <w:rsid w:val="008B35CD"/>
    <w:rsid w:val="008B4093"/>
    <w:rsid w:val="008B5FCC"/>
    <w:rsid w:val="008B7F36"/>
    <w:rsid w:val="008C357F"/>
    <w:rsid w:val="008C5486"/>
    <w:rsid w:val="008D1661"/>
    <w:rsid w:val="008D27E0"/>
    <w:rsid w:val="008D5F90"/>
    <w:rsid w:val="008D6800"/>
    <w:rsid w:val="008D72F1"/>
    <w:rsid w:val="008E1691"/>
    <w:rsid w:val="008E1E0E"/>
    <w:rsid w:val="008E28CC"/>
    <w:rsid w:val="008E4089"/>
    <w:rsid w:val="008E5AFF"/>
    <w:rsid w:val="008E7031"/>
    <w:rsid w:val="008E771D"/>
    <w:rsid w:val="008E77DE"/>
    <w:rsid w:val="008F040C"/>
    <w:rsid w:val="008F07A3"/>
    <w:rsid w:val="008F3322"/>
    <w:rsid w:val="008F3519"/>
    <w:rsid w:val="008F3A0D"/>
    <w:rsid w:val="009001B6"/>
    <w:rsid w:val="00900E1B"/>
    <w:rsid w:val="0090131F"/>
    <w:rsid w:val="00902E46"/>
    <w:rsid w:val="0090526B"/>
    <w:rsid w:val="00907683"/>
    <w:rsid w:val="009132B7"/>
    <w:rsid w:val="0091606A"/>
    <w:rsid w:val="00916A2C"/>
    <w:rsid w:val="0092052C"/>
    <w:rsid w:val="009233EE"/>
    <w:rsid w:val="0092576D"/>
    <w:rsid w:val="009305BF"/>
    <w:rsid w:val="00930B1A"/>
    <w:rsid w:val="00932612"/>
    <w:rsid w:val="009327DC"/>
    <w:rsid w:val="009338D9"/>
    <w:rsid w:val="009339BD"/>
    <w:rsid w:val="009356CF"/>
    <w:rsid w:val="009364A5"/>
    <w:rsid w:val="009432C6"/>
    <w:rsid w:val="00945E53"/>
    <w:rsid w:val="009460AA"/>
    <w:rsid w:val="00951978"/>
    <w:rsid w:val="00952C8B"/>
    <w:rsid w:val="00961A4A"/>
    <w:rsid w:val="009661DE"/>
    <w:rsid w:val="00972C7C"/>
    <w:rsid w:val="009776F4"/>
    <w:rsid w:val="00982DA2"/>
    <w:rsid w:val="00983C25"/>
    <w:rsid w:val="0098466D"/>
    <w:rsid w:val="009856B7"/>
    <w:rsid w:val="009858E9"/>
    <w:rsid w:val="009859D6"/>
    <w:rsid w:val="00985C86"/>
    <w:rsid w:val="009A5FC3"/>
    <w:rsid w:val="009B48DF"/>
    <w:rsid w:val="009B6F84"/>
    <w:rsid w:val="009B74B0"/>
    <w:rsid w:val="009C0152"/>
    <w:rsid w:val="009C11B6"/>
    <w:rsid w:val="009C1A74"/>
    <w:rsid w:val="009C3D42"/>
    <w:rsid w:val="009C491E"/>
    <w:rsid w:val="009D0DF1"/>
    <w:rsid w:val="009D22D6"/>
    <w:rsid w:val="009D2C84"/>
    <w:rsid w:val="009D3906"/>
    <w:rsid w:val="009D5E35"/>
    <w:rsid w:val="009D6B46"/>
    <w:rsid w:val="009E11F7"/>
    <w:rsid w:val="009E35B6"/>
    <w:rsid w:val="009E5ABC"/>
    <w:rsid w:val="009F3BBA"/>
    <w:rsid w:val="009F43B4"/>
    <w:rsid w:val="009F4940"/>
    <w:rsid w:val="009F5BA1"/>
    <w:rsid w:val="00A02A88"/>
    <w:rsid w:val="00A04012"/>
    <w:rsid w:val="00A04679"/>
    <w:rsid w:val="00A046FA"/>
    <w:rsid w:val="00A0562E"/>
    <w:rsid w:val="00A0726D"/>
    <w:rsid w:val="00A073AE"/>
    <w:rsid w:val="00A12204"/>
    <w:rsid w:val="00A12750"/>
    <w:rsid w:val="00A13881"/>
    <w:rsid w:val="00A13CB0"/>
    <w:rsid w:val="00A1561F"/>
    <w:rsid w:val="00A16544"/>
    <w:rsid w:val="00A22199"/>
    <w:rsid w:val="00A2309E"/>
    <w:rsid w:val="00A2477A"/>
    <w:rsid w:val="00A2750E"/>
    <w:rsid w:val="00A30BF5"/>
    <w:rsid w:val="00A31BE6"/>
    <w:rsid w:val="00A32FBB"/>
    <w:rsid w:val="00A3475E"/>
    <w:rsid w:val="00A40068"/>
    <w:rsid w:val="00A40BE9"/>
    <w:rsid w:val="00A428EE"/>
    <w:rsid w:val="00A4359F"/>
    <w:rsid w:val="00A443C2"/>
    <w:rsid w:val="00A4478A"/>
    <w:rsid w:val="00A44852"/>
    <w:rsid w:val="00A500A9"/>
    <w:rsid w:val="00A50502"/>
    <w:rsid w:val="00A5087B"/>
    <w:rsid w:val="00A53409"/>
    <w:rsid w:val="00A53796"/>
    <w:rsid w:val="00A53848"/>
    <w:rsid w:val="00A55100"/>
    <w:rsid w:val="00A56945"/>
    <w:rsid w:val="00A56A6E"/>
    <w:rsid w:val="00A57D04"/>
    <w:rsid w:val="00A60A26"/>
    <w:rsid w:val="00A61598"/>
    <w:rsid w:val="00A61777"/>
    <w:rsid w:val="00A63646"/>
    <w:rsid w:val="00A63914"/>
    <w:rsid w:val="00A734E6"/>
    <w:rsid w:val="00A84A99"/>
    <w:rsid w:val="00A84F46"/>
    <w:rsid w:val="00A85E87"/>
    <w:rsid w:val="00A86AEA"/>
    <w:rsid w:val="00A871F4"/>
    <w:rsid w:val="00A9431A"/>
    <w:rsid w:val="00A95988"/>
    <w:rsid w:val="00A959DF"/>
    <w:rsid w:val="00A97A1B"/>
    <w:rsid w:val="00AA2927"/>
    <w:rsid w:val="00AB2CB8"/>
    <w:rsid w:val="00AB35DC"/>
    <w:rsid w:val="00AB4617"/>
    <w:rsid w:val="00AC05CA"/>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06CF"/>
    <w:rsid w:val="00B13048"/>
    <w:rsid w:val="00B13883"/>
    <w:rsid w:val="00B1716D"/>
    <w:rsid w:val="00B17A1D"/>
    <w:rsid w:val="00B207A0"/>
    <w:rsid w:val="00B21C21"/>
    <w:rsid w:val="00B22C72"/>
    <w:rsid w:val="00B22F54"/>
    <w:rsid w:val="00B24A7E"/>
    <w:rsid w:val="00B25C0C"/>
    <w:rsid w:val="00B304B5"/>
    <w:rsid w:val="00B308A9"/>
    <w:rsid w:val="00B31047"/>
    <w:rsid w:val="00B33148"/>
    <w:rsid w:val="00B33DFC"/>
    <w:rsid w:val="00B342D9"/>
    <w:rsid w:val="00B35A9C"/>
    <w:rsid w:val="00B35CDF"/>
    <w:rsid w:val="00B403C2"/>
    <w:rsid w:val="00B405A1"/>
    <w:rsid w:val="00B42A2A"/>
    <w:rsid w:val="00B43C18"/>
    <w:rsid w:val="00B4438A"/>
    <w:rsid w:val="00B44CCA"/>
    <w:rsid w:val="00B45AA2"/>
    <w:rsid w:val="00B479CA"/>
    <w:rsid w:val="00B5084F"/>
    <w:rsid w:val="00B514DD"/>
    <w:rsid w:val="00B52AF0"/>
    <w:rsid w:val="00B53D5F"/>
    <w:rsid w:val="00B54051"/>
    <w:rsid w:val="00B54C33"/>
    <w:rsid w:val="00B561BD"/>
    <w:rsid w:val="00B56E03"/>
    <w:rsid w:val="00B62765"/>
    <w:rsid w:val="00B65164"/>
    <w:rsid w:val="00B65DF5"/>
    <w:rsid w:val="00B67B90"/>
    <w:rsid w:val="00B7118F"/>
    <w:rsid w:val="00B75C30"/>
    <w:rsid w:val="00B7679F"/>
    <w:rsid w:val="00B77159"/>
    <w:rsid w:val="00B8080B"/>
    <w:rsid w:val="00B80D4E"/>
    <w:rsid w:val="00B82223"/>
    <w:rsid w:val="00B83C9F"/>
    <w:rsid w:val="00B87BA5"/>
    <w:rsid w:val="00B87C39"/>
    <w:rsid w:val="00B93891"/>
    <w:rsid w:val="00B9562D"/>
    <w:rsid w:val="00B956F7"/>
    <w:rsid w:val="00BA21DA"/>
    <w:rsid w:val="00BA2B60"/>
    <w:rsid w:val="00BA3C93"/>
    <w:rsid w:val="00BA4665"/>
    <w:rsid w:val="00BA4EA2"/>
    <w:rsid w:val="00BA7C60"/>
    <w:rsid w:val="00BA7FD7"/>
    <w:rsid w:val="00BB1681"/>
    <w:rsid w:val="00BB2FB2"/>
    <w:rsid w:val="00BB3304"/>
    <w:rsid w:val="00BB6551"/>
    <w:rsid w:val="00BC4A10"/>
    <w:rsid w:val="00BD30F4"/>
    <w:rsid w:val="00BD3446"/>
    <w:rsid w:val="00BD59CF"/>
    <w:rsid w:val="00BD7F63"/>
    <w:rsid w:val="00BE1312"/>
    <w:rsid w:val="00BE1F1B"/>
    <w:rsid w:val="00BE3F89"/>
    <w:rsid w:val="00BE47B5"/>
    <w:rsid w:val="00BE5FCE"/>
    <w:rsid w:val="00BE6D91"/>
    <w:rsid w:val="00BF1263"/>
    <w:rsid w:val="00BF1AC1"/>
    <w:rsid w:val="00C0079E"/>
    <w:rsid w:val="00C040B4"/>
    <w:rsid w:val="00C045E1"/>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26CB"/>
    <w:rsid w:val="00C73DDC"/>
    <w:rsid w:val="00C76178"/>
    <w:rsid w:val="00C84560"/>
    <w:rsid w:val="00C86679"/>
    <w:rsid w:val="00C8792F"/>
    <w:rsid w:val="00C90472"/>
    <w:rsid w:val="00C91D6E"/>
    <w:rsid w:val="00C92A54"/>
    <w:rsid w:val="00CA1BF1"/>
    <w:rsid w:val="00CA489E"/>
    <w:rsid w:val="00CB0279"/>
    <w:rsid w:val="00CB2EA9"/>
    <w:rsid w:val="00CB666B"/>
    <w:rsid w:val="00CB734B"/>
    <w:rsid w:val="00CC058C"/>
    <w:rsid w:val="00CC0B36"/>
    <w:rsid w:val="00CC408D"/>
    <w:rsid w:val="00CC41B6"/>
    <w:rsid w:val="00CC7ADA"/>
    <w:rsid w:val="00CC7F1D"/>
    <w:rsid w:val="00CD0A88"/>
    <w:rsid w:val="00CD125D"/>
    <w:rsid w:val="00CD283C"/>
    <w:rsid w:val="00CD3641"/>
    <w:rsid w:val="00CD66EA"/>
    <w:rsid w:val="00CD7432"/>
    <w:rsid w:val="00CE0FA5"/>
    <w:rsid w:val="00CE2A23"/>
    <w:rsid w:val="00CE31C8"/>
    <w:rsid w:val="00CE484B"/>
    <w:rsid w:val="00CE5F13"/>
    <w:rsid w:val="00CE7CBA"/>
    <w:rsid w:val="00CF0DEE"/>
    <w:rsid w:val="00CF42AA"/>
    <w:rsid w:val="00CF5092"/>
    <w:rsid w:val="00CF5EAA"/>
    <w:rsid w:val="00CF6AE3"/>
    <w:rsid w:val="00CF77BB"/>
    <w:rsid w:val="00D006AE"/>
    <w:rsid w:val="00D00905"/>
    <w:rsid w:val="00D010C1"/>
    <w:rsid w:val="00D01B4F"/>
    <w:rsid w:val="00D01CF0"/>
    <w:rsid w:val="00D04377"/>
    <w:rsid w:val="00D0442A"/>
    <w:rsid w:val="00D07DD5"/>
    <w:rsid w:val="00D12A7B"/>
    <w:rsid w:val="00D12ADB"/>
    <w:rsid w:val="00D15E63"/>
    <w:rsid w:val="00D25A39"/>
    <w:rsid w:val="00D27CFA"/>
    <w:rsid w:val="00D310FA"/>
    <w:rsid w:val="00D325C6"/>
    <w:rsid w:val="00D33B36"/>
    <w:rsid w:val="00D359C1"/>
    <w:rsid w:val="00D37213"/>
    <w:rsid w:val="00D4360D"/>
    <w:rsid w:val="00D53BAF"/>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04"/>
    <w:rsid w:val="00D80893"/>
    <w:rsid w:val="00D82519"/>
    <w:rsid w:val="00D84854"/>
    <w:rsid w:val="00D9022F"/>
    <w:rsid w:val="00D924AE"/>
    <w:rsid w:val="00D92CF1"/>
    <w:rsid w:val="00D92D38"/>
    <w:rsid w:val="00D950F5"/>
    <w:rsid w:val="00D97379"/>
    <w:rsid w:val="00DA4752"/>
    <w:rsid w:val="00DA4C09"/>
    <w:rsid w:val="00DA61F3"/>
    <w:rsid w:val="00DA7CB3"/>
    <w:rsid w:val="00DB0D00"/>
    <w:rsid w:val="00DB0F93"/>
    <w:rsid w:val="00DB1A67"/>
    <w:rsid w:val="00DB2091"/>
    <w:rsid w:val="00DB3721"/>
    <w:rsid w:val="00DB5074"/>
    <w:rsid w:val="00DB76C2"/>
    <w:rsid w:val="00DC0281"/>
    <w:rsid w:val="00DC1930"/>
    <w:rsid w:val="00DC1C76"/>
    <w:rsid w:val="00DC4DBF"/>
    <w:rsid w:val="00DC4E19"/>
    <w:rsid w:val="00DC65FE"/>
    <w:rsid w:val="00DC7981"/>
    <w:rsid w:val="00DD137E"/>
    <w:rsid w:val="00DD312A"/>
    <w:rsid w:val="00DD4C07"/>
    <w:rsid w:val="00DD577D"/>
    <w:rsid w:val="00DD5ADC"/>
    <w:rsid w:val="00DE1093"/>
    <w:rsid w:val="00DE4EFA"/>
    <w:rsid w:val="00DE5520"/>
    <w:rsid w:val="00DE563D"/>
    <w:rsid w:val="00DE7AB5"/>
    <w:rsid w:val="00DF0152"/>
    <w:rsid w:val="00DF1958"/>
    <w:rsid w:val="00DF4A21"/>
    <w:rsid w:val="00DF6262"/>
    <w:rsid w:val="00E04818"/>
    <w:rsid w:val="00E06442"/>
    <w:rsid w:val="00E06952"/>
    <w:rsid w:val="00E11E61"/>
    <w:rsid w:val="00E157B2"/>
    <w:rsid w:val="00E16055"/>
    <w:rsid w:val="00E17DA5"/>
    <w:rsid w:val="00E2332D"/>
    <w:rsid w:val="00E23993"/>
    <w:rsid w:val="00E2574F"/>
    <w:rsid w:val="00E25951"/>
    <w:rsid w:val="00E25B8C"/>
    <w:rsid w:val="00E31CF6"/>
    <w:rsid w:val="00E32C0B"/>
    <w:rsid w:val="00E34A4A"/>
    <w:rsid w:val="00E34FE8"/>
    <w:rsid w:val="00E35AFC"/>
    <w:rsid w:val="00E41D39"/>
    <w:rsid w:val="00E50A02"/>
    <w:rsid w:val="00E54068"/>
    <w:rsid w:val="00E54106"/>
    <w:rsid w:val="00E54697"/>
    <w:rsid w:val="00E57A08"/>
    <w:rsid w:val="00E63631"/>
    <w:rsid w:val="00E641F8"/>
    <w:rsid w:val="00E64C2A"/>
    <w:rsid w:val="00E65C85"/>
    <w:rsid w:val="00E66199"/>
    <w:rsid w:val="00E70526"/>
    <w:rsid w:val="00E754B4"/>
    <w:rsid w:val="00E755EC"/>
    <w:rsid w:val="00E7624D"/>
    <w:rsid w:val="00E778B0"/>
    <w:rsid w:val="00E81724"/>
    <w:rsid w:val="00E819A4"/>
    <w:rsid w:val="00E833FA"/>
    <w:rsid w:val="00E84B74"/>
    <w:rsid w:val="00E87066"/>
    <w:rsid w:val="00E966BF"/>
    <w:rsid w:val="00EA056F"/>
    <w:rsid w:val="00EA0C04"/>
    <w:rsid w:val="00EA3D42"/>
    <w:rsid w:val="00EA6B1B"/>
    <w:rsid w:val="00EB1CBD"/>
    <w:rsid w:val="00EB3A34"/>
    <w:rsid w:val="00EB3C3F"/>
    <w:rsid w:val="00EC04F1"/>
    <w:rsid w:val="00EC2090"/>
    <w:rsid w:val="00EC237F"/>
    <w:rsid w:val="00EC3C1B"/>
    <w:rsid w:val="00EC4224"/>
    <w:rsid w:val="00EC573A"/>
    <w:rsid w:val="00EC5AA5"/>
    <w:rsid w:val="00EC7C67"/>
    <w:rsid w:val="00ED35C8"/>
    <w:rsid w:val="00ED37A8"/>
    <w:rsid w:val="00ED3968"/>
    <w:rsid w:val="00ED7323"/>
    <w:rsid w:val="00EE28F3"/>
    <w:rsid w:val="00EE340F"/>
    <w:rsid w:val="00EE50D1"/>
    <w:rsid w:val="00EE7614"/>
    <w:rsid w:val="00EF5110"/>
    <w:rsid w:val="00EF5890"/>
    <w:rsid w:val="00EF7597"/>
    <w:rsid w:val="00EF76BA"/>
    <w:rsid w:val="00F0231A"/>
    <w:rsid w:val="00F03463"/>
    <w:rsid w:val="00F036B7"/>
    <w:rsid w:val="00F04D6F"/>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651D"/>
    <w:rsid w:val="00F57647"/>
    <w:rsid w:val="00F62A14"/>
    <w:rsid w:val="00F644AB"/>
    <w:rsid w:val="00F64C7B"/>
    <w:rsid w:val="00F64E83"/>
    <w:rsid w:val="00F676DD"/>
    <w:rsid w:val="00F67AB6"/>
    <w:rsid w:val="00F70028"/>
    <w:rsid w:val="00F70434"/>
    <w:rsid w:val="00F75A26"/>
    <w:rsid w:val="00F76706"/>
    <w:rsid w:val="00F77D6D"/>
    <w:rsid w:val="00F80206"/>
    <w:rsid w:val="00F815EC"/>
    <w:rsid w:val="00F83034"/>
    <w:rsid w:val="00F83FAD"/>
    <w:rsid w:val="00F844C6"/>
    <w:rsid w:val="00F92FA6"/>
    <w:rsid w:val="00F9353B"/>
    <w:rsid w:val="00F937F1"/>
    <w:rsid w:val="00F952A0"/>
    <w:rsid w:val="00FA12E4"/>
    <w:rsid w:val="00FA31B1"/>
    <w:rsid w:val="00FA3320"/>
    <w:rsid w:val="00FA3C7F"/>
    <w:rsid w:val="00FA6246"/>
    <w:rsid w:val="00FB24ED"/>
    <w:rsid w:val="00FB3304"/>
    <w:rsid w:val="00FB5005"/>
    <w:rsid w:val="00FB60FE"/>
    <w:rsid w:val="00FB74E2"/>
    <w:rsid w:val="00FB778B"/>
    <w:rsid w:val="00FD5614"/>
    <w:rsid w:val="00FD5E78"/>
    <w:rsid w:val="00FD74DD"/>
    <w:rsid w:val="00FE0BE1"/>
    <w:rsid w:val="00FE11BB"/>
    <w:rsid w:val="00FE1DE9"/>
    <w:rsid w:val="00FE36AF"/>
    <w:rsid w:val="00FE39C2"/>
    <w:rsid w:val="00FE3C32"/>
    <w:rsid w:val="00FE64AE"/>
    <w:rsid w:val="00FE6867"/>
    <w:rsid w:val="00FF10E8"/>
    <w:rsid w:val="00FF2B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1761373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7B1F2930.dotm</Template>
  <TotalTime>0</TotalTime>
  <Pages>20</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AER draft decision - TasNetworks - Attachment 11 - STPIS</vt:lpstr>
    </vt:vector>
  </TitlesOfParts>
  <LinksUpToDate>false</LinksUpToDate>
  <CharactersWithSpaces>31543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11 - STPIS</dc:title>
  <dc:creator/>
  <cp:lastModifiedBy/>
  <cp:revision>1</cp:revision>
  <dcterms:created xsi:type="dcterms:W3CDTF">2016-09-28T01:53:00Z</dcterms:created>
  <dcterms:modified xsi:type="dcterms:W3CDTF">2016-10-12T23:38:00Z</dcterms:modified>
</cp:coreProperties>
</file>