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DE7AB5" w:rsidP="00290C63">
          <w:r w:rsidRPr="00DB723B">
            <w:rPr>
              <w:noProof/>
              <w:lang w:eastAsia="en-AU"/>
            </w:rPr>
            <w:drawing>
              <wp:anchor distT="0" distB="0" distL="114300" distR="114300" simplePos="0" relativeHeight="251661312" behindDoc="1" locked="0" layoutInCell="1" allowOverlap="1" wp14:anchorId="7E0C765D" wp14:editId="3F25D10F">
                <wp:simplePos x="0" y="0"/>
                <wp:positionH relativeFrom="column">
                  <wp:posOffset>-1116964</wp:posOffset>
                </wp:positionH>
                <wp:positionV relativeFrom="paragraph">
                  <wp:posOffset>-1000406</wp:posOffset>
                </wp:positionV>
                <wp:extent cx="7734300" cy="10932441"/>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734300" cy="10932441"/>
                        </a:xfrm>
                        <a:prstGeom prst="rect">
                          <a:avLst/>
                        </a:prstGeom>
                        <a:noFill/>
                      </pic:spPr>
                    </pic:pic>
                  </a:graphicData>
                </a:graphic>
                <wp14:sizeRelH relativeFrom="page">
                  <wp14:pctWidth>0</wp14:pctWidth>
                </wp14:sizeRelH>
                <wp14:sizeRelV relativeFrom="page">
                  <wp14:pctHeight>0</wp14:pctHeight>
                </wp14:sizeRelV>
              </wp:anchor>
            </w:drawing>
          </w:r>
          <w:r w:rsidR="000A6C7B" w:rsidRPr="00290C63">
            <w:rPr>
              <w:noProof/>
              <w:lang w:eastAsia="en-AU"/>
            </w:rPr>
            <w:drawing>
              <wp:anchor distT="0" distB="0" distL="114300" distR="114300" simplePos="0" relativeHeight="251659264" behindDoc="1" locked="0" layoutInCell="1" allowOverlap="1" wp14:anchorId="1DA1070A" wp14:editId="4597C1DB">
                <wp:simplePos x="0" y="0"/>
                <wp:positionH relativeFrom="column">
                  <wp:posOffset>-1112520</wp:posOffset>
                </wp:positionH>
                <wp:positionV relativeFrom="paragraph">
                  <wp:posOffset>-919138</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5C16FE" w:rsidRDefault="005C16FE" w:rsidP="00F171E0"/>
        <w:p w:rsidR="00327A1E" w:rsidRDefault="001754EE" w:rsidP="001754EE">
          <w:pPr>
            <w:pStyle w:val="ReportSubtitle"/>
            <w:tabs>
              <w:tab w:val="left" w:pos="1122"/>
              <w:tab w:val="center" w:pos="4238"/>
            </w:tabs>
            <w:jc w:val="left"/>
          </w:pPr>
          <w:r>
            <w:tab/>
          </w:r>
          <w:r>
            <w:tab/>
          </w:r>
          <w:r w:rsidR="000474DF">
            <w:t>DRAFT</w:t>
          </w:r>
          <w:r w:rsidR="00DA4752">
            <w:t xml:space="preserve"> DECISION</w:t>
          </w:r>
        </w:p>
        <w:p w:rsidR="00415F31" w:rsidRDefault="004523B2" w:rsidP="008F07A3">
          <w:pPr>
            <w:pStyle w:val="ReportSubtitle"/>
          </w:pPr>
          <w:r>
            <w:t>TasNetworks distribution</w:t>
          </w:r>
          <w:r w:rsidR="00415F31">
            <w:t xml:space="preserve"> </w:t>
          </w:r>
          <w:r w:rsidR="00DA4752">
            <w:t>determination</w:t>
          </w:r>
        </w:p>
        <w:p w:rsidR="000A6C7B" w:rsidRDefault="00DA4752" w:rsidP="008F07A3">
          <w:pPr>
            <w:pStyle w:val="ReportSubtitle"/>
          </w:pPr>
          <w:r>
            <w:t xml:space="preserve"> 201</w:t>
          </w:r>
          <w:r w:rsidR="000474DF">
            <w:t>7</w:t>
          </w:r>
          <w:r>
            <w:rPr>
              <w:rFonts w:cs="Arial"/>
            </w:rPr>
            <w:t>−</w:t>
          </w:r>
          <w:r>
            <w:t>1</w:t>
          </w:r>
          <w:r w:rsidR="000474DF">
            <w:t>8 to 20</w:t>
          </w:r>
          <w:r w:rsidR="004523B2">
            <w:t>18</w:t>
          </w:r>
          <w:r>
            <w:rPr>
              <w:rFonts w:cs="Arial"/>
            </w:rPr>
            <w:t>−</w:t>
          </w:r>
          <w:r w:rsidR="004523B2">
            <w:t>19</w:t>
          </w:r>
        </w:p>
        <w:p w:rsidR="008F07A3" w:rsidRPr="000A6C7B" w:rsidRDefault="008F07A3" w:rsidP="008F07A3">
          <w:pPr>
            <w:pStyle w:val="ReportSubtitle"/>
          </w:pPr>
        </w:p>
        <w:p w:rsidR="000A6C7B" w:rsidRDefault="0037699E" w:rsidP="008F07A3">
          <w:pPr>
            <w:pStyle w:val="ReportSubtitle"/>
          </w:pPr>
          <w:r>
            <w:t xml:space="preserve">Attachment </w:t>
          </w:r>
          <w:r w:rsidR="00471BC6">
            <w:t>1</w:t>
          </w:r>
          <w:r w:rsidR="00CC058C">
            <w:t>2</w:t>
          </w:r>
          <w:r w:rsidR="000474DF">
            <w:t xml:space="preserve"> </w:t>
          </w:r>
          <w:r w:rsidR="00185BA5">
            <w:t>–</w:t>
          </w:r>
          <w:r w:rsidR="000474DF">
            <w:t xml:space="preserve"> </w:t>
          </w:r>
          <w:r w:rsidR="00CC058C">
            <w:t>Demand management incentive scheme</w:t>
          </w:r>
        </w:p>
        <w:p w:rsidR="000A6C7B" w:rsidRPr="00327A1E" w:rsidRDefault="000474DF" w:rsidP="00327A1E">
          <w:pPr>
            <w:pStyle w:val="ReportDate"/>
          </w:pPr>
          <w:r>
            <w:t>September 2016</w:t>
          </w:r>
        </w:p>
      </w:sdtContent>
    </w:sdt>
    <w:p w:rsidR="00327A1E" w:rsidRPr="00290C63" w:rsidRDefault="00327A1E" w:rsidP="00290C63">
      <w:r>
        <w:br w:type="page"/>
      </w:r>
    </w:p>
    <w:p w:rsidR="00CE2A23" w:rsidRDefault="00CE2A23" w:rsidP="00761454">
      <w:bookmarkStart w:id="0" w:name="_Toc411428008"/>
      <w:r>
        <w:lastRenderedPageBreak/>
        <w:t>© Commonwealth of Australia 201</w:t>
      </w:r>
      <w:r w:rsidR="000474DF">
        <w:t>6</w:t>
      </w:r>
    </w:p>
    <w:p w:rsidR="00CE2A23" w:rsidRDefault="00CE2A23" w:rsidP="00761454">
      <w:r>
        <w:t>This work is copyright. In addition to any use permitted under the Copyright Act 1968, all material contained within this work is provided under a Creative Commons Attributions 3.0 Australia licence, with the exception of:</w:t>
      </w:r>
    </w:p>
    <w:p w:rsidR="00CE2A23" w:rsidRPr="00CE2A23" w:rsidRDefault="00CE2A23" w:rsidP="00CE2A23">
      <w:pPr>
        <w:pStyle w:val="AERbulletlistfirststyle"/>
      </w:pPr>
      <w:r w:rsidRPr="00CE2A23">
        <w:t>the Commonwealth Coat of Arms</w:t>
      </w:r>
    </w:p>
    <w:p w:rsidR="00CE2A23" w:rsidRPr="00CB734B" w:rsidRDefault="00CE2A23" w:rsidP="00CE2A23">
      <w:pPr>
        <w:pStyle w:val="AERbulletlistfirststyle"/>
      </w:pPr>
      <w:r w:rsidRPr="00CE2A23">
        <w:t>the ACCC and AER logos</w:t>
      </w:r>
    </w:p>
    <w:p w:rsidR="00CE2A23" w:rsidRPr="00CE2A23" w:rsidRDefault="00CE2A23" w:rsidP="00CB734B">
      <w:pPr>
        <w:pStyle w:val="AERbulletlistfirststyle"/>
      </w:pPr>
      <w:r w:rsidRPr="00CE2A23">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CE2A23" w:rsidRDefault="00CE2A23" w:rsidP="00761454">
      <w:r>
        <w:t>Requests and inquiries concerning reproduction and rights should be addressed to the:</w:t>
      </w:r>
    </w:p>
    <w:p w:rsidR="00CE2A23" w:rsidRDefault="00CE2A23" w:rsidP="00761454">
      <w:r>
        <w:t>Director, Corporate Communications</w:t>
      </w:r>
      <w:r>
        <w:br/>
        <w:t xml:space="preserve">Australian Competition and Consumer Commission </w:t>
      </w:r>
      <w:r>
        <w:br/>
        <w:t>GPO Box 4141, Canberra ACT 2601</w:t>
      </w:r>
    </w:p>
    <w:p w:rsidR="00CE2A23" w:rsidRDefault="00CE2A23" w:rsidP="00761454">
      <w:r>
        <w:t>or publishing.unit@accc.gov.au.</w:t>
      </w:r>
    </w:p>
    <w:p w:rsidR="00CE2A23" w:rsidRDefault="00CE2A23" w:rsidP="00761454">
      <w:r>
        <w:t>Inquiries about this publication should be addressed to:</w:t>
      </w:r>
    </w:p>
    <w:p w:rsidR="00CE2A23" w:rsidRDefault="00CE2A23" w:rsidP="00761454">
      <w:r>
        <w:t xml:space="preserve">Australian Energy </w:t>
      </w:r>
      <w:r w:rsidRPr="00F171E0">
        <w:t>Regulator</w:t>
      </w:r>
      <w:r>
        <w:br/>
        <w:t>GPO Box 520</w:t>
      </w:r>
      <w:r>
        <w:br/>
      </w:r>
      <w:r w:rsidR="008658A1">
        <w:t>Melbourne Vic 3001</w:t>
      </w:r>
    </w:p>
    <w:p w:rsidR="00CE2A23" w:rsidRDefault="00CE2A23" w:rsidP="00761454">
      <w:r>
        <w:t xml:space="preserve">Tel: </w:t>
      </w:r>
      <w:r w:rsidR="00496372">
        <w:t>1300 5</w:t>
      </w:r>
      <w:r w:rsidR="00F1216A">
        <w:t>8</w:t>
      </w:r>
      <w:bookmarkStart w:id="1" w:name="_GoBack"/>
      <w:bookmarkEnd w:id="1"/>
      <w:r w:rsidR="00496372">
        <w:t>5 165</w:t>
      </w:r>
      <w:r>
        <w:br/>
        <w:t xml:space="preserve">Email: </w:t>
      </w:r>
      <w:hyperlink r:id="rId11" w:history="1">
        <w:r w:rsidRPr="00D64888">
          <w:rPr>
            <w:rStyle w:val="Hyperlink"/>
          </w:rPr>
          <w:t>AERInquiry@aer.gov.au</w:t>
        </w:r>
      </w:hyperlink>
      <w:r>
        <w:rPr>
          <w:rStyle w:val="Hyperlink"/>
        </w:rPr>
        <w:br/>
      </w:r>
    </w:p>
    <w:p w:rsidR="00291A99" w:rsidRDefault="00291A99" w:rsidP="00761454"/>
    <w:p w:rsidR="00761454" w:rsidRDefault="00761454">
      <w:pPr>
        <w:spacing w:line="240" w:lineRule="auto"/>
      </w:pPr>
      <w:r>
        <w:br w:type="page"/>
      </w:r>
    </w:p>
    <w:p w:rsidR="00761454" w:rsidRDefault="00761454" w:rsidP="00761454">
      <w:pPr>
        <w:pStyle w:val="UnnumberedHeading"/>
        <w:numPr>
          <w:ilvl w:val="0"/>
          <w:numId w:val="23"/>
        </w:numPr>
      </w:pPr>
      <w:bookmarkStart w:id="2" w:name="_Toc404153950"/>
      <w:bookmarkStart w:id="3" w:name="_Toc404437593"/>
      <w:bookmarkStart w:id="4" w:name="_Toc462755340"/>
      <w:r>
        <w:lastRenderedPageBreak/>
        <w:t>Note</w:t>
      </w:r>
      <w:bookmarkEnd w:id="2"/>
      <w:bookmarkEnd w:id="3"/>
      <w:bookmarkEnd w:id="4"/>
    </w:p>
    <w:p w:rsidR="00761454" w:rsidRDefault="00761454" w:rsidP="00761454">
      <w:pPr>
        <w:numPr>
          <w:ilvl w:val="0"/>
          <w:numId w:val="24"/>
        </w:numPr>
      </w:pPr>
      <w:r>
        <w:t xml:space="preserve">This </w:t>
      </w:r>
      <w:r w:rsidR="00496372">
        <w:t>attachment</w:t>
      </w:r>
      <w:r>
        <w:t xml:space="preserve"> forms part of the AER's </w:t>
      </w:r>
      <w:r w:rsidR="000474DF">
        <w:t xml:space="preserve">draft </w:t>
      </w:r>
      <w:r>
        <w:t xml:space="preserve">decision on </w:t>
      </w:r>
      <w:r w:rsidR="004523B2">
        <w:t>TasNetworks' distribution</w:t>
      </w:r>
      <w:r>
        <w:t xml:space="preserve"> determination for 201</w:t>
      </w:r>
      <w:r w:rsidR="000474DF">
        <w:t>7</w:t>
      </w:r>
      <w:r w:rsidRPr="00F02D30">
        <w:t>–</w:t>
      </w:r>
      <w:r w:rsidR="004523B2">
        <w:t>19</w:t>
      </w:r>
      <w:r>
        <w:t xml:space="preserve">. It should be read with </w:t>
      </w:r>
      <w:r w:rsidR="000474DF">
        <w:t xml:space="preserve">all </w:t>
      </w:r>
      <w:r>
        <w:t xml:space="preserve">other parts of the </w:t>
      </w:r>
      <w:r w:rsidR="000474DF">
        <w:t>draft</w:t>
      </w:r>
      <w:r>
        <w:t xml:space="preserve"> decision.</w:t>
      </w:r>
    </w:p>
    <w:p w:rsidR="00761454" w:rsidRDefault="00761454" w:rsidP="00761454">
      <w:pPr>
        <w:numPr>
          <w:ilvl w:val="0"/>
          <w:numId w:val="24"/>
        </w:numPr>
      </w:pPr>
      <w:r>
        <w:t xml:space="preserve">The </w:t>
      </w:r>
      <w:r w:rsidR="000474DF">
        <w:t>draft</w:t>
      </w:r>
      <w:r>
        <w:t xml:space="preserve"> decision includes the following documents:</w:t>
      </w:r>
    </w:p>
    <w:p w:rsidR="00761454" w:rsidRDefault="00761454" w:rsidP="00761454">
      <w:pPr>
        <w:numPr>
          <w:ilvl w:val="0"/>
          <w:numId w:val="24"/>
        </w:numPr>
      </w:pPr>
      <w:r>
        <w:t>Overview</w:t>
      </w:r>
    </w:p>
    <w:p w:rsidR="00761454" w:rsidRDefault="000474DF" w:rsidP="00761454">
      <w:pPr>
        <w:numPr>
          <w:ilvl w:val="0"/>
          <w:numId w:val="24"/>
        </w:numPr>
      </w:pPr>
      <w:r>
        <w:t xml:space="preserve">Attachment 1 – </w:t>
      </w:r>
      <w:r w:rsidR="004523B2">
        <w:t>Annual revenue requirement</w:t>
      </w:r>
    </w:p>
    <w:p w:rsidR="00761454" w:rsidRDefault="000474DF" w:rsidP="00761454">
      <w:pPr>
        <w:numPr>
          <w:ilvl w:val="0"/>
          <w:numId w:val="24"/>
        </w:numPr>
      </w:pPr>
      <w:r>
        <w:t>Attachment 2 – R</w:t>
      </w:r>
      <w:r w:rsidR="00761454">
        <w:t>egulatory asset base</w:t>
      </w:r>
    </w:p>
    <w:p w:rsidR="00761454" w:rsidRDefault="000474DF" w:rsidP="00761454">
      <w:pPr>
        <w:numPr>
          <w:ilvl w:val="0"/>
          <w:numId w:val="24"/>
        </w:numPr>
      </w:pPr>
      <w:r>
        <w:t>Attachment 3 – R</w:t>
      </w:r>
      <w:r w:rsidR="00761454">
        <w:t>ate of return</w:t>
      </w:r>
    </w:p>
    <w:p w:rsidR="00761454" w:rsidRDefault="000474DF" w:rsidP="00761454">
      <w:pPr>
        <w:numPr>
          <w:ilvl w:val="0"/>
          <w:numId w:val="24"/>
        </w:numPr>
      </w:pPr>
      <w:r>
        <w:t>Attachment 4 – V</w:t>
      </w:r>
      <w:r w:rsidR="00761454">
        <w:t>alue of imputation credits</w:t>
      </w:r>
    </w:p>
    <w:p w:rsidR="00761454" w:rsidRDefault="00761454" w:rsidP="00761454">
      <w:pPr>
        <w:numPr>
          <w:ilvl w:val="0"/>
          <w:numId w:val="24"/>
        </w:numPr>
      </w:pPr>
      <w:r>
        <w:t xml:space="preserve">Attachment 5 – </w:t>
      </w:r>
      <w:r w:rsidR="000474DF">
        <w:t>R</w:t>
      </w:r>
      <w:r>
        <w:t>egulatory depreciation</w:t>
      </w:r>
    </w:p>
    <w:p w:rsidR="00761454" w:rsidRDefault="000474DF" w:rsidP="00761454">
      <w:pPr>
        <w:numPr>
          <w:ilvl w:val="0"/>
          <w:numId w:val="24"/>
        </w:numPr>
      </w:pPr>
      <w:r>
        <w:t>Attachment 6 – C</w:t>
      </w:r>
      <w:r w:rsidR="00761454">
        <w:t xml:space="preserve">apital expenditure </w:t>
      </w:r>
    </w:p>
    <w:p w:rsidR="00761454" w:rsidRDefault="000474DF" w:rsidP="00761454">
      <w:pPr>
        <w:numPr>
          <w:ilvl w:val="0"/>
          <w:numId w:val="24"/>
        </w:numPr>
      </w:pPr>
      <w:r>
        <w:t>Attachment 7 – O</w:t>
      </w:r>
      <w:r w:rsidR="00761454">
        <w:t>perating expenditure</w:t>
      </w:r>
    </w:p>
    <w:p w:rsidR="00761454" w:rsidRDefault="00761454" w:rsidP="00761454">
      <w:pPr>
        <w:numPr>
          <w:ilvl w:val="0"/>
          <w:numId w:val="24"/>
        </w:numPr>
      </w:pPr>
      <w:r>
        <w:t xml:space="preserve">Attachment 8 – </w:t>
      </w:r>
      <w:r w:rsidR="000474DF">
        <w:t>C</w:t>
      </w:r>
      <w:r>
        <w:t>orporate income tax</w:t>
      </w:r>
    </w:p>
    <w:p w:rsidR="00761454" w:rsidRDefault="000474DF" w:rsidP="00761454">
      <w:pPr>
        <w:numPr>
          <w:ilvl w:val="0"/>
          <w:numId w:val="24"/>
        </w:numPr>
      </w:pPr>
      <w:r>
        <w:t>Attachment 9 – E</w:t>
      </w:r>
      <w:r w:rsidR="00761454">
        <w:t>fficiency benefit sharing scheme</w:t>
      </w:r>
    </w:p>
    <w:p w:rsidR="00761454" w:rsidRDefault="000474DF" w:rsidP="00761454">
      <w:pPr>
        <w:numPr>
          <w:ilvl w:val="0"/>
          <w:numId w:val="24"/>
        </w:numPr>
      </w:pPr>
      <w:r>
        <w:t>Attachment 10 – C</w:t>
      </w:r>
      <w:r w:rsidR="00761454">
        <w:t>apital expenditure sharing scheme</w:t>
      </w:r>
    </w:p>
    <w:p w:rsidR="00761454" w:rsidRDefault="000474DF" w:rsidP="00761454">
      <w:pPr>
        <w:numPr>
          <w:ilvl w:val="0"/>
          <w:numId w:val="24"/>
        </w:numPr>
      </w:pPr>
      <w:r>
        <w:t>Attachment 11 – S</w:t>
      </w:r>
      <w:r w:rsidR="00761454">
        <w:t>ervice target performance incentive scheme</w:t>
      </w:r>
    </w:p>
    <w:p w:rsidR="00761454" w:rsidRPr="00F02D30" w:rsidRDefault="00761454" w:rsidP="00761454">
      <w:pPr>
        <w:numPr>
          <w:ilvl w:val="0"/>
          <w:numId w:val="24"/>
        </w:numPr>
      </w:pPr>
      <w:r>
        <w:t xml:space="preserve">Attachment 12 – </w:t>
      </w:r>
      <w:r w:rsidR="004523B2">
        <w:t>Demand management incentive scheme</w:t>
      </w:r>
    </w:p>
    <w:p w:rsidR="00761454" w:rsidRPr="00F02D30" w:rsidRDefault="00761454" w:rsidP="00761454">
      <w:pPr>
        <w:numPr>
          <w:ilvl w:val="0"/>
          <w:numId w:val="24"/>
        </w:numPr>
      </w:pPr>
      <w:r>
        <w:t xml:space="preserve">Attachment 13 </w:t>
      </w:r>
      <w:r w:rsidR="000474DF">
        <w:t xml:space="preserve">– </w:t>
      </w:r>
      <w:r w:rsidR="004523B2">
        <w:t>Classification of services</w:t>
      </w:r>
    </w:p>
    <w:p w:rsidR="00761454" w:rsidRDefault="00761454" w:rsidP="00761454">
      <w:pPr>
        <w:numPr>
          <w:ilvl w:val="0"/>
          <w:numId w:val="24"/>
        </w:numPr>
      </w:pPr>
      <w:r>
        <w:t xml:space="preserve">Attachment 14 </w:t>
      </w:r>
      <w:r w:rsidR="000474DF">
        <w:t xml:space="preserve">– </w:t>
      </w:r>
      <w:r w:rsidR="004523B2">
        <w:t>Control mechanisms</w:t>
      </w:r>
    </w:p>
    <w:p w:rsidR="004523B2" w:rsidRDefault="004523B2" w:rsidP="00761454">
      <w:pPr>
        <w:numPr>
          <w:ilvl w:val="0"/>
          <w:numId w:val="24"/>
        </w:numPr>
      </w:pPr>
      <w:r>
        <w:t>Attachment 15 – Pass through events</w:t>
      </w:r>
    </w:p>
    <w:p w:rsidR="004523B2" w:rsidRDefault="004523B2" w:rsidP="00761454">
      <w:pPr>
        <w:numPr>
          <w:ilvl w:val="0"/>
          <w:numId w:val="24"/>
        </w:numPr>
      </w:pPr>
      <w:r>
        <w:t>Attachment 16 – Alternative control services</w:t>
      </w:r>
    </w:p>
    <w:p w:rsidR="004523B2" w:rsidRDefault="004523B2" w:rsidP="00761454">
      <w:pPr>
        <w:numPr>
          <w:ilvl w:val="0"/>
          <w:numId w:val="24"/>
        </w:numPr>
      </w:pPr>
      <w:r>
        <w:t>Attachment 17 – Negotiated services framework and criteria</w:t>
      </w:r>
    </w:p>
    <w:p w:rsidR="004523B2" w:rsidRDefault="004523B2" w:rsidP="00761454">
      <w:pPr>
        <w:numPr>
          <w:ilvl w:val="0"/>
          <w:numId w:val="24"/>
        </w:numPr>
      </w:pPr>
      <w:r>
        <w:t>Attachment 18 – Connection policy</w:t>
      </w:r>
    </w:p>
    <w:p w:rsidR="00496372" w:rsidRDefault="00496372" w:rsidP="00761454">
      <w:pPr>
        <w:numPr>
          <w:ilvl w:val="0"/>
          <w:numId w:val="24"/>
        </w:numPr>
      </w:pPr>
      <w:r>
        <w:t>Attachment 19 – Tariff structure statement</w:t>
      </w:r>
    </w:p>
    <w:p w:rsidR="004523B2" w:rsidRPr="00F02D30" w:rsidRDefault="004523B2" w:rsidP="00761454">
      <w:pPr>
        <w:numPr>
          <w:ilvl w:val="0"/>
          <w:numId w:val="24"/>
        </w:numPr>
      </w:pPr>
    </w:p>
    <w:p w:rsidR="00761454" w:rsidRPr="009D3906" w:rsidRDefault="00761454" w:rsidP="00761454"/>
    <w:p w:rsidR="00CE2A23" w:rsidRPr="00CE2A23" w:rsidRDefault="00CE2A23" w:rsidP="00CE2A23">
      <w:bookmarkStart w:id="5" w:name="_Toc404354899"/>
      <w:bookmarkStart w:id="6" w:name="_Toc404353070"/>
      <w:bookmarkStart w:id="7" w:name="_Toc404684201"/>
      <w:bookmarkStart w:id="8" w:name="_Toc404700923"/>
      <w:r>
        <w:br w:type="page"/>
      </w:r>
    </w:p>
    <w:bookmarkEnd w:id="5"/>
    <w:bookmarkEnd w:id="6"/>
    <w:bookmarkEnd w:id="7"/>
    <w:bookmarkEnd w:id="8"/>
    <w:p w:rsidR="00CE2A23" w:rsidRPr="008F07A3" w:rsidRDefault="00CE2A23" w:rsidP="00CE2A23">
      <w:pPr>
        <w:numPr>
          <w:ilvl w:val="0"/>
          <w:numId w:val="24"/>
        </w:numPr>
        <w:sectPr w:rsidR="00CE2A23" w:rsidRPr="008F07A3" w:rsidSect="00317E02">
          <w:headerReference w:type="even" r:id="rId12"/>
          <w:headerReference w:type="default" r:id="rId13"/>
          <w:footerReference w:type="even" r:id="rId14"/>
          <w:footerReference w:type="default" r:id="rId15"/>
          <w:headerReference w:type="first" r:id="rId16"/>
          <w:footerReference w:type="first" r:id="rId17"/>
          <w:pgSz w:w="11906" w:h="16838" w:code="9"/>
          <w:pgMar w:top="1440" w:right="1700" w:bottom="1582" w:left="1729" w:header="720" w:footer="0" w:gutter="0"/>
          <w:pgNumType w:start="0" w:chapStyle="1"/>
          <w:cols w:space="720"/>
          <w:docGrid w:linePitch="326"/>
        </w:sectPr>
      </w:pPr>
    </w:p>
    <w:p w:rsidR="00CE2A23" w:rsidRPr="00A72B34" w:rsidRDefault="00CE2A23" w:rsidP="00CE2A23">
      <w:pPr>
        <w:pStyle w:val="UnnumberedHeading"/>
        <w:numPr>
          <w:ilvl w:val="0"/>
          <w:numId w:val="23"/>
        </w:numPr>
      </w:pPr>
      <w:bookmarkStart w:id="9" w:name="_Toc403144133"/>
      <w:bookmarkStart w:id="10" w:name="_Toc462755341"/>
      <w:r>
        <w:lastRenderedPageBreak/>
        <w:t>Contents</w:t>
      </w:r>
      <w:bookmarkEnd w:id="9"/>
      <w:bookmarkEnd w:id="10"/>
    </w:p>
    <w:p w:rsidR="00CE2A23" w:rsidRDefault="00CE2A23" w:rsidP="00CE2A23"/>
    <w:sdt>
      <w:sdtPr>
        <w:id w:val="1269200322"/>
        <w:docPartObj>
          <w:docPartGallery w:val="Table of Contents"/>
          <w:docPartUnique/>
        </w:docPartObj>
      </w:sdtPr>
      <w:sdtEndPr/>
      <w:sdtContent>
        <w:p w:rsidR="00E40C30" w:rsidRDefault="00CD283C">
          <w:pPr>
            <w:pStyle w:val="TOC1"/>
            <w:rPr>
              <w:rFonts w:asciiTheme="minorHAnsi" w:eastAsiaTheme="minorEastAsia" w:hAnsiTheme="minorHAnsi"/>
              <w:b w:val="0"/>
              <w:color w:val="auto"/>
              <w:sz w:val="22"/>
              <w:lang w:val="en-AU" w:eastAsia="en-AU"/>
            </w:rPr>
          </w:pPr>
          <w:r>
            <w:fldChar w:fldCharType="begin"/>
          </w:r>
          <w:r>
            <w:instrText xml:space="preserve"> TOC \o "1-2" \h \z \t "Heading 3,3,Heading 7,1,Heading 8,2,Heading 9,3" </w:instrText>
          </w:r>
          <w:r>
            <w:fldChar w:fldCharType="separate"/>
          </w:r>
          <w:hyperlink w:anchor="_Toc462755340" w:history="1">
            <w:r w:rsidR="00E40C30" w:rsidRPr="00B121DD">
              <w:rPr>
                <w:rStyle w:val="Hyperlink"/>
              </w:rPr>
              <w:t>Note</w:t>
            </w:r>
            <w:r w:rsidR="00E40C30">
              <w:rPr>
                <w:webHidden/>
              </w:rPr>
              <w:tab/>
            </w:r>
            <w:r w:rsidR="00E40C30">
              <w:rPr>
                <w:webHidden/>
              </w:rPr>
              <w:fldChar w:fldCharType="begin"/>
            </w:r>
            <w:r w:rsidR="00E40C30">
              <w:rPr>
                <w:webHidden/>
              </w:rPr>
              <w:instrText xml:space="preserve"> PAGEREF _Toc462755340 \h </w:instrText>
            </w:r>
            <w:r w:rsidR="00E40C30">
              <w:rPr>
                <w:webHidden/>
              </w:rPr>
            </w:r>
            <w:r w:rsidR="00E40C30">
              <w:rPr>
                <w:webHidden/>
              </w:rPr>
              <w:fldChar w:fldCharType="separate"/>
            </w:r>
            <w:r w:rsidR="00E40C30">
              <w:rPr>
                <w:webHidden/>
              </w:rPr>
              <w:t>12-2</w:t>
            </w:r>
            <w:r w:rsidR="00E40C30">
              <w:rPr>
                <w:webHidden/>
              </w:rPr>
              <w:fldChar w:fldCharType="end"/>
            </w:r>
          </w:hyperlink>
        </w:p>
        <w:p w:rsidR="00E40C30" w:rsidRDefault="00345986">
          <w:pPr>
            <w:pStyle w:val="TOC1"/>
            <w:rPr>
              <w:rFonts w:asciiTheme="minorHAnsi" w:eastAsiaTheme="minorEastAsia" w:hAnsiTheme="minorHAnsi"/>
              <w:b w:val="0"/>
              <w:color w:val="auto"/>
              <w:sz w:val="22"/>
              <w:lang w:val="en-AU" w:eastAsia="en-AU"/>
            </w:rPr>
          </w:pPr>
          <w:hyperlink w:anchor="_Toc462755341" w:history="1">
            <w:r w:rsidR="00E40C30" w:rsidRPr="00B121DD">
              <w:rPr>
                <w:rStyle w:val="Hyperlink"/>
              </w:rPr>
              <w:t>Contents</w:t>
            </w:r>
            <w:r w:rsidR="00E40C30">
              <w:rPr>
                <w:webHidden/>
              </w:rPr>
              <w:tab/>
            </w:r>
            <w:r w:rsidR="00E40C30">
              <w:rPr>
                <w:webHidden/>
              </w:rPr>
              <w:fldChar w:fldCharType="begin"/>
            </w:r>
            <w:r w:rsidR="00E40C30">
              <w:rPr>
                <w:webHidden/>
              </w:rPr>
              <w:instrText xml:space="preserve"> PAGEREF _Toc462755341 \h </w:instrText>
            </w:r>
            <w:r w:rsidR="00E40C30">
              <w:rPr>
                <w:webHidden/>
              </w:rPr>
            </w:r>
            <w:r w:rsidR="00E40C30">
              <w:rPr>
                <w:webHidden/>
              </w:rPr>
              <w:fldChar w:fldCharType="separate"/>
            </w:r>
            <w:r w:rsidR="00E40C30">
              <w:rPr>
                <w:webHidden/>
              </w:rPr>
              <w:t>12-3</w:t>
            </w:r>
            <w:r w:rsidR="00E40C30">
              <w:rPr>
                <w:webHidden/>
              </w:rPr>
              <w:fldChar w:fldCharType="end"/>
            </w:r>
          </w:hyperlink>
        </w:p>
        <w:p w:rsidR="00E40C30" w:rsidRDefault="00345986">
          <w:pPr>
            <w:pStyle w:val="TOC1"/>
            <w:rPr>
              <w:rFonts w:asciiTheme="minorHAnsi" w:eastAsiaTheme="minorEastAsia" w:hAnsiTheme="minorHAnsi"/>
              <w:b w:val="0"/>
              <w:color w:val="auto"/>
              <w:sz w:val="22"/>
              <w:lang w:val="en-AU" w:eastAsia="en-AU"/>
            </w:rPr>
          </w:pPr>
          <w:hyperlink w:anchor="_Toc462755342" w:history="1">
            <w:r w:rsidR="00E40C30" w:rsidRPr="00B121DD">
              <w:rPr>
                <w:rStyle w:val="Hyperlink"/>
              </w:rPr>
              <w:t>Shortened forms</w:t>
            </w:r>
            <w:r w:rsidR="00E40C30">
              <w:rPr>
                <w:webHidden/>
              </w:rPr>
              <w:tab/>
            </w:r>
            <w:r w:rsidR="00E40C30">
              <w:rPr>
                <w:webHidden/>
              </w:rPr>
              <w:fldChar w:fldCharType="begin"/>
            </w:r>
            <w:r w:rsidR="00E40C30">
              <w:rPr>
                <w:webHidden/>
              </w:rPr>
              <w:instrText xml:space="preserve"> PAGEREF _Toc462755342 \h </w:instrText>
            </w:r>
            <w:r w:rsidR="00E40C30">
              <w:rPr>
                <w:webHidden/>
              </w:rPr>
            </w:r>
            <w:r w:rsidR="00E40C30">
              <w:rPr>
                <w:webHidden/>
              </w:rPr>
              <w:fldChar w:fldCharType="separate"/>
            </w:r>
            <w:r w:rsidR="00E40C30">
              <w:rPr>
                <w:webHidden/>
              </w:rPr>
              <w:t>12-4</w:t>
            </w:r>
            <w:r w:rsidR="00E40C30">
              <w:rPr>
                <w:webHidden/>
              </w:rPr>
              <w:fldChar w:fldCharType="end"/>
            </w:r>
          </w:hyperlink>
        </w:p>
        <w:p w:rsidR="00E40C30" w:rsidRDefault="00345986">
          <w:pPr>
            <w:pStyle w:val="TOC1"/>
            <w:rPr>
              <w:rFonts w:asciiTheme="minorHAnsi" w:eastAsiaTheme="minorEastAsia" w:hAnsiTheme="minorHAnsi"/>
              <w:b w:val="0"/>
              <w:color w:val="auto"/>
              <w:sz w:val="22"/>
              <w:lang w:val="en-AU" w:eastAsia="en-AU"/>
            </w:rPr>
          </w:pPr>
          <w:hyperlink w:anchor="_Toc462755343" w:history="1">
            <w:r w:rsidR="00E40C30" w:rsidRPr="00B121DD">
              <w:rPr>
                <w:rStyle w:val="Hyperlink"/>
              </w:rPr>
              <w:t>12</w:t>
            </w:r>
            <w:r w:rsidR="00E40C30">
              <w:rPr>
                <w:rFonts w:asciiTheme="minorHAnsi" w:eastAsiaTheme="minorEastAsia" w:hAnsiTheme="minorHAnsi"/>
                <w:b w:val="0"/>
                <w:color w:val="auto"/>
                <w:sz w:val="22"/>
                <w:lang w:val="en-AU" w:eastAsia="en-AU"/>
              </w:rPr>
              <w:tab/>
            </w:r>
            <w:r w:rsidR="00E40C30" w:rsidRPr="00B121DD">
              <w:rPr>
                <w:rStyle w:val="Hyperlink"/>
              </w:rPr>
              <w:t>Demand management incentive scheme</w:t>
            </w:r>
            <w:r w:rsidR="00E40C30">
              <w:rPr>
                <w:webHidden/>
              </w:rPr>
              <w:tab/>
            </w:r>
            <w:r w:rsidR="00E40C30">
              <w:rPr>
                <w:webHidden/>
              </w:rPr>
              <w:fldChar w:fldCharType="begin"/>
            </w:r>
            <w:r w:rsidR="00E40C30">
              <w:rPr>
                <w:webHidden/>
              </w:rPr>
              <w:instrText xml:space="preserve"> PAGEREF _Toc462755343 \h </w:instrText>
            </w:r>
            <w:r w:rsidR="00E40C30">
              <w:rPr>
                <w:webHidden/>
              </w:rPr>
            </w:r>
            <w:r w:rsidR="00E40C30">
              <w:rPr>
                <w:webHidden/>
              </w:rPr>
              <w:fldChar w:fldCharType="separate"/>
            </w:r>
            <w:r w:rsidR="00E40C30">
              <w:rPr>
                <w:webHidden/>
              </w:rPr>
              <w:t>12-6</w:t>
            </w:r>
            <w:r w:rsidR="00E40C30">
              <w:rPr>
                <w:webHidden/>
              </w:rPr>
              <w:fldChar w:fldCharType="end"/>
            </w:r>
          </w:hyperlink>
        </w:p>
        <w:p w:rsidR="00E40C30" w:rsidRDefault="00345986">
          <w:pPr>
            <w:pStyle w:val="TOC2"/>
            <w:tabs>
              <w:tab w:val="left" w:pos="1276"/>
            </w:tabs>
            <w:rPr>
              <w:rFonts w:asciiTheme="minorHAnsi" w:eastAsiaTheme="minorEastAsia" w:hAnsiTheme="minorHAnsi"/>
              <w:b w:val="0"/>
              <w:color w:val="auto"/>
              <w:sz w:val="22"/>
              <w:lang w:eastAsia="en-AU"/>
            </w:rPr>
          </w:pPr>
          <w:hyperlink w:anchor="_Toc462755344" w:history="1">
            <w:r w:rsidR="00E40C30" w:rsidRPr="00B121DD">
              <w:rPr>
                <w:rStyle w:val="Hyperlink"/>
              </w:rPr>
              <w:t>12.1</w:t>
            </w:r>
            <w:r w:rsidR="00E40C30">
              <w:rPr>
                <w:rFonts w:asciiTheme="minorHAnsi" w:eastAsiaTheme="minorEastAsia" w:hAnsiTheme="minorHAnsi"/>
                <w:b w:val="0"/>
                <w:color w:val="auto"/>
                <w:sz w:val="22"/>
                <w:lang w:eastAsia="en-AU"/>
              </w:rPr>
              <w:tab/>
            </w:r>
            <w:r w:rsidR="00E40C30" w:rsidRPr="00B121DD">
              <w:rPr>
                <w:rStyle w:val="Hyperlink"/>
              </w:rPr>
              <w:t>Draft decision</w:t>
            </w:r>
            <w:r w:rsidR="00E40C30">
              <w:rPr>
                <w:webHidden/>
              </w:rPr>
              <w:tab/>
            </w:r>
            <w:r w:rsidR="00E40C30">
              <w:rPr>
                <w:webHidden/>
              </w:rPr>
              <w:fldChar w:fldCharType="begin"/>
            </w:r>
            <w:r w:rsidR="00E40C30">
              <w:rPr>
                <w:webHidden/>
              </w:rPr>
              <w:instrText xml:space="preserve"> PAGEREF _Toc462755344 \h </w:instrText>
            </w:r>
            <w:r w:rsidR="00E40C30">
              <w:rPr>
                <w:webHidden/>
              </w:rPr>
            </w:r>
            <w:r w:rsidR="00E40C30">
              <w:rPr>
                <w:webHidden/>
              </w:rPr>
              <w:fldChar w:fldCharType="separate"/>
            </w:r>
            <w:r w:rsidR="00E40C30">
              <w:rPr>
                <w:webHidden/>
              </w:rPr>
              <w:t>12-7</w:t>
            </w:r>
            <w:r w:rsidR="00E40C30">
              <w:rPr>
                <w:webHidden/>
              </w:rPr>
              <w:fldChar w:fldCharType="end"/>
            </w:r>
          </w:hyperlink>
        </w:p>
        <w:p w:rsidR="00E40C30" w:rsidRDefault="00345986">
          <w:pPr>
            <w:pStyle w:val="TOC2"/>
            <w:tabs>
              <w:tab w:val="left" w:pos="1276"/>
            </w:tabs>
            <w:rPr>
              <w:rFonts w:asciiTheme="minorHAnsi" w:eastAsiaTheme="minorEastAsia" w:hAnsiTheme="minorHAnsi"/>
              <w:b w:val="0"/>
              <w:color w:val="auto"/>
              <w:sz w:val="22"/>
              <w:lang w:eastAsia="en-AU"/>
            </w:rPr>
          </w:pPr>
          <w:hyperlink w:anchor="_Toc462755345" w:history="1">
            <w:r w:rsidR="00E40C30" w:rsidRPr="00B121DD">
              <w:rPr>
                <w:rStyle w:val="Hyperlink"/>
              </w:rPr>
              <w:t>12.2</w:t>
            </w:r>
            <w:r w:rsidR="00E40C30">
              <w:rPr>
                <w:rFonts w:asciiTheme="minorHAnsi" w:eastAsiaTheme="minorEastAsia" w:hAnsiTheme="minorHAnsi"/>
                <w:b w:val="0"/>
                <w:color w:val="auto"/>
                <w:sz w:val="22"/>
                <w:lang w:eastAsia="en-AU"/>
              </w:rPr>
              <w:tab/>
            </w:r>
            <w:r w:rsidR="00E40C30" w:rsidRPr="00B121DD">
              <w:rPr>
                <w:rStyle w:val="Hyperlink"/>
              </w:rPr>
              <w:t>TasNetworks' proposal</w:t>
            </w:r>
            <w:r w:rsidR="00E40C30">
              <w:rPr>
                <w:webHidden/>
              </w:rPr>
              <w:tab/>
            </w:r>
            <w:r w:rsidR="00E40C30">
              <w:rPr>
                <w:webHidden/>
              </w:rPr>
              <w:fldChar w:fldCharType="begin"/>
            </w:r>
            <w:r w:rsidR="00E40C30">
              <w:rPr>
                <w:webHidden/>
              </w:rPr>
              <w:instrText xml:space="preserve"> PAGEREF _Toc462755345 \h </w:instrText>
            </w:r>
            <w:r w:rsidR="00E40C30">
              <w:rPr>
                <w:webHidden/>
              </w:rPr>
            </w:r>
            <w:r w:rsidR="00E40C30">
              <w:rPr>
                <w:webHidden/>
              </w:rPr>
              <w:fldChar w:fldCharType="separate"/>
            </w:r>
            <w:r w:rsidR="00E40C30">
              <w:rPr>
                <w:webHidden/>
              </w:rPr>
              <w:t>12-7</w:t>
            </w:r>
            <w:r w:rsidR="00E40C30">
              <w:rPr>
                <w:webHidden/>
              </w:rPr>
              <w:fldChar w:fldCharType="end"/>
            </w:r>
          </w:hyperlink>
        </w:p>
        <w:p w:rsidR="00E40C30" w:rsidRDefault="00345986">
          <w:pPr>
            <w:pStyle w:val="TOC2"/>
            <w:tabs>
              <w:tab w:val="left" w:pos="1276"/>
            </w:tabs>
            <w:rPr>
              <w:rFonts w:asciiTheme="minorHAnsi" w:eastAsiaTheme="minorEastAsia" w:hAnsiTheme="minorHAnsi"/>
              <w:b w:val="0"/>
              <w:color w:val="auto"/>
              <w:sz w:val="22"/>
              <w:lang w:eastAsia="en-AU"/>
            </w:rPr>
          </w:pPr>
          <w:hyperlink w:anchor="_Toc462755346" w:history="1">
            <w:r w:rsidR="00E40C30" w:rsidRPr="00B121DD">
              <w:rPr>
                <w:rStyle w:val="Hyperlink"/>
              </w:rPr>
              <w:t>12.3</w:t>
            </w:r>
            <w:r w:rsidR="00E40C30">
              <w:rPr>
                <w:rFonts w:asciiTheme="minorHAnsi" w:eastAsiaTheme="minorEastAsia" w:hAnsiTheme="minorHAnsi"/>
                <w:b w:val="0"/>
                <w:color w:val="auto"/>
                <w:sz w:val="22"/>
                <w:lang w:eastAsia="en-AU"/>
              </w:rPr>
              <w:tab/>
            </w:r>
            <w:r w:rsidR="00E40C30" w:rsidRPr="00B121DD">
              <w:rPr>
                <w:rStyle w:val="Hyperlink"/>
              </w:rPr>
              <w:t>Assessment approach</w:t>
            </w:r>
            <w:r w:rsidR="00E40C30">
              <w:rPr>
                <w:webHidden/>
              </w:rPr>
              <w:tab/>
            </w:r>
            <w:r w:rsidR="00E40C30">
              <w:rPr>
                <w:webHidden/>
              </w:rPr>
              <w:fldChar w:fldCharType="begin"/>
            </w:r>
            <w:r w:rsidR="00E40C30">
              <w:rPr>
                <w:webHidden/>
              </w:rPr>
              <w:instrText xml:space="preserve"> PAGEREF _Toc462755346 \h </w:instrText>
            </w:r>
            <w:r w:rsidR="00E40C30">
              <w:rPr>
                <w:webHidden/>
              </w:rPr>
            </w:r>
            <w:r w:rsidR="00E40C30">
              <w:rPr>
                <w:webHidden/>
              </w:rPr>
              <w:fldChar w:fldCharType="separate"/>
            </w:r>
            <w:r w:rsidR="00E40C30">
              <w:rPr>
                <w:webHidden/>
              </w:rPr>
              <w:t>12-7</w:t>
            </w:r>
            <w:r w:rsidR="00E40C30">
              <w:rPr>
                <w:webHidden/>
              </w:rPr>
              <w:fldChar w:fldCharType="end"/>
            </w:r>
          </w:hyperlink>
        </w:p>
        <w:p w:rsidR="00E40C30" w:rsidRDefault="00345986">
          <w:pPr>
            <w:pStyle w:val="TOC2"/>
            <w:tabs>
              <w:tab w:val="left" w:pos="1276"/>
            </w:tabs>
            <w:rPr>
              <w:rFonts w:asciiTheme="minorHAnsi" w:eastAsiaTheme="minorEastAsia" w:hAnsiTheme="minorHAnsi"/>
              <w:b w:val="0"/>
              <w:color w:val="auto"/>
              <w:sz w:val="22"/>
              <w:lang w:eastAsia="en-AU"/>
            </w:rPr>
          </w:pPr>
          <w:hyperlink w:anchor="_Toc462755347" w:history="1">
            <w:r w:rsidR="00E40C30" w:rsidRPr="00B121DD">
              <w:rPr>
                <w:rStyle w:val="Hyperlink"/>
              </w:rPr>
              <w:t>12.4</w:t>
            </w:r>
            <w:r w:rsidR="00E40C30">
              <w:rPr>
                <w:rFonts w:asciiTheme="minorHAnsi" w:eastAsiaTheme="minorEastAsia" w:hAnsiTheme="minorHAnsi"/>
                <w:b w:val="0"/>
                <w:color w:val="auto"/>
                <w:sz w:val="22"/>
                <w:lang w:eastAsia="en-AU"/>
              </w:rPr>
              <w:tab/>
            </w:r>
            <w:r w:rsidR="00E40C30" w:rsidRPr="00B121DD">
              <w:rPr>
                <w:rStyle w:val="Hyperlink"/>
              </w:rPr>
              <w:t>Reasons for draft decision</w:t>
            </w:r>
            <w:r w:rsidR="00E40C30">
              <w:rPr>
                <w:webHidden/>
              </w:rPr>
              <w:tab/>
            </w:r>
            <w:r w:rsidR="00E40C30">
              <w:rPr>
                <w:webHidden/>
              </w:rPr>
              <w:fldChar w:fldCharType="begin"/>
            </w:r>
            <w:r w:rsidR="00E40C30">
              <w:rPr>
                <w:webHidden/>
              </w:rPr>
              <w:instrText xml:space="preserve"> PAGEREF _Toc462755347 \h </w:instrText>
            </w:r>
            <w:r w:rsidR="00E40C30">
              <w:rPr>
                <w:webHidden/>
              </w:rPr>
            </w:r>
            <w:r w:rsidR="00E40C30">
              <w:rPr>
                <w:webHidden/>
              </w:rPr>
              <w:fldChar w:fldCharType="separate"/>
            </w:r>
            <w:r w:rsidR="00E40C30">
              <w:rPr>
                <w:webHidden/>
              </w:rPr>
              <w:t>12-8</w:t>
            </w:r>
            <w:r w:rsidR="00E40C30">
              <w:rPr>
                <w:webHidden/>
              </w:rPr>
              <w:fldChar w:fldCharType="end"/>
            </w:r>
          </w:hyperlink>
        </w:p>
        <w:p w:rsidR="00CE2A23" w:rsidRDefault="00CD283C" w:rsidP="00CD283C">
          <w:pPr>
            <w:pStyle w:val="TOC1"/>
          </w:pPr>
          <w:r>
            <w:fldChar w:fldCharType="end"/>
          </w:r>
        </w:p>
      </w:sdtContent>
    </w:sdt>
    <w:p w:rsidR="00CE2A23" w:rsidRPr="00CE2A23" w:rsidRDefault="00CE2A23" w:rsidP="00CE2A23">
      <w:r>
        <w:t xml:space="preserve"> </w:t>
      </w:r>
    </w:p>
    <w:p w:rsidR="00CE2A23" w:rsidRPr="00271F7C" w:rsidRDefault="00CE2A23" w:rsidP="00CE2A23">
      <w:pPr>
        <w:pStyle w:val="UnnumberedHeading"/>
        <w:numPr>
          <w:ilvl w:val="0"/>
          <w:numId w:val="23"/>
        </w:numPr>
      </w:pPr>
      <w:bookmarkStart w:id="11" w:name="_Toc404700925"/>
      <w:bookmarkStart w:id="12" w:name="_Toc462755342"/>
      <w:r>
        <w:lastRenderedPageBreak/>
        <w:t>Shortened forms</w:t>
      </w:r>
      <w:bookmarkEnd w:id="11"/>
      <w:bookmarkEnd w:id="12"/>
    </w:p>
    <w:tbl>
      <w:tblPr>
        <w:tblStyle w:val="AERtable-text0"/>
        <w:tblW w:w="0" w:type="auto"/>
        <w:tblLook w:val="04A0" w:firstRow="1" w:lastRow="0" w:firstColumn="1" w:lastColumn="0" w:noHBand="0" w:noVBand="1"/>
      </w:tblPr>
      <w:tblGrid>
        <w:gridCol w:w="4340"/>
        <w:gridCol w:w="4353"/>
      </w:tblGrid>
      <w:tr w:rsidR="0053603C" w:rsidRPr="0087648F" w:rsidTr="000474DF">
        <w:trPr>
          <w:cnfStyle w:val="100000000000" w:firstRow="1" w:lastRow="0" w:firstColumn="0" w:lastColumn="0" w:oddVBand="0" w:evenVBand="0" w:oddHBand="0" w:evenHBand="0" w:firstRowFirstColumn="0" w:firstRowLastColumn="0" w:lastRowFirstColumn="0" w:lastRowLastColumn="0"/>
          <w:tblHeader/>
        </w:trPr>
        <w:tc>
          <w:tcPr>
            <w:tcW w:w="4340" w:type="dxa"/>
          </w:tcPr>
          <w:p w:rsidR="0053603C" w:rsidRPr="0087648F" w:rsidRDefault="0087648F" w:rsidP="0087648F">
            <w:r>
              <w:t>Shortened form</w:t>
            </w:r>
          </w:p>
        </w:tc>
        <w:tc>
          <w:tcPr>
            <w:tcW w:w="4353" w:type="dxa"/>
          </w:tcPr>
          <w:p w:rsidR="0053603C" w:rsidRPr="0087648F" w:rsidRDefault="0087648F" w:rsidP="0087648F">
            <w:r>
              <w:t>Extended form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AEMC</w:t>
            </w:r>
          </w:p>
        </w:tc>
        <w:tc>
          <w:tcPr>
            <w:tcW w:w="4353" w:type="dxa"/>
          </w:tcPr>
          <w:p w:rsidR="004523B2" w:rsidRPr="004523B2" w:rsidRDefault="004523B2" w:rsidP="004523B2">
            <w:pPr>
              <w:pStyle w:val="AERtabletextleft"/>
              <w:rPr>
                <w:rStyle w:val="AERtextsize8"/>
              </w:rPr>
            </w:pPr>
            <w:r w:rsidRPr="00712239">
              <w:rPr>
                <w:rStyle w:val="AERtextsize8"/>
              </w:rPr>
              <w:t>Australian Energy Market Commission</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AEMO</w:t>
            </w:r>
          </w:p>
        </w:tc>
        <w:tc>
          <w:tcPr>
            <w:tcW w:w="4353" w:type="dxa"/>
          </w:tcPr>
          <w:p w:rsidR="004523B2" w:rsidRPr="004523B2" w:rsidRDefault="004523B2" w:rsidP="004523B2">
            <w:pPr>
              <w:pStyle w:val="AERtabletextleft"/>
              <w:rPr>
                <w:rStyle w:val="AERtextsize8"/>
              </w:rPr>
            </w:pPr>
            <w:r w:rsidRPr="00712239">
              <w:rPr>
                <w:rStyle w:val="AERtextsize8"/>
              </w:rPr>
              <w:t>Australian Energy Market Operator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AER</w:t>
            </w:r>
          </w:p>
        </w:tc>
        <w:tc>
          <w:tcPr>
            <w:tcW w:w="4353" w:type="dxa"/>
          </w:tcPr>
          <w:p w:rsidR="004523B2" w:rsidRPr="004523B2" w:rsidRDefault="004523B2" w:rsidP="004523B2">
            <w:pPr>
              <w:pStyle w:val="AERtabletextleft"/>
              <w:rPr>
                <w:rStyle w:val="AERtextsize8"/>
              </w:rPr>
            </w:pPr>
            <w:r w:rsidRPr="00712239">
              <w:rPr>
                <w:rStyle w:val="AERtextsize8"/>
              </w:rPr>
              <w:t xml:space="preserve">Australian Energy </w:t>
            </w:r>
            <w:r w:rsidRPr="004523B2">
              <w:rPr>
                <w:rStyle w:val="AERtextsize8"/>
              </w:rPr>
              <w:t>Regulator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augex</w:t>
            </w:r>
          </w:p>
        </w:tc>
        <w:tc>
          <w:tcPr>
            <w:tcW w:w="4353" w:type="dxa"/>
          </w:tcPr>
          <w:p w:rsidR="004523B2" w:rsidRPr="004523B2" w:rsidRDefault="004523B2" w:rsidP="004523B2">
            <w:pPr>
              <w:pStyle w:val="AERtabletextleft"/>
              <w:rPr>
                <w:rStyle w:val="AERtextsize8"/>
              </w:rPr>
            </w:pPr>
            <w:r w:rsidRPr="00712239">
              <w:rPr>
                <w:rStyle w:val="AERtextsize8"/>
              </w:rPr>
              <w:t>augmentation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capex</w:t>
            </w:r>
          </w:p>
        </w:tc>
        <w:tc>
          <w:tcPr>
            <w:tcW w:w="4353" w:type="dxa"/>
          </w:tcPr>
          <w:p w:rsidR="004523B2" w:rsidRPr="004523B2" w:rsidRDefault="004523B2" w:rsidP="004523B2">
            <w:pPr>
              <w:pStyle w:val="AERtabletextleft"/>
              <w:rPr>
                <w:rStyle w:val="AERtextsize8"/>
              </w:rPr>
            </w:pPr>
            <w:r w:rsidRPr="00712239">
              <w:rPr>
                <w:rStyle w:val="AERtextsize8"/>
              </w:rPr>
              <w:t>capital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CCP</w:t>
            </w:r>
          </w:p>
        </w:tc>
        <w:tc>
          <w:tcPr>
            <w:tcW w:w="4353" w:type="dxa"/>
          </w:tcPr>
          <w:p w:rsidR="004523B2" w:rsidRPr="004523B2" w:rsidRDefault="004523B2" w:rsidP="004523B2">
            <w:pPr>
              <w:pStyle w:val="AERtabletextleft"/>
              <w:rPr>
                <w:rStyle w:val="AERtextsize8"/>
              </w:rPr>
            </w:pPr>
            <w:r w:rsidRPr="00712239">
              <w:rPr>
                <w:rStyle w:val="AERtextsize8"/>
              </w:rPr>
              <w:t>Consumer Challenge Panel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CESS</w:t>
            </w:r>
          </w:p>
        </w:tc>
        <w:tc>
          <w:tcPr>
            <w:tcW w:w="4353" w:type="dxa"/>
          </w:tcPr>
          <w:p w:rsidR="004523B2" w:rsidRPr="004523B2" w:rsidRDefault="004523B2" w:rsidP="004523B2">
            <w:pPr>
              <w:pStyle w:val="AERtabletextleft"/>
              <w:rPr>
                <w:rStyle w:val="AERtextsize8"/>
              </w:rPr>
            </w:pPr>
            <w:r w:rsidRPr="00712239">
              <w:rPr>
                <w:rStyle w:val="AERtextsize8"/>
              </w:rPr>
              <w:t>capital expenditure sharing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CPI</w:t>
            </w:r>
          </w:p>
        </w:tc>
        <w:tc>
          <w:tcPr>
            <w:tcW w:w="4353" w:type="dxa"/>
          </w:tcPr>
          <w:p w:rsidR="004523B2" w:rsidRPr="004523B2" w:rsidRDefault="004523B2" w:rsidP="004523B2">
            <w:pPr>
              <w:pStyle w:val="AERtabletextleft"/>
              <w:rPr>
                <w:rStyle w:val="AERtextsize8"/>
              </w:rPr>
            </w:pPr>
            <w:r w:rsidRPr="00712239">
              <w:rPr>
                <w:rStyle w:val="AERtextsize8"/>
              </w:rPr>
              <w:t>consumer price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DRP</w:t>
            </w:r>
          </w:p>
        </w:tc>
        <w:tc>
          <w:tcPr>
            <w:tcW w:w="4353" w:type="dxa"/>
          </w:tcPr>
          <w:p w:rsidR="004523B2" w:rsidRPr="004523B2" w:rsidRDefault="004523B2" w:rsidP="004523B2">
            <w:pPr>
              <w:pStyle w:val="AERtabletextleft"/>
              <w:rPr>
                <w:rStyle w:val="AERtextsize8"/>
              </w:rPr>
            </w:pPr>
            <w:r w:rsidRPr="00712239">
              <w:rPr>
                <w:rStyle w:val="AERtextsize8"/>
              </w:rPr>
              <w:t>debt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DMIA</w:t>
            </w:r>
          </w:p>
        </w:tc>
        <w:tc>
          <w:tcPr>
            <w:tcW w:w="4353" w:type="dxa"/>
          </w:tcPr>
          <w:p w:rsidR="004523B2" w:rsidRPr="004523B2" w:rsidRDefault="004523B2" w:rsidP="004523B2">
            <w:pPr>
              <w:pStyle w:val="AERtabletextleft"/>
              <w:rPr>
                <w:rStyle w:val="AERtextsize8"/>
              </w:rPr>
            </w:pPr>
            <w:r w:rsidRPr="00712239">
              <w:rPr>
                <w:rStyle w:val="AERtextsize8"/>
              </w:rPr>
              <w:t>demand management innovation allowance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DMIS</w:t>
            </w:r>
          </w:p>
        </w:tc>
        <w:tc>
          <w:tcPr>
            <w:tcW w:w="4353" w:type="dxa"/>
          </w:tcPr>
          <w:p w:rsidR="004523B2" w:rsidRPr="004523B2" w:rsidRDefault="004523B2" w:rsidP="004523B2">
            <w:pPr>
              <w:pStyle w:val="AERtabletextleft"/>
              <w:rPr>
                <w:rStyle w:val="AERtextsize8"/>
              </w:rPr>
            </w:pPr>
            <w:r w:rsidRPr="00712239">
              <w:rPr>
                <w:rStyle w:val="AERtextsize8"/>
              </w:rPr>
              <w:t xml:space="preserve">demand </w:t>
            </w:r>
            <w:r w:rsidRPr="004523B2">
              <w:rPr>
                <w:rStyle w:val="AERtextsize8"/>
              </w:rPr>
              <w:t>management incentive scheme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distributor</w:t>
            </w:r>
          </w:p>
        </w:tc>
        <w:tc>
          <w:tcPr>
            <w:tcW w:w="4353" w:type="dxa"/>
          </w:tcPr>
          <w:p w:rsidR="004523B2" w:rsidRPr="004523B2" w:rsidRDefault="004523B2" w:rsidP="004523B2">
            <w:pPr>
              <w:pStyle w:val="AERtabletextleft"/>
              <w:rPr>
                <w:rStyle w:val="AERtextsize8"/>
              </w:rPr>
            </w:pPr>
            <w:r w:rsidRPr="00712239">
              <w:rPr>
                <w:rStyle w:val="AERtextsize8"/>
              </w:rPr>
              <w:t>distribution network service provider</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DUoS</w:t>
            </w:r>
          </w:p>
        </w:tc>
        <w:tc>
          <w:tcPr>
            <w:tcW w:w="4353" w:type="dxa"/>
          </w:tcPr>
          <w:p w:rsidR="004523B2" w:rsidRPr="004523B2" w:rsidRDefault="004523B2" w:rsidP="004523B2">
            <w:pPr>
              <w:pStyle w:val="AERtabletextleft"/>
              <w:rPr>
                <w:rStyle w:val="AERtextsize8"/>
              </w:rPr>
            </w:pPr>
            <w:r w:rsidRPr="00712239">
              <w:rPr>
                <w:rStyle w:val="AERtextsize8"/>
              </w:rPr>
              <w:t>distribution use of system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EBSS</w:t>
            </w:r>
          </w:p>
        </w:tc>
        <w:tc>
          <w:tcPr>
            <w:tcW w:w="4353" w:type="dxa"/>
          </w:tcPr>
          <w:p w:rsidR="004523B2" w:rsidRPr="004523B2" w:rsidRDefault="004523B2" w:rsidP="004523B2">
            <w:pPr>
              <w:pStyle w:val="AERtabletextleft"/>
              <w:rPr>
                <w:rStyle w:val="AERtextsize8"/>
              </w:rPr>
            </w:pPr>
            <w:r w:rsidRPr="00712239">
              <w:rPr>
                <w:rStyle w:val="AERtextsize8"/>
              </w:rPr>
              <w:t>efficiency benefit sharing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ERP</w:t>
            </w:r>
          </w:p>
        </w:tc>
        <w:tc>
          <w:tcPr>
            <w:tcW w:w="4353" w:type="dxa"/>
          </w:tcPr>
          <w:p w:rsidR="004523B2" w:rsidRPr="004523B2" w:rsidRDefault="004523B2" w:rsidP="004523B2">
            <w:pPr>
              <w:pStyle w:val="AERtabletextleft"/>
              <w:rPr>
                <w:rStyle w:val="AERtextsize8"/>
              </w:rPr>
            </w:pPr>
            <w:r w:rsidRPr="00712239">
              <w:rPr>
                <w:rStyle w:val="AERtextsize8"/>
              </w:rPr>
              <w:t>equity risk premium</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Expenditure A</w:t>
            </w:r>
            <w:r w:rsidRPr="004523B2">
              <w:rPr>
                <w:rStyle w:val="AERtextsize8"/>
              </w:rPr>
              <w:t>ssessment Guideline</w:t>
            </w:r>
          </w:p>
        </w:tc>
        <w:tc>
          <w:tcPr>
            <w:tcW w:w="4353" w:type="dxa"/>
          </w:tcPr>
          <w:p w:rsidR="004523B2" w:rsidRPr="004523B2" w:rsidRDefault="004523B2" w:rsidP="004523B2">
            <w:pPr>
              <w:pStyle w:val="AERtabletextleft"/>
              <w:rPr>
                <w:rStyle w:val="AERtextsize8"/>
              </w:rPr>
            </w:pPr>
            <w:r w:rsidRPr="00712239">
              <w:rPr>
                <w:rStyle w:val="AERtextsize8"/>
              </w:rPr>
              <w:t>E</w:t>
            </w:r>
            <w:r w:rsidRPr="004523B2">
              <w:rPr>
                <w:rStyle w:val="AERtextsize8"/>
              </w:rPr>
              <w:t>xpenditure Forecast Assessment Guideline for Electricity Distribution</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F&amp;A</w:t>
            </w:r>
          </w:p>
        </w:tc>
        <w:tc>
          <w:tcPr>
            <w:tcW w:w="4353" w:type="dxa"/>
          </w:tcPr>
          <w:p w:rsidR="004523B2" w:rsidRPr="004523B2" w:rsidRDefault="004523B2" w:rsidP="004523B2">
            <w:pPr>
              <w:pStyle w:val="AERtabletextleft"/>
              <w:rPr>
                <w:rStyle w:val="AERtextsize8"/>
              </w:rPr>
            </w:pPr>
            <w:r w:rsidRPr="00712239">
              <w:rPr>
                <w:rStyle w:val="AERtextsize8"/>
              </w:rPr>
              <w:t>framework and approach</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MRP</w:t>
            </w:r>
          </w:p>
        </w:tc>
        <w:tc>
          <w:tcPr>
            <w:tcW w:w="4353" w:type="dxa"/>
          </w:tcPr>
          <w:p w:rsidR="004523B2" w:rsidRPr="004523B2" w:rsidRDefault="004523B2" w:rsidP="004523B2">
            <w:pPr>
              <w:pStyle w:val="AERtabletextleft"/>
              <w:rPr>
                <w:rStyle w:val="AERtextsize8"/>
              </w:rPr>
            </w:pPr>
            <w:r w:rsidRPr="00712239">
              <w:rPr>
                <w:rStyle w:val="AERtextsize8"/>
              </w:rPr>
              <w:t>market risk premium</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NEL</w:t>
            </w:r>
          </w:p>
        </w:tc>
        <w:tc>
          <w:tcPr>
            <w:tcW w:w="4353" w:type="dxa"/>
          </w:tcPr>
          <w:p w:rsidR="004523B2" w:rsidRPr="004523B2" w:rsidRDefault="004523B2" w:rsidP="004523B2">
            <w:pPr>
              <w:pStyle w:val="AERtabletextleft"/>
              <w:rPr>
                <w:rStyle w:val="AERtextsize8"/>
              </w:rPr>
            </w:pPr>
            <w:r w:rsidRPr="00712239">
              <w:rPr>
                <w:rStyle w:val="AERtextsize8"/>
              </w:rPr>
              <w:t>national electricity law</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NEM</w:t>
            </w:r>
          </w:p>
        </w:tc>
        <w:tc>
          <w:tcPr>
            <w:tcW w:w="4353" w:type="dxa"/>
          </w:tcPr>
          <w:p w:rsidR="004523B2" w:rsidRPr="004523B2" w:rsidRDefault="004523B2" w:rsidP="004523B2">
            <w:pPr>
              <w:pStyle w:val="AERtabletextleft"/>
              <w:rPr>
                <w:rStyle w:val="AERtextsize8"/>
              </w:rPr>
            </w:pPr>
            <w:r w:rsidRPr="00712239">
              <w:rPr>
                <w:rStyle w:val="AERtextsize8"/>
              </w:rPr>
              <w:t>national electricity market</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NEO</w:t>
            </w:r>
          </w:p>
        </w:tc>
        <w:tc>
          <w:tcPr>
            <w:tcW w:w="4353" w:type="dxa"/>
          </w:tcPr>
          <w:p w:rsidR="004523B2" w:rsidRPr="004523B2" w:rsidRDefault="004523B2" w:rsidP="004523B2">
            <w:pPr>
              <w:pStyle w:val="AERtabletextleft"/>
              <w:rPr>
                <w:rStyle w:val="AERtextsize8"/>
              </w:rPr>
            </w:pPr>
            <w:r w:rsidRPr="00712239">
              <w:rPr>
                <w:rStyle w:val="AERtextsize8"/>
              </w:rPr>
              <w:t>national electricity objective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NER</w:t>
            </w:r>
          </w:p>
        </w:tc>
        <w:tc>
          <w:tcPr>
            <w:tcW w:w="4353" w:type="dxa"/>
          </w:tcPr>
          <w:p w:rsidR="004523B2" w:rsidRPr="004523B2" w:rsidRDefault="004523B2" w:rsidP="004523B2">
            <w:pPr>
              <w:pStyle w:val="AERtabletextleft"/>
              <w:rPr>
                <w:rStyle w:val="AERtextsize8"/>
              </w:rPr>
            </w:pPr>
            <w:r w:rsidRPr="00712239">
              <w:rPr>
                <w:rStyle w:val="AERtextsize8"/>
              </w:rPr>
              <w:t>national electricity rules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NSP</w:t>
            </w:r>
          </w:p>
        </w:tc>
        <w:tc>
          <w:tcPr>
            <w:tcW w:w="4353" w:type="dxa"/>
          </w:tcPr>
          <w:p w:rsidR="004523B2" w:rsidRPr="004523B2" w:rsidRDefault="004523B2" w:rsidP="004523B2">
            <w:pPr>
              <w:pStyle w:val="AERtabletextleft"/>
              <w:rPr>
                <w:rStyle w:val="AERtextsize8"/>
              </w:rPr>
            </w:pPr>
            <w:r w:rsidRPr="00712239">
              <w:rPr>
                <w:rStyle w:val="AERtextsize8"/>
              </w:rPr>
              <w:t xml:space="preserve">network service </w:t>
            </w:r>
            <w:r w:rsidRPr="004523B2">
              <w:rPr>
                <w:rStyle w:val="AERtextsize8"/>
              </w:rPr>
              <w:t>provider</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opex</w:t>
            </w:r>
          </w:p>
        </w:tc>
        <w:tc>
          <w:tcPr>
            <w:tcW w:w="4353" w:type="dxa"/>
          </w:tcPr>
          <w:p w:rsidR="004523B2" w:rsidRPr="004523B2" w:rsidRDefault="004523B2" w:rsidP="004523B2">
            <w:pPr>
              <w:pStyle w:val="AERtabletextleft"/>
              <w:rPr>
                <w:rStyle w:val="AERtextsize8"/>
              </w:rPr>
            </w:pPr>
            <w:r w:rsidRPr="00712239">
              <w:rPr>
                <w:rStyle w:val="AERtextsize8"/>
              </w:rPr>
              <w:t>operating expenditure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PPI</w:t>
            </w:r>
          </w:p>
        </w:tc>
        <w:tc>
          <w:tcPr>
            <w:tcW w:w="4353" w:type="dxa"/>
          </w:tcPr>
          <w:p w:rsidR="004523B2" w:rsidRPr="004523B2" w:rsidRDefault="004523B2" w:rsidP="004523B2">
            <w:pPr>
              <w:pStyle w:val="AERtabletextleft"/>
              <w:rPr>
                <w:rStyle w:val="AERtextsize8"/>
              </w:rPr>
            </w:pPr>
            <w:r w:rsidRPr="00712239">
              <w:rPr>
                <w:rStyle w:val="AERtextsize8"/>
              </w:rPr>
              <w:t>partial performance indicators</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PTRM</w:t>
            </w:r>
          </w:p>
        </w:tc>
        <w:tc>
          <w:tcPr>
            <w:tcW w:w="4353" w:type="dxa"/>
          </w:tcPr>
          <w:p w:rsidR="004523B2" w:rsidRPr="004523B2" w:rsidRDefault="004523B2" w:rsidP="004523B2">
            <w:pPr>
              <w:pStyle w:val="AERtabletextleft"/>
              <w:rPr>
                <w:rStyle w:val="AERtextsize8"/>
              </w:rPr>
            </w:pPr>
            <w:r w:rsidRPr="00712239">
              <w:rPr>
                <w:rStyle w:val="AERtextsize8"/>
              </w:rPr>
              <w:t>post-tax revenue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RAB</w:t>
            </w:r>
          </w:p>
        </w:tc>
        <w:tc>
          <w:tcPr>
            <w:tcW w:w="4353" w:type="dxa"/>
          </w:tcPr>
          <w:p w:rsidR="004523B2" w:rsidRPr="004523B2" w:rsidRDefault="004523B2" w:rsidP="004523B2">
            <w:pPr>
              <w:pStyle w:val="AERtabletextleft"/>
              <w:rPr>
                <w:rStyle w:val="AERtextsize8"/>
              </w:rPr>
            </w:pPr>
            <w:r w:rsidRPr="00712239">
              <w:rPr>
                <w:rStyle w:val="AERtextsize8"/>
              </w:rPr>
              <w:t>regulatory asset base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RBA</w:t>
            </w:r>
          </w:p>
        </w:tc>
        <w:tc>
          <w:tcPr>
            <w:tcW w:w="4353" w:type="dxa"/>
          </w:tcPr>
          <w:p w:rsidR="004523B2" w:rsidRPr="004523B2" w:rsidRDefault="004523B2" w:rsidP="004523B2">
            <w:pPr>
              <w:pStyle w:val="AERtabletextleft"/>
              <w:rPr>
                <w:rStyle w:val="AERtextsize8"/>
              </w:rPr>
            </w:pPr>
            <w:r w:rsidRPr="00712239">
              <w:rPr>
                <w:rStyle w:val="AERtextsize8"/>
              </w:rPr>
              <w:t>Reserve Bank of Australia</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repex</w:t>
            </w:r>
          </w:p>
        </w:tc>
        <w:tc>
          <w:tcPr>
            <w:tcW w:w="4353" w:type="dxa"/>
          </w:tcPr>
          <w:p w:rsidR="004523B2" w:rsidRPr="004523B2" w:rsidRDefault="004523B2" w:rsidP="004523B2">
            <w:pPr>
              <w:pStyle w:val="AERtabletextleft"/>
              <w:rPr>
                <w:rStyle w:val="AERtextsize8"/>
              </w:rPr>
            </w:pPr>
            <w:r w:rsidRPr="00712239">
              <w:rPr>
                <w:rStyle w:val="AERtextsize8"/>
              </w:rPr>
              <w:t>replacement expenditure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lastRenderedPageBreak/>
              <w:t>RFM</w:t>
            </w:r>
          </w:p>
        </w:tc>
        <w:tc>
          <w:tcPr>
            <w:tcW w:w="4353" w:type="dxa"/>
          </w:tcPr>
          <w:p w:rsidR="004523B2" w:rsidRPr="004523B2" w:rsidRDefault="004523B2" w:rsidP="004523B2">
            <w:pPr>
              <w:pStyle w:val="AERtabletextleft"/>
              <w:rPr>
                <w:rStyle w:val="AERtextsize8"/>
              </w:rPr>
            </w:pPr>
            <w:r w:rsidRPr="00712239">
              <w:rPr>
                <w:rStyle w:val="AERtextsize8"/>
              </w:rPr>
              <w:t>roll forward model</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RIN</w:t>
            </w:r>
          </w:p>
        </w:tc>
        <w:tc>
          <w:tcPr>
            <w:tcW w:w="4353" w:type="dxa"/>
          </w:tcPr>
          <w:p w:rsidR="004523B2" w:rsidRPr="004523B2" w:rsidRDefault="004523B2" w:rsidP="004523B2">
            <w:pPr>
              <w:pStyle w:val="AERtabletextleft"/>
              <w:rPr>
                <w:rStyle w:val="AERtextsize8"/>
              </w:rPr>
            </w:pPr>
            <w:r w:rsidRPr="00712239">
              <w:rPr>
                <w:rStyle w:val="AERtextsize8"/>
              </w:rPr>
              <w:t>regulatory information notice</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RPP</w:t>
            </w:r>
          </w:p>
        </w:tc>
        <w:tc>
          <w:tcPr>
            <w:tcW w:w="4353" w:type="dxa"/>
          </w:tcPr>
          <w:p w:rsidR="004523B2" w:rsidRPr="004523B2" w:rsidRDefault="004523B2" w:rsidP="004523B2">
            <w:pPr>
              <w:pStyle w:val="AERtabletextleft"/>
              <w:rPr>
                <w:rStyle w:val="AERtextsize8"/>
              </w:rPr>
            </w:pPr>
            <w:r w:rsidRPr="00712239">
              <w:rPr>
                <w:rStyle w:val="AERtextsize8"/>
              </w:rPr>
              <w:t xml:space="preserve">revenue </w:t>
            </w:r>
            <w:r w:rsidRPr="004523B2">
              <w:rPr>
                <w:rStyle w:val="AERtextsize8"/>
              </w:rPr>
              <w:t>and pricing principles</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SAIDI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duration index</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SAIFI</w:t>
            </w:r>
          </w:p>
        </w:tc>
        <w:tc>
          <w:tcPr>
            <w:tcW w:w="4353" w:type="dxa"/>
          </w:tcPr>
          <w:p w:rsidR="004523B2" w:rsidRPr="004523B2" w:rsidRDefault="004523B2" w:rsidP="004523B2">
            <w:pPr>
              <w:pStyle w:val="AERtabletextleft"/>
              <w:rPr>
                <w:rStyle w:val="AERtextsize8"/>
              </w:rPr>
            </w:pPr>
            <w:r w:rsidRPr="00712239">
              <w:rPr>
                <w:rStyle w:val="AERtextsize8"/>
              </w:rPr>
              <w:t>system average interruption frequency index</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SLCAPM</w:t>
            </w:r>
          </w:p>
        </w:tc>
        <w:tc>
          <w:tcPr>
            <w:tcW w:w="4353" w:type="dxa"/>
          </w:tcPr>
          <w:p w:rsidR="004523B2" w:rsidRPr="004523B2" w:rsidRDefault="004523B2" w:rsidP="004523B2">
            <w:pPr>
              <w:pStyle w:val="AERtabletextleft"/>
              <w:rPr>
                <w:rStyle w:val="AERtextsize8"/>
              </w:rPr>
            </w:pPr>
            <w:r w:rsidRPr="00712239">
              <w:rPr>
                <w:rStyle w:val="AERtextsize8"/>
              </w:rPr>
              <w:t>Sharpe-Lintner capital asset pricing model</w:t>
            </w:r>
          </w:p>
        </w:tc>
      </w:tr>
      <w:tr w:rsidR="004523B2" w:rsidTr="000474DF">
        <w:trPr>
          <w:cnfStyle w:val="000000010000" w:firstRow="0" w:lastRow="0" w:firstColumn="0" w:lastColumn="0" w:oddVBand="0" w:evenVBand="0" w:oddHBand="0" w:evenHBand="1" w:firstRowFirstColumn="0" w:firstRowLastColumn="0" w:lastRowFirstColumn="0" w:lastRowLastColumn="0"/>
        </w:trPr>
        <w:tc>
          <w:tcPr>
            <w:tcW w:w="4340" w:type="dxa"/>
          </w:tcPr>
          <w:p w:rsidR="004523B2" w:rsidRPr="004523B2" w:rsidRDefault="004523B2" w:rsidP="004523B2">
            <w:pPr>
              <w:pStyle w:val="AERtabletextleft"/>
              <w:rPr>
                <w:rStyle w:val="AERtextsize8"/>
              </w:rPr>
            </w:pPr>
            <w:r w:rsidRPr="00712239">
              <w:rPr>
                <w:rStyle w:val="AERtextsize8"/>
              </w:rPr>
              <w:t>STPIS</w:t>
            </w:r>
          </w:p>
        </w:tc>
        <w:tc>
          <w:tcPr>
            <w:tcW w:w="4353" w:type="dxa"/>
          </w:tcPr>
          <w:p w:rsidR="004523B2" w:rsidRPr="004523B2" w:rsidRDefault="004523B2" w:rsidP="004523B2">
            <w:pPr>
              <w:pStyle w:val="AERtabletextleft"/>
              <w:rPr>
                <w:rStyle w:val="AERtextsize8"/>
              </w:rPr>
            </w:pPr>
            <w:r w:rsidRPr="00712239">
              <w:rPr>
                <w:rStyle w:val="AERtextsize8"/>
              </w:rPr>
              <w:t>service target performance incentive scheme</w:t>
            </w:r>
          </w:p>
        </w:tc>
      </w:tr>
      <w:tr w:rsidR="004523B2" w:rsidTr="000474DF">
        <w:tc>
          <w:tcPr>
            <w:tcW w:w="4340" w:type="dxa"/>
          </w:tcPr>
          <w:p w:rsidR="004523B2" w:rsidRPr="004523B2" w:rsidRDefault="004523B2" w:rsidP="004523B2">
            <w:pPr>
              <w:pStyle w:val="AERtabletextleft"/>
              <w:rPr>
                <w:rStyle w:val="AERtextsize8"/>
              </w:rPr>
            </w:pPr>
            <w:r w:rsidRPr="00712239">
              <w:rPr>
                <w:rStyle w:val="AERtextsize8"/>
              </w:rPr>
              <w:t>WACC</w:t>
            </w:r>
          </w:p>
        </w:tc>
        <w:tc>
          <w:tcPr>
            <w:tcW w:w="4353" w:type="dxa"/>
          </w:tcPr>
          <w:p w:rsidR="004523B2" w:rsidRPr="004523B2" w:rsidRDefault="004523B2" w:rsidP="004523B2">
            <w:pPr>
              <w:pStyle w:val="AERtabletextleft"/>
              <w:rPr>
                <w:rStyle w:val="AERtextsize8"/>
              </w:rPr>
            </w:pPr>
            <w:r w:rsidRPr="00712239">
              <w:rPr>
                <w:rStyle w:val="AERtextsize8"/>
              </w:rPr>
              <w:t>weighted average</w:t>
            </w:r>
            <w:r w:rsidRPr="004523B2">
              <w:rPr>
                <w:rStyle w:val="AERtextsize8"/>
              </w:rPr>
              <w:t xml:space="preserve"> cost of capital</w:t>
            </w:r>
          </w:p>
        </w:tc>
      </w:tr>
    </w:tbl>
    <w:p w:rsidR="00DE563D" w:rsidRDefault="00CC058C" w:rsidP="00CC058C">
      <w:pPr>
        <w:pStyle w:val="Heading1"/>
      </w:pPr>
      <w:bookmarkStart w:id="13" w:name="_Toc416278154"/>
      <w:bookmarkStart w:id="14" w:name="_Toc416346517"/>
      <w:bookmarkStart w:id="15" w:name="_Toc416278157"/>
      <w:bookmarkStart w:id="16" w:name="_Toc416346520"/>
      <w:bookmarkStart w:id="17" w:name="_Toc416278160"/>
      <w:bookmarkStart w:id="18" w:name="_Toc416346523"/>
      <w:bookmarkStart w:id="19" w:name="_Toc416278163"/>
      <w:bookmarkStart w:id="20" w:name="_Toc416346526"/>
      <w:bookmarkStart w:id="21" w:name="_Toc416278166"/>
      <w:bookmarkStart w:id="22" w:name="_Toc416346529"/>
      <w:bookmarkStart w:id="23" w:name="_Toc416278169"/>
      <w:bookmarkStart w:id="24" w:name="_Toc416346532"/>
      <w:bookmarkStart w:id="25" w:name="_Toc416278172"/>
      <w:bookmarkStart w:id="26" w:name="_Toc416346535"/>
      <w:bookmarkStart w:id="27" w:name="_Toc416278175"/>
      <w:bookmarkStart w:id="28" w:name="_Toc416346538"/>
      <w:bookmarkStart w:id="29" w:name="_Toc416278178"/>
      <w:bookmarkStart w:id="30" w:name="_Toc416346541"/>
      <w:bookmarkStart w:id="31" w:name="_Toc416278181"/>
      <w:bookmarkStart w:id="32" w:name="_Toc416346544"/>
      <w:bookmarkStart w:id="33" w:name="_Toc416278184"/>
      <w:bookmarkStart w:id="34" w:name="_Toc416346547"/>
      <w:bookmarkStart w:id="35" w:name="_Toc416278187"/>
      <w:bookmarkStart w:id="36" w:name="_Toc416346550"/>
      <w:bookmarkStart w:id="37" w:name="_Toc416278190"/>
      <w:bookmarkStart w:id="38" w:name="_Toc416346553"/>
      <w:bookmarkStart w:id="39" w:name="_Toc416278193"/>
      <w:bookmarkStart w:id="40" w:name="_Toc416346556"/>
      <w:bookmarkStart w:id="41" w:name="_Toc416278196"/>
      <w:bookmarkStart w:id="42" w:name="_Toc416346559"/>
      <w:bookmarkStart w:id="43" w:name="_Toc416278199"/>
      <w:bookmarkStart w:id="44" w:name="_Toc416346562"/>
      <w:bookmarkStart w:id="45" w:name="_Toc416278202"/>
      <w:bookmarkStart w:id="46" w:name="_Toc416346565"/>
      <w:bookmarkStart w:id="47" w:name="_Toc416278205"/>
      <w:bookmarkStart w:id="48" w:name="_Toc416346568"/>
      <w:bookmarkStart w:id="49" w:name="_Toc416278208"/>
      <w:bookmarkStart w:id="50" w:name="_Toc416346571"/>
      <w:bookmarkStart w:id="51" w:name="_Toc416278211"/>
      <w:bookmarkStart w:id="52" w:name="_Toc416346574"/>
      <w:bookmarkStart w:id="53" w:name="_Toc416278214"/>
      <w:bookmarkStart w:id="54" w:name="_Toc416346577"/>
      <w:bookmarkStart w:id="55" w:name="_Toc416278217"/>
      <w:bookmarkStart w:id="56" w:name="_Toc416346580"/>
      <w:bookmarkStart w:id="57" w:name="_Toc416278220"/>
      <w:bookmarkStart w:id="58" w:name="_Toc416346583"/>
      <w:bookmarkStart w:id="59" w:name="_Toc416278223"/>
      <w:bookmarkStart w:id="60" w:name="_Toc416346586"/>
      <w:bookmarkStart w:id="61" w:name="_Toc416278226"/>
      <w:bookmarkStart w:id="62" w:name="_Toc416346589"/>
      <w:bookmarkStart w:id="63" w:name="_Toc416278229"/>
      <w:bookmarkStart w:id="64" w:name="_Toc416346592"/>
      <w:bookmarkStart w:id="65" w:name="_Toc416278232"/>
      <w:bookmarkStart w:id="66" w:name="_Toc416346595"/>
      <w:bookmarkStart w:id="67" w:name="_Toc416278235"/>
      <w:bookmarkStart w:id="68" w:name="_Toc416346598"/>
      <w:bookmarkStart w:id="69" w:name="_Toc416278238"/>
      <w:bookmarkStart w:id="70" w:name="_Toc416346601"/>
      <w:bookmarkStart w:id="71" w:name="_Toc462755343"/>
      <w:bookmarkEnd w:id="0"/>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r>
        <w:lastRenderedPageBreak/>
        <w:t>Demand management incentive scheme</w:t>
      </w:r>
      <w:bookmarkEnd w:id="71"/>
    </w:p>
    <w:p w:rsidR="00EF0110" w:rsidRPr="00EF0110" w:rsidRDefault="00EF0110" w:rsidP="00EF0110">
      <w:pPr>
        <w:numPr>
          <w:ilvl w:val="0"/>
          <w:numId w:val="24"/>
        </w:numPr>
      </w:pPr>
      <w:r w:rsidRPr="00EF0110">
        <w:t>The National Electricity Rules (NER) require us to develop and implement mechanisms to incentivise distributors to consider efficient alternatives to building more network.</w:t>
      </w:r>
      <w:r>
        <w:rPr>
          <w:rStyle w:val="FootnoteReference"/>
        </w:rPr>
        <w:footnoteReference w:id="1"/>
      </w:r>
      <w:r w:rsidRPr="00EF0110">
        <w:t xml:space="preserve"> To meet this requirement, and motivated by the need to improve distributors' capability in the demand management area, we implemented a demand management incentive scheme (DMIS)</w:t>
      </w:r>
      <w:r>
        <w:rPr>
          <w:rStyle w:val="FootnoteReference"/>
        </w:rPr>
        <w:footnoteReference w:id="2"/>
      </w:r>
      <w:r>
        <w:t xml:space="preserve"> </w:t>
      </w:r>
      <w:r w:rsidRPr="00EF0110">
        <w:t xml:space="preserve">for </w:t>
      </w:r>
      <w:r>
        <w:t>TasNetworks</w:t>
      </w:r>
      <w:r w:rsidRPr="00EF0110">
        <w:t xml:space="preserve"> </w:t>
      </w:r>
      <w:r w:rsidR="008E33C0">
        <w:t xml:space="preserve">(formerly Aurora Energy) </w:t>
      </w:r>
      <w:r w:rsidRPr="00EF0110">
        <w:t>distrib</w:t>
      </w:r>
      <w:r w:rsidR="008E33C0">
        <w:t>ution determination for the 2012–17</w:t>
      </w:r>
      <w:r w:rsidRPr="00EF0110">
        <w:t xml:space="preserve"> regulatory control period.</w:t>
      </w:r>
    </w:p>
    <w:p w:rsidR="00EF0110" w:rsidRPr="00EF0110" w:rsidRDefault="00EF0110" w:rsidP="00EF0110">
      <w:pPr>
        <w:numPr>
          <w:ilvl w:val="0"/>
          <w:numId w:val="24"/>
        </w:numPr>
      </w:pPr>
      <w:r w:rsidRPr="00EF0110">
        <w:t xml:space="preserve">The current DMIS for </w:t>
      </w:r>
      <w:r w:rsidR="008E33C0">
        <w:t>TasNetworks</w:t>
      </w:r>
      <w:r w:rsidRPr="00EF0110">
        <w:t xml:space="preserve"> includes the demand management innovation allowance (DMIA).</w:t>
      </w:r>
      <w:r>
        <w:rPr>
          <w:rStyle w:val="FootnoteReference"/>
        </w:rPr>
        <w:footnoteReference w:id="3"/>
      </w:r>
    </w:p>
    <w:p w:rsidR="00EF0110" w:rsidRPr="00EF0110" w:rsidRDefault="00EF0110" w:rsidP="00EF0110">
      <w:pPr>
        <w:numPr>
          <w:ilvl w:val="0"/>
          <w:numId w:val="24"/>
        </w:numPr>
      </w:pPr>
      <w:r w:rsidRPr="00EF0110">
        <w:t xml:space="preserve">The DMIA is a capped allowance for distributors to investigate and conduct broad-based and/or peak demand management projects. </w:t>
      </w:r>
    </w:p>
    <w:p w:rsidR="00EF0110" w:rsidRPr="00EF0110" w:rsidRDefault="00EF0110" w:rsidP="00EF0110">
      <w:pPr>
        <w:numPr>
          <w:ilvl w:val="0"/>
          <w:numId w:val="24"/>
        </w:numPr>
      </w:pPr>
      <w:r w:rsidRPr="00EF0110">
        <w:t>The DMIS contains two parts:</w:t>
      </w:r>
    </w:p>
    <w:p w:rsidR="00EF0110" w:rsidRPr="00EF0110" w:rsidRDefault="00EF0110" w:rsidP="000868C5">
      <w:pPr>
        <w:pStyle w:val="AERbulletlistfirststyle"/>
        <w:rPr>
          <w:lang w:eastAsia="en-AU"/>
        </w:rPr>
      </w:pPr>
      <w:r w:rsidRPr="00EF0110">
        <w:t>Part A provides for an innovation allowance to be incorporated into each distributor's revenue allowance for opex each year of the regulatory control period. Distributors prepare annual reports on their expenditure under the DMIA</w:t>
      </w:r>
      <w:r>
        <w:rPr>
          <w:rStyle w:val="FootnoteReference"/>
        </w:rPr>
        <w:footnoteReference w:id="4"/>
      </w:r>
      <w:r w:rsidRPr="00EF0110">
        <w:rPr>
          <w:lang w:eastAsia="en-AU"/>
        </w:rPr>
        <w:t xml:space="preserve"> </w:t>
      </w:r>
      <w:r w:rsidRPr="00EF0110">
        <w:t xml:space="preserve"> in the previous year, which we then assess against specific criteria.</w:t>
      </w:r>
      <w:r>
        <w:rPr>
          <w:rStyle w:val="FootnoteReference"/>
        </w:rPr>
        <w:footnoteReference w:id="5"/>
      </w:r>
    </w:p>
    <w:p w:rsidR="00EF0110" w:rsidRPr="00EF0110" w:rsidRDefault="00EF0110" w:rsidP="000868C5">
      <w:pPr>
        <w:pStyle w:val="AERbulletlistfirststyle"/>
      </w:pPr>
      <w:r w:rsidRPr="00EF0110">
        <w:t>Part B compensates distributors for any foregone revenue demonstrated to have resulted from demand management initi</w:t>
      </w:r>
      <w:r w:rsidR="000868C5">
        <w:t>atives approved under Part A. Currently only Part A applies to TasNetworks because its regulatory control period is subject to a revenue cap form of control</w:t>
      </w:r>
      <w:r w:rsidRPr="00EF0110">
        <w:t xml:space="preserve">. </w:t>
      </w:r>
      <w:r w:rsidR="000868C5">
        <w:t>As the revenue cap form of control will continue to apply to TasNetworks during the 2017–19 regulatory control period, Part B will not apply.</w:t>
      </w:r>
    </w:p>
    <w:p w:rsidR="00132D43" w:rsidRPr="00132D43" w:rsidRDefault="00EF0110" w:rsidP="00EF0110">
      <w:pPr>
        <w:numPr>
          <w:ilvl w:val="0"/>
          <w:numId w:val="24"/>
        </w:numPr>
      </w:pPr>
      <w:r w:rsidRPr="00EF0110">
        <w:t xml:space="preserve">Under the scheme, we return any underspend against </w:t>
      </w:r>
      <w:r w:rsidR="000868C5">
        <w:t>the allowance to customers</w:t>
      </w:r>
      <w:r w:rsidRPr="00EF0110">
        <w:t>.</w:t>
      </w:r>
      <w:r w:rsidRPr="00EF0110">
        <w:br w:type="page"/>
      </w:r>
    </w:p>
    <w:p w:rsidR="00132D43" w:rsidRDefault="00132D43" w:rsidP="00132D43">
      <w:pPr>
        <w:pStyle w:val="Heading2"/>
      </w:pPr>
      <w:bookmarkStart w:id="72" w:name="_Toc462755344"/>
      <w:r>
        <w:lastRenderedPageBreak/>
        <w:t>Draft decision</w:t>
      </w:r>
      <w:bookmarkEnd w:id="72"/>
    </w:p>
    <w:p w:rsidR="000868C5" w:rsidRPr="00B307CC" w:rsidRDefault="000868C5" w:rsidP="000868C5">
      <w:pPr>
        <w:numPr>
          <w:ilvl w:val="0"/>
          <w:numId w:val="24"/>
        </w:numPr>
      </w:pPr>
      <w:r w:rsidRPr="00B307CC">
        <w:t>We have determine</w:t>
      </w:r>
      <w:r>
        <w:t>d to continue Part A of the DMIS</w:t>
      </w:r>
      <w:r w:rsidRPr="00B307CC">
        <w:t xml:space="preserve"> for </w:t>
      </w:r>
      <w:r w:rsidR="00F077F1">
        <w:t>TasNetworks in the 2017–19</w:t>
      </w:r>
      <w:r w:rsidRPr="00B307CC">
        <w:t xml:space="preserve"> regulatory control period</w:t>
      </w:r>
      <w:r>
        <w:t xml:space="preserve"> (that is, the DMIA component)</w:t>
      </w:r>
      <w:r w:rsidRPr="00B307CC">
        <w:t>. We w</w:t>
      </w:r>
      <w:r>
        <w:t>ill not apply Part B of the DMIS</w:t>
      </w:r>
      <w:r w:rsidRPr="00B307CC">
        <w:t xml:space="preserve"> to </w:t>
      </w:r>
      <w:r w:rsidR="00F077F1">
        <w:t>TasNetworks for the 2017</w:t>
      </w:r>
      <w:r>
        <w:t>–</w:t>
      </w:r>
      <w:r w:rsidR="00F077F1">
        <w:t>19</w:t>
      </w:r>
      <w:r w:rsidRPr="00B307CC">
        <w:t xml:space="preserve"> regulatory control period because </w:t>
      </w:r>
      <w:r w:rsidR="00F077F1">
        <w:t>the</w:t>
      </w:r>
      <w:r w:rsidRPr="00B307CC">
        <w:t xml:space="preserve"> revenue cap form of control</w:t>
      </w:r>
      <w:r w:rsidR="00F077F1">
        <w:t xml:space="preserve"> will continue</w:t>
      </w:r>
      <w:r w:rsidRPr="00B307CC">
        <w:t xml:space="preserve">. This is consistent with our proposed approach in our </w:t>
      </w:r>
      <w:r>
        <w:t>f</w:t>
      </w:r>
      <w:r w:rsidRPr="00B307CC">
        <w:t xml:space="preserve">ramework and </w:t>
      </w:r>
      <w:r>
        <w:t>a</w:t>
      </w:r>
      <w:r w:rsidRPr="00B307CC">
        <w:t>pproach</w:t>
      </w:r>
      <w:r w:rsidR="00F077F1">
        <w:t xml:space="preserve"> for TasNetworks</w:t>
      </w:r>
      <w:r w:rsidRPr="00B307CC">
        <w:t xml:space="preserve"> (F&amp;A).</w:t>
      </w:r>
      <w:r w:rsidRPr="00B307CC">
        <w:rPr>
          <w:rStyle w:val="FootnoteReference"/>
        </w:rPr>
        <w:footnoteReference w:id="6"/>
      </w:r>
    </w:p>
    <w:p w:rsidR="00132D43" w:rsidRDefault="00F077F1" w:rsidP="00132D43">
      <w:pPr>
        <w:numPr>
          <w:ilvl w:val="0"/>
          <w:numId w:val="24"/>
        </w:numPr>
      </w:pPr>
      <w:r>
        <w:t>An</w:t>
      </w:r>
      <w:r w:rsidR="000868C5" w:rsidRPr="00B307CC">
        <w:t xml:space="preserve"> innovation allowance amount of $</w:t>
      </w:r>
      <w:r>
        <w:t>0.4</w:t>
      </w:r>
      <w:r w:rsidR="000868C5">
        <w:t xml:space="preserve"> million</w:t>
      </w:r>
      <w:r>
        <w:t xml:space="preserve"> ($</w:t>
      </w:r>
      <w:r w:rsidR="002A28DF">
        <w:t xml:space="preserve">June </w:t>
      </w:r>
      <w:r>
        <w:t>2017</w:t>
      </w:r>
      <w:r w:rsidR="000868C5" w:rsidRPr="00B307CC">
        <w:t xml:space="preserve">) per annum will </w:t>
      </w:r>
      <w:r>
        <w:t>be applied in the 2017–19</w:t>
      </w:r>
      <w:r w:rsidR="000868C5" w:rsidRPr="00B307CC">
        <w:t xml:space="preserve"> regulatory control period.</w:t>
      </w:r>
    </w:p>
    <w:p w:rsidR="00132D43" w:rsidRDefault="004523B2" w:rsidP="00132D43">
      <w:pPr>
        <w:pStyle w:val="Heading2"/>
      </w:pPr>
      <w:bookmarkStart w:id="73" w:name="_Toc462755345"/>
      <w:r>
        <w:t>TasNetworks'</w:t>
      </w:r>
      <w:r w:rsidR="00132D43">
        <w:t xml:space="preserve"> proposal</w:t>
      </w:r>
      <w:bookmarkEnd w:id="73"/>
    </w:p>
    <w:p w:rsidR="00132D43" w:rsidRDefault="00DC3165" w:rsidP="00132D43">
      <w:r>
        <w:t>TasNetworks</w:t>
      </w:r>
      <w:r w:rsidR="00132278">
        <w:t xml:space="preserve"> proposed that Part A of the DMIS (the DMIA) continue to apply and that the incentive allowance be increased from $0.38 million ($2009-10) per annum, </w:t>
      </w:r>
      <w:r w:rsidR="00BE3332">
        <w:t>(</w:t>
      </w:r>
      <w:r w:rsidR="00132278">
        <w:t>$1.9 million over the current regulatory period</w:t>
      </w:r>
      <w:r w:rsidR="00BE3332">
        <w:t>)</w:t>
      </w:r>
      <w:r w:rsidR="00132278">
        <w:t xml:space="preserve"> to $0.4 million ($June 2017) per annum</w:t>
      </w:r>
      <w:r w:rsidR="00BE3332">
        <w:t xml:space="preserve"> (or $0.8 million over the shorter 2 year regulatory period in this case)</w:t>
      </w:r>
      <w:r w:rsidR="00132278">
        <w:t>.</w:t>
      </w:r>
      <w:r w:rsidR="00132278">
        <w:rPr>
          <w:rStyle w:val="FootnoteReference"/>
        </w:rPr>
        <w:footnoteReference w:id="7"/>
      </w:r>
    </w:p>
    <w:p w:rsidR="00132D43" w:rsidRDefault="00132D43" w:rsidP="00132D43">
      <w:pPr>
        <w:pStyle w:val="Heading2"/>
      </w:pPr>
      <w:bookmarkStart w:id="74" w:name="_Toc462755346"/>
      <w:r>
        <w:t>Assessment approach</w:t>
      </w:r>
      <w:bookmarkEnd w:id="74"/>
    </w:p>
    <w:p w:rsidR="00132278" w:rsidRPr="00132278" w:rsidRDefault="00132278" w:rsidP="00132278">
      <w:pPr>
        <w:numPr>
          <w:ilvl w:val="0"/>
          <w:numId w:val="24"/>
        </w:numPr>
      </w:pPr>
      <w:r w:rsidRPr="00132278">
        <w:t>The NER require us to have regard to several factors in developing and i</w:t>
      </w:r>
      <w:r w:rsidR="002A28DF">
        <w:t>mplementing a DMIS for TasNetworks</w:t>
      </w:r>
      <w:r w:rsidRPr="00132278">
        <w:t>.</w:t>
      </w:r>
      <w:r>
        <w:rPr>
          <w:rStyle w:val="FootnoteReference"/>
        </w:rPr>
        <w:footnoteReference w:id="8"/>
      </w:r>
      <w:r w:rsidRPr="00132278">
        <w:t xml:space="preserve"> These are:</w:t>
      </w:r>
    </w:p>
    <w:p w:rsidR="00132278" w:rsidRPr="00132278" w:rsidRDefault="00132278" w:rsidP="00132278">
      <w:pPr>
        <w:pStyle w:val="AERbulletlistfirststyle"/>
      </w:pPr>
      <w:r w:rsidRPr="00132278">
        <w:t>Benefits to consumers</w:t>
      </w:r>
    </w:p>
    <w:p w:rsidR="00132278" w:rsidRPr="00132278" w:rsidRDefault="00132278" w:rsidP="00132278">
      <w:pPr>
        <w:pStyle w:val="AERbulletlistsecondstyle"/>
      </w:pPr>
      <w:r w:rsidRPr="00132278">
        <w:t>the need to ensure that benefits to electricity consumers likely to result from the scheme are sufficient to warrant any reward or penalty under the scheme</w:t>
      </w:r>
    </w:p>
    <w:p w:rsidR="00132278" w:rsidRPr="00132278" w:rsidRDefault="00132278" w:rsidP="00132278">
      <w:pPr>
        <w:pStyle w:val="AERbulletlistsecondstyle"/>
      </w:pPr>
      <w:r w:rsidRPr="00132278">
        <w:t>the willingness of customers or end users to pay for increases in costs resulting from implementing DMIS.</w:t>
      </w:r>
    </w:p>
    <w:p w:rsidR="00132278" w:rsidRPr="00132278" w:rsidRDefault="00132278" w:rsidP="00132278">
      <w:pPr>
        <w:pStyle w:val="AERbulletlistfirststyle"/>
      </w:pPr>
      <w:r w:rsidRPr="00132278">
        <w:t>Balanced incentives</w:t>
      </w:r>
    </w:p>
    <w:p w:rsidR="00132278" w:rsidRPr="00132278" w:rsidRDefault="00132278" w:rsidP="00766477">
      <w:pPr>
        <w:pStyle w:val="AERbulletlistsecondstyle"/>
      </w:pPr>
      <w:r w:rsidRPr="00132278">
        <w:t>the effect of a particular control mechanism (i.e. price as distinct from revenue regulation) on a distributor's incentives to adopt or implement efficient non-network alternatives</w:t>
      </w:r>
    </w:p>
    <w:p w:rsidR="00132278" w:rsidRPr="00132278" w:rsidRDefault="00132278" w:rsidP="00766477">
      <w:pPr>
        <w:pStyle w:val="AERbulletlistsecondstyle"/>
      </w:pPr>
      <w:r w:rsidRPr="00132278">
        <w:t xml:space="preserve">the effect of classification of services on a distributor's incentive to adopt or implement efficient embedded generator connections </w:t>
      </w:r>
    </w:p>
    <w:p w:rsidR="00132278" w:rsidRPr="00132278" w:rsidRDefault="00132278" w:rsidP="00766477">
      <w:pPr>
        <w:pStyle w:val="AERbulletlistsecondstyle"/>
      </w:pPr>
      <w:r w:rsidRPr="00132278">
        <w:t>the extent the distributor is able to offer efficient pricing structures</w:t>
      </w:r>
    </w:p>
    <w:p w:rsidR="00132278" w:rsidRPr="00132278" w:rsidRDefault="00132278" w:rsidP="00766477">
      <w:pPr>
        <w:pStyle w:val="AERbulletlistsecondstyle"/>
      </w:pPr>
      <w:r w:rsidRPr="00132278">
        <w:t>the possible interactions between DMIS and other incentive schemes.</w:t>
      </w:r>
    </w:p>
    <w:p w:rsidR="00132D43" w:rsidRDefault="00132278" w:rsidP="00132D43">
      <w:pPr>
        <w:numPr>
          <w:ilvl w:val="0"/>
          <w:numId w:val="24"/>
        </w:numPr>
      </w:pPr>
      <w:r w:rsidRPr="00132278">
        <w:lastRenderedPageBreak/>
        <w:t xml:space="preserve">We had regard to these factors in considering the proposed approach to the DMIS for </w:t>
      </w:r>
      <w:r w:rsidR="00766477">
        <w:t xml:space="preserve">TasNetworks </w:t>
      </w:r>
      <w:r w:rsidRPr="00132278">
        <w:t>as set out in our F&amp;A</w:t>
      </w:r>
      <w:r w:rsidR="00766477">
        <w:rPr>
          <w:rStyle w:val="FootnoteReference"/>
        </w:rPr>
        <w:footnoteReference w:id="9"/>
      </w:r>
      <w:r w:rsidRPr="00132278">
        <w:t xml:space="preserve"> and we have again taken these factors into a</w:t>
      </w:r>
      <w:r w:rsidR="00766477">
        <w:t>ccount in making our draft</w:t>
      </w:r>
      <w:r w:rsidRPr="00132278">
        <w:t xml:space="preserve"> decision.</w:t>
      </w:r>
    </w:p>
    <w:p w:rsidR="00132D43" w:rsidRDefault="00132D43" w:rsidP="00DA499A">
      <w:pPr>
        <w:pStyle w:val="Heading2"/>
      </w:pPr>
      <w:bookmarkStart w:id="75" w:name="_Toc462755347"/>
      <w:r>
        <w:t>Reasons for draft decisio</w:t>
      </w:r>
      <w:r w:rsidR="00DA499A">
        <w:t>n</w:t>
      </w:r>
      <w:bookmarkEnd w:id="75"/>
    </w:p>
    <w:p w:rsidR="00225EAD" w:rsidRPr="00694755" w:rsidRDefault="00225EAD" w:rsidP="00225EAD">
      <w:pPr>
        <w:numPr>
          <w:ilvl w:val="0"/>
          <w:numId w:val="24"/>
        </w:numPr>
      </w:pPr>
      <w:r w:rsidRPr="00694755">
        <w:t xml:space="preserve">We </w:t>
      </w:r>
      <w:r>
        <w:t>have determin</w:t>
      </w:r>
      <w:r w:rsidR="000E6D94">
        <w:t>ed that</w:t>
      </w:r>
      <w:r>
        <w:t xml:space="preserve"> an</w:t>
      </w:r>
      <w:r w:rsidRPr="00694755">
        <w:t xml:space="preserve"> innovation allowance amount of $</w:t>
      </w:r>
      <w:r>
        <w:t>0.4 million ($</w:t>
      </w:r>
      <w:r w:rsidR="002A28DF">
        <w:t xml:space="preserve">June </w:t>
      </w:r>
      <w:r>
        <w:t>2017</w:t>
      </w:r>
      <w:r w:rsidRPr="00694755">
        <w:t xml:space="preserve">) per annum </w:t>
      </w:r>
      <w:r>
        <w:t>(or $0.8 million over th</w:t>
      </w:r>
      <w:r w:rsidR="00BE3332">
        <w:t>is</w:t>
      </w:r>
      <w:r>
        <w:t xml:space="preserve"> period) will continue in the 2017–19</w:t>
      </w:r>
      <w:r w:rsidRPr="00694755">
        <w:t xml:space="preserve"> regulatory control period.</w:t>
      </w:r>
    </w:p>
    <w:p w:rsidR="000E6D94" w:rsidRPr="00677229" w:rsidRDefault="00225EAD" w:rsidP="00225EAD">
      <w:pPr>
        <w:numPr>
          <w:ilvl w:val="0"/>
          <w:numId w:val="24"/>
        </w:numPr>
        <w:rPr>
          <w:rStyle w:val="AERtexthighlight"/>
          <w:shd w:val="clear" w:color="auto" w:fill="auto"/>
        </w:rPr>
      </w:pPr>
      <w:r w:rsidRPr="00694755">
        <w:t>Our F&amp;A stated that our intention to develop and i</w:t>
      </w:r>
      <w:r>
        <w:t>mplement a new DMIS for the 2017–19</w:t>
      </w:r>
      <w:r w:rsidRPr="00694755">
        <w:t xml:space="preserve"> regulatory control period was dependent on the progress of the rule change process arising from the AEMC’s Power of Choice review.</w:t>
      </w:r>
      <w:r w:rsidRPr="00694755">
        <w:rPr>
          <w:rStyle w:val="FootnoteReference"/>
        </w:rPr>
        <w:footnoteReference w:id="10"/>
      </w:r>
      <w:r>
        <w:t xml:space="preserve"> On 20 August 2015, the AEMC released the final</w:t>
      </w:r>
      <w:r w:rsidRPr="00694755">
        <w:t xml:space="preserve"> rule change determination.</w:t>
      </w:r>
      <w:r>
        <w:rPr>
          <w:rStyle w:val="FootnoteReference"/>
        </w:rPr>
        <w:footnoteReference w:id="11"/>
      </w:r>
      <w:r w:rsidRPr="00694755">
        <w:t xml:space="preserve"> </w:t>
      </w:r>
    </w:p>
    <w:p w:rsidR="003B1EBC" w:rsidRDefault="00677229" w:rsidP="00225EAD">
      <w:r>
        <w:t xml:space="preserve">We received submissions from the Tasmanian Small Business Council </w:t>
      </w:r>
      <w:r w:rsidR="003B1EBC">
        <w:t xml:space="preserve">(Council) </w:t>
      </w:r>
      <w:r>
        <w:t>and</w:t>
      </w:r>
      <w:r w:rsidR="003B1EBC">
        <w:t xml:space="preserve"> Consumer Challenge Panel</w:t>
      </w:r>
      <w:r w:rsidR="00496372">
        <w:t xml:space="preserve"> (CCP) member </w:t>
      </w:r>
      <w:r w:rsidR="003B1EBC">
        <w:t>David Headberry.</w:t>
      </w:r>
    </w:p>
    <w:p w:rsidR="003B1EBC" w:rsidRDefault="00496372" w:rsidP="00225EAD">
      <w:r>
        <w:t xml:space="preserve">CCP member David Headberry </w:t>
      </w:r>
      <w:r w:rsidR="003B1EBC">
        <w:t>stated that the amounts allowed for the DMIA are significant when assessed in aggregate across all of the DNSP's in the NEM and that the amount claimed has to be justified in more detail.</w:t>
      </w:r>
      <w:r w:rsidR="003B1EBC">
        <w:rPr>
          <w:rStyle w:val="FootnoteReference"/>
        </w:rPr>
        <w:footnoteReference w:id="12"/>
      </w:r>
    </w:p>
    <w:p w:rsidR="003B1EBC" w:rsidRDefault="003B1EBC" w:rsidP="00225EAD">
      <w:r>
        <w:t>The Council noted that the proposed DMIA of $400,000 per annum compared to $380,000 per annum at present is a modest increase.</w:t>
      </w:r>
      <w:r>
        <w:rPr>
          <w:rStyle w:val="FootnoteReference"/>
        </w:rPr>
        <w:footnoteReference w:id="13"/>
      </w:r>
    </w:p>
    <w:p w:rsidR="000E6D94" w:rsidRDefault="000E6D94" w:rsidP="00225EAD">
      <w:r>
        <w:t>In the recent distribution determinations for Victoria</w:t>
      </w:r>
      <w:r>
        <w:rPr>
          <w:rStyle w:val="FootnoteReference"/>
        </w:rPr>
        <w:footnoteReference w:id="14"/>
      </w:r>
      <w:r>
        <w:t>, we considered that a</w:t>
      </w:r>
      <w:r w:rsidRPr="000E6D94">
        <w:t xml:space="preserve">ny change to the current allowance (which was originally set by scaling the allowance to the relative size of each DNSP's average annual revenue) should be considered at a whole of industry level, rather than each individual business. </w:t>
      </w:r>
      <w:r>
        <w:t>We further considered that this</w:t>
      </w:r>
      <w:r w:rsidRPr="000E6D94">
        <w:t xml:space="preserve"> will be done during the development of the new scheme</w:t>
      </w:r>
      <w:r w:rsidR="000816E2">
        <w:rPr>
          <w:rStyle w:val="FootnoteReference"/>
        </w:rPr>
        <w:footnoteReference w:id="15"/>
      </w:r>
      <w:r w:rsidRPr="000E6D94">
        <w:t>.</w:t>
      </w:r>
      <w:r>
        <w:t xml:space="preserve"> We are still of this view.</w:t>
      </w:r>
    </w:p>
    <w:p w:rsidR="00225EAD" w:rsidRDefault="000E6D94" w:rsidP="00225EAD">
      <w:r>
        <w:t>However, w</w:t>
      </w:r>
      <w:r w:rsidR="00225EAD">
        <w:t>e consider TasNe</w:t>
      </w:r>
      <w:r w:rsidR="00943690">
        <w:t xml:space="preserve">tworks proposed </w:t>
      </w:r>
      <w:r w:rsidR="00225EAD">
        <w:t>innov</w:t>
      </w:r>
      <w:r w:rsidR="00943690">
        <w:t>ation allowance of $0.4 million ($</w:t>
      </w:r>
      <w:r w:rsidR="002A28DF">
        <w:t xml:space="preserve">June </w:t>
      </w:r>
      <w:r w:rsidR="00943690">
        <w:t xml:space="preserve">2017) per annum to be </w:t>
      </w:r>
      <w:r w:rsidR="00BE3332">
        <w:t xml:space="preserve">a relatively small </w:t>
      </w:r>
      <w:r w:rsidR="00943690">
        <w:t xml:space="preserve">increase on the current allowance of </w:t>
      </w:r>
      <w:r w:rsidR="002E073E">
        <w:t>$0.38 million ($2009–10)</w:t>
      </w:r>
      <w:r w:rsidR="00943690">
        <w:t>. It represents a 5</w:t>
      </w:r>
      <w:r w:rsidR="00225EAD">
        <w:t xml:space="preserve">% </w:t>
      </w:r>
      <w:r w:rsidR="00943690">
        <w:t>increase on</w:t>
      </w:r>
      <w:r w:rsidR="00225EAD">
        <w:t xml:space="preserve"> the current allowance</w:t>
      </w:r>
      <w:r w:rsidR="00943690">
        <w:t xml:space="preserve"> per annum. </w:t>
      </w:r>
      <w:r>
        <w:t>We consider this</w:t>
      </w:r>
      <w:r w:rsidR="005E720D">
        <w:t xml:space="preserve"> increase of $40 </w:t>
      </w:r>
      <w:r w:rsidR="00943690">
        <w:t xml:space="preserve">000 for the next regulatory control period is immaterial in comparison to the $1.9 million </w:t>
      </w:r>
      <w:r w:rsidR="00BE3332">
        <w:t xml:space="preserve">approved </w:t>
      </w:r>
      <w:r w:rsidR="00943690">
        <w:t>in the 2012–17</w:t>
      </w:r>
      <w:r>
        <w:t xml:space="preserve"> regulatory control period.</w:t>
      </w:r>
    </w:p>
    <w:p w:rsidR="000E6D94" w:rsidRDefault="000E6D94" w:rsidP="00225EAD">
      <w:r>
        <w:t>For this reason, we have approved the innovation allowance amount of $0.4</w:t>
      </w:r>
      <w:r w:rsidR="00BE3332">
        <w:t xml:space="preserve"> million</w:t>
      </w:r>
      <w:r>
        <w:t xml:space="preserve"> ($</w:t>
      </w:r>
      <w:r w:rsidR="00D84ECF">
        <w:t xml:space="preserve">June </w:t>
      </w:r>
      <w:r>
        <w:t>2017) per annum (or $0.8 million over the period), proposed by TasNetworks.</w:t>
      </w:r>
    </w:p>
    <w:p w:rsidR="00A71884" w:rsidRDefault="00A71884" w:rsidP="00225EAD">
      <w:r>
        <w:t>TasNetworks recognised that the DMIA is not designed to be the sole or even primary source of funding for demand management expenditure.</w:t>
      </w:r>
      <w:r>
        <w:rPr>
          <w:rStyle w:val="FootnoteReference"/>
        </w:rPr>
        <w:footnoteReference w:id="16"/>
      </w:r>
      <w:r>
        <w:t xml:space="preserve"> TasNetworks' has </w:t>
      </w:r>
      <w:r w:rsidRPr="00A71884">
        <w:t>proposed a number of demand management costs as part</w:t>
      </w:r>
      <w:r>
        <w:t xml:space="preserve"> of its total forecast capital</w:t>
      </w:r>
      <w:r w:rsidRPr="00A71884">
        <w:t xml:space="preserve"> </w:t>
      </w:r>
      <w:r>
        <w:t xml:space="preserve">and operating </w:t>
      </w:r>
      <w:r w:rsidRPr="00A71884">
        <w:t xml:space="preserve">expenditure building </w:t>
      </w:r>
      <w:r>
        <w:t>block. Our decision on TasNetwork</w:t>
      </w:r>
      <w:r w:rsidRPr="00A71884">
        <w:t>’s deman</w:t>
      </w:r>
      <w:r w:rsidR="00791759">
        <w:t xml:space="preserve">d management related </w:t>
      </w:r>
      <w:r>
        <w:t xml:space="preserve">capital </w:t>
      </w:r>
      <w:r w:rsidR="00791759">
        <w:t xml:space="preserve">and operating </w:t>
      </w:r>
      <w:r w:rsidRPr="00A71884">
        <w:t>expenditure building block can be found in attachment</w:t>
      </w:r>
      <w:r w:rsidR="00791759">
        <w:t>s</w:t>
      </w:r>
      <w:r w:rsidRPr="00A71884">
        <w:t xml:space="preserve"> </w:t>
      </w:r>
      <w:r w:rsidR="00791759">
        <w:t xml:space="preserve">6 and </w:t>
      </w:r>
      <w:r w:rsidRPr="00A71884">
        <w:t>7</w:t>
      </w:r>
      <w:r w:rsidR="00791759">
        <w:t>, respectively</w:t>
      </w:r>
      <w:r w:rsidRPr="00A71884">
        <w:t>.</w:t>
      </w:r>
    </w:p>
    <w:sectPr w:rsidR="00A71884" w:rsidSect="00CF42AA">
      <w:headerReference w:type="default" r:id="rId18"/>
      <w:footerReference w:type="even" r:id="rId19"/>
      <w:footerReference w:type="default" r:id="rId20"/>
      <w:footerReference w:type="first" r:id="rId21"/>
      <w:pgSz w:w="11906" w:h="16838" w:code="9"/>
      <w:pgMar w:top="1440" w:right="1700" w:bottom="1582" w:left="1729" w:header="720" w:footer="0" w:gutter="0"/>
      <w:pgNumType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474DF" w:rsidRPr="00290C63" w:rsidRDefault="000474DF" w:rsidP="00290C63">
      <w:r>
        <w:separator/>
      </w:r>
    </w:p>
    <w:p w:rsidR="000474DF" w:rsidRDefault="000474DF"/>
  </w:endnote>
  <w:endnote w:type="continuationSeparator" w:id="0">
    <w:p w:rsidR="000474DF" w:rsidRPr="00290C63" w:rsidRDefault="000474DF" w:rsidP="00290C63">
      <w:r>
        <w:continuationSeparator/>
      </w:r>
    </w:p>
    <w:p w:rsidR="000474DF" w:rsidRDefault="000474D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1"/>
    <w:family w:val="roman"/>
    <w:notTrueType/>
    <w:pitch w:val="variable"/>
  </w:font>
  <w:font w:name="Verdana">
    <w:panose1 w:val="020B0604030504040204"/>
    <w:charset w:val="00"/>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E40C30">
      <w:rPr>
        <w:rStyle w:val="PageNumber"/>
        <w:noProof/>
      </w:rPr>
      <w:t>12-9</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04299774"/>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345986">
          <w:rPr>
            <w:noProof/>
          </w:rPr>
          <w:t>12-1</w:t>
        </w:r>
        <w:r>
          <w:rPr>
            <w:noProof/>
          </w:rPr>
          <w:fldChar w:fldCharType="end"/>
        </w:r>
        <w:r w:rsidR="004B6269">
          <w:rPr>
            <w:noProof/>
          </w:rPr>
          <w:t xml:space="preserve">  </w:t>
        </w:r>
        <w:r w:rsidR="0079769A">
          <w:t>Attachment 1</w:t>
        </w:r>
        <w:r w:rsidR="00CC058C">
          <w:t>2</w:t>
        </w:r>
        <w:r w:rsidR="0087718C">
          <w:t xml:space="preserve"> </w:t>
        </w:r>
        <w:r w:rsidR="0079769A">
          <w:t xml:space="preserve">– </w:t>
        </w:r>
        <w:r w:rsidR="00CC058C">
          <w:t>DMIS</w:t>
        </w:r>
        <w:r w:rsidR="0079769A" w:rsidRPr="004523B2">
          <w:t xml:space="preserve"> | </w:t>
        </w:r>
        <w:r w:rsidR="0079769A">
          <w:t>TasNetworks distribution draft determination</w:t>
        </w:r>
        <w:r w:rsidR="0079769A" w:rsidRPr="004523B2">
          <w:t xml:space="preserve"> 201</w:t>
        </w:r>
        <w:r w:rsidR="0079769A">
          <w:t>7</w:t>
        </w:r>
        <w:r w:rsidR="0079769A" w:rsidRPr="004523B2">
          <w:t>–</w:t>
        </w:r>
        <w:r w:rsidR="0079769A">
          <w:t>19</w:t>
        </w:r>
      </w:p>
    </w:sdtContent>
  </w:sdt>
  <w:p w:rsidR="000474DF" w:rsidRDefault="000474D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E40C30">
      <w:rPr>
        <w:noProof/>
      </w:rPr>
      <w:t>12-9</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rPr>
        <w:rStyle w:val="PageNumber"/>
      </w:rPr>
    </w:pPr>
    <w:r w:rsidRPr="00290C63">
      <w:rPr>
        <w:rStyle w:val="PageNumber"/>
      </w:rPr>
      <w:fldChar w:fldCharType="begin"/>
    </w:r>
    <w:r w:rsidRPr="00290C63">
      <w:rPr>
        <w:rStyle w:val="PageNumber"/>
      </w:rPr>
      <w:instrText xml:space="preserve"> PAGE   \* MERGEFORMAT </w:instrText>
    </w:r>
    <w:r w:rsidRPr="00290C63">
      <w:rPr>
        <w:rStyle w:val="PageNumber"/>
      </w:rPr>
      <w:fldChar w:fldCharType="separate"/>
    </w:r>
    <w:r w:rsidR="00E40C30">
      <w:rPr>
        <w:rStyle w:val="PageNumber"/>
        <w:noProof/>
      </w:rPr>
      <w:t>12-9</w:t>
    </w:r>
    <w:r w:rsidRPr="00290C63">
      <w:rPr>
        <w:rStyle w:val="PageNumber"/>
      </w:rPr>
      <w:fldChar w:fldCharType="end"/>
    </w:r>
    <w:r w:rsidRPr="00290C63">
      <w:rPr>
        <w:rStyle w:val="PageNumber"/>
      </w:rPr>
      <w:tab/>
      <w:t>Xxx report—month/year</w:t>
    </w: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40901426"/>
      <w:docPartObj>
        <w:docPartGallery w:val="Page Numbers (Bottom of Page)"/>
        <w:docPartUnique/>
      </w:docPartObj>
    </w:sdtPr>
    <w:sdtEndPr>
      <w:rPr>
        <w:noProof/>
        <w:szCs w:val="16"/>
      </w:rPr>
    </w:sdtEndPr>
    <w:sdtContent>
      <w:p w:rsidR="000474DF" w:rsidRPr="009B6F84" w:rsidRDefault="000474DF">
        <w:pPr>
          <w:pStyle w:val="Footer"/>
          <w:rPr>
            <w:sz w:val="20"/>
          </w:rPr>
        </w:pPr>
        <w:r>
          <w:fldChar w:fldCharType="begin"/>
        </w:r>
        <w:r>
          <w:instrText xml:space="preserve"> PAGE   \* MERGEFORMAT </w:instrText>
        </w:r>
        <w:r>
          <w:fldChar w:fldCharType="separate"/>
        </w:r>
        <w:r w:rsidR="00345986">
          <w:rPr>
            <w:noProof/>
          </w:rPr>
          <w:t>12-7</w:t>
        </w:r>
        <w:r>
          <w:rPr>
            <w:noProof/>
          </w:rPr>
          <w:fldChar w:fldCharType="end"/>
        </w:r>
        <w:r w:rsidR="004B6269">
          <w:rPr>
            <w:noProof/>
          </w:rPr>
          <w:t xml:space="preserve"> </w:t>
        </w:r>
        <w:r w:rsidR="0079769A">
          <w:rPr>
            <w:noProof/>
          </w:rPr>
          <w:t xml:space="preserve"> </w:t>
        </w:r>
        <w:r w:rsidR="004523B2">
          <w:t>Attachment 1</w:t>
        </w:r>
        <w:r w:rsidR="00CC058C">
          <w:t>2</w:t>
        </w:r>
        <w:r w:rsidR="004523B2">
          <w:t xml:space="preserve"> </w:t>
        </w:r>
        <w:r w:rsidR="0079769A">
          <w:t>–</w:t>
        </w:r>
        <w:r w:rsidR="004523B2">
          <w:t xml:space="preserve"> </w:t>
        </w:r>
        <w:r w:rsidR="00CC058C">
          <w:t>DMIS</w:t>
        </w:r>
        <w:r w:rsidR="004523B2" w:rsidRPr="004523B2">
          <w:t xml:space="preserve"> | </w:t>
        </w:r>
        <w:r w:rsidR="004523B2">
          <w:t>TasNetworks distribution draft determination</w:t>
        </w:r>
        <w:r w:rsidR="004523B2" w:rsidRPr="004523B2">
          <w:t xml:space="preserve"> 201</w:t>
        </w:r>
        <w:r w:rsidR="004523B2">
          <w:t>7</w:t>
        </w:r>
        <w:r w:rsidR="004523B2" w:rsidRPr="004523B2">
          <w:t>–</w:t>
        </w:r>
        <w:r w:rsidR="0079769A">
          <w:t>19</w:t>
        </w:r>
      </w:p>
    </w:sdtContent>
  </w:sdt>
  <w:p w:rsidR="000474DF" w:rsidRDefault="000474DF">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Pr="00290C63" w:rsidRDefault="000474DF" w:rsidP="00290C63">
    <w:pPr>
      <w:pStyle w:val="Footer"/>
    </w:pPr>
    <w:r>
      <w:t>Name of Report</w:t>
    </w:r>
    <w:r>
      <w:tab/>
    </w:r>
    <w:r>
      <w:tab/>
    </w:r>
    <w:r w:rsidRPr="00290C63">
      <w:fldChar w:fldCharType="begin"/>
    </w:r>
    <w:r w:rsidRPr="00290C63">
      <w:instrText xml:space="preserve"> PAGE   \* MERGEFORMAT </w:instrText>
    </w:r>
    <w:r w:rsidRPr="00290C63">
      <w:fldChar w:fldCharType="separate"/>
    </w:r>
    <w:r w:rsidR="00E40C30">
      <w:rPr>
        <w:noProof/>
      </w:rPr>
      <w:t>12-9</w:t>
    </w:r>
    <w:r w:rsidRPr="00290C63">
      <w:fldChar w:fldCharType="end"/>
    </w:r>
  </w:p>
  <w:p w:rsidR="000474DF" w:rsidRDefault="000474DF">
    <w:pPr>
      <w:pStyle w:val="Footer"/>
    </w:pPr>
  </w:p>
  <w:p w:rsidR="000474DF" w:rsidRDefault="000474DF"/>
  <w:p w:rsidR="000474DF" w:rsidRDefault="000474DF"/>
  <w:p w:rsidR="000474DF" w:rsidRDefault="000474DF"/>
  <w:p w:rsidR="000474DF" w:rsidRDefault="000474DF"/>
  <w:p w:rsidR="000474DF" w:rsidRDefault="000474DF"/>
  <w:p w:rsidR="000474DF" w:rsidRDefault="000474DF"/>
  <w:p w:rsidR="000474DF" w:rsidRDefault="000474DF"/>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474DF" w:rsidRPr="00290C63" w:rsidRDefault="000474DF" w:rsidP="00290C63">
      <w:r>
        <w:separator/>
      </w:r>
    </w:p>
    <w:p w:rsidR="000474DF" w:rsidRDefault="000474DF"/>
  </w:footnote>
  <w:footnote w:type="continuationSeparator" w:id="0">
    <w:p w:rsidR="000474DF" w:rsidRPr="00290C63" w:rsidRDefault="000474DF" w:rsidP="00290C63">
      <w:r>
        <w:continuationSeparator/>
      </w:r>
    </w:p>
    <w:p w:rsidR="000474DF" w:rsidRDefault="000474DF"/>
  </w:footnote>
  <w:footnote w:id="1">
    <w:p w:rsidR="00EF0110" w:rsidRDefault="00EF0110">
      <w:pPr>
        <w:pStyle w:val="FootnoteText"/>
      </w:pPr>
      <w:r>
        <w:rPr>
          <w:rStyle w:val="FootnoteReference"/>
        </w:rPr>
        <w:footnoteRef/>
      </w:r>
      <w:r>
        <w:t xml:space="preserve"> </w:t>
      </w:r>
      <w:r>
        <w:tab/>
      </w:r>
      <w:r w:rsidRPr="00EF0110">
        <w:t>NER, cl. 6.6.3(a).</w:t>
      </w:r>
    </w:p>
  </w:footnote>
  <w:footnote w:id="2">
    <w:p w:rsidR="00EF0110" w:rsidRDefault="00EF0110">
      <w:pPr>
        <w:pStyle w:val="FootnoteText"/>
      </w:pPr>
      <w:r>
        <w:rPr>
          <w:rStyle w:val="FootnoteReference"/>
        </w:rPr>
        <w:footnoteRef/>
      </w:r>
      <w:r>
        <w:t xml:space="preserve"> </w:t>
      </w:r>
      <w:r>
        <w:tab/>
      </w:r>
      <w:r w:rsidRPr="00EF0110">
        <w:t>The rules have since changed the name to 'Demand Management and Embedded Generation Connection Incentive Scheme' (DMEGCIS) to explicitly cover innovation with respect to the connection of embedded generation. Our current and proposed DMIS includes embedded generation. We consider embedded generation to be one means of demand management, as it typically reduces demand for power drawn from a distribution network.</w:t>
      </w:r>
    </w:p>
  </w:footnote>
  <w:footnote w:id="3">
    <w:p w:rsidR="00EF0110" w:rsidRDefault="00EF0110">
      <w:pPr>
        <w:pStyle w:val="FootnoteText"/>
      </w:pPr>
      <w:r>
        <w:rPr>
          <w:rStyle w:val="FootnoteReference"/>
        </w:rPr>
        <w:footnoteRef/>
      </w:r>
      <w:r>
        <w:t xml:space="preserve"> </w:t>
      </w:r>
      <w:r>
        <w:tab/>
      </w:r>
      <w:r w:rsidR="008E33C0" w:rsidRPr="008E33C0">
        <w:t>AER, Demand management incentive scheme, Aurora Energy, Regulatory control period commencing 1 July 2012, 15 October 2010</w:t>
      </w:r>
      <w:r w:rsidRPr="00EF0110">
        <w:t>.</w:t>
      </w:r>
    </w:p>
  </w:footnote>
  <w:footnote w:id="4">
    <w:p w:rsidR="00EF0110" w:rsidRDefault="00EF0110">
      <w:pPr>
        <w:pStyle w:val="FootnoteText"/>
      </w:pPr>
      <w:r>
        <w:rPr>
          <w:rStyle w:val="FootnoteReference"/>
        </w:rPr>
        <w:footnoteRef/>
      </w:r>
      <w:r>
        <w:t xml:space="preserve"> </w:t>
      </w:r>
      <w:r>
        <w:tab/>
      </w:r>
      <w:r w:rsidRPr="00EF0110">
        <w:t>The DMIA excludes the costs of demand management initiatives approved i</w:t>
      </w:r>
      <w:r w:rsidR="008E33C0">
        <w:t>n our determination for the 2012–17</w:t>
      </w:r>
      <w:r w:rsidRPr="00EF0110">
        <w:t xml:space="preserve"> regulatory control period.</w:t>
      </w:r>
    </w:p>
  </w:footnote>
  <w:footnote w:id="5">
    <w:p w:rsidR="00EF0110" w:rsidRDefault="00EF0110">
      <w:pPr>
        <w:pStyle w:val="FootnoteText"/>
      </w:pPr>
      <w:r>
        <w:rPr>
          <w:rStyle w:val="FootnoteReference"/>
        </w:rPr>
        <w:footnoteRef/>
      </w:r>
      <w:r>
        <w:t xml:space="preserve"> </w:t>
      </w:r>
      <w:r>
        <w:tab/>
      </w:r>
      <w:r w:rsidR="008E33C0" w:rsidRPr="008E33C0">
        <w:t>AER, Demand management incentive scheme, Aurora Energy, Regulatory control period commencing 1 July 2012, 15 October 2010</w:t>
      </w:r>
      <w:r w:rsidR="00677229">
        <w:t>, pp. 4–5.</w:t>
      </w:r>
    </w:p>
  </w:footnote>
  <w:footnote w:id="6">
    <w:p w:rsidR="000868C5" w:rsidRDefault="000868C5" w:rsidP="000868C5">
      <w:pPr>
        <w:pStyle w:val="FootnoteText"/>
      </w:pPr>
      <w:r>
        <w:rPr>
          <w:rStyle w:val="FootnoteReference"/>
        </w:rPr>
        <w:footnoteRef/>
      </w:r>
      <w:r>
        <w:t xml:space="preserve"> </w:t>
      </w:r>
      <w:r>
        <w:tab/>
        <w:t xml:space="preserve">AER, </w:t>
      </w:r>
      <w:r w:rsidR="00F077F1">
        <w:rPr>
          <w:rStyle w:val="AERtextitalic"/>
        </w:rPr>
        <w:t>Framework and approach for TasNetworks Distribution for the Regulatory control period commencing 1 July 2017</w:t>
      </w:r>
      <w:r>
        <w:t>,</w:t>
      </w:r>
      <w:r w:rsidR="00F077F1">
        <w:t xml:space="preserve"> July 2015, p. 73</w:t>
      </w:r>
      <w:r>
        <w:t>.</w:t>
      </w:r>
    </w:p>
  </w:footnote>
  <w:footnote w:id="7">
    <w:p w:rsidR="00132278" w:rsidRDefault="00132278">
      <w:pPr>
        <w:pStyle w:val="FootnoteText"/>
      </w:pPr>
      <w:r>
        <w:rPr>
          <w:rStyle w:val="FootnoteReference"/>
        </w:rPr>
        <w:footnoteRef/>
      </w:r>
      <w:r>
        <w:t xml:space="preserve"> </w:t>
      </w:r>
      <w:r>
        <w:tab/>
        <w:t xml:space="preserve">TasNetworks, </w:t>
      </w:r>
      <w:r w:rsidRPr="00132278">
        <w:rPr>
          <w:rStyle w:val="AERtextitalic"/>
        </w:rPr>
        <w:t>Tasmanian Distribution Regulatory Proposal</w:t>
      </w:r>
      <w:r>
        <w:t>, 29 January 2016, p. 127</w:t>
      </w:r>
      <w:r w:rsidR="00A71884">
        <w:t>.</w:t>
      </w:r>
    </w:p>
  </w:footnote>
  <w:footnote w:id="8">
    <w:p w:rsidR="00132278" w:rsidRDefault="00132278">
      <w:pPr>
        <w:pStyle w:val="FootnoteText"/>
      </w:pPr>
      <w:r>
        <w:rPr>
          <w:rStyle w:val="FootnoteReference"/>
        </w:rPr>
        <w:footnoteRef/>
      </w:r>
      <w:r>
        <w:t xml:space="preserve"> </w:t>
      </w:r>
      <w:r>
        <w:tab/>
      </w:r>
      <w:r w:rsidRPr="00132278">
        <w:t>NER, cl. 6.6.3(b).</w:t>
      </w:r>
    </w:p>
  </w:footnote>
  <w:footnote w:id="9">
    <w:p w:rsidR="00766477" w:rsidRDefault="00766477">
      <w:pPr>
        <w:pStyle w:val="FootnoteText"/>
      </w:pPr>
      <w:r>
        <w:rPr>
          <w:rStyle w:val="FootnoteReference"/>
        </w:rPr>
        <w:footnoteRef/>
      </w:r>
      <w:r>
        <w:t xml:space="preserve"> </w:t>
      </w:r>
      <w:r>
        <w:tab/>
      </w:r>
      <w:r w:rsidRPr="00766477">
        <w:t>AER, Framework and approach for TasNetworks Distribution for the Regulatory control period commencing 1 July 2017, July 2015, p</w:t>
      </w:r>
      <w:r>
        <w:t>p</w:t>
      </w:r>
      <w:r w:rsidRPr="00766477">
        <w:t>. 73</w:t>
      </w:r>
      <w:r>
        <w:t>–75</w:t>
      </w:r>
      <w:r w:rsidRPr="00766477">
        <w:t>.</w:t>
      </w:r>
    </w:p>
  </w:footnote>
  <w:footnote w:id="10">
    <w:p w:rsidR="00225EAD" w:rsidRDefault="00225EAD" w:rsidP="00225EAD">
      <w:pPr>
        <w:pStyle w:val="FootnoteText"/>
      </w:pPr>
      <w:r>
        <w:rPr>
          <w:rStyle w:val="FootnoteReference"/>
        </w:rPr>
        <w:footnoteRef/>
      </w:r>
      <w:r>
        <w:t xml:space="preserve"> </w:t>
      </w:r>
      <w:r>
        <w:tab/>
      </w:r>
      <w:r w:rsidRPr="00225EAD">
        <w:t>AER, Framework and approach for TasNetworks Distribution for the Regulatory control period comme</w:t>
      </w:r>
      <w:r>
        <w:t>ncing 1 July 2017, July 2015, p</w:t>
      </w:r>
      <w:r w:rsidRPr="00225EAD">
        <w:t>. 73</w:t>
      </w:r>
      <w:r>
        <w:t xml:space="preserve">. For information regarding the AEMC's Power of Choice Review, see </w:t>
      </w:r>
      <w:hyperlink r:id="rId1" w:history="1">
        <w:r w:rsidRPr="00FD58C5">
          <w:rPr>
            <w:rStyle w:val="Hyperlink"/>
            <w:sz w:val="16"/>
          </w:rPr>
          <w:t>http://www.aemc.gov.au/Major-Pages/Power-of-choice</w:t>
        </w:r>
      </w:hyperlink>
      <w:r>
        <w:t>. The AEMC received a proposed rule change from COAG Energy Ministers and the Total Environment Centre.</w:t>
      </w:r>
    </w:p>
  </w:footnote>
  <w:footnote w:id="11">
    <w:p w:rsidR="00225EAD" w:rsidRDefault="00225EAD" w:rsidP="00225EAD">
      <w:pPr>
        <w:pStyle w:val="FootnoteText"/>
      </w:pPr>
      <w:r>
        <w:rPr>
          <w:rStyle w:val="FootnoteReference"/>
        </w:rPr>
        <w:footnoteRef/>
      </w:r>
      <w:r>
        <w:t xml:space="preserve"> </w:t>
      </w:r>
      <w:r>
        <w:tab/>
        <w:t xml:space="preserve">AEMC, </w:t>
      </w:r>
      <w:r w:rsidRPr="005E3397">
        <w:rPr>
          <w:rStyle w:val="AERtextitalic"/>
        </w:rPr>
        <w:t>Rule Determination, National Electricity Amendment (Demand Management Incentive Scheme) Rule 2015</w:t>
      </w:r>
      <w:r>
        <w:t>, 20 August 2015.</w:t>
      </w:r>
    </w:p>
  </w:footnote>
  <w:footnote w:id="12">
    <w:p w:rsidR="003B1EBC" w:rsidRDefault="003B1EBC">
      <w:pPr>
        <w:pStyle w:val="FootnoteText"/>
      </w:pPr>
      <w:r>
        <w:rPr>
          <w:rStyle w:val="FootnoteReference"/>
        </w:rPr>
        <w:footnoteRef/>
      </w:r>
      <w:r>
        <w:t xml:space="preserve"> </w:t>
      </w:r>
      <w:r>
        <w:tab/>
      </w:r>
      <w:r w:rsidR="00496372" w:rsidRPr="00496372">
        <w:t xml:space="preserve">CCP (David Headberry), </w:t>
      </w:r>
      <w:r w:rsidR="00496372" w:rsidRPr="00496372">
        <w:rPr>
          <w:rStyle w:val="AERtextitalic"/>
        </w:rPr>
        <w:t>Submission to the AER, Response to the proposal from Tasmania's electricity distribution network service provider (TasNetworks - TND) for a revenue reset for the 2017–19 regulatory period,</w:t>
      </w:r>
      <w:r w:rsidR="00496372">
        <w:rPr>
          <w:rStyle w:val="AERtextitalic"/>
        </w:rPr>
        <w:t xml:space="preserve"> </w:t>
      </w:r>
      <w:r>
        <w:t>May 2016, p. 42.</w:t>
      </w:r>
    </w:p>
  </w:footnote>
  <w:footnote w:id="13">
    <w:p w:rsidR="003B1EBC" w:rsidRDefault="003B1EBC">
      <w:pPr>
        <w:pStyle w:val="FootnoteText"/>
      </w:pPr>
      <w:r>
        <w:rPr>
          <w:rStyle w:val="FootnoteReference"/>
        </w:rPr>
        <w:footnoteRef/>
      </w:r>
      <w:r>
        <w:t xml:space="preserve"> </w:t>
      </w:r>
      <w:r>
        <w:tab/>
      </w:r>
      <w:r w:rsidR="002E073E">
        <w:t>Tasmanian Small Business Council - Submission on TasNet</w:t>
      </w:r>
      <w:r w:rsidR="002E073E" w:rsidRPr="002E073E">
        <w:t>w</w:t>
      </w:r>
      <w:r w:rsidR="002E073E">
        <w:t>o</w:t>
      </w:r>
      <w:r w:rsidR="002E073E" w:rsidRPr="002E073E">
        <w:t>rks' regulatory proposal - May 2016, p</w:t>
      </w:r>
      <w:r w:rsidR="002E073E">
        <w:t>. 38.</w:t>
      </w:r>
    </w:p>
  </w:footnote>
  <w:footnote w:id="14">
    <w:p w:rsidR="000E6D94" w:rsidRDefault="000E6D94">
      <w:pPr>
        <w:pStyle w:val="FootnoteText"/>
      </w:pPr>
      <w:r>
        <w:rPr>
          <w:rStyle w:val="FootnoteReference"/>
        </w:rPr>
        <w:footnoteRef/>
      </w:r>
      <w:r>
        <w:t xml:space="preserve"> </w:t>
      </w:r>
      <w:r w:rsidR="002A28DF">
        <w:tab/>
        <w:t xml:space="preserve">AER - Final decision AusNet Services distribution determination - Attachment 12 - Demand management incentive scheme - May 2016, </w:t>
      </w:r>
      <w:r w:rsidR="002A28DF" w:rsidRPr="002A28DF">
        <w:t xml:space="preserve">AER </w:t>
      </w:r>
      <w:r w:rsidR="002A28DF">
        <w:t>- Final decision Jemena</w:t>
      </w:r>
      <w:r w:rsidR="002A28DF" w:rsidRPr="002A28DF">
        <w:t xml:space="preserve"> distribution determination - Attachment 12 - Demand management incentive scheme - May 2016</w:t>
      </w:r>
      <w:r w:rsidR="002A28DF">
        <w:t xml:space="preserve">, </w:t>
      </w:r>
      <w:r w:rsidR="002A28DF" w:rsidRPr="002A28DF">
        <w:t xml:space="preserve">AER </w:t>
      </w:r>
      <w:r w:rsidR="002A28DF">
        <w:t>- Final decision United Energy</w:t>
      </w:r>
      <w:r w:rsidR="002A28DF" w:rsidRPr="002A28DF">
        <w:t xml:space="preserve"> distribution determination - Attachment 12 - Demand management incentive scheme - May 2016</w:t>
      </w:r>
      <w:r w:rsidR="002A28DF">
        <w:t xml:space="preserve">, </w:t>
      </w:r>
      <w:r w:rsidR="002A28DF" w:rsidRPr="002A28DF">
        <w:t>AER</w:t>
      </w:r>
      <w:r w:rsidR="002A28DF">
        <w:t xml:space="preserve"> - Final decision CitiPower</w:t>
      </w:r>
      <w:r w:rsidR="002A28DF" w:rsidRPr="002A28DF">
        <w:t xml:space="preserve"> distribution determination - Attachment 12 - Demand management incentive scheme - May 2016</w:t>
      </w:r>
      <w:r w:rsidR="002A28DF">
        <w:t xml:space="preserve">, </w:t>
      </w:r>
      <w:r w:rsidR="002A28DF" w:rsidRPr="002A28DF">
        <w:t xml:space="preserve">AER </w:t>
      </w:r>
      <w:r w:rsidR="002A28DF">
        <w:t>- Final decision Powercor</w:t>
      </w:r>
      <w:r w:rsidR="002A28DF" w:rsidRPr="002A28DF">
        <w:t xml:space="preserve"> distribution determination - Attachment 12 - Demand management incentive scheme - May 2016</w:t>
      </w:r>
      <w:r w:rsidR="002A28DF">
        <w:t>.</w:t>
      </w:r>
    </w:p>
  </w:footnote>
  <w:footnote w:id="15">
    <w:p w:rsidR="000816E2" w:rsidRDefault="000816E2">
      <w:pPr>
        <w:pStyle w:val="FootnoteText"/>
      </w:pPr>
      <w:r>
        <w:rPr>
          <w:rStyle w:val="FootnoteReference"/>
        </w:rPr>
        <w:footnoteRef/>
      </w:r>
      <w:r>
        <w:t xml:space="preserve"> </w:t>
      </w:r>
      <w:r>
        <w:tab/>
        <w:t>In Victorian, a number of businesses proposed significant increases in the innovation allowance –. See for example Jemena (</w:t>
      </w:r>
      <w:r w:rsidR="00253602">
        <w:t>46</w:t>
      </w:r>
      <w:r>
        <w:t>0%), United Energy</w:t>
      </w:r>
      <w:r w:rsidR="00253602">
        <w:t xml:space="preserve"> (23</w:t>
      </w:r>
      <w:r>
        <w:t>0%) and AusNet Services</w:t>
      </w:r>
      <w:r w:rsidR="00253602">
        <w:t xml:space="preserve"> (233</w:t>
      </w:r>
      <w:r>
        <w:t>%)</w:t>
      </w:r>
      <w:r w:rsidR="002A28DF">
        <w:t>.</w:t>
      </w:r>
    </w:p>
  </w:footnote>
  <w:footnote w:id="16">
    <w:p w:rsidR="00A71884" w:rsidRDefault="00A71884">
      <w:pPr>
        <w:pStyle w:val="FootnoteText"/>
      </w:pPr>
      <w:r>
        <w:rPr>
          <w:rStyle w:val="FootnoteReference"/>
        </w:rPr>
        <w:footnoteRef/>
      </w:r>
      <w:r>
        <w:t xml:space="preserve"> </w:t>
      </w:r>
      <w:r>
        <w:tab/>
      </w:r>
      <w:r w:rsidRPr="00A71884">
        <w:t xml:space="preserve">TasNetworks, </w:t>
      </w:r>
      <w:r w:rsidRPr="00A71884">
        <w:rPr>
          <w:rStyle w:val="AERtextitalic"/>
        </w:rPr>
        <w:t>Tasmanian Distribution Regulatory Proposal</w:t>
      </w:r>
      <w:r w:rsidRPr="00A71884">
        <w:t>, 29 January 2016, p. 127</w:t>
      </w:r>
      <w: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C30" w:rsidRDefault="00E40C3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C30" w:rsidRDefault="00E40C3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40C30" w:rsidRDefault="00E40C3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474DF" w:rsidRDefault="000474D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31C7FA6"/>
    <w:multiLevelType w:val="hybridMultilevel"/>
    <w:tmpl w:val="1A7E9E04"/>
    <w:lvl w:ilvl="0" w:tplc="A356B254">
      <w:start w:val="1"/>
      <w:numFmt w:val="bullet"/>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9B737F8"/>
    <w:multiLevelType w:val="multilevel"/>
    <w:tmpl w:val="6FB04ABA"/>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4418" w:hanging="1440"/>
      </w:pPr>
      <w:rPr>
        <w:rFonts w:hint="default"/>
      </w:rPr>
    </w:lvl>
    <w:lvl w:ilvl="8">
      <w:start w:val="1"/>
      <w:numFmt w:val="decimal"/>
      <w:lvlText w:val="%1.%2.%3.%4.%5.%6.%7.%8.%9"/>
      <w:lvlJc w:val="left"/>
      <w:pPr>
        <w:ind w:left="1584" w:hanging="1584"/>
      </w:pPr>
      <w:rPr>
        <w:rFonts w:hint="default"/>
      </w:rPr>
    </w:lvl>
  </w:abstractNum>
  <w:abstractNum w:abstractNumId="14">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5">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6">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7">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8">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86"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87FAFCF2"/>
    <w:lvl w:ilvl="0">
      <w:start w:val="12"/>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1004"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30">
    <w:nsid w:val="7AEA3AE1"/>
    <w:multiLevelType w:val="hybridMultilevel"/>
    <w:tmpl w:val="52969776"/>
    <w:lvl w:ilvl="0" w:tplc="1B665800">
      <w:start w:val="1"/>
      <w:numFmt w:val="bullet"/>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31"/>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4"/>
  </w:num>
  <w:num w:numId="16">
    <w:abstractNumId w:val="21"/>
  </w:num>
  <w:num w:numId="17">
    <w:abstractNumId w:val="10"/>
  </w:num>
  <w:num w:numId="18">
    <w:abstractNumId w:val="16"/>
  </w:num>
  <w:num w:numId="19">
    <w:abstractNumId w:val="22"/>
  </w:num>
  <w:num w:numId="20">
    <w:abstractNumId w:val="28"/>
  </w:num>
  <w:num w:numId="21">
    <w:abstractNumId w:val="25"/>
  </w:num>
  <w:num w:numId="22">
    <w:abstractNumId w:val="23"/>
  </w:num>
  <w:num w:numId="23">
    <w:abstractNumId w:val="17"/>
  </w:num>
  <w:num w:numId="24">
    <w:abstractNumId w:val="24"/>
  </w:num>
  <w:num w:numId="25">
    <w:abstractNumId w:val="26"/>
  </w:num>
  <w:num w:numId="26">
    <w:abstractNumId w:val="18"/>
  </w:num>
  <w:num w:numId="27">
    <w:abstractNumId w:val="15"/>
  </w:num>
  <w:num w:numId="28">
    <w:abstractNumId w:val="30"/>
  </w:num>
  <w:num w:numId="29">
    <w:abstractNumId w:val="20"/>
  </w:num>
  <w:num w:numId="30">
    <w:abstractNumId w:val="9"/>
  </w:num>
  <w:num w:numId="31">
    <w:abstractNumId w:val="29"/>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3">
      <w:lvl w:ilvl="3">
        <w:start w:val="1"/>
        <w:numFmt w:val="decimal"/>
        <w:lvlText w:val="%2.%3.%4"/>
        <w:lvlJc w:val="left"/>
        <w:pPr>
          <w:tabs>
            <w:tab w:val="num" w:pos="0"/>
          </w:tabs>
          <w:ind w:left="0" w:hanging="851"/>
        </w:pPr>
        <w:rPr>
          <w:rFonts w:cs="Times New Roman"/>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32">
    <w:abstractNumId w:val="17"/>
    <w:lvlOverride w:ilvl="3">
      <w:lvl w:ilvl="3">
        <w:start w:val="1"/>
        <w:numFmt w:val="decimal"/>
        <w:lvlText w:val="%2.%3.%4"/>
        <w:lvlJc w:val="left"/>
        <w:pPr>
          <w:tabs>
            <w:tab w:val="num" w:pos="0"/>
          </w:tabs>
          <w:ind w:left="0" w:hanging="851"/>
        </w:pPr>
        <w:rPr>
          <w:rFonts w:hint="default"/>
        </w:rPr>
      </w:lvl>
    </w:lvlOverride>
  </w:num>
  <w:num w:numId="33">
    <w:abstractNumId w:val="13"/>
  </w:num>
  <w:num w:numId="34">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1"/>
  <w:removePersonalInformation/>
  <w:removeDateAndTime/>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HiIkNumlwwr+DmNKzLPpZ5UwmEhHHIvroxfNAqsYPhg=" w:saltValue="iYk48qDzmsq1X6OFn60TsQ==" w:algorithmName="SHA-256"/>
  <w:defaultTabStop w:val="340"/>
  <w:characterSpacingControl w:val="doNotCompress"/>
  <w:hdrShapeDefaults>
    <o:shapedefaults v:ext="edit" spidmax="2027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dchnas-evs02\home$\mleco\aer - draft decision tasnetworks distribution determination - attachment 12 - dmis - september 2016 (D2015-00170678).docx"/>
  </w:docVars>
  <w:rsids>
    <w:rsidRoot w:val="00961A4A"/>
    <w:rsid w:val="000051DC"/>
    <w:rsid w:val="0000658F"/>
    <w:rsid w:val="0001507B"/>
    <w:rsid w:val="00020016"/>
    <w:rsid w:val="00021202"/>
    <w:rsid w:val="00021C2B"/>
    <w:rsid w:val="0002498B"/>
    <w:rsid w:val="0002517F"/>
    <w:rsid w:val="00026187"/>
    <w:rsid w:val="000266FC"/>
    <w:rsid w:val="000273B3"/>
    <w:rsid w:val="00027E2D"/>
    <w:rsid w:val="0003578C"/>
    <w:rsid w:val="00044DA3"/>
    <w:rsid w:val="000474DF"/>
    <w:rsid w:val="00055A67"/>
    <w:rsid w:val="00063247"/>
    <w:rsid w:val="0006624E"/>
    <w:rsid w:val="00070F9F"/>
    <w:rsid w:val="0007137B"/>
    <w:rsid w:val="00073B74"/>
    <w:rsid w:val="00076416"/>
    <w:rsid w:val="000805A8"/>
    <w:rsid w:val="000816E2"/>
    <w:rsid w:val="0008190B"/>
    <w:rsid w:val="000836D9"/>
    <w:rsid w:val="00085663"/>
    <w:rsid w:val="00085EBF"/>
    <w:rsid w:val="000868C5"/>
    <w:rsid w:val="00091B15"/>
    <w:rsid w:val="00095186"/>
    <w:rsid w:val="000A0E71"/>
    <w:rsid w:val="000A1C0C"/>
    <w:rsid w:val="000A3020"/>
    <w:rsid w:val="000A4840"/>
    <w:rsid w:val="000A62C1"/>
    <w:rsid w:val="000A6A79"/>
    <w:rsid w:val="000A6C7B"/>
    <w:rsid w:val="000B0A7B"/>
    <w:rsid w:val="000B1173"/>
    <w:rsid w:val="000B5827"/>
    <w:rsid w:val="000B7037"/>
    <w:rsid w:val="000C02D1"/>
    <w:rsid w:val="000C0C63"/>
    <w:rsid w:val="000C2B40"/>
    <w:rsid w:val="000C5255"/>
    <w:rsid w:val="000D07A7"/>
    <w:rsid w:val="000D122C"/>
    <w:rsid w:val="000D75B0"/>
    <w:rsid w:val="000E1819"/>
    <w:rsid w:val="000E4821"/>
    <w:rsid w:val="000E4AA9"/>
    <w:rsid w:val="000E6C72"/>
    <w:rsid w:val="000E6D94"/>
    <w:rsid w:val="000E7F39"/>
    <w:rsid w:val="000F2DB7"/>
    <w:rsid w:val="00100EA2"/>
    <w:rsid w:val="00101AA1"/>
    <w:rsid w:val="00102338"/>
    <w:rsid w:val="00104566"/>
    <w:rsid w:val="00104FF6"/>
    <w:rsid w:val="001114AA"/>
    <w:rsid w:val="00115743"/>
    <w:rsid w:val="00116EB2"/>
    <w:rsid w:val="0012132C"/>
    <w:rsid w:val="00124609"/>
    <w:rsid w:val="00126A4C"/>
    <w:rsid w:val="001270E3"/>
    <w:rsid w:val="00132278"/>
    <w:rsid w:val="00132D43"/>
    <w:rsid w:val="00133366"/>
    <w:rsid w:val="00133F47"/>
    <w:rsid w:val="00134029"/>
    <w:rsid w:val="00142C2D"/>
    <w:rsid w:val="00144C96"/>
    <w:rsid w:val="0014573B"/>
    <w:rsid w:val="001463A3"/>
    <w:rsid w:val="0015073A"/>
    <w:rsid w:val="001573E4"/>
    <w:rsid w:val="00160756"/>
    <w:rsid w:val="00161DC8"/>
    <w:rsid w:val="00166760"/>
    <w:rsid w:val="0017232E"/>
    <w:rsid w:val="00174102"/>
    <w:rsid w:val="001754EE"/>
    <w:rsid w:val="00180157"/>
    <w:rsid w:val="001809BC"/>
    <w:rsid w:val="00180E97"/>
    <w:rsid w:val="001820B4"/>
    <w:rsid w:val="00184351"/>
    <w:rsid w:val="00184AC8"/>
    <w:rsid w:val="00185BA5"/>
    <w:rsid w:val="00185CB9"/>
    <w:rsid w:val="00185DBE"/>
    <w:rsid w:val="00186ADC"/>
    <w:rsid w:val="00186F77"/>
    <w:rsid w:val="001877A4"/>
    <w:rsid w:val="001926A4"/>
    <w:rsid w:val="00192AD5"/>
    <w:rsid w:val="00194597"/>
    <w:rsid w:val="00194E00"/>
    <w:rsid w:val="0019745E"/>
    <w:rsid w:val="00197B16"/>
    <w:rsid w:val="001A530D"/>
    <w:rsid w:val="001A5FB3"/>
    <w:rsid w:val="001A7155"/>
    <w:rsid w:val="001B45A0"/>
    <w:rsid w:val="001B680E"/>
    <w:rsid w:val="001D055E"/>
    <w:rsid w:val="001E1B3F"/>
    <w:rsid w:val="001E7161"/>
    <w:rsid w:val="001F05A4"/>
    <w:rsid w:val="001F3D4A"/>
    <w:rsid w:val="001F492E"/>
    <w:rsid w:val="001F64EF"/>
    <w:rsid w:val="001F6DA3"/>
    <w:rsid w:val="002010BC"/>
    <w:rsid w:val="002016E7"/>
    <w:rsid w:val="00202E03"/>
    <w:rsid w:val="002033B9"/>
    <w:rsid w:val="002043D0"/>
    <w:rsid w:val="0020492C"/>
    <w:rsid w:val="00204EC9"/>
    <w:rsid w:val="00206505"/>
    <w:rsid w:val="0020743F"/>
    <w:rsid w:val="00216C93"/>
    <w:rsid w:val="00223051"/>
    <w:rsid w:val="00224DB9"/>
    <w:rsid w:val="0022569A"/>
    <w:rsid w:val="00225EAD"/>
    <w:rsid w:val="0023005C"/>
    <w:rsid w:val="00231012"/>
    <w:rsid w:val="00233775"/>
    <w:rsid w:val="0023414B"/>
    <w:rsid w:val="00243635"/>
    <w:rsid w:val="00247079"/>
    <w:rsid w:val="00251745"/>
    <w:rsid w:val="00253602"/>
    <w:rsid w:val="002552BA"/>
    <w:rsid w:val="00260016"/>
    <w:rsid w:val="00263AC0"/>
    <w:rsid w:val="00264264"/>
    <w:rsid w:val="0026689B"/>
    <w:rsid w:val="0026772D"/>
    <w:rsid w:val="002730B2"/>
    <w:rsid w:val="00274C7E"/>
    <w:rsid w:val="002777CF"/>
    <w:rsid w:val="002810F2"/>
    <w:rsid w:val="00286874"/>
    <w:rsid w:val="00290C63"/>
    <w:rsid w:val="00291A99"/>
    <w:rsid w:val="00293B6D"/>
    <w:rsid w:val="00294B08"/>
    <w:rsid w:val="0029518C"/>
    <w:rsid w:val="002963DD"/>
    <w:rsid w:val="00296B65"/>
    <w:rsid w:val="002A28DF"/>
    <w:rsid w:val="002A7DEF"/>
    <w:rsid w:val="002B0696"/>
    <w:rsid w:val="002C0222"/>
    <w:rsid w:val="002C1499"/>
    <w:rsid w:val="002C233C"/>
    <w:rsid w:val="002C517B"/>
    <w:rsid w:val="002D3509"/>
    <w:rsid w:val="002D5457"/>
    <w:rsid w:val="002D72E8"/>
    <w:rsid w:val="002D79AD"/>
    <w:rsid w:val="002E073E"/>
    <w:rsid w:val="002E268F"/>
    <w:rsid w:val="002E78DD"/>
    <w:rsid w:val="002E7B22"/>
    <w:rsid w:val="002F12EC"/>
    <w:rsid w:val="002F7986"/>
    <w:rsid w:val="00301B40"/>
    <w:rsid w:val="00301C82"/>
    <w:rsid w:val="003029EE"/>
    <w:rsid w:val="00304D38"/>
    <w:rsid w:val="00305CC8"/>
    <w:rsid w:val="00307F6D"/>
    <w:rsid w:val="00314D83"/>
    <w:rsid w:val="0031571F"/>
    <w:rsid w:val="003177A2"/>
    <w:rsid w:val="00317E02"/>
    <w:rsid w:val="003271B5"/>
    <w:rsid w:val="00327A1E"/>
    <w:rsid w:val="00327E28"/>
    <w:rsid w:val="00331264"/>
    <w:rsid w:val="00334C8D"/>
    <w:rsid w:val="003378BD"/>
    <w:rsid w:val="003424EA"/>
    <w:rsid w:val="00342C2F"/>
    <w:rsid w:val="003436EB"/>
    <w:rsid w:val="00343A18"/>
    <w:rsid w:val="00345744"/>
    <w:rsid w:val="00345986"/>
    <w:rsid w:val="003518B3"/>
    <w:rsid w:val="00353E79"/>
    <w:rsid w:val="00364EA0"/>
    <w:rsid w:val="00366981"/>
    <w:rsid w:val="00370678"/>
    <w:rsid w:val="0037214E"/>
    <w:rsid w:val="00372C85"/>
    <w:rsid w:val="00373845"/>
    <w:rsid w:val="003744E3"/>
    <w:rsid w:val="00375F71"/>
    <w:rsid w:val="00376219"/>
    <w:rsid w:val="0037663E"/>
    <w:rsid w:val="0037699E"/>
    <w:rsid w:val="00377A29"/>
    <w:rsid w:val="00377C69"/>
    <w:rsid w:val="0038415D"/>
    <w:rsid w:val="0038461C"/>
    <w:rsid w:val="003846F1"/>
    <w:rsid w:val="00390E6A"/>
    <w:rsid w:val="00393ABE"/>
    <w:rsid w:val="00395DB6"/>
    <w:rsid w:val="00397398"/>
    <w:rsid w:val="003A371A"/>
    <w:rsid w:val="003A59CD"/>
    <w:rsid w:val="003A6B00"/>
    <w:rsid w:val="003B1EBC"/>
    <w:rsid w:val="003B30B2"/>
    <w:rsid w:val="003B484F"/>
    <w:rsid w:val="003B504B"/>
    <w:rsid w:val="003B5179"/>
    <w:rsid w:val="003B685C"/>
    <w:rsid w:val="003B7FBA"/>
    <w:rsid w:val="003C6537"/>
    <w:rsid w:val="003C6A13"/>
    <w:rsid w:val="003C764A"/>
    <w:rsid w:val="003C78BA"/>
    <w:rsid w:val="003D41F1"/>
    <w:rsid w:val="003D42AB"/>
    <w:rsid w:val="003D5B94"/>
    <w:rsid w:val="003E0D3A"/>
    <w:rsid w:val="003E3AAB"/>
    <w:rsid w:val="003E7FE9"/>
    <w:rsid w:val="003F07D4"/>
    <w:rsid w:val="003F174D"/>
    <w:rsid w:val="003F2329"/>
    <w:rsid w:val="00400FD2"/>
    <w:rsid w:val="00403711"/>
    <w:rsid w:val="00404C52"/>
    <w:rsid w:val="004156D5"/>
    <w:rsid w:val="00415BA9"/>
    <w:rsid w:val="00415F31"/>
    <w:rsid w:val="0041691D"/>
    <w:rsid w:val="0042000C"/>
    <w:rsid w:val="0042090E"/>
    <w:rsid w:val="00421F27"/>
    <w:rsid w:val="004238D8"/>
    <w:rsid w:val="00423A77"/>
    <w:rsid w:val="004324F4"/>
    <w:rsid w:val="0043424F"/>
    <w:rsid w:val="00434544"/>
    <w:rsid w:val="00445D43"/>
    <w:rsid w:val="00446CD2"/>
    <w:rsid w:val="004523B2"/>
    <w:rsid w:val="0045777E"/>
    <w:rsid w:val="00465258"/>
    <w:rsid w:val="00471BC6"/>
    <w:rsid w:val="00476221"/>
    <w:rsid w:val="004766F5"/>
    <w:rsid w:val="00480B4B"/>
    <w:rsid w:val="004838D8"/>
    <w:rsid w:val="00485DC4"/>
    <w:rsid w:val="00494D04"/>
    <w:rsid w:val="00496372"/>
    <w:rsid w:val="004A40BA"/>
    <w:rsid w:val="004A43D1"/>
    <w:rsid w:val="004A492B"/>
    <w:rsid w:val="004B4412"/>
    <w:rsid w:val="004B6269"/>
    <w:rsid w:val="004C348C"/>
    <w:rsid w:val="004C462E"/>
    <w:rsid w:val="004C6CA3"/>
    <w:rsid w:val="004C7F5E"/>
    <w:rsid w:val="004D343C"/>
    <w:rsid w:val="004D372A"/>
    <w:rsid w:val="004D55BA"/>
    <w:rsid w:val="004D720C"/>
    <w:rsid w:val="004E0FA7"/>
    <w:rsid w:val="004E22EC"/>
    <w:rsid w:val="004F0BFA"/>
    <w:rsid w:val="004F13DA"/>
    <w:rsid w:val="004F4D69"/>
    <w:rsid w:val="004F6883"/>
    <w:rsid w:val="004F6A0E"/>
    <w:rsid w:val="004F6BB3"/>
    <w:rsid w:val="005009CD"/>
    <w:rsid w:val="00504E5F"/>
    <w:rsid w:val="0051337E"/>
    <w:rsid w:val="00513FA7"/>
    <w:rsid w:val="0051768F"/>
    <w:rsid w:val="00522DC2"/>
    <w:rsid w:val="00530128"/>
    <w:rsid w:val="00532467"/>
    <w:rsid w:val="005332A9"/>
    <w:rsid w:val="0053603C"/>
    <w:rsid w:val="00537871"/>
    <w:rsid w:val="00542FE9"/>
    <w:rsid w:val="00544598"/>
    <w:rsid w:val="00544C8D"/>
    <w:rsid w:val="00544DFD"/>
    <w:rsid w:val="00556B1E"/>
    <w:rsid w:val="00564A4D"/>
    <w:rsid w:val="0056598C"/>
    <w:rsid w:val="00566E0B"/>
    <w:rsid w:val="00567BA5"/>
    <w:rsid w:val="00571B35"/>
    <w:rsid w:val="00571B43"/>
    <w:rsid w:val="00571D57"/>
    <w:rsid w:val="00573A3B"/>
    <w:rsid w:val="00577716"/>
    <w:rsid w:val="00577A09"/>
    <w:rsid w:val="005829C2"/>
    <w:rsid w:val="00584D8F"/>
    <w:rsid w:val="00587A18"/>
    <w:rsid w:val="00587ADE"/>
    <w:rsid w:val="005A0BEC"/>
    <w:rsid w:val="005A404D"/>
    <w:rsid w:val="005B1E3C"/>
    <w:rsid w:val="005B6518"/>
    <w:rsid w:val="005B704A"/>
    <w:rsid w:val="005B72D7"/>
    <w:rsid w:val="005C045F"/>
    <w:rsid w:val="005C16FE"/>
    <w:rsid w:val="005C1FAB"/>
    <w:rsid w:val="005C21A4"/>
    <w:rsid w:val="005C26CC"/>
    <w:rsid w:val="005C4463"/>
    <w:rsid w:val="005D3D88"/>
    <w:rsid w:val="005D48C4"/>
    <w:rsid w:val="005D6208"/>
    <w:rsid w:val="005D6366"/>
    <w:rsid w:val="005D7BA2"/>
    <w:rsid w:val="005E36C2"/>
    <w:rsid w:val="005E4AF4"/>
    <w:rsid w:val="005E720D"/>
    <w:rsid w:val="005F387E"/>
    <w:rsid w:val="00601E0B"/>
    <w:rsid w:val="0060258B"/>
    <w:rsid w:val="00610EF9"/>
    <w:rsid w:val="00612F4F"/>
    <w:rsid w:val="00614EA0"/>
    <w:rsid w:val="00615C6B"/>
    <w:rsid w:val="00617D4C"/>
    <w:rsid w:val="00621DCE"/>
    <w:rsid w:val="00621FC5"/>
    <w:rsid w:val="00624F2C"/>
    <w:rsid w:val="00632D6D"/>
    <w:rsid w:val="00636569"/>
    <w:rsid w:val="00636EF9"/>
    <w:rsid w:val="00642C3E"/>
    <w:rsid w:val="00644A01"/>
    <w:rsid w:val="00651E2D"/>
    <w:rsid w:val="00652324"/>
    <w:rsid w:val="006577FB"/>
    <w:rsid w:val="0066104A"/>
    <w:rsid w:val="00663066"/>
    <w:rsid w:val="00663DAD"/>
    <w:rsid w:val="00664206"/>
    <w:rsid w:val="006649E7"/>
    <w:rsid w:val="00666634"/>
    <w:rsid w:val="00671692"/>
    <w:rsid w:val="00675E20"/>
    <w:rsid w:val="00676679"/>
    <w:rsid w:val="00677229"/>
    <w:rsid w:val="00683C89"/>
    <w:rsid w:val="00691B53"/>
    <w:rsid w:val="00697D0B"/>
    <w:rsid w:val="006A12BA"/>
    <w:rsid w:val="006A4739"/>
    <w:rsid w:val="006A66A1"/>
    <w:rsid w:val="006B032D"/>
    <w:rsid w:val="006B2395"/>
    <w:rsid w:val="006B40AC"/>
    <w:rsid w:val="006B4CF9"/>
    <w:rsid w:val="006B797C"/>
    <w:rsid w:val="006B7AC8"/>
    <w:rsid w:val="006C1736"/>
    <w:rsid w:val="006C329B"/>
    <w:rsid w:val="006C6303"/>
    <w:rsid w:val="006D550F"/>
    <w:rsid w:val="006D6146"/>
    <w:rsid w:val="006D7F7E"/>
    <w:rsid w:val="006E0CFF"/>
    <w:rsid w:val="006F0D92"/>
    <w:rsid w:val="006F267D"/>
    <w:rsid w:val="0070011E"/>
    <w:rsid w:val="00701CAB"/>
    <w:rsid w:val="007023BB"/>
    <w:rsid w:val="00704DD7"/>
    <w:rsid w:val="00707563"/>
    <w:rsid w:val="00715F61"/>
    <w:rsid w:val="00722132"/>
    <w:rsid w:val="007228F7"/>
    <w:rsid w:val="0072348C"/>
    <w:rsid w:val="007237CA"/>
    <w:rsid w:val="00724A37"/>
    <w:rsid w:val="007303C3"/>
    <w:rsid w:val="00731188"/>
    <w:rsid w:val="007356CC"/>
    <w:rsid w:val="007368E6"/>
    <w:rsid w:val="007375DF"/>
    <w:rsid w:val="007429BE"/>
    <w:rsid w:val="00743223"/>
    <w:rsid w:val="00743349"/>
    <w:rsid w:val="0074403A"/>
    <w:rsid w:val="00746E01"/>
    <w:rsid w:val="00751DCD"/>
    <w:rsid w:val="00755084"/>
    <w:rsid w:val="00757364"/>
    <w:rsid w:val="00757BDF"/>
    <w:rsid w:val="007609D0"/>
    <w:rsid w:val="00761454"/>
    <w:rsid w:val="0076193D"/>
    <w:rsid w:val="00763E5D"/>
    <w:rsid w:val="00766477"/>
    <w:rsid w:val="00767740"/>
    <w:rsid w:val="00767B5E"/>
    <w:rsid w:val="00775460"/>
    <w:rsid w:val="00777EE6"/>
    <w:rsid w:val="00782EEA"/>
    <w:rsid w:val="00786CA4"/>
    <w:rsid w:val="007909B4"/>
    <w:rsid w:val="00790E86"/>
    <w:rsid w:val="00791759"/>
    <w:rsid w:val="007949D7"/>
    <w:rsid w:val="0079769A"/>
    <w:rsid w:val="007A0143"/>
    <w:rsid w:val="007A34C2"/>
    <w:rsid w:val="007A396C"/>
    <w:rsid w:val="007A4B02"/>
    <w:rsid w:val="007B0BE3"/>
    <w:rsid w:val="007B1816"/>
    <w:rsid w:val="007B186E"/>
    <w:rsid w:val="007B25DC"/>
    <w:rsid w:val="007B2C72"/>
    <w:rsid w:val="007B3789"/>
    <w:rsid w:val="007B651F"/>
    <w:rsid w:val="007B7BB5"/>
    <w:rsid w:val="007C1C53"/>
    <w:rsid w:val="007C284C"/>
    <w:rsid w:val="007C4B82"/>
    <w:rsid w:val="007C74BB"/>
    <w:rsid w:val="007C7F64"/>
    <w:rsid w:val="007D0A95"/>
    <w:rsid w:val="007D0EB5"/>
    <w:rsid w:val="007D456E"/>
    <w:rsid w:val="007D5837"/>
    <w:rsid w:val="007E4904"/>
    <w:rsid w:val="007E4CB5"/>
    <w:rsid w:val="007E4DAE"/>
    <w:rsid w:val="007F066B"/>
    <w:rsid w:val="007F4EAB"/>
    <w:rsid w:val="007F5B16"/>
    <w:rsid w:val="007F7C9D"/>
    <w:rsid w:val="008033C4"/>
    <w:rsid w:val="00806731"/>
    <w:rsid w:val="00806C88"/>
    <w:rsid w:val="0081034E"/>
    <w:rsid w:val="00810806"/>
    <w:rsid w:val="00815882"/>
    <w:rsid w:val="00820454"/>
    <w:rsid w:val="00822AC7"/>
    <w:rsid w:val="00822E86"/>
    <w:rsid w:val="008344F6"/>
    <w:rsid w:val="0083510F"/>
    <w:rsid w:val="00837BF3"/>
    <w:rsid w:val="008415DE"/>
    <w:rsid w:val="008420DE"/>
    <w:rsid w:val="00845865"/>
    <w:rsid w:val="0084799B"/>
    <w:rsid w:val="00850C90"/>
    <w:rsid w:val="00851209"/>
    <w:rsid w:val="0085171F"/>
    <w:rsid w:val="008658A1"/>
    <w:rsid w:val="0086716A"/>
    <w:rsid w:val="00870613"/>
    <w:rsid w:val="0087380F"/>
    <w:rsid w:val="0087648F"/>
    <w:rsid w:val="00876612"/>
    <w:rsid w:val="0087718C"/>
    <w:rsid w:val="00882BB1"/>
    <w:rsid w:val="008837AC"/>
    <w:rsid w:val="008909DC"/>
    <w:rsid w:val="00894255"/>
    <w:rsid w:val="008945AD"/>
    <w:rsid w:val="008A0645"/>
    <w:rsid w:val="008A1C02"/>
    <w:rsid w:val="008A370D"/>
    <w:rsid w:val="008A587D"/>
    <w:rsid w:val="008B16B0"/>
    <w:rsid w:val="008B1BD5"/>
    <w:rsid w:val="008B35CD"/>
    <w:rsid w:val="008B4093"/>
    <w:rsid w:val="008B5FCC"/>
    <w:rsid w:val="008B7F36"/>
    <w:rsid w:val="008C357F"/>
    <w:rsid w:val="008C5486"/>
    <w:rsid w:val="008D1661"/>
    <w:rsid w:val="008D27E0"/>
    <w:rsid w:val="008D5F90"/>
    <w:rsid w:val="008D6800"/>
    <w:rsid w:val="008D72F1"/>
    <w:rsid w:val="008E1691"/>
    <w:rsid w:val="008E33C0"/>
    <w:rsid w:val="008E4089"/>
    <w:rsid w:val="008E5AFF"/>
    <w:rsid w:val="008E7031"/>
    <w:rsid w:val="008E77DE"/>
    <w:rsid w:val="008F040C"/>
    <w:rsid w:val="008F07A3"/>
    <w:rsid w:val="008F3322"/>
    <w:rsid w:val="008F3519"/>
    <w:rsid w:val="008F3A0D"/>
    <w:rsid w:val="009001B6"/>
    <w:rsid w:val="00900E1B"/>
    <w:rsid w:val="0090131F"/>
    <w:rsid w:val="00907683"/>
    <w:rsid w:val="009132B7"/>
    <w:rsid w:val="00916A2C"/>
    <w:rsid w:val="009233EE"/>
    <w:rsid w:val="00930B1A"/>
    <w:rsid w:val="00932612"/>
    <w:rsid w:val="009327DC"/>
    <w:rsid w:val="009338D9"/>
    <w:rsid w:val="009339BD"/>
    <w:rsid w:val="009356CF"/>
    <w:rsid w:val="00943690"/>
    <w:rsid w:val="00945E53"/>
    <w:rsid w:val="009460AA"/>
    <w:rsid w:val="00951978"/>
    <w:rsid w:val="00952C8B"/>
    <w:rsid w:val="00961A4A"/>
    <w:rsid w:val="009661DE"/>
    <w:rsid w:val="00972C7C"/>
    <w:rsid w:val="009776F4"/>
    <w:rsid w:val="00982DA2"/>
    <w:rsid w:val="00983C25"/>
    <w:rsid w:val="0098466D"/>
    <w:rsid w:val="009856B7"/>
    <w:rsid w:val="009859D6"/>
    <w:rsid w:val="00985C86"/>
    <w:rsid w:val="009A5FC3"/>
    <w:rsid w:val="009B6F84"/>
    <w:rsid w:val="009B74B0"/>
    <w:rsid w:val="009C0152"/>
    <w:rsid w:val="009C1A74"/>
    <w:rsid w:val="009C3D42"/>
    <w:rsid w:val="009C491E"/>
    <w:rsid w:val="009D0DF1"/>
    <w:rsid w:val="009D22D6"/>
    <w:rsid w:val="009D2C84"/>
    <w:rsid w:val="009D3906"/>
    <w:rsid w:val="009D5E35"/>
    <w:rsid w:val="009D6B46"/>
    <w:rsid w:val="009E35B6"/>
    <w:rsid w:val="009E5ABC"/>
    <w:rsid w:val="009F3BBA"/>
    <w:rsid w:val="009F43B4"/>
    <w:rsid w:val="009F4940"/>
    <w:rsid w:val="009F5BA1"/>
    <w:rsid w:val="00A02A88"/>
    <w:rsid w:val="00A04012"/>
    <w:rsid w:val="00A046FA"/>
    <w:rsid w:val="00A0562E"/>
    <w:rsid w:val="00A0726D"/>
    <w:rsid w:val="00A073AE"/>
    <w:rsid w:val="00A12204"/>
    <w:rsid w:val="00A12750"/>
    <w:rsid w:val="00A13CB0"/>
    <w:rsid w:val="00A1561F"/>
    <w:rsid w:val="00A16544"/>
    <w:rsid w:val="00A30BF5"/>
    <w:rsid w:val="00A31BE6"/>
    <w:rsid w:val="00A32FBB"/>
    <w:rsid w:val="00A40068"/>
    <w:rsid w:val="00A40BE9"/>
    <w:rsid w:val="00A428EE"/>
    <w:rsid w:val="00A443C2"/>
    <w:rsid w:val="00A4478A"/>
    <w:rsid w:val="00A44852"/>
    <w:rsid w:val="00A50502"/>
    <w:rsid w:val="00A5087B"/>
    <w:rsid w:val="00A53409"/>
    <w:rsid w:val="00A53796"/>
    <w:rsid w:val="00A53848"/>
    <w:rsid w:val="00A56945"/>
    <w:rsid w:val="00A56A6E"/>
    <w:rsid w:val="00A57D04"/>
    <w:rsid w:val="00A60A26"/>
    <w:rsid w:val="00A61598"/>
    <w:rsid w:val="00A61777"/>
    <w:rsid w:val="00A63646"/>
    <w:rsid w:val="00A63914"/>
    <w:rsid w:val="00A71884"/>
    <w:rsid w:val="00A84A99"/>
    <w:rsid w:val="00A84F46"/>
    <w:rsid w:val="00A85E87"/>
    <w:rsid w:val="00A86AEA"/>
    <w:rsid w:val="00A871F4"/>
    <w:rsid w:val="00A9431A"/>
    <w:rsid w:val="00A95988"/>
    <w:rsid w:val="00A959DF"/>
    <w:rsid w:val="00A97A1B"/>
    <w:rsid w:val="00AA2927"/>
    <w:rsid w:val="00AB2CB8"/>
    <w:rsid w:val="00AB4617"/>
    <w:rsid w:val="00AC1B2C"/>
    <w:rsid w:val="00AC3264"/>
    <w:rsid w:val="00AC46AD"/>
    <w:rsid w:val="00AC4D2D"/>
    <w:rsid w:val="00AC58EC"/>
    <w:rsid w:val="00AC7282"/>
    <w:rsid w:val="00AC7961"/>
    <w:rsid w:val="00AD314E"/>
    <w:rsid w:val="00AD5FCD"/>
    <w:rsid w:val="00AD6B48"/>
    <w:rsid w:val="00AD7A3A"/>
    <w:rsid w:val="00AE1BF1"/>
    <w:rsid w:val="00AE23AB"/>
    <w:rsid w:val="00AE58FB"/>
    <w:rsid w:val="00AE5AF0"/>
    <w:rsid w:val="00AE663D"/>
    <w:rsid w:val="00AE73B3"/>
    <w:rsid w:val="00AF07E7"/>
    <w:rsid w:val="00AF0DD2"/>
    <w:rsid w:val="00AF31E1"/>
    <w:rsid w:val="00AF3BBA"/>
    <w:rsid w:val="00AF4231"/>
    <w:rsid w:val="00B00B0E"/>
    <w:rsid w:val="00B00B26"/>
    <w:rsid w:val="00B02385"/>
    <w:rsid w:val="00B02F9D"/>
    <w:rsid w:val="00B05766"/>
    <w:rsid w:val="00B13048"/>
    <w:rsid w:val="00B13883"/>
    <w:rsid w:val="00B1716D"/>
    <w:rsid w:val="00B17A1D"/>
    <w:rsid w:val="00B207A0"/>
    <w:rsid w:val="00B21C21"/>
    <w:rsid w:val="00B22F54"/>
    <w:rsid w:val="00B24A7E"/>
    <w:rsid w:val="00B25C0C"/>
    <w:rsid w:val="00B304B5"/>
    <w:rsid w:val="00B308A9"/>
    <w:rsid w:val="00B31047"/>
    <w:rsid w:val="00B33148"/>
    <w:rsid w:val="00B35CDF"/>
    <w:rsid w:val="00B403C2"/>
    <w:rsid w:val="00B405A1"/>
    <w:rsid w:val="00B4438A"/>
    <w:rsid w:val="00B45AA2"/>
    <w:rsid w:val="00B479CA"/>
    <w:rsid w:val="00B5084F"/>
    <w:rsid w:val="00B514DD"/>
    <w:rsid w:val="00B52AF0"/>
    <w:rsid w:val="00B53D5F"/>
    <w:rsid w:val="00B54051"/>
    <w:rsid w:val="00B561BD"/>
    <w:rsid w:val="00B56E03"/>
    <w:rsid w:val="00B62765"/>
    <w:rsid w:val="00B65DF5"/>
    <w:rsid w:val="00B7679F"/>
    <w:rsid w:val="00B77159"/>
    <w:rsid w:val="00B8080B"/>
    <w:rsid w:val="00B82223"/>
    <w:rsid w:val="00B87BA5"/>
    <w:rsid w:val="00B87C39"/>
    <w:rsid w:val="00B93891"/>
    <w:rsid w:val="00B9562D"/>
    <w:rsid w:val="00BA21DA"/>
    <w:rsid w:val="00BA2B60"/>
    <w:rsid w:val="00BA3C93"/>
    <w:rsid w:val="00BA4665"/>
    <w:rsid w:val="00BA7FD7"/>
    <w:rsid w:val="00BB1681"/>
    <w:rsid w:val="00BB2FB2"/>
    <w:rsid w:val="00BB3304"/>
    <w:rsid w:val="00BB6551"/>
    <w:rsid w:val="00BC4A10"/>
    <w:rsid w:val="00BD30F4"/>
    <w:rsid w:val="00BD3446"/>
    <w:rsid w:val="00BD59CF"/>
    <w:rsid w:val="00BE1312"/>
    <w:rsid w:val="00BE1F1B"/>
    <w:rsid w:val="00BE3332"/>
    <w:rsid w:val="00BE3F89"/>
    <w:rsid w:val="00BE47B5"/>
    <w:rsid w:val="00BE5FCE"/>
    <w:rsid w:val="00C0079E"/>
    <w:rsid w:val="00C0572A"/>
    <w:rsid w:val="00C13EBD"/>
    <w:rsid w:val="00C1631B"/>
    <w:rsid w:val="00C163AB"/>
    <w:rsid w:val="00C170F0"/>
    <w:rsid w:val="00C25962"/>
    <w:rsid w:val="00C25FA6"/>
    <w:rsid w:val="00C3099D"/>
    <w:rsid w:val="00C33011"/>
    <w:rsid w:val="00C362C1"/>
    <w:rsid w:val="00C41950"/>
    <w:rsid w:val="00C42C3B"/>
    <w:rsid w:val="00C51672"/>
    <w:rsid w:val="00C538A9"/>
    <w:rsid w:val="00C53B5A"/>
    <w:rsid w:val="00C53E41"/>
    <w:rsid w:val="00C54909"/>
    <w:rsid w:val="00C54AF3"/>
    <w:rsid w:val="00C54F5A"/>
    <w:rsid w:val="00C569B4"/>
    <w:rsid w:val="00C57DDE"/>
    <w:rsid w:val="00C61468"/>
    <w:rsid w:val="00C61A97"/>
    <w:rsid w:val="00C61E44"/>
    <w:rsid w:val="00C64FF3"/>
    <w:rsid w:val="00C662AD"/>
    <w:rsid w:val="00C67A92"/>
    <w:rsid w:val="00C71280"/>
    <w:rsid w:val="00C717BF"/>
    <w:rsid w:val="00C76178"/>
    <w:rsid w:val="00C84560"/>
    <w:rsid w:val="00C86679"/>
    <w:rsid w:val="00C8792F"/>
    <w:rsid w:val="00C90472"/>
    <w:rsid w:val="00C91D6E"/>
    <w:rsid w:val="00CA489E"/>
    <w:rsid w:val="00CB0279"/>
    <w:rsid w:val="00CB666B"/>
    <w:rsid w:val="00CB734B"/>
    <w:rsid w:val="00CC058C"/>
    <w:rsid w:val="00CC41B6"/>
    <w:rsid w:val="00CC7ADA"/>
    <w:rsid w:val="00CC7F1D"/>
    <w:rsid w:val="00CD0A88"/>
    <w:rsid w:val="00CD125D"/>
    <w:rsid w:val="00CD283C"/>
    <w:rsid w:val="00CD3641"/>
    <w:rsid w:val="00CD66EA"/>
    <w:rsid w:val="00CD7432"/>
    <w:rsid w:val="00CE0FA5"/>
    <w:rsid w:val="00CE2A23"/>
    <w:rsid w:val="00CE31C8"/>
    <w:rsid w:val="00CE484B"/>
    <w:rsid w:val="00CE7CBA"/>
    <w:rsid w:val="00CF0DEE"/>
    <w:rsid w:val="00CF42AA"/>
    <w:rsid w:val="00CF5EAA"/>
    <w:rsid w:val="00CF6AE3"/>
    <w:rsid w:val="00CF77BB"/>
    <w:rsid w:val="00D006AE"/>
    <w:rsid w:val="00D00905"/>
    <w:rsid w:val="00D010C1"/>
    <w:rsid w:val="00D01CF0"/>
    <w:rsid w:val="00D0442A"/>
    <w:rsid w:val="00D12A7B"/>
    <w:rsid w:val="00D12ADB"/>
    <w:rsid w:val="00D15E63"/>
    <w:rsid w:val="00D25A39"/>
    <w:rsid w:val="00D27CFA"/>
    <w:rsid w:val="00D310FA"/>
    <w:rsid w:val="00D325C6"/>
    <w:rsid w:val="00D37213"/>
    <w:rsid w:val="00D4360D"/>
    <w:rsid w:val="00D5607F"/>
    <w:rsid w:val="00D61388"/>
    <w:rsid w:val="00D61A54"/>
    <w:rsid w:val="00D62108"/>
    <w:rsid w:val="00D64AA4"/>
    <w:rsid w:val="00D64DEA"/>
    <w:rsid w:val="00D64F84"/>
    <w:rsid w:val="00D663CD"/>
    <w:rsid w:val="00D6726A"/>
    <w:rsid w:val="00D7001B"/>
    <w:rsid w:val="00D7160D"/>
    <w:rsid w:val="00D7168E"/>
    <w:rsid w:val="00D71E57"/>
    <w:rsid w:val="00D72D27"/>
    <w:rsid w:val="00D7786B"/>
    <w:rsid w:val="00D80893"/>
    <w:rsid w:val="00D82519"/>
    <w:rsid w:val="00D84854"/>
    <w:rsid w:val="00D84ECF"/>
    <w:rsid w:val="00D924AE"/>
    <w:rsid w:val="00D92CF1"/>
    <w:rsid w:val="00D92D38"/>
    <w:rsid w:val="00D950F5"/>
    <w:rsid w:val="00D97379"/>
    <w:rsid w:val="00DA4752"/>
    <w:rsid w:val="00DA499A"/>
    <w:rsid w:val="00DA4C09"/>
    <w:rsid w:val="00DA61F3"/>
    <w:rsid w:val="00DA7CB3"/>
    <w:rsid w:val="00DB0D00"/>
    <w:rsid w:val="00DB0F93"/>
    <w:rsid w:val="00DB1A67"/>
    <w:rsid w:val="00DB3721"/>
    <w:rsid w:val="00DB5074"/>
    <w:rsid w:val="00DC0281"/>
    <w:rsid w:val="00DC1930"/>
    <w:rsid w:val="00DC1C76"/>
    <w:rsid w:val="00DC3165"/>
    <w:rsid w:val="00DC4DBF"/>
    <w:rsid w:val="00DC4E19"/>
    <w:rsid w:val="00DC65FE"/>
    <w:rsid w:val="00DC7981"/>
    <w:rsid w:val="00DD4C07"/>
    <w:rsid w:val="00DD577D"/>
    <w:rsid w:val="00DD5ADC"/>
    <w:rsid w:val="00DE1093"/>
    <w:rsid w:val="00DE4EFA"/>
    <w:rsid w:val="00DE5520"/>
    <w:rsid w:val="00DE563D"/>
    <w:rsid w:val="00DE7AB5"/>
    <w:rsid w:val="00DF0152"/>
    <w:rsid w:val="00DF1958"/>
    <w:rsid w:val="00E04818"/>
    <w:rsid w:val="00E06442"/>
    <w:rsid w:val="00E06952"/>
    <w:rsid w:val="00E11E61"/>
    <w:rsid w:val="00E157B2"/>
    <w:rsid w:val="00E16055"/>
    <w:rsid w:val="00E2332D"/>
    <w:rsid w:val="00E23993"/>
    <w:rsid w:val="00E2574F"/>
    <w:rsid w:val="00E25951"/>
    <w:rsid w:val="00E25B8C"/>
    <w:rsid w:val="00E31CF6"/>
    <w:rsid w:val="00E34A4A"/>
    <w:rsid w:val="00E35AFC"/>
    <w:rsid w:val="00E40C30"/>
    <w:rsid w:val="00E41D39"/>
    <w:rsid w:val="00E50A02"/>
    <w:rsid w:val="00E54106"/>
    <w:rsid w:val="00E54697"/>
    <w:rsid w:val="00E57A08"/>
    <w:rsid w:val="00E63631"/>
    <w:rsid w:val="00E64C2A"/>
    <w:rsid w:val="00E65C85"/>
    <w:rsid w:val="00E66199"/>
    <w:rsid w:val="00E70526"/>
    <w:rsid w:val="00E754B4"/>
    <w:rsid w:val="00E755EC"/>
    <w:rsid w:val="00E7624D"/>
    <w:rsid w:val="00E81724"/>
    <w:rsid w:val="00E819A4"/>
    <w:rsid w:val="00E833FA"/>
    <w:rsid w:val="00E84B74"/>
    <w:rsid w:val="00E87066"/>
    <w:rsid w:val="00E966BF"/>
    <w:rsid w:val="00EA0C04"/>
    <w:rsid w:val="00EA3D42"/>
    <w:rsid w:val="00EA6B1B"/>
    <w:rsid w:val="00EB1CBD"/>
    <w:rsid w:val="00EB3A34"/>
    <w:rsid w:val="00EB3C3F"/>
    <w:rsid w:val="00EC04F1"/>
    <w:rsid w:val="00EC237F"/>
    <w:rsid w:val="00EC573A"/>
    <w:rsid w:val="00ED35C8"/>
    <w:rsid w:val="00ED3968"/>
    <w:rsid w:val="00ED7323"/>
    <w:rsid w:val="00EE28F3"/>
    <w:rsid w:val="00EE50D1"/>
    <w:rsid w:val="00EE7614"/>
    <w:rsid w:val="00EF0110"/>
    <w:rsid w:val="00EF5110"/>
    <w:rsid w:val="00EF5890"/>
    <w:rsid w:val="00EF76BA"/>
    <w:rsid w:val="00F0231A"/>
    <w:rsid w:val="00F03463"/>
    <w:rsid w:val="00F036B7"/>
    <w:rsid w:val="00F0700F"/>
    <w:rsid w:val="00F077F1"/>
    <w:rsid w:val="00F07F1F"/>
    <w:rsid w:val="00F10411"/>
    <w:rsid w:val="00F10A9A"/>
    <w:rsid w:val="00F11B2D"/>
    <w:rsid w:val="00F1216A"/>
    <w:rsid w:val="00F121C2"/>
    <w:rsid w:val="00F1485B"/>
    <w:rsid w:val="00F15882"/>
    <w:rsid w:val="00F170C7"/>
    <w:rsid w:val="00F171E0"/>
    <w:rsid w:val="00F20BD3"/>
    <w:rsid w:val="00F322E9"/>
    <w:rsid w:val="00F3231B"/>
    <w:rsid w:val="00F33808"/>
    <w:rsid w:val="00F373A5"/>
    <w:rsid w:val="00F37864"/>
    <w:rsid w:val="00F404F9"/>
    <w:rsid w:val="00F44B0A"/>
    <w:rsid w:val="00F47559"/>
    <w:rsid w:val="00F50B30"/>
    <w:rsid w:val="00F51F5F"/>
    <w:rsid w:val="00F52D75"/>
    <w:rsid w:val="00F55582"/>
    <w:rsid w:val="00F57647"/>
    <w:rsid w:val="00F62A14"/>
    <w:rsid w:val="00F644AB"/>
    <w:rsid w:val="00F64C7B"/>
    <w:rsid w:val="00F676DD"/>
    <w:rsid w:val="00F67AB6"/>
    <w:rsid w:val="00F70028"/>
    <w:rsid w:val="00F70434"/>
    <w:rsid w:val="00F75A26"/>
    <w:rsid w:val="00F76706"/>
    <w:rsid w:val="00F77D6D"/>
    <w:rsid w:val="00F80206"/>
    <w:rsid w:val="00F83034"/>
    <w:rsid w:val="00F83FAD"/>
    <w:rsid w:val="00F844C6"/>
    <w:rsid w:val="00F92FA6"/>
    <w:rsid w:val="00F9353B"/>
    <w:rsid w:val="00F937F1"/>
    <w:rsid w:val="00F952A0"/>
    <w:rsid w:val="00FA31B1"/>
    <w:rsid w:val="00FA3320"/>
    <w:rsid w:val="00FA3C7F"/>
    <w:rsid w:val="00FA6246"/>
    <w:rsid w:val="00FB24ED"/>
    <w:rsid w:val="00FB3304"/>
    <w:rsid w:val="00FB5005"/>
    <w:rsid w:val="00FB60FE"/>
    <w:rsid w:val="00FB74E2"/>
    <w:rsid w:val="00FB778B"/>
    <w:rsid w:val="00FD5614"/>
    <w:rsid w:val="00FD5E78"/>
    <w:rsid w:val="00FE0BE1"/>
    <w:rsid w:val="00FE11BB"/>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27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footnote text" w:qFormat="1"/>
    <w:lsdException w:name="header" w:qFormat="1"/>
    <w:lsdException w:name="footer" w:qFormat="1"/>
    <w:lsdException w:name="caption" w:uiPriority="35" w:qFormat="1"/>
    <w:lsdException w:name="page number" w:uiPriority="0"/>
    <w:lsdException w:name="List" w:qFormat="1"/>
    <w:lsdException w:name="List Number" w:uiPriority="0" w:qFormat="1"/>
    <w:lsdException w:name="List Bullet 2" w:uiPriority="0" w:qFormat="1"/>
    <w:lsdException w:name="List Bullet 3" w:uiPriority="0" w:qFormat="1"/>
    <w:lsdException w:name="Title" w:semiHidden="0" w:uiPriority="10" w:unhideWhenUsed="0" w:qFormat="1"/>
    <w:lsdException w:name="Default Paragraph Font" w:uiPriority="1"/>
    <w:lsdException w:name="List Continue" w:uiPriority="0" w:qFormat="1"/>
    <w:lsdException w:name="List Continue 2" w:uiPriority="0" w:qFormat="1"/>
    <w:lsdException w:name="List Continue 3" w:uiPriority="0" w:qFormat="1"/>
    <w:lsdException w:name="Subtitle" w:semiHidden="0" w:uiPriority="11" w:unhideWhenUsed="0"/>
    <w:lsdException w:name="Hyperlink"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basedOn w:val="Heading1"/>
    <w:next w:val="Normal"/>
    <w:link w:val="Heading7Char"/>
    <w:uiPriority w:val="9"/>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uiPriority w:val="9"/>
    <w:qFormat/>
    <w:rsid w:val="00CB0279"/>
    <w:pPr>
      <w:numPr>
        <w:numId w:val="27"/>
      </w:numPr>
      <w:tabs>
        <w:tab w:val="clear" w:pos="680"/>
        <w:tab w:val="left" w:pos="1021"/>
      </w:tabs>
      <w:outlineLvl w:val="7"/>
    </w:pPr>
  </w:style>
  <w:style w:type="paragraph" w:styleId="Heading9">
    <w:name w:val="heading 9"/>
    <w:basedOn w:val="Heading3"/>
    <w:next w:val="Normal"/>
    <w:link w:val="Heading9Char"/>
    <w:uiPriority w:val="9"/>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uiPriority w:val="9"/>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uiPriority w:val="9"/>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uiPriority w:val="9"/>
    <w:rsid w:val="00126A4C"/>
    <w:rPr>
      <w:rFonts w:ascii="Arial" w:eastAsiaTheme="majorEastAsia" w:hAnsi="Arial" w:cstheme="majorBidi"/>
      <w:b/>
      <w:bCs/>
      <w:iCs/>
      <w:color w:val="51626F"/>
      <w:sz w:val="24"/>
    </w:rPr>
  </w:style>
  <w:style w:type="character" w:customStyle="1" w:styleId="Heading5Char">
    <w:name w:val="Heading 5 Char"/>
    <w:basedOn w:val="DefaultParagraphFont"/>
    <w:link w:val="Heading5"/>
    <w:uiPriority w:val="9"/>
    <w:rsid w:val="00126A4C"/>
    <w:rPr>
      <w:rFonts w:ascii="Arial" w:eastAsiaTheme="majorEastAsia" w:hAnsi="Arial" w:cstheme="majorBidi"/>
      <w:b/>
      <w:color w:val="170017" w:themeColor="accent1" w:themeShade="7F"/>
    </w:rPr>
  </w:style>
  <w:style w:type="character" w:customStyle="1" w:styleId="Heading6Char">
    <w:name w:val="Heading 6 Char"/>
    <w:basedOn w:val="DefaultParagraphFont"/>
    <w:link w:val="Heading6"/>
    <w:uiPriority w:val="9"/>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uiPriority w:val="39"/>
    <w:rsid w:val="005D7BA2"/>
    <w:pPr>
      <w:tabs>
        <w:tab w:val="right" w:leader="dot" w:pos="8363"/>
      </w:tabs>
      <w:spacing w:after="100"/>
      <w:ind w:left="2977"/>
    </w:pPr>
    <w:rPr>
      <w:noProof/>
    </w:rPr>
  </w:style>
  <w:style w:type="paragraph" w:styleId="TOC9">
    <w:name w:val="toc 9"/>
    <w:basedOn w:val="Normal"/>
    <w:next w:val="Normal"/>
    <w:uiPriority w:val="39"/>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iPriority w:val="99"/>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iPriority w:val="99"/>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basedOn w:val="DefaultParagraphFont"/>
    <w:link w:val="Heading7"/>
    <w:uiPriority w:val="9"/>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uiPriority w:val="9"/>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uiPriority w:val="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iPriority w:val="99"/>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uiPriority w:val="39"/>
    <w:rsid w:val="005D7BA2"/>
    <w:pPr>
      <w:tabs>
        <w:tab w:val="right" w:leader="dot" w:pos="8363"/>
      </w:tabs>
      <w:spacing w:after="100"/>
      <w:ind w:left="1276"/>
    </w:pPr>
    <w:rPr>
      <w:noProof/>
    </w:rPr>
  </w:style>
  <w:style w:type="paragraph" w:styleId="TOC5">
    <w:name w:val="toc 5"/>
    <w:basedOn w:val="Normal"/>
    <w:next w:val="Normal"/>
    <w:uiPriority w:val="39"/>
    <w:rsid w:val="005D7BA2"/>
    <w:pPr>
      <w:tabs>
        <w:tab w:val="right" w:leader="dot" w:pos="8363"/>
      </w:tabs>
      <w:spacing w:after="100"/>
      <w:ind w:left="1701"/>
    </w:pPr>
    <w:rPr>
      <w:noProof/>
    </w:rPr>
  </w:style>
  <w:style w:type="paragraph" w:styleId="TOC6">
    <w:name w:val="toc 6"/>
    <w:basedOn w:val="Normal"/>
    <w:next w:val="Normal"/>
    <w:uiPriority w:val="39"/>
    <w:rsid w:val="005D7BA2"/>
    <w:pPr>
      <w:tabs>
        <w:tab w:val="right" w:leader="dot" w:pos="8363"/>
      </w:tabs>
      <w:spacing w:after="100"/>
      <w:ind w:left="2126"/>
    </w:pPr>
    <w:rPr>
      <w:noProof/>
    </w:rPr>
  </w:style>
  <w:style w:type="paragraph" w:styleId="TOC7">
    <w:name w:val="toc 7"/>
    <w:basedOn w:val="Normal"/>
    <w:next w:val="Normal"/>
    <w:uiPriority w:val="39"/>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iPriority w:val="35"/>
    <w:unhideWhenUsed/>
    <w:qFormat/>
    <w:rsid w:val="0066104A"/>
    <w:pPr>
      <w:keepNext/>
      <w:spacing w:before="240" w:after="120"/>
    </w:pPr>
    <w:rPr>
      <w:b/>
      <w:bCs/>
      <w:color w:val="076A92" w:themeColor="text1"/>
      <w:sz w:val="24"/>
      <w:szCs w:val="18"/>
    </w:rPr>
  </w:style>
  <w:style w:type="paragraph" w:styleId="List">
    <w:name w:val="List"/>
    <w:basedOn w:val="Normal"/>
    <w:uiPriority w:val="99"/>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iPriority w:val="99"/>
    <w:semiHidden/>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iPriority w:val="99"/>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iPriority w:val="99"/>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iPriority w:val="99"/>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semiHidden/>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uiPriority w:val="99"/>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AD7A3A"/>
    <w:pPr>
      <w:spacing w:before="0" w:after="240" w:line="288" w:lineRule="auto"/>
      <w:jc w:val="both"/>
    </w:pPr>
    <w:rPr>
      <w:rFonts w:ascii="Times New Roman" w:eastAsia="Calibri" w:hAnsi="Times New Roman" w:cs="Times New Roman"/>
      <w:sz w:val="24"/>
      <w:szCs w:val="24"/>
    </w:rPr>
  </w:style>
  <w:style w:type="paragraph" w:styleId="PlainText">
    <w:name w:val="Plain Text"/>
    <w:basedOn w:val="Normal"/>
    <w:link w:val="PlainTextChar"/>
    <w:uiPriority w:val="99"/>
    <w:unhideWhenUsed/>
    <w:rsid w:val="00AD7A3A"/>
    <w:pPr>
      <w:spacing w:before="0" w:after="100" w:afterAutospacing="1" w:line="240" w:lineRule="auto"/>
    </w:pPr>
    <w:rPr>
      <w:rFonts w:ascii="Verdana" w:eastAsia="Times New Roman" w:hAnsi="Verdana" w:cs="Times New Roman"/>
      <w:sz w:val="24"/>
      <w:szCs w:val="24"/>
      <w:lang w:eastAsia="en-AU"/>
    </w:rPr>
  </w:style>
  <w:style w:type="character" w:customStyle="1" w:styleId="PlainTextChar">
    <w:name w:val="Plain Text Char"/>
    <w:basedOn w:val="DefaultParagraphFont"/>
    <w:link w:val="PlainText"/>
    <w:uiPriority w:val="99"/>
    <w:rsid w:val="00AD7A3A"/>
    <w:rPr>
      <w:rFonts w:ascii="Verdana" w:eastAsia="Times New Roman" w:hAnsi="Verdana" w:cs="Times New Roman"/>
      <w:sz w:val="24"/>
      <w:szCs w:val="24"/>
      <w:lang w:eastAsia="en-AU"/>
    </w:rPr>
  </w:style>
  <w:style w:type="paragraph" w:styleId="BodyText">
    <w:name w:val="Body Text"/>
    <w:basedOn w:val="Normal"/>
    <w:link w:val="BodyTextChar"/>
    <w:uiPriority w:val="99"/>
    <w:semiHidden/>
    <w:unhideWhenUsed/>
    <w:rsid w:val="00AD7A3A"/>
    <w:pPr>
      <w:spacing w:before="0" w:after="120" w:line="288" w:lineRule="auto"/>
      <w:jc w:val="both"/>
    </w:pPr>
    <w:rPr>
      <w:rFonts w:ascii="Gautami" w:eastAsia="Calibri" w:hAnsi="Gautami" w:cs="Times New Roman"/>
      <w:sz w:val="20"/>
      <w:szCs w:val="20"/>
    </w:rPr>
  </w:style>
  <w:style w:type="character" w:customStyle="1" w:styleId="BodyTextChar">
    <w:name w:val="Body Text Char"/>
    <w:basedOn w:val="DefaultParagraphFont"/>
    <w:link w:val="BodyText"/>
    <w:uiPriority w:val="99"/>
    <w:semiHidden/>
    <w:rsid w:val="00AD7A3A"/>
    <w:rPr>
      <w:rFonts w:ascii="Gautami" w:eastAsia="Calibri" w:hAnsi="Gautami"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5823670">
      <w:bodyDiv w:val="1"/>
      <w:marLeft w:val="0"/>
      <w:marRight w:val="0"/>
      <w:marTop w:val="0"/>
      <w:marBottom w:val="0"/>
      <w:divBdr>
        <w:top w:val="none" w:sz="0" w:space="0" w:color="auto"/>
        <w:left w:val="none" w:sz="0" w:space="0" w:color="auto"/>
        <w:bottom w:val="none" w:sz="0" w:space="0" w:color="auto"/>
        <w:right w:val="none" w:sz="0" w:space="0" w:color="auto"/>
      </w:divBdr>
    </w:div>
    <w:div w:id="456605257">
      <w:bodyDiv w:val="1"/>
      <w:marLeft w:val="0"/>
      <w:marRight w:val="0"/>
      <w:marTop w:val="0"/>
      <w:marBottom w:val="0"/>
      <w:divBdr>
        <w:top w:val="none" w:sz="0" w:space="0" w:color="auto"/>
        <w:left w:val="none" w:sz="0" w:space="0" w:color="auto"/>
        <w:bottom w:val="none" w:sz="0" w:space="0" w:color="auto"/>
        <w:right w:val="none" w:sz="0" w:space="0" w:color="auto"/>
      </w:divBdr>
    </w:div>
    <w:div w:id="488448612">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834535643">
      <w:bodyDiv w:val="1"/>
      <w:marLeft w:val="0"/>
      <w:marRight w:val="0"/>
      <w:marTop w:val="0"/>
      <w:marBottom w:val="0"/>
      <w:divBdr>
        <w:top w:val="none" w:sz="0" w:space="0" w:color="auto"/>
        <w:left w:val="none" w:sz="0" w:space="0" w:color="auto"/>
        <w:bottom w:val="none" w:sz="0" w:space="0" w:color="auto"/>
        <w:right w:val="none" w:sz="0" w:space="0" w:color="auto"/>
      </w:divBdr>
    </w:div>
    <w:div w:id="983241265">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9744065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footer" Target="footer6.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AERInquiry@aer.gov.au" TargetMode="External"/><Relationship Id="rId5" Type="http://schemas.openxmlformats.org/officeDocument/2006/relationships/settings" Target="settings.xml"/><Relationship Id="rId15" Type="http://schemas.openxmlformats.org/officeDocument/2006/relationships/footer" Target="footer2.xml"/><Relationship Id="rId23" Type="http://schemas.openxmlformats.org/officeDocument/2006/relationships/theme" Target="theme/theme1.xml"/><Relationship Id="rId10" Type="http://schemas.openxmlformats.org/officeDocument/2006/relationships/image" Target="media/image2.jpeg"/><Relationship Id="rId19" Type="http://schemas.openxmlformats.org/officeDocument/2006/relationships/footer" Target="footer4.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1.xml"/><Relationship Id="rId22"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www.aemc.gov.au/Major-Pages/Power-of-choice" TargetMode="External"/></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CoverPageProperties xmlns="http://schemas.microsoft.com/office/2006/coverPageProps">
  <PublishDate/>
  <Abstract/>
  <CompanyAddress/>
  <CompanyPhone/>
  <CompanyFax/>
  <CompanyEmail/>
</CoverPage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docProps/app.xml><?xml version="1.0" encoding="utf-8"?>
<Properties xmlns="http://schemas.openxmlformats.org/officeDocument/2006/extended-properties" xmlns:vt="http://schemas.openxmlformats.org/officeDocument/2006/docPropsVTypes">
  <Template>2FB32569.dotm</Template>
  <TotalTime>0</TotalTime>
  <Pages>9</Pages>
  <Words>1566</Words>
  <Characters>8930</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AER draft decision - TasNetworks - Attachment 12 - DMIS</vt:lpstr>
    </vt:vector>
  </TitlesOfParts>
  <LinksUpToDate>false</LinksUpToDate>
  <CharactersWithSpaces>10476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AER draft decision - TasNetworks - Attachment 12 - DMIS</dc:title>
  <dc:creator/>
  <cp:lastModifiedBy/>
  <cp:revision>1</cp:revision>
  <dcterms:created xsi:type="dcterms:W3CDTF">2016-09-28T01:55:00Z</dcterms:created>
  <dcterms:modified xsi:type="dcterms:W3CDTF">2016-09-28T01:55:00Z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rrfile">
    <vt:lpwstr>\\cdchnas-evs02\home$\mleco\aer - draft decision tasnetworks distribution determination - attachment 12 - dmis - september 2016 (D2015-00170678).docx</vt:lpwstr>
  </property>
</Properties>
</file>