
<file path=[Content_Types].xml><?xml version="1.0" encoding="utf-8"?>
<Types xmlns="http://schemas.openxmlformats.org/package/2006/content-types">
  <Default Extension="bin" ContentType="application/vnd.openxmlformats-officedocument.oleObject"/>
  <Default Extension="tmp"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7E0C765D" wp14:editId="3F25D10F">
                <wp:simplePos x="0" y="0"/>
                <wp:positionH relativeFrom="column">
                  <wp:posOffset>-1116330</wp:posOffset>
                </wp:positionH>
                <wp:positionV relativeFrom="paragraph">
                  <wp:posOffset>-1076184</wp:posOffset>
                </wp:positionV>
                <wp:extent cx="7734300" cy="10932441"/>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34300" cy="10932441"/>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1DA1070A" wp14:editId="4597C1DB">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0474DF">
            <w:t>DRAFT</w:t>
          </w:r>
          <w:r w:rsidR="00DA4752">
            <w:t xml:space="preserve"> DECISION</w:t>
          </w:r>
        </w:p>
        <w:p w:rsidR="00415F31" w:rsidRDefault="004523B2" w:rsidP="008F07A3">
          <w:pPr>
            <w:pStyle w:val="ReportSubtitle"/>
          </w:pPr>
          <w:r>
            <w:t>TasNetworks distribution</w:t>
          </w:r>
          <w:r w:rsidR="00415F31">
            <w:t xml:space="preserve"> </w:t>
          </w:r>
          <w:r w:rsidR="00DA4752">
            <w:t>determination</w:t>
          </w:r>
        </w:p>
        <w:p w:rsidR="000A6C7B" w:rsidRDefault="00DA4752" w:rsidP="008F07A3">
          <w:pPr>
            <w:pStyle w:val="ReportSubtitle"/>
          </w:pPr>
          <w:r>
            <w:t xml:space="preserve"> 201</w:t>
          </w:r>
          <w:r w:rsidR="000474DF">
            <w:t>7</w:t>
          </w:r>
          <w:r>
            <w:rPr>
              <w:rFonts w:cs="Arial"/>
            </w:rPr>
            <w:t>−</w:t>
          </w:r>
          <w:r>
            <w:t>1</w:t>
          </w:r>
          <w:r w:rsidR="000474DF">
            <w:t>8 to 20</w:t>
          </w:r>
          <w:r w:rsidR="004523B2">
            <w:t>18</w:t>
          </w:r>
          <w:r>
            <w:rPr>
              <w:rFonts w:cs="Arial"/>
            </w:rPr>
            <w:t>−</w:t>
          </w:r>
          <w:r w:rsidR="004523B2">
            <w:t>19</w:t>
          </w:r>
        </w:p>
        <w:p w:rsidR="008F07A3" w:rsidRPr="000A6C7B" w:rsidRDefault="008F07A3" w:rsidP="008F07A3">
          <w:pPr>
            <w:pStyle w:val="ReportSubtitle"/>
          </w:pPr>
        </w:p>
        <w:p w:rsidR="000A6C7B" w:rsidRDefault="0037699E" w:rsidP="008F07A3">
          <w:pPr>
            <w:pStyle w:val="ReportSubtitle"/>
          </w:pPr>
          <w:r>
            <w:t xml:space="preserve">Attachment </w:t>
          </w:r>
          <w:r w:rsidR="00471BC6">
            <w:t>1</w:t>
          </w:r>
          <w:r w:rsidR="004B6269">
            <w:t>6</w:t>
          </w:r>
          <w:r w:rsidR="000474DF">
            <w:t xml:space="preserve"> </w:t>
          </w:r>
          <w:r w:rsidR="00185BA5">
            <w:t>–</w:t>
          </w:r>
          <w:r w:rsidR="000474DF">
            <w:t xml:space="preserve"> </w:t>
          </w:r>
          <w:r w:rsidR="004B6269">
            <w:t>Alternative control services</w:t>
          </w:r>
        </w:p>
        <w:p w:rsidR="000A6C7B" w:rsidRPr="00327A1E" w:rsidRDefault="000474DF" w:rsidP="00327A1E">
          <w:pPr>
            <w:pStyle w:val="ReportDate"/>
          </w:pPr>
          <w:r>
            <w:t>September 2016</w:t>
          </w:r>
        </w:p>
      </w:sdtContent>
    </w:sdt>
    <w:p w:rsidR="00327A1E" w:rsidRPr="00290C63" w:rsidRDefault="00327A1E" w:rsidP="00290C63">
      <w:r>
        <w:br w:type="page"/>
      </w:r>
    </w:p>
    <w:p w:rsidR="00CE2A23" w:rsidRDefault="00CE2A23" w:rsidP="00761454">
      <w:bookmarkStart w:id="0"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 xml:space="preserve">Tel: </w:t>
      </w:r>
      <w:r w:rsidR="00F8269D">
        <w:t>1300 5</w:t>
      </w:r>
      <w:r w:rsidR="00363014">
        <w:t>8</w:t>
      </w:r>
      <w:bookmarkStart w:id="1" w:name="_GoBack"/>
      <w:bookmarkEnd w:id="1"/>
      <w:r w:rsidR="00F8269D">
        <w:t>5 165</w:t>
      </w:r>
      <w:r>
        <w:br/>
        <w:t xml:space="preserve">Email: </w:t>
      </w:r>
      <w:hyperlink r:id="rId11"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62755659"/>
      <w:r>
        <w:lastRenderedPageBreak/>
        <w:t>Note</w:t>
      </w:r>
      <w:bookmarkEnd w:id="2"/>
      <w:bookmarkEnd w:id="3"/>
      <w:bookmarkEnd w:id="4"/>
    </w:p>
    <w:p w:rsidR="00761454" w:rsidRDefault="00761454" w:rsidP="00761454">
      <w:pPr>
        <w:numPr>
          <w:ilvl w:val="0"/>
          <w:numId w:val="24"/>
        </w:numPr>
      </w:pPr>
      <w:r>
        <w:t xml:space="preserve">This </w:t>
      </w:r>
      <w:r w:rsidR="00F8269D">
        <w:t>attachment</w:t>
      </w:r>
      <w:r>
        <w:t xml:space="preserve"> forms part of the AER's </w:t>
      </w:r>
      <w:r w:rsidR="000474DF">
        <w:t xml:space="preserve">draft </w:t>
      </w:r>
      <w:r>
        <w:t xml:space="preserve">decision on </w:t>
      </w:r>
      <w:r w:rsidR="004523B2">
        <w:t>TasNetworks' distribution</w:t>
      </w:r>
      <w:r>
        <w:t xml:space="preserve"> determination for 201</w:t>
      </w:r>
      <w:r w:rsidR="000474DF">
        <w:t>7</w:t>
      </w:r>
      <w:r w:rsidRPr="00F02D30">
        <w:t>–</w:t>
      </w:r>
      <w:r w:rsidR="004523B2">
        <w:t>19</w:t>
      </w:r>
      <w:r>
        <w:t xml:space="preserve">. It should be read with </w:t>
      </w:r>
      <w:r w:rsidR="000474DF">
        <w:t xml:space="preserve">all </w:t>
      </w:r>
      <w:r>
        <w:t xml:space="preserve">other parts of the </w:t>
      </w:r>
      <w:r w:rsidR="000474DF">
        <w:t>draft</w:t>
      </w:r>
      <w:r>
        <w:t xml:space="preserve"> decision.</w:t>
      </w:r>
    </w:p>
    <w:p w:rsidR="00761454" w:rsidRDefault="00761454" w:rsidP="00761454">
      <w:pPr>
        <w:numPr>
          <w:ilvl w:val="0"/>
          <w:numId w:val="24"/>
        </w:numPr>
      </w:pPr>
      <w:r>
        <w:t xml:space="preserve">The </w:t>
      </w:r>
      <w:r w:rsidR="000474DF">
        <w:t>draft</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Attachment 18 – Connection policy</w:t>
      </w:r>
    </w:p>
    <w:p w:rsidR="00F8269D" w:rsidRDefault="00F8269D" w:rsidP="00761454">
      <w:pPr>
        <w:numPr>
          <w:ilvl w:val="0"/>
          <w:numId w:val="24"/>
        </w:numPr>
      </w:pPr>
      <w:r>
        <w:t>Attachment 19 – Tariff structure statement</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headerReference w:type="even" r:id="rId12"/>
          <w:headerReference w:type="default" r:id="rId13"/>
          <w:footerReference w:type="even" r:id="rId14"/>
          <w:footerReference w:type="default" r:id="rId15"/>
          <w:headerReference w:type="first" r:id="rId16"/>
          <w:footerReference w:type="first" r:id="rId17"/>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62755660"/>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0C061E"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62755659" w:history="1">
            <w:r w:rsidR="000C061E" w:rsidRPr="006459A2">
              <w:rPr>
                <w:rStyle w:val="Hyperlink"/>
              </w:rPr>
              <w:t>Note</w:t>
            </w:r>
            <w:r w:rsidR="000C061E">
              <w:rPr>
                <w:webHidden/>
              </w:rPr>
              <w:tab/>
            </w:r>
            <w:r w:rsidR="000C061E">
              <w:rPr>
                <w:webHidden/>
              </w:rPr>
              <w:fldChar w:fldCharType="begin"/>
            </w:r>
            <w:r w:rsidR="000C061E">
              <w:rPr>
                <w:webHidden/>
              </w:rPr>
              <w:instrText xml:space="preserve"> PAGEREF _Toc462755659 \h </w:instrText>
            </w:r>
            <w:r w:rsidR="000C061E">
              <w:rPr>
                <w:webHidden/>
              </w:rPr>
            </w:r>
            <w:r w:rsidR="000C061E">
              <w:rPr>
                <w:webHidden/>
              </w:rPr>
              <w:fldChar w:fldCharType="separate"/>
            </w:r>
            <w:r w:rsidR="000C061E">
              <w:rPr>
                <w:webHidden/>
              </w:rPr>
              <w:t>16-2</w:t>
            </w:r>
            <w:r w:rsidR="000C061E">
              <w:rPr>
                <w:webHidden/>
              </w:rPr>
              <w:fldChar w:fldCharType="end"/>
            </w:r>
          </w:hyperlink>
        </w:p>
        <w:p w:rsidR="000C061E" w:rsidRDefault="00E639DB">
          <w:pPr>
            <w:pStyle w:val="TOC1"/>
            <w:rPr>
              <w:rFonts w:asciiTheme="minorHAnsi" w:eastAsiaTheme="minorEastAsia" w:hAnsiTheme="minorHAnsi"/>
              <w:b w:val="0"/>
              <w:color w:val="auto"/>
              <w:sz w:val="22"/>
              <w:lang w:val="en-AU" w:eastAsia="en-AU"/>
            </w:rPr>
          </w:pPr>
          <w:hyperlink w:anchor="_Toc462755660" w:history="1">
            <w:r w:rsidR="000C061E" w:rsidRPr="006459A2">
              <w:rPr>
                <w:rStyle w:val="Hyperlink"/>
              </w:rPr>
              <w:t>Contents</w:t>
            </w:r>
            <w:r w:rsidR="000C061E">
              <w:rPr>
                <w:webHidden/>
              </w:rPr>
              <w:tab/>
            </w:r>
            <w:r w:rsidR="000C061E">
              <w:rPr>
                <w:webHidden/>
              </w:rPr>
              <w:fldChar w:fldCharType="begin"/>
            </w:r>
            <w:r w:rsidR="000C061E">
              <w:rPr>
                <w:webHidden/>
              </w:rPr>
              <w:instrText xml:space="preserve"> PAGEREF _Toc462755660 \h </w:instrText>
            </w:r>
            <w:r w:rsidR="000C061E">
              <w:rPr>
                <w:webHidden/>
              </w:rPr>
            </w:r>
            <w:r w:rsidR="000C061E">
              <w:rPr>
                <w:webHidden/>
              </w:rPr>
              <w:fldChar w:fldCharType="separate"/>
            </w:r>
            <w:r w:rsidR="000C061E">
              <w:rPr>
                <w:webHidden/>
              </w:rPr>
              <w:t>16-3</w:t>
            </w:r>
            <w:r w:rsidR="000C061E">
              <w:rPr>
                <w:webHidden/>
              </w:rPr>
              <w:fldChar w:fldCharType="end"/>
            </w:r>
          </w:hyperlink>
        </w:p>
        <w:p w:rsidR="000C061E" w:rsidRDefault="00E639DB">
          <w:pPr>
            <w:pStyle w:val="TOC1"/>
            <w:rPr>
              <w:rFonts w:asciiTheme="minorHAnsi" w:eastAsiaTheme="minorEastAsia" w:hAnsiTheme="minorHAnsi"/>
              <w:b w:val="0"/>
              <w:color w:val="auto"/>
              <w:sz w:val="22"/>
              <w:lang w:val="en-AU" w:eastAsia="en-AU"/>
            </w:rPr>
          </w:pPr>
          <w:hyperlink w:anchor="_Toc462755661" w:history="1">
            <w:r w:rsidR="000C061E" w:rsidRPr="006459A2">
              <w:rPr>
                <w:rStyle w:val="Hyperlink"/>
              </w:rPr>
              <w:t>Shortened forms</w:t>
            </w:r>
            <w:r w:rsidR="000C061E">
              <w:rPr>
                <w:webHidden/>
              </w:rPr>
              <w:tab/>
            </w:r>
            <w:r w:rsidR="000C061E">
              <w:rPr>
                <w:webHidden/>
              </w:rPr>
              <w:fldChar w:fldCharType="begin"/>
            </w:r>
            <w:r w:rsidR="000C061E">
              <w:rPr>
                <w:webHidden/>
              </w:rPr>
              <w:instrText xml:space="preserve"> PAGEREF _Toc462755661 \h </w:instrText>
            </w:r>
            <w:r w:rsidR="000C061E">
              <w:rPr>
                <w:webHidden/>
              </w:rPr>
            </w:r>
            <w:r w:rsidR="000C061E">
              <w:rPr>
                <w:webHidden/>
              </w:rPr>
              <w:fldChar w:fldCharType="separate"/>
            </w:r>
            <w:r w:rsidR="000C061E">
              <w:rPr>
                <w:webHidden/>
              </w:rPr>
              <w:t>16-4</w:t>
            </w:r>
            <w:r w:rsidR="000C061E">
              <w:rPr>
                <w:webHidden/>
              </w:rPr>
              <w:fldChar w:fldCharType="end"/>
            </w:r>
          </w:hyperlink>
        </w:p>
        <w:p w:rsidR="000C061E" w:rsidRDefault="00E639DB">
          <w:pPr>
            <w:pStyle w:val="TOC1"/>
            <w:rPr>
              <w:rFonts w:asciiTheme="minorHAnsi" w:eastAsiaTheme="minorEastAsia" w:hAnsiTheme="minorHAnsi"/>
              <w:b w:val="0"/>
              <w:color w:val="auto"/>
              <w:sz w:val="22"/>
              <w:lang w:val="en-AU" w:eastAsia="en-AU"/>
            </w:rPr>
          </w:pPr>
          <w:hyperlink w:anchor="_Toc462755662" w:history="1">
            <w:r w:rsidR="000C061E" w:rsidRPr="006459A2">
              <w:rPr>
                <w:rStyle w:val="Hyperlink"/>
              </w:rPr>
              <w:t>16</w:t>
            </w:r>
            <w:r w:rsidR="000C061E">
              <w:rPr>
                <w:rFonts w:asciiTheme="minorHAnsi" w:eastAsiaTheme="minorEastAsia" w:hAnsiTheme="minorHAnsi"/>
                <w:b w:val="0"/>
                <w:color w:val="auto"/>
                <w:sz w:val="22"/>
                <w:lang w:val="en-AU" w:eastAsia="en-AU"/>
              </w:rPr>
              <w:tab/>
            </w:r>
            <w:r w:rsidR="000C061E" w:rsidRPr="006459A2">
              <w:rPr>
                <w:rStyle w:val="Hyperlink"/>
              </w:rPr>
              <w:t>Alternative control services</w:t>
            </w:r>
            <w:r w:rsidR="000C061E">
              <w:rPr>
                <w:webHidden/>
              </w:rPr>
              <w:tab/>
            </w:r>
            <w:r w:rsidR="000C061E">
              <w:rPr>
                <w:webHidden/>
              </w:rPr>
              <w:fldChar w:fldCharType="begin"/>
            </w:r>
            <w:r w:rsidR="000C061E">
              <w:rPr>
                <w:webHidden/>
              </w:rPr>
              <w:instrText xml:space="preserve"> PAGEREF _Toc462755662 \h </w:instrText>
            </w:r>
            <w:r w:rsidR="000C061E">
              <w:rPr>
                <w:webHidden/>
              </w:rPr>
            </w:r>
            <w:r w:rsidR="000C061E">
              <w:rPr>
                <w:webHidden/>
              </w:rPr>
              <w:fldChar w:fldCharType="separate"/>
            </w:r>
            <w:r w:rsidR="000C061E">
              <w:rPr>
                <w:webHidden/>
              </w:rPr>
              <w:t>16-6</w:t>
            </w:r>
            <w:r w:rsidR="000C061E">
              <w:rPr>
                <w:webHidden/>
              </w:rPr>
              <w:fldChar w:fldCharType="end"/>
            </w:r>
          </w:hyperlink>
        </w:p>
        <w:p w:rsidR="000C061E" w:rsidRDefault="00E639DB">
          <w:pPr>
            <w:pStyle w:val="TOC2"/>
            <w:tabs>
              <w:tab w:val="left" w:pos="1276"/>
            </w:tabs>
            <w:rPr>
              <w:rFonts w:asciiTheme="minorHAnsi" w:eastAsiaTheme="minorEastAsia" w:hAnsiTheme="minorHAnsi"/>
              <w:b w:val="0"/>
              <w:color w:val="auto"/>
              <w:sz w:val="22"/>
              <w:lang w:eastAsia="en-AU"/>
            </w:rPr>
          </w:pPr>
          <w:hyperlink w:anchor="_Toc462755663" w:history="1">
            <w:r w:rsidR="000C061E" w:rsidRPr="006459A2">
              <w:rPr>
                <w:rStyle w:val="Hyperlink"/>
              </w:rPr>
              <w:t>16.1</w:t>
            </w:r>
            <w:r w:rsidR="000C061E">
              <w:rPr>
                <w:rFonts w:asciiTheme="minorHAnsi" w:eastAsiaTheme="minorEastAsia" w:hAnsiTheme="minorHAnsi"/>
                <w:b w:val="0"/>
                <w:color w:val="auto"/>
                <w:sz w:val="22"/>
                <w:lang w:eastAsia="en-AU"/>
              </w:rPr>
              <w:tab/>
            </w:r>
            <w:r w:rsidR="000C061E" w:rsidRPr="006459A2">
              <w:rPr>
                <w:rStyle w:val="Hyperlink"/>
              </w:rPr>
              <w:t>Ancillary network services</w:t>
            </w:r>
            <w:r w:rsidR="000C061E">
              <w:rPr>
                <w:webHidden/>
              </w:rPr>
              <w:tab/>
            </w:r>
            <w:r w:rsidR="000C061E">
              <w:rPr>
                <w:webHidden/>
              </w:rPr>
              <w:fldChar w:fldCharType="begin"/>
            </w:r>
            <w:r w:rsidR="000C061E">
              <w:rPr>
                <w:webHidden/>
              </w:rPr>
              <w:instrText xml:space="preserve"> PAGEREF _Toc462755663 \h </w:instrText>
            </w:r>
            <w:r w:rsidR="000C061E">
              <w:rPr>
                <w:webHidden/>
              </w:rPr>
            </w:r>
            <w:r w:rsidR="000C061E">
              <w:rPr>
                <w:webHidden/>
              </w:rPr>
              <w:fldChar w:fldCharType="separate"/>
            </w:r>
            <w:r w:rsidR="000C061E">
              <w:rPr>
                <w:webHidden/>
              </w:rPr>
              <w:t>16-6</w:t>
            </w:r>
            <w:r w:rsidR="000C061E">
              <w:rPr>
                <w:webHidden/>
              </w:rPr>
              <w:fldChar w:fldCharType="end"/>
            </w:r>
          </w:hyperlink>
        </w:p>
        <w:p w:rsidR="000C061E" w:rsidRDefault="00E639DB">
          <w:pPr>
            <w:pStyle w:val="TOC3"/>
            <w:rPr>
              <w:rFonts w:asciiTheme="minorHAnsi" w:eastAsiaTheme="minorEastAsia" w:hAnsiTheme="minorHAnsi"/>
              <w:lang w:eastAsia="en-AU"/>
            </w:rPr>
          </w:pPr>
          <w:hyperlink w:anchor="_Toc462755664" w:history="1">
            <w:r w:rsidR="000C061E" w:rsidRPr="006459A2">
              <w:rPr>
                <w:rStyle w:val="Hyperlink"/>
              </w:rPr>
              <w:t>16.1.1</w:t>
            </w:r>
            <w:r w:rsidR="000C061E">
              <w:rPr>
                <w:rFonts w:asciiTheme="minorHAnsi" w:eastAsiaTheme="minorEastAsia" w:hAnsiTheme="minorHAnsi"/>
                <w:lang w:eastAsia="en-AU"/>
              </w:rPr>
              <w:tab/>
            </w:r>
            <w:r w:rsidR="000C061E" w:rsidRPr="006459A2">
              <w:rPr>
                <w:rStyle w:val="Hyperlink"/>
              </w:rPr>
              <w:t>Draft decision</w:t>
            </w:r>
            <w:r w:rsidR="000C061E">
              <w:rPr>
                <w:webHidden/>
              </w:rPr>
              <w:tab/>
            </w:r>
            <w:r w:rsidR="000C061E">
              <w:rPr>
                <w:webHidden/>
              </w:rPr>
              <w:fldChar w:fldCharType="begin"/>
            </w:r>
            <w:r w:rsidR="000C061E">
              <w:rPr>
                <w:webHidden/>
              </w:rPr>
              <w:instrText xml:space="preserve"> PAGEREF _Toc462755664 \h </w:instrText>
            </w:r>
            <w:r w:rsidR="000C061E">
              <w:rPr>
                <w:webHidden/>
              </w:rPr>
            </w:r>
            <w:r w:rsidR="000C061E">
              <w:rPr>
                <w:webHidden/>
              </w:rPr>
              <w:fldChar w:fldCharType="separate"/>
            </w:r>
            <w:r w:rsidR="000C061E">
              <w:rPr>
                <w:webHidden/>
              </w:rPr>
              <w:t>16-6</w:t>
            </w:r>
            <w:r w:rsidR="000C061E">
              <w:rPr>
                <w:webHidden/>
              </w:rPr>
              <w:fldChar w:fldCharType="end"/>
            </w:r>
          </w:hyperlink>
        </w:p>
        <w:p w:rsidR="000C061E" w:rsidRDefault="00E639DB">
          <w:pPr>
            <w:pStyle w:val="TOC3"/>
            <w:rPr>
              <w:rFonts w:asciiTheme="minorHAnsi" w:eastAsiaTheme="minorEastAsia" w:hAnsiTheme="minorHAnsi"/>
              <w:lang w:eastAsia="en-AU"/>
            </w:rPr>
          </w:pPr>
          <w:hyperlink w:anchor="_Toc462755665" w:history="1">
            <w:r w:rsidR="000C061E" w:rsidRPr="006459A2">
              <w:rPr>
                <w:rStyle w:val="Hyperlink"/>
              </w:rPr>
              <w:t>16.1.2</w:t>
            </w:r>
            <w:r w:rsidR="000C061E">
              <w:rPr>
                <w:rFonts w:asciiTheme="minorHAnsi" w:eastAsiaTheme="minorEastAsia" w:hAnsiTheme="minorHAnsi"/>
                <w:lang w:eastAsia="en-AU"/>
              </w:rPr>
              <w:tab/>
            </w:r>
            <w:r w:rsidR="000C061E" w:rsidRPr="006459A2">
              <w:rPr>
                <w:rStyle w:val="Hyperlink"/>
              </w:rPr>
              <w:t>TasNetworks' proposal</w:t>
            </w:r>
            <w:r w:rsidR="000C061E">
              <w:rPr>
                <w:webHidden/>
              </w:rPr>
              <w:tab/>
            </w:r>
            <w:r w:rsidR="000C061E">
              <w:rPr>
                <w:webHidden/>
              </w:rPr>
              <w:fldChar w:fldCharType="begin"/>
            </w:r>
            <w:r w:rsidR="000C061E">
              <w:rPr>
                <w:webHidden/>
              </w:rPr>
              <w:instrText xml:space="preserve"> PAGEREF _Toc462755665 \h </w:instrText>
            </w:r>
            <w:r w:rsidR="000C061E">
              <w:rPr>
                <w:webHidden/>
              </w:rPr>
            </w:r>
            <w:r w:rsidR="000C061E">
              <w:rPr>
                <w:webHidden/>
              </w:rPr>
              <w:fldChar w:fldCharType="separate"/>
            </w:r>
            <w:r w:rsidR="000C061E">
              <w:rPr>
                <w:webHidden/>
              </w:rPr>
              <w:t>16-9</w:t>
            </w:r>
            <w:r w:rsidR="000C061E">
              <w:rPr>
                <w:webHidden/>
              </w:rPr>
              <w:fldChar w:fldCharType="end"/>
            </w:r>
          </w:hyperlink>
        </w:p>
        <w:p w:rsidR="000C061E" w:rsidRDefault="00E639DB">
          <w:pPr>
            <w:pStyle w:val="TOC3"/>
            <w:rPr>
              <w:rFonts w:asciiTheme="minorHAnsi" w:eastAsiaTheme="minorEastAsia" w:hAnsiTheme="minorHAnsi"/>
              <w:lang w:eastAsia="en-AU"/>
            </w:rPr>
          </w:pPr>
          <w:hyperlink w:anchor="_Toc462755666" w:history="1">
            <w:r w:rsidR="000C061E" w:rsidRPr="006459A2">
              <w:rPr>
                <w:rStyle w:val="Hyperlink"/>
              </w:rPr>
              <w:t>16.1.3</w:t>
            </w:r>
            <w:r w:rsidR="000C061E">
              <w:rPr>
                <w:rFonts w:asciiTheme="minorHAnsi" w:eastAsiaTheme="minorEastAsia" w:hAnsiTheme="minorHAnsi"/>
                <w:lang w:eastAsia="en-AU"/>
              </w:rPr>
              <w:tab/>
            </w:r>
            <w:r w:rsidR="000C061E" w:rsidRPr="006459A2">
              <w:rPr>
                <w:rStyle w:val="Hyperlink"/>
              </w:rPr>
              <w:t>Assessment approach</w:t>
            </w:r>
            <w:r w:rsidR="000C061E">
              <w:rPr>
                <w:webHidden/>
              </w:rPr>
              <w:tab/>
            </w:r>
            <w:r w:rsidR="000C061E">
              <w:rPr>
                <w:webHidden/>
              </w:rPr>
              <w:fldChar w:fldCharType="begin"/>
            </w:r>
            <w:r w:rsidR="000C061E">
              <w:rPr>
                <w:webHidden/>
              </w:rPr>
              <w:instrText xml:space="preserve"> PAGEREF _Toc462755666 \h </w:instrText>
            </w:r>
            <w:r w:rsidR="000C061E">
              <w:rPr>
                <w:webHidden/>
              </w:rPr>
            </w:r>
            <w:r w:rsidR="000C061E">
              <w:rPr>
                <w:webHidden/>
              </w:rPr>
              <w:fldChar w:fldCharType="separate"/>
            </w:r>
            <w:r w:rsidR="000C061E">
              <w:rPr>
                <w:webHidden/>
              </w:rPr>
              <w:t>16-10</w:t>
            </w:r>
            <w:r w:rsidR="000C061E">
              <w:rPr>
                <w:webHidden/>
              </w:rPr>
              <w:fldChar w:fldCharType="end"/>
            </w:r>
          </w:hyperlink>
        </w:p>
        <w:p w:rsidR="000C061E" w:rsidRDefault="00E639DB">
          <w:pPr>
            <w:pStyle w:val="TOC3"/>
            <w:rPr>
              <w:rFonts w:asciiTheme="minorHAnsi" w:eastAsiaTheme="minorEastAsia" w:hAnsiTheme="minorHAnsi"/>
              <w:lang w:eastAsia="en-AU"/>
            </w:rPr>
          </w:pPr>
          <w:hyperlink w:anchor="_Toc462755667" w:history="1">
            <w:r w:rsidR="000C061E" w:rsidRPr="006459A2">
              <w:rPr>
                <w:rStyle w:val="Hyperlink"/>
              </w:rPr>
              <w:t>16.1.4</w:t>
            </w:r>
            <w:r w:rsidR="000C061E">
              <w:rPr>
                <w:rFonts w:asciiTheme="minorHAnsi" w:eastAsiaTheme="minorEastAsia" w:hAnsiTheme="minorHAnsi"/>
                <w:lang w:eastAsia="en-AU"/>
              </w:rPr>
              <w:tab/>
            </w:r>
            <w:r w:rsidR="000C061E" w:rsidRPr="006459A2">
              <w:rPr>
                <w:rStyle w:val="Hyperlink"/>
              </w:rPr>
              <w:t>Reasons for draft decision</w:t>
            </w:r>
            <w:r w:rsidR="000C061E">
              <w:rPr>
                <w:webHidden/>
              </w:rPr>
              <w:tab/>
            </w:r>
            <w:r w:rsidR="000C061E">
              <w:rPr>
                <w:webHidden/>
              </w:rPr>
              <w:fldChar w:fldCharType="begin"/>
            </w:r>
            <w:r w:rsidR="000C061E">
              <w:rPr>
                <w:webHidden/>
              </w:rPr>
              <w:instrText xml:space="preserve"> PAGEREF _Toc462755667 \h </w:instrText>
            </w:r>
            <w:r w:rsidR="000C061E">
              <w:rPr>
                <w:webHidden/>
              </w:rPr>
            </w:r>
            <w:r w:rsidR="000C061E">
              <w:rPr>
                <w:webHidden/>
              </w:rPr>
              <w:fldChar w:fldCharType="separate"/>
            </w:r>
            <w:r w:rsidR="000C061E">
              <w:rPr>
                <w:webHidden/>
              </w:rPr>
              <w:t>16-11</w:t>
            </w:r>
            <w:r w:rsidR="000C061E">
              <w:rPr>
                <w:webHidden/>
              </w:rPr>
              <w:fldChar w:fldCharType="end"/>
            </w:r>
          </w:hyperlink>
        </w:p>
        <w:p w:rsidR="000C061E" w:rsidRDefault="00E639DB">
          <w:pPr>
            <w:pStyle w:val="TOC2"/>
            <w:tabs>
              <w:tab w:val="left" w:pos="1276"/>
            </w:tabs>
            <w:rPr>
              <w:rFonts w:asciiTheme="minorHAnsi" w:eastAsiaTheme="minorEastAsia" w:hAnsiTheme="minorHAnsi"/>
              <w:b w:val="0"/>
              <w:color w:val="auto"/>
              <w:sz w:val="22"/>
              <w:lang w:eastAsia="en-AU"/>
            </w:rPr>
          </w:pPr>
          <w:hyperlink w:anchor="_Toc462755668" w:history="1">
            <w:r w:rsidR="000C061E" w:rsidRPr="006459A2">
              <w:rPr>
                <w:rStyle w:val="Hyperlink"/>
              </w:rPr>
              <w:t>16.2</w:t>
            </w:r>
            <w:r w:rsidR="000C061E">
              <w:rPr>
                <w:rFonts w:asciiTheme="minorHAnsi" w:eastAsiaTheme="minorEastAsia" w:hAnsiTheme="minorHAnsi"/>
                <w:b w:val="0"/>
                <w:color w:val="auto"/>
                <w:sz w:val="22"/>
                <w:lang w:eastAsia="en-AU"/>
              </w:rPr>
              <w:tab/>
            </w:r>
            <w:r w:rsidR="000C061E" w:rsidRPr="006459A2">
              <w:rPr>
                <w:rStyle w:val="Hyperlink"/>
              </w:rPr>
              <w:t>Public lighting</w:t>
            </w:r>
            <w:r w:rsidR="000C061E">
              <w:rPr>
                <w:webHidden/>
              </w:rPr>
              <w:tab/>
            </w:r>
            <w:r w:rsidR="000C061E">
              <w:rPr>
                <w:webHidden/>
              </w:rPr>
              <w:fldChar w:fldCharType="begin"/>
            </w:r>
            <w:r w:rsidR="000C061E">
              <w:rPr>
                <w:webHidden/>
              </w:rPr>
              <w:instrText xml:space="preserve"> PAGEREF _Toc462755668 \h </w:instrText>
            </w:r>
            <w:r w:rsidR="000C061E">
              <w:rPr>
                <w:webHidden/>
              </w:rPr>
            </w:r>
            <w:r w:rsidR="000C061E">
              <w:rPr>
                <w:webHidden/>
              </w:rPr>
              <w:fldChar w:fldCharType="separate"/>
            </w:r>
            <w:r w:rsidR="000C061E">
              <w:rPr>
                <w:webHidden/>
              </w:rPr>
              <w:t>16-20</w:t>
            </w:r>
            <w:r w:rsidR="000C061E">
              <w:rPr>
                <w:webHidden/>
              </w:rPr>
              <w:fldChar w:fldCharType="end"/>
            </w:r>
          </w:hyperlink>
        </w:p>
        <w:p w:rsidR="000C061E" w:rsidRDefault="00E639DB">
          <w:pPr>
            <w:pStyle w:val="TOC3"/>
            <w:rPr>
              <w:rFonts w:asciiTheme="minorHAnsi" w:eastAsiaTheme="minorEastAsia" w:hAnsiTheme="minorHAnsi"/>
              <w:lang w:eastAsia="en-AU"/>
            </w:rPr>
          </w:pPr>
          <w:hyperlink w:anchor="_Toc462755669" w:history="1">
            <w:r w:rsidR="000C061E" w:rsidRPr="006459A2">
              <w:rPr>
                <w:rStyle w:val="Hyperlink"/>
              </w:rPr>
              <w:t>16.2.1</w:t>
            </w:r>
            <w:r w:rsidR="000C061E">
              <w:rPr>
                <w:rFonts w:asciiTheme="minorHAnsi" w:eastAsiaTheme="minorEastAsia" w:hAnsiTheme="minorHAnsi"/>
                <w:lang w:eastAsia="en-AU"/>
              </w:rPr>
              <w:tab/>
            </w:r>
            <w:r w:rsidR="000C061E" w:rsidRPr="006459A2">
              <w:rPr>
                <w:rStyle w:val="Hyperlink"/>
              </w:rPr>
              <w:t>Draft decision</w:t>
            </w:r>
            <w:r w:rsidR="000C061E">
              <w:rPr>
                <w:webHidden/>
              </w:rPr>
              <w:tab/>
            </w:r>
            <w:r w:rsidR="000C061E">
              <w:rPr>
                <w:webHidden/>
              </w:rPr>
              <w:fldChar w:fldCharType="begin"/>
            </w:r>
            <w:r w:rsidR="000C061E">
              <w:rPr>
                <w:webHidden/>
              </w:rPr>
              <w:instrText xml:space="preserve"> PAGEREF _Toc462755669 \h </w:instrText>
            </w:r>
            <w:r w:rsidR="000C061E">
              <w:rPr>
                <w:webHidden/>
              </w:rPr>
            </w:r>
            <w:r w:rsidR="000C061E">
              <w:rPr>
                <w:webHidden/>
              </w:rPr>
              <w:fldChar w:fldCharType="separate"/>
            </w:r>
            <w:r w:rsidR="000C061E">
              <w:rPr>
                <w:webHidden/>
              </w:rPr>
              <w:t>16-20</w:t>
            </w:r>
            <w:r w:rsidR="000C061E">
              <w:rPr>
                <w:webHidden/>
              </w:rPr>
              <w:fldChar w:fldCharType="end"/>
            </w:r>
          </w:hyperlink>
        </w:p>
        <w:p w:rsidR="000C061E" w:rsidRDefault="00E639DB">
          <w:pPr>
            <w:pStyle w:val="TOC3"/>
            <w:rPr>
              <w:rFonts w:asciiTheme="minorHAnsi" w:eastAsiaTheme="minorEastAsia" w:hAnsiTheme="minorHAnsi"/>
              <w:lang w:eastAsia="en-AU"/>
            </w:rPr>
          </w:pPr>
          <w:hyperlink w:anchor="_Toc462755670" w:history="1">
            <w:r w:rsidR="000C061E" w:rsidRPr="006459A2">
              <w:rPr>
                <w:rStyle w:val="Hyperlink"/>
              </w:rPr>
              <w:t>16.2.2</w:t>
            </w:r>
            <w:r w:rsidR="000C061E">
              <w:rPr>
                <w:rFonts w:asciiTheme="minorHAnsi" w:eastAsiaTheme="minorEastAsia" w:hAnsiTheme="minorHAnsi"/>
                <w:lang w:eastAsia="en-AU"/>
              </w:rPr>
              <w:tab/>
            </w:r>
            <w:r w:rsidR="000C061E" w:rsidRPr="006459A2">
              <w:rPr>
                <w:rStyle w:val="Hyperlink"/>
              </w:rPr>
              <w:t>TasNetworks' proposal</w:t>
            </w:r>
            <w:r w:rsidR="000C061E">
              <w:rPr>
                <w:webHidden/>
              </w:rPr>
              <w:tab/>
            </w:r>
            <w:r w:rsidR="000C061E">
              <w:rPr>
                <w:webHidden/>
              </w:rPr>
              <w:fldChar w:fldCharType="begin"/>
            </w:r>
            <w:r w:rsidR="000C061E">
              <w:rPr>
                <w:webHidden/>
              </w:rPr>
              <w:instrText xml:space="preserve"> PAGEREF _Toc462755670 \h </w:instrText>
            </w:r>
            <w:r w:rsidR="000C061E">
              <w:rPr>
                <w:webHidden/>
              </w:rPr>
            </w:r>
            <w:r w:rsidR="000C061E">
              <w:rPr>
                <w:webHidden/>
              </w:rPr>
              <w:fldChar w:fldCharType="separate"/>
            </w:r>
            <w:r w:rsidR="000C061E">
              <w:rPr>
                <w:webHidden/>
              </w:rPr>
              <w:t>16-21</w:t>
            </w:r>
            <w:r w:rsidR="000C061E">
              <w:rPr>
                <w:webHidden/>
              </w:rPr>
              <w:fldChar w:fldCharType="end"/>
            </w:r>
          </w:hyperlink>
        </w:p>
        <w:p w:rsidR="000C061E" w:rsidRDefault="00E639DB">
          <w:pPr>
            <w:pStyle w:val="TOC3"/>
            <w:rPr>
              <w:rFonts w:asciiTheme="minorHAnsi" w:eastAsiaTheme="minorEastAsia" w:hAnsiTheme="minorHAnsi"/>
              <w:lang w:eastAsia="en-AU"/>
            </w:rPr>
          </w:pPr>
          <w:hyperlink w:anchor="_Toc462755671" w:history="1">
            <w:r w:rsidR="000C061E" w:rsidRPr="006459A2">
              <w:rPr>
                <w:rStyle w:val="Hyperlink"/>
              </w:rPr>
              <w:t>16.2.3</w:t>
            </w:r>
            <w:r w:rsidR="000C061E">
              <w:rPr>
                <w:rFonts w:asciiTheme="minorHAnsi" w:eastAsiaTheme="minorEastAsia" w:hAnsiTheme="minorHAnsi"/>
                <w:lang w:eastAsia="en-AU"/>
              </w:rPr>
              <w:tab/>
            </w:r>
            <w:r w:rsidR="000C061E" w:rsidRPr="006459A2">
              <w:rPr>
                <w:rStyle w:val="Hyperlink"/>
              </w:rPr>
              <w:t>Assessment approach</w:t>
            </w:r>
            <w:r w:rsidR="000C061E">
              <w:rPr>
                <w:webHidden/>
              </w:rPr>
              <w:tab/>
            </w:r>
            <w:r w:rsidR="000C061E">
              <w:rPr>
                <w:webHidden/>
              </w:rPr>
              <w:fldChar w:fldCharType="begin"/>
            </w:r>
            <w:r w:rsidR="000C061E">
              <w:rPr>
                <w:webHidden/>
              </w:rPr>
              <w:instrText xml:space="preserve"> PAGEREF _Toc462755671 \h </w:instrText>
            </w:r>
            <w:r w:rsidR="000C061E">
              <w:rPr>
                <w:webHidden/>
              </w:rPr>
            </w:r>
            <w:r w:rsidR="000C061E">
              <w:rPr>
                <w:webHidden/>
              </w:rPr>
              <w:fldChar w:fldCharType="separate"/>
            </w:r>
            <w:r w:rsidR="000C061E">
              <w:rPr>
                <w:webHidden/>
              </w:rPr>
              <w:t>16-21</w:t>
            </w:r>
            <w:r w:rsidR="000C061E">
              <w:rPr>
                <w:webHidden/>
              </w:rPr>
              <w:fldChar w:fldCharType="end"/>
            </w:r>
          </w:hyperlink>
        </w:p>
        <w:p w:rsidR="000C061E" w:rsidRDefault="00E639DB">
          <w:pPr>
            <w:pStyle w:val="TOC3"/>
            <w:rPr>
              <w:rFonts w:asciiTheme="minorHAnsi" w:eastAsiaTheme="minorEastAsia" w:hAnsiTheme="minorHAnsi"/>
              <w:lang w:eastAsia="en-AU"/>
            </w:rPr>
          </w:pPr>
          <w:hyperlink w:anchor="_Toc462755672" w:history="1">
            <w:r w:rsidR="000C061E" w:rsidRPr="006459A2">
              <w:rPr>
                <w:rStyle w:val="Hyperlink"/>
              </w:rPr>
              <w:t>16.2.4</w:t>
            </w:r>
            <w:r w:rsidR="000C061E">
              <w:rPr>
                <w:rFonts w:asciiTheme="minorHAnsi" w:eastAsiaTheme="minorEastAsia" w:hAnsiTheme="minorHAnsi"/>
                <w:lang w:eastAsia="en-AU"/>
              </w:rPr>
              <w:tab/>
            </w:r>
            <w:r w:rsidR="000C061E" w:rsidRPr="006459A2">
              <w:rPr>
                <w:rStyle w:val="Hyperlink"/>
              </w:rPr>
              <w:t>Reasons for draft decision</w:t>
            </w:r>
            <w:r w:rsidR="000C061E">
              <w:rPr>
                <w:webHidden/>
              </w:rPr>
              <w:tab/>
            </w:r>
            <w:r w:rsidR="000C061E">
              <w:rPr>
                <w:webHidden/>
              </w:rPr>
              <w:fldChar w:fldCharType="begin"/>
            </w:r>
            <w:r w:rsidR="000C061E">
              <w:rPr>
                <w:webHidden/>
              </w:rPr>
              <w:instrText xml:space="preserve"> PAGEREF _Toc462755672 \h </w:instrText>
            </w:r>
            <w:r w:rsidR="000C061E">
              <w:rPr>
                <w:webHidden/>
              </w:rPr>
            </w:r>
            <w:r w:rsidR="000C061E">
              <w:rPr>
                <w:webHidden/>
              </w:rPr>
              <w:fldChar w:fldCharType="separate"/>
            </w:r>
            <w:r w:rsidR="000C061E">
              <w:rPr>
                <w:webHidden/>
              </w:rPr>
              <w:t>16-21</w:t>
            </w:r>
            <w:r w:rsidR="000C061E">
              <w:rPr>
                <w:webHidden/>
              </w:rPr>
              <w:fldChar w:fldCharType="end"/>
            </w:r>
          </w:hyperlink>
        </w:p>
        <w:p w:rsidR="000C061E" w:rsidRDefault="00E639DB">
          <w:pPr>
            <w:pStyle w:val="TOC2"/>
            <w:tabs>
              <w:tab w:val="left" w:pos="1276"/>
            </w:tabs>
            <w:rPr>
              <w:rFonts w:asciiTheme="minorHAnsi" w:eastAsiaTheme="minorEastAsia" w:hAnsiTheme="minorHAnsi"/>
              <w:b w:val="0"/>
              <w:color w:val="auto"/>
              <w:sz w:val="22"/>
              <w:lang w:eastAsia="en-AU"/>
            </w:rPr>
          </w:pPr>
          <w:hyperlink w:anchor="_Toc462755673" w:history="1">
            <w:r w:rsidR="000C061E" w:rsidRPr="006459A2">
              <w:rPr>
                <w:rStyle w:val="Hyperlink"/>
              </w:rPr>
              <w:t>16.3</w:t>
            </w:r>
            <w:r w:rsidR="000C061E">
              <w:rPr>
                <w:rFonts w:asciiTheme="minorHAnsi" w:eastAsiaTheme="minorEastAsia" w:hAnsiTheme="minorHAnsi"/>
                <w:b w:val="0"/>
                <w:color w:val="auto"/>
                <w:sz w:val="22"/>
                <w:lang w:eastAsia="en-AU"/>
              </w:rPr>
              <w:tab/>
            </w:r>
            <w:r w:rsidR="000C061E" w:rsidRPr="006459A2">
              <w:rPr>
                <w:rStyle w:val="Hyperlink"/>
              </w:rPr>
              <w:t>Metering</w:t>
            </w:r>
            <w:r w:rsidR="000C061E">
              <w:rPr>
                <w:webHidden/>
              </w:rPr>
              <w:tab/>
            </w:r>
            <w:r w:rsidR="000C061E">
              <w:rPr>
                <w:webHidden/>
              </w:rPr>
              <w:fldChar w:fldCharType="begin"/>
            </w:r>
            <w:r w:rsidR="000C061E">
              <w:rPr>
                <w:webHidden/>
              </w:rPr>
              <w:instrText xml:space="preserve"> PAGEREF _Toc462755673 \h </w:instrText>
            </w:r>
            <w:r w:rsidR="000C061E">
              <w:rPr>
                <w:webHidden/>
              </w:rPr>
            </w:r>
            <w:r w:rsidR="000C061E">
              <w:rPr>
                <w:webHidden/>
              </w:rPr>
              <w:fldChar w:fldCharType="separate"/>
            </w:r>
            <w:r w:rsidR="000C061E">
              <w:rPr>
                <w:webHidden/>
              </w:rPr>
              <w:t>16-24</w:t>
            </w:r>
            <w:r w:rsidR="000C061E">
              <w:rPr>
                <w:webHidden/>
              </w:rPr>
              <w:fldChar w:fldCharType="end"/>
            </w:r>
          </w:hyperlink>
        </w:p>
        <w:p w:rsidR="000C061E" w:rsidRDefault="00E639DB">
          <w:pPr>
            <w:pStyle w:val="TOC3"/>
            <w:rPr>
              <w:rFonts w:asciiTheme="minorHAnsi" w:eastAsiaTheme="minorEastAsia" w:hAnsiTheme="minorHAnsi"/>
              <w:lang w:eastAsia="en-AU"/>
            </w:rPr>
          </w:pPr>
          <w:hyperlink w:anchor="_Toc462755674" w:history="1">
            <w:r w:rsidR="000C061E" w:rsidRPr="006459A2">
              <w:rPr>
                <w:rStyle w:val="Hyperlink"/>
              </w:rPr>
              <w:t>16.3.1</w:t>
            </w:r>
            <w:r w:rsidR="000C061E">
              <w:rPr>
                <w:rFonts w:asciiTheme="minorHAnsi" w:eastAsiaTheme="minorEastAsia" w:hAnsiTheme="minorHAnsi"/>
                <w:lang w:eastAsia="en-AU"/>
              </w:rPr>
              <w:tab/>
            </w:r>
            <w:r w:rsidR="000C061E" w:rsidRPr="006459A2">
              <w:rPr>
                <w:rStyle w:val="Hyperlink"/>
              </w:rPr>
              <w:t>Draft decision</w:t>
            </w:r>
            <w:r w:rsidR="000C061E">
              <w:rPr>
                <w:webHidden/>
              </w:rPr>
              <w:tab/>
            </w:r>
            <w:r w:rsidR="000C061E">
              <w:rPr>
                <w:webHidden/>
              </w:rPr>
              <w:fldChar w:fldCharType="begin"/>
            </w:r>
            <w:r w:rsidR="000C061E">
              <w:rPr>
                <w:webHidden/>
              </w:rPr>
              <w:instrText xml:space="preserve"> PAGEREF _Toc462755674 \h </w:instrText>
            </w:r>
            <w:r w:rsidR="000C061E">
              <w:rPr>
                <w:webHidden/>
              </w:rPr>
            </w:r>
            <w:r w:rsidR="000C061E">
              <w:rPr>
                <w:webHidden/>
              </w:rPr>
              <w:fldChar w:fldCharType="separate"/>
            </w:r>
            <w:r w:rsidR="000C061E">
              <w:rPr>
                <w:webHidden/>
              </w:rPr>
              <w:t>16-25</w:t>
            </w:r>
            <w:r w:rsidR="000C061E">
              <w:rPr>
                <w:webHidden/>
              </w:rPr>
              <w:fldChar w:fldCharType="end"/>
            </w:r>
          </w:hyperlink>
        </w:p>
        <w:p w:rsidR="000C061E" w:rsidRDefault="00E639DB">
          <w:pPr>
            <w:pStyle w:val="TOC3"/>
            <w:rPr>
              <w:rFonts w:asciiTheme="minorHAnsi" w:eastAsiaTheme="minorEastAsia" w:hAnsiTheme="minorHAnsi"/>
              <w:lang w:eastAsia="en-AU"/>
            </w:rPr>
          </w:pPr>
          <w:hyperlink w:anchor="_Toc462755675" w:history="1">
            <w:r w:rsidR="000C061E" w:rsidRPr="006459A2">
              <w:rPr>
                <w:rStyle w:val="Hyperlink"/>
              </w:rPr>
              <w:t>16.3.2</w:t>
            </w:r>
            <w:r w:rsidR="000C061E">
              <w:rPr>
                <w:rFonts w:asciiTheme="minorHAnsi" w:eastAsiaTheme="minorEastAsia" w:hAnsiTheme="minorHAnsi"/>
                <w:lang w:eastAsia="en-AU"/>
              </w:rPr>
              <w:tab/>
            </w:r>
            <w:r w:rsidR="000C061E" w:rsidRPr="006459A2">
              <w:rPr>
                <w:rStyle w:val="Hyperlink"/>
              </w:rPr>
              <w:t>TasNetworks' proposal</w:t>
            </w:r>
            <w:r w:rsidR="000C061E">
              <w:rPr>
                <w:webHidden/>
              </w:rPr>
              <w:tab/>
            </w:r>
            <w:r w:rsidR="000C061E">
              <w:rPr>
                <w:webHidden/>
              </w:rPr>
              <w:fldChar w:fldCharType="begin"/>
            </w:r>
            <w:r w:rsidR="000C061E">
              <w:rPr>
                <w:webHidden/>
              </w:rPr>
              <w:instrText xml:space="preserve"> PAGEREF _Toc462755675 \h </w:instrText>
            </w:r>
            <w:r w:rsidR="000C061E">
              <w:rPr>
                <w:webHidden/>
              </w:rPr>
            </w:r>
            <w:r w:rsidR="000C061E">
              <w:rPr>
                <w:webHidden/>
              </w:rPr>
              <w:fldChar w:fldCharType="separate"/>
            </w:r>
            <w:r w:rsidR="000C061E">
              <w:rPr>
                <w:webHidden/>
              </w:rPr>
              <w:t>16-29</w:t>
            </w:r>
            <w:r w:rsidR="000C061E">
              <w:rPr>
                <w:webHidden/>
              </w:rPr>
              <w:fldChar w:fldCharType="end"/>
            </w:r>
          </w:hyperlink>
        </w:p>
        <w:p w:rsidR="000C061E" w:rsidRDefault="00E639DB">
          <w:pPr>
            <w:pStyle w:val="TOC3"/>
            <w:rPr>
              <w:rFonts w:asciiTheme="minorHAnsi" w:eastAsiaTheme="minorEastAsia" w:hAnsiTheme="minorHAnsi"/>
              <w:lang w:eastAsia="en-AU"/>
            </w:rPr>
          </w:pPr>
          <w:hyperlink w:anchor="_Toc462755676" w:history="1">
            <w:r w:rsidR="000C061E" w:rsidRPr="006459A2">
              <w:rPr>
                <w:rStyle w:val="Hyperlink"/>
              </w:rPr>
              <w:t>16.3.3</w:t>
            </w:r>
            <w:r w:rsidR="000C061E">
              <w:rPr>
                <w:rFonts w:asciiTheme="minorHAnsi" w:eastAsiaTheme="minorEastAsia" w:hAnsiTheme="minorHAnsi"/>
                <w:lang w:eastAsia="en-AU"/>
              </w:rPr>
              <w:tab/>
            </w:r>
            <w:r w:rsidR="000C061E" w:rsidRPr="006459A2">
              <w:rPr>
                <w:rStyle w:val="Hyperlink"/>
              </w:rPr>
              <w:t>Assessment approach</w:t>
            </w:r>
            <w:r w:rsidR="000C061E">
              <w:rPr>
                <w:webHidden/>
              </w:rPr>
              <w:tab/>
            </w:r>
            <w:r w:rsidR="000C061E">
              <w:rPr>
                <w:webHidden/>
              </w:rPr>
              <w:fldChar w:fldCharType="begin"/>
            </w:r>
            <w:r w:rsidR="000C061E">
              <w:rPr>
                <w:webHidden/>
              </w:rPr>
              <w:instrText xml:space="preserve"> PAGEREF _Toc462755676 \h </w:instrText>
            </w:r>
            <w:r w:rsidR="000C061E">
              <w:rPr>
                <w:webHidden/>
              </w:rPr>
            </w:r>
            <w:r w:rsidR="000C061E">
              <w:rPr>
                <w:webHidden/>
              </w:rPr>
              <w:fldChar w:fldCharType="separate"/>
            </w:r>
            <w:r w:rsidR="000C061E">
              <w:rPr>
                <w:webHidden/>
              </w:rPr>
              <w:t>16-31</w:t>
            </w:r>
            <w:r w:rsidR="000C061E">
              <w:rPr>
                <w:webHidden/>
              </w:rPr>
              <w:fldChar w:fldCharType="end"/>
            </w:r>
          </w:hyperlink>
        </w:p>
        <w:p w:rsidR="000C061E" w:rsidRDefault="00E639DB">
          <w:pPr>
            <w:pStyle w:val="TOC3"/>
            <w:rPr>
              <w:rFonts w:asciiTheme="minorHAnsi" w:eastAsiaTheme="minorEastAsia" w:hAnsiTheme="minorHAnsi"/>
              <w:lang w:eastAsia="en-AU"/>
            </w:rPr>
          </w:pPr>
          <w:hyperlink w:anchor="_Toc462755677" w:history="1">
            <w:r w:rsidR="000C061E" w:rsidRPr="006459A2">
              <w:rPr>
                <w:rStyle w:val="Hyperlink"/>
              </w:rPr>
              <w:t>16.3.4</w:t>
            </w:r>
            <w:r w:rsidR="000C061E">
              <w:rPr>
                <w:rFonts w:asciiTheme="minorHAnsi" w:eastAsiaTheme="minorEastAsia" w:hAnsiTheme="minorHAnsi"/>
                <w:lang w:eastAsia="en-AU"/>
              </w:rPr>
              <w:tab/>
            </w:r>
            <w:r w:rsidR="000C061E" w:rsidRPr="006459A2">
              <w:rPr>
                <w:rStyle w:val="Hyperlink"/>
              </w:rPr>
              <w:t>Reasons for draft decision</w:t>
            </w:r>
            <w:r w:rsidR="000C061E">
              <w:rPr>
                <w:webHidden/>
              </w:rPr>
              <w:tab/>
            </w:r>
            <w:r w:rsidR="000C061E">
              <w:rPr>
                <w:webHidden/>
              </w:rPr>
              <w:fldChar w:fldCharType="begin"/>
            </w:r>
            <w:r w:rsidR="000C061E">
              <w:rPr>
                <w:webHidden/>
              </w:rPr>
              <w:instrText xml:space="preserve"> PAGEREF _Toc462755677 \h </w:instrText>
            </w:r>
            <w:r w:rsidR="000C061E">
              <w:rPr>
                <w:webHidden/>
              </w:rPr>
            </w:r>
            <w:r w:rsidR="000C061E">
              <w:rPr>
                <w:webHidden/>
              </w:rPr>
              <w:fldChar w:fldCharType="separate"/>
            </w:r>
            <w:r w:rsidR="000C061E">
              <w:rPr>
                <w:webHidden/>
              </w:rPr>
              <w:t>16-32</w:t>
            </w:r>
            <w:r w:rsidR="000C061E">
              <w:rPr>
                <w:webHidden/>
              </w:rPr>
              <w:fldChar w:fldCharType="end"/>
            </w:r>
          </w:hyperlink>
        </w:p>
        <w:p w:rsidR="000C061E" w:rsidRDefault="00E639DB">
          <w:pPr>
            <w:pStyle w:val="TOC1"/>
            <w:rPr>
              <w:rFonts w:asciiTheme="minorHAnsi" w:eastAsiaTheme="minorEastAsia" w:hAnsiTheme="minorHAnsi"/>
              <w:b w:val="0"/>
              <w:color w:val="auto"/>
              <w:sz w:val="22"/>
              <w:lang w:val="en-AU" w:eastAsia="en-AU"/>
            </w:rPr>
          </w:pPr>
          <w:hyperlink w:anchor="_Toc462755678" w:history="1">
            <w:r w:rsidR="000C061E" w:rsidRPr="006459A2">
              <w:rPr>
                <w:rStyle w:val="Hyperlink"/>
              </w:rPr>
              <w:t>A</w:t>
            </w:r>
            <w:r w:rsidR="000C061E">
              <w:rPr>
                <w:rFonts w:asciiTheme="minorHAnsi" w:eastAsiaTheme="minorEastAsia" w:hAnsiTheme="minorHAnsi"/>
                <w:b w:val="0"/>
                <w:color w:val="auto"/>
                <w:sz w:val="22"/>
                <w:lang w:val="en-AU" w:eastAsia="en-AU"/>
              </w:rPr>
              <w:tab/>
            </w:r>
            <w:r w:rsidR="000C061E" w:rsidRPr="006459A2">
              <w:rPr>
                <w:rStyle w:val="Hyperlink"/>
              </w:rPr>
              <w:t>Ancillary network services</w:t>
            </w:r>
            <w:r w:rsidR="000C061E">
              <w:rPr>
                <w:webHidden/>
              </w:rPr>
              <w:tab/>
            </w:r>
            <w:r w:rsidR="000C061E">
              <w:rPr>
                <w:webHidden/>
              </w:rPr>
              <w:fldChar w:fldCharType="begin"/>
            </w:r>
            <w:r w:rsidR="000C061E">
              <w:rPr>
                <w:webHidden/>
              </w:rPr>
              <w:instrText xml:space="preserve"> PAGEREF _Toc462755678 \h </w:instrText>
            </w:r>
            <w:r w:rsidR="000C061E">
              <w:rPr>
                <w:webHidden/>
              </w:rPr>
            </w:r>
            <w:r w:rsidR="000C061E">
              <w:rPr>
                <w:webHidden/>
              </w:rPr>
              <w:fldChar w:fldCharType="separate"/>
            </w:r>
            <w:r w:rsidR="000C061E">
              <w:rPr>
                <w:webHidden/>
              </w:rPr>
              <w:t>16-36</w:t>
            </w:r>
            <w:r w:rsidR="000C061E">
              <w:rPr>
                <w:webHidden/>
              </w:rPr>
              <w:fldChar w:fldCharType="end"/>
            </w:r>
          </w:hyperlink>
        </w:p>
        <w:p w:rsidR="000C061E" w:rsidRDefault="00E639DB">
          <w:pPr>
            <w:pStyle w:val="TOC1"/>
            <w:rPr>
              <w:rFonts w:asciiTheme="minorHAnsi" w:eastAsiaTheme="minorEastAsia" w:hAnsiTheme="minorHAnsi"/>
              <w:b w:val="0"/>
              <w:color w:val="auto"/>
              <w:sz w:val="22"/>
              <w:lang w:val="en-AU" w:eastAsia="en-AU"/>
            </w:rPr>
          </w:pPr>
          <w:hyperlink w:anchor="_Toc462755679" w:history="1">
            <w:r w:rsidR="000C061E" w:rsidRPr="006459A2">
              <w:rPr>
                <w:rStyle w:val="Hyperlink"/>
              </w:rPr>
              <w:t>B</w:t>
            </w:r>
            <w:r w:rsidR="000C061E">
              <w:rPr>
                <w:rFonts w:asciiTheme="minorHAnsi" w:eastAsiaTheme="minorEastAsia" w:hAnsiTheme="minorHAnsi"/>
                <w:b w:val="0"/>
                <w:color w:val="auto"/>
                <w:sz w:val="22"/>
                <w:lang w:val="en-AU" w:eastAsia="en-AU"/>
              </w:rPr>
              <w:tab/>
            </w:r>
            <w:r w:rsidR="000C061E" w:rsidRPr="006459A2">
              <w:rPr>
                <w:rStyle w:val="Hyperlink"/>
              </w:rPr>
              <w:t>Metering</w:t>
            </w:r>
            <w:r w:rsidR="000C061E">
              <w:rPr>
                <w:webHidden/>
              </w:rPr>
              <w:tab/>
            </w:r>
            <w:r w:rsidR="000C061E">
              <w:rPr>
                <w:webHidden/>
              </w:rPr>
              <w:fldChar w:fldCharType="begin"/>
            </w:r>
            <w:r w:rsidR="000C061E">
              <w:rPr>
                <w:webHidden/>
              </w:rPr>
              <w:instrText xml:space="preserve"> PAGEREF _Toc462755679 \h </w:instrText>
            </w:r>
            <w:r w:rsidR="000C061E">
              <w:rPr>
                <w:webHidden/>
              </w:rPr>
            </w:r>
            <w:r w:rsidR="000C061E">
              <w:rPr>
                <w:webHidden/>
              </w:rPr>
              <w:fldChar w:fldCharType="separate"/>
            </w:r>
            <w:r w:rsidR="000C061E">
              <w:rPr>
                <w:webHidden/>
              </w:rPr>
              <w:t>16-41</w:t>
            </w:r>
            <w:r w:rsidR="000C061E">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62755661"/>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4B6269" w:rsidP="004B6269">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Ref453928353"/>
      <w:bookmarkStart w:id="72" w:name="_Toc462755662"/>
      <w:bookmarkEnd w:id="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Alternative control services</w:t>
      </w:r>
      <w:bookmarkEnd w:id="71"/>
      <w:bookmarkEnd w:id="72"/>
    </w:p>
    <w:p w:rsidR="00414412" w:rsidRPr="00414412" w:rsidRDefault="00414412" w:rsidP="00414412">
      <w:bookmarkStart w:id="73" w:name="_Toc403144136"/>
      <w:bookmarkStart w:id="74" w:name="_Toc417927185"/>
      <w:r w:rsidRPr="00414412">
        <w:t xml:space="preserve">Alternative control services are services provided by distributors to specific customers. They do not form part of the </w:t>
      </w:r>
      <w:r w:rsidR="004D08FA">
        <w:t>annual</w:t>
      </w:r>
      <w:r w:rsidRPr="00414412">
        <w:t xml:space="preserve"> revenue</w:t>
      </w:r>
      <w:r w:rsidR="004D08FA">
        <w:t xml:space="preserve"> requirement</w:t>
      </w:r>
      <w:r w:rsidRPr="00414412">
        <w:t xml:space="preserve"> approved by us for </w:t>
      </w:r>
      <w:r w:rsidR="004D08FA">
        <w:t>recovery through distribution use of system charges</w:t>
      </w:r>
      <w:r w:rsidRPr="00414412">
        <w:t>. Rather, distributors recover the costs of providing alternative control services through a selection of prices with most charged on a ‘user pays’ basis.</w:t>
      </w:r>
    </w:p>
    <w:p w:rsidR="00132D43" w:rsidRPr="00132D43" w:rsidRDefault="004D08FA" w:rsidP="00132D43">
      <w:r>
        <w:t>In t</w:t>
      </w:r>
      <w:r w:rsidR="00414412" w:rsidRPr="00414412">
        <w:t>his attachment</w:t>
      </w:r>
      <w:r>
        <w:t>, we</w:t>
      </w:r>
      <w:r w:rsidR="00414412" w:rsidRPr="00414412">
        <w:t xml:space="preserve"> set</w:t>
      </w:r>
      <w:r>
        <w:t xml:space="preserve"> out our draft</w:t>
      </w:r>
      <w:r w:rsidR="00414412" w:rsidRPr="00414412">
        <w:t xml:space="preserve"> decision on the prices </w:t>
      </w:r>
      <w:r w:rsidR="00414412">
        <w:t>TasNetworks</w:t>
      </w:r>
      <w:r w:rsidR="00414412" w:rsidRPr="00414412">
        <w:t xml:space="preserve"> is allowed to charge customers for the provision of alternative control services (ancillary network services, public lighting and metering).</w:t>
      </w:r>
      <w:bookmarkEnd w:id="73"/>
      <w:bookmarkEnd w:id="74"/>
    </w:p>
    <w:p w:rsidR="00414412" w:rsidRPr="00414412" w:rsidRDefault="00414412" w:rsidP="00414412">
      <w:pPr>
        <w:pStyle w:val="Heading2"/>
      </w:pPr>
      <w:bookmarkStart w:id="75" w:name="_Ref448732450"/>
      <w:bookmarkStart w:id="76" w:name="_Toc448736752"/>
      <w:bookmarkStart w:id="77" w:name="_Toc462755663"/>
      <w:r w:rsidRPr="00414412">
        <w:t>Ancillary network services</w:t>
      </w:r>
      <w:bookmarkEnd w:id="75"/>
      <w:bookmarkEnd w:id="76"/>
      <w:bookmarkEnd w:id="77"/>
    </w:p>
    <w:p w:rsidR="00B055A4" w:rsidRPr="009F6DC8" w:rsidRDefault="00B055A4" w:rsidP="00B055A4">
      <w:r w:rsidRPr="009F6DC8">
        <w:t xml:space="preserve">For the purposes of this </w:t>
      </w:r>
      <w:r>
        <w:t>draft</w:t>
      </w:r>
      <w:r w:rsidRPr="009F6DC8">
        <w:t xml:space="preserve"> decision, we refer to the service groups previously identified as 'fee based services' and 'quoted services' collectively as a single group called 'ancillary network services'.</w:t>
      </w:r>
      <w:r w:rsidRPr="009F6DC8">
        <w:rPr>
          <w:rStyle w:val="FootnoteReference"/>
        </w:rPr>
        <w:footnoteReference w:id="1"/>
      </w:r>
    </w:p>
    <w:p w:rsidR="00B055A4" w:rsidRDefault="00B055A4" w:rsidP="00B055A4">
      <w:r w:rsidRPr="009F6DC8">
        <w:t>Ancillary network services share the common characteristic of being non-routine services provided to individual customers on an as requested basis.</w:t>
      </w:r>
      <w:r w:rsidRPr="009F6DC8">
        <w:rPr>
          <w:rStyle w:val="FootnoteReference"/>
        </w:rPr>
        <w:footnoteReference w:id="2"/>
      </w:r>
      <w:r w:rsidRPr="009F6DC8">
        <w:t xml:space="preserve"> The existing fee based services and quoted services groupings describe the basis on which service prices are determined.</w:t>
      </w:r>
      <w:r w:rsidRPr="009F6DC8">
        <w:rPr>
          <w:rStyle w:val="FootnoteReference"/>
        </w:rPr>
        <w:footnoteReference w:id="3"/>
      </w:r>
      <w:r w:rsidRPr="0066046B">
        <w:t xml:space="preserve"> </w:t>
      </w:r>
    </w:p>
    <w:p w:rsidR="00B055A4" w:rsidRPr="0066046B" w:rsidRDefault="00B055A4" w:rsidP="00B055A4">
      <w:r w:rsidRPr="0066046B">
        <w:t>Prices for fee based services are predetermined, based on the cost of providing the service and the average time taken to perform it. These services tend to be homogenous in nature and scope, and can be costed in advance of supply with reasonable certainty.</w:t>
      </w:r>
    </w:p>
    <w:p w:rsidR="00B055A4" w:rsidRPr="009F6DC8" w:rsidRDefault="00B055A4" w:rsidP="00B055A4">
      <w:r w:rsidRPr="0066046B">
        <w:t>By comparison, prices for quoted services are based on quantities of labour and materials, with the quantities dependent on a particular task. Prices for quoted services are determined at the time of a customer's enquiry and reflect the individual requirements of the customer and service requested. It is not possible to list prices for quoted services in this decision (any such list would only be for illustrative purposes).</w:t>
      </w:r>
    </w:p>
    <w:p w:rsidR="00414412" w:rsidRPr="00414412" w:rsidRDefault="00414412" w:rsidP="00414412">
      <w:pPr>
        <w:pStyle w:val="Heading3"/>
      </w:pPr>
      <w:bookmarkStart w:id="78" w:name="_Toc448736753"/>
      <w:bookmarkStart w:id="79" w:name="_Toc462755664"/>
      <w:r>
        <w:t>Draft</w:t>
      </w:r>
      <w:r w:rsidRPr="00414412">
        <w:t xml:space="preserve"> decision</w:t>
      </w:r>
      <w:bookmarkEnd w:id="78"/>
      <w:bookmarkEnd w:id="79"/>
      <w:r w:rsidRPr="00414412">
        <w:t xml:space="preserve">  </w:t>
      </w:r>
    </w:p>
    <w:p w:rsidR="004869FF" w:rsidRDefault="00B055A4" w:rsidP="00B055A4">
      <w:r>
        <w:t xml:space="preserve">We do not accept TasNetworks' proposal for ancillary network services.  </w:t>
      </w:r>
      <w:r w:rsidR="004869FF">
        <w:t>Specifically, we do not accept the following aspects of TasNetworks</w:t>
      </w:r>
      <w:r w:rsidR="00EB104C">
        <w:t>' cost build</w:t>
      </w:r>
      <w:r w:rsidR="00EB104C">
        <w:noBreakHyphen/>
        <w:t>up method to establish prices for fee based services</w:t>
      </w:r>
      <w:r w:rsidR="004869FF">
        <w:t>:</w:t>
      </w:r>
    </w:p>
    <w:p w:rsidR="00EB104C" w:rsidRDefault="002252E3" w:rsidP="00EB104C">
      <w:pPr>
        <w:pStyle w:val="AERbulletlistfirststyle"/>
      </w:pPr>
      <w:r>
        <w:lastRenderedPageBreak/>
        <w:t>T</w:t>
      </w:r>
      <w:r w:rsidR="00EB104C">
        <w:t>he implied administration labour rate underpinning the d</w:t>
      </w:r>
      <w:r w:rsidR="004869FF">
        <w:t>irect admin</w:t>
      </w:r>
      <w:r w:rsidR="00EB104C">
        <w:t>istration and supervision costs as it exceeds</w:t>
      </w:r>
      <w:r w:rsidR="00EB104C" w:rsidRPr="00EB104C">
        <w:t xml:space="preserve"> our administration maximum total labour rate</w:t>
      </w:r>
      <w:r>
        <w:t>. Therefore, we substitute in our administration maximum total labour rate.</w:t>
      </w:r>
    </w:p>
    <w:p w:rsidR="00EB104C" w:rsidRDefault="002252E3" w:rsidP="00EB104C">
      <w:pPr>
        <w:pStyle w:val="AERbulletlistfirststyle"/>
      </w:pPr>
      <w:r>
        <w:t>T</w:t>
      </w:r>
      <w:r w:rsidR="00EB104C">
        <w:t xml:space="preserve">he application of premium service margins to </w:t>
      </w:r>
      <w:r w:rsidR="00EB104C" w:rsidRPr="00EB104C">
        <w:t>non</w:t>
      </w:r>
      <w:r w:rsidR="00EB104C">
        <w:noBreakHyphen/>
      </w:r>
      <w:r w:rsidR="00EB104C" w:rsidRPr="00EB104C">
        <w:t>scheduled, after hours or same day premium services</w:t>
      </w:r>
      <w:r w:rsidR="00EB104C">
        <w:t xml:space="preserve"> as they</w:t>
      </w:r>
      <w:r w:rsidR="00EB104C" w:rsidRPr="00EB104C">
        <w:t xml:space="preserve"> have not been sufficiently justified</w:t>
      </w:r>
      <w:r>
        <w:t>. We remove these margins in our draft decision.</w:t>
      </w:r>
    </w:p>
    <w:p w:rsidR="00EB104C" w:rsidRDefault="002252E3" w:rsidP="004869FF">
      <w:pPr>
        <w:pStyle w:val="AERbulletlistfirststyle"/>
      </w:pPr>
      <w:r>
        <w:t>P</w:t>
      </w:r>
      <w:r w:rsidRPr="002252E3">
        <w:t>roposed task times to perform after hours services</w:t>
      </w:r>
      <w:r>
        <w:t xml:space="preserve"> as they </w:t>
      </w:r>
      <w:r w:rsidRPr="002252E3">
        <w:t xml:space="preserve">overstate the time needed </w:t>
      </w:r>
      <w:r>
        <w:t>to perform these services and are</w:t>
      </w:r>
      <w:r w:rsidRPr="002252E3">
        <w:t xml:space="preserve"> therefore inefficient. We substitute in the highest time taken for the particular service during business hours which we consider is efficient</w:t>
      </w:r>
      <w:r w:rsidR="00C603EF">
        <w:t>.</w:t>
      </w:r>
    </w:p>
    <w:p w:rsidR="002252E3" w:rsidRDefault="002252E3" w:rsidP="00B055A4">
      <w:r w:rsidRPr="002252E3">
        <w:t>We</w:t>
      </w:r>
      <w:r>
        <w:t xml:space="preserve"> also</w:t>
      </w:r>
      <w:r w:rsidRPr="002252E3">
        <w:t xml:space="preserve"> do not accept </w:t>
      </w:r>
      <w:r w:rsidR="00C603EF">
        <w:t>TasNetworks' proposal to charge</w:t>
      </w:r>
      <w:r w:rsidRPr="002252E3">
        <w:t xml:space="preserve"> its new design and construction services as fee b</w:t>
      </w:r>
      <w:r w:rsidR="00C603EF">
        <w:t>ased services. We consider these</w:t>
      </w:r>
      <w:r w:rsidRPr="002252E3">
        <w:t xml:space="preserve"> services </w:t>
      </w:r>
      <w:r w:rsidR="00C603EF">
        <w:t>are not homogenous and highly variable</w:t>
      </w:r>
      <w:r w:rsidR="00655B7B">
        <w:t>. We therefore consider they should be</w:t>
      </w:r>
      <w:r w:rsidRPr="002252E3">
        <w:t xml:space="preserve"> quoted services.</w:t>
      </w:r>
    </w:p>
    <w:p w:rsidR="00EB104C" w:rsidRDefault="00EB104C" w:rsidP="00EB104C">
      <w:r>
        <w:t xml:space="preserve">These adjustments have changed the ancillary network service prices proposed by TasNetworks. Our reasoning for these adjustments is detailed in sections </w:t>
      </w:r>
      <w:r w:rsidR="002252E3">
        <w:fldChar w:fldCharType="begin"/>
      </w:r>
      <w:r w:rsidR="002252E3">
        <w:instrText xml:space="preserve"> REF _Ref456088165 \r \h </w:instrText>
      </w:r>
      <w:r w:rsidR="002252E3">
        <w:fldChar w:fldCharType="separate"/>
      </w:r>
      <w:r w:rsidR="000C061E">
        <w:t>16.1.4.2</w:t>
      </w:r>
      <w:r w:rsidR="002252E3">
        <w:fldChar w:fldCharType="end"/>
      </w:r>
      <w:r w:rsidR="002252E3">
        <w:t xml:space="preserve">, </w:t>
      </w:r>
      <w:r w:rsidR="002252E3">
        <w:fldChar w:fldCharType="begin"/>
      </w:r>
      <w:r w:rsidR="002252E3">
        <w:instrText xml:space="preserve"> REF _Ref456094722 \r \h </w:instrText>
      </w:r>
      <w:r w:rsidR="002252E3">
        <w:fldChar w:fldCharType="separate"/>
      </w:r>
      <w:r w:rsidR="000C061E">
        <w:t>16.1.4.3</w:t>
      </w:r>
      <w:r w:rsidR="002252E3">
        <w:fldChar w:fldCharType="end"/>
      </w:r>
      <w:r w:rsidR="002252E3">
        <w:t xml:space="preserve"> and </w:t>
      </w:r>
      <w:r w:rsidR="002252E3">
        <w:fldChar w:fldCharType="begin"/>
      </w:r>
      <w:r w:rsidR="002252E3">
        <w:instrText xml:space="preserve"> REF _Ref456880189 \r \h </w:instrText>
      </w:r>
      <w:r w:rsidR="002252E3">
        <w:fldChar w:fldCharType="separate"/>
      </w:r>
      <w:r w:rsidR="000C061E">
        <w:t>16.1.4.4</w:t>
      </w:r>
      <w:r w:rsidR="002252E3">
        <w:fldChar w:fldCharType="end"/>
      </w:r>
      <w:r w:rsidR="002252E3">
        <w:t>.</w:t>
      </w:r>
    </w:p>
    <w:p w:rsidR="002252E3" w:rsidRDefault="002252E3" w:rsidP="00EB104C">
      <w:r>
        <w:t xml:space="preserve">Appendix </w:t>
      </w:r>
      <w:r>
        <w:fldChar w:fldCharType="begin"/>
      </w:r>
      <w:r>
        <w:instrText xml:space="preserve"> REF _Ref456362272 \r \h </w:instrText>
      </w:r>
      <w:r>
        <w:fldChar w:fldCharType="separate"/>
      </w:r>
      <w:r w:rsidR="000C061E">
        <w:t>A</w:t>
      </w:r>
      <w:r>
        <w:fldChar w:fldCharType="end"/>
      </w:r>
      <w:r>
        <w:t xml:space="preserve"> contains our draft decision prices TasNetworks can charge for ancillary network services for the first year of the 2017–19 regulatory control period. </w:t>
      </w:r>
      <w:r>
        <w:fldChar w:fldCharType="begin"/>
      </w:r>
      <w:r>
        <w:instrText xml:space="preserve"> REF _Ref455674090 \h </w:instrText>
      </w:r>
      <w:r>
        <w:fldChar w:fldCharType="separate"/>
      </w:r>
      <w:r w:rsidR="000C061E" w:rsidRPr="0002383F">
        <w:t xml:space="preserve">Table </w:t>
      </w:r>
      <w:r w:rsidR="000C061E">
        <w:rPr>
          <w:noProof/>
        </w:rPr>
        <w:t>16</w:t>
      </w:r>
      <w:r w:rsidR="000C061E">
        <w:t>.</w:t>
      </w:r>
      <w:r w:rsidR="000C061E">
        <w:rPr>
          <w:noProof/>
        </w:rPr>
        <w:t>8</w:t>
      </w:r>
      <w:r>
        <w:fldChar w:fldCharType="end"/>
      </w:r>
      <w:r>
        <w:t xml:space="preserve"> sets out the draft decision prices for fee based services and </w:t>
      </w:r>
      <w:r>
        <w:fldChar w:fldCharType="begin"/>
      </w:r>
      <w:r>
        <w:instrText xml:space="preserve"> REF  _Ref456364175 \* Lower \h </w:instrText>
      </w:r>
      <w:r>
        <w:fldChar w:fldCharType="separate"/>
      </w:r>
      <w:r w:rsidR="000C061E">
        <w:t xml:space="preserve">table </w:t>
      </w:r>
      <w:r w:rsidR="000C061E">
        <w:rPr>
          <w:noProof/>
        </w:rPr>
        <w:t>16</w:t>
      </w:r>
      <w:r w:rsidR="000C061E">
        <w:t>.</w:t>
      </w:r>
      <w:r w:rsidR="000C061E">
        <w:rPr>
          <w:noProof/>
        </w:rPr>
        <w:t>10</w:t>
      </w:r>
      <w:r>
        <w:fldChar w:fldCharType="end"/>
      </w:r>
      <w:r>
        <w:t xml:space="preserve"> sets out the approved labour rates for quoted services. </w:t>
      </w:r>
      <w:r>
        <w:fldChar w:fldCharType="begin"/>
      </w:r>
      <w:r>
        <w:instrText xml:space="preserve"> REF _Ref455739656 \h </w:instrText>
      </w:r>
      <w:r>
        <w:fldChar w:fldCharType="separate"/>
      </w:r>
      <w:r w:rsidR="000C061E" w:rsidRPr="00034C24">
        <w:t xml:space="preserve">Table </w:t>
      </w:r>
      <w:r w:rsidR="000C061E">
        <w:rPr>
          <w:noProof/>
        </w:rPr>
        <w:t>16</w:t>
      </w:r>
      <w:r w:rsidR="000C061E">
        <w:t>.</w:t>
      </w:r>
      <w:r w:rsidR="000C061E">
        <w:rPr>
          <w:noProof/>
        </w:rPr>
        <w:t>9</w:t>
      </w:r>
      <w:r>
        <w:fldChar w:fldCharType="end"/>
      </w:r>
      <w:r>
        <w:t xml:space="preserve"> sets out the quoted services.</w:t>
      </w:r>
    </w:p>
    <w:p w:rsidR="00414412" w:rsidRPr="00414412" w:rsidRDefault="00414412" w:rsidP="00414412">
      <w:pPr>
        <w:pStyle w:val="HeadingBoldBlue"/>
      </w:pPr>
      <w:r w:rsidRPr="00414412">
        <w:t>Form of control</w:t>
      </w:r>
    </w:p>
    <w:p w:rsidR="00206777" w:rsidRDefault="00206777" w:rsidP="00B147AA">
      <w:r>
        <w:t>Our draft decision is to apply price caps as the forms of control to ancillary network services.</w:t>
      </w:r>
      <w:r w:rsidR="00E82D7F">
        <w:t xml:space="preserve"> </w:t>
      </w:r>
      <w:r w:rsidR="00E82D7F">
        <w:fldChar w:fldCharType="begin"/>
      </w:r>
      <w:r w:rsidR="00E82D7F">
        <w:instrText xml:space="preserve"> REF _Ref456362208 \h </w:instrText>
      </w:r>
      <w:r w:rsidR="00E82D7F">
        <w:fldChar w:fldCharType="separate"/>
      </w:r>
      <w:r w:rsidR="000C061E">
        <w:t xml:space="preserve">Figure </w:t>
      </w:r>
      <w:r w:rsidR="000C061E">
        <w:rPr>
          <w:noProof/>
        </w:rPr>
        <w:t>16</w:t>
      </w:r>
      <w:r w:rsidR="000C061E">
        <w:t>.</w:t>
      </w:r>
      <w:r w:rsidR="000C061E">
        <w:rPr>
          <w:noProof/>
        </w:rPr>
        <w:t>1</w:t>
      </w:r>
      <w:r w:rsidR="00E82D7F">
        <w:fldChar w:fldCharType="end"/>
      </w:r>
      <w:r w:rsidR="00E82D7F">
        <w:t xml:space="preserve"> </w:t>
      </w:r>
      <w:r>
        <w:t xml:space="preserve">and </w:t>
      </w:r>
      <w:r w:rsidR="00E82D7F">
        <w:fldChar w:fldCharType="begin"/>
      </w:r>
      <w:r w:rsidR="00E82D7F">
        <w:instrText xml:space="preserve"> REF  _Ref456362217 \* Lower \h </w:instrText>
      </w:r>
      <w:r w:rsidR="00E82D7F">
        <w:fldChar w:fldCharType="separate"/>
      </w:r>
      <w:r w:rsidR="000C061E">
        <w:t xml:space="preserve">figure </w:t>
      </w:r>
      <w:r w:rsidR="000C061E">
        <w:rPr>
          <w:noProof/>
        </w:rPr>
        <w:t>16</w:t>
      </w:r>
      <w:r w:rsidR="000C061E">
        <w:t>.</w:t>
      </w:r>
      <w:r w:rsidR="000C061E">
        <w:rPr>
          <w:noProof/>
        </w:rPr>
        <w:t>2</w:t>
      </w:r>
      <w:r w:rsidR="00E82D7F">
        <w:fldChar w:fldCharType="end"/>
      </w:r>
      <w:r w:rsidR="00E82D7F">
        <w:t xml:space="preserve"> </w:t>
      </w:r>
      <w:r>
        <w:t>set out the control mechanism formulas for fee based and quoted services, respectively. They are consistent with our final framework and approach (final F&amp;A).</w:t>
      </w:r>
      <w:r w:rsidRPr="00653161">
        <w:rPr>
          <w:rStyle w:val="FootnoteReference"/>
        </w:rPr>
        <w:footnoteReference w:id="4"/>
      </w:r>
      <w:r>
        <w:rPr>
          <w:rStyle w:val="FootnoteReference"/>
        </w:rPr>
        <w:t xml:space="preserve"> </w:t>
      </w:r>
    </w:p>
    <w:p w:rsidR="00414412" w:rsidRPr="00414412" w:rsidRDefault="00414412" w:rsidP="00414412">
      <w:pPr>
        <w:pStyle w:val="HeadingBoldBlue"/>
      </w:pPr>
      <w:r w:rsidRPr="00414412">
        <w:t>Form of control—fee based services</w:t>
      </w:r>
    </w:p>
    <w:p w:rsidR="00206777" w:rsidRPr="00E24F68" w:rsidRDefault="00206777" w:rsidP="00B147AA">
      <w:bookmarkStart w:id="80" w:name="_Ref442296615"/>
      <w:r>
        <w:t xml:space="preserve">Our draft decision applies a price cap form of control for fee based services. </w:t>
      </w:r>
      <w:r w:rsidRPr="00E24F68">
        <w:t xml:space="preserve">Under this form of control, we set a schedule of prices for </w:t>
      </w:r>
      <w:r>
        <w:t xml:space="preserve">2017–18 </w:t>
      </w:r>
      <w:r w:rsidR="00572132">
        <w:t xml:space="preserve">(set out in </w:t>
      </w:r>
      <w:r>
        <w:fldChar w:fldCharType="begin"/>
      </w:r>
      <w:r>
        <w:instrText xml:space="preserve"> REF  _Ref455674090 \* Lower \h </w:instrText>
      </w:r>
      <w:r w:rsidR="00B147AA">
        <w:instrText xml:space="preserve"> \* MERGEFORMAT </w:instrText>
      </w:r>
      <w:r>
        <w:fldChar w:fldCharType="separate"/>
      </w:r>
      <w:r w:rsidR="000C061E" w:rsidRPr="0002383F">
        <w:t xml:space="preserve">table </w:t>
      </w:r>
      <w:r w:rsidR="000C061E">
        <w:t>16.8</w:t>
      </w:r>
      <w:r>
        <w:fldChar w:fldCharType="end"/>
      </w:r>
      <w:r w:rsidR="00572132">
        <w:t xml:space="preserve"> in</w:t>
      </w:r>
      <w:r>
        <w:t xml:space="preserve"> appendix</w:t>
      </w:r>
      <w:r w:rsidR="00EA2F0D">
        <w:t xml:space="preserve"> </w:t>
      </w:r>
      <w:r w:rsidR="00EA2F0D">
        <w:fldChar w:fldCharType="begin"/>
      </w:r>
      <w:r w:rsidR="00EA2F0D">
        <w:instrText xml:space="preserve"> REF _Ref456362272 \r \h </w:instrText>
      </w:r>
      <w:r w:rsidR="00EA2F0D">
        <w:fldChar w:fldCharType="separate"/>
      </w:r>
      <w:r w:rsidR="000C061E">
        <w:t>A</w:t>
      </w:r>
      <w:r w:rsidR="00EA2F0D">
        <w:fldChar w:fldCharType="end"/>
      </w:r>
      <w:r w:rsidR="00572132">
        <w:t>)</w:t>
      </w:r>
      <w:r w:rsidRPr="00E24F68">
        <w:t xml:space="preserve">. </w:t>
      </w:r>
      <w:r>
        <w:t xml:space="preserve">For 2018–19, the prices for </w:t>
      </w:r>
      <w:r w:rsidR="00572132">
        <w:t>fee based</w:t>
      </w:r>
      <w:r>
        <w:t xml:space="preserve"> services are determined by adjusting </w:t>
      </w:r>
      <w:r w:rsidRPr="00E24F68">
        <w:t>the previous year's prices</w:t>
      </w:r>
      <w:r>
        <w:t xml:space="preserve"> by the formula in</w:t>
      </w:r>
      <w:r w:rsidR="00EA2F0D">
        <w:t xml:space="preserve"> </w:t>
      </w:r>
      <w:r w:rsidR="00EA2F0D">
        <w:fldChar w:fldCharType="begin"/>
      </w:r>
      <w:r w:rsidR="00EA2F0D">
        <w:instrText xml:space="preserve"> REF  _Ref456362208 \* Lower \h </w:instrText>
      </w:r>
      <w:r w:rsidR="00EA2F0D">
        <w:fldChar w:fldCharType="separate"/>
      </w:r>
      <w:r w:rsidR="000C061E">
        <w:t xml:space="preserve">figure </w:t>
      </w:r>
      <w:r w:rsidR="000C061E">
        <w:rPr>
          <w:noProof/>
        </w:rPr>
        <w:t>16</w:t>
      </w:r>
      <w:r w:rsidR="000C061E">
        <w:t>.</w:t>
      </w:r>
      <w:r w:rsidR="000C061E">
        <w:rPr>
          <w:noProof/>
        </w:rPr>
        <w:t>1</w:t>
      </w:r>
      <w:r w:rsidR="00EA2F0D">
        <w:fldChar w:fldCharType="end"/>
      </w:r>
      <w:r>
        <w:t>.</w:t>
      </w:r>
      <w:r w:rsidRPr="00E24F68">
        <w:t xml:space="preserve"> </w:t>
      </w:r>
      <w:r>
        <w:t>The X factors in this formula adjust for annual labour price growth.</w:t>
      </w:r>
    </w:p>
    <w:p w:rsidR="00012A17" w:rsidRDefault="00012A17" w:rsidP="00012A17">
      <w:pPr>
        <w:pStyle w:val="Caption"/>
        <w:numPr>
          <w:ilvl w:val="0"/>
          <w:numId w:val="24"/>
        </w:numPr>
      </w:pPr>
      <w:bookmarkStart w:id="81" w:name="_Ref456362208"/>
      <w:r>
        <w:t xml:space="preserve">Figure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rsidR="009B3860">
        <w:t>.</w:t>
      </w:r>
      <w:r w:rsidR="00E639DB">
        <w:fldChar w:fldCharType="begin"/>
      </w:r>
      <w:r w:rsidR="00E639DB">
        <w:instrText xml:space="preserve"> SEQ Figure \* ARABIC \s 1 </w:instrText>
      </w:r>
      <w:r w:rsidR="00E639DB">
        <w:fldChar w:fldCharType="separate"/>
      </w:r>
      <w:r w:rsidR="000C061E">
        <w:rPr>
          <w:noProof/>
        </w:rPr>
        <w:t>1</w:t>
      </w:r>
      <w:r w:rsidR="00E639DB">
        <w:rPr>
          <w:noProof/>
        </w:rPr>
        <w:fldChar w:fldCharType="end"/>
      </w:r>
      <w:bookmarkEnd w:id="80"/>
      <w:bookmarkEnd w:id="81"/>
      <w:r>
        <w:tab/>
        <w:t>Fee based ancillary network services formula</w:t>
      </w:r>
    </w:p>
    <w:bookmarkStart w:id="82" w:name="_Ref441762819"/>
    <w:bookmarkStart w:id="83" w:name="_Ref430936816"/>
    <w:p w:rsidR="00206777" w:rsidRPr="001C4D2E" w:rsidRDefault="00810D77" w:rsidP="00206777">
      <w:pPr>
        <w:numPr>
          <w:ilvl w:val="0"/>
          <w:numId w:val="24"/>
        </w:numPr>
      </w:pPr>
      <w:r w:rsidRPr="00810D77">
        <w:rPr>
          <w:position w:val="-12"/>
        </w:rPr>
        <w:object w:dxaOrig="78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pt;height:17.8pt" o:ole="">
            <v:imagedata r:id="rId18" o:title=""/>
          </v:shape>
          <o:OLEObject Type="Embed" ProgID="Equation.3" ShapeID="_x0000_i1025" DrawAspect="Content" ObjectID="_1536569360" r:id="rId19"/>
        </w:object>
      </w:r>
      <w:r w:rsidR="00206777">
        <w:tab/>
      </w:r>
      <w:r w:rsidR="00206777">
        <w:tab/>
      </w:r>
      <w:r w:rsidR="00206777">
        <w:tab/>
      </w:r>
      <w:r w:rsidR="00206777">
        <w:tab/>
      </w:r>
      <w:r w:rsidR="00206777">
        <w:tab/>
      </w:r>
      <w:r w:rsidR="00206777">
        <w:tab/>
      </w:r>
      <w:r w:rsidR="00206777">
        <w:tab/>
      </w:r>
      <w:r w:rsidR="00206777">
        <w:tab/>
        <w:t>i=1,...,n and t=</w:t>
      </w:r>
      <w:r w:rsidR="00206777" w:rsidRPr="001C4D2E">
        <w:t>2</w:t>
      </w:r>
    </w:p>
    <w:p w:rsidR="00206777" w:rsidRPr="001C4D2E" w:rsidRDefault="009C68CC" w:rsidP="00206777">
      <w:pPr>
        <w:numPr>
          <w:ilvl w:val="0"/>
          <w:numId w:val="24"/>
        </w:numPr>
      </w:pPr>
      <w:r w:rsidRPr="00810D77">
        <w:rPr>
          <w:position w:val="-12"/>
        </w:rPr>
        <w:object w:dxaOrig="2880" w:dyaOrig="380">
          <v:shape id="_x0000_i1026" type="#_x0000_t75" style="width:143.1pt;height:17.8pt" o:ole="">
            <v:imagedata r:id="rId20" o:title=""/>
          </v:shape>
          <o:OLEObject Type="Embed" ProgID="Equation.3" ShapeID="_x0000_i1026" DrawAspect="Content" ObjectID="_1536569361" r:id="rId21"/>
        </w:object>
      </w:r>
    </w:p>
    <w:p w:rsidR="00206777" w:rsidRPr="001C4D2E" w:rsidRDefault="00206777" w:rsidP="00206777">
      <w:pPr>
        <w:numPr>
          <w:ilvl w:val="0"/>
          <w:numId w:val="24"/>
        </w:numPr>
      </w:pPr>
      <w:r w:rsidRPr="001C4D2E">
        <w:t>Where:</w:t>
      </w:r>
    </w:p>
    <w:p w:rsidR="00206777" w:rsidRPr="001C4D2E" w:rsidRDefault="00810D77" w:rsidP="00206777">
      <w:pPr>
        <w:numPr>
          <w:ilvl w:val="0"/>
          <w:numId w:val="24"/>
        </w:numPr>
      </w:pPr>
      <w:r w:rsidRPr="00810D77">
        <w:rPr>
          <w:position w:val="-12"/>
        </w:rPr>
        <w:object w:dxaOrig="279" w:dyaOrig="380">
          <v:shape id="_x0000_i1027" type="#_x0000_t75" style="width:11.55pt;height:17.8pt" o:ole="">
            <v:imagedata r:id="rId22" o:title=""/>
          </v:shape>
          <o:OLEObject Type="Embed" ProgID="Equation.3" ShapeID="_x0000_i1027" DrawAspect="Content" ObjectID="_1536569362" r:id="rId23"/>
        </w:object>
      </w:r>
      <w:r w:rsidR="00206777">
        <w:tab/>
      </w:r>
      <w:r w:rsidR="00206777">
        <w:tab/>
      </w:r>
      <w:r w:rsidR="00206777" w:rsidRPr="001C4D2E">
        <w:t>is the cap on the price of service i in year t</w:t>
      </w:r>
    </w:p>
    <w:p w:rsidR="00206777" w:rsidRDefault="00810D77" w:rsidP="00206777">
      <w:pPr>
        <w:numPr>
          <w:ilvl w:val="0"/>
          <w:numId w:val="24"/>
        </w:numPr>
      </w:pPr>
      <w:r w:rsidRPr="00810D77">
        <w:rPr>
          <w:position w:val="-12"/>
        </w:rPr>
        <w:object w:dxaOrig="279" w:dyaOrig="380">
          <v:shape id="_x0000_i1028" type="#_x0000_t75" style="width:11.55pt;height:17.8pt" o:ole="">
            <v:imagedata r:id="rId24" o:title=""/>
          </v:shape>
          <o:OLEObject Type="Embed" ProgID="Equation.3" ShapeID="_x0000_i1028" DrawAspect="Content" ObjectID="_1536569363" r:id="rId25"/>
        </w:object>
      </w:r>
      <w:r w:rsidR="00206777">
        <w:tab/>
      </w:r>
      <w:r w:rsidR="00206777">
        <w:tab/>
      </w:r>
      <w:r w:rsidR="00206777" w:rsidRPr="001C4D2E">
        <w:t>is t</w:t>
      </w:r>
      <w:r w:rsidR="00572132">
        <w:t>he price of service i in year t</w:t>
      </w:r>
    </w:p>
    <w:p w:rsidR="00572132" w:rsidRDefault="00572132" w:rsidP="00572132">
      <w:pPr>
        <w:numPr>
          <w:ilvl w:val="0"/>
          <w:numId w:val="24"/>
        </w:numPr>
      </w:pPr>
      <w:r w:rsidRPr="00572132">
        <w:rPr>
          <w:position w:val="-12"/>
        </w:rPr>
        <w:object w:dxaOrig="420" w:dyaOrig="380">
          <v:shape id="_x0000_i1029" type="#_x0000_t75" style="width:17.8pt;height:17.8pt" o:ole="">
            <v:imagedata r:id="rId26" o:title=""/>
          </v:shape>
          <o:OLEObject Type="Embed" ProgID="Equation.3" ShapeID="_x0000_i1029" DrawAspect="Content" ObjectID="_1536569364" r:id="rId27"/>
        </w:object>
      </w:r>
      <w:r>
        <w:tab/>
      </w:r>
      <w:r w:rsidRPr="001C4D2E">
        <w:t>is the cap on the price of service i in year t</w:t>
      </w:r>
      <w:r>
        <w:t>–1</w:t>
      </w:r>
    </w:p>
    <w:p w:rsidR="009C68CC" w:rsidRPr="001C4D2E" w:rsidRDefault="009C68CC" w:rsidP="00572132">
      <w:pPr>
        <w:numPr>
          <w:ilvl w:val="0"/>
          <w:numId w:val="24"/>
        </w:numPr>
      </w:pPr>
      <w:r w:rsidRPr="009C68CC">
        <w:rPr>
          <w:position w:val="-6"/>
        </w:rPr>
        <w:object w:dxaOrig="139" w:dyaOrig="240">
          <v:shape id="_x0000_i1030" type="#_x0000_t75" style="width:8pt;height:11.55pt" o:ole="">
            <v:imagedata r:id="rId28" o:title=""/>
          </v:shape>
          <o:OLEObject Type="Embed" ProgID="Equation.3" ShapeID="_x0000_i1030" DrawAspect="Content" ObjectID="_1536569365" r:id="rId29"/>
        </w:object>
      </w:r>
      <w:r>
        <w:tab/>
      </w:r>
      <w:r>
        <w:tab/>
        <w:t>is the regulatory year</w:t>
      </w:r>
    </w:p>
    <w:p w:rsidR="00206777" w:rsidRPr="001C4D2E" w:rsidRDefault="009C68CC" w:rsidP="00206777">
      <w:pPr>
        <w:numPr>
          <w:ilvl w:val="0"/>
          <w:numId w:val="24"/>
        </w:numPr>
      </w:pPr>
      <w:r w:rsidRPr="00810D77">
        <w:rPr>
          <w:position w:val="-12"/>
        </w:rPr>
        <w:object w:dxaOrig="720" w:dyaOrig="380">
          <v:shape id="_x0000_i1031" type="#_x0000_t75" style="width:37.35pt;height:17.8pt" o:ole="">
            <v:imagedata r:id="rId30" o:title=""/>
          </v:shape>
          <o:OLEObject Type="Embed" ProgID="Equation.3" ShapeID="_x0000_i1031" DrawAspect="Content" ObjectID="_1536569366" r:id="rId31"/>
        </w:object>
      </w:r>
      <w:r w:rsidR="00206777" w:rsidRPr="001C4D2E">
        <w:t>is the annual percentage change in the ABS consumer price index (CPI) All Groups, Weighted Average of Eight Capital Cities</w:t>
      </w:r>
      <w:r w:rsidR="00206777">
        <w:rPr>
          <w:rStyle w:val="FootnoteReference"/>
        </w:rPr>
        <w:footnoteReference w:id="5"/>
      </w:r>
      <w:r w:rsidR="00206777" w:rsidRPr="001C4D2E">
        <w:t xml:space="preserve"> from the </w:t>
      </w:r>
      <w:r w:rsidR="00206777">
        <w:t>December</w:t>
      </w:r>
      <w:r w:rsidR="00206777" w:rsidRPr="001C4D2E">
        <w:t xml:space="preserve"> quarter in year</w:t>
      </w:r>
      <w:r>
        <w:t> </w:t>
      </w:r>
      <w:r w:rsidR="00206777" w:rsidRPr="001C4D2E">
        <w:t xml:space="preserve">t–2 to the </w:t>
      </w:r>
      <w:r w:rsidR="00206777">
        <w:t>December</w:t>
      </w:r>
      <w:r w:rsidR="00206777" w:rsidRPr="001C4D2E">
        <w:t xml:space="preserve"> quarter in year t–1, calcul</w:t>
      </w:r>
      <w:r w:rsidR="00206777">
        <w:t>ated using the following method:</w:t>
      </w:r>
    </w:p>
    <w:p w:rsidR="00206777" w:rsidRPr="001C4D2E" w:rsidRDefault="00206777" w:rsidP="00206777">
      <w:pPr>
        <w:pStyle w:val="ListContinue"/>
      </w:pPr>
      <w:r w:rsidRPr="001C4D2E">
        <w:t xml:space="preserve">The ABS CPI All Groups, Weighted Average of Eight Capital Cities for the </w:t>
      </w:r>
      <w:r>
        <w:t>December</w:t>
      </w:r>
      <w:r w:rsidRPr="001C4D2E">
        <w:t xml:space="preserve"> quarter in regulatory year t–1</w:t>
      </w:r>
    </w:p>
    <w:p w:rsidR="00206777" w:rsidRPr="001C4D2E" w:rsidRDefault="00206777" w:rsidP="00206777">
      <w:pPr>
        <w:pStyle w:val="ListContinue"/>
      </w:pPr>
      <w:r w:rsidRPr="001C4D2E">
        <w:t>divided by</w:t>
      </w:r>
    </w:p>
    <w:p w:rsidR="00206777" w:rsidRPr="001C4D2E" w:rsidRDefault="00206777" w:rsidP="00206777">
      <w:pPr>
        <w:pStyle w:val="ListContinue"/>
      </w:pPr>
      <w:r w:rsidRPr="001C4D2E">
        <w:t xml:space="preserve">The ABS CPI All Groups, Weighted Average of Eight Capital Cities for the </w:t>
      </w:r>
      <w:r>
        <w:t>December</w:t>
      </w:r>
      <w:r w:rsidRPr="001C4D2E">
        <w:t xml:space="preserve"> quarter in regulatory year t–2</w:t>
      </w:r>
    </w:p>
    <w:p w:rsidR="00206777" w:rsidRPr="001C4D2E" w:rsidRDefault="00206777" w:rsidP="00206777">
      <w:pPr>
        <w:pStyle w:val="ListContinue"/>
      </w:pPr>
      <w:r w:rsidRPr="001C4D2E">
        <w:t>minus one.</w:t>
      </w:r>
    </w:p>
    <w:p w:rsidR="00206777" w:rsidRPr="001C4D2E" w:rsidRDefault="00206777" w:rsidP="00206777">
      <w:pPr>
        <w:numPr>
          <w:ilvl w:val="0"/>
          <w:numId w:val="24"/>
        </w:numPr>
      </w:pPr>
      <w:r w:rsidRPr="001C4D2E">
        <w:t xml:space="preserve">For example, </w:t>
      </w:r>
      <w:r w:rsidR="00572132" w:rsidRPr="001C4D2E">
        <w:t>for</w:t>
      </w:r>
      <w:r w:rsidR="00572132">
        <w:t xml:space="preserve"> </w:t>
      </w:r>
      <w:r w:rsidR="00572132" w:rsidRPr="001C4D2E">
        <w:t>2018</w:t>
      </w:r>
      <w:r>
        <w:t>–19</w:t>
      </w:r>
      <w:r w:rsidR="00572132">
        <w:t>,</w:t>
      </w:r>
      <w:r w:rsidRPr="001C4D2E">
        <w:t xml:space="preserve"> year t–2 is the </w:t>
      </w:r>
      <w:r>
        <w:t>December</w:t>
      </w:r>
      <w:r w:rsidRPr="001C4D2E">
        <w:t xml:space="preserve"> quarter 2016 and</w:t>
      </w:r>
      <w:r w:rsidR="009C68CC">
        <w:t xml:space="preserve"> year</w:t>
      </w:r>
      <w:r w:rsidRPr="001C4D2E">
        <w:t xml:space="preserve"> t–1 is the </w:t>
      </w:r>
      <w:r>
        <w:t>December</w:t>
      </w:r>
      <w:r w:rsidRPr="001C4D2E">
        <w:t xml:space="preserve"> quarter 2017.</w:t>
      </w:r>
    </w:p>
    <w:p w:rsidR="00206777" w:rsidRDefault="00810D77" w:rsidP="00206777">
      <w:pPr>
        <w:numPr>
          <w:ilvl w:val="0"/>
          <w:numId w:val="24"/>
        </w:numPr>
      </w:pPr>
      <w:r w:rsidRPr="00810D77">
        <w:rPr>
          <w:position w:val="-12"/>
        </w:rPr>
        <w:object w:dxaOrig="340" w:dyaOrig="380">
          <v:shape id="_x0000_i1032" type="#_x0000_t75" style="width:18.65pt;height:17.8pt" o:ole="">
            <v:imagedata r:id="rId32" o:title=""/>
          </v:shape>
          <o:OLEObject Type="Embed" ProgID="Equation.3" ShapeID="_x0000_i1032" DrawAspect="Content" ObjectID="_1536569367" r:id="rId33"/>
        </w:object>
      </w:r>
      <w:r w:rsidR="00206777">
        <w:tab/>
      </w:r>
      <w:r w:rsidR="00206777" w:rsidRPr="001C4D2E">
        <w:t>is the X</w:t>
      </w:r>
      <w:r w:rsidR="00206777">
        <w:t> </w:t>
      </w:r>
      <w:r w:rsidR="00206777" w:rsidRPr="001C4D2E">
        <w:t>factor for service i in year t</w:t>
      </w:r>
      <w:r w:rsidR="00206777">
        <w:t>. The X factor is zero for fee based services.</w:t>
      </w:r>
    </w:p>
    <w:p w:rsidR="00206777" w:rsidRDefault="00206777" w:rsidP="00206777">
      <w:pPr>
        <w:numPr>
          <w:ilvl w:val="0"/>
          <w:numId w:val="24"/>
        </w:numPr>
      </w:pPr>
      <w:r>
        <w:t xml:space="preserve">We note our </w:t>
      </w:r>
      <w:r w:rsidRPr="00E83B91">
        <w:t>final F&amp;A erroneously stated the X factor in this formula would incorporate annual adjustments for updates to the trailing cost of debt.</w:t>
      </w:r>
      <w:r>
        <w:rPr>
          <w:rStyle w:val="FootnoteReference"/>
        </w:rPr>
        <w:footnoteReference w:id="6"/>
      </w:r>
      <w:r w:rsidRPr="00E83B91">
        <w:t xml:space="preserve"> However, we note these services do not incorporate a cost of capital and therefore the X factors will not be </w:t>
      </w:r>
      <w:r w:rsidR="00655B7B">
        <w:t>updated</w:t>
      </w:r>
      <w:r w:rsidRPr="00E83B91">
        <w:t xml:space="preserve"> in this manner. Rather, consistent with the price caps applied to these services in other jurisdictions, the X factors will adjust for annual labour price growth</w:t>
      </w:r>
      <w:r>
        <w:t>. However, TasNetworks did not propose any labour price growth adjustments for fee based services</w:t>
      </w:r>
      <w:r w:rsidR="00655B7B">
        <w:t>. We have</w:t>
      </w:r>
      <w:r>
        <w:t xml:space="preserve"> accept</w:t>
      </w:r>
      <w:r w:rsidR="00655B7B">
        <w:t>ed that approach</w:t>
      </w:r>
      <w:r>
        <w:t>.</w:t>
      </w:r>
    </w:p>
    <w:bookmarkEnd w:id="82"/>
    <w:bookmarkEnd w:id="83"/>
    <w:p w:rsidR="00CC3A0E" w:rsidRPr="00CC3A0E" w:rsidRDefault="00CC3A0E" w:rsidP="00CC3A0E">
      <w:pPr>
        <w:pStyle w:val="HeadingBoldBlue"/>
      </w:pPr>
      <w:r w:rsidRPr="00CC3A0E">
        <w:t>Form of control—quoted services</w:t>
      </w:r>
    </w:p>
    <w:p w:rsidR="00206777" w:rsidRPr="001C4D2E" w:rsidRDefault="00206777" w:rsidP="00206777">
      <w:bookmarkStart w:id="84" w:name="_Ref442368944"/>
      <w:r w:rsidRPr="001C4D2E">
        <w:lastRenderedPageBreak/>
        <w:t xml:space="preserve">Our </w:t>
      </w:r>
      <w:r>
        <w:t>draft</w:t>
      </w:r>
      <w:r w:rsidRPr="001C4D2E">
        <w:t xml:space="preserve"> decision applies a </w:t>
      </w:r>
      <w:r>
        <w:t xml:space="preserve">price cap </w:t>
      </w:r>
      <w:r w:rsidRPr="001C4D2E">
        <w:t>formula to determine the cost build-up of services that are priced on a ‘quoted’ basis.</w:t>
      </w:r>
      <w:r w:rsidRPr="001C4D2E">
        <w:rPr>
          <w:rStyle w:val="FootnoteReference"/>
        </w:rPr>
        <w:footnoteReference w:id="7"/>
      </w:r>
      <w:r w:rsidRPr="001C4D2E">
        <w:t xml:space="preserve"> </w:t>
      </w:r>
      <w:r w:rsidR="00EA2F0D">
        <w:fldChar w:fldCharType="begin"/>
      </w:r>
      <w:r w:rsidR="00EA2F0D">
        <w:instrText xml:space="preserve"> REF _Ref456362217 \h </w:instrText>
      </w:r>
      <w:r w:rsidR="00EA2F0D">
        <w:fldChar w:fldCharType="separate"/>
      </w:r>
      <w:r w:rsidR="000C061E">
        <w:t xml:space="preserve">Figure </w:t>
      </w:r>
      <w:r w:rsidR="000C061E">
        <w:rPr>
          <w:noProof/>
        </w:rPr>
        <w:t>16</w:t>
      </w:r>
      <w:r w:rsidR="000C061E">
        <w:t>.</w:t>
      </w:r>
      <w:r w:rsidR="000C061E">
        <w:rPr>
          <w:noProof/>
        </w:rPr>
        <w:t>2</w:t>
      </w:r>
      <w:r w:rsidR="00EA2F0D">
        <w:fldChar w:fldCharType="end"/>
      </w:r>
      <w:r w:rsidR="00EA2F0D">
        <w:t xml:space="preserve"> </w:t>
      </w:r>
      <w:r>
        <w:t xml:space="preserve">sets out the price cap formula and </w:t>
      </w:r>
      <w:r w:rsidR="001D5287">
        <w:fldChar w:fldCharType="begin"/>
      </w:r>
      <w:r w:rsidR="001D5287">
        <w:instrText xml:space="preserve"> REF  _Ref456364175 \* Lower \h </w:instrText>
      </w:r>
      <w:r w:rsidR="001D5287">
        <w:fldChar w:fldCharType="separate"/>
      </w:r>
      <w:r w:rsidR="000C061E">
        <w:t xml:space="preserve">table </w:t>
      </w:r>
      <w:r w:rsidR="000C061E">
        <w:rPr>
          <w:noProof/>
        </w:rPr>
        <w:t>16</w:t>
      </w:r>
      <w:r w:rsidR="000C061E">
        <w:t>.</w:t>
      </w:r>
      <w:r w:rsidR="000C061E">
        <w:rPr>
          <w:noProof/>
        </w:rPr>
        <w:t>10</w:t>
      </w:r>
      <w:r w:rsidR="001D5287">
        <w:fldChar w:fldCharType="end"/>
      </w:r>
      <w:r w:rsidR="001D5287">
        <w:t xml:space="preserve"> </w:t>
      </w:r>
      <w:r w:rsidRPr="001C4D2E">
        <w:t>in appendix</w:t>
      </w:r>
      <w:r w:rsidR="001D5287">
        <w:t xml:space="preserve"> </w:t>
      </w:r>
      <w:r w:rsidR="001D5287">
        <w:fldChar w:fldCharType="begin"/>
      </w:r>
      <w:r w:rsidR="001D5287">
        <w:instrText xml:space="preserve"> REF _Ref456364195 \r \h </w:instrText>
      </w:r>
      <w:r w:rsidR="001D5287">
        <w:fldChar w:fldCharType="separate"/>
      </w:r>
      <w:r w:rsidR="000C061E">
        <w:t>A</w:t>
      </w:r>
      <w:r w:rsidR="001D5287">
        <w:fldChar w:fldCharType="end"/>
      </w:r>
      <w:r>
        <w:t xml:space="preserve"> </w:t>
      </w:r>
      <w:r w:rsidRPr="001C4D2E">
        <w:t>sets ou</w:t>
      </w:r>
      <w:r w:rsidR="000B4DE3">
        <w:t>t the</w:t>
      </w:r>
      <w:r w:rsidR="009D60FB">
        <w:t xml:space="preserve"> draft decision</w:t>
      </w:r>
      <w:r w:rsidR="000B4DE3">
        <w:t xml:space="preserve"> 2017–18</w:t>
      </w:r>
      <w:r w:rsidRPr="001C4D2E">
        <w:t xml:space="preserve"> labour rates for quoted services.</w:t>
      </w:r>
    </w:p>
    <w:p w:rsidR="00C26A82" w:rsidRDefault="00C26A82" w:rsidP="00C26A82">
      <w:pPr>
        <w:pStyle w:val="Caption"/>
      </w:pPr>
      <w:bookmarkStart w:id="85" w:name="_Ref456362217"/>
      <w:r>
        <w:t xml:space="preserve">Figure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rsidR="009B3860">
        <w:t>.</w:t>
      </w:r>
      <w:r w:rsidR="00E639DB">
        <w:fldChar w:fldCharType="begin"/>
      </w:r>
      <w:r w:rsidR="00E639DB">
        <w:instrText xml:space="preserve"> SEQ Figure \* ARABIC \s 1 </w:instrText>
      </w:r>
      <w:r w:rsidR="00E639DB">
        <w:fldChar w:fldCharType="separate"/>
      </w:r>
      <w:r w:rsidR="000C061E">
        <w:rPr>
          <w:noProof/>
        </w:rPr>
        <w:t>2</w:t>
      </w:r>
      <w:r w:rsidR="00E639DB">
        <w:rPr>
          <w:noProof/>
        </w:rPr>
        <w:fldChar w:fldCharType="end"/>
      </w:r>
      <w:bookmarkEnd w:id="84"/>
      <w:bookmarkEnd w:id="85"/>
      <w:r>
        <w:t xml:space="preserve"> </w:t>
      </w:r>
      <w:r>
        <w:tab/>
      </w:r>
      <w:r>
        <w:tab/>
        <w:t>Quoted services formula</w:t>
      </w:r>
    </w:p>
    <w:p w:rsidR="00C26A82" w:rsidRPr="00C26A82" w:rsidRDefault="00C26A82" w:rsidP="00C26A82">
      <m:oMathPara>
        <m:oMathParaPr>
          <m:jc m:val="left"/>
        </m:oMathParaPr>
        <m:oMath>
          <m:r>
            <w:rPr>
              <w:rFonts w:ascii="Cambria Math" w:hAnsi="Cambria Math"/>
            </w:rPr>
            <m:t>Price=Labour+Contr</m:t>
          </m:r>
          <m:r>
            <w:rPr>
              <w:rFonts w:ascii="Cambria Math" w:hAnsi="Cambria Math"/>
            </w:rPr>
            <m:t>actor Services+Materials</m:t>
          </m:r>
        </m:oMath>
      </m:oMathPara>
    </w:p>
    <w:p w:rsidR="00C26A82" w:rsidRPr="001C4D2E" w:rsidRDefault="00C26A82" w:rsidP="00C26A82">
      <w:r w:rsidRPr="001C4D2E">
        <w:t>Where:</w:t>
      </w:r>
    </w:p>
    <w:p w:rsidR="00C26A82" w:rsidRPr="001C4D2E" w:rsidRDefault="00C26A82" w:rsidP="00C26A82">
      <m:oMath>
        <m:r>
          <w:rPr>
            <w:rFonts w:ascii="Cambria Math" w:hAnsi="Cambria Math"/>
          </w:rPr>
          <m:t>Labour</m:t>
        </m:r>
      </m:oMath>
      <w:r w:rsidRPr="001C4D2E">
        <w:t xml:space="preserve"> consists of all labour costs directly incurred in the provision of the service which may include labour on-costs, fleet on-costs and overheads. Labour is escalated annually by </w:t>
      </w:r>
      <w:r w:rsidR="009C68CC" w:rsidRPr="00810D77">
        <w:rPr>
          <w:position w:val="-12"/>
        </w:rPr>
        <w:object w:dxaOrig="1980" w:dyaOrig="380">
          <v:shape id="_x0000_i1033" type="#_x0000_t75" style="width:99.55pt;height:17.8pt" o:ole="">
            <v:imagedata r:id="rId34" o:title=""/>
          </v:shape>
          <o:OLEObject Type="Embed" ProgID="Equation.3" ShapeID="_x0000_i1033" DrawAspect="Content" ObjectID="_1536569368" r:id="rId35"/>
        </w:object>
      </w:r>
      <w:r w:rsidRPr="001C4D2E">
        <w:t>where:</w:t>
      </w:r>
    </w:p>
    <w:p w:rsidR="00572132" w:rsidRPr="00572132" w:rsidRDefault="009C68CC" w:rsidP="00572132">
      <w:pPr>
        <w:pStyle w:val="ListContinue"/>
        <w:numPr>
          <w:ilvl w:val="0"/>
          <w:numId w:val="24"/>
        </w:numPr>
      </w:pPr>
      <w:r w:rsidRPr="00810D77">
        <w:rPr>
          <w:position w:val="-12"/>
        </w:rPr>
        <w:object w:dxaOrig="720" w:dyaOrig="380">
          <v:shape id="_x0000_i1034" type="#_x0000_t75" style="width:37.35pt;height:17.8pt" o:ole="">
            <v:imagedata r:id="rId36" o:title=""/>
          </v:shape>
          <o:OLEObject Type="Embed" ProgID="Equation.3" ShapeID="_x0000_i1034" DrawAspect="Content" ObjectID="_1536569369" r:id="rId37"/>
        </w:object>
      </w:r>
      <w:r w:rsidR="00C26A82" w:rsidRPr="001C4D2E">
        <w:t>is the annual percentage change in the ABS CPI All Groups, Weighted Average of Eight Capital Cities</w:t>
      </w:r>
      <w:r w:rsidR="00C26A82" w:rsidRPr="00661E11">
        <w:rPr>
          <w:rStyle w:val="FootnoteReference"/>
        </w:rPr>
        <w:footnoteReference w:id="8"/>
      </w:r>
      <w:r w:rsidR="00C26A82" w:rsidRPr="001C4D2E">
        <w:t xml:space="preserve"> </w:t>
      </w:r>
      <w:r w:rsidR="00572132" w:rsidRPr="00572132">
        <w:t>from the December quarter in year t–2 to the December quarter in year t–1, calculated using the following method:</w:t>
      </w:r>
    </w:p>
    <w:p w:rsidR="00572132" w:rsidRPr="00572132" w:rsidRDefault="00572132" w:rsidP="00572132">
      <w:pPr>
        <w:pStyle w:val="ListContinue"/>
      </w:pPr>
      <w:r w:rsidRPr="00572132">
        <w:t>The ABS CPI All Groups, Weighted Average of Eight Capital Cities for the December quarter in regulatory year t–1</w:t>
      </w:r>
    </w:p>
    <w:p w:rsidR="00572132" w:rsidRPr="00572132" w:rsidRDefault="00572132" w:rsidP="00572132">
      <w:pPr>
        <w:pStyle w:val="ListContinue"/>
      </w:pPr>
      <w:r w:rsidRPr="00572132">
        <w:t>divided by</w:t>
      </w:r>
    </w:p>
    <w:p w:rsidR="00572132" w:rsidRPr="00572132" w:rsidRDefault="00572132" w:rsidP="00572132">
      <w:pPr>
        <w:pStyle w:val="ListContinue"/>
      </w:pPr>
      <w:r w:rsidRPr="00572132">
        <w:t>The ABS CPI All Groups, Weighted Average of Eight Capital Cities for the December quarter in regulatory year t–2</w:t>
      </w:r>
    </w:p>
    <w:p w:rsidR="00572132" w:rsidRPr="00572132" w:rsidRDefault="00572132" w:rsidP="00572132">
      <w:pPr>
        <w:pStyle w:val="ListContinue"/>
      </w:pPr>
      <w:r w:rsidRPr="00572132">
        <w:t>minus one.</w:t>
      </w:r>
    </w:p>
    <w:p w:rsidR="00572132" w:rsidRDefault="00572132" w:rsidP="00572132">
      <w:pPr>
        <w:pStyle w:val="ListContinue"/>
        <w:numPr>
          <w:ilvl w:val="0"/>
          <w:numId w:val="24"/>
        </w:numPr>
      </w:pPr>
      <w:r w:rsidRPr="00572132">
        <w:t>For example, for 2018–19, year t–2 is the December quarter 2016 and</w:t>
      </w:r>
      <w:r w:rsidR="009C68CC">
        <w:t xml:space="preserve"> year</w:t>
      </w:r>
      <w:r w:rsidRPr="00572132">
        <w:t xml:space="preserve"> t–1 is the December quarter 2017.</w:t>
      </w:r>
    </w:p>
    <w:p w:rsidR="00C26A82" w:rsidRPr="001C4D2E" w:rsidRDefault="00810D77" w:rsidP="00572132">
      <w:r w:rsidRPr="00810D77">
        <w:rPr>
          <w:position w:val="-12"/>
        </w:rPr>
        <w:object w:dxaOrig="340" w:dyaOrig="380">
          <v:shape id="_x0000_i1035" type="#_x0000_t75" style="width:18.65pt;height:17.8pt" o:ole="">
            <v:imagedata r:id="rId38" o:title=""/>
          </v:shape>
          <o:OLEObject Type="Embed" ProgID="Equation.3" ShapeID="_x0000_i1035" DrawAspect="Content" ObjectID="_1536569370" r:id="rId39"/>
        </w:object>
      </w:r>
      <w:r w:rsidR="00C26A82" w:rsidRPr="001C4D2E">
        <w:t xml:space="preserve"> is the X factor for service i in year t</w:t>
      </w:r>
      <w:r w:rsidR="009D60FB">
        <w:t>. The X factor is zero for quoted services</w:t>
      </w:r>
      <w:r w:rsidR="00C26A82">
        <w:t>.</w:t>
      </w:r>
      <w:r w:rsidR="00C26A82">
        <w:rPr>
          <w:rStyle w:val="FootnoteReference"/>
        </w:rPr>
        <w:footnoteReference w:id="9"/>
      </w:r>
      <w:r w:rsidR="00C26A82">
        <w:t xml:space="preserve"> </w:t>
      </w:r>
    </w:p>
    <w:p w:rsidR="00C26A82" w:rsidRPr="001C4D2E" w:rsidRDefault="00C26A82" w:rsidP="00C26A82">
      <m:oMath>
        <m:r>
          <w:rPr>
            <w:rFonts w:ascii="Cambria Math" w:hAnsi="Cambria Math"/>
          </w:rPr>
          <m:t xml:space="preserve">Contractor Services </m:t>
        </m:r>
      </m:oMath>
      <w:r w:rsidRPr="001C4D2E">
        <w:tab/>
        <w:t>reflect all costs associated with the use of external labour including overheads and any direct costs incurred. The contracted services charge applies the rates under existing contractual arrangements. Direct costs incurred are passed on to the customer.</w:t>
      </w:r>
    </w:p>
    <w:p w:rsidR="00C26A82" w:rsidRDefault="00C26A82" w:rsidP="00C26A82">
      <m:oMath>
        <m:r>
          <w:rPr>
            <w:rFonts w:ascii="Cambria Math" w:hAnsi="Cambria Math"/>
          </w:rPr>
          <m:t>Materia</m:t>
        </m:r>
        <m:r>
          <w:rPr>
            <w:rFonts w:ascii="Cambria Math" w:hAnsi="Cambria Math"/>
          </w:rPr>
          <m:t>ls</m:t>
        </m:r>
      </m:oMath>
      <w:r w:rsidRPr="001C4D2E">
        <w:tab/>
        <w:t>reflect the cost of materials directly incurred in the provision of the service, material storage and logistics on-costs and overheads.</w:t>
      </w:r>
    </w:p>
    <w:p w:rsidR="00CC3A0E" w:rsidRDefault="00CC3A0E" w:rsidP="00CC3A0E">
      <w:pPr>
        <w:pStyle w:val="Heading3"/>
      </w:pPr>
      <w:bookmarkStart w:id="86" w:name="_Toc462755665"/>
      <w:r w:rsidRPr="00CC3A0E">
        <w:t>TasNetworks' proposal</w:t>
      </w:r>
      <w:bookmarkEnd w:id="86"/>
    </w:p>
    <w:p w:rsidR="00206777" w:rsidRDefault="00206777" w:rsidP="00206777">
      <w:bookmarkStart w:id="87" w:name="_Toc433704557"/>
      <w:bookmarkStart w:id="88" w:name="_Toc448736755"/>
      <w:bookmarkStart w:id="89" w:name="_Ref453947929"/>
      <w:r>
        <w:t>TasNetworks used a cost build</w:t>
      </w:r>
      <w:r>
        <w:noBreakHyphen/>
        <w:t>up method to establish initial prices for fee based services in the first year of the 2017–19 regulatory control period.</w:t>
      </w:r>
      <w:r>
        <w:rPr>
          <w:rStyle w:val="FootnoteReference"/>
        </w:rPr>
        <w:footnoteReference w:id="10"/>
      </w:r>
      <w:r>
        <w:t xml:space="preserve"> TasNetworks' proposed fee based services include:</w:t>
      </w:r>
    </w:p>
    <w:p w:rsidR="00206777" w:rsidRDefault="00206777" w:rsidP="00206777">
      <w:pPr>
        <w:pStyle w:val="AERbulletlistfirststyle"/>
      </w:pPr>
      <w:r>
        <w:t>energisation</w:t>
      </w:r>
    </w:p>
    <w:p w:rsidR="00206777" w:rsidRDefault="00206777" w:rsidP="00206777">
      <w:pPr>
        <w:pStyle w:val="AERbulletlistfirststyle"/>
      </w:pPr>
      <w:r>
        <w:t>de-energisation</w:t>
      </w:r>
    </w:p>
    <w:p w:rsidR="00206777" w:rsidRDefault="00206777" w:rsidP="00206777">
      <w:pPr>
        <w:pStyle w:val="AERbulletlistfirststyle"/>
      </w:pPr>
      <w:r>
        <w:t>re-energisation</w:t>
      </w:r>
    </w:p>
    <w:p w:rsidR="00206777" w:rsidRDefault="00206777" w:rsidP="00206777">
      <w:pPr>
        <w:pStyle w:val="AERbulletlistfirststyle"/>
      </w:pPr>
      <w:r>
        <w:t>meter alteration</w:t>
      </w:r>
    </w:p>
    <w:p w:rsidR="00206777" w:rsidRDefault="00206777" w:rsidP="00206777">
      <w:pPr>
        <w:pStyle w:val="AERbulletlistfirststyle"/>
      </w:pPr>
      <w:r>
        <w:t>meter testing</w:t>
      </w:r>
    </w:p>
    <w:p w:rsidR="00206777" w:rsidRDefault="00206777" w:rsidP="00206777">
      <w:pPr>
        <w:pStyle w:val="AERbulletlistfirststyle"/>
      </w:pPr>
      <w:r>
        <w:t>basic connection</w:t>
      </w:r>
    </w:p>
    <w:p w:rsidR="00206777" w:rsidRDefault="00206777" w:rsidP="00206777">
      <w:pPr>
        <w:pStyle w:val="AERbulletlistfirststyle"/>
      </w:pPr>
      <w:r>
        <w:t>supply abolishment—removal of meters and service connection</w:t>
      </w:r>
    </w:p>
    <w:p w:rsidR="00206777" w:rsidRDefault="00206777" w:rsidP="00206777">
      <w:pPr>
        <w:pStyle w:val="AERbulletlistfirststyle"/>
      </w:pPr>
      <w:r>
        <w:t>renewable energy connection</w:t>
      </w:r>
    </w:p>
    <w:p w:rsidR="00206777" w:rsidRDefault="00206777" w:rsidP="00206777">
      <w:pPr>
        <w:pStyle w:val="AERbulletlistfirststyle"/>
      </w:pPr>
      <w:r>
        <w:t>other miscellaneous services.</w:t>
      </w:r>
      <w:r>
        <w:rPr>
          <w:rStyle w:val="FootnoteReference"/>
        </w:rPr>
        <w:footnoteReference w:id="11"/>
      </w:r>
    </w:p>
    <w:p w:rsidR="00206777" w:rsidRPr="00F41178" w:rsidRDefault="00206777" w:rsidP="00F41178">
      <w:r w:rsidRPr="00F41178">
        <w:t>It</w:t>
      </w:r>
      <w:r w:rsidR="00495C04">
        <w:t xml:space="preserve"> also</w:t>
      </w:r>
      <w:r w:rsidRPr="00F41178">
        <w:t xml:space="preserve"> proposed a range of quoted services, including: </w:t>
      </w:r>
    </w:p>
    <w:p w:rsidR="00206777" w:rsidRDefault="00206777" w:rsidP="00206777">
      <w:pPr>
        <w:pStyle w:val="AERbulletlistfirststyle"/>
      </w:pPr>
      <w:r>
        <w:t>removal or relocation of assets at a customer's request</w:t>
      </w:r>
    </w:p>
    <w:p w:rsidR="00206777" w:rsidRDefault="00206777" w:rsidP="00206777">
      <w:pPr>
        <w:pStyle w:val="AERbulletlistfirststyle"/>
      </w:pPr>
      <w:r>
        <w:t>services that are provided at a higher standard than the standard service, due to a customer's request</w:t>
      </w:r>
    </w:p>
    <w:p w:rsidR="00975820" w:rsidRDefault="00975820" w:rsidP="00206777">
      <w:pPr>
        <w:pStyle w:val="AERbulletlistfirststyle"/>
      </w:pPr>
      <w:r>
        <w:t>provision of public lighting schemes</w:t>
      </w:r>
    </w:p>
    <w:p w:rsidR="00975820" w:rsidRDefault="00975820" w:rsidP="00206777">
      <w:pPr>
        <w:pStyle w:val="AERbulletlistfirststyle"/>
      </w:pPr>
      <w:r>
        <w:t>provision of overhead and underground subdivisions for developers</w:t>
      </w:r>
    </w:p>
    <w:p w:rsidR="00206777" w:rsidRDefault="00206777" w:rsidP="00206777">
      <w:pPr>
        <w:pStyle w:val="AERbulletlistfirststyle"/>
      </w:pPr>
      <w:r>
        <w:t>relocation of assets at a third party's request</w:t>
      </w:r>
      <w:r w:rsidR="00975820">
        <w:t>; and</w:t>
      </w:r>
    </w:p>
    <w:p w:rsidR="00206777" w:rsidRDefault="00206777" w:rsidP="00206777">
      <w:pPr>
        <w:pStyle w:val="AERbulletlistfirststyle"/>
      </w:pPr>
      <w:r>
        <w:t>services that are provided through a non-standard process at a customer's request (for example, where more frequent meter reading is required).</w:t>
      </w:r>
      <w:r>
        <w:rPr>
          <w:rStyle w:val="FootnoteReference"/>
        </w:rPr>
        <w:footnoteReference w:id="12"/>
      </w:r>
    </w:p>
    <w:p w:rsidR="00CC3A0E" w:rsidRDefault="00CC3A0E" w:rsidP="00CC3A0E">
      <w:pPr>
        <w:pStyle w:val="Heading3"/>
      </w:pPr>
      <w:bookmarkStart w:id="90" w:name="_Toc462755666"/>
      <w:r w:rsidRPr="00CC3A0E">
        <w:t>Assessment approach</w:t>
      </w:r>
      <w:bookmarkEnd w:id="87"/>
      <w:bookmarkEnd w:id="88"/>
      <w:bookmarkEnd w:id="89"/>
      <w:bookmarkEnd w:id="90"/>
    </w:p>
    <w:p w:rsidR="00206777" w:rsidRDefault="00206777" w:rsidP="00206777">
      <w:r>
        <w:t>Our assessment approach focusses on the key inputs used by</w:t>
      </w:r>
      <w:r w:rsidR="00810D77">
        <w:t xml:space="preserve"> TasNetworks' in its cost build</w:t>
      </w:r>
      <w:r w:rsidR="00810D77">
        <w:noBreakHyphen/>
      </w:r>
      <w:r>
        <w:t>up of proposed prices for ancillary network services.</w:t>
      </w:r>
    </w:p>
    <w:p w:rsidR="00206777" w:rsidRDefault="00206777" w:rsidP="00206777">
      <w:r>
        <w:t xml:space="preserve">As noted by TasNetworks, labour costs are </w:t>
      </w:r>
      <w:r w:rsidR="00F41178">
        <w:t xml:space="preserve">the </w:t>
      </w:r>
      <w:r w:rsidR="00495C04">
        <w:t>major</w:t>
      </w:r>
      <w:r w:rsidR="00810D77">
        <w:t xml:space="preserve"> input in the cost build</w:t>
      </w:r>
      <w:r w:rsidR="00810D77">
        <w:noBreakHyphen/>
      </w:r>
      <w:r>
        <w:t>up of prices for ancillary network services.</w:t>
      </w:r>
      <w:r>
        <w:rPr>
          <w:rStyle w:val="FootnoteReference"/>
        </w:rPr>
        <w:footnoteReference w:id="13"/>
      </w:r>
      <w:r>
        <w:t xml:space="preserve"> Therefore, our assessment focusses on comparing TasNetworks' proposed labour rates against </w:t>
      </w:r>
      <w:r w:rsidR="00F41178">
        <w:t>our</w:t>
      </w:r>
      <w:r>
        <w:t xml:space="preserve"> maximum total labour rates </w:t>
      </w:r>
      <w:r w:rsidR="00F41178">
        <w:t>which we consider are efficient</w:t>
      </w:r>
      <w:r>
        <w:t>. Where TasNetworks' proposed labour rates exceed our maximum total labour rates</w:t>
      </w:r>
      <w:r w:rsidR="00F41178">
        <w:t xml:space="preserve"> </w:t>
      </w:r>
      <w:r>
        <w:t>we apply our maximum total labour rates to determine efficient prices. Section </w:t>
      </w:r>
      <w:r>
        <w:fldChar w:fldCharType="begin"/>
      </w:r>
      <w:r>
        <w:instrText xml:space="preserve"> REF _Ref455755897 \r \h </w:instrText>
      </w:r>
      <w:r>
        <w:fldChar w:fldCharType="separate"/>
      </w:r>
      <w:r w:rsidR="000C061E">
        <w:t>16.1.4.1</w:t>
      </w:r>
      <w:r>
        <w:fldChar w:fldCharType="end"/>
      </w:r>
      <w:r>
        <w:t xml:space="preserve"> discusses our maximum total labour rates.</w:t>
      </w:r>
    </w:p>
    <w:p w:rsidR="00C85DF4" w:rsidRDefault="00206777" w:rsidP="00206777">
      <w:r>
        <w:t>We also assess the proposed times taken to perform the service</w:t>
      </w:r>
      <w:r w:rsidRPr="00D3027E">
        <w:t xml:space="preserve"> </w:t>
      </w:r>
      <w:r>
        <w:t xml:space="preserve">as well as the escalators and allocators applied by TasNetworks as these </w:t>
      </w:r>
      <w:r w:rsidR="00810D77">
        <w:t>are also material cost inputs which</w:t>
      </w:r>
      <w:r>
        <w:t xml:space="preserve"> determin</w:t>
      </w:r>
      <w:r w:rsidR="00810D77">
        <w:t>e</w:t>
      </w:r>
      <w:r>
        <w:t xml:space="preserve"> the final price for some services. Our assessment of these inputs is informed by benchmarking against inputs applied by other distributors.</w:t>
      </w:r>
    </w:p>
    <w:p w:rsidR="000F4821" w:rsidRPr="000F4821" w:rsidRDefault="000F4821" w:rsidP="000F4821">
      <w:pPr>
        <w:pStyle w:val="Heading3"/>
      </w:pPr>
      <w:bookmarkStart w:id="91" w:name="_Ref430936976"/>
      <w:bookmarkStart w:id="92" w:name="_Toc433704558"/>
      <w:bookmarkStart w:id="93" w:name="_Toc448736756"/>
      <w:bookmarkStart w:id="94" w:name="_Toc462755667"/>
      <w:r w:rsidRPr="000F4821">
        <w:t xml:space="preserve">Reasons for </w:t>
      </w:r>
      <w:r w:rsidR="004D08FA">
        <w:t>draft</w:t>
      </w:r>
      <w:r w:rsidRPr="000F4821">
        <w:t xml:space="preserve"> decision</w:t>
      </w:r>
      <w:bookmarkEnd w:id="91"/>
      <w:bookmarkEnd w:id="92"/>
      <w:bookmarkEnd w:id="93"/>
      <w:bookmarkEnd w:id="94"/>
    </w:p>
    <w:p w:rsidR="00422D2A" w:rsidRDefault="00422D2A" w:rsidP="00422D2A">
      <w:pPr>
        <w:pStyle w:val="Heading4"/>
      </w:pPr>
      <w:bookmarkStart w:id="95" w:name="_Ref455755897"/>
      <w:r w:rsidRPr="00422D2A">
        <w:t xml:space="preserve"> </w:t>
      </w:r>
      <w:r>
        <w:t>Maximum total labour rates</w:t>
      </w:r>
      <w:bookmarkEnd w:id="95"/>
    </w:p>
    <w:p w:rsidR="00422D2A" w:rsidRDefault="00422D2A" w:rsidP="00422D2A">
      <w:bookmarkStart w:id="96" w:name="_Ref453948305"/>
      <w:r>
        <w:t>W</w:t>
      </w:r>
      <w:r w:rsidRPr="00C31DC4">
        <w:t xml:space="preserve">e </w:t>
      </w:r>
      <w:r>
        <w:t>accept all but one of TasNetworks'</w:t>
      </w:r>
      <w:r w:rsidRPr="00DF0F1B">
        <w:t xml:space="preserve"> </w:t>
      </w:r>
      <w:r w:rsidRPr="00C31DC4">
        <w:t>proposed labour rates</w:t>
      </w:r>
      <w:r>
        <w:t xml:space="preserve"> as they do not exceed the </w:t>
      </w:r>
      <w:r w:rsidRPr="00C31DC4">
        <w:t>maximum total labour rates which we consider</w:t>
      </w:r>
      <w:r>
        <w:t xml:space="preserve"> are</w:t>
      </w:r>
      <w:r w:rsidRPr="00C31DC4">
        <w:t xml:space="preserve"> efficient.</w:t>
      </w:r>
      <w:r>
        <w:t xml:space="preserve"> </w:t>
      </w:r>
      <w:r w:rsidR="008179B2">
        <w:t>W</w:t>
      </w:r>
      <w:r>
        <w:t>e do not accept TasNetworks' implied administration labour rate as it exceeds our administration maximum total labour rate. Our</w:t>
      </w:r>
      <w:r w:rsidR="00A3466F">
        <w:t xml:space="preserve"> detailed</w:t>
      </w:r>
      <w:r>
        <w:t xml:space="preserve"> reasons for not accepting the implied administration labour rate are set out in</w:t>
      </w:r>
      <w:r w:rsidRPr="001E404D">
        <w:t xml:space="preserve"> </w:t>
      </w:r>
      <w:r>
        <w:t>section </w:t>
      </w:r>
      <w:r w:rsidR="00332989">
        <w:fldChar w:fldCharType="begin"/>
      </w:r>
      <w:r w:rsidR="00332989">
        <w:instrText xml:space="preserve"> REF _Ref456088165 \r \h </w:instrText>
      </w:r>
      <w:r w:rsidR="00332989">
        <w:fldChar w:fldCharType="separate"/>
      </w:r>
      <w:r w:rsidR="000C061E">
        <w:t>16.1.4.2</w:t>
      </w:r>
      <w:r w:rsidR="00332989">
        <w:fldChar w:fldCharType="end"/>
      </w:r>
      <w:r>
        <w:t>.</w:t>
      </w:r>
    </w:p>
    <w:p w:rsidR="00422D2A" w:rsidRDefault="00422D2A" w:rsidP="00422D2A">
      <w:r w:rsidRPr="004E4B4C">
        <w:t xml:space="preserve">As labour is the major input in determining prices for ancillary network services, we consider it prudent to use maximum total labour rates as </w:t>
      </w:r>
      <w:r w:rsidR="00495C04">
        <w:t>an input</w:t>
      </w:r>
      <w:r w:rsidRPr="004E4B4C">
        <w:t xml:space="preserve"> to assess prices for ancillary network services.</w:t>
      </w:r>
      <w:r w:rsidRPr="007A4A7E">
        <w:t xml:space="preserve"> </w:t>
      </w:r>
      <w:r>
        <w:t>The m</w:t>
      </w:r>
      <w:r w:rsidRPr="007A4A7E">
        <w:t>aximum total labour rates</w:t>
      </w:r>
      <w:r w:rsidRPr="00FA186D">
        <w:t>—which we consider are efficient—</w:t>
      </w:r>
      <w:r w:rsidRPr="007A4A7E">
        <w:t>act as 'ceilings' on t</w:t>
      </w:r>
      <w:r>
        <w:t>he rates we consider a distributor</w:t>
      </w:r>
      <w:r w:rsidRPr="007A4A7E">
        <w:t xml:space="preserve"> should pay for various labour types.</w:t>
      </w:r>
      <w:r w:rsidR="007364E9">
        <w:t xml:space="preserve"> </w:t>
      </w:r>
      <w:r>
        <w:t>We consider the maximum total labour rates provide a distributor with a reasonable opportunity to recover at least its efficient costs.</w:t>
      </w:r>
      <w:r w:rsidR="00495C04" w:rsidRPr="00422D2A">
        <w:rPr>
          <w:rStyle w:val="CommentReference"/>
        </w:rPr>
        <w:t xml:space="preserve"> </w:t>
      </w:r>
      <w:r w:rsidR="00495C04">
        <w:t>This will promote the efficient provision of electricity services and allow a return commensurate with the regulatory and commercial risks involved in the provision of these services.</w:t>
      </w:r>
      <w:r w:rsidR="00495C04">
        <w:rPr>
          <w:rStyle w:val="FootnoteReference"/>
        </w:rPr>
        <w:footnoteReference w:id="14"/>
      </w:r>
    </w:p>
    <w:p w:rsidR="005E21FE" w:rsidRDefault="005E21FE" w:rsidP="00DD391C">
      <w:r w:rsidRPr="004E4B4C">
        <w:t>Where TasNetworks' labour rates are lower than our</w:t>
      </w:r>
      <w:r>
        <w:t xml:space="preserve"> </w:t>
      </w:r>
      <w:r w:rsidRPr="004E4B4C">
        <w:t>maximum</w:t>
      </w:r>
      <w:r>
        <w:t xml:space="preserve"> total labour</w:t>
      </w:r>
      <w:r w:rsidRPr="004E4B4C">
        <w:t xml:space="preserve"> rates, we </w:t>
      </w:r>
      <w:r w:rsidR="00B8797E">
        <w:t>accept</w:t>
      </w:r>
      <w:r w:rsidR="00B8797E" w:rsidRPr="004E4B4C">
        <w:t xml:space="preserve"> </w:t>
      </w:r>
      <w:r w:rsidRPr="004E4B4C">
        <w:t xml:space="preserve">these lower rates </w:t>
      </w:r>
      <w:r w:rsidR="000B0484">
        <w:t>as</w:t>
      </w:r>
      <w:r w:rsidR="000B0484" w:rsidRPr="004E4B4C">
        <w:t xml:space="preserve"> inputs</w:t>
      </w:r>
      <w:r w:rsidRPr="004E4B4C">
        <w:t xml:space="preserve"> for deriving ancillary network services prices.</w:t>
      </w:r>
      <w:r>
        <w:t xml:space="preserve"> Where TasNetworks' labour rates are higher, </w:t>
      </w:r>
      <w:r w:rsidRPr="007A4A7E">
        <w:t>we apply our maximum total labour rates to determine efficient ancillary network service prices.</w:t>
      </w:r>
    </w:p>
    <w:p w:rsidR="00B16138" w:rsidRDefault="0052631D" w:rsidP="004D1CB6">
      <w:r>
        <w:t>To</w:t>
      </w:r>
      <w:r w:rsidR="005E21FE">
        <w:t xml:space="preserve"> determin</w:t>
      </w:r>
      <w:r>
        <w:t>e</w:t>
      </w:r>
      <w:r w:rsidR="005E21FE">
        <w:t xml:space="preserve"> maximum total labour rates for our </w:t>
      </w:r>
      <w:r w:rsidR="00563676">
        <w:t xml:space="preserve">TasNetworks </w:t>
      </w:r>
      <w:r w:rsidR="005E21FE">
        <w:t xml:space="preserve">assessment, </w:t>
      </w:r>
      <w:r w:rsidR="00EB6FB9">
        <w:t xml:space="preserve">we </w:t>
      </w:r>
      <w:r w:rsidR="00D712EA">
        <w:t>rely</w:t>
      </w:r>
      <w:r w:rsidR="00B16138">
        <w:t xml:space="preserve"> on </w:t>
      </w:r>
      <w:r w:rsidR="00EB6FB9">
        <w:t>maximum total labour rate</w:t>
      </w:r>
      <w:r w:rsidR="00B16138">
        <w:t>s</w:t>
      </w:r>
      <w:r w:rsidR="00EB6FB9" w:rsidRPr="00EB6FB9">
        <w:t xml:space="preserve"> </w:t>
      </w:r>
      <w:r w:rsidR="00EB6FB9">
        <w:t>we developed</w:t>
      </w:r>
      <w:r w:rsidR="00EB6FB9" w:rsidRPr="00EB6FB9">
        <w:t xml:space="preserve"> </w:t>
      </w:r>
      <w:r w:rsidR="00B16138">
        <w:t>for</w:t>
      </w:r>
      <w:r w:rsidR="00EB6FB9">
        <w:t xml:space="preserve"> our assessment of ancillary network services in other jurisdictions.</w:t>
      </w:r>
      <w:r w:rsidR="00EB6FB9">
        <w:rPr>
          <w:rStyle w:val="FootnoteReference"/>
        </w:rPr>
        <w:footnoteReference w:id="15"/>
      </w:r>
      <w:r w:rsidR="00EB6FB9">
        <w:t xml:space="preserve"> </w:t>
      </w:r>
      <w:r w:rsidR="00D712EA">
        <w:t>We apply</w:t>
      </w:r>
      <w:r w:rsidR="00B16138">
        <w:t xml:space="preserve"> this approach because the scarcity</w:t>
      </w:r>
      <w:r w:rsidR="007D368E">
        <w:t xml:space="preserve"> of reliable Tasmanian specific raw labour rate data mean</w:t>
      </w:r>
      <w:r w:rsidR="00B16138">
        <w:t>s</w:t>
      </w:r>
      <w:r w:rsidR="007D368E">
        <w:t xml:space="preserve"> we </w:t>
      </w:r>
      <w:r w:rsidR="00B16138">
        <w:t>are unable undertake the same</w:t>
      </w:r>
      <w:r w:rsidR="00DF1EDA">
        <w:t xml:space="preserve"> 'build</w:t>
      </w:r>
      <w:r w:rsidR="00DF1EDA">
        <w:noBreakHyphen/>
        <w:t>up'</w:t>
      </w:r>
      <w:r w:rsidR="00B16138">
        <w:t xml:space="preserve"> method we used for our assessment</w:t>
      </w:r>
      <w:r w:rsidR="007D368E">
        <w:t xml:space="preserve"> in other jurisdictions.</w:t>
      </w:r>
    </w:p>
    <w:p w:rsidR="00C532B8" w:rsidRDefault="00CE3A11" w:rsidP="004D1CB6">
      <w:r>
        <w:t>We consider our</w:t>
      </w:r>
      <w:r w:rsidR="00800AE6">
        <w:t xml:space="preserve"> approach</w:t>
      </w:r>
      <w:r>
        <w:t xml:space="preserve"> for TasNetworks is</w:t>
      </w:r>
      <w:r w:rsidR="00800AE6">
        <w:t xml:space="preserve"> reasonable because </w:t>
      </w:r>
      <w:r w:rsidR="003C486F">
        <w:t xml:space="preserve">the limited Tasmanian raw labour rates data that is available indicates it is within a reasonable range of comparable raw labour rates in the other jurisdictions—albeit at the lower end. </w:t>
      </w:r>
      <w:r w:rsidR="00C532B8">
        <w:t>Therefore, we consider it reasonable to deduce that our</w:t>
      </w:r>
      <w:r>
        <w:t xml:space="preserve"> maximum total labour rates for</w:t>
      </w:r>
      <w:r w:rsidR="00C532B8">
        <w:t xml:space="preserve"> other jurisdictions represent the upper boundary of</w:t>
      </w:r>
      <w:r>
        <w:t xml:space="preserve"> benchmark</w:t>
      </w:r>
      <w:r w:rsidR="00C532B8">
        <w:t xml:space="preserve"> efficient labour rates.</w:t>
      </w:r>
    </w:p>
    <w:p w:rsidR="004D1CB6" w:rsidRDefault="004D1CB6" w:rsidP="004D1CB6">
      <w:r>
        <w:t>On this basis, we</w:t>
      </w:r>
      <w:r w:rsidR="00DF1EDA">
        <w:t xml:space="preserve"> have used the </w:t>
      </w:r>
      <w:r w:rsidR="002B0E95">
        <w:t xml:space="preserve">highest (rather than, for example, the average) of our maximum total labour rates </w:t>
      </w:r>
      <w:r w:rsidR="00800AE6">
        <w:t xml:space="preserve">of the other jurisdictions for our TasNetworks assessment. We consider that using the </w:t>
      </w:r>
      <w:r>
        <w:t>highest rate of other</w:t>
      </w:r>
      <w:r w:rsidRPr="003F7354">
        <w:t xml:space="preserve"> jurisdictions</w:t>
      </w:r>
      <w:r>
        <w:t xml:space="preserve"> will</w:t>
      </w:r>
      <w:r w:rsidR="00DE06F2">
        <w:t xml:space="preserve"> ensure</w:t>
      </w:r>
      <w:r w:rsidRPr="003F7354">
        <w:t xml:space="preserve"> </w:t>
      </w:r>
      <w:r>
        <w:t>TasNetworks</w:t>
      </w:r>
      <w:r w:rsidR="00DE06F2">
        <w:t xml:space="preserve"> is provided</w:t>
      </w:r>
      <w:r>
        <w:t xml:space="preserve"> </w:t>
      </w:r>
      <w:r w:rsidRPr="003F7354">
        <w:t>with a reasonable opportunity to recover at least its efficient costs.</w:t>
      </w:r>
    </w:p>
    <w:p w:rsidR="00422D2A" w:rsidRPr="00994ACF" w:rsidRDefault="00BE459B" w:rsidP="00422D2A">
      <w:r>
        <w:t xml:space="preserve">To begin this assessment, </w:t>
      </w:r>
      <w:r w:rsidR="00A876ED">
        <w:t xml:space="preserve">we </w:t>
      </w:r>
      <w:r w:rsidR="00CE3A11">
        <w:t>first</w:t>
      </w:r>
      <w:r w:rsidR="00B5696E">
        <w:t xml:space="preserve"> </w:t>
      </w:r>
      <w:r w:rsidR="00422D2A">
        <w:t xml:space="preserve">assign each of TasNetworks' labour categories to one of five broader labour categories. We note that although distributors use </w:t>
      </w:r>
      <w:r w:rsidR="00422D2A" w:rsidRPr="00FD3E19">
        <w:t>different names and descriptions for different labour categories, we</w:t>
      </w:r>
      <w:r w:rsidR="00422D2A">
        <w:t xml:space="preserve"> have</w:t>
      </w:r>
      <w:r w:rsidR="00422D2A" w:rsidRPr="00FD3E19">
        <w:t xml:space="preserve"> found that the types of labour used to deliver ancillary network services broadly fell into one of five categories:</w:t>
      </w:r>
    </w:p>
    <w:p w:rsidR="00422D2A" w:rsidRPr="00C31DC4" w:rsidRDefault="00422D2A" w:rsidP="00422D2A">
      <w:pPr>
        <w:pStyle w:val="AERbulletlistfirststyle"/>
      </w:pPr>
      <w:r>
        <w:t>a</w:t>
      </w:r>
      <w:r w:rsidRPr="00C31DC4">
        <w:t>dministration</w:t>
      </w:r>
    </w:p>
    <w:p w:rsidR="00422D2A" w:rsidRPr="00C31DC4" w:rsidRDefault="00422D2A" w:rsidP="00422D2A">
      <w:pPr>
        <w:pStyle w:val="AERbulletlistfirststyle"/>
      </w:pPr>
      <w:r>
        <w:t>t</w:t>
      </w:r>
      <w:r w:rsidRPr="00C31DC4">
        <w:t>echnical services</w:t>
      </w:r>
    </w:p>
    <w:p w:rsidR="00422D2A" w:rsidRPr="00C31DC4" w:rsidRDefault="00422D2A" w:rsidP="00422D2A">
      <w:pPr>
        <w:pStyle w:val="AERbulletlistfirststyle"/>
      </w:pPr>
      <w:r>
        <w:t>e</w:t>
      </w:r>
      <w:r w:rsidRPr="00C31DC4">
        <w:t>ngineers</w:t>
      </w:r>
    </w:p>
    <w:p w:rsidR="00422D2A" w:rsidRPr="00C31DC4" w:rsidRDefault="00422D2A" w:rsidP="00422D2A">
      <w:pPr>
        <w:pStyle w:val="AERbulletlistfirststyle"/>
      </w:pPr>
      <w:r>
        <w:t>f</w:t>
      </w:r>
      <w:r w:rsidRPr="00C31DC4">
        <w:t>ield workers</w:t>
      </w:r>
    </w:p>
    <w:p w:rsidR="00422D2A" w:rsidRPr="00C31DC4" w:rsidRDefault="00422D2A" w:rsidP="00422D2A">
      <w:pPr>
        <w:pStyle w:val="AERbulletlistfirststyle"/>
      </w:pPr>
      <w:r>
        <w:t>s</w:t>
      </w:r>
      <w:r w:rsidRPr="00C31DC4">
        <w:t>enior engineers.</w:t>
      </w:r>
    </w:p>
    <w:p w:rsidR="00422D2A" w:rsidRDefault="00422D2A" w:rsidP="00422D2A">
      <w:r>
        <w:t xml:space="preserve">The five categories were developed </w:t>
      </w:r>
      <w:r w:rsidRPr="00A86A73">
        <w:t>using job titles from Hays’ energy specific salary guide.</w:t>
      </w:r>
      <w:r>
        <w:rPr>
          <w:rStyle w:val="FootnoteReference"/>
        </w:rPr>
        <w:footnoteReference w:id="16"/>
      </w:r>
      <w:r>
        <w:t xml:space="preserve"> </w:t>
      </w:r>
      <w:r w:rsidRPr="00C31DC4">
        <w:t>We analysed 66 different job titles and used 36 of these to develop the labour categories</w:t>
      </w:r>
      <w:r>
        <w:t xml:space="preserve">. </w:t>
      </w:r>
      <w:r w:rsidRPr="00C31DC4">
        <w:t>These 36 labour job titles involved tasks which clearly fell into either the 'administration', 'technical specialist', 'engineer', 'field worker', or 'senior engineer' labour categories</w:t>
      </w:r>
      <w:r w:rsidRPr="00127265">
        <w:t xml:space="preserve"> </w:t>
      </w:r>
      <w:r>
        <w:t xml:space="preserve">as shown in </w:t>
      </w:r>
      <w:r>
        <w:fldChar w:fldCharType="begin"/>
      </w:r>
      <w:r>
        <w:instrText xml:space="preserve"> REF  _Ref455583160 \* Lower \h </w:instrText>
      </w:r>
      <w:r>
        <w:fldChar w:fldCharType="separate"/>
      </w:r>
      <w:r w:rsidR="000C061E">
        <w:t xml:space="preserve">table </w:t>
      </w:r>
      <w:r w:rsidR="000C061E">
        <w:rPr>
          <w:noProof/>
        </w:rPr>
        <w:t>16</w:t>
      </w:r>
      <w:r w:rsidR="000C061E">
        <w:t>.</w:t>
      </w:r>
      <w:r w:rsidR="000C061E">
        <w:rPr>
          <w:noProof/>
        </w:rPr>
        <w:t>1</w:t>
      </w:r>
      <w:r>
        <w:fldChar w:fldCharType="end"/>
      </w:r>
      <w:r w:rsidRPr="00C31DC4">
        <w:t>. We excluded job titles that were not relevant to electricity distributors such as 'wind farm engineer'.</w:t>
      </w:r>
    </w:p>
    <w:p w:rsidR="00422D2A" w:rsidRDefault="00422D2A" w:rsidP="00422D2A">
      <w:pPr>
        <w:pStyle w:val="Caption"/>
        <w:numPr>
          <w:ilvl w:val="0"/>
          <w:numId w:val="24"/>
        </w:numPr>
      </w:pPr>
      <w:bookmarkStart w:id="97" w:name="_Ref455583160"/>
      <w:r>
        <w:t xml:space="preserve">Table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rsidR="0031261B">
        <w:t>.</w:t>
      </w:r>
      <w:r w:rsidR="00E639DB">
        <w:fldChar w:fldCharType="begin"/>
      </w:r>
      <w:r w:rsidR="00E639DB">
        <w:instrText xml:space="preserve"> SEQ Table \* ARABIC \s 1 </w:instrText>
      </w:r>
      <w:r w:rsidR="00E639DB">
        <w:fldChar w:fldCharType="separate"/>
      </w:r>
      <w:r w:rsidR="000C061E">
        <w:rPr>
          <w:noProof/>
        </w:rPr>
        <w:t>1</w:t>
      </w:r>
      <w:r w:rsidR="00E639DB">
        <w:rPr>
          <w:noProof/>
        </w:rPr>
        <w:fldChar w:fldCharType="end"/>
      </w:r>
      <w:bookmarkEnd w:id="97"/>
      <w:r>
        <w:t xml:space="preserve"> Job titles </w:t>
      </w:r>
      <w:r w:rsidR="009D2EB3">
        <w:t>AER</w:t>
      </w:r>
      <w:r>
        <w:t xml:space="preserve"> used to develop maximum labour rates</w:t>
      </w:r>
    </w:p>
    <w:tbl>
      <w:tblPr>
        <w:tblStyle w:val="AERtable-text0"/>
        <w:tblW w:w="0" w:type="auto"/>
        <w:tblLook w:val="04A0" w:firstRow="1" w:lastRow="0" w:firstColumn="1" w:lastColumn="0" w:noHBand="0" w:noVBand="1"/>
      </w:tblPr>
      <w:tblGrid>
        <w:gridCol w:w="4345"/>
        <w:gridCol w:w="4347"/>
      </w:tblGrid>
      <w:tr w:rsidR="00422D2A" w:rsidRPr="003427EE" w:rsidTr="00422D2A">
        <w:trPr>
          <w:cnfStyle w:val="100000000000" w:firstRow="1" w:lastRow="0" w:firstColumn="0" w:lastColumn="0" w:oddVBand="0" w:evenVBand="0" w:oddHBand="0" w:evenHBand="0" w:firstRowFirstColumn="0" w:firstRowLastColumn="0" w:lastRowFirstColumn="0" w:lastRowLastColumn="0"/>
          <w:tblHeader/>
        </w:trPr>
        <w:tc>
          <w:tcPr>
            <w:tcW w:w="4345" w:type="dxa"/>
          </w:tcPr>
          <w:p w:rsidR="00422D2A" w:rsidRPr="00422D2A" w:rsidRDefault="00422D2A" w:rsidP="00422D2A">
            <w:r w:rsidRPr="003427EE">
              <w:t>Labour category</w:t>
            </w:r>
          </w:p>
        </w:tc>
        <w:tc>
          <w:tcPr>
            <w:tcW w:w="4347" w:type="dxa"/>
          </w:tcPr>
          <w:p w:rsidR="00422D2A" w:rsidRPr="00422D2A" w:rsidRDefault="00422D2A" w:rsidP="00422D2A">
            <w:r w:rsidRPr="003427EE">
              <w:t>Job title</w:t>
            </w:r>
          </w:p>
        </w:tc>
      </w:tr>
      <w:tr w:rsidR="00422D2A" w:rsidRPr="003427EE" w:rsidTr="00422D2A">
        <w:tc>
          <w:tcPr>
            <w:tcW w:w="4345" w:type="dxa"/>
            <w:vMerge w:val="restart"/>
          </w:tcPr>
          <w:p w:rsidR="00422D2A" w:rsidRPr="00422D2A" w:rsidRDefault="00422D2A" w:rsidP="00422D2A">
            <w:r w:rsidRPr="003427EE">
              <w:t>Admin</w:t>
            </w:r>
            <w:r w:rsidRPr="00422D2A">
              <w:t>istration</w:t>
            </w:r>
          </w:p>
        </w:tc>
        <w:tc>
          <w:tcPr>
            <w:tcW w:w="4347" w:type="dxa"/>
          </w:tcPr>
          <w:p w:rsidR="00422D2A" w:rsidRPr="00422D2A" w:rsidRDefault="00422D2A" w:rsidP="00422D2A">
            <w:r w:rsidRPr="003427EE">
              <w:t>Project secretary / Administrator</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tcPr>
          <w:p w:rsidR="00422D2A" w:rsidRPr="003427EE" w:rsidRDefault="00422D2A" w:rsidP="00422D2A"/>
        </w:tc>
        <w:tc>
          <w:tcPr>
            <w:tcW w:w="4347" w:type="dxa"/>
          </w:tcPr>
          <w:p w:rsidR="00422D2A" w:rsidRPr="00422D2A" w:rsidRDefault="00422D2A" w:rsidP="00422D2A">
            <w:r w:rsidRPr="003427EE">
              <w:t>Client liaison (residential)</w:t>
            </w:r>
          </w:p>
        </w:tc>
      </w:tr>
      <w:tr w:rsidR="00422D2A" w:rsidRPr="003427EE" w:rsidTr="00422D2A">
        <w:tc>
          <w:tcPr>
            <w:tcW w:w="4345" w:type="dxa"/>
            <w:vMerge/>
          </w:tcPr>
          <w:p w:rsidR="00422D2A" w:rsidRPr="003427EE" w:rsidRDefault="00422D2A" w:rsidP="00422D2A"/>
        </w:tc>
        <w:tc>
          <w:tcPr>
            <w:tcW w:w="4347" w:type="dxa"/>
          </w:tcPr>
          <w:p w:rsidR="00422D2A" w:rsidRPr="00422D2A" w:rsidRDefault="00422D2A" w:rsidP="00422D2A">
            <w:r w:rsidRPr="003427EE">
              <w:t>Data entry operator</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tcPr>
          <w:p w:rsidR="00422D2A" w:rsidRPr="003427EE" w:rsidRDefault="00422D2A" w:rsidP="00422D2A"/>
        </w:tc>
        <w:tc>
          <w:tcPr>
            <w:tcW w:w="4347" w:type="dxa"/>
          </w:tcPr>
          <w:p w:rsidR="00422D2A" w:rsidRPr="00422D2A" w:rsidRDefault="00422D2A" w:rsidP="00422D2A">
            <w:r w:rsidRPr="003427EE">
              <w:t>Records officer</w:t>
            </w:r>
          </w:p>
        </w:tc>
      </w:tr>
      <w:tr w:rsidR="00422D2A" w:rsidRPr="003427EE" w:rsidTr="00422D2A">
        <w:tc>
          <w:tcPr>
            <w:tcW w:w="4345" w:type="dxa"/>
            <w:vMerge/>
          </w:tcPr>
          <w:p w:rsidR="00422D2A" w:rsidRPr="003427EE" w:rsidRDefault="00422D2A" w:rsidP="00422D2A"/>
        </w:tc>
        <w:tc>
          <w:tcPr>
            <w:tcW w:w="4347" w:type="dxa"/>
          </w:tcPr>
          <w:p w:rsidR="00422D2A" w:rsidRPr="00422D2A" w:rsidRDefault="00422D2A" w:rsidP="00422D2A">
            <w:r w:rsidRPr="003427EE">
              <w:t>Administration assistant (12+ months experience)</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tcPr>
          <w:p w:rsidR="00422D2A" w:rsidRPr="003427EE" w:rsidRDefault="00422D2A" w:rsidP="00422D2A"/>
        </w:tc>
        <w:tc>
          <w:tcPr>
            <w:tcW w:w="4347" w:type="dxa"/>
          </w:tcPr>
          <w:p w:rsidR="00422D2A" w:rsidRPr="00422D2A" w:rsidRDefault="00422D2A" w:rsidP="00422D2A">
            <w:r w:rsidRPr="003427EE">
              <w:t xml:space="preserve">Project administration assistant (3+ </w:t>
            </w:r>
            <w:r w:rsidR="00180997" w:rsidRPr="003427EE">
              <w:t>years'</w:t>
            </w:r>
            <w:r w:rsidR="00180997" w:rsidRPr="00422D2A">
              <w:t xml:space="preserve"> experience</w:t>
            </w:r>
            <w:r w:rsidRPr="00422D2A">
              <w:t>)</w:t>
            </w:r>
          </w:p>
        </w:tc>
      </w:tr>
      <w:tr w:rsidR="00422D2A" w:rsidRPr="003427EE" w:rsidTr="00422D2A">
        <w:tc>
          <w:tcPr>
            <w:tcW w:w="4345" w:type="dxa"/>
            <w:vMerge/>
          </w:tcPr>
          <w:p w:rsidR="00422D2A" w:rsidRPr="003427EE" w:rsidRDefault="00422D2A" w:rsidP="00422D2A"/>
        </w:tc>
        <w:tc>
          <w:tcPr>
            <w:tcW w:w="4347" w:type="dxa"/>
          </w:tcPr>
          <w:p w:rsidR="00422D2A" w:rsidRPr="00422D2A" w:rsidRDefault="00422D2A" w:rsidP="00422D2A">
            <w:r w:rsidRPr="003427EE">
              <w:t>Project coordinator</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val="restart"/>
          </w:tcPr>
          <w:p w:rsidR="00422D2A" w:rsidRPr="00422D2A" w:rsidRDefault="00422D2A" w:rsidP="00422D2A">
            <w:r w:rsidRPr="003427EE">
              <w:t>Technical specialist</w:t>
            </w:r>
          </w:p>
        </w:tc>
        <w:tc>
          <w:tcPr>
            <w:tcW w:w="4347" w:type="dxa"/>
          </w:tcPr>
          <w:p w:rsidR="00422D2A" w:rsidRPr="00422D2A" w:rsidRDefault="00422D2A" w:rsidP="00422D2A">
            <w:r w:rsidRPr="003427EE">
              <w:t>Technician</w:t>
            </w:r>
          </w:p>
        </w:tc>
      </w:tr>
      <w:tr w:rsidR="00422D2A" w:rsidRPr="003427EE" w:rsidTr="00422D2A">
        <w:tc>
          <w:tcPr>
            <w:tcW w:w="4345" w:type="dxa"/>
            <w:vMerge/>
          </w:tcPr>
          <w:p w:rsidR="00422D2A" w:rsidRPr="003427EE" w:rsidRDefault="00422D2A" w:rsidP="00422D2A"/>
        </w:tc>
        <w:tc>
          <w:tcPr>
            <w:tcW w:w="4347" w:type="dxa"/>
          </w:tcPr>
          <w:p w:rsidR="00422D2A" w:rsidRPr="00422D2A" w:rsidRDefault="00422D2A" w:rsidP="00422D2A">
            <w:r w:rsidRPr="003427EE">
              <w:t>Control room operator</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tcPr>
          <w:p w:rsidR="00422D2A" w:rsidRPr="003427EE" w:rsidRDefault="00422D2A" w:rsidP="00422D2A"/>
        </w:tc>
        <w:tc>
          <w:tcPr>
            <w:tcW w:w="4347" w:type="dxa"/>
          </w:tcPr>
          <w:p w:rsidR="00422D2A" w:rsidRPr="00422D2A" w:rsidRDefault="00422D2A" w:rsidP="00422D2A">
            <w:r w:rsidRPr="003427EE">
              <w:t>Control room manager</w:t>
            </w:r>
          </w:p>
        </w:tc>
      </w:tr>
      <w:tr w:rsidR="00422D2A" w:rsidRPr="003427EE" w:rsidTr="00422D2A">
        <w:tc>
          <w:tcPr>
            <w:tcW w:w="4345" w:type="dxa"/>
            <w:vMerge/>
          </w:tcPr>
          <w:p w:rsidR="00422D2A" w:rsidRPr="003427EE" w:rsidRDefault="00422D2A" w:rsidP="00422D2A"/>
        </w:tc>
        <w:tc>
          <w:tcPr>
            <w:tcW w:w="4347" w:type="dxa"/>
          </w:tcPr>
          <w:p w:rsidR="00422D2A" w:rsidRPr="00422D2A" w:rsidRDefault="00422D2A" w:rsidP="00422D2A">
            <w:r w:rsidRPr="003427EE">
              <w:t>E&amp;I technician</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tcPr>
          <w:p w:rsidR="00422D2A" w:rsidRPr="003427EE" w:rsidRDefault="00422D2A" w:rsidP="00422D2A"/>
        </w:tc>
        <w:tc>
          <w:tcPr>
            <w:tcW w:w="4347" w:type="dxa"/>
          </w:tcPr>
          <w:p w:rsidR="00422D2A" w:rsidRPr="00422D2A" w:rsidRDefault="00422D2A" w:rsidP="00422D2A">
            <w:r w:rsidRPr="003427EE">
              <w:t>Protection technician</w:t>
            </w:r>
          </w:p>
        </w:tc>
      </w:tr>
      <w:tr w:rsidR="00422D2A" w:rsidRPr="003427EE" w:rsidTr="00422D2A">
        <w:tc>
          <w:tcPr>
            <w:tcW w:w="4345" w:type="dxa"/>
            <w:vMerge/>
          </w:tcPr>
          <w:p w:rsidR="00422D2A" w:rsidRPr="003427EE" w:rsidRDefault="00422D2A" w:rsidP="00422D2A"/>
        </w:tc>
        <w:tc>
          <w:tcPr>
            <w:tcW w:w="4347" w:type="dxa"/>
          </w:tcPr>
          <w:p w:rsidR="00422D2A" w:rsidRPr="00422D2A" w:rsidRDefault="00422D2A" w:rsidP="00422D2A">
            <w:r w:rsidRPr="003427EE">
              <w:t>Generator technician</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tcPr>
          <w:p w:rsidR="00422D2A" w:rsidRPr="003427EE" w:rsidRDefault="00422D2A" w:rsidP="00422D2A"/>
        </w:tc>
        <w:tc>
          <w:tcPr>
            <w:tcW w:w="4347" w:type="dxa"/>
          </w:tcPr>
          <w:p w:rsidR="00422D2A" w:rsidRPr="00422D2A" w:rsidRDefault="00422D2A" w:rsidP="00422D2A">
            <w:r w:rsidRPr="003427EE">
              <w:t>Operator / manager</w:t>
            </w:r>
          </w:p>
        </w:tc>
      </w:tr>
      <w:tr w:rsidR="00422D2A" w:rsidRPr="003427EE" w:rsidTr="00422D2A">
        <w:tc>
          <w:tcPr>
            <w:tcW w:w="4345" w:type="dxa"/>
            <w:vMerge/>
          </w:tcPr>
          <w:p w:rsidR="00422D2A" w:rsidRPr="003427EE" w:rsidRDefault="00422D2A" w:rsidP="00422D2A"/>
        </w:tc>
        <w:tc>
          <w:tcPr>
            <w:tcW w:w="4347" w:type="dxa"/>
          </w:tcPr>
          <w:p w:rsidR="00422D2A" w:rsidRPr="00422D2A" w:rsidRDefault="00422D2A" w:rsidP="00422D2A">
            <w:r w:rsidRPr="003427EE">
              <w:t>Site engineer</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tcPr>
          <w:p w:rsidR="00422D2A" w:rsidRPr="003427EE" w:rsidRDefault="00422D2A" w:rsidP="00422D2A"/>
        </w:tc>
        <w:tc>
          <w:tcPr>
            <w:tcW w:w="4347" w:type="dxa"/>
          </w:tcPr>
          <w:p w:rsidR="00422D2A" w:rsidRPr="00422D2A" w:rsidRDefault="00422D2A" w:rsidP="00422D2A">
            <w:r w:rsidRPr="003427EE">
              <w:t>Planner / scheduler</w:t>
            </w:r>
          </w:p>
        </w:tc>
      </w:tr>
      <w:tr w:rsidR="00422D2A" w:rsidRPr="003427EE" w:rsidTr="00422D2A">
        <w:tc>
          <w:tcPr>
            <w:tcW w:w="4345" w:type="dxa"/>
            <w:vMerge/>
          </w:tcPr>
          <w:p w:rsidR="00422D2A" w:rsidRPr="003427EE" w:rsidRDefault="00422D2A" w:rsidP="00422D2A"/>
        </w:tc>
        <w:tc>
          <w:tcPr>
            <w:tcW w:w="4347" w:type="dxa"/>
          </w:tcPr>
          <w:p w:rsidR="00422D2A" w:rsidRPr="00422D2A" w:rsidRDefault="00422D2A" w:rsidP="00422D2A">
            <w:r w:rsidRPr="003427EE">
              <w:t>OHS supervisor</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tcPr>
          <w:p w:rsidR="00422D2A" w:rsidRPr="003427EE" w:rsidRDefault="00422D2A" w:rsidP="00422D2A"/>
        </w:tc>
        <w:tc>
          <w:tcPr>
            <w:tcW w:w="4347" w:type="dxa"/>
          </w:tcPr>
          <w:p w:rsidR="00422D2A" w:rsidRPr="00422D2A" w:rsidRDefault="00422D2A" w:rsidP="00422D2A">
            <w:r w:rsidRPr="003427EE">
              <w:t>OHS manager</w:t>
            </w:r>
          </w:p>
        </w:tc>
      </w:tr>
      <w:tr w:rsidR="00422D2A" w:rsidRPr="003427EE" w:rsidTr="00422D2A">
        <w:tc>
          <w:tcPr>
            <w:tcW w:w="4345" w:type="dxa"/>
            <w:vMerge w:val="restart"/>
          </w:tcPr>
          <w:p w:rsidR="00422D2A" w:rsidRPr="00422D2A" w:rsidRDefault="00422D2A" w:rsidP="00422D2A">
            <w:r w:rsidRPr="003427EE">
              <w:t>Engineer</w:t>
            </w:r>
          </w:p>
        </w:tc>
        <w:tc>
          <w:tcPr>
            <w:tcW w:w="4347" w:type="dxa"/>
          </w:tcPr>
          <w:p w:rsidR="00422D2A" w:rsidRPr="00422D2A" w:rsidRDefault="00422D2A" w:rsidP="00422D2A">
            <w:r w:rsidRPr="003427EE">
              <w:t>Design engineer</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tcPr>
          <w:p w:rsidR="00422D2A" w:rsidRPr="003427EE" w:rsidRDefault="00422D2A" w:rsidP="00422D2A"/>
        </w:tc>
        <w:tc>
          <w:tcPr>
            <w:tcW w:w="4347" w:type="dxa"/>
          </w:tcPr>
          <w:p w:rsidR="00422D2A" w:rsidRPr="00422D2A" w:rsidRDefault="00422D2A" w:rsidP="00422D2A">
            <w:r w:rsidRPr="003427EE">
              <w:t xml:space="preserve">Project </w:t>
            </w:r>
            <w:r w:rsidRPr="00422D2A">
              <w:t>engineer (EPCM)</w:t>
            </w:r>
          </w:p>
        </w:tc>
      </w:tr>
      <w:tr w:rsidR="00422D2A" w:rsidRPr="003427EE" w:rsidTr="00422D2A">
        <w:tc>
          <w:tcPr>
            <w:tcW w:w="4345" w:type="dxa"/>
            <w:vMerge/>
          </w:tcPr>
          <w:p w:rsidR="00422D2A" w:rsidRPr="003427EE" w:rsidRDefault="00422D2A" w:rsidP="00422D2A"/>
        </w:tc>
        <w:tc>
          <w:tcPr>
            <w:tcW w:w="4347" w:type="dxa"/>
          </w:tcPr>
          <w:p w:rsidR="00422D2A" w:rsidRPr="00422D2A" w:rsidRDefault="00422D2A" w:rsidP="00422D2A">
            <w:r w:rsidRPr="003427EE">
              <w:t>Power systems engineer</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tcPr>
          <w:p w:rsidR="00422D2A" w:rsidRPr="003427EE" w:rsidRDefault="00422D2A" w:rsidP="00422D2A"/>
        </w:tc>
        <w:tc>
          <w:tcPr>
            <w:tcW w:w="4347" w:type="dxa"/>
          </w:tcPr>
          <w:p w:rsidR="00422D2A" w:rsidRPr="00422D2A" w:rsidRDefault="00422D2A" w:rsidP="00422D2A">
            <w:r w:rsidRPr="003427EE">
              <w:t>Protection engineer</w:t>
            </w:r>
          </w:p>
        </w:tc>
      </w:tr>
      <w:tr w:rsidR="00422D2A" w:rsidRPr="003427EE" w:rsidTr="00422D2A">
        <w:tc>
          <w:tcPr>
            <w:tcW w:w="4345" w:type="dxa"/>
            <w:vMerge/>
          </w:tcPr>
          <w:p w:rsidR="00422D2A" w:rsidRPr="003427EE" w:rsidRDefault="00422D2A" w:rsidP="00422D2A"/>
        </w:tc>
        <w:tc>
          <w:tcPr>
            <w:tcW w:w="4347" w:type="dxa"/>
          </w:tcPr>
          <w:p w:rsidR="00422D2A" w:rsidRPr="00422D2A" w:rsidRDefault="00422D2A" w:rsidP="00422D2A">
            <w:r w:rsidRPr="003427EE">
              <w:t>Transmission line design engineer</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tcPr>
          <w:p w:rsidR="00422D2A" w:rsidRPr="003427EE" w:rsidRDefault="00422D2A" w:rsidP="00422D2A"/>
        </w:tc>
        <w:tc>
          <w:tcPr>
            <w:tcW w:w="4347" w:type="dxa"/>
          </w:tcPr>
          <w:p w:rsidR="00422D2A" w:rsidRPr="00422D2A" w:rsidRDefault="00422D2A" w:rsidP="00422D2A">
            <w:r w:rsidRPr="003427EE">
              <w:t>Asset engineer (3 to 7 years)</w:t>
            </w:r>
          </w:p>
        </w:tc>
      </w:tr>
      <w:tr w:rsidR="00422D2A" w:rsidRPr="003427EE" w:rsidTr="00422D2A">
        <w:tc>
          <w:tcPr>
            <w:tcW w:w="4345" w:type="dxa"/>
            <w:vMerge/>
          </w:tcPr>
          <w:p w:rsidR="00422D2A" w:rsidRPr="003427EE" w:rsidRDefault="00422D2A" w:rsidP="00422D2A"/>
        </w:tc>
        <w:tc>
          <w:tcPr>
            <w:tcW w:w="4347" w:type="dxa"/>
          </w:tcPr>
          <w:p w:rsidR="00422D2A" w:rsidRPr="00422D2A" w:rsidRDefault="00422D2A" w:rsidP="00422D2A">
            <w:r w:rsidRPr="003427EE">
              <w:t>Project engineer</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val="restart"/>
          </w:tcPr>
          <w:p w:rsidR="00422D2A" w:rsidRPr="00422D2A" w:rsidRDefault="00422D2A" w:rsidP="00422D2A">
            <w:r w:rsidRPr="003427EE">
              <w:t>Field worker</w:t>
            </w:r>
          </w:p>
        </w:tc>
        <w:tc>
          <w:tcPr>
            <w:tcW w:w="4347" w:type="dxa"/>
          </w:tcPr>
          <w:p w:rsidR="00422D2A" w:rsidRPr="00422D2A" w:rsidRDefault="00422D2A" w:rsidP="00422D2A">
            <w:r w:rsidRPr="003427EE">
              <w:t>Leading hand</w:t>
            </w:r>
          </w:p>
        </w:tc>
      </w:tr>
      <w:tr w:rsidR="00422D2A" w:rsidRPr="003427EE" w:rsidTr="00422D2A">
        <w:tc>
          <w:tcPr>
            <w:tcW w:w="4345" w:type="dxa"/>
            <w:vMerge/>
          </w:tcPr>
          <w:p w:rsidR="00422D2A" w:rsidRPr="003427EE" w:rsidRDefault="00422D2A" w:rsidP="00422D2A"/>
        </w:tc>
        <w:tc>
          <w:tcPr>
            <w:tcW w:w="4347" w:type="dxa"/>
          </w:tcPr>
          <w:p w:rsidR="00422D2A" w:rsidRPr="00422D2A" w:rsidRDefault="00422D2A" w:rsidP="00422D2A">
            <w:r w:rsidRPr="003427EE">
              <w:t>Electrician</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tcPr>
          <w:p w:rsidR="00422D2A" w:rsidRPr="003427EE" w:rsidRDefault="00422D2A" w:rsidP="00422D2A"/>
        </w:tc>
        <w:tc>
          <w:tcPr>
            <w:tcW w:w="4347" w:type="dxa"/>
          </w:tcPr>
          <w:p w:rsidR="00422D2A" w:rsidRPr="00422D2A" w:rsidRDefault="00422D2A" w:rsidP="00422D2A">
            <w:r w:rsidRPr="003427EE">
              <w:t xml:space="preserve">Mechanical </w:t>
            </w:r>
            <w:r w:rsidRPr="00422D2A">
              <w:t>fitter</w:t>
            </w:r>
          </w:p>
        </w:tc>
      </w:tr>
      <w:tr w:rsidR="00422D2A" w:rsidRPr="003427EE" w:rsidTr="00422D2A">
        <w:tc>
          <w:tcPr>
            <w:tcW w:w="4345" w:type="dxa"/>
            <w:vMerge/>
          </w:tcPr>
          <w:p w:rsidR="00422D2A" w:rsidRPr="003427EE" w:rsidRDefault="00422D2A" w:rsidP="00422D2A"/>
        </w:tc>
        <w:tc>
          <w:tcPr>
            <w:tcW w:w="4347" w:type="dxa"/>
          </w:tcPr>
          <w:p w:rsidR="00422D2A" w:rsidRPr="00422D2A" w:rsidRDefault="00422D2A" w:rsidP="00422D2A">
            <w:r w:rsidRPr="003427EE">
              <w:t>Line worker</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tcPr>
          <w:p w:rsidR="00422D2A" w:rsidRPr="003427EE" w:rsidRDefault="00422D2A" w:rsidP="00422D2A"/>
        </w:tc>
        <w:tc>
          <w:tcPr>
            <w:tcW w:w="4347" w:type="dxa"/>
          </w:tcPr>
          <w:p w:rsidR="00422D2A" w:rsidRPr="00422D2A" w:rsidRDefault="00422D2A" w:rsidP="00422D2A">
            <w:r w:rsidRPr="003427EE">
              <w:t>G&amp;B linesworker</w:t>
            </w:r>
          </w:p>
        </w:tc>
      </w:tr>
      <w:tr w:rsidR="00422D2A" w:rsidRPr="003427EE" w:rsidTr="00422D2A">
        <w:tc>
          <w:tcPr>
            <w:tcW w:w="4345" w:type="dxa"/>
            <w:vMerge/>
          </w:tcPr>
          <w:p w:rsidR="00422D2A" w:rsidRPr="003427EE" w:rsidRDefault="00422D2A" w:rsidP="00422D2A"/>
        </w:tc>
        <w:tc>
          <w:tcPr>
            <w:tcW w:w="4347" w:type="dxa"/>
          </w:tcPr>
          <w:p w:rsidR="00422D2A" w:rsidRPr="00422D2A" w:rsidRDefault="00422D2A" w:rsidP="00422D2A">
            <w:r w:rsidRPr="003427EE">
              <w:t xml:space="preserve">Cable </w:t>
            </w:r>
            <w:r w:rsidRPr="00422D2A">
              <w:t>jointer</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tcPr>
          <w:p w:rsidR="00422D2A" w:rsidRPr="003427EE" w:rsidRDefault="00422D2A" w:rsidP="00422D2A"/>
        </w:tc>
        <w:tc>
          <w:tcPr>
            <w:tcW w:w="4347" w:type="dxa"/>
          </w:tcPr>
          <w:p w:rsidR="00422D2A" w:rsidRPr="00422D2A" w:rsidRDefault="00422D2A" w:rsidP="00422D2A">
            <w:r w:rsidRPr="003427EE">
              <w:t>Cable layer</w:t>
            </w:r>
          </w:p>
        </w:tc>
      </w:tr>
      <w:tr w:rsidR="00422D2A" w:rsidRPr="003427EE" w:rsidTr="00422D2A">
        <w:tc>
          <w:tcPr>
            <w:tcW w:w="4345" w:type="dxa"/>
            <w:vMerge w:val="restart"/>
          </w:tcPr>
          <w:p w:rsidR="00422D2A" w:rsidRPr="00422D2A" w:rsidRDefault="00422D2A" w:rsidP="00422D2A">
            <w:r w:rsidRPr="003427EE">
              <w:t>Senior engineer</w:t>
            </w:r>
          </w:p>
        </w:tc>
        <w:tc>
          <w:tcPr>
            <w:tcW w:w="4347" w:type="dxa"/>
          </w:tcPr>
          <w:p w:rsidR="00422D2A" w:rsidRPr="00422D2A" w:rsidRDefault="00422D2A" w:rsidP="00422D2A">
            <w:r w:rsidRPr="003427EE">
              <w:t>Senior design engineer</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tcPr>
          <w:p w:rsidR="00422D2A" w:rsidRPr="003427EE" w:rsidRDefault="00422D2A" w:rsidP="00422D2A"/>
        </w:tc>
        <w:tc>
          <w:tcPr>
            <w:tcW w:w="4347" w:type="dxa"/>
          </w:tcPr>
          <w:p w:rsidR="00422D2A" w:rsidRPr="00422D2A" w:rsidRDefault="00422D2A" w:rsidP="00422D2A">
            <w:r w:rsidRPr="003427EE">
              <w:t>Principal design engineer</w:t>
            </w:r>
          </w:p>
        </w:tc>
      </w:tr>
      <w:tr w:rsidR="00422D2A" w:rsidRPr="003427EE" w:rsidTr="00422D2A">
        <w:tc>
          <w:tcPr>
            <w:tcW w:w="4345" w:type="dxa"/>
            <w:vMerge/>
          </w:tcPr>
          <w:p w:rsidR="00422D2A" w:rsidRPr="003427EE" w:rsidRDefault="00422D2A" w:rsidP="00422D2A"/>
        </w:tc>
        <w:tc>
          <w:tcPr>
            <w:tcW w:w="4347" w:type="dxa"/>
          </w:tcPr>
          <w:p w:rsidR="00422D2A" w:rsidRPr="00422D2A" w:rsidRDefault="00422D2A" w:rsidP="00422D2A">
            <w:r w:rsidRPr="003427EE">
              <w:t>Senior project engineer (EPCM)</w:t>
            </w:r>
          </w:p>
        </w:tc>
      </w:tr>
      <w:tr w:rsidR="00422D2A" w:rsidRPr="003427EE" w:rsidTr="00422D2A">
        <w:trPr>
          <w:cnfStyle w:val="000000010000" w:firstRow="0" w:lastRow="0" w:firstColumn="0" w:lastColumn="0" w:oddVBand="0" w:evenVBand="0" w:oddHBand="0" w:evenHBand="1" w:firstRowFirstColumn="0" w:firstRowLastColumn="0" w:lastRowFirstColumn="0" w:lastRowLastColumn="0"/>
        </w:trPr>
        <w:tc>
          <w:tcPr>
            <w:tcW w:w="4345" w:type="dxa"/>
            <w:vMerge/>
          </w:tcPr>
          <w:p w:rsidR="00422D2A" w:rsidRPr="003427EE" w:rsidRDefault="00422D2A" w:rsidP="00422D2A"/>
        </w:tc>
        <w:tc>
          <w:tcPr>
            <w:tcW w:w="4347" w:type="dxa"/>
          </w:tcPr>
          <w:p w:rsidR="00422D2A" w:rsidRPr="00422D2A" w:rsidRDefault="00422D2A" w:rsidP="00422D2A">
            <w:r w:rsidRPr="003427EE">
              <w:t xml:space="preserve">Commissioning </w:t>
            </w:r>
            <w:r w:rsidRPr="00422D2A">
              <w:t>engineer</w:t>
            </w:r>
          </w:p>
        </w:tc>
      </w:tr>
    </w:tbl>
    <w:p w:rsidR="00422D2A" w:rsidRDefault="00C85DF4" w:rsidP="00422D2A">
      <w:pPr>
        <w:pStyle w:val="AERtablesource"/>
      </w:pPr>
      <w:r>
        <w:t>Source:</w:t>
      </w:r>
      <w:r>
        <w:tab/>
      </w:r>
      <w:r w:rsidR="00422D2A">
        <w:t>Marsden Jacob Associates’ analysis.</w:t>
      </w:r>
    </w:p>
    <w:p w:rsidR="007578AA" w:rsidRDefault="00BE459B" w:rsidP="00CE3A11">
      <w:r>
        <w:t>The next step</w:t>
      </w:r>
      <w:r w:rsidR="007578AA">
        <w:t xml:space="preserve"> in our</w:t>
      </w:r>
      <w:r>
        <w:t xml:space="preserve"> assessment is developing a Tasmanian maximum total labour rate for each labour category. </w:t>
      </w:r>
      <w:r w:rsidRPr="00BE459B">
        <w:t>As noted,</w:t>
      </w:r>
      <w:r w:rsidR="007578AA" w:rsidRPr="00BE459B">
        <w:t xml:space="preserve"> </w:t>
      </w:r>
      <w:r w:rsidRPr="00BE459B">
        <w:t>we use the highest maximum total labour rate developed for the other jurisdictions</w:t>
      </w:r>
      <w:r>
        <w:t>.</w:t>
      </w:r>
    </w:p>
    <w:p w:rsidR="00122464" w:rsidRDefault="00BE459B" w:rsidP="00CE3A11">
      <w:pPr>
        <w:rPr>
          <w:rStyle w:val="AERbody"/>
        </w:rPr>
      </w:pPr>
      <w:r>
        <w:rPr>
          <w:rStyle w:val="AERbody"/>
        </w:rPr>
        <w:t>I</w:t>
      </w:r>
      <w:r>
        <w:t>n each jurisdiction—f</w:t>
      </w:r>
      <w:r w:rsidR="00CE3A11">
        <w:t xml:space="preserve">or </w:t>
      </w:r>
      <w:r w:rsidR="00CE3A11">
        <w:rPr>
          <w:rStyle w:val="AERbody"/>
        </w:rPr>
        <w:t>each of the five labour categories—we assessed the</w:t>
      </w:r>
      <w:r w:rsidR="00122464">
        <w:rPr>
          <w:rStyle w:val="AERbody"/>
        </w:rPr>
        <w:t xml:space="preserve"> following components and derived a maximum for each:</w:t>
      </w:r>
    </w:p>
    <w:p w:rsidR="00122464" w:rsidRDefault="00122464" w:rsidP="00122464">
      <w:pPr>
        <w:pStyle w:val="AERbulletlistfirststyle"/>
      </w:pPr>
      <w:r>
        <w:t>a maximum raw labour rate</w:t>
      </w:r>
    </w:p>
    <w:p w:rsidR="00122464" w:rsidRDefault="00122464" w:rsidP="00122464">
      <w:pPr>
        <w:pStyle w:val="AERbulletlistfirststyle"/>
      </w:pPr>
      <w:r>
        <w:t>a maximum on-cost rate</w:t>
      </w:r>
    </w:p>
    <w:p w:rsidR="00122464" w:rsidRDefault="00122464" w:rsidP="00122464">
      <w:pPr>
        <w:pStyle w:val="AERbulletlistfirststyle"/>
      </w:pPr>
      <w:r>
        <w:t>a maximum overhead rate.</w:t>
      </w:r>
      <w:r>
        <w:rPr>
          <w:rStyle w:val="FootnoteReference"/>
        </w:rPr>
        <w:footnoteReference w:id="17"/>
      </w:r>
    </w:p>
    <w:p w:rsidR="00CE3A11" w:rsidRDefault="00CE3A11" w:rsidP="00CE3A11">
      <w:r>
        <w:t>The combination of these individual components formed our</w:t>
      </w:r>
      <w:r w:rsidRPr="00767B33">
        <w:t xml:space="preserve"> maximum total labour rates</w:t>
      </w:r>
      <w:r w:rsidR="00122464">
        <w:t xml:space="preserve"> for each labour category</w:t>
      </w:r>
      <w:r w:rsidRPr="00C31DC4">
        <w:t>.</w:t>
      </w:r>
      <w:r w:rsidRPr="00C31DC4">
        <w:rPr>
          <w:rStyle w:val="AERbody"/>
        </w:rPr>
        <w:t xml:space="preserve"> It was this maximum rate that was important in our deliberations. The components that make up that maximum were of less relevance</w:t>
      </w:r>
      <w:r>
        <w:rPr>
          <w:rStyle w:val="AERbody"/>
        </w:rPr>
        <w:t xml:space="preserve"> and</w:t>
      </w:r>
      <w:r w:rsidRPr="009D23C5">
        <w:t xml:space="preserve"> </w:t>
      </w:r>
      <w:r>
        <w:t xml:space="preserve">individually </w:t>
      </w:r>
      <w:r w:rsidRPr="00C31DC4">
        <w:t>did not form the basis of our reasoning.</w:t>
      </w:r>
    </w:p>
    <w:p w:rsidR="003B386A" w:rsidRDefault="003B386A" w:rsidP="00CE3A11">
      <w:r>
        <w:t xml:space="preserve">Our assignment of TasNetworks' proposed labour rates to our labour categories and </w:t>
      </w:r>
      <w:r w:rsidR="009D2EB3">
        <w:t>comparing</w:t>
      </w:r>
      <w:r>
        <w:t xml:space="preserve"> its labour rates to our Tasmanian maximum total labour rates</w:t>
      </w:r>
      <w:r w:rsidR="009D2EB3">
        <w:t>,</w:t>
      </w:r>
      <w:r w:rsidRPr="003B386A">
        <w:t xml:space="preserve"> </w:t>
      </w:r>
      <w:r>
        <w:t xml:space="preserve">are set out in </w:t>
      </w:r>
      <w:r>
        <w:fldChar w:fldCharType="begin"/>
      </w:r>
      <w:r>
        <w:instrText xml:space="preserve"> REF  _Ref456087858 \* Lower \h </w:instrText>
      </w:r>
      <w:r>
        <w:fldChar w:fldCharType="separate"/>
      </w:r>
      <w:r w:rsidR="000C061E">
        <w:t xml:space="preserve">table </w:t>
      </w:r>
      <w:r w:rsidR="000C061E">
        <w:rPr>
          <w:noProof/>
        </w:rPr>
        <w:t>16</w:t>
      </w:r>
      <w:r w:rsidR="000C061E">
        <w:t>.</w:t>
      </w:r>
      <w:r w:rsidR="000C061E">
        <w:rPr>
          <w:noProof/>
        </w:rPr>
        <w:t>2</w:t>
      </w:r>
      <w:r>
        <w:fldChar w:fldCharType="end"/>
      </w:r>
      <w:r>
        <w:t>. The table also includes the respective jurisdictional maximum total labour rates for transparency on how the Tasmanian maximums have been developed.</w:t>
      </w:r>
    </w:p>
    <w:p w:rsidR="00422D2A" w:rsidRDefault="00422D2A" w:rsidP="00422D2A">
      <w:pPr>
        <w:pStyle w:val="Charttitle"/>
      </w:pPr>
      <w:bookmarkStart w:id="98" w:name="_Ref456086890"/>
      <w:bookmarkStart w:id="99" w:name="_Ref456087858"/>
      <w:bookmarkEnd w:id="96"/>
      <w:r>
        <w:t xml:space="preserve">Table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rsidR="0031261B">
        <w:t>.</w:t>
      </w:r>
      <w:r w:rsidR="00E639DB">
        <w:fldChar w:fldCharType="begin"/>
      </w:r>
      <w:r w:rsidR="00E639DB">
        <w:instrText xml:space="preserve"> SEQ Table \* ARABIC \s 1 </w:instrText>
      </w:r>
      <w:r w:rsidR="00E639DB">
        <w:fldChar w:fldCharType="separate"/>
      </w:r>
      <w:r w:rsidR="000C061E">
        <w:rPr>
          <w:noProof/>
        </w:rPr>
        <w:t>2</w:t>
      </w:r>
      <w:r w:rsidR="00E639DB">
        <w:rPr>
          <w:noProof/>
        </w:rPr>
        <w:fldChar w:fldCharType="end"/>
      </w:r>
      <w:bookmarkEnd w:id="98"/>
      <w:bookmarkEnd w:id="99"/>
      <w:r>
        <w:t xml:space="preserve"> Comparison of TasNetworks' proposed labour rates and the AER maximum total labour rates ($201</w:t>
      </w:r>
      <w:r w:rsidR="00C53A02">
        <w:t>7</w:t>
      </w:r>
      <w:r>
        <w:t>–1</w:t>
      </w:r>
      <w:r w:rsidR="00C53A02">
        <w:t>8</w:t>
      </w:r>
      <w:r>
        <w:t>)</w:t>
      </w:r>
    </w:p>
    <w:tbl>
      <w:tblPr>
        <w:tblStyle w:val="AERtable-numbers"/>
        <w:tblW w:w="0" w:type="auto"/>
        <w:tblLook w:val="04A0" w:firstRow="1" w:lastRow="0" w:firstColumn="1" w:lastColumn="0" w:noHBand="0" w:noVBand="1"/>
      </w:tblPr>
      <w:tblGrid>
        <w:gridCol w:w="1241"/>
        <w:gridCol w:w="1242"/>
        <w:gridCol w:w="1242"/>
        <w:gridCol w:w="1242"/>
        <w:gridCol w:w="1242"/>
        <w:gridCol w:w="1242"/>
        <w:gridCol w:w="1242"/>
      </w:tblGrid>
      <w:tr w:rsidR="00422D2A" w:rsidTr="00422D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rsidRPr="00502504">
              <w:t>TasNetworks labour categories</w:t>
            </w:r>
          </w:p>
        </w:tc>
        <w:tc>
          <w:tcPr>
            <w:tcW w:w="1242" w:type="dxa"/>
          </w:tcPr>
          <w:p w:rsidR="00422D2A" w:rsidRPr="00422D2A" w:rsidRDefault="00422D2A" w:rsidP="00422D2A">
            <w:pPr>
              <w:cnfStyle w:val="100000000000" w:firstRow="1" w:lastRow="0" w:firstColumn="0" w:lastColumn="0" w:oddVBand="0" w:evenVBand="0" w:oddHBand="0" w:evenHBand="0" w:firstRowFirstColumn="0" w:firstRowLastColumn="0" w:lastRowFirstColumn="0" w:lastRowLastColumn="0"/>
            </w:pPr>
            <w:r>
              <w:t xml:space="preserve">TasNetworks </w:t>
            </w:r>
            <w:r w:rsidRPr="00422D2A">
              <w:t>labour rates (17-18)</w:t>
            </w:r>
          </w:p>
        </w:tc>
        <w:tc>
          <w:tcPr>
            <w:tcW w:w="1242" w:type="dxa"/>
          </w:tcPr>
          <w:p w:rsidR="00422D2A" w:rsidRPr="00422D2A" w:rsidRDefault="00422D2A" w:rsidP="00422D2A">
            <w:pPr>
              <w:cnfStyle w:val="100000000000" w:firstRow="1" w:lastRow="0" w:firstColumn="0" w:lastColumn="0" w:oddVBand="0" w:evenVBand="0" w:oddHBand="0" w:evenHBand="0" w:firstRowFirstColumn="0" w:firstRowLastColumn="0" w:lastRowFirstColumn="0" w:lastRowLastColumn="0"/>
            </w:pPr>
            <w:r w:rsidRPr="00502504">
              <w:t>AER labour categories</w:t>
            </w:r>
          </w:p>
        </w:tc>
        <w:tc>
          <w:tcPr>
            <w:tcW w:w="1242" w:type="dxa"/>
          </w:tcPr>
          <w:p w:rsidR="00422D2A" w:rsidRPr="00422D2A" w:rsidRDefault="00422D2A" w:rsidP="003B386A">
            <w:pPr>
              <w:cnfStyle w:val="100000000000" w:firstRow="1" w:lastRow="0" w:firstColumn="0" w:lastColumn="0" w:oddVBand="0" w:evenVBand="0" w:oddHBand="0" w:evenHBand="0" w:firstRowFirstColumn="0" w:firstRowLastColumn="0" w:lastRowFirstColumn="0" w:lastRowLastColumn="0"/>
            </w:pPr>
            <w:r>
              <w:t>AER maximum Tasmania</w:t>
            </w:r>
            <w:r w:rsidRPr="00422D2A">
              <w:t>n labour rates</w:t>
            </w:r>
          </w:p>
        </w:tc>
        <w:tc>
          <w:tcPr>
            <w:tcW w:w="1242" w:type="dxa"/>
          </w:tcPr>
          <w:p w:rsidR="00422D2A" w:rsidRPr="00422D2A" w:rsidRDefault="00422D2A" w:rsidP="00422D2A">
            <w:pPr>
              <w:cnfStyle w:val="100000000000" w:firstRow="1" w:lastRow="0" w:firstColumn="0" w:lastColumn="0" w:oddVBand="0" w:evenVBand="0" w:oddHBand="0" w:evenHBand="0" w:firstRowFirstColumn="0" w:firstRowLastColumn="0" w:lastRowFirstColumn="0" w:lastRowLastColumn="0"/>
            </w:pPr>
            <w:r>
              <w:t>AER m</w:t>
            </w:r>
            <w:r w:rsidRPr="00422D2A">
              <w:t>aximum Victorian labour rates</w:t>
            </w:r>
          </w:p>
        </w:tc>
        <w:tc>
          <w:tcPr>
            <w:tcW w:w="1242" w:type="dxa"/>
          </w:tcPr>
          <w:p w:rsidR="00422D2A" w:rsidRPr="00422D2A" w:rsidRDefault="00422D2A" w:rsidP="00422D2A">
            <w:pPr>
              <w:cnfStyle w:val="100000000000" w:firstRow="1" w:lastRow="0" w:firstColumn="0" w:lastColumn="0" w:oddVBand="0" w:evenVBand="0" w:oddHBand="0" w:evenHBand="0" w:firstRowFirstColumn="0" w:firstRowLastColumn="0" w:lastRowFirstColumn="0" w:lastRowLastColumn="0"/>
            </w:pPr>
            <w:r>
              <w:t>AER maximum New South Wales</w:t>
            </w:r>
            <w:r w:rsidRPr="00422D2A">
              <w:t xml:space="preserve"> labour rates</w:t>
            </w:r>
          </w:p>
        </w:tc>
        <w:tc>
          <w:tcPr>
            <w:tcW w:w="1242" w:type="dxa"/>
          </w:tcPr>
          <w:p w:rsidR="00422D2A" w:rsidRPr="00422D2A" w:rsidRDefault="00422D2A" w:rsidP="00422D2A">
            <w:pPr>
              <w:cnfStyle w:val="100000000000" w:firstRow="1" w:lastRow="0" w:firstColumn="0" w:lastColumn="0" w:oddVBand="0" w:evenVBand="0" w:oddHBand="0" w:evenHBand="0" w:firstRowFirstColumn="0" w:firstRowLastColumn="0" w:lastRowFirstColumn="0" w:lastRowLastColumn="0"/>
            </w:pPr>
            <w:r>
              <w:t>AER maximum Queensland</w:t>
            </w:r>
            <w:r w:rsidRPr="00422D2A">
              <w:t xml:space="preserve"> labour rates</w:t>
            </w:r>
          </w:p>
        </w:tc>
      </w:tr>
      <w:tr w:rsidR="00C53A02" w:rsidTr="00422D2A">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A</w:t>
            </w:r>
            <w:r w:rsidRPr="00422D2A">
              <w:t>dministration (implied)</w:t>
            </w:r>
          </w:p>
        </w:tc>
        <w:tc>
          <w:tcPr>
            <w:tcW w:w="1242" w:type="dxa"/>
          </w:tcPr>
          <w:p w:rsidR="00422D2A" w:rsidRPr="00422D2A" w:rsidRDefault="00422D2A" w:rsidP="00422D2A">
            <w:pPr>
              <w:cnfStyle w:val="000000000000" w:firstRow="0" w:lastRow="0" w:firstColumn="0" w:lastColumn="0" w:oddVBand="0" w:evenVBand="0" w:oddHBand="0" w:evenHBand="0" w:firstRowFirstColumn="0" w:firstRowLastColumn="0" w:lastRowFirstColumn="0" w:lastRowLastColumn="0"/>
            </w:pPr>
            <w:r>
              <w:t>224.47</w:t>
            </w:r>
          </w:p>
        </w:tc>
        <w:tc>
          <w:tcPr>
            <w:tcW w:w="1242" w:type="dxa"/>
          </w:tcPr>
          <w:p w:rsidR="00422D2A" w:rsidRPr="00422D2A" w:rsidRDefault="00422D2A" w:rsidP="00422D2A">
            <w:pPr>
              <w:cnfStyle w:val="000000000000" w:firstRow="0" w:lastRow="0" w:firstColumn="0" w:lastColumn="0" w:oddVBand="0" w:evenVBand="0" w:oddHBand="0" w:evenHBand="0" w:firstRowFirstColumn="0" w:firstRowLastColumn="0" w:lastRowFirstColumn="0" w:lastRowLastColumn="0"/>
            </w:pPr>
            <w:r>
              <w:t>Administration</w:t>
            </w:r>
          </w:p>
        </w:tc>
        <w:tc>
          <w:tcPr>
            <w:tcW w:w="1242" w:type="dxa"/>
          </w:tcPr>
          <w:p w:rsidR="00422D2A" w:rsidRPr="00422D2A" w:rsidRDefault="00422D2A" w:rsidP="00B2028C">
            <w:pPr>
              <w:cnfStyle w:val="000000000000" w:firstRow="0" w:lastRow="0" w:firstColumn="0" w:lastColumn="0" w:oddVBand="0" w:evenVBand="0" w:oddHBand="0" w:evenHBand="0" w:firstRowFirstColumn="0" w:firstRowLastColumn="0" w:lastRowFirstColumn="0" w:lastRowLastColumn="0"/>
            </w:pPr>
            <w:r>
              <w:t>9</w:t>
            </w:r>
            <w:r w:rsidR="00B2028C">
              <w:t>8</w:t>
            </w:r>
            <w:r>
              <w:t>.</w:t>
            </w:r>
            <w:r w:rsidR="00B2028C">
              <w:t>95</w:t>
            </w:r>
          </w:p>
        </w:tc>
        <w:tc>
          <w:tcPr>
            <w:tcW w:w="1242" w:type="dxa"/>
          </w:tcPr>
          <w:p w:rsidR="00422D2A" w:rsidRPr="00422D2A" w:rsidRDefault="00B2028C" w:rsidP="00422D2A">
            <w:pPr>
              <w:cnfStyle w:val="000000000000" w:firstRow="0" w:lastRow="0" w:firstColumn="0" w:lastColumn="0" w:oddVBand="0" w:evenVBand="0" w:oddHBand="0" w:evenHBand="0" w:firstRowFirstColumn="0" w:firstRowLastColumn="0" w:lastRowFirstColumn="0" w:lastRowLastColumn="0"/>
            </w:pPr>
            <w:r>
              <w:t>98.95</w:t>
            </w:r>
          </w:p>
        </w:tc>
        <w:tc>
          <w:tcPr>
            <w:tcW w:w="1242" w:type="dxa"/>
          </w:tcPr>
          <w:p w:rsidR="00422D2A" w:rsidRPr="00422D2A" w:rsidRDefault="00B2028C" w:rsidP="00422D2A">
            <w:pPr>
              <w:cnfStyle w:val="000000000000" w:firstRow="0" w:lastRow="0" w:firstColumn="0" w:lastColumn="0" w:oddVBand="0" w:evenVBand="0" w:oddHBand="0" w:evenHBand="0" w:firstRowFirstColumn="0" w:firstRowLastColumn="0" w:lastRowFirstColumn="0" w:lastRowLastColumn="0"/>
            </w:pPr>
            <w:r>
              <w:t>95.90</w:t>
            </w:r>
          </w:p>
        </w:tc>
        <w:tc>
          <w:tcPr>
            <w:tcW w:w="1242" w:type="dxa"/>
          </w:tcPr>
          <w:p w:rsidR="00422D2A" w:rsidRPr="00422D2A" w:rsidRDefault="00B2028C" w:rsidP="00422D2A">
            <w:pPr>
              <w:cnfStyle w:val="000000000000" w:firstRow="0" w:lastRow="0" w:firstColumn="0" w:lastColumn="0" w:oddVBand="0" w:evenVBand="0" w:oddHBand="0" w:evenHBand="0" w:firstRowFirstColumn="0" w:firstRowLastColumn="0" w:lastRowFirstColumn="0" w:lastRowLastColumn="0"/>
            </w:pPr>
            <w:r>
              <w:t>80.24</w:t>
            </w:r>
          </w:p>
        </w:tc>
      </w:tr>
      <w:tr w:rsidR="00C53A02" w:rsidTr="0042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Distribution operator</w:t>
            </w:r>
          </w:p>
        </w:tc>
        <w:tc>
          <w:tcPr>
            <w:tcW w:w="1242" w:type="dxa"/>
          </w:tcPr>
          <w:p w:rsidR="00422D2A" w:rsidRPr="00422D2A" w:rsidRDefault="00422D2A" w:rsidP="00422D2A">
            <w:pPr>
              <w:cnfStyle w:val="000000010000" w:firstRow="0" w:lastRow="0" w:firstColumn="0" w:lastColumn="0" w:oddVBand="0" w:evenVBand="0" w:oddHBand="0" w:evenHBand="1" w:firstRowFirstColumn="0" w:firstRowLastColumn="0" w:lastRowFirstColumn="0" w:lastRowLastColumn="0"/>
            </w:pPr>
            <w:r>
              <w:t>69.65</w:t>
            </w:r>
          </w:p>
        </w:tc>
        <w:tc>
          <w:tcPr>
            <w:tcW w:w="1242" w:type="dxa"/>
            <w:vMerge w:val="restart"/>
          </w:tcPr>
          <w:p w:rsidR="00422D2A" w:rsidRPr="00422D2A" w:rsidRDefault="00422D2A" w:rsidP="00422D2A">
            <w:pPr>
              <w:cnfStyle w:val="000000010000" w:firstRow="0" w:lastRow="0" w:firstColumn="0" w:lastColumn="0" w:oddVBand="0" w:evenVBand="0" w:oddHBand="0" w:evenHBand="1" w:firstRowFirstColumn="0" w:firstRowLastColumn="0" w:lastRowFirstColumn="0" w:lastRowLastColumn="0"/>
            </w:pPr>
            <w:r>
              <w:t>Technical specialist</w:t>
            </w:r>
          </w:p>
        </w:tc>
        <w:tc>
          <w:tcPr>
            <w:tcW w:w="1242" w:type="dxa"/>
            <w:vMerge w:val="restart"/>
          </w:tcPr>
          <w:p w:rsidR="00422D2A" w:rsidRPr="00422D2A" w:rsidRDefault="00B2028C" w:rsidP="00422D2A">
            <w:pPr>
              <w:cnfStyle w:val="000000010000" w:firstRow="0" w:lastRow="0" w:firstColumn="0" w:lastColumn="0" w:oddVBand="0" w:evenVBand="0" w:oddHBand="0" w:evenHBand="1" w:firstRowFirstColumn="0" w:firstRowLastColumn="0" w:lastRowFirstColumn="0" w:lastRowLastColumn="0"/>
            </w:pPr>
            <w:r>
              <w:t>197.52</w:t>
            </w:r>
          </w:p>
        </w:tc>
        <w:tc>
          <w:tcPr>
            <w:tcW w:w="1242" w:type="dxa"/>
            <w:vMerge w:val="restart"/>
          </w:tcPr>
          <w:p w:rsidR="00422D2A" w:rsidRPr="00422D2A" w:rsidRDefault="00B2028C" w:rsidP="00422D2A">
            <w:pPr>
              <w:cnfStyle w:val="000000010000" w:firstRow="0" w:lastRow="0" w:firstColumn="0" w:lastColumn="0" w:oddVBand="0" w:evenVBand="0" w:oddHBand="0" w:evenHBand="1" w:firstRowFirstColumn="0" w:firstRowLastColumn="0" w:lastRowFirstColumn="0" w:lastRowLastColumn="0"/>
            </w:pPr>
            <w:r>
              <w:t>173.16</w:t>
            </w:r>
          </w:p>
        </w:tc>
        <w:tc>
          <w:tcPr>
            <w:tcW w:w="1242" w:type="dxa"/>
            <w:vMerge w:val="restart"/>
          </w:tcPr>
          <w:p w:rsidR="00422D2A" w:rsidRPr="00422D2A" w:rsidRDefault="00B2028C" w:rsidP="00422D2A">
            <w:pPr>
              <w:cnfStyle w:val="000000010000" w:firstRow="0" w:lastRow="0" w:firstColumn="0" w:lastColumn="0" w:oddVBand="0" w:evenVBand="0" w:oddHBand="0" w:evenHBand="1" w:firstRowFirstColumn="0" w:firstRowLastColumn="0" w:lastRowFirstColumn="0" w:lastRowLastColumn="0"/>
            </w:pPr>
            <w:r>
              <w:t>153.79</w:t>
            </w:r>
          </w:p>
        </w:tc>
        <w:tc>
          <w:tcPr>
            <w:tcW w:w="1242" w:type="dxa"/>
            <w:vMerge w:val="restart"/>
          </w:tcPr>
          <w:p w:rsidR="00422D2A" w:rsidRPr="00422D2A" w:rsidRDefault="00B2028C" w:rsidP="00422D2A">
            <w:pPr>
              <w:cnfStyle w:val="000000010000" w:firstRow="0" w:lastRow="0" w:firstColumn="0" w:lastColumn="0" w:oddVBand="0" w:evenVBand="0" w:oddHBand="0" w:evenHBand="1" w:firstRowFirstColumn="0" w:firstRowLastColumn="0" w:lastRowFirstColumn="0" w:lastRowLastColumn="0"/>
            </w:pPr>
            <w:r>
              <w:t>197.52</w:t>
            </w:r>
          </w:p>
        </w:tc>
      </w:tr>
      <w:tr w:rsidR="00C53A02" w:rsidTr="00422D2A">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Electrical inspector</w:t>
            </w:r>
          </w:p>
        </w:tc>
        <w:tc>
          <w:tcPr>
            <w:tcW w:w="1242" w:type="dxa"/>
          </w:tcPr>
          <w:p w:rsidR="00422D2A" w:rsidRPr="00422D2A" w:rsidRDefault="00422D2A" w:rsidP="00422D2A">
            <w:pPr>
              <w:cnfStyle w:val="000000000000" w:firstRow="0" w:lastRow="0" w:firstColumn="0" w:lastColumn="0" w:oddVBand="0" w:evenVBand="0" w:oddHBand="0" w:evenHBand="0" w:firstRowFirstColumn="0" w:firstRowLastColumn="0" w:lastRowFirstColumn="0" w:lastRowLastColumn="0"/>
            </w:pPr>
            <w:r>
              <w:t>58.32</w:t>
            </w: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r>
      <w:tr w:rsidR="00C53A02" w:rsidTr="0042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Field service co</w:t>
            </w:r>
            <w:r>
              <w:noBreakHyphen/>
              <w:t>ordinator</w:t>
            </w:r>
          </w:p>
        </w:tc>
        <w:tc>
          <w:tcPr>
            <w:tcW w:w="1242" w:type="dxa"/>
          </w:tcPr>
          <w:p w:rsidR="00422D2A" w:rsidRPr="00422D2A" w:rsidRDefault="00422D2A" w:rsidP="00422D2A">
            <w:pPr>
              <w:cnfStyle w:val="000000010000" w:firstRow="0" w:lastRow="0" w:firstColumn="0" w:lastColumn="0" w:oddVBand="0" w:evenVBand="0" w:oddHBand="0" w:evenHBand="1" w:firstRowFirstColumn="0" w:firstRowLastColumn="0" w:lastRowFirstColumn="0" w:lastRowLastColumn="0"/>
            </w:pPr>
            <w:r>
              <w:t>72.38</w:t>
            </w: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r>
      <w:tr w:rsidR="00C53A02" w:rsidTr="00422D2A">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Designer</w:t>
            </w:r>
          </w:p>
        </w:tc>
        <w:tc>
          <w:tcPr>
            <w:tcW w:w="1242" w:type="dxa"/>
          </w:tcPr>
          <w:p w:rsidR="00422D2A" w:rsidRPr="00422D2A" w:rsidRDefault="00422D2A" w:rsidP="00422D2A">
            <w:pPr>
              <w:cnfStyle w:val="000000000000" w:firstRow="0" w:lastRow="0" w:firstColumn="0" w:lastColumn="0" w:oddVBand="0" w:evenVBand="0" w:oddHBand="0" w:evenHBand="0" w:firstRowFirstColumn="0" w:firstRowLastColumn="0" w:lastRowFirstColumn="0" w:lastRowLastColumn="0"/>
            </w:pPr>
            <w:r>
              <w:t>70.05</w:t>
            </w:r>
          </w:p>
        </w:tc>
        <w:tc>
          <w:tcPr>
            <w:tcW w:w="1242" w:type="dxa"/>
            <w:vMerge w:val="restart"/>
          </w:tcPr>
          <w:p w:rsidR="00422D2A" w:rsidRPr="00422D2A" w:rsidRDefault="00422D2A" w:rsidP="00422D2A">
            <w:pPr>
              <w:cnfStyle w:val="000000000000" w:firstRow="0" w:lastRow="0" w:firstColumn="0" w:lastColumn="0" w:oddVBand="0" w:evenVBand="0" w:oddHBand="0" w:evenHBand="0" w:firstRowFirstColumn="0" w:firstRowLastColumn="0" w:lastRowFirstColumn="0" w:lastRowLastColumn="0"/>
            </w:pPr>
            <w:r>
              <w:t>Engineer</w:t>
            </w:r>
          </w:p>
        </w:tc>
        <w:tc>
          <w:tcPr>
            <w:tcW w:w="1242" w:type="dxa"/>
            <w:vMerge w:val="restart"/>
          </w:tcPr>
          <w:p w:rsidR="00422D2A" w:rsidRPr="00422D2A" w:rsidRDefault="00B2028C" w:rsidP="00422D2A">
            <w:pPr>
              <w:cnfStyle w:val="000000000000" w:firstRow="0" w:lastRow="0" w:firstColumn="0" w:lastColumn="0" w:oddVBand="0" w:evenVBand="0" w:oddHBand="0" w:evenHBand="0" w:firstRowFirstColumn="0" w:firstRowLastColumn="0" w:lastRowFirstColumn="0" w:lastRowLastColumn="0"/>
            </w:pPr>
            <w:r>
              <w:t>191.17</w:t>
            </w:r>
          </w:p>
        </w:tc>
        <w:tc>
          <w:tcPr>
            <w:tcW w:w="1242" w:type="dxa"/>
            <w:vMerge w:val="restart"/>
          </w:tcPr>
          <w:p w:rsidR="00422D2A" w:rsidRPr="00422D2A" w:rsidRDefault="00B2028C" w:rsidP="00422D2A">
            <w:pPr>
              <w:cnfStyle w:val="000000000000" w:firstRow="0" w:lastRow="0" w:firstColumn="0" w:lastColumn="0" w:oddVBand="0" w:evenVBand="0" w:oddHBand="0" w:evenHBand="0" w:firstRowFirstColumn="0" w:firstRowLastColumn="0" w:lastRowFirstColumn="0" w:lastRowLastColumn="0"/>
            </w:pPr>
            <w:r>
              <w:t>185.52</w:t>
            </w:r>
          </w:p>
        </w:tc>
        <w:tc>
          <w:tcPr>
            <w:tcW w:w="1242" w:type="dxa"/>
            <w:vMerge w:val="restart"/>
          </w:tcPr>
          <w:p w:rsidR="00422D2A" w:rsidRPr="00422D2A" w:rsidRDefault="00B2028C" w:rsidP="00422D2A">
            <w:pPr>
              <w:cnfStyle w:val="000000000000" w:firstRow="0" w:lastRow="0" w:firstColumn="0" w:lastColumn="0" w:oddVBand="0" w:evenVBand="0" w:oddHBand="0" w:evenHBand="0" w:firstRowFirstColumn="0" w:firstRowLastColumn="0" w:lastRowFirstColumn="0" w:lastRowLastColumn="0"/>
            </w:pPr>
            <w:r>
              <w:t>191.17</w:t>
            </w:r>
          </w:p>
        </w:tc>
        <w:tc>
          <w:tcPr>
            <w:tcW w:w="1242" w:type="dxa"/>
            <w:vMerge w:val="restart"/>
          </w:tcPr>
          <w:p w:rsidR="00422D2A" w:rsidRPr="00422D2A" w:rsidRDefault="00B2028C" w:rsidP="00422D2A">
            <w:pPr>
              <w:cnfStyle w:val="000000000000" w:firstRow="0" w:lastRow="0" w:firstColumn="0" w:lastColumn="0" w:oddVBand="0" w:evenVBand="0" w:oddHBand="0" w:evenHBand="0" w:firstRowFirstColumn="0" w:firstRowLastColumn="0" w:lastRowFirstColumn="0" w:lastRowLastColumn="0"/>
            </w:pPr>
            <w:r>
              <w:t>185.19</w:t>
            </w:r>
          </w:p>
        </w:tc>
      </w:tr>
      <w:tr w:rsidR="00C53A02" w:rsidTr="0042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Project manager</w:t>
            </w:r>
          </w:p>
        </w:tc>
        <w:tc>
          <w:tcPr>
            <w:tcW w:w="1242" w:type="dxa"/>
          </w:tcPr>
          <w:p w:rsidR="00422D2A" w:rsidRPr="00422D2A" w:rsidRDefault="00422D2A" w:rsidP="00422D2A">
            <w:pPr>
              <w:cnfStyle w:val="000000010000" w:firstRow="0" w:lastRow="0" w:firstColumn="0" w:lastColumn="0" w:oddVBand="0" w:evenVBand="0" w:oddHBand="0" w:evenHBand="1" w:firstRowFirstColumn="0" w:firstRowLastColumn="0" w:lastRowFirstColumn="0" w:lastRowLastColumn="0"/>
            </w:pPr>
            <w:r>
              <w:t>86.08</w:t>
            </w: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r>
      <w:tr w:rsidR="00C53A02" w:rsidTr="00422D2A">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 xml:space="preserve">Distribution </w:t>
            </w:r>
            <w:r w:rsidRPr="00422D2A">
              <w:t>electrical technician</w:t>
            </w:r>
          </w:p>
        </w:tc>
        <w:tc>
          <w:tcPr>
            <w:tcW w:w="1242" w:type="dxa"/>
          </w:tcPr>
          <w:p w:rsidR="00422D2A" w:rsidRPr="00422D2A" w:rsidRDefault="00422D2A" w:rsidP="00422D2A">
            <w:pPr>
              <w:cnfStyle w:val="000000000000" w:firstRow="0" w:lastRow="0" w:firstColumn="0" w:lastColumn="0" w:oddVBand="0" w:evenVBand="0" w:oddHBand="0" w:evenHBand="0" w:firstRowFirstColumn="0" w:firstRowLastColumn="0" w:lastRowFirstColumn="0" w:lastRowLastColumn="0"/>
            </w:pPr>
            <w:r>
              <w:t>62.25</w:t>
            </w: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r>
      <w:tr w:rsidR="00C53A02" w:rsidTr="0042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A</w:t>
            </w:r>
            <w:r w:rsidRPr="00422D2A">
              <w:t>pprentice</w:t>
            </w:r>
          </w:p>
        </w:tc>
        <w:tc>
          <w:tcPr>
            <w:tcW w:w="1242" w:type="dxa"/>
          </w:tcPr>
          <w:p w:rsidR="00422D2A" w:rsidRPr="00422D2A" w:rsidRDefault="000B6A71" w:rsidP="00422D2A">
            <w:pPr>
              <w:cnfStyle w:val="000000010000" w:firstRow="0" w:lastRow="0" w:firstColumn="0" w:lastColumn="0" w:oddVBand="0" w:evenVBand="0" w:oddHBand="0" w:evenHBand="1" w:firstRowFirstColumn="0" w:firstRowLastColumn="0" w:lastRowFirstColumn="0" w:lastRowLastColumn="0"/>
            </w:pPr>
            <w:r>
              <w:t>66.22</w:t>
            </w:r>
          </w:p>
        </w:tc>
        <w:tc>
          <w:tcPr>
            <w:tcW w:w="1242" w:type="dxa"/>
            <w:vMerge w:val="restart"/>
          </w:tcPr>
          <w:p w:rsidR="00422D2A" w:rsidRPr="00422D2A" w:rsidRDefault="00422D2A" w:rsidP="00422D2A">
            <w:pPr>
              <w:cnfStyle w:val="000000010000" w:firstRow="0" w:lastRow="0" w:firstColumn="0" w:lastColumn="0" w:oddVBand="0" w:evenVBand="0" w:oddHBand="0" w:evenHBand="1" w:firstRowFirstColumn="0" w:firstRowLastColumn="0" w:lastRowFirstColumn="0" w:lastRowLastColumn="0"/>
            </w:pPr>
            <w:r>
              <w:t>Field worker</w:t>
            </w:r>
          </w:p>
        </w:tc>
        <w:tc>
          <w:tcPr>
            <w:tcW w:w="1242" w:type="dxa"/>
            <w:vMerge w:val="restart"/>
          </w:tcPr>
          <w:p w:rsidR="00422D2A" w:rsidRPr="00422D2A" w:rsidRDefault="00B2028C" w:rsidP="00422D2A">
            <w:pPr>
              <w:cnfStyle w:val="000000010000" w:firstRow="0" w:lastRow="0" w:firstColumn="0" w:lastColumn="0" w:oddVBand="0" w:evenVBand="0" w:oddHBand="0" w:evenHBand="1" w:firstRowFirstColumn="0" w:firstRowLastColumn="0" w:lastRowFirstColumn="0" w:lastRowLastColumn="0"/>
            </w:pPr>
            <w:r>
              <w:t>173.16</w:t>
            </w:r>
          </w:p>
        </w:tc>
        <w:tc>
          <w:tcPr>
            <w:tcW w:w="1242" w:type="dxa"/>
            <w:vMerge w:val="restart"/>
          </w:tcPr>
          <w:p w:rsidR="00422D2A" w:rsidRPr="00422D2A" w:rsidRDefault="00B2028C" w:rsidP="00422D2A">
            <w:pPr>
              <w:cnfStyle w:val="000000010000" w:firstRow="0" w:lastRow="0" w:firstColumn="0" w:lastColumn="0" w:oddVBand="0" w:evenVBand="0" w:oddHBand="0" w:evenHBand="1" w:firstRowFirstColumn="0" w:firstRowLastColumn="0" w:lastRowFirstColumn="0" w:lastRowLastColumn="0"/>
            </w:pPr>
            <w:r>
              <w:t>173.16</w:t>
            </w:r>
          </w:p>
        </w:tc>
        <w:tc>
          <w:tcPr>
            <w:tcW w:w="1242" w:type="dxa"/>
            <w:vMerge w:val="restart"/>
          </w:tcPr>
          <w:p w:rsidR="00422D2A" w:rsidRPr="00422D2A" w:rsidRDefault="00B2028C" w:rsidP="00422D2A">
            <w:pPr>
              <w:cnfStyle w:val="000000010000" w:firstRow="0" w:lastRow="0" w:firstColumn="0" w:lastColumn="0" w:oddVBand="0" w:evenVBand="0" w:oddHBand="0" w:evenHBand="1" w:firstRowFirstColumn="0" w:firstRowLastColumn="0" w:lastRowFirstColumn="0" w:lastRowLastColumn="0"/>
            </w:pPr>
            <w:r>
              <w:t>144.08</w:t>
            </w:r>
          </w:p>
        </w:tc>
        <w:tc>
          <w:tcPr>
            <w:tcW w:w="1242" w:type="dxa"/>
            <w:vMerge w:val="restart"/>
          </w:tcPr>
          <w:p w:rsidR="00422D2A" w:rsidRPr="00422D2A" w:rsidRDefault="00B2028C" w:rsidP="00422D2A">
            <w:pPr>
              <w:cnfStyle w:val="000000010000" w:firstRow="0" w:lastRow="0" w:firstColumn="0" w:lastColumn="0" w:oddVBand="0" w:evenVBand="0" w:oddHBand="0" w:evenHBand="1" w:firstRowFirstColumn="0" w:firstRowLastColumn="0" w:lastRowFirstColumn="0" w:lastRowLastColumn="0"/>
            </w:pPr>
            <w:r>
              <w:t>135.79</w:t>
            </w:r>
          </w:p>
        </w:tc>
      </w:tr>
      <w:tr w:rsidR="00C53A02" w:rsidTr="00422D2A">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 xml:space="preserve">Cable </w:t>
            </w:r>
            <w:r w:rsidRPr="00422D2A">
              <w:t>joiner</w:t>
            </w:r>
          </w:p>
        </w:tc>
        <w:tc>
          <w:tcPr>
            <w:tcW w:w="1242" w:type="dxa"/>
          </w:tcPr>
          <w:p w:rsidR="00422D2A" w:rsidRPr="00422D2A" w:rsidRDefault="00422D2A" w:rsidP="00422D2A">
            <w:pPr>
              <w:cnfStyle w:val="000000000000" w:firstRow="0" w:lastRow="0" w:firstColumn="0" w:lastColumn="0" w:oddVBand="0" w:evenVBand="0" w:oddHBand="0" w:evenHBand="0" w:firstRowFirstColumn="0" w:firstRowLastColumn="0" w:lastRowFirstColumn="0" w:lastRowLastColumn="0"/>
            </w:pPr>
            <w:r>
              <w:t>60.56</w:t>
            </w: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r>
      <w:tr w:rsidR="00C53A02" w:rsidTr="0042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Customer connection</w:t>
            </w:r>
            <w:r w:rsidRPr="00422D2A">
              <w:t>s–commercial metering</w:t>
            </w:r>
          </w:p>
        </w:tc>
        <w:tc>
          <w:tcPr>
            <w:tcW w:w="1242" w:type="dxa"/>
          </w:tcPr>
          <w:p w:rsidR="00422D2A" w:rsidRPr="00422D2A" w:rsidRDefault="00422D2A" w:rsidP="00422D2A">
            <w:pPr>
              <w:cnfStyle w:val="000000010000" w:firstRow="0" w:lastRow="0" w:firstColumn="0" w:lastColumn="0" w:oddVBand="0" w:evenVBand="0" w:oddHBand="0" w:evenHBand="1" w:firstRowFirstColumn="0" w:firstRowLastColumn="0" w:lastRowFirstColumn="0" w:lastRowLastColumn="0"/>
            </w:pPr>
            <w:r>
              <w:t>63.09</w:t>
            </w: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r>
      <w:tr w:rsidR="00C53A02" w:rsidTr="00422D2A">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Customer connections–service crew</w:t>
            </w:r>
          </w:p>
        </w:tc>
        <w:tc>
          <w:tcPr>
            <w:tcW w:w="1242" w:type="dxa"/>
          </w:tcPr>
          <w:p w:rsidR="00422D2A" w:rsidRPr="00422D2A" w:rsidRDefault="00422D2A" w:rsidP="00422D2A">
            <w:pPr>
              <w:cnfStyle w:val="000000000000" w:firstRow="0" w:lastRow="0" w:firstColumn="0" w:lastColumn="0" w:oddVBand="0" w:evenVBand="0" w:oddHBand="0" w:evenHBand="0" w:firstRowFirstColumn="0" w:firstRowLastColumn="0" w:lastRowFirstColumn="0" w:lastRowLastColumn="0"/>
            </w:pPr>
            <w:r>
              <w:t>62.13</w:t>
            </w: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r>
      <w:tr w:rsidR="00C53A02" w:rsidTr="0042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Distribution linesman</w:t>
            </w:r>
          </w:p>
        </w:tc>
        <w:tc>
          <w:tcPr>
            <w:tcW w:w="1242" w:type="dxa"/>
          </w:tcPr>
          <w:p w:rsidR="00422D2A" w:rsidRPr="00422D2A" w:rsidRDefault="00422D2A" w:rsidP="00422D2A">
            <w:pPr>
              <w:cnfStyle w:val="000000010000" w:firstRow="0" w:lastRow="0" w:firstColumn="0" w:lastColumn="0" w:oddVBand="0" w:evenVBand="0" w:oddHBand="0" w:evenHBand="1" w:firstRowFirstColumn="0" w:firstRowLastColumn="0" w:lastRowFirstColumn="0" w:lastRowLastColumn="0"/>
            </w:pPr>
            <w:r>
              <w:t>56.35</w:t>
            </w: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r>
      <w:tr w:rsidR="00C53A02" w:rsidTr="00422D2A">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Distribution linesman–live line</w:t>
            </w:r>
          </w:p>
        </w:tc>
        <w:tc>
          <w:tcPr>
            <w:tcW w:w="1242" w:type="dxa"/>
          </w:tcPr>
          <w:p w:rsidR="00422D2A" w:rsidRPr="00422D2A" w:rsidRDefault="00422D2A" w:rsidP="00422D2A">
            <w:pPr>
              <w:cnfStyle w:val="000000000000" w:firstRow="0" w:lastRow="0" w:firstColumn="0" w:lastColumn="0" w:oddVBand="0" w:evenVBand="0" w:oddHBand="0" w:evenHBand="0" w:firstRowFirstColumn="0" w:firstRowLastColumn="0" w:lastRowFirstColumn="0" w:lastRowLastColumn="0"/>
            </w:pPr>
            <w:r>
              <w:t>63.38</w:t>
            </w: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r>
      <w:tr w:rsidR="00C53A02" w:rsidTr="0042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Labourer–overhead</w:t>
            </w:r>
          </w:p>
        </w:tc>
        <w:tc>
          <w:tcPr>
            <w:tcW w:w="1242" w:type="dxa"/>
          </w:tcPr>
          <w:p w:rsidR="00422D2A" w:rsidRPr="00422D2A" w:rsidRDefault="00422D2A" w:rsidP="00422D2A">
            <w:pPr>
              <w:cnfStyle w:val="000000010000" w:firstRow="0" w:lastRow="0" w:firstColumn="0" w:lastColumn="0" w:oddVBand="0" w:evenVBand="0" w:oddHBand="0" w:evenHBand="1" w:firstRowFirstColumn="0" w:firstRowLastColumn="0" w:lastRowFirstColumn="0" w:lastRowLastColumn="0"/>
            </w:pPr>
            <w:r>
              <w:t>48.42</w:t>
            </w: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r>
      <w:tr w:rsidR="00C53A02" w:rsidTr="00422D2A">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Meter reader</w:t>
            </w:r>
          </w:p>
        </w:tc>
        <w:tc>
          <w:tcPr>
            <w:tcW w:w="1242" w:type="dxa"/>
          </w:tcPr>
          <w:p w:rsidR="00422D2A" w:rsidRPr="00422D2A" w:rsidRDefault="00422D2A" w:rsidP="00422D2A">
            <w:pPr>
              <w:cnfStyle w:val="000000000000" w:firstRow="0" w:lastRow="0" w:firstColumn="0" w:lastColumn="0" w:oddVBand="0" w:evenVBand="0" w:oddHBand="0" w:evenHBand="0" w:firstRowFirstColumn="0" w:firstRowLastColumn="0" w:lastRowFirstColumn="0" w:lastRowLastColumn="0"/>
            </w:pPr>
            <w:r>
              <w:t>48.32</w:t>
            </w: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r>
      <w:tr w:rsidR="00C53A02" w:rsidTr="0042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El</w:t>
            </w:r>
            <w:r w:rsidRPr="00422D2A">
              <w:t>ectrical technician</w:t>
            </w:r>
          </w:p>
        </w:tc>
        <w:tc>
          <w:tcPr>
            <w:tcW w:w="1242" w:type="dxa"/>
          </w:tcPr>
          <w:p w:rsidR="00422D2A" w:rsidRPr="00422D2A" w:rsidRDefault="003E7E55" w:rsidP="0092523E">
            <w:pPr>
              <w:cnfStyle w:val="000000010000" w:firstRow="0" w:lastRow="0" w:firstColumn="0" w:lastColumn="0" w:oddVBand="0" w:evenVBand="0" w:oddHBand="0" w:evenHBand="1" w:firstRowFirstColumn="0" w:firstRowLastColumn="0" w:lastRowFirstColumn="0" w:lastRowLastColumn="0"/>
            </w:pPr>
            <w:r>
              <w:t>1</w:t>
            </w:r>
            <w:r w:rsidR="0092523E">
              <w:t>09</w:t>
            </w:r>
            <w:r>
              <w:t>.</w:t>
            </w:r>
            <w:r w:rsidR="0092523E">
              <w:t>86</w:t>
            </w:r>
            <w:r w:rsidR="00422D2A" w:rsidRPr="00422D2A">
              <w:rPr>
                <w:rStyle w:val="AERsuperscript"/>
              </w:rPr>
              <w:t>a</w:t>
            </w: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vMerge/>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r>
      <w:tr w:rsidR="00C53A02" w:rsidTr="00422D2A">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Pole tester</w:t>
            </w:r>
          </w:p>
        </w:tc>
        <w:tc>
          <w:tcPr>
            <w:tcW w:w="1242" w:type="dxa"/>
          </w:tcPr>
          <w:p w:rsidR="00422D2A" w:rsidRPr="00422D2A" w:rsidRDefault="00422D2A" w:rsidP="00422D2A">
            <w:pPr>
              <w:cnfStyle w:val="000000000000" w:firstRow="0" w:lastRow="0" w:firstColumn="0" w:lastColumn="0" w:oddVBand="0" w:evenVBand="0" w:oddHBand="0" w:evenHBand="0" w:firstRowFirstColumn="0" w:firstRowLastColumn="0" w:lastRowFirstColumn="0" w:lastRowLastColumn="0"/>
            </w:pPr>
            <w:r>
              <w:t>50.22</w:t>
            </w: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c>
          <w:tcPr>
            <w:tcW w:w="1242" w:type="dxa"/>
            <w:vMerge/>
          </w:tcPr>
          <w:p w:rsidR="00422D2A" w:rsidRDefault="00422D2A" w:rsidP="00422D2A">
            <w:pPr>
              <w:cnfStyle w:val="000000000000" w:firstRow="0" w:lastRow="0" w:firstColumn="0" w:lastColumn="0" w:oddVBand="0" w:evenVBand="0" w:oddHBand="0" w:evenHBand="0" w:firstRowFirstColumn="0" w:firstRowLastColumn="0" w:lastRowFirstColumn="0" w:lastRowLastColumn="0"/>
            </w:pPr>
          </w:p>
        </w:tc>
      </w:tr>
      <w:tr w:rsidR="00C53A02" w:rsidTr="00422D2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1" w:type="dxa"/>
          </w:tcPr>
          <w:p w:rsidR="00422D2A" w:rsidRPr="00422D2A" w:rsidRDefault="00422D2A" w:rsidP="00422D2A">
            <w:r>
              <w:t>N/A</w:t>
            </w:r>
          </w:p>
        </w:tc>
        <w:tc>
          <w:tcPr>
            <w:tcW w:w="1242" w:type="dxa"/>
          </w:tcPr>
          <w:p w:rsidR="00422D2A" w:rsidRDefault="00422D2A" w:rsidP="00422D2A">
            <w:pPr>
              <w:cnfStyle w:val="000000010000" w:firstRow="0" w:lastRow="0" w:firstColumn="0" w:lastColumn="0" w:oddVBand="0" w:evenVBand="0" w:oddHBand="0" w:evenHBand="1" w:firstRowFirstColumn="0" w:firstRowLastColumn="0" w:lastRowFirstColumn="0" w:lastRowLastColumn="0"/>
            </w:pPr>
          </w:p>
        </w:tc>
        <w:tc>
          <w:tcPr>
            <w:tcW w:w="1242" w:type="dxa"/>
          </w:tcPr>
          <w:p w:rsidR="00422D2A" w:rsidRPr="00422D2A" w:rsidRDefault="00422D2A" w:rsidP="00422D2A">
            <w:pPr>
              <w:cnfStyle w:val="000000010000" w:firstRow="0" w:lastRow="0" w:firstColumn="0" w:lastColumn="0" w:oddVBand="0" w:evenVBand="0" w:oddHBand="0" w:evenHBand="1" w:firstRowFirstColumn="0" w:firstRowLastColumn="0" w:lastRowFirstColumn="0" w:lastRowLastColumn="0"/>
            </w:pPr>
            <w:r>
              <w:t>Senior engineer</w:t>
            </w:r>
          </w:p>
        </w:tc>
        <w:tc>
          <w:tcPr>
            <w:tcW w:w="1242" w:type="dxa"/>
          </w:tcPr>
          <w:p w:rsidR="00422D2A" w:rsidRPr="00422D2A" w:rsidRDefault="00B2028C" w:rsidP="00422D2A">
            <w:pPr>
              <w:cnfStyle w:val="000000010000" w:firstRow="0" w:lastRow="0" w:firstColumn="0" w:lastColumn="0" w:oddVBand="0" w:evenVBand="0" w:oddHBand="0" w:evenHBand="1" w:firstRowFirstColumn="0" w:firstRowLastColumn="0" w:lastRowFirstColumn="0" w:lastRowLastColumn="0"/>
            </w:pPr>
            <w:r>
              <w:t>247.36</w:t>
            </w:r>
          </w:p>
        </w:tc>
        <w:tc>
          <w:tcPr>
            <w:tcW w:w="1242" w:type="dxa"/>
          </w:tcPr>
          <w:p w:rsidR="00422D2A" w:rsidRPr="00422D2A" w:rsidRDefault="00B2028C" w:rsidP="00422D2A">
            <w:pPr>
              <w:cnfStyle w:val="000000010000" w:firstRow="0" w:lastRow="0" w:firstColumn="0" w:lastColumn="0" w:oddVBand="0" w:evenVBand="0" w:oddHBand="0" w:evenHBand="1" w:firstRowFirstColumn="0" w:firstRowLastColumn="0" w:lastRowFirstColumn="0" w:lastRowLastColumn="0"/>
            </w:pPr>
            <w:r>
              <w:t>247.36</w:t>
            </w:r>
          </w:p>
        </w:tc>
        <w:tc>
          <w:tcPr>
            <w:tcW w:w="1242" w:type="dxa"/>
          </w:tcPr>
          <w:p w:rsidR="00422D2A" w:rsidRPr="00422D2A" w:rsidRDefault="00B2028C" w:rsidP="00422D2A">
            <w:pPr>
              <w:cnfStyle w:val="000000010000" w:firstRow="0" w:lastRow="0" w:firstColumn="0" w:lastColumn="0" w:oddVBand="0" w:evenVBand="0" w:oddHBand="0" w:evenHBand="1" w:firstRowFirstColumn="0" w:firstRowLastColumn="0" w:lastRowFirstColumn="0" w:lastRowLastColumn="0"/>
            </w:pPr>
            <w:r>
              <w:t>227.18</w:t>
            </w:r>
          </w:p>
        </w:tc>
        <w:tc>
          <w:tcPr>
            <w:tcW w:w="1242" w:type="dxa"/>
          </w:tcPr>
          <w:p w:rsidR="00422D2A" w:rsidRPr="00422D2A" w:rsidRDefault="00B2028C" w:rsidP="00422D2A">
            <w:pPr>
              <w:cnfStyle w:val="000000010000" w:firstRow="0" w:lastRow="0" w:firstColumn="0" w:lastColumn="0" w:oddVBand="0" w:evenVBand="0" w:oddHBand="0" w:evenHBand="1" w:firstRowFirstColumn="0" w:firstRowLastColumn="0" w:lastRowFirstColumn="0" w:lastRowLastColumn="0"/>
            </w:pPr>
            <w:r>
              <w:t>222.22</w:t>
            </w:r>
          </w:p>
        </w:tc>
      </w:tr>
    </w:tbl>
    <w:p w:rsidR="00422D2A" w:rsidRDefault="00422D2A" w:rsidP="00422D2A">
      <w:pPr>
        <w:pStyle w:val="AERtablesource"/>
      </w:pPr>
      <w:r>
        <w:t>Source:</w:t>
      </w:r>
      <w:r>
        <w:tab/>
        <w:t xml:space="preserve">TasNetworks, </w:t>
      </w:r>
      <w:r w:rsidRPr="00A65C3E">
        <w:rPr>
          <w:rStyle w:val="AERtextitalic"/>
        </w:rPr>
        <w:t>Indicative pricing schedule: Regulatory control period 1 July 2017 to 30 June 2019</w:t>
      </w:r>
      <w:r>
        <w:t xml:space="preserve">, January 2016; TasNetworks, </w:t>
      </w:r>
      <w:r w:rsidRPr="00A65C3E">
        <w:rPr>
          <w:rStyle w:val="AERtextitalic"/>
        </w:rPr>
        <w:t>TasNetworks (Ancillary service fees model)</w:t>
      </w:r>
      <w:r w:rsidRPr="00354FC8">
        <w:t>, January 2016</w:t>
      </w:r>
      <w:r>
        <w:t>; AER analysis.</w:t>
      </w:r>
    </w:p>
    <w:p w:rsidR="00B2028C" w:rsidRDefault="00422D2A" w:rsidP="00422D2A">
      <w:pPr>
        <w:pStyle w:val="AERtablesource"/>
      </w:pPr>
      <w:r>
        <w:t>Note:</w:t>
      </w:r>
      <w:r>
        <w:tab/>
      </w:r>
      <w:r w:rsidR="00B2028C">
        <w:t>AER maximum total labour rates were calculated in $2014–15 and escalated to $2017–18 using TasNe</w:t>
      </w:r>
      <w:r w:rsidR="00A073CD">
        <w:t>tworks escalators to ensure the</w:t>
      </w:r>
      <w:r w:rsidR="00B2028C">
        <w:t xml:space="preserve"> labour rates are compared on similar terms.</w:t>
      </w:r>
    </w:p>
    <w:p w:rsidR="00422D2A" w:rsidRPr="00F46A7E" w:rsidRDefault="00B2028C" w:rsidP="00422D2A">
      <w:pPr>
        <w:pStyle w:val="AERtablesource"/>
      </w:pPr>
      <w:r>
        <w:tab/>
      </w:r>
      <w:r w:rsidR="00422D2A">
        <w:t xml:space="preserve">(a) </w:t>
      </w:r>
      <w:r w:rsidR="0092523E">
        <w:t>Based on TasNetworks' proposed electrical technician labour rate (inclusive of on costs) of $70.85 plus working service delivery overhead hourly rate of $39.01.</w:t>
      </w:r>
    </w:p>
    <w:p w:rsidR="003E3BE1" w:rsidRDefault="00422D2A" w:rsidP="00422D2A">
      <w:r>
        <w:t xml:space="preserve">As </w:t>
      </w:r>
      <w:r>
        <w:fldChar w:fldCharType="begin"/>
      </w:r>
      <w:r>
        <w:instrText xml:space="preserve"> REF  _Ref456087858 \* Lower \h </w:instrText>
      </w:r>
      <w:r>
        <w:fldChar w:fldCharType="separate"/>
      </w:r>
      <w:r w:rsidR="000C061E">
        <w:t xml:space="preserve">table </w:t>
      </w:r>
      <w:r w:rsidR="000C061E">
        <w:rPr>
          <w:noProof/>
        </w:rPr>
        <w:t>16</w:t>
      </w:r>
      <w:r w:rsidR="000C061E">
        <w:t>.</w:t>
      </w:r>
      <w:r w:rsidR="000C061E">
        <w:rPr>
          <w:noProof/>
        </w:rPr>
        <w:t>2</w:t>
      </w:r>
      <w:r>
        <w:fldChar w:fldCharType="end"/>
      </w:r>
      <w:r w:rsidRPr="00426496">
        <w:t xml:space="preserve"> </w:t>
      </w:r>
      <w:r>
        <w:t xml:space="preserve">illustrates, </w:t>
      </w:r>
      <w:r w:rsidR="003E3BE1">
        <w:t>apart from</w:t>
      </w:r>
      <w:r w:rsidR="003B386A">
        <w:t xml:space="preserve"> the</w:t>
      </w:r>
      <w:r w:rsidR="003E3BE1">
        <w:t xml:space="preserve"> implied administration labour rate, the</w:t>
      </w:r>
      <w:r>
        <w:t xml:space="preserve"> </w:t>
      </w:r>
      <w:r w:rsidR="003B386A">
        <w:t>TasNetworks '</w:t>
      </w:r>
      <w:r>
        <w:t xml:space="preserve">proposed labour rates do not exceed our Tasmanian maximum total labour rates which we consider are efficient. We also note TasNetworks' proposed labour rates do not exceed the individual jurisdictional maximum total labour rates. </w:t>
      </w:r>
      <w:r w:rsidR="003E3BE1">
        <w:t>Therefore we accept the proposed labour rates</w:t>
      </w:r>
      <w:r w:rsidR="00B8103F">
        <w:t xml:space="preserve"> in TasNetworks'</w:t>
      </w:r>
      <w:r w:rsidR="003E3BE1">
        <w:t xml:space="preserve"> cost build</w:t>
      </w:r>
      <w:r w:rsidR="003E3BE1">
        <w:noBreakHyphen/>
        <w:t xml:space="preserve">up method which are below </w:t>
      </w:r>
      <w:r w:rsidR="003E3BE1" w:rsidRPr="003E3BE1">
        <w:t>our Tasmanian maximum total labour rates</w:t>
      </w:r>
      <w:r w:rsidR="003E3BE1">
        <w:t>.</w:t>
      </w:r>
    </w:p>
    <w:p w:rsidR="00422D2A" w:rsidRDefault="003E3BE1" w:rsidP="00422D2A">
      <w:r>
        <w:t>Our reasons for not accepting t</w:t>
      </w:r>
      <w:r w:rsidR="00422D2A">
        <w:t xml:space="preserve">he implied administration labour rate is discussed in section </w:t>
      </w:r>
      <w:r w:rsidR="00422D2A">
        <w:fldChar w:fldCharType="begin"/>
      </w:r>
      <w:r w:rsidR="00422D2A">
        <w:instrText xml:space="preserve"> REF _Ref456088165 \r \h </w:instrText>
      </w:r>
      <w:r w:rsidR="00422D2A">
        <w:fldChar w:fldCharType="separate"/>
      </w:r>
      <w:r w:rsidR="000C061E">
        <w:t>16.1.4.2</w:t>
      </w:r>
      <w:r w:rsidR="00422D2A">
        <w:fldChar w:fldCharType="end"/>
      </w:r>
      <w:r w:rsidR="00422D2A">
        <w:t>.</w:t>
      </w:r>
    </w:p>
    <w:p w:rsidR="00E408B0" w:rsidRDefault="00422D2A" w:rsidP="00E408B0">
      <w:pPr>
        <w:pStyle w:val="Heading4"/>
      </w:pPr>
      <w:bookmarkStart w:id="100" w:name="_Ref456088165"/>
      <w:r>
        <w:t>Direct administration and supervision costs</w:t>
      </w:r>
      <w:bookmarkEnd w:id="100"/>
      <w:r>
        <w:t xml:space="preserve"> </w:t>
      </w:r>
    </w:p>
    <w:p w:rsidR="00422D2A" w:rsidRDefault="00422D2A" w:rsidP="00422D2A">
      <w:bookmarkStart w:id="101" w:name="_Ref453928330"/>
      <w:r>
        <w:t>We do not accept TasNetworks' direct administration and super</w:t>
      </w:r>
      <w:r w:rsidR="003E3BE1">
        <w:t>vision</w:t>
      </w:r>
      <w:r w:rsidR="006F4C06">
        <w:t xml:space="preserve"> costs in its</w:t>
      </w:r>
      <w:r w:rsidR="003E3BE1">
        <w:t xml:space="preserve"> cost build</w:t>
      </w:r>
      <w:r w:rsidR="003E3BE1">
        <w:noBreakHyphen/>
      </w:r>
      <w:r>
        <w:t>up of proposed ancillary network services prices.</w:t>
      </w:r>
      <w:r w:rsidRPr="00035581">
        <w:t xml:space="preserve"> </w:t>
      </w:r>
    </w:p>
    <w:p w:rsidR="0056477F" w:rsidRDefault="0056477F" w:rsidP="00422D2A">
      <w:r>
        <w:t>W</w:t>
      </w:r>
      <w:r w:rsidR="00422D2A">
        <w:t>e consider the implied administration labour rate for the supervision and customer team costs exceeds</w:t>
      </w:r>
      <w:r w:rsidR="00422D2A" w:rsidRPr="0052665B">
        <w:t xml:space="preserve"> our </w:t>
      </w:r>
      <w:r w:rsidR="00422D2A">
        <w:t xml:space="preserve">administration </w:t>
      </w:r>
      <w:r w:rsidR="00422D2A" w:rsidRPr="0052665B">
        <w:t>maximum total labour rate</w:t>
      </w:r>
      <w:r w:rsidR="00422D2A">
        <w:t>. Therefore, we substitute in our administration maximum total labour rate in TasN</w:t>
      </w:r>
      <w:r w:rsidR="00B8103F">
        <w:t>etworks' cost build</w:t>
      </w:r>
      <w:r w:rsidR="00B8103F">
        <w:noBreakHyphen/>
      </w:r>
      <w:r w:rsidR="00422D2A">
        <w:t>up model to determine efficient ancillary network services prices.</w:t>
      </w:r>
    </w:p>
    <w:p w:rsidR="003520D9" w:rsidRDefault="0056477F" w:rsidP="00422D2A">
      <w:r>
        <w:t>W</w:t>
      </w:r>
      <w:r w:rsidR="00422D2A">
        <w:t>e</w:t>
      </w:r>
      <w:r>
        <w:t xml:space="preserve"> also</w:t>
      </w:r>
      <w:r w:rsidR="00422D2A">
        <w:t xml:space="preserve"> consider the premium service margins in the cost build</w:t>
      </w:r>
      <w:r w:rsidR="000B4DE3">
        <w:noBreakHyphen/>
      </w:r>
      <w:r w:rsidR="00422D2A">
        <w:t xml:space="preserve">up for </w:t>
      </w:r>
      <w:r w:rsidR="009039EC">
        <w:t>non</w:t>
      </w:r>
      <w:r w:rsidR="009039EC">
        <w:noBreakHyphen/>
        <w:t xml:space="preserve">scheduled, after hours or same day premium </w:t>
      </w:r>
      <w:r w:rsidR="00422D2A">
        <w:t>services have not been sufficiently justified. Therefore, we</w:t>
      </w:r>
      <w:r>
        <w:t xml:space="preserve"> have </w:t>
      </w:r>
      <w:r w:rsidR="00422D2A">
        <w:t>remove</w:t>
      </w:r>
      <w:r>
        <w:t>d</w:t>
      </w:r>
      <w:r w:rsidR="00422D2A">
        <w:t xml:space="preserve"> the premium service costs from TasNetworks</w:t>
      </w:r>
      <w:r w:rsidR="006F4C06">
        <w:t>'</w:t>
      </w:r>
      <w:r w:rsidR="00422D2A">
        <w:t xml:space="preserve"> cost build</w:t>
      </w:r>
      <w:r w:rsidR="000B4DE3">
        <w:noBreakHyphen/>
      </w:r>
      <w:r w:rsidR="00422D2A">
        <w:t>up model</w:t>
      </w:r>
      <w:r w:rsidR="00422D2A" w:rsidRPr="00B41AC1">
        <w:t>.</w:t>
      </w:r>
      <w:r w:rsidR="00422D2A">
        <w:t xml:space="preserve"> </w:t>
      </w:r>
    </w:p>
    <w:p w:rsidR="00422D2A" w:rsidRDefault="00422D2A" w:rsidP="00422D2A">
      <w:r>
        <w:t>However, we acknowledge that</w:t>
      </w:r>
      <w:r w:rsidR="003520D9">
        <w:t xml:space="preserve"> ancillary network</w:t>
      </w:r>
      <w:r>
        <w:t xml:space="preserve"> services undertaken </w:t>
      </w:r>
      <w:r w:rsidR="009039EC">
        <w:t>after</w:t>
      </w:r>
      <w:r>
        <w:t xml:space="preserve"> hours do incur additional costs due to pen</w:t>
      </w:r>
      <w:r w:rsidR="003520D9">
        <w:t>alty labour rates. Therefore, our draft decision applies</w:t>
      </w:r>
      <w:r>
        <w:t xml:space="preserve"> an </w:t>
      </w:r>
      <w:r w:rsidR="00751560">
        <w:t>after-hours</w:t>
      </w:r>
      <w:r>
        <w:t xml:space="preserve"> labour rate in </w:t>
      </w:r>
      <w:r w:rsidRPr="00C45B3F">
        <w:t>TasNetworks'</w:t>
      </w:r>
      <w:r w:rsidR="000B4DE3">
        <w:t xml:space="preserve"> cost build</w:t>
      </w:r>
      <w:r w:rsidR="000B4DE3">
        <w:noBreakHyphen/>
      </w:r>
      <w:r w:rsidRPr="00C45B3F">
        <w:t>up model to determine</w:t>
      </w:r>
      <w:r>
        <w:t xml:space="preserve"> the</w:t>
      </w:r>
      <w:r w:rsidRPr="00C45B3F">
        <w:t xml:space="preserve"> ancillary network services prices</w:t>
      </w:r>
      <w:r w:rsidR="0056477F">
        <w:t xml:space="preserve"> for </w:t>
      </w:r>
      <w:r w:rsidR="00751560">
        <w:t>after-hours</w:t>
      </w:r>
      <w:r w:rsidR="0056477F">
        <w:t xml:space="preserve"> services</w:t>
      </w:r>
      <w:r w:rsidRPr="00C45B3F">
        <w:t>.</w:t>
      </w:r>
      <w:r>
        <w:t xml:space="preserve"> The </w:t>
      </w:r>
      <w:r w:rsidR="00751560">
        <w:t>after-hours</w:t>
      </w:r>
      <w:r>
        <w:t xml:space="preserve"> services are discussed in section </w:t>
      </w:r>
      <w:r>
        <w:fldChar w:fldCharType="begin"/>
      </w:r>
      <w:r>
        <w:instrText xml:space="preserve"> REF _Ref456094722 \r \h </w:instrText>
      </w:r>
      <w:r>
        <w:fldChar w:fldCharType="separate"/>
      </w:r>
      <w:r w:rsidR="000C061E">
        <w:t>16.1.4.3</w:t>
      </w:r>
      <w:r>
        <w:fldChar w:fldCharType="end"/>
      </w:r>
      <w:r>
        <w:t>.</w:t>
      </w:r>
    </w:p>
    <w:p w:rsidR="00422D2A" w:rsidRDefault="00422D2A" w:rsidP="00422D2A">
      <w:r>
        <w:t xml:space="preserve">Our detailed reasoning on the TasNetworks direct administration and supervision costs </w:t>
      </w:r>
      <w:r w:rsidR="00CB505E">
        <w:t>is set out</w:t>
      </w:r>
      <w:r>
        <w:t xml:space="preserve"> below.</w:t>
      </w:r>
    </w:p>
    <w:p w:rsidR="00422D2A" w:rsidRDefault="00422D2A" w:rsidP="00422D2A">
      <w:pPr>
        <w:pStyle w:val="HeadingBoldItalic"/>
      </w:pPr>
      <w:r>
        <w:t>Implied administration labour rate</w:t>
      </w:r>
    </w:p>
    <w:p w:rsidR="00422D2A" w:rsidRDefault="00CB505E" w:rsidP="00422D2A">
      <w:r>
        <w:t>TasNetworks used a top</w:t>
      </w:r>
      <w:r>
        <w:noBreakHyphen/>
      </w:r>
      <w:r w:rsidR="00422D2A">
        <w:t>down approach to calculate the supervision and custom</w:t>
      </w:r>
      <w:r>
        <w:t>er team costs in its cost build</w:t>
      </w:r>
      <w:r>
        <w:noBreakHyphen/>
      </w:r>
      <w:r w:rsidR="00422D2A">
        <w:t>up of ancillary network service prices.</w:t>
      </w:r>
      <w:r w:rsidR="00422D2A">
        <w:rPr>
          <w:rStyle w:val="FootnoteReference"/>
        </w:rPr>
        <w:footnoteReference w:id="18"/>
      </w:r>
      <w:r w:rsidR="00422D2A">
        <w:t xml:space="preserve"> This approach allocates the total budget cost</w:t>
      </w:r>
      <w:r w:rsidR="000D3D30">
        <w:t>s</w:t>
      </w:r>
      <w:r w:rsidR="00422D2A">
        <w:t xml:space="preserve"> of the team</w:t>
      </w:r>
      <w:r>
        <w:t xml:space="preserve"> to each service</w:t>
      </w:r>
      <w:r w:rsidR="00422D2A">
        <w:t xml:space="preserve"> by the time spent dealing with the average</w:t>
      </w:r>
      <w:r w:rsidR="000D3D30">
        <w:t xml:space="preserve"> of each</w:t>
      </w:r>
      <w:r w:rsidR="00422D2A">
        <w:t xml:space="preserve"> service.</w:t>
      </w:r>
      <w:r w:rsidR="00422D2A">
        <w:rPr>
          <w:rStyle w:val="FootnoteReference"/>
        </w:rPr>
        <w:footnoteReference w:id="19"/>
      </w:r>
    </w:p>
    <w:p w:rsidR="001C628E" w:rsidRDefault="00C132BE" w:rsidP="00422D2A">
      <w:r>
        <w:t>We note TasNetworks' proposed</w:t>
      </w:r>
      <w:r w:rsidR="001C628E">
        <w:t xml:space="preserve"> supervision and customer team</w:t>
      </w:r>
      <w:r>
        <w:t xml:space="preserve"> costs</w:t>
      </w:r>
      <w:r w:rsidR="001C628E">
        <w:t xml:space="preserve"> are an administrative function. Therefore, we are able to determine the efficiency of these costs by deriving an implied administration labour rate to compare against our administration maximum total labour rate.</w:t>
      </w:r>
    </w:p>
    <w:p w:rsidR="00422D2A" w:rsidRDefault="00422D2A" w:rsidP="00422D2A">
      <w:r>
        <w:t xml:space="preserve">As </w:t>
      </w:r>
      <w:r w:rsidR="001C628E">
        <w:t xml:space="preserve">the supervision and customer team costs are </w:t>
      </w:r>
      <w:r>
        <w:t>underpinned by the time spent on each service, we derive an implied administration labour rate by dividing the</w:t>
      </w:r>
      <w:r w:rsidR="000D3D30">
        <w:t xml:space="preserve"> allocated</w:t>
      </w:r>
      <w:r w:rsidR="00C132BE">
        <w:t xml:space="preserve"> cost</w:t>
      </w:r>
      <w:r>
        <w:t xml:space="preserve"> for each service by the respective time spent on each service. Our calculations show the implied administration labour rate to be $224.47 ($201</w:t>
      </w:r>
      <w:r w:rsidR="00E368AD">
        <w:t>7</w:t>
      </w:r>
      <w:r>
        <w:t>–1</w:t>
      </w:r>
      <w:r w:rsidR="00E368AD">
        <w:t>8</w:t>
      </w:r>
      <w:r>
        <w:t>)</w:t>
      </w:r>
      <w:r w:rsidR="000D3D30">
        <w:t>. The implied rate</w:t>
      </w:r>
      <w:r>
        <w:t xml:space="preserve"> is significantly higher than the administration maximum total labour rate we consider to be efficient. Therefore, we do not accept the</w:t>
      </w:r>
      <w:r w:rsidRPr="00AD69C0">
        <w:t xml:space="preserve"> supervision and customer team costs in</w:t>
      </w:r>
      <w:r>
        <w:t xml:space="preserve"> TasNetworks'</w:t>
      </w:r>
      <w:r w:rsidR="00C132BE">
        <w:t xml:space="preserve"> cost build</w:t>
      </w:r>
      <w:r w:rsidR="00C132BE">
        <w:noBreakHyphen/>
      </w:r>
      <w:r w:rsidRPr="00AD69C0">
        <w:t>up of ancillary network services prices</w:t>
      </w:r>
      <w:r>
        <w:t>.</w:t>
      </w:r>
    </w:p>
    <w:p w:rsidR="00422D2A" w:rsidRDefault="00422D2A" w:rsidP="00422D2A">
      <w:r>
        <w:t>Our draft decision substitutes</w:t>
      </w:r>
      <w:r w:rsidRPr="00692291">
        <w:t xml:space="preserve"> our</w:t>
      </w:r>
      <w:r w:rsidR="00C132BE">
        <w:t xml:space="preserve"> Tasmanian</w:t>
      </w:r>
      <w:r w:rsidRPr="00692291">
        <w:t xml:space="preserve"> administration </w:t>
      </w:r>
      <w:r>
        <w:t>maximum total labour rate of $9</w:t>
      </w:r>
      <w:r w:rsidR="00D52799">
        <w:t>8.95</w:t>
      </w:r>
      <w:r>
        <w:t xml:space="preserve"> </w:t>
      </w:r>
      <w:r w:rsidRPr="00CA2070">
        <w:t>($201</w:t>
      </w:r>
      <w:r w:rsidR="00D52799">
        <w:t>7</w:t>
      </w:r>
      <w:r w:rsidRPr="00CA2070">
        <w:t>–1</w:t>
      </w:r>
      <w:r w:rsidR="00D52799">
        <w:t>8</w:t>
      </w:r>
      <w:r w:rsidRPr="00CA2070">
        <w:t xml:space="preserve">) </w:t>
      </w:r>
      <w:r>
        <w:t xml:space="preserve">(set out in </w:t>
      </w:r>
      <w:r>
        <w:fldChar w:fldCharType="begin"/>
      </w:r>
      <w:r>
        <w:instrText xml:space="preserve"> REF  _Ref456087858 \* Lower \h </w:instrText>
      </w:r>
      <w:r>
        <w:fldChar w:fldCharType="separate"/>
      </w:r>
      <w:r w:rsidR="000C061E">
        <w:t xml:space="preserve">table </w:t>
      </w:r>
      <w:r w:rsidR="000C061E">
        <w:rPr>
          <w:noProof/>
        </w:rPr>
        <w:t>16</w:t>
      </w:r>
      <w:r w:rsidR="000C061E">
        <w:t>.</w:t>
      </w:r>
      <w:r w:rsidR="000C061E">
        <w:rPr>
          <w:noProof/>
        </w:rPr>
        <w:t>2</w:t>
      </w:r>
      <w:r>
        <w:fldChar w:fldCharType="end"/>
      </w:r>
      <w:r>
        <w:t>)</w:t>
      </w:r>
      <w:r w:rsidRPr="00692291">
        <w:t xml:space="preserve"> in</w:t>
      </w:r>
      <w:r w:rsidR="00751560">
        <w:t>to</w:t>
      </w:r>
      <w:r w:rsidRPr="00692291">
        <w:t xml:space="preserve"> TasNetworks' cost build</w:t>
      </w:r>
      <w:r w:rsidR="00C132BE">
        <w:noBreakHyphen/>
      </w:r>
      <w:r>
        <w:t>up model</w:t>
      </w:r>
      <w:r w:rsidR="00751560">
        <w:t>. This then</w:t>
      </w:r>
      <w:r>
        <w:t xml:space="preserve"> determine</w:t>
      </w:r>
      <w:r w:rsidR="00751560">
        <w:t>s</w:t>
      </w:r>
      <w:r>
        <w:t xml:space="preserve"> efficient</w:t>
      </w:r>
      <w:r w:rsidRPr="00692291">
        <w:t xml:space="preserve"> ancillary network services prices</w:t>
      </w:r>
      <w:r>
        <w:t>.</w:t>
      </w:r>
    </w:p>
    <w:p w:rsidR="00422D2A" w:rsidRDefault="00422D2A" w:rsidP="00422D2A">
      <w:pPr>
        <w:pStyle w:val="HeadingBoldItalic"/>
      </w:pPr>
      <w:bookmarkStart w:id="102" w:name="_Ref455599227"/>
      <w:r>
        <w:t>Premium service margins</w:t>
      </w:r>
      <w:bookmarkEnd w:id="102"/>
    </w:p>
    <w:p w:rsidR="00422D2A" w:rsidRDefault="00422D2A" w:rsidP="00422D2A">
      <w:r>
        <w:t>TasNetworks</w:t>
      </w:r>
      <w:r w:rsidR="002D106F">
        <w:t>'</w:t>
      </w:r>
      <w:r>
        <w:t xml:space="preserve"> cost</w:t>
      </w:r>
      <w:r w:rsidR="00CB505E">
        <w:t xml:space="preserve"> build</w:t>
      </w:r>
      <w:r w:rsidR="00CB505E">
        <w:noBreakHyphen/>
      </w:r>
      <w:r>
        <w:t xml:space="preserve">up </w:t>
      </w:r>
      <w:r w:rsidR="002D106F">
        <w:t>for direct administration and supervision costs</w:t>
      </w:r>
      <w:r>
        <w:t xml:space="preserve"> also </w:t>
      </w:r>
      <w:r w:rsidR="002D106F">
        <w:t>applied</w:t>
      </w:r>
      <w:r>
        <w:t xml:space="preserve"> premium service </w:t>
      </w:r>
      <w:r w:rsidR="002D106F">
        <w:t>costs</w:t>
      </w:r>
      <w:r>
        <w:t xml:space="preserve"> to ancillary network services performed outside normal scheduling.</w:t>
      </w:r>
      <w:r w:rsidRPr="0052588B">
        <w:t xml:space="preserve"> </w:t>
      </w:r>
      <w:r>
        <w:t>TasNetworks stated that:</w:t>
      </w:r>
    </w:p>
    <w:p w:rsidR="00422D2A" w:rsidRPr="006A7F0E" w:rsidRDefault="00422D2A" w:rsidP="00422D2A">
      <w:pPr>
        <w:pStyle w:val="AERquoteindent1"/>
      </w:pPr>
      <w:r w:rsidRPr="006A7F0E">
        <w:t>Premium service costs represent the loss of efficiency and additional cost associated with performing services outside of normal scheduling. Such services require TasNetworks to alter work schedules and priorities which is represented in increased travel time and a premium service cost allocation.</w:t>
      </w:r>
      <w:r w:rsidRPr="0052588B">
        <w:rPr>
          <w:rStyle w:val="FootnoteReference"/>
        </w:rPr>
        <w:t xml:space="preserve"> </w:t>
      </w:r>
      <w:r>
        <w:rPr>
          <w:rStyle w:val="FootnoteReference"/>
        </w:rPr>
        <w:footnoteReference w:id="20"/>
      </w:r>
    </w:p>
    <w:p w:rsidR="00422D2A" w:rsidRDefault="00422D2A" w:rsidP="00422D2A">
      <w:r>
        <w:t>TasNetworks calculate</w:t>
      </w:r>
      <w:r w:rsidR="002D106F">
        <w:t>d</w:t>
      </w:r>
      <w:r>
        <w:t xml:space="preserve"> the premium service costs by applying a percentage mar</w:t>
      </w:r>
      <w:r w:rsidR="00CD2656">
        <w:t>gin to the total direct costs for</w:t>
      </w:r>
      <w:r>
        <w:t xml:space="preserve"> providing the service.</w:t>
      </w:r>
      <w:r>
        <w:rPr>
          <w:rStyle w:val="FootnoteReference"/>
        </w:rPr>
        <w:footnoteReference w:id="21"/>
      </w:r>
      <w:r>
        <w:t xml:space="preserve"> The types of premium services an</w:t>
      </w:r>
      <w:r w:rsidR="003520D9">
        <w:t>d their respective margins are:</w:t>
      </w:r>
    </w:p>
    <w:p w:rsidR="00422D2A" w:rsidRDefault="00422D2A" w:rsidP="00422D2A">
      <w:pPr>
        <w:pStyle w:val="AERbulletlistfirststyle"/>
      </w:pPr>
      <w:r>
        <w:t>non-scheduled visits—25 per cent margin</w:t>
      </w:r>
    </w:p>
    <w:p w:rsidR="00422D2A" w:rsidRDefault="008148D7" w:rsidP="00422D2A">
      <w:pPr>
        <w:pStyle w:val="AERbulletlistfirststyle"/>
      </w:pPr>
      <w:r>
        <w:t>after hours</w:t>
      </w:r>
      <w:r w:rsidR="00422D2A">
        <w:t>—50 per cent margin</w:t>
      </w:r>
    </w:p>
    <w:p w:rsidR="00422D2A" w:rsidRDefault="00422D2A" w:rsidP="00422D2A">
      <w:pPr>
        <w:pStyle w:val="AERbulletlistfirststyle"/>
      </w:pPr>
      <w:r>
        <w:t>same day premium—100 per cent margin.</w:t>
      </w:r>
    </w:p>
    <w:p w:rsidR="00422D2A" w:rsidRDefault="00422D2A" w:rsidP="00422D2A">
      <w:r>
        <w:t>Although we requested that</w:t>
      </w:r>
      <w:r w:rsidRPr="00EE5CA0">
        <w:t xml:space="preserve"> </w:t>
      </w:r>
      <w:r>
        <w:t>TasNetworks provide a model with calculations to support its proposed premium service margins (its 'gross up task costs') it only provided anecdotal evidence.</w:t>
      </w:r>
      <w:r>
        <w:rPr>
          <w:rStyle w:val="FootnoteReference"/>
        </w:rPr>
        <w:footnoteReference w:id="22"/>
      </w:r>
      <w:r>
        <w:t xml:space="preserve"> That is, TasNetworks did not provide any substantive evidence to support the levels of the margins it applied. </w:t>
      </w:r>
    </w:p>
    <w:p w:rsidR="00422D2A" w:rsidRDefault="00422D2A" w:rsidP="00422D2A">
      <w:r>
        <w:t>Without substantive evidence it is difficult for us to determine whether TasNetworks proposed premium service margins are efficient. Particularly given that distributors in other jurisdictions</w:t>
      </w:r>
      <w:r w:rsidRPr="00AB0E51">
        <w:t xml:space="preserve"> </w:t>
      </w:r>
      <w:r>
        <w:t>do not apply such 'premium margins' for us to compare against.</w:t>
      </w:r>
    </w:p>
    <w:p w:rsidR="004A14E6" w:rsidRDefault="00422D2A" w:rsidP="00422D2A">
      <w:r>
        <w:t xml:space="preserve">We consider it would be </w:t>
      </w:r>
      <w:r w:rsidR="000E4384">
        <w:t xml:space="preserve">inappropriate </w:t>
      </w:r>
      <w:r>
        <w:t>for us to accept the proposed premium service margins in our draft decision without sufficient justification given that the</w:t>
      </w:r>
      <w:r w:rsidR="00CD2656">
        <w:t xml:space="preserve"> price</w:t>
      </w:r>
      <w:r>
        <w:t xml:space="preserve"> impact can be significant for some services. Also, we are un</w:t>
      </w:r>
      <w:r w:rsidR="00751560">
        <w:t>able to substitute</w:t>
      </w:r>
      <w:r>
        <w:t xml:space="preserve"> an alternative margin </w:t>
      </w:r>
      <w:r w:rsidR="00751560">
        <w:t>because</w:t>
      </w:r>
      <w:r>
        <w:t xml:space="preserve"> we have no reliable benchmark. Therefore, we have removed the premium service costs </w:t>
      </w:r>
      <w:r w:rsidR="00237458">
        <w:t>from TasNetworks cost build</w:t>
      </w:r>
      <w:r w:rsidR="00237458">
        <w:noBreakHyphen/>
      </w:r>
      <w:r w:rsidRPr="008D077C">
        <w:t>up model</w:t>
      </w:r>
      <w:r>
        <w:t xml:space="preserve"> in our draft decision.</w:t>
      </w:r>
      <w:r w:rsidR="004A14E6">
        <w:t xml:space="preserve"> </w:t>
      </w:r>
    </w:p>
    <w:p w:rsidR="004D4238" w:rsidRDefault="004D4238" w:rsidP="00422D2A">
      <w:r>
        <w:t>Should TasNetworks include the premium service margins in its revised proposal, we would expect</w:t>
      </w:r>
      <w:r w:rsidR="00EA4757">
        <w:t xml:space="preserve"> TasNetworks provide</w:t>
      </w:r>
      <w:r>
        <w:t xml:space="preserve"> substantive evidence </w:t>
      </w:r>
      <w:r w:rsidR="00D33E2C">
        <w:t>to support their inclusion.</w:t>
      </w:r>
    </w:p>
    <w:p w:rsidR="007A3264" w:rsidRDefault="007A3264" w:rsidP="007A3264">
      <w:pPr>
        <w:pStyle w:val="Heading4"/>
      </w:pPr>
      <w:bookmarkStart w:id="103" w:name="_Ref456094722"/>
      <w:bookmarkEnd w:id="101"/>
      <w:r>
        <w:t>After hours services</w:t>
      </w:r>
      <w:bookmarkEnd w:id="103"/>
      <w:r>
        <w:t xml:space="preserve">  </w:t>
      </w:r>
    </w:p>
    <w:p w:rsidR="007A3264" w:rsidRDefault="007A3264" w:rsidP="007A3264">
      <w:r>
        <w:t>We do not accept TasNetworks</w:t>
      </w:r>
      <w:r w:rsidR="00520ABA">
        <w:t>'</w:t>
      </w:r>
      <w:r>
        <w:t xml:space="preserve"> proposed task times to perform its </w:t>
      </w:r>
      <w:r w:rsidR="00751560">
        <w:t>after-hours</w:t>
      </w:r>
      <w:r>
        <w:t xml:space="preserve"> ancillary network services. </w:t>
      </w:r>
      <w:r w:rsidR="00EB019C">
        <w:t>T</w:t>
      </w:r>
      <w:r>
        <w:t xml:space="preserve">he proposed </w:t>
      </w:r>
      <w:r w:rsidR="00EB019C">
        <w:t>task times</w:t>
      </w:r>
      <w:r w:rsidR="00CD2656">
        <w:t xml:space="preserve"> </w:t>
      </w:r>
      <w:r>
        <w:t>overstate the time needed to perform these services</w:t>
      </w:r>
      <w:r w:rsidR="00786470">
        <w:t xml:space="preserve"> and is t</w:t>
      </w:r>
      <w:r w:rsidR="00CD2656">
        <w:t xml:space="preserve">herefore </w:t>
      </w:r>
      <w:r w:rsidR="00751560">
        <w:t>not efficient</w:t>
      </w:r>
      <w:r>
        <w:t xml:space="preserve">. </w:t>
      </w:r>
      <w:r w:rsidR="00520ABA">
        <w:t>We have</w:t>
      </w:r>
      <w:r>
        <w:t xml:space="preserve"> substitute</w:t>
      </w:r>
      <w:r w:rsidR="00520ABA">
        <w:t>d</w:t>
      </w:r>
      <w:r>
        <w:t xml:space="preserve"> in the highest time taken for </w:t>
      </w:r>
      <w:r w:rsidR="00520ABA">
        <w:t xml:space="preserve">the particular </w:t>
      </w:r>
      <w:r w:rsidR="00EB019C">
        <w:t>service during business hours which we consider is</w:t>
      </w:r>
      <w:r>
        <w:t xml:space="preserve"> efficient.</w:t>
      </w:r>
    </w:p>
    <w:p w:rsidR="007A3264" w:rsidRDefault="00786470" w:rsidP="007A3264">
      <w:r>
        <w:t>We also apply</w:t>
      </w:r>
      <w:r w:rsidR="007A3264">
        <w:t xml:space="preserve"> a margin to TasNetworks' labour rate for </w:t>
      </w:r>
      <w:r w:rsidR="00751560">
        <w:t>after-hours</w:t>
      </w:r>
      <w:r w:rsidR="007A3264">
        <w:t xml:space="preserve"> services as we acknowledge </w:t>
      </w:r>
      <w:r w:rsidR="00EB019C">
        <w:t>these</w:t>
      </w:r>
      <w:r w:rsidR="007A3264">
        <w:t xml:space="preserve"> services incur higher labour costs. The </w:t>
      </w:r>
      <w:r w:rsidR="00751560">
        <w:t>after-hours</w:t>
      </w:r>
      <w:r w:rsidR="007A3264">
        <w:t xml:space="preserve"> margin is based on the maximum margin</w:t>
      </w:r>
      <w:r w:rsidR="00EB019C">
        <w:t xml:space="preserve"> we consider </w:t>
      </w:r>
      <w:r w:rsidR="00626E16">
        <w:t xml:space="preserve">to be </w:t>
      </w:r>
      <w:r w:rsidR="00EB019C">
        <w:t>efficient</w:t>
      </w:r>
      <w:r w:rsidR="00751560">
        <w:t xml:space="preserve">, as </w:t>
      </w:r>
      <w:r w:rsidR="007A3264">
        <w:t xml:space="preserve">applied by other distributors. </w:t>
      </w:r>
    </w:p>
    <w:p w:rsidR="007A3264" w:rsidRDefault="00EB019C" w:rsidP="007A3264">
      <w:r>
        <w:t>O</w:t>
      </w:r>
      <w:r w:rsidR="007A3264">
        <w:t xml:space="preserve">ur </w:t>
      </w:r>
      <w:r w:rsidR="00CD2656">
        <w:t xml:space="preserve">substitute time taken and </w:t>
      </w:r>
      <w:r w:rsidR="008148D7">
        <w:t>after hours</w:t>
      </w:r>
      <w:r w:rsidR="007A3264">
        <w:t xml:space="preserve"> labour rate margin will provide TasNetworks with a </w:t>
      </w:r>
      <w:r w:rsidR="007A3264" w:rsidRPr="003473F8">
        <w:t>reasonable opportunity to recover at least its efficient costs</w:t>
      </w:r>
      <w:r w:rsidR="007A3264">
        <w:t xml:space="preserve"> in the provision of </w:t>
      </w:r>
      <w:r w:rsidR="00F053FE">
        <w:t>its</w:t>
      </w:r>
      <w:r w:rsidR="007A3264">
        <w:t xml:space="preserve"> </w:t>
      </w:r>
      <w:r w:rsidR="00DC28D4">
        <w:t>after-hours</w:t>
      </w:r>
      <w:r w:rsidR="00CD2656">
        <w:t xml:space="preserve"> ancillary network</w:t>
      </w:r>
      <w:r w:rsidR="007A3264">
        <w:t xml:space="preserve"> services.</w:t>
      </w:r>
    </w:p>
    <w:p w:rsidR="007A3264" w:rsidRDefault="007A3264" w:rsidP="007A3264">
      <w:r>
        <w:t xml:space="preserve">TasNetworks </w:t>
      </w:r>
      <w:r w:rsidRPr="006A7F0E">
        <w:t xml:space="preserve">proposed task times </w:t>
      </w:r>
      <w:r>
        <w:t>of</w:t>
      </w:r>
      <w:r w:rsidRPr="006A7F0E">
        <w:t xml:space="preserve"> 240 minutes</w:t>
      </w:r>
      <w:r>
        <w:t xml:space="preserve"> </w:t>
      </w:r>
      <w:r w:rsidR="007F6EF4">
        <w:t>(combination of on</w:t>
      </w:r>
      <w:r w:rsidR="007F6EF4">
        <w:noBreakHyphen/>
        <w:t xml:space="preserve">site and travel time) </w:t>
      </w:r>
      <w:r w:rsidRPr="006A7F0E">
        <w:t xml:space="preserve">for all </w:t>
      </w:r>
      <w:r w:rsidR="008148D7">
        <w:t>after hours</w:t>
      </w:r>
      <w:r w:rsidRPr="006A7F0E">
        <w:t xml:space="preserve"> fee based</w:t>
      </w:r>
      <w:r>
        <w:t xml:space="preserve"> ancillary network</w:t>
      </w:r>
      <w:r w:rsidRPr="006A7F0E">
        <w:t xml:space="preserve"> services</w:t>
      </w:r>
      <w:r>
        <w:t>.</w:t>
      </w:r>
      <w:r>
        <w:rPr>
          <w:rStyle w:val="FootnoteReference"/>
        </w:rPr>
        <w:footnoteReference w:id="23"/>
      </w:r>
      <w:r>
        <w:t xml:space="preserve"> </w:t>
      </w:r>
      <w:r w:rsidR="00786470">
        <w:t>It</w:t>
      </w:r>
      <w:r>
        <w:t xml:space="preserve"> noted the application of the 240 minutes reflects its policy that employees performing </w:t>
      </w:r>
      <w:r w:rsidR="008148D7">
        <w:t>after hours</w:t>
      </w:r>
      <w:r>
        <w:t xml:space="preserve"> tasks are paid a minimum of four hours.</w:t>
      </w:r>
      <w:r>
        <w:rPr>
          <w:rStyle w:val="FootnoteReference"/>
        </w:rPr>
        <w:footnoteReference w:id="24"/>
      </w:r>
      <w:r>
        <w:t xml:space="preserve"> It stated that due to the nature of </w:t>
      </w:r>
      <w:r w:rsidR="00DC28D4">
        <w:t>after-hours</w:t>
      </w:r>
      <w:r>
        <w:t xml:space="preserve"> and on</w:t>
      </w:r>
      <w:r>
        <w:noBreakHyphen/>
        <w:t>call work, 240 minutes represents an appropriate allocation of staff resources based on the assumption that only one service will be completed within that time.</w:t>
      </w:r>
    </w:p>
    <w:p w:rsidR="00626E16" w:rsidRDefault="00626E16" w:rsidP="00626E16">
      <w:r>
        <w:t xml:space="preserve">We acknowledge that </w:t>
      </w:r>
      <w:r w:rsidR="008148D7">
        <w:t>after hours</w:t>
      </w:r>
      <w:r>
        <w:t xml:space="preserve"> services typically incur higher costs than services performed during standard 'business day' hours (business hours) primarily due to the </w:t>
      </w:r>
      <w:r w:rsidRPr="006A7F0E">
        <w:t>higher labour costs</w:t>
      </w:r>
      <w:r>
        <w:t xml:space="preserve"> incurred for </w:t>
      </w:r>
      <w:r w:rsidR="00DC28D4">
        <w:t>after-hours</w:t>
      </w:r>
      <w:r>
        <w:t xml:space="preserve"> services. However, i</w:t>
      </w:r>
      <w:r w:rsidRPr="006A7F0E">
        <w:t xml:space="preserve">t does not follow that </w:t>
      </w:r>
      <w:r w:rsidR="008148D7">
        <w:t>after hours</w:t>
      </w:r>
      <w:r w:rsidRPr="006A7F0E">
        <w:t xml:space="preserve"> services have</w:t>
      </w:r>
      <w:r>
        <w:t xml:space="preserve"> significantly</w:t>
      </w:r>
      <w:r w:rsidRPr="006A7F0E">
        <w:t xml:space="preserve"> increased task times</w:t>
      </w:r>
      <w:r>
        <w:t xml:space="preserve"> which is another key input into the final price of the service</w:t>
      </w:r>
      <w:r w:rsidRPr="006A7F0E">
        <w:t>.</w:t>
      </w:r>
    </w:p>
    <w:p w:rsidR="007A3264" w:rsidRDefault="00626E16" w:rsidP="007A3264">
      <w:r>
        <w:t>T</w:t>
      </w:r>
      <w:r w:rsidR="007A3264">
        <w:t xml:space="preserve">he time taken </w:t>
      </w:r>
      <w:r>
        <w:t>on</w:t>
      </w:r>
      <w:r>
        <w:noBreakHyphen/>
        <w:t xml:space="preserve">site </w:t>
      </w:r>
      <w:r w:rsidR="007A3264">
        <w:t xml:space="preserve">to perform a service should remain constant regardless of the time of day the service is performed. For example, a meter test performed at 10am (inside business day hours) </w:t>
      </w:r>
      <w:r w:rsidR="000E4384">
        <w:t xml:space="preserve">should </w:t>
      </w:r>
      <w:r w:rsidR="007A3264">
        <w:t>take the same amount of time if performed at 7pm (</w:t>
      </w:r>
      <w:r w:rsidR="008148D7">
        <w:t>after hours</w:t>
      </w:r>
      <w:r w:rsidR="007A3264">
        <w:t xml:space="preserve">) as the task is the same. </w:t>
      </w:r>
      <w:r w:rsidR="00F73DBA">
        <w:t>We note t</w:t>
      </w:r>
      <w:r w:rsidR="007A3264">
        <w:t xml:space="preserve">his </w:t>
      </w:r>
      <w:r w:rsidR="00F73DBA">
        <w:t>consideration</w:t>
      </w:r>
      <w:r w:rsidR="0027680B">
        <w:t xml:space="preserve"> </w:t>
      </w:r>
      <w:r w:rsidR="007A3264">
        <w:t>is supported by the cost build</w:t>
      </w:r>
      <w:r w:rsidR="007A3264">
        <w:noBreakHyphen/>
        <w:t xml:space="preserve">up of ancillary network services </w:t>
      </w:r>
      <w:r>
        <w:t>by</w:t>
      </w:r>
      <w:r w:rsidR="007A3264">
        <w:t xml:space="preserve"> other distributors which apply the same on</w:t>
      </w:r>
      <w:r w:rsidR="007A3264">
        <w:noBreakHyphen/>
        <w:t>site task times regardless of</w:t>
      </w:r>
      <w:r w:rsidR="00A07B54">
        <w:t xml:space="preserve"> the time</w:t>
      </w:r>
      <w:r w:rsidR="007A3264">
        <w:t xml:space="preserve"> the service in performed.</w:t>
      </w:r>
    </w:p>
    <w:p w:rsidR="007A3264" w:rsidRDefault="00A07B54" w:rsidP="007A3264">
      <w:r>
        <w:t>W</w:t>
      </w:r>
      <w:r w:rsidR="007A3264">
        <w:t xml:space="preserve">e acknowledge that travel time may be increased for </w:t>
      </w:r>
      <w:r w:rsidR="00DC28D4">
        <w:t>after-hours</w:t>
      </w:r>
      <w:r w:rsidR="007A3264">
        <w:t xml:space="preserve"> services for</w:t>
      </w:r>
      <w:r w:rsidR="007A3264" w:rsidRPr="00ED2D04">
        <w:t xml:space="preserve"> </w:t>
      </w:r>
      <w:r>
        <w:t>some distributors</w:t>
      </w:r>
      <w:r w:rsidR="000E4384">
        <w:t>,</w:t>
      </w:r>
      <w:r>
        <w:t xml:space="preserve"> however</w:t>
      </w:r>
      <w:r w:rsidR="000E4384">
        <w:t>,</w:t>
      </w:r>
      <w:r w:rsidR="007A3264">
        <w:t xml:space="preserve"> the increase is typically marginal in comparison to business hours travel time. In our recent assessment of the Victorian distributors</w:t>
      </w:r>
      <w:r w:rsidR="00765F36">
        <w:t>'</w:t>
      </w:r>
      <w:r w:rsidR="007A3264">
        <w:t xml:space="preserve"> travel times for ancillary network services, all but AusNet Services applied the same travel time for services performed during business hours and </w:t>
      </w:r>
      <w:r w:rsidR="008148D7">
        <w:t>after hours</w:t>
      </w:r>
      <w:r w:rsidR="007A3264">
        <w:t xml:space="preserve">. While AusNet Services' travel times increased for </w:t>
      </w:r>
      <w:r w:rsidR="00DC28D4">
        <w:t>after-hours</w:t>
      </w:r>
      <w:r w:rsidR="007A3264">
        <w:t xml:space="preserve"> services, this increase was minimal</w:t>
      </w:r>
      <w:r>
        <w:t>—</w:t>
      </w:r>
      <w:r w:rsidR="007A3264">
        <w:t>between one and eight minutes compared to business hours travel times.</w:t>
      </w:r>
    </w:p>
    <w:p w:rsidR="001A04CB" w:rsidRDefault="00765F36" w:rsidP="007A3264">
      <w:r>
        <w:t>Based on this analysis, w</w:t>
      </w:r>
      <w:r w:rsidRPr="006A7F0E">
        <w:t>e consider TasNetworks' policy to</w:t>
      </w:r>
      <w:r>
        <w:t xml:space="preserve"> apply a 240 minute</w:t>
      </w:r>
      <w:r w:rsidRPr="006A7F0E">
        <w:t xml:space="preserve"> task time </w:t>
      </w:r>
      <w:r>
        <w:t xml:space="preserve">to all </w:t>
      </w:r>
      <w:r w:rsidR="008148D7">
        <w:t>after hours</w:t>
      </w:r>
      <w:r w:rsidRPr="006A7F0E">
        <w:t xml:space="preserve"> </w:t>
      </w:r>
      <w:r>
        <w:t>services is</w:t>
      </w:r>
      <w:r w:rsidRPr="006A7F0E">
        <w:t xml:space="preserve"> inefficient</w:t>
      </w:r>
      <w:r>
        <w:t xml:space="preserve">. 240 minutes is a significant increase in task time in comparison to times taken for the same services performed by TasNetworks during business hours. We consider the significant increase has not been sufficiently justified by TasNetworks and overstates the required time to perform these services based on our assessment of </w:t>
      </w:r>
      <w:r w:rsidR="00DC28D4">
        <w:t>after-hours</w:t>
      </w:r>
      <w:r>
        <w:t xml:space="preserve"> services for other distributors.</w:t>
      </w:r>
      <w:r w:rsidR="001A04CB">
        <w:t xml:space="preserve"> </w:t>
      </w:r>
    </w:p>
    <w:p w:rsidR="00765F36" w:rsidRDefault="001A04CB" w:rsidP="007A3264">
      <w:r>
        <w:t xml:space="preserve">Therefore, we do not accept the proposed 240 minutes task time and have substituted in the </w:t>
      </w:r>
      <w:r w:rsidRPr="001A04CB">
        <w:t>highest time taken for the particular service during business hours which we consider is efficient.</w:t>
      </w:r>
    </w:p>
    <w:p w:rsidR="007F6EF4" w:rsidRDefault="00765F36" w:rsidP="007A3264">
      <w:r>
        <w:t xml:space="preserve">However, we consider </w:t>
      </w:r>
      <w:r w:rsidR="001A04CB">
        <w:t xml:space="preserve">labour costs are increased for services undertaken </w:t>
      </w:r>
      <w:r w:rsidR="008148D7">
        <w:t>after hours</w:t>
      </w:r>
      <w:r w:rsidR="001A04CB">
        <w:t xml:space="preserve">. </w:t>
      </w:r>
      <w:r w:rsidR="007F6EF4">
        <w:t xml:space="preserve">We note TasNetworks </w:t>
      </w:r>
      <w:r w:rsidR="001A04CB">
        <w:t xml:space="preserve">applied the same labour rate to services undertaken both during business hours and </w:t>
      </w:r>
      <w:r w:rsidR="008148D7">
        <w:t>after hours</w:t>
      </w:r>
      <w:r w:rsidR="007F6EF4">
        <w:t xml:space="preserve">. Therefore, we have adjusted TasNetworks </w:t>
      </w:r>
      <w:r w:rsidR="004A2056">
        <w:t>labour</w:t>
      </w:r>
      <w:r w:rsidR="00264C69">
        <w:t xml:space="preserve"> rates</w:t>
      </w:r>
      <w:r w:rsidR="009A139E">
        <w:t xml:space="preserve"> for</w:t>
      </w:r>
      <w:r w:rsidR="00264C69">
        <w:t xml:space="preserve"> </w:t>
      </w:r>
      <w:r w:rsidR="00DC28D4">
        <w:t>after-hours</w:t>
      </w:r>
      <w:r w:rsidR="009A139E">
        <w:t xml:space="preserve"> services </w:t>
      </w:r>
      <w:r w:rsidR="00264C69">
        <w:t>to account for these increased labour costs.</w:t>
      </w:r>
    </w:p>
    <w:p w:rsidR="00BF4B83" w:rsidRDefault="008148D7" w:rsidP="007A3264">
      <w:r>
        <w:t>To make this adjustment we applied a benchmark percentage increase</w:t>
      </w:r>
      <w:r w:rsidR="00BF4B83">
        <w:t xml:space="preserve"> of 67 per cent</w:t>
      </w:r>
      <w:r w:rsidR="009A139E">
        <w:t xml:space="preserve"> to TasNetworks' business</w:t>
      </w:r>
      <w:r w:rsidR="004A2056">
        <w:t xml:space="preserve"> hours labour rates</w:t>
      </w:r>
      <w:r w:rsidR="009A139E">
        <w:t xml:space="preserve">. The </w:t>
      </w:r>
      <w:r w:rsidR="00DC28D4">
        <w:t>after-hours</w:t>
      </w:r>
      <w:r w:rsidR="009A139E">
        <w:t xml:space="preserve"> benchmark percentage increase was developed in our assessment of the Victorian distributors' proposed ancillary network services.</w:t>
      </w:r>
      <w:r w:rsidR="009A139E" w:rsidRPr="009A139E">
        <w:rPr>
          <w:rStyle w:val="FootnoteReference"/>
        </w:rPr>
        <w:t xml:space="preserve"> </w:t>
      </w:r>
      <w:r w:rsidR="009A139E">
        <w:rPr>
          <w:rStyle w:val="FootnoteReference"/>
        </w:rPr>
        <w:footnoteReference w:id="25"/>
      </w:r>
    </w:p>
    <w:p w:rsidR="004A2056" w:rsidRPr="007A3264" w:rsidRDefault="00BF4B83" w:rsidP="007A3264">
      <w:r>
        <w:t>In our Victorian analysis, we compared the respective</w:t>
      </w:r>
      <w:r w:rsidR="007A3264">
        <w:t xml:space="preserve"> increases from business hours labour rat</w:t>
      </w:r>
      <w:r>
        <w:t xml:space="preserve">es to </w:t>
      </w:r>
      <w:r w:rsidR="00DC28D4">
        <w:t>after-hours</w:t>
      </w:r>
      <w:r>
        <w:t xml:space="preserve"> labour rates for </w:t>
      </w:r>
      <w:r w:rsidR="007A3264">
        <w:t xml:space="preserve">distributors </w:t>
      </w:r>
      <w:r>
        <w:t>in</w:t>
      </w:r>
      <w:r w:rsidR="007A3264">
        <w:t xml:space="preserve"> Queensland, Victoria and New South Wales</w:t>
      </w:r>
      <w:r>
        <w:t>.</w:t>
      </w:r>
      <w:r>
        <w:rPr>
          <w:rStyle w:val="FootnoteReference"/>
        </w:rPr>
        <w:footnoteReference w:id="26"/>
      </w:r>
      <w:r>
        <w:t xml:space="preserve"> The analysis</w:t>
      </w:r>
      <w:r w:rsidR="007A3264">
        <w:t xml:space="preserve"> demonstrated that the percentage increase from busi</w:t>
      </w:r>
      <w:r w:rsidR="00DC28D4">
        <w:t>ness hour labour rates to after-</w:t>
      </w:r>
      <w:r w:rsidR="007A3264">
        <w:t>hour labour rates ranged from between 18 per cent up to 67 per cent. To be conservative we applied an increase of 67 per cent to</w:t>
      </w:r>
      <w:r>
        <w:t xml:space="preserve"> our maximum total labour rates to calculate after hour maximum total labour rates.</w:t>
      </w:r>
    </w:p>
    <w:p w:rsidR="00C22EF3" w:rsidRDefault="00D442B2" w:rsidP="00C22EF3">
      <w:pPr>
        <w:pStyle w:val="Heading4"/>
      </w:pPr>
      <w:bookmarkStart w:id="104" w:name="_Ref456880189"/>
      <w:r>
        <w:t>New design and construction services</w:t>
      </w:r>
      <w:bookmarkEnd w:id="104"/>
    </w:p>
    <w:p w:rsidR="00724945" w:rsidRDefault="00724945" w:rsidP="007A3264">
      <w:r>
        <w:t>We do not accept TasNetworks' proposal to include its new design and construction</w:t>
      </w:r>
      <w:r w:rsidR="00F25292">
        <w:t xml:space="preserve"> ancillary network</w:t>
      </w:r>
      <w:r>
        <w:t xml:space="preserve"> services as fee based services. We consider these services should be quoted services and have made them so in our draft decision.</w:t>
      </w:r>
    </w:p>
    <w:p w:rsidR="00724945" w:rsidRDefault="00724945" w:rsidP="00724945">
      <w:r>
        <w:t>In</w:t>
      </w:r>
      <w:r w:rsidR="00D442B2">
        <w:t xml:space="preserve"> response to our request for more information on why </w:t>
      </w:r>
      <w:r>
        <w:t>these services</w:t>
      </w:r>
      <w:r w:rsidR="00D442B2">
        <w:t xml:space="preserve"> were proposed</w:t>
      </w:r>
      <w:r>
        <w:t xml:space="preserve"> as fee based services, TasNetworks' stated that: </w:t>
      </w:r>
    </w:p>
    <w:p w:rsidR="00724945" w:rsidRDefault="00724945" w:rsidP="00724945">
      <w:pPr>
        <w:pStyle w:val="AERquoteindent1"/>
      </w:pPr>
      <w:r>
        <w:t>The costs associated with providing these services are reasonably homogenous and the additional administration costs of classifying these services as Network Ancillary Services (Quoted Services) generally outweighs the benefit to customers receiving these services.</w:t>
      </w:r>
      <w:r>
        <w:rPr>
          <w:rStyle w:val="FootnoteReference"/>
        </w:rPr>
        <w:footnoteReference w:id="27"/>
      </w:r>
    </w:p>
    <w:p w:rsidR="002C05F0" w:rsidRDefault="002C05F0" w:rsidP="002C05F0">
      <w:r>
        <w:t>However, we note TasNetworks did</w:t>
      </w:r>
      <w:r w:rsidR="008C4A63">
        <w:t xml:space="preserve"> not</w:t>
      </w:r>
      <w:r>
        <w:t xml:space="preserve"> provide any substantive evidence to support its assertions that:</w:t>
      </w:r>
    </w:p>
    <w:p w:rsidR="002C05F0" w:rsidRDefault="002C05F0" w:rsidP="002C05F0">
      <w:pPr>
        <w:pStyle w:val="AERbulletlistfirststyle"/>
      </w:pPr>
      <w:r>
        <w:t>these services are reasonably homogenous</w:t>
      </w:r>
    </w:p>
    <w:p w:rsidR="002C05F0" w:rsidRDefault="002C05F0" w:rsidP="002C05F0">
      <w:pPr>
        <w:pStyle w:val="AERbulletlistfirststyle"/>
      </w:pPr>
      <w:r>
        <w:t>the cost</w:t>
      </w:r>
      <w:r w:rsidR="00F25292">
        <w:t>s</w:t>
      </w:r>
      <w:r>
        <w:t xml:space="preserve"> of </w:t>
      </w:r>
      <w:r w:rsidR="00F25292">
        <w:t>having</w:t>
      </w:r>
      <w:r>
        <w:t xml:space="preserve"> these services as quoted generally outweighs the benefit to customers.</w:t>
      </w:r>
    </w:p>
    <w:p w:rsidR="00D442B2" w:rsidRDefault="002C05F0" w:rsidP="007A3264">
      <w:r>
        <w:t>We note that</w:t>
      </w:r>
      <w:r w:rsidR="00D442B2">
        <w:t xml:space="preserve"> distributors in other jurisdictions consider these</w:t>
      </w:r>
      <w:r w:rsidR="000E7258">
        <w:t xml:space="preserve"> services</w:t>
      </w:r>
      <w:r w:rsidR="00D442B2">
        <w:t xml:space="preserve"> to be quoted services</w:t>
      </w:r>
      <w:r w:rsidR="0033723D">
        <w:t xml:space="preserve"> as they are not homogenous and highly variable.</w:t>
      </w:r>
      <w:r w:rsidR="0033723D">
        <w:rPr>
          <w:rStyle w:val="FootnoteReference"/>
        </w:rPr>
        <w:footnoteReference w:id="28"/>
      </w:r>
      <w:r w:rsidR="00D442B2">
        <w:t xml:space="preserve"> </w:t>
      </w:r>
      <w:r w:rsidR="0033723D">
        <w:t>As such</w:t>
      </w:r>
      <w:r w:rsidR="000E7258">
        <w:t>, distributors develop the</w:t>
      </w:r>
      <w:r w:rsidR="0033723D">
        <w:t xml:space="preserve"> costs for these services on a case by case basis dependent on the specific customers' needs.</w:t>
      </w:r>
    </w:p>
    <w:p w:rsidR="009A754D" w:rsidRDefault="00C95BBB" w:rsidP="00132D43">
      <w:r>
        <w:t>We agree with the approach applied by other distributors and consider unless TasNetworks can provide substantive evidence to demonstrate otherwise, these services should be quoted services.</w:t>
      </w:r>
    </w:p>
    <w:p w:rsidR="00132D43" w:rsidRDefault="00D40DBF" w:rsidP="00132D43">
      <w:pPr>
        <w:pStyle w:val="Heading2"/>
      </w:pPr>
      <w:bookmarkStart w:id="105" w:name="_Toc462755668"/>
      <w:r>
        <w:t>Public lighting</w:t>
      </w:r>
      <w:bookmarkEnd w:id="105"/>
    </w:p>
    <w:p w:rsidR="00D40DBF" w:rsidRDefault="00D40DBF" w:rsidP="00D40DBF">
      <w:pPr>
        <w:pStyle w:val="Heading3"/>
      </w:pPr>
      <w:bookmarkStart w:id="106" w:name="_Toc462755669"/>
      <w:r>
        <w:t>Draft decision</w:t>
      </w:r>
      <w:bookmarkEnd w:id="106"/>
    </w:p>
    <w:p w:rsidR="00955B20" w:rsidRDefault="00955B20" w:rsidP="00955B20">
      <w:r w:rsidRPr="00955B20">
        <w:t>We do not approve the proposed public lighting cha</w:t>
      </w:r>
      <w:r w:rsidR="00181D92">
        <w:t xml:space="preserve">rges because we have determined </w:t>
      </w:r>
      <w:r w:rsidRPr="00955B20">
        <w:t xml:space="preserve">a </w:t>
      </w:r>
      <w:r w:rsidR="00B04CCD">
        <w:t xml:space="preserve">pre-tax real </w:t>
      </w:r>
      <w:r w:rsidRPr="00955B20">
        <w:t xml:space="preserve">WACC of </w:t>
      </w:r>
      <w:r w:rsidR="00E737CB">
        <w:t>3</w:t>
      </w:r>
      <w:r w:rsidRPr="00955B20">
        <w:t>.</w:t>
      </w:r>
      <w:r w:rsidR="00E737CB">
        <w:t>59</w:t>
      </w:r>
      <w:r w:rsidRPr="00955B20">
        <w:t xml:space="preserve"> per cent instead of the proposed</w:t>
      </w:r>
      <w:r w:rsidR="003840CC">
        <w:t xml:space="preserve"> pre-tax real WACC of</w:t>
      </w:r>
      <w:r w:rsidRPr="00955B20">
        <w:t xml:space="preserve"> </w:t>
      </w:r>
      <w:r w:rsidR="003840CC">
        <w:t>3</w:t>
      </w:r>
      <w:r w:rsidRPr="00955B20">
        <w:t>.</w:t>
      </w:r>
      <w:r w:rsidR="003840CC">
        <w:t>99 </w:t>
      </w:r>
      <w:r w:rsidRPr="00955B20">
        <w:t>per cent</w:t>
      </w:r>
    </w:p>
    <w:p w:rsidR="00100B0B" w:rsidRDefault="00100B0B" w:rsidP="00955B20">
      <w:r>
        <w:t>We accept all other aspects of TasNetworks</w:t>
      </w:r>
      <w:r w:rsidR="00E12371">
        <w:t>'</w:t>
      </w:r>
      <w:r>
        <w:t xml:space="preserve"> proposal. </w:t>
      </w:r>
    </w:p>
    <w:p w:rsidR="00677107" w:rsidRDefault="00677107" w:rsidP="00677107">
      <w:pPr>
        <w:pStyle w:val="Heading4"/>
      </w:pPr>
      <w:r w:rsidRPr="00677107">
        <w:t>Form of control mechanism</w:t>
      </w:r>
    </w:p>
    <w:p w:rsidR="00677107" w:rsidRDefault="00677107" w:rsidP="00677107">
      <w:r w:rsidRPr="00CB408C">
        <w:t xml:space="preserve">We maintain our </w:t>
      </w:r>
      <w:r>
        <w:t>F&amp;A position</w:t>
      </w:r>
      <w:r w:rsidRPr="00CB408C">
        <w:t xml:space="preserve"> to apply price caps for individual </w:t>
      </w:r>
      <w:r w:rsidR="006D5540">
        <w:t>public lighting</w:t>
      </w:r>
      <w:r w:rsidRPr="00CB408C">
        <w:t xml:space="preserve"> services as the form of control. This means a schedule of prices is set for the first year. For the following year's the previous year’s prices are adjusted by CPI and an X factor. The control mechanism formula is set out below:</w:t>
      </w:r>
    </w:p>
    <w:p w:rsidR="00677107" w:rsidRPr="00BD4624" w:rsidRDefault="00677107" w:rsidP="00677107">
      <w:r w:rsidRPr="00677107">
        <w:object w:dxaOrig="780" w:dyaOrig="380">
          <v:shape id="_x0000_i1036" type="#_x0000_t75" style="width:38.2pt;height:19.55pt" o:ole="">
            <v:imagedata r:id="rId40" o:title=""/>
          </v:shape>
          <o:OLEObject Type="Embed" ProgID="Equation.3" ShapeID="_x0000_i1036" DrawAspect="Content" ObjectID="_1536569371" r:id="rId41"/>
        </w:object>
      </w:r>
      <w:r>
        <w:tab/>
      </w:r>
      <w:r>
        <w:tab/>
      </w:r>
      <w:r>
        <w:tab/>
      </w:r>
      <w:r>
        <w:tab/>
      </w:r>
      <w:r>
        <w:tab/>
      </w:r>
      <w:r>
        <w:tab/>
      </w:r>
      <w:r>
        <w:tab/>
      </w:r>
      <w:r>
        <w:tab/>
        <w:t>i=1,...,n and t=1,…2</w:t>
      </w:r>
    </w:p>
    <w:p w:rsidR="00677107" w:rsidRPr="00BD4624" w:rsidRDefault="00644359" w:rsidP="00677107">
      <w:r w:rsidRPr="00644359">
        <w:rPr>
          <w:position w:val="-12"/>
        </w:rPr>
        <w:object w:dxaOrig="3200" w:dyaOrig="380">
          <v:shape id="_x0000_i1037" type="#_x0000_t75" style="width:158.2pt;height:19.55pt" o:ole="">
            <v:imagedata r:id="rId42" o:title=""/>
          </v:shape>
          <o:OLEObject Type="Embed" ProgID="Equation.3" ShapeID="_x0000_i1037" DrawAspect="Content" ObjectID="_1536569372" r:id="rId43"/>
        </w:object>
      </w:r>
    </w:p>
    <w:p w:rsidR="00677107" w:rsidRPr="00BD4624" w:rsidRDefault="00677107" w:rsidP="00677107">
      <w:r w:rsidRPr="000700B4">
        <w:t>Where:</w:t>
      </w:r>
    </w:p>
    <w:p w:rsidR="00677107" w:rsidRPr="00BD4624" w:rsidRDefault="00677107" w:rsidP="00677107">
      <w:r w:rsidRPr="00677107">
        <w:object w:dxaOrig="300" w:dyaOrig="380">
          <v:shape id="_x0000_i1038" type="#_x0000_t75" style="width:14.2pt;height:19.55pt" o:ole="">
            <v:imagedata r:id="rId44" o:title=""/>
          </v:shape>
          <o:OLEObject Type="Embed" ProgID="Equation.3" ShapeID="_x0000_i1038" DrawAspect="Content" ObjectID="_1536569373" r:id="rId45"/>
        </w:object>
      </w:r>
      <w:r>
        <w:tab/>
      </w:r>
      <w:r>
        <w:tab/>
      </w:r>
      <w:r w:rsidRPr="00BD4624">
        <w:t>is the cap on the price of service i in year t</w:t>
      </w:r>
    </w:p>
    <w:p w:rsidR="00677107" w:rsidRDefault="00644359" w:rsidP="00677107">
      <w:r w:rsidRPr="00644359">
        <w:rPr>
          <w:position w:val="-12"/>
        </w:rPr>
        <w:object w:dxaOrig="279" w:dyaOrig="380">
          <v:shape id="_x0000_i1039" type="#_x0000_t75" style="width:12.45pt;height:19.55pt" o:ole="">
            <v:imagedata r:id="rId46" o:title=""/>
          </v:shape>
          <o:OLEObject Type="Embed" ProgID="Equation.3" ShapeID="_x0000_i1039" DrawAspect="Content" ObjectID="_1536569374" r:id="rId47"/>
        </w:object>
      </w:r>
      <w:r w:rsidR="00677107">
        <w:tab/>
      </w:r>
      <w:r w:rsidR="00677107">
        <w:tab/>
      </w:r>
      <w:r w:rsidR="00677107" w:rsidRPr="00BD4624">
        <w:t>is the price of service i in year t. The initial value is to be decided in the determination.</w:t>
      </w:r>
    </w:p>
    <w:p w:rsidR="00677107" w:rsidRDefault="00644359" w:rsidP="00677107">
      <w:r w:rsidRPr="00644359">
        <w:rPr>
          <w:position w:val="-12"/>
        </w:rPr>
        <w:object w:dxaOrig="420" w:dyaOrig="380">
          <v:shape id="_x0000_i1040" type="#_x0000_t75" style="width:18.65pt;height:19.55pt" o:ole="">
            <v:imagedata r:id="rId48" o:title=""/>
          </v:shape>
          <o:OLEObject Type="Embed" ProgID="Equation.3" ShapeID="_x0000_i1040" DrawAspect="Content" ObjectID="_1536569375" r:id="rId49"/>
        </w:object>
      </w:r>
      <w:r w:rsidR="00677107">
        <w:tab/>
      </w:r>
      <w:r w:rsidR="00677107" w:rsidRPr="00BD4624">
        <w:t>is the cap on the price of service i in year t</w:t>
      </w:r>
    </w:p>
    <w:p w:rsidR="00677107" w:rsidRPr="00BD4624" w:rsidRDefault="00644359" w:rsidP="00677107">
      <w:r w:rsidRPr="00644359">
        <w:rPr>
          <w:position w:val="-6"/>
        </w:rPr>
        <w:object w:dxaOrig="139" w:dyaOrig="240">
          <v:shape id="_x0000_i1041" type="#_x0000_t75" style="width:7.1pt;height:12.45pt" o:ole="">
            <v:imagedata r:id="rId50" o:title=""/>
          </v:shape>
          <o:OLEObject Type="Embed" ProgID="Equation.3" ShapeID="_x0000_i1041" DrawAspect="Content" ObjectID="_1536569376" r:id="rId51"/>
        </w:object>
      </w:r>
      <w:r w:rsidR="00677107">
        <w:tab/>
      </w:r>
      <w:r w:rsidR="00677107">
        <w:tab/>
        <w:t>is the regulatory year</w:t>
      </w:r>
    </w:p>
    <w:p w:rsidR="00677107" w:rsidRPr="001C4D2E" w:rsidRDefault="00644359" w:rsidP="00677107">
      <w:pPr>
        <w:numPr>
          <w:ilvl w:val="0"/>
          <w:numId w:val="24"/>
        </w:numPr>
      </w:pPr>
      <w:r w:rsidRPr="00644359">
        <w:rPr>
          <w:position w:val="-12"/>
        </w:rPr>
        <w:object w:dxaOrig="720" w:dyaOrig="380">
          <v:shape id="_x0000_i1042" type="#_x0000_t75" style="width:37.35pt;height:19.55pt" o:ole="">
            <v:imagedata r:id="rId52" o:title=""/>
          </v:shape>
          <o:OLEObject Type="Embed" ProgID="Equation.3" ShapeID="_x0000_i1042" DrawAspect="Content" ObjectID="_1536569377" r:id="rId53"/>
        </w:object>
      </w:r>
      <w:r w:rsidR="00677107" w:rsidRPr="00384389">
        <w:t xml:space="preserve"> </w:t>
      </w:r>
      <w:r w:rsidR="00677107" w:rsidRPr="001C4D2E">
        <w:t>is the annual percentage change in the ABS consumer price index (CPI) All Groups, Weighted Average of Eight Capital Cities</w:t>
      </w:r>
      <w:r w:rsidR="00677107">
        <w:rPr>
          <w:rStyle w:val="FootnoteReference"/>
        </w:rPr>
        <w:footnoteReference w:id="29"/>
      </w:r>
      <w:r w:rsidR="00677107" w:rsidRPr="001C4D2E">
        <w:t xml:space="preserve"> from the </w:t>
      </w:r>
      <w:r w:rsidR="00677107">
        <w:t>December</w:t>
      </w:r>
      <w:r w:rsidR="00677107" w:rsidRPr="001C4D2E">
        <w:t xml:space="preserve"> quarter in year</w:t>
      </w:r>
      <w:r w:rsidR="00677107">
        <w:t> </w:t>
      </w:r>
      <w:r w:rsidR="00677107" w:rsidRPr="001C4D2E">
        <w:t xml:space="preserve">t–2 to the </w:t>
      </w:r>
      <w:r w:rsidR="00677107">
        <w:t>December</w:t>
      </w:r>
      <w:r w:rsidR="00677107" w:rsidRPr="001C4D2E">
        <w:t xml:space="preserve"> quarter in year t–1, calcul</w:t>
      </w:r>
      <w:r w:rsidR="00677107">
        <w:t>ated using the following method:</w:t>
      </w:r>
    </w:p>
    <w:p w:rsidR="00677107" w:rsidRPr="001C4D2E" w:rsidRDefault="00677107" w:rsidP="00677107">
      <w:pPr>
        <w:pStyle w:val="ListContinue"/>
      </w:pPr>
      <w:r w:rsidRPr="001C4D2E">
        <w:t xml:space="preserve">The ABS CPI All Groups, Weighted Average of Eight Capital Cities for the </w:t>
      </w:r>
      <w:r>
        <w:t>December</w:t>
      </w:r>
      <w:r w:rsidRPr="001C4D2E">
        <w:t xml:space="preserve"> quarter in regulatory year t–1</w:t>
      </w:r>
    </w:p>
    <w:p w:rsidR="00677107" w:rsidRPr="001C4D2E" w:rsidRDefault="00677107" w:rsidP="00677107">
      <w:pPr>
        <w:pStyle w:val="ListContinue"/>
      </w:pPr>
      <w:r w:rsidRPr="001C4D2E">
        <w:t>divided by</w:t>
      </w:r>
    </w:p>
    <w:p w:rsidR="00677107" w:rsidRPr="001C4D2E" w:rsidRDefault="00677107" w:rsidP="00677107">
      <w:pPr>
        <w:pStyle w:val="ListContinue"/>
      </w:pPr>
      <w:r w:rsidRPr="001C4D2E">
        <w:t xml:space="preserve">The ABS CPI All Groups, Weighted Average of Eight Capital Cities for the </w:t>
      </w:r>
      <w:r>
        <w:t>December</w:t>
      </w:r>
      <w:r w:rsidRPr="001C4D2E">
        <w:t xml:space="preserve"> quarter in regulatory year t–2</w:t>
      </w:r>
    </w:p>
    <w:p w:rsidR="00677107" w:rsidRPr="001C4D2E" w:rsidRDefault="00677107" w:rsidP="00677107">
      <w:pPr>
        <w:pStyle w:val="ListContinue"/>
      </w:pPr>
      <w:r w:rsidRPr="001C4D2E">
        <w:t>minus one.</w:t>
      </w:r>
    </w:p>
    <w:p w:rsidR="00677107" w:rsidRPr="00BD4624" w:rsidRDefault="00677107" w:rsidP="00677107">
      <w:pPr>
        <w:numPr>
          <w:ilvl w:val="0"/>
          <w:numId w:val="24"/>
        </w:numPr>
      </w:pPr>
      <w:r w:rsidRPr="001C4D2E">
        <w:t>For example, for</w:t>
      </w:r>
      <w:r>
        <w:t xml:space="preserve"> </w:t>
      </w:r>
      <w:r w:rsidRPr="001C4D2E">
        <w:t>2018</w:t>
      </w:r>
      <w:r>
        <w:t>–19,</w:t>
      </w:r>
      <w:r w:rsidRPr="001C4D2E">
        <w:t xml:space="preserve"> year t–2 is the </w:t>
      </w:r>
      <w:r>
        <w:t>December</w:t>
      </w:r>
      <w:r w:rsidRPr="001C4D2E">
        <w:t xml:space="preserve"> quarter 2016 and</w:t>
      </w:r>
      <w:r>
        <w:t xml:space="preserve"> year</w:t>
      </w:r>
      <w:r w:rsidRPr="001C4D2E">
        <w:t xml:space="preserve"> t–1 is the </w:t>
      </w:r>
      <w:r>
        <w:t>December</w:t>
      </w:r>
      <w:r w:rsidRPr="001C4D2E">
        <w:t xml:space="preserve"> quarter 2017.</w:t>
      </w:r>
    </w:p>
    <w:p w:rsidR="00677107" w:rsidRPr="00100B0B" w:rsidRDefault="00644359" w:rsidP="00677107">
      <w:r w:rsidRPr="00644359">
        <w:rPr>
          <w:position w:val="-12"/>
        </w:rPr>
        <w:object w:dxaOrig="340" w:dyaOrig="380">
          <v:shape id="_x0000_i1043" type="#_x0000_t75" style="width:19.55pt;height:19.55pt" o:ole="">
            <v:imagedata r:id="rId54" o:title=""/>
          </v:shape>
          <o:OLEObject Type="Embed" ProgID="Equation.3" ShapeID="_x0000_i1043" DrawAspect="Content" ObjectID="_1536569378" r:id="rId55"/>
        </w:object>
      </w:r>
      <w:r w:rsidR="00677107">
        <w:tab/>
      </w:r>
      <w:r>
        <w:t>are</w:t>
      </w:r>
      <w:r w:rsidR="00677107" w:rsidRPr="00BD4624">
        <w:t xml:space="preserve"> the </w:t>
      </w:r>
      <w:r w:rsidR="00677107">
        <w:t>values set out in</w:t>
      </w:r>
      <w:r w:rsidR="006D5540">
        <w:t xml:space="preserve"> the </w:t>
      </w:r>
      <w:r>
        <w:t>public lighting decision model.</w:t>
      </w:r>
    </w:p>
    <w:p w:rsidR="00D40DBF" w:rsidRDefault="00D40DBF" w:rsidP="00D40DBF">
      <w:pPr>
        <w:pStyle w:val="Heading3"/>
      </w:pPr>
      <w:bookmarkStart w:id="107" w:name="_Toc462755670"/>
      <w:r>
        <w:t>TasNetworks' proposal</w:t>
      </w:r>
      <w:bookmarkEnd w:id="107"/>
    </w:p>
    <w:p w:rsidR="00100B0B" w:rsidRDefault="00100B0B" w:rsidP="00100B0B">
      <w:r>
        <w:t>TasNetworks proposed</w:t>
      </w:r>
      <w:r w:rsidRPr="00100B0B">
        <w:t xml:space="preserve"> </w:t>
      </w:r>
      <w:r w:rsidR="00955B20">
        <w:t>the continuation of its current approach to public lighting using an annuity based public lighting model.</w:t>
      </w:r>
      <w:r w:rsidR="00B65CF0">
        <w:rPr>
          <w:rStyle w:val="FootnoteReference"/>
        </w:rPr>
        <w:footnoteReference w:id="30"/>
      </w:r>
      <w:r w:rsidR="00955B20">
        <w:t xml:space="preserve"> </w:t>
      </w:r>
    </w:p>
    <w:p w:rsidR="00D40DBF" w:rsidRDefault="00D40DBF" w:rsidP="00D40DBF">
      <w:pPr>
        <w:pStyle w:val="Heading3"/>
      </w:pPr>
      <w:bookmarkStart w:id="108" w:name="_Toc462755671"/>
      <w:r>
        <w:t>Assessment approach</w:t>
      </w:r>
      <w:bookmarkEnd w:id="108"/>
    </w:p>
    <w:p w:rsidR="00100B0B" w:rsidRPr="00100B0B" w:rsidRDefault="00955B20" w:rsidP="00100B0B">
      <w:r w:rsidRPr="00955B20">
        <w:t>We assess</w:t>
      </w:r>
      <w:r>
        <w:t>ed</w:t>
      </w:r>
      <w:r w:rsidRPr="00955B20">
        <w:t xml:space="preserve"> </w:t>
      </w:r>
      <w:r>
        <w:t>TasNetworks</w:t>
      </w:r>
      <w:r w:rsidRPr="00955B20">
        <w:t xml:space="preserve"> public lighting proposals by analysing the assumptions used in the build-up of proposed costs and benchmarking these costs and assumptions amongst distributors</w:t>
      </w:r>
      <w:r>
        <w:t xml:space="preserve"> in the NEM</w:t>
      </w:r>
      <w:r w:rsidRPr="00955B20">
        <w:t xml:space="preserve"> and against independent data and information.</w:t>
      </w:r>
    </w:p>
    <w:p w:rsidR="00D40DBF" w:rsidRDefault="00D40DBF" w:rsidP="00D40DBF">
      <w:pPr>
        <w:pStyle w:val="Heading3"/>
      </w:pPr>
      <w:bookmarkStart w:id="109" w:name="_Toc462755672"/>
      <w:r>
        <w:t>Reasons for draft decision</w:t>
      </w:r>
      <w:bookmarkEnd w:id="109"/>
    </w:p>
    <w:p w:rsidR="002C7DD6" w:rsidRDefault="00100B0B">
      <w:pPr>
        <w:spacing w:line="240" w:lineRule="auto"/>
      </w:pPr>
      <w:r>
        <w:t>We have applied a WACC</w:t>
      </w:r>
      <w:r w:rsidR="002C7DD6">
        <w:t xml:space="preserve"> to public lighting</w:t>
      </w:r>
      <w:r>
        <w:t xml:space="preserve"> consistent with that applied to standard control services.</w:t>
      </w:r>
    </w:p>
    <w:p w:rsidR="002F061F" w:rsidRDefault="00F8269D" w:rsidP="000C1C4E">
      <w:r>
        <w:t xml:space="preserve">A submission from Consumer Challenge Panel (CCP) member David Headberry </w:t>
      </w:r>
      <w:r w:rsidR="002F061F">
        <w:t xml:space="preserve"> stated</w:t>
      </w:r>
      <w:r w:rsidR="000C1C4E" w:rsidRPr="000C1C4E">
        <w:t xml:space="preserve"> </w:t>
      </w:r>
      <w:r w:rsidR="002F061F">
        <w:t>that concern has been expressed about the derivation of public lighting charges and that</w:t>
      </w:r>
      <w:r w:rsidR="000C1C4E" w:rsidRPr="000C1C4E">
        <w:t xml:space="preserve"> T</w:t>
      </w:r>
      <w:r w:rsidR="002F061F">
        <w:t>asNetworks</w:t>
      </w:r>
      <w:r w:rsidR="000C1C4E" w:rsidRPr="000C1C4E">
        <w:t xml:space="preserve"> should demonstrate that the rates for public lighting</w:t>
      </w:r>
      <w:r w:rsidR="000C1C4E">
        <w:t xml:space="preserve"> </w:t>
      </w:r>
      <w:r w:rsidR="000C1C4E" w:rsidRPr="000C1C4E">
        <w:t>services are reflective of the actual costs involved in providing the services</w:t>
      </w:r>
      <w:r w:rsidR="002F061F">
        <w:t xml:space="preserve">. </w:t>
      </w:r>
    </w:p>
    <w:p w:rsidR="002C7DD6" w:rsidRDefault="002F061F" w:rsidP="000C1C4E">
      <w:r>
        <w:t>It s</w:t>
      </w:r>
      <w:r w:rsidR="00B65CF0">
        <w:t>uggests</w:t>
      </w:r>
      <w:r>
        <w:t xml:space="preserve"> that</w:t>
      </w:r>
      <w:r w:rsidR="000C1C4E" w:rsidRPr="000C1C4E">
        <w:t xml:space="preserve"> </w:t>
      </w:r>
      <w:r w:rsidR="00BB2AC3">
        <w:t>'</w:t>
      </w:r>
      <w:r w:rsidR="000C1C4E" w:rsidRPr="000C1C4E">
        <w:t>perhaps the pricing for the services to provide public lighting</w:t>
      </w:r>
      <w:r w:rsidR="000C1C4E">
        <w:t xml:space="preserve"> </w:t>
      </w:r>
      <w:r w:rsidR="000C1C4E" w:rsidRPr="000C1C4E">
        <w:t>should reflect the difficulty in providing the services (e.g. be broken down to into urban,</w:t>
      </w:r>
      <w:r w:rsidR="000C1C4E">
        <w:t xml:space="preserve"> </w:t>
      </w:r>
      <w:r w:rsidR="000C1C4E" w:rsidRPr="000C1C4E">
        <w:t>regional city and rural categories).</w:t>
      </w:r>
      <w:r w:rsidR="00BB2AC3">
        <w:t>'</w:t>
      </w:r>
      <w:r w:rsidR="00B65CF0">
        <w:rPr>
          <w:rStyle w:val="FootnoteReference"/>
        </w:rPr>
        <w:footnoteReference w:id="31"/>
      </w:r>
    </w:p>
    <w:p w:rsidR="002F061F" w:rsidRDefault="002F061F" w:rsidP="000C1C4E">
      <w:r>
        <w:t xml:space="preserve">The AER considers that the prices proposed by TasNetworks reflect the cost of providing the service and that the existing pricing approach is appropriate. </w:t>
      </w:r>
    </w:p>
    <w:p w:rsidR="00B06B2D" w:rsidRDefault="00DC28D4" w:rsidP="000C1C4E">
      <w:r>
        <w:t xml:space="preserve">If the costs were further disaggregated by Tasmanian region, or urban compared to rural, it is not </w:t>
      </w:r>
      <w:r w:rsidR="00B06B2D">
        <w:t xml:space="preserve">expected that this it would result in </w:t>
      </w:r>
      <w:r w:rsidR="002213F9">
        <w:t xml:space="preserve">any </w:t>
      </w:r>
      <w:r w:rsidR="00B06B2D">
        <w:t>significant change in prices</w:t>
      </w:r>
      <w:r>
        <w:t xml:space="preserve">. </w:t>
      </w:r>
      <w:r w:rsidR="00B06B2D">
        <w:t>To attempt to break prices down further</w:t>
      </w:r>
      <w:r>
        <w:t xml:space="preserve"> would </w:t>
      </w:r>
      <w:r w:rsidR="00B06B2D">
        <w:t xml:space="preserve">increase </w:t>
      </w:r>
      <w:r w:rsidR="00AE3E0A" w:rsidRPr="00AE3E0A">
        <w:t xml:space="preserve">TasNetworks </w:t>
      </w:r>
      <w:r w:rsidR="00B06B2D">
        <w:t xml:space="preserve">administrative costs without providing any improvement in cost reflectivity to customers. </w:t>
      </w:r>
    </w:p>
    <w:p w:rsidR="00175128" w:rsidRDefault="0099352C" w:rsidP="000C1C4E">
      <w:r>
        <w:t xml:space="preserve">Approved public lighting charges </w:t>
      </w:r>
      <w:r w:rsidRPr="0099352C">
        <w:t xml:space="preserve">are set out in </w:t>
      </w:r>
      <w:r w:rsidR="002F37FB">
        <w:fldChar w:fldCharType="begin"/>
      </w:r>
      <w:r w:rsidR="002F37FB">
        <w:instrText xml:space="preserve"> REF _Ref457905082 \h </w:instrText>
      </w:r>
      <w:r w:rsidR="002F37FB">
        <w:fldChar w:fldCharType="separate"/>
      </w:r>
      <w:r w:rsidR="000C061E" w:rsidRPr="00CC1632">
        <w:t xml:space="preserve">Table </w:t>
      </w:r>
      <w:r w:rsidR="000C061E">
        <w:rPr>
          <w:noProof/>
        </w:rPr>
        <w:t>16</w:t>
      </w:r>
      <w:r w:rsidR="000C061E">
        <w:t>.</w:t>
      </w:r>
      <w:r w:rsidR="000C061E">
        <w:rPr>
          <w:noProof/>
        </w:rPr>
        <w:t>3</w:t>
      </w:r>
      <w:r w:rsidR="002F37FB">
        <w:fldChar w:fldCharType="end"/>
      </w:r>
      <w:r w:rsidR="002F37FB">
        <w:t>.</w:t>
      </w:r>
    </w:p>
    <w:p w:rsidR="00CC1632" w:rsidRDefault="00CC1632" w:rsidP="00CC1632">
      <w:pPr>
        <w:pStyle w:val="Charttitle"/>
      </w:pPr>
      <w:bookmarkStart w:id="110" w:name="_Ref457905082"/>
      <w:bookmarkStart w:id="111" w:name="_Ref457905074"/>
      <w:r w:rsidRPr="00CC1632">
        <w:t xml:space="preserve">Table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rsidR="0031261B">
        <w:t>.</w:t>
      </w:r>
      <w:r w:rsidR="00E639DB">
        <w:fldChar w:fldCharType="begin"/>
      </w:r>
      <w:r w:rsidR="00E639DB">
        <w:instrText xml:space="preserve"> SEQ Table \* ARABIC \s 1 </w:instrText>
      </w:r>
      <w:r w:rsidR="00E639DB">
        <w:fldChar w:fldCharType="separate"/>
      </w:r>
      <w:r w:rsidR="000C061E">
        <w:rPr>
          <w:noProof/>
        </w:rPr>
        <w:t>3</w:t>
      </w:r>
      <w:r w:rsidR="00E639DB">
        <w:rPr>
          <w:noProof/>
        </w:rPr>
        <w:fldChar w:fldCharType="end"/>
      </w:r>
      <w:bookmarkEnd w:id="110"/>
      <w:r w:rsidR="002F37FB">
        <w:t xml:space="preserve"> </w:t>
      </w:r>
      <w:r>
        <w:t>Public Lighting Charges</w:t>
      </w:r>
      <w:bookmarkEnd w:id="111"/>
      <w:r w:rsidR="002F37FB">
        <w:t>, draft decision (</w:t>
      </w:r>
      <w:r w:rsidR="002F37FB" w:rsidRPr="002F37FB">
        <w:t>($</w:t>
      </w:r>
      <w:r w:rsidR="00E737CB">
        <w:t xml:space="preserve"> nominal</w:t>
      </w:r>
      <w:r w:rsidR="002F37FB">
        <w:t>)</w:t>
      </w:r>
    </w:p>
    <w:tbl>
      <w:tblPr>
        <w:tblStyle w:val="AERtable-numbers"/>
        <w:tblW w:w="5000" w:type="pct"/>
        <w:tblLook w:val="04A0" w:firstRow="1" w:lastRow="0" w:firstColumn="1" w:lastColumn="0" w:noHBand="0" w:noVBand="1"/>
      </w:tblPr>
      <w:tblGrid>
        <w:gridCol w:w="4346"/>
        <w:gridCol w:w="4347"/>
      </w:tblGrid>
      <w:tr w:rsidR="00B46271" w:rsidTr="00B46271">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tcPr>
          <w:p w:rsidR="00B46271" w:rsidRPr="00946DA7" w:rsidRDefault="00B46271" w:rsidP="00946DA7">
            <w:r>
              <w:t>Light Type</w:t>
            </w:r>
          </w:p>
        </w:tc>
        <w:tc>
          <w:tcPr>
            <w:tcW w:w="2500" w:type="pct"/>
          </w:tcPr>
          <w:p w:rsidR="00B46271" w:rsidRPr="00946DA7" w:rsidRDefault="00B46271" w:rsidP="00946DA7">
            <w:pPr>
              <w:cnfStyle w:val="100000000000" w:firstRow="1" w:lastRow="0" w:firstColumn="0" w:lastColumn="0" w:oddVBand="0" w:evenVBand="0" w:oddHBand="0" w:evenHBand="0" w:firstRowFirstColumn="0" w:firstRowLastColumn="0" w:lastRowFirstColumn="0" w:lastRowLastColumn="0"/>
            </w:pPr>
            <w:r>
              <w:t>2017-18</w:t>
            </w:r>
            <w:r w:rsidR="006038DB">
              <w:t xml:space="preserve"> (cents per light per day)</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32W Compact Fluorescent</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34.624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42W Compact Fluorescent</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34.647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42W Compact Fluorescent - Bottom Pole Entry</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34.647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2x24W Compact Fluorescent</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34.962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1x20W Fluorescent</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36.203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1x40W Fluorescent</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35.125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2x20W Fluorescent</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36.488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2x24W Fluorescent</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36.433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T5 Fluorescent 2 x 24W</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36.488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20 Fluorescent 1X20FL</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36.203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2x40W Fluorescent</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35.428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3x40W Fluorescent</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44.438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4x20 Fluorescent</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37.055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4x40W Fluorescent</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45.837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100W Sodium Vapour</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43.647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150W Sodium Vapour</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45.800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250W Sodium Vapour</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46.843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250W Sodium Vapour - Flood Light</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50.656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400W Sodium Vapour</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47.678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400W Sodium Vapour - Flood Light</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50.192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70W Sodium Vapour</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34.497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100W Incandescent</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40.323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60W Incandescent</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31.616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18W LED</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32.766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25W LED</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32.766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18W LED Decorative - Bottom Pole Entry</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45.524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18W LED Decorative - Side Entry</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45.524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18W LED Decorative - Top Entry</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45.524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25W LED Decorative - Bottom Pole Entry</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45.524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25W LED Decorative - Side Entry</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45.524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25W LED Decorative - Top Entry</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45.524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30W LED</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32.766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88 LED Light</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32.766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100W Metal Halide</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43.790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150W Metal Halide</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46.347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250W Metal Halide</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47.125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400W Metal Halide</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52.207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70W Metal Halide</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33.403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250W Metal Halide - Flood Light</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52.280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400W Metal Halide - Flood Light</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52.207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125W Mercury Vapour</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43.436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250W Mercury Vapour</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43.879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400W Mercury Vapour</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45.883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50W Mercury Vapour</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32.295 </w:t>
            </w:r>
          </w:p>
        </w:tc>
      </w:tr>
      <w:tr w:rsidR="00974310" w:rsidRPr="006B4038" w:rsidTr="004D4238">
        <w:trPr>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80W Mercury Vapour Art decorative</w:t>
            </w:r>
          </w:p>
        </w:tc>
        <w:tc>
          <w:tcPr>
            <w:tcW w:w="2500" w:type="pct"/>
            <w:vAlign w:val="bottom"/>
          </w:tcPr>
          <w:p w:rsidR="00974310" w:rsidRPr="00974310" w:rsidRDefault="00974310" w:rsidP="00974310">
            <w:pPr>
              <w:cnfStyle w:val="000000000000" w:firstRow="0" w:lastRow="0" w:firstColumn="0" w:lastColumn="0" w:oddVBand="0" w:evenVBand="0" w:oddHBand="0" w:evenHBand="0" w:firstRowFirstColumn="0" w:firstRowLastColumn="0" w:lastRowFirstColumn="0" w:lastRowLastColumn="0"/>
            </w:pPr>
            <w:r w:rsidRPr="00974310">
              <w:t xml:space="preserve">48.111 </w:t>
            </w:r>
          </w:p>
        </w:tc>
      </w:tr>
      <w:tr w:rsidR="00974310" w:rsidRPr="006B4038" w:rsidTr="004D4238">
        <w:trPr>
          <w:cnfStyle w:val="000000010000" w:firstRow="0" w:lastRow="0" w:firstColumn="0" w:lastColumn="0" w:oddVBand="0" w:evenVBand="0" w:oddHBand="0" w:evenHBand="1"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500" w:type="pct"/>
            <w:vAlign w:val="bottom"/>
          </w:tcPr>
          <w:p w:rsidR="00974310" w:rsidRPr="00974310" w:rsidRDefault="00974310" w:rsidP="00974310">
            <w:r w:rsidRPr="00974310">
              <w:t>80W Mercury Vapour</w:t>
            </w:r>
          </w:p>
        </w:tc>
        <w:tc>
          <w:tcPr>
            <w:tcW w:w="2500" w:type="pct"/>
            <w:vAlign w:val="bottom"/>
          </w:tcPr>
          <w:p w:rsidR="00974310" w:rsidRPr="00974310" w:rsidRDefault="00974310" w:rsidP="00974310">
            <w:pPr>
              <w:cnfStyle w:val="000000010000" w:firstRow="0" w:lastRow="0" w:firstColumn="0" w:lastColumn="0" w:oddVBand="0" w:evenVBand="0" w:oddHBand="0" w:evenHBand="1" w:firstRowFirstColumn="0" w:firstRowLastColumn="0" w:lastRowFirstColumn="0" w:lastRowLastColumn="0"/>
            </w:pPr>
            <w:r w:rsidRPr="00974310">
              <w:t xml:space="preserve">32.293 </w:t>
            </w:r>
          </w:p>
        </w:tc>
      </w:tr>
    </w:tbl>
    <w:p w:rsidR="00D40DBF" w:rsidRDefault="00D40DBF">
      <w:pPr>
        <w:spacing w:line="240" w:lineRule="auto"/>
        <w:rPr>
          <w:rFonts w:eastAsiaTheme="majorEastAsia" w:cstheme="majorBidi"/>
          <w:b/>
          <w:bCs/>
          <w:color w:val="70635A" w:themeColor="text2"/>
          <w:sz w:val="32"/>
          <w:szCs w:val="26"/>
        </w:rPr>
      </w:pPr>
      <w:r>
        <w:br w:type="page"/>
      </w:r>
    </w:p>
    <w:p w:rsidR="00132D43" w:rsidRDefault="00D40DBF" w:rsidP="00132D43">
      <w:pPr>
        <w:pStyle w:val="Heading2"/>
      </w:pPr>
      <w:bookmarkStart w:id="112" w:name="_Toc462755673"/>
      <w:r>
        <w:t>Metering</w:t>
      </w:r>
      <w:bookmarkEnd w:id="112"/>
    </w:p>
    <w:p w:rsidR="009B3860" w:rsidRDefault="009B3860" w:rsidP="009B3860">
      <w:r>
        <w:t xml:space="preserve">We are required to classify and impose a control mechanism on TasNetworks' type 5, 6 and 7 metering services for the 2017–19 regulatory control period. </w:t>
      </w:r>
    </w:p>
    <w:p w:rsidR="009B3860" w:rsidRDefault="009B3860" w:rsidP="009B3860">
      <w:r>
        <w:t xml:space="preserve">In Tasmania, TasNetworks is the monopoly supplier of type 5–7 metering services. </w:t>
      </w:r>
      <w:r w:rsidRPr="00961A26">
        <w:t>Type 5 metering is defined as a manually read interval meter whilst type 6 is a manually read accumulation meter.</w:t>
      </w:r>
      <w:r>
        <w:t xml:space="preserve"> </w:t>
      </w:r>
      <w:r w:rsidRPr="00961A26">
        <w:t>Type 7 metering services are unmetered connections with a predictable energy consumption pattern (for example, public lighting connections).</w:t>
      </w:r>
    </w:p>
    <w:p w:rsidR="009B3860" w:rsidRDefault="009B3860" w:rsidP="009B3860">
      <w:r>
        <w:t>I</w:t>
      </w:r>
      <w:r w:rsidRPr="00316D18">
        <w:t>n our Framework and Approach Paper (F&amp;A)</w:t>
      </w:r>
      <w:r>
        <w:t xml:space="preserve">, we </w:t>
      </w:r>
      <w:r w:rsidRPr="00316D18">
        <w:t xml:space="preserve">classified </w:t>
      </w:r>
      <w:r>
        <w:t>type 5–7 metering services as alternative control services. We stated that this '</w:t>
      </w:r>
      <w:r w:rsidRPr="00BD4624">
        <w:t>classification reflects the limited prospect of comp</w:t>
      </w:r>
      <w:r>
        <w:t>etition in the supply of type 5–</w:t>
      </w:r>
      <w:r w:rsidRPr="00BD4624">
        <w:t>7 metering services to date and that their cost can be directly attributed to individual customers</w:t>
      </w:r>
      <w:r>
        <w:t>'.</w:t>
      </w:r>
      <w:r>
        <w:rPr>
          <w:rStyle w:val="FootnoteReference"/>
        </w:rPr>
        <w:footnoteReference w:id="32"/>
      </w:r>
      <w:r w:rsidRPr="00316D18">
        <w:t xml:space="preserve">  </w:t>
      </w:r>
    </w:p>
    <w:p w:rsidR="009B3860" w:rsidRDefault="009B3860" w:rsidP="009B3860">
      <w:r>
        <w:t>Our draft decision on type 5–7 metering services is made in the context of recently completed policy reform. On 26 November 2015, the Australian Energy Market Commission (AEMC) made a determination on competition in metering and related services.</w:t>
      </w:r>
      <w:r>
        <w:rPr>
          <w:rStyle w:val="FootnoteReference"/>
        </w:rPr>
        <w:footnoteReference w:id="33"/>
      </w:r>
      <w:r>
        <w:t xml:space="preserve"> The final rule resulted in amendments to the NER which are scheduled to take effect on 1 December 2017. That is, five months into TasNetworks' 2017–19 regulatory control period.</w:t>
      </w:r>
    </w:p>
    <w:p w:rsidR="009B3860" w:rsidRDefault="009B3860" w:rsidP="009B3860">
      <w:r>
        <w:t>The AEMC's final rule introduces new arrangements that are designed to 'facilitate a market–led approach to the deployment of advanced meters'.</w:t>
      </w:r>
      <w:r>
        <w:rPr>
          <w:rStyle w:val="FootnoteReference"/>
        </w:rPr>
        <w:footnoteReference w:id="34"/>
      </w:r>
      <w:r>
        <w:t xml:space="preserve"> To achieve this, a number of reforms will take place. These include:</w:t>
      </w:r>
    </w:p>
    <w:p w:rsidR="009B3860" w:rsidRDefault="009B3860" w:rsidP="009B3860">
      <w:pPr>
        <w:pStyle w:val="AERbulletlistfirststyle"/>
      </w:pPr>
      <w:r w:rsidRPr="007C2064">
        <w:t>the transfer of the role and responsibilities of the existing 'Responsible Person' to a new type of Registered Participant called a Metering Coordinator</w:t>
      </w:r>
    </w:p>
    <w:p w:rsidR="009B3860" w:rsidRDefault="009B3860" w:rsidP="009B3860">
      <w:pPr>
        <w:pStyle w:val="AERbulletlistfirststyle"/>
      </w:pPr>
      <w:r w:rsidRPr="007C2064">
        <w:t>allowing any person to become a Metering Coordinator, subject to meeting the registration requirements</w:t>
      </w:r>
    </w:p>
    <w:p w:rsidR="009B3860" w:rsidRDefault="009B3860" w:rsidP="009B3860">
      <w:pPr>
        <w:pStyle w:val="AERbulletlistfirststyle"/>
      </w:pPr>
      <w:r w:rsidRPr="007C2064">
        <w:t>permitting a large customer to appoint its own Metering Coordinator</w:t>
      </w:r>
    </w:p>
    <w:p w:rsidR="009B3860" w:rsidRDefault="009B3860" w:rsidP="009B3860">
      <w:pPr>
        <w:pStyle w:val="AERbulletlistfirststyle"/>
      </w:pPr>
      <w:r w:rsidRPr="007C2064">
        <w:t>requiring a retailer to appoint the Metering Coordinator, except where a large customer has appointed its own Metering Coordinator</w:t>
      </w:r>
      <w:r>
        <w:t>.</w:t>
      </w:r>
      <w:r>
        <w:rPr>
          <w:rStyle w:val="FootnoteReference"/>
        </w:rPr>
        <w:footnoteReference w:id="35"/>
      </w:r>
    </w:p>
    <w:p w:rsidR="009B3860" w:rsidRPr="009B3860" w:rsidRDefault="009B3860" w:rsidP="009B3860">
      <w:pPr>
        <w:pStyle w:val="AERbulletlistfirststyle"/>
        <w:numPr>
          <w:ilvl w:val="0"/>
          <w:numId w:val="0"/>
        </w:numPr>
      </w:pPr>
      <w:r>
        <w:t>However,</w:t>
      </w:r>
      <w:r w:rsidRPr="009B3860">
        <w:t xml:space="preserve"> there is scope for these reforms to be deferred. The AEMC's final rule determination states that a Minister in a jurisdiction that does not currently have effective retail electricity competition, such as in Tasmania, may request a jurisdictional derogation from specific aspects of the final rule for a limited period of time.</w:t>
      </w:r>
      <w:r w:rsidRPr="009B3860">
        <w:rPr>
          <w:rStyle w:val="FootnoteReference"/>
        </w:rPr>
        <w:footnoteReference w:id="36"/>
      </w:r>
      <w:r w:rsidRPr="009B3860">
        <w:t xml:space="preserve"> For this to occur, the Minister would have to consider that the specific circumstances in Tasmania mean that the costs of the final rule could exceed the benefits for a period of time.</w:t>
      </w:r>
      <w:r w:rsidRPr="009B3860">
        <w:rPr>
          <w:rStyle w:val="FootnoteReference"/>
        </w:rPr>
        <w:footnoteReference w:id="37"/>
      </w:r>
      <w:r w:rsidRPr="009B3860">
        <w:t xml:space="preserve"> The AEMC stated that any such jurisdictional derogation request would be considered through a separate rule change consultation process during 2016.</w:t>
      </w:r>
      <w:r w:rsidRPr="009B3860">
        <w:rPr>
          <w:rStyle w:val="FootnoteReference"/>
        </w:rPr>
        <w:footnoteReference w:id="38"/>
      </w:r>
      <w:r w:rsidRPr="009B3860">
        <w:t xml:space="preserve"> </w:t>
      </w:r>
    </w:p>
    <w:p w:rsidR="009B3860" w:rsidRPr="009B3860" w:rsidRDefault="009B3860" w:rsidP="009B3860">
      <w:pPr>
        <w:pStyle w:val="AERbulletlistfirststyle"/>
        <w:numPr>
          <w:ilvl w:val="0"/>
          <w:numId w:val="0"/>
        </w:numPr>
      </w:pPr>
      <w:r>
        <w:t>Our</w:t>
      </w:r>
      <w:r w:rsidRPr="009B3860">
        <w:t xml:space="preserve"> draft decision is made on the basis that no such derogation request has been, or will be, made in relation to Tasmania. We have taken the view that the AEMC's final rule regarding competition in metering and related services will take effect on 1 December 2017. In particular, we considered the likelihood that customers may 'churn' to alternative metering service providers and the effect that this should have on the pricing structure that we approve. We also considered the effect that the opening up of competition in metering is likely to have on TasNetworks' expenditure requirement. </w:t>
      </w:r>
    </w:p>
    <w:p w:rsidR="009B3860" w:rsidRDefault="009B3860" w:rsidP="009B3860">
      <w:pPr>
        <w:pStyle w:val="Heading3"/>
      </w:pPr>
      <w:bookmarkStart w:id="113" w:name="_Toc462755674"/>
      <w:r>
        <w:t>Draft decision</w:t>
      </w:r>
      <w:bookmarkEnd w:id="113"/>
    </w:p>
    <w:p w:rsidR="009B3860" w:rsidRDefault="009B3860" w:rsidP="009B3860">
      <w:pPr>
        <w:pStyle w:val="Heading4"/>
      </w:pPr>
      <w:bookmarkStart w:id="114" w:name="_Ref454973864"/>
      <w:r>
        <w:t>Structure of metering charges</w:t>
      </w:r>
      <w:bookmarkEnd w:id="114"/>
    </w:p>
    <w:p w:rsidR="009B3860" w:rsidRDefault="009B3860" w:rsidP="009B3860">
      <w:r w:rsidRPr="00EC69CB">
        <w:t xml:space="preserve">Our </w:t>
      </w:r>
      <w:r>
        <w:t>draft</w:t>
      </w:r>
      <w:r w:rsidRPr="00EC69CB">
        <w:t xml:space="preserve"> decision is to maintain the alternative control ser</w:t>
      </w:r>
      <w:r>
        <w:t>vices classification for type 5–7</w:t>
      </w:r>
      <w:r w:rsidRPr="00EC69CB">
        <w:t xml:space="preserve"> metering services set out in our </w:t>
      </w:r>
      <w:r>
        <w:t>F&amp;A</w:t>
      </w:r>
      <w:r w:rsidRPr="00EC69CB">
        <w:t xml:space="preserve">.  </w:t>
      </w:r>
    </w:p>
    <w:p w:rsidR="009B3860" w:rsidRDefault="009B3860" w:rsidP="009B3860">
      <w:r w:rsidRPr="00EC69CB">
        <w:t>We further maintain that the control mechanism for alternative control services will be caps on the prices of individual services.</w:t>
      </w:r>
      <w:r>
        <w:t xml:space="preserve"> This control mechanism is set out in section </w:t>
      </w:r>
      <w:r>
        <w:fldChar w:fldCharType="begin"/>
      </w:r>
      <w:r>
        <w:instrText xml:space="preserve"> REF _Ref454528724 \r \h </w:instrText>
      </w:r>
      <w:r>
        <w:fldChar w:fldCharType="separate"/>
      </w:r>
      <w:r w:rsidR="000C061E">
        <w:t>16.3.1.3</w:t>
      </w:r>
      <w:r>
        <w:fldChar w:fldCharType="end"/>
      </w:r>
      <w:r>
        <w:t>.</w:t>
      </w:r>
      <w:r w:rsidRPr="00EC69CB">
        <w:t xml:space="preserve">  </w:t>
      </w:r>
    </w:p>
    <w:p w:rsidR="009B3860" w:rsidRDefault="009B3860" w:rsidP="009B3860">
      <w:pPr>
        <w:pStyle w:val="HeadingOrange"/>
        <w:rPr>
          <w:rStyle w:val="AERbody"/>
        </w:rPr>
      </w:pPr>
      <w:r>
        <w:t>Scope of services</w:t>
      </w:r>
    </w:p>
    <w:p w:rsidR="009B3860" w:rsidRDefault="009B3860" w:rsidP="009B3860">
      <w:r>
        <w:t>Our draft decision accepts a charging structure for type 6 metering only.</w:t>
      </w:r>
    </w:p>
    <w:p w:rsidR="009B3860" w:rsidRDefault="009B3860" w:rsidP="009B3860">
      <w:pPr>
        <w:rPr>
          <w:rStyle w:val="AERbody"/>
        </w:rPr>
      </w:pPr>
      <w:r>
        <w:rPr>
          <w:rStyle w:val="AERbody"/>
        </w:rPr>
        <w:t>In our F&amp;A, we classified type 5, 6 and 7 metering services as alternative control services. TasNetworks, however, only provides type 6 metering services.</w:t>
      </w:r>
      <w:r>
        <w:rPr>
          <w:rStyle w:val="FootnoteReference"/>
        </w:rPr>
        <w:footnoteReference w:id="39"/>
      </w:r>
      <w:r>
        <w:rPr>
          <w:rStyle w:val="AERbody"/>
        </w:rPr>
        <w:t xml:space="preserve"> We have accordingly accepted a charging structure which excludes type 5 and 7 metering. By doing this, our draft decision reflects the scope of services TasNetworks provides to customers.</w:t>
      </w:r>
    </w:p>
    <w:p w:rsidR="009B3860" w:rsidRPr="009B3860" w:rsidRDefault="009B3860" w:rsidP="009B3860">
      <w:pPr>
        <w:pStyle w:val="HeadingOrange"/>
        <w:rPr>
          <w:rStyle w:val="AERbody"/>
        </w:rPr>
      </w:pPr>
      <w:r>
        <w:t>Type 6 annual metering charges</w:t>
      </w:r>
    </w:p>
    <w:p w:rsidR="009B3860" w:rsidRDefault="009B3860" w:rsidP="009B3860">
      <w:pPr>
        <w:rPr>
          <w:rStyle w:val="AERbody"/>
        </w:rPr>
      </w:pPr>
      <w:r>
        <w:rPr>
          <w:rStyle w:val="AERbody"/>
        </w:rPr>
        <w:t xml:space="preserve">Our draft decision accepts TasNetworks' proposed charging structure. </w:t>
      </w:r>
    </w:p>
    <w:p w:rsidR="009B3860" w:rsidRDefault="009B3860" w:rsidP="009B3860">
      <w:pPr>
        <w:rPr>
          <w:rStyle w:val="AERbody"/>
        </w:rPr>
      </w:pPr>
      <w:r>
        <w:rPr>
          <w:rStyle w:val="AERbody"/>
        </w:rPr>
        <w:t>The charging structure proposed by TasNetworks is consistent with previous determinations we have made.</w:t>
      </w:r>
      <w:r>
        <w:rPr>
          <w:rStyle w:val="FootnoteReference"/>
        </w:rPr>
        <w:footnoteReference w:id="40"/>
      </w:r>
      <w:r>
        <w:rPr>
          <w:rStyle w:val="AERbody"/>
        </w:rPr>
        <w:t xml:space="preserve"> In accordance with this structure, metering charges are split into 'capital' and 'non–capital' components. These components then recover separate 'building block' costs:</w:t>
      </w:r>
    </w:p>
    <w:p w:rsidR="009B3860" w:rsidRDefault="009B3860" w:rsidP="009B3860">
      <w:pPr>
        <w:pStyle w:val="AERbulletlistfirststyle"/>
        <w:rPr>
          <w:rStyle w:val="AERbody"/>
        </w:rPr>
      </w:pPr>
      <w:r>
        <w:rPr>
          <w:rStyle w:val="AERbody"/>
        </w:rPr>
        <w:t>capital—metering asset base (MAB) recovery and tax</w:t>
      </w:r>
    </w:p>
    <w:p w:rsidR="009B3860" w:rsidRDefault="009B3860" w:rsidP="009B3860">
      <w:pPr>
        <w:pStyle w:val="AERbulletlistfirststyle"/>
        <w:rPr>
          <w:rStyle w:val="AERbody"/>
        </w:rPr>
      </w:pPr>
      <w:r>
        <w:rPr>
          <w:rStyle w:val="AERbody"/>
        </w:rPr>
        <w:t xml:space="preserve">Non–capital—operating expenditure.  </w:t>
      </w:r>
    </w:p>
    <w:p w:rsidR="009B3860" w:rsidRDefault="009B3860" w:rsidP="009B3860">
      <w:r>
        <w:rPr>
          <w:rStyle w:val="AERbody"/>
        </w:rPr>
        <w:fldChar w:fldCharType="begin"/>
      </w:r>
      <w:r>
        <w:rPr>
          <w:rStyle w:val="AERbody"/>
        </w:rPr>
        <w:instrText xml:space="preserve"> REF _Ref457997256 \h </w:instrText>
      </w:r>
      <w:r>
        <w:rPr>
          <w:rStyle w:val="AERbody"/>
        </w:rPr>
      </w:r>
      <w:r>
        <w:rPr>
          <w:rStyle w:val="AERbody"/>
        </w:rPr>
        <w:fldChar w:fldCharType="separate"/>
      </w:r>
      <w:r w:rsidR="000C061E">
        <w:t xml:space="preserve">Figure </w:t>
      </w:r>
      <w:r w:rsidR="000C061E">
        <w:rPr>
          <w:noProof/>
        </w:rPr>
        <w:t>16</w:t>
      </w:r>
      <w:r w:rsidR="000C061E">
        <w:t>.</w:t>
      </w:r>
      <w:r w:rsidR="000C061E">
        <w:rPr>
          <w:noProof/>
        </w:rPr>
        <w:t>3</w:t>
      </w:r>
      <w:r>
        <w:rPr>
          <w:rStyle w:val="AERbody"/>
        </w:rPr>
        <w:fldChar w:fldCharType="end"/>
      </w:r>
      <w:r>
        <w:rPr>
          <w:rStyle w:val="AERbody"/>
        </w:rPr>
        <w:t xml:space="preserve"> </w:t>
      </w:r>
      <w:r w:rsidRPr="0023662E">
        <w:rPr>
          <w:rStyle w:val="AERbody"/>
        </w:rPr>
        <w:t>depicts how the two components</w:t>
      </w:r>
      <w:r>
        <w:rPr>
          <w:rStyle w:val="AERbody"/>
        </w:rPr>
        <w:t xml:space="preserve"> </w:t>
      </w:r>
      <w:r w:rsidRPr="0023662E">
        <w:rPr>
          <w:rStyle w:val="AERbody"/>
        </w:rPr>
        <w:t xml:space="preserve">relate to different metering customers. </w:t>
      </w:r>
      <w:r>
        <w:rPr>
          <w:rStyle w:val="AERbody"/>
        </w:rPr>
        <w:t xml:space="preserve">It shows that if a customer takes up a type 6 metering service before 1 December 2017 they will pay </w:t>
      </w:r>
      <w:r w:rsidRPr="008B51AA">
        <w:t>both</w:t>
      </w:r>
      <w:r>
        <w:rPr>
          <w:rStyle w:val="AERbody"/>
        </w:rPr>
        <w:t xml:space="preserve"> the capital and non–capital components of the regulated metering charge. </w:t>
      </w:r>
      <w:r w:rsidR="000E4384">
        <w:rPr>
          <w:rStyle w:val="AERbody"/>
        </w:rPr>
        <w:t xml:space="preserve">If customers </w:t>
      </w:r>
      <w:r>
        <w:rPr>
          <w:rStyle w:val="AERbody"/>
        </w:rPr>
        <w:t>switch to a competitive advanced metering service provider</w:t>
      </w:r>
      <w:r w:rsidR="000E4384">
        <w:rPr>
          <w:rStyle w:val="AERbody"/>
        </w:rPr>
        <w:t>,</w:t>
      </w:r>
      <w:r>
        <w:rPr>
          <w:rStyle w:val="AERbody"/>
        </w:rPr>
        <w:t xml:space="preserve"> they will pay the capital component only. It is also shown that new metering customers from 1 December 2017 </w:t>
      </w:r>
      <w:r w:rsidRPr="008B51AA">
        <w:rPr>
          <w:rStyle w:val="AERtextitalic"/>
        </w:rPr>
        <w:t>onwards</w:t>
      </w:r>
      <w:r>
        <w:rPr>
          <w:rStyle w:val="AERbody"/>
        </w:rPr>
        <w:t xml:space="preserve"> will not pay a regulated annual metering charge</w:t>
      </w:r>
      <w:r w:rsidR="000E4384">
        <w:rPr>
          <w:rStyle w:val="AERbody"/>
        </w:rPr>
        <w:t xml:space="preserve"> as they will not be using a meter provided by TasNetworks</w:t>
      </w:r>
      <w:r>
        <w:rPr>
          <w:rStyle w:val="AERbody"/>
        </w:rPr>
        <w:t>. They will be required to obtain a meter from a competitive advanced metering service provider.</w:t>
      </w:r>
    </w:p>
    <w:p w:rsidR="009B3860" w:rsidRPr="004F72CC" w:rsidRDefault="009B3860" w:rsidP="009B3860">
      <w:pPr>
        <w:pStyle w:val="Caption"/>
      </w:pPr>
      <w:bookmarkStart w:id="115" w:name="_Ref457997256"/>
      <w:r>
        <w:t xml:space="preserve">Figure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t>.</w:t>
      </w:r>
      <w:r w:rsidR="00E639DB">
        <w:fldChar w:fldCharType="begin"/>
      </w:r>
      <w:r w:rsidR="00E639DB">
        <w:instrText xml:space="preserve"> SEQ Figure \* ARABIC \s 1 </w:instrText>
      </w:r>
      <w:r w:rsidR="00E639DB">
        <w:fldChar w:fldCharType="separate"/>
      </w:r>
      <w:r w:rsidR="000C061E">
        <w:rPr>
          <w:noProof/>
        </w:rPr>
        <w:t>3</w:t>
      </w:r>
      <w:r w:rsidR="00E639DB">
        <w:rPr>
          <w:noProof/>
        </w:rPr>
        <w:fldChar w:fldCharType="end"/>
      </w:r>
      <w:bookmarkEnd w:id="115"/>
      <w:r>
        <w:tab/>
        <w:t>Draft decision charging structure for type 6 metering</w:t>
      </w:r>
    </w:p>
    <w:p w:rsidR="009B3860" w:rsidRPr="00EC69CB" w:rsidRDefault="009B3860" w:rsidP="009B3860">
      <w:r w:rsidRPr="009B3860">
        <w:rPr>
          <w:noProof/>
          <w:lang w:eastAsia="en-AU"/>
        </w:rPr>
        <w:drawing>
          <wp:inline distT="0" distB="0" distL="0" distR="0" wp14:anchorId="5BB9D515" wp14:editId="03308017">
            <wp:extent cx="5382895" cy="4049397"/>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C8152.tmp"/>
                    <pic:cNvPicPr/>
                  </pic:nvPicPr>
                  <pic:blipFill>
                    <a:blip r:embed="rId56">
                      <a:extLst>
                        <a:ext uri="{28A0092B-C50C-407E-A947-70E740481C1C}">
                          <a14:useLocalDpi xmlns:a14="http://schemas.microsoft.com/office/drawing/2010/main" val="0"/>
                        </a:ext>
                      </a:extLst>
                    </a:blip>
                    <a:stretch>
                      <a:fillRect/>
                    </a:stretch>
                  </pic:blipFill>
                  <pic:spPr>
                    <a:xfrm>
                      <a:off x="0" y="0"/>
                      <a:ext cx="5382895" cy="4049397"/>
                    </a:xfrm>
                    <a:prstGeom prst="rect">
                      <a:avLst/>
                    </a:prstGeom>
                  </pic:spPr>
                </pic:pic>
              </a:graphicData>
            </a:graphic>
          </wp:inline>
        </w:drawing>
      </w:r>
    </w:p>
    <w:p w:rsidR="009B3860" w:rsidRDefault="009B3860" w:rsidP="009B3860">
      <w:pPr>
        <w:pStyle w:val="AERtablesource"/>
      </w:pPr>
      <w:r w:rsidRPr="008A6C0A">
        <w:t>Source:</w:t>
      </w:r>
      <w:r w:rsidRPr="008A6C0A">
        <w:tab/>
        <w:t>AER analysis</w:t>
      </w:r>
    </w:p>
    <w:p w:rsidR="009B3860" w:rsidRDefault="009B3860" w:rsidP="009B3860">
      <w:r>
        <w:t>In accordance with this charging structure, customers that take up a metering service with TasNetworks before 1 December 2017 will continue to pay the capital component if they switch to an advanced metering provider. This is consistent with the regulated revenue regime we administer. Under this regime, TasNetworks has paid for the capital cost of meters upfront at the time of installation. Those capital costs have then been rolled into a regulatory asset base and recovered over time through levying charges on customers. This pre-existing cost recovery process will not be disrupted as switching customers will still be required to continue paying the capital component of metering charges. We consider this outcome to be consistent with the Revenue and Pricing Principles in the NEL since it provides TasNetworks with a reasonable opportunity to recover the capital costs it has already incurred.</w:t>
      </w:r>
    </w:p>
    <w:p w:rsidR="009B3860" w:rsidRDefault="009B3860" w:rsidP="009B3860">
      <w:r>
        <w:rPr>
          <w:rStyle w:val="AERbody"/>
        </w:rPr>
        <w:t>The</w:t>
      </w:r>
      <w:r>
        <w:t xml:space="preserve"> payment of the non–capital component, a</w:t>
      </w:r>
      <w:r w:rsidRPr="008D432D">
        <w:t xml:space="preserve">s shown in </w:t>
      </w:r>
      <w:r>
        <w:rPr>
          <w:rStyle w:val="AERbody"/>
        </w:rPr>
        <w:fldChar w:fldCharType="begin"/>
      </w:r>
      <w:r>
        <w:instrText xml:space="preserve"> REF _Ref457997256 \h </w:instrText>
      </w:r>
      <w:r>
        <w:rPr>
          <w:rStyle w:val="AERbody"/>
        </w:rPr>
      </w:r>
      <w:r>
        <w:rPr>
          <w:rStyle w:val="AERbody"/>
        </w:rPr>
        <w:fldChar w:fldCharType="separate"/>
      </w:r>
      <w:r w:rsidR="000C061E">
        <w:t xml:space="preserve">Figure </w:t>
      </w:r>
      <w:r w:rsidR="000C061E">
        <w:rPr>
          <w:noProof/>
        </w:rPr>
        <w:t>16</w:t>
      </w:r>
      <w:r w:rsidR="000C061E">
        <w:t>.</w:t>
      </w:r>
      <w:r w:rsidR="000C061E">
        <w:rPr>
          <w:noProof/>
        </w:rPr>
        <w:t>3</w:t>
      </w:r>
      <w:r>
        <w:rPr>
          <w:rStyle w:val="AERbody"/>
        </w:rPr>
        <w:fldChar w:fldCharType="end"/>
      </w:r>
      <w:r>
        <w:rPr>
          <w:rStyle w:val="AERbody"/>
        </w:rPr>
        <w:t xml:space="preserve"> </w:t>
      </w:r>
      <w:r w:rsidRPr="008D432D">
        <w:rPr>
          <w:rStyle w:val="AERbody"/>
        </w:rPr>
        <w:t>above,</w:t>
      </w:r>
      <w:r>
        <w:t xml:space="preserve"> will discontinue when a customer switches to an advanced metering service. This is because the </w:t>
      </w:r>
      <w:r w:rsidRPr="00BE61AF">
        <w:t xml:space="preserve">non–capital component </w:t>
      </w:r>
      <w:r>
        <w:t>predominately</w:t>
      </w:r>
      <w:r w:rsidRPr="00BE61AF">
        <w:t xml:space="preserve"> recovers the cost of </w:t>
      </w:r>
      <w:r>
        <w:t xml:space="preserve">performing manual </w:t>
      </w:r>
      <w:r w:rsidRPr="00BE61AF">
        <w:t>meter readings</w:t>
      </w:r>
      <w:r>
        <w:t>. Such readings will not be performed for customers that switch to an advanced metering service–these will be remotely read</w:t>
      </w:r>
      <w:r w:rsidR="00D82D0C">
        <w:t xml:space="preserve"> and the service is being provided by a third party</w:t>
      </w:r>
      <w:r>
        <w:t xml:space="preserve">. The </w:t>
      </w:r>
      <w:r w:rsidRPr="00BE61AF">
        <w:t>discontinuation of non–capital component</w:t>
      </w:r>
      <w:r>
        <w:t xml:space="preserve"> means that TasNetworks' metering charges will be reflective of its actual costs. TasNetworks' proposed charging structure is consistent with this requirement.</w:t>
      </w:r>
    </w:p>
    <w:p w:rsidR="009B3860" w:rsidRDefault="009B3860" w:rsidP="009B3860">
      <w:r>
        <w:t>Vector made a submission in support of the charging structure TasNetworks proposed, and which we have accepted in this draft decision. Vector submitted that TasNetworks' proposed structure should be approved because it is consistent with previous regulatory decisions. Its submission stated that Vector 'broadly support[s] the cost recovery approach developed by the AER which avoids exit fees, while allowing distributors… to recover the residual capital cost of their regulated investment legacy meters'.</w:t>
      </w:r>
      <w:r>
        <w:rPr>
          <w:rStyle w:val="FootnoteReference"/>
        </w:rPr>
        <w:footnoteReference w:id="41"/>
      </w:r>
      <w:r>
        <w:t xml:space="preserve"> Our draft decision, as with previous regulatory determinations, provides for a charging structure which achieves this outcome.</w:t>
      </w:r>
    </w:p>
    <w:p w:rsidR="009B3860" w:rsidRDefault="009B3860" w:rsidP="009B3860">
      <w:pPr>
        <w:rPr>
          <w:rStyle w:val="Strong"/>
        </w:rPr>
      </w:pPr>
      <w:r>
        <w:rPr>
          <w:rStyle w:val="Strong"/>
        </w:rPr>
        <w:t>Upfront capital charges</w:t>
      </w:r>
    </w:p>
    <w:p w:rsidR="009B3860" w:rsidRDefault="009B3860" w:rsidP="009B3860">
      <w:r>
        <w:t>Our draft decision charging structure does not include upfront capital charges.</w:t>
      </w:r>
    </w:p>
    <w:p w:rsidR="009B3860" w:rsidRDefault="009B3860" w:rsidP="009B3860">
      <w:r>
        <w:t xml:space="preserve">In past regulatory determinations, we required the cost of electricity distributors providing new and upgraded meters to be recovered from customers via upfront payments. </w:t>
      </w:r>
      <w:r>
        <w:rPr>
          <w:rStyle w:val="AERbody"/>
        </w:rPr>
        <w:t>Our rationale was that</w:t>
      </w:r>
      <w:r>
        <w:t xml:space="preserve"> upfront charges would provide </w:t>
      </w:r>
      <w:r w:rsidRPr="006C15B5">
        <w:t>transparen</w:t>
      </w:r>
      <w:r>
        <w:t>t standalone prices which would help facilitate the transition to greater contestability in the provision of metering services.</w:t>
      </w:r>
    </w:p>
    <w:p w:rsidR="009B3860" w:rsidRPr="00D038E2" w:rsidRDefault="009B3860" w:rsidP="009B3860">
      <w:r>
        <w:t>We considered requiring TasNetworks to charge upfront capital charges. However given that TasNetworks will only be offering new or upgraded meters for five months of the 2017–19 regulatory control period, until contestability in metering commences on</w:t>
      </w:r>
      <w:r w:rsidR="00BE7E0D">
        <w:t xml:space="preserve"> </w:t>
      </w:r>
      <w:r>
        <w:t xml:space="preserve">1 December 2017, we consider any benefits from requiring this charging structure would be limited. The costs to TasNetworks with respect to </w:t>
      </w:r>
      <w:r w:rsidRPr="008E36B5">
        <w:t>updating its billing systems and dealing with customers about the change</w:t>
      </w:r>
      <w:r>
        <w:t xml:space="preserve"> would also be significant when compared to the limited benefits</w:t>
      </w:r>
      <w:r w:rsidRPr="008E36B5">
        <w:t>.</w:t>
      </w:r>
      <w:r>
        <w:rPr>
          <w:rStyle w:val="FootnoteReference"/>
        </w:rPr>
        <w:footnoteReference w:id="42"/>
      </w:r>
    </w:p>
    <w:p w:rsidR="009B3860" w:rsidRDefault="009B3860" w:rsidP="009B3860">
      <w:pPr>
        <w:pStyle w:val="Heading4"/>
      </w:pPr>
      <w:bookmarkStart w:id="116" w:name="_Ref454541842"/>
      <w:r>
        <w:t>Annual metering services charges</w:t>
      </w:r>
      <w:bookmarkEnd w:id="116"/>
    </w:p>
    <w:p w:rsidR="009B3860" w:rsidRPr="00A22115" w:rsidRDefault="009B3860" w:rsidP="009B3860">
      <w:r w:rsidRPr="00A22115">
        <w:t xml:space="preserve">We accept </w:t>
      </w:r>
      <w:r>
        <w:t>TasNetworks</w:t>
      </w:r>
      <w:r w:rsidRPr="00A22115">
        <w:t xml:space="preserve"> building block approach as the basis for establishing annual metering charges </w:t>
      </w:r>
      <w:r>
        <w:t xml:space="preserve">and </w:t>
      </w:r>
      <w:r w:rsidRPr="00A22115">
        <w:t xml:space="preserve">the proposed values: </w:t>
      </w:r>
    </w:p>
    <w:p w:rsidR="009B3860" w:rsidRPr="00A22115" w:rsidRDefault="009B3860" w:rsidP="009B3860">
      <w:r w:rsidRPr="00A22115">
        <w:t>•</w:t>
      </w:r>
      <w:r w:rsidRPr="00A22115">
        <w:tab/>
      </w:r>
      <w:r w:rsidRPr="003D5E44">
        <w:rPr>
          <w:rStyle w:val="Strong"/>
        </w:rPr>
        <w:t>Forecast capex</w:t>
      </w:r>
    </w:p>
    <w:p w:rsidR="009B3860" w:rsidRPr="00A22115" w:rsidRDefault="009B3860" w:rsidP="009B3860">
      <w:pPr>
        <w:pStyle w:val="ListContinue"/>
      </w:pPr>
      <w:r w:rsidRPr="00A22115">
        <w:t xml:space="preserve">Our </w:t>
      </w:r>
      <w:r>
        <w:t>draft</w:t>
      </w:r>
      <w:r w:rsidRPr="00A22115">
        <w:t xml:space="preserve"> decision </w:t>
      </w:r>
      <w:r>
        <w:t xml:space="preserve">is to </w:t>
      </w:r>
      <w:r w:rsidR="002E4BA6">
        <w:t>accept TasNetworks proposed $1.6</w:t>
      </w:r>
      <w:r w:rsidRPr="00A22115">
        <w:t xml:space="preserve"> million in </w:t>
      </w:r>
      <w:r w:rsidR="00BE7E0D">
        <w:t>capex ($2016–17) for type</w:t>
      </w:r>
      <w:r>
        <w:t xml:space="preserve"> 6 annual metering charges. </w:t>
      </w:r>
    </w:p>
    <w:p w:rsidR="009B3860" w:rsidRDefault="009B3860" w:rsidP="009B3860">
      <w:pPr>
        <w:rPr>
          <w:rStyle w:val="Strong"/>
        </w:rPr>
      </w:pPr>
      <w:r w:rsidRPr="00A22115">
        <w:t>•</w:t>
      </w:r>
      <w:r w:rsidRPr="00A22115">
        <w:tab/>
      </w:r>
      <w:r w:rsidRPr="003D5E44">
        <w:rPr>
          <w:rStyle w:val="Strong"/>
        </w:rPr>
        <w:t>Forecast opex</w:t>
      </w:r>
    </w:p>
    <w:p w:rsidR="009B3860" w:rsidRDefault="009B3860" w:rsidP="009B3860">
      <w:pPr>
        <w:pStyle w:val="ListContinue"/>
      </w:pPr>
      <w:r>
        <w:t>We accept in this draft decision TasNetworks proposed $10.3</w:t>
      </w:r>
      <w:r w:rsidRPr="00A22115">
        <w:t xml:space="preserve"> million in </w:t>
      </w:r>
      <w:r w:rsidR="00BE7E0D">
        <w:t>opex ($2016–17) for type</w:t>
      </w:r>
      <w:r>
        <w:t xml:space="preserve"> 6 annual metering charges. </w:t>
      </w:r>
    </w:p>
    <w:p w:rsidR="009B3860" w:rsidRDefault="009B3860" w:rsidP="009B3860">
      <w:pPr>
        <w:rPr>
          <w:rStyle w:val="Strong"/>
        </w:rPr>
      </w:pPr>
      <w:r w:rsidRPr="00A22115">
        <w:t>•</w:t>
      </w:r>
      <w:r w:rsidRPr="00A22115">
        <w:tab/>
      </w:r>
      <w:r>
        <w:rPr>
          <w:rStyle w:val="Strong"/>
        </w:rPr>
        <w:t>Opening metering asset base</w:t>
      </w:r>
    </w:p>
    <w:p w:rsidR="009B3860" w:rsidRPr="00A22115" w:rsidRDefault="009B3860" w:rsidP="009B3860">
      <w:pPr>
        <w:pStyle w:val="ListContinue"/>
      </w:pPr>
      <w:r w:rsidRPr="00A22115">
        <w:t xml:space="preserve">Our </w:t>
      </w:r>
      <w:r>
        <w:t>draft</w:t>
      </w:r>
      <w:r w:rsidRPr="00A22115">
        <w:t xml:space="preserve"> decision is to accept the proposed opening metering asset ba</w:t>
      </w:r>
      <w:r>
        <w:t>se (MAB) value as at 1 July 2017</w:t>
      </w:r>
      <w:r w:rsidRPr="00A22115">
        <w:t xml:space="preserve"> of $</w:t>
      </w:r>
      <w:r w:rsidR="002E4BA6">
        <w:t>46.1</w:t>
      </w:r>
      <w:r w:rsidRPr="00A22115">
        <w:t xml:space="preserve"> million ($nominal).  </w:t>
      </w:r>
    </w:p>
    <w:p w:rsidR="009B3860" w:rsidRPr="00A22115" w:rsidRDefault="009B3860" w:rsidP="009B3860">
      <w:r w:rsidRPr="00A22115">
        <w:t>•</w:t>
      </w:r>
      <w:r w:rsidRPr="00A22115">
        <w:tab/>
      </w:r>
      <w:r w:rsidRPr="003D5E44">
        <w:rPr>
          <w:rStyle w:val="Strong"/>
        </w:rPr>
        <w:t>Depreciation</w:t>
      </w:r>
    </w:p>
    <w:p w:rsidR="009B3860" w:rsidRPr="00A22115" w:rsidRDefault="009B3860" w:rsidP="009B3860">
      <w:pPr>
        <w:pStyle w:val="ListContinue"/>
      </w:pPr>
      <w:r w:rsidRPr="00A22115">
        <w:t xml:space="preserve">With respect to asset lives, we accept </w:t>
      </w:r>
      <w:r>
        <w:t>TasNetworks</w:t>
      </w:r>
      <w:r w:rsidR="007E1B03">
        <w:t>'</w:t>
      </w:r>
      <w:r w:rsidRPr="00A22115">
        <w:t xml:space="preserve"> proposal for</w:t>
      </w:r>
      <w:r>
        <w:t xml:space="preserve"> 'digital </w:t>
      </w:r>
      <w:r w:rsidRPr="00A22115">
        <w:t>meters</w:t>
      </w:r>
      <w:r>
        <w:t>'</w:t>
      </w:r>
      <w:r w:rsidRPr="00A22115">
        <w:t xml:space="preserve"> </w:t>
      </w:r>
      <w:r>
        <w:t>and 'mechanical meters' to be depreciated over 15 and 30 years, respectively</w:t>
      </w:r>
      <w:r w:rsidRPr="00A22115">
        <w:t xml:space="preserve">. We consider </w:t>
      </w:r>
      <w:r>
        <w:t>these asset lives to be</w:t>
      </w:r>
      <w:r w:rsidRPr="00A22115">
        <w:t xml:space="preserve"> efficient because it coincides with the average technical life of </w:t>
      </w:r>
      <w:r>
        <w:t>TasNetworks</w:t>
      </w:r>
      <w:r w:rsidR="007E1B03">
        <w:t>'</w:t>
      </w:r>
      <w:r w:rsidRPr="00A22115">
        <w:t xml:space="preserve"> meters. The result is that the cost recovery of the assets will match the length of their expected usefulness to customers.   </w:t>
      </w:r>
    </w:p>
    <w:p w:rsidR="009B3860" w:rsidRDefault="009B3860" w:rsidP="009B3860">
      <w:pPr>
        <w:pStyle w:val="Heading4"/>
      </w:pPr>
      <w:bookmarkStart w:id="117" w:name="_Ref454528724"/>
      <w:r>
        <w:t>Form of control mechanism</w:t>
      </w:r>
      <w:bookmarkEnd w:id="117"/>
    </w:p>
    <w:p w:rsidR="009B3860" w:rsidRDefault="009B3860" w:rsidP="009B3860">
      <w:r w:rsidRPr="00CB408C">
        <w:t xml:space="preserve">We maintain our </w:t>
      </w:r>
      <w:r>
        <w:t>F&amp;A position</w:t>
      </w:r>
      <w:r w:rsidRPr="00CB408C">
        <w:t xml:space="preserve"> to apply price caps for individual type 6 metering services as the form of control. This means a schedule of prices is set for the first year. For the following year's the previous year’s prices are adjusted by CPI and an X factor. The control mechanism formula is set out below:</w:t>
      </w:r>
    </w:p>
    <w:p w:rsidR="009B3860" w:rsidRPr="00BD4624" w:rsidRDefault="00384389" w:rsidP="009B3860">
      <w:r w:rsidRPr="00384389">
        <w:rPr>
          <w:position w:val="-12"/>
        </w:rPr>
        <w:object w:dxaOrig="780" w:dyaOrig="380">
          <v:shape id="_x0000_i1044" type="#_x0000_t75" style="width:38.2pt;height:19.55pt" o:ole="">
            <v:imagedata r:id="rId40" o:title=""/>
          </v:shape>
          <o:OLEObject Type="Embed" ProgID="Equation.3" ShapeID="_x0000_i1044" DrawAspect="Content" ObjectID="_1536569379" r:id="rId57"/>
        </w:object>
      </w:r>
      <w:r w:rsidR="009B3860">
        <w:tab/>
      </w:r>
      <w:r w:rsidR="009B3860">
        <w:tab/>
      </w:r>
      <w:r w:rsidR="009B3860">
        <w:tab/>
      </w:r>
      <w:r w:rsidR="009B3860">
        <w:tab/>
      </w:r>
      <w:r w:rsidR="009B3860">
        <w:tab/>
      </w:r>
      <w:r w:rsidR="009B3860">
        <w:tab/>
      </w:r>
      <w:r w:rsidR="009B3860">
        <w:tab/>
      </w:r>
      <w:r w:rsidR="009B3860">
        <w:tab/>
        <w:t>i=1,...,n and t=1,…2</w:t>
      </w:r>
    </w:p>
    <w:p w:rsidR="009B3860" w:rsidRPr="00BD4624" w:rsidRDefault="00644359" w:rsidP="009B3860">
      <w:r w:rsidRPr="00384389">
        <w:rPr>
          <w:position w:val="-12"/>
        </w:rPr>
        <w:object w:dxaOrig="3220" w:dyaOrig="380">
          <v:shape id="_x0000_i1045" type="#_x0000_t75" style="width:160pt;height:19.55pt" o:ole="">
            <v:imagedata r:id="rId58" o:title=""/>
          </v:shape>
          <o:OLEObject Type="Embed" ProgID="Equation.3" ShapeID="_x0000_i1045" DrawAspect="Content" ObjectID="_1536569380" r:id="rId59"/>
        </w:object>
      </w:r>
    </w:p>
    <w:p w:rsidR="009B3860" w:rsidRPr="00BD4624" w:rsidRDefault="009B3860" w:rsidP="009B3860">
      <w:r w:rsidRPr="000700B4">
        <w:t>Where:</w:t>
      </w:r>
    </w:p>
    <w:p w:rsidR="009B3860" w:rsidRPr="00BD4624" w:rsidRDefault="00384389" w:rsidP="009B3860">
      <w:r w:rsidRPr="00384389">
        <w:rPr>
          <w:position w:val="-12"/>
        </w:rPr>
        <w:object w:dxaOrig="300" w:dyaOrig="380">
          <v:shape id="_x0000_i1046" type="#_x0000_t75" style="width:14.2pt;height:19.55pt" o:ole="">
            <v:imagedata r:id="rId44" o:title=""/>
          </v:shape>
          <o:OLEObject Type="Embed" ProgID="Equation.3" ShapeID="_x0000_i1046" DrawAspect="Content" ObjectID="_1536569381" r:id="rId60"/>
        </w:object>
      </w:r>
      <w:r>
        <w:tab/>
      </w:r>
      <w:r>
        <w:tab/>
      </w:r>
      <w:r w:rsidR="009B3860" w:rsidRPr="00BD4624">
        <w:t>is the cap on the price of service i in year t</w:t>
      </w:r>
    </w:p>
    <w:p w:rsidR="009B3860" w:rsidRDefault="00384389" w:rsidP="009B3860">
      <w:r w:rsidRPr="00384389">
        <w:rPr>
          <w:position w:val="-12"/>
        </w:rPr>
        <w:object w:dxaOrig="300" w:dyaOrig="380">
          <v:shape id="_x0000_i1047" type="#_x0000_t75" style="width:14.2pt;height:19.55pt" o:ole="">
            <v:imagedata r:id="rId61" o:title=""/>
          </v:shape>
          <o:OLEObject Type="Embed" ProgID="Equation.3" ShapeID="_x0000_i1047" DrawAspect="Content" ObjectID="_1536569382" r:id="rId62"/>
        </w:object>
      </w:r>
      <w:r>
        <w:tab/>
      </w:r>
      <w:r>
        <w:tab/>
      </w:r>
      <w:r w:rsidR="009B3860" w:rsidRPr="00BD4624">
        <w:t>is the price of service i in year t. The initial value is to be decided in the determination.</w:t>
      </w:r>
    </w:p>
    <w:p w:rsidR="00384389" w:rsidRDefault="00384389" w:rsidP="00384389">
      <w:r w:rsidRPr="00384389">
        <w:rPr>
          <w:position w:val="-12"/>
        </w:rPr>
        <w:object w:dxaOrig="420" w:dyaOrig="380">
          <v:shape id="_x0000_i1048" type="#_x0000_t75" style="width:18.65pt;height:19.55pt" o:ole="">
            <v:imagedata r:id="rId63" o:title=""/>
          </v:shape>
          <o:OLEObject Type="Embed" ProgID="Equation.3" ShapeID="_x0000_i1048" DrawAspect="Content" ObjectID="_1536569383" r:id="rId64"/>
        </w:object>
      </w:r>
      <w:r>
        <w:tab/>
      </w:r>
      <w:r w:rsidRPr="00BD4624">
        <w:t>is the cap on the price of service i in year t</w:t>
      </w:r>
    </w:p>
    <w:p w:rsidR="00384389" w:rsidRPr="00BD4624" w:rsidRDefault="00384389" w:rsidP="00384389">
      <w:r w:rsidRPr="00384389">
        <w:rPr>
          <w:position w:val="-6"/>
        </w:rPr>
        <w:object w:dxaOrig="160" w:dyaOrig="240">
          <v:shape id="_x0000_i1049" type="#_x0000_t75" style="width:7.1pt;height:12.45pt" o:ole="">
            <v:imagedata r:id="rId65" o:title=""/>
          </v:shape>
          <o:OLEObject Type="Embed" ProgID="Equation.3" ShapeID="_x0000_i1049" DrawAspect="Content" ObjectID="_1536569384" r:id="rId66"/>
        </w:object>
      </w:r>
      <w:r>
        <w:tab/>
      </w:r>
      <w:r>
        <w:tab/>
        <w:t>is the regulatory year</w:t>
      </w:r>
    </w:p>
    <w:p w:rsidR="00384389" w:rsidRPr="001C4D2E" w:rsidRDefault="00384389" w:rsidP="00384389">
      <w:pPr>
        <w:numPr>
          <w:ilvl w:val="0"/>
          <w:numId w:val="24"/>
        </w:numPr>
      </w:pPr>
      <w:r w:rsidRPr="00384389">
        <w:rPr>
          <w:position w:val="-12"/>
        </w:rPr>
        <w:object w:dxaOrig="720" w:dyaOrig="380">
          <v:shape id="_x0000_i1050" type="#_x0000_t75" style="width:37.35pt;height:19.55pt" o:ole="">
            <v:imagedata r:id="rId67" o:title=""/>
          </v:shape>
          <o:OLEObject Type="Embed" ProgID="Equation.3" ShapeID="_x0000_i1050" DrawAspect="Content" ObjectID="_1536569385" r:id="rId68"/>
        </w:object>
      </w:r>
      <w:r w:rsidRPr="00384389">
        <w:t xml:space="preserve"> </w:t>
      </w:r>
      <w:r w:rsidRPr="001C4D2E">
        <w:t>is the annual percentage change in the ABS consumer price index (CPI) All Groups, Weighted Average of Eight Capital Cities</w:t>
      </w:r>
      <w:r>
        <w:rPr>
          <w:rStyle w:val="FootnoteReference"/>
        </w:rPr>
        <w:footnoteReference w:id="43"/>
      </w:r>
      <w:r w:rsidRPr="001C4D2E">
        <w:t xml:space="preserve"> from the </w:t>
      </w:r>
      <w:r>
        <w:t>December</w:t>
      </w:r>
      <w:r w:rsidRPr="001C4D2E">
        <w:t xml:space="preserve"> quarter in year</w:t>
      </w:r>
      <w:r>
        <w:t> </w:t>
      </w:r>
      <w:r w:rsidRPr="001C4D2E">
        <w:t xml:space="preserve">t–2 to the </w:t>
      </w:r>
      <w:r>
        <w:t>December</w:t>
      </w:r>
      <w:r w:rsidRPr="001C4D2E">
        <w:t xml:space="preserve"> quarter in year t–1, calcul</w:t>
      </w:r>
      <w:r>
        <w:t>ated using the following method:</w:t>
      </w:r>
    </w:p>
    <w:p w:rsidR="00384389" w:rsidRPr="001C4D2E" w:rsidRDefault="00384389" w:rsidP="00384389">
      <w:pPr>
        <w:pStyle w:val="ListContinue"/>
      </w:pPr>
      <w:r w:rsidRPr="001C4D2E">
        <w:t xml:space="preserve">The ABS CPI All Groups, Weighted Average of Eight Capital Cities for the </w:t>
      </w:r>
      <w:r>
        <w:t>December</w:t>
      </w:r>
      <w:r w:rsidRPr="001C4D2E">
        <w:t xml:space="preserve"> quarter in regulatory year t–1</w:t>
      </w:r>
    </w:p>
    <w:p w:rsidR="00384389" w:rsidRPr="001C4D2E" w:rsidRDefault="00384389" w:rsidP="00384389">
      <w:pPr>
        <w:pStyle w:val="ListContinue"/>
      </w:pPr>
      <w:r w:rsidRPr="001C4D2E">
        <w:t>divided by</w:t>
      </w:r>
    </w:p>
    <w:p w:rsidR="00384389" w:rsidRPr="001C4D2E" w:rsidRDefault="00384389" w:rsidP="00384389">
      <w:pPr>
        <w:pStyle w:val="ListContinue"/>
      </w:pPr>
      <w:r w:rsidRPr="001C4D2E">
        <w:t xml:space="preserve">The ABS CPI All Groups, Weighted Average of Eight Capital Cities for the </w:t>
      </w:r>
      <w:r>
        <w:t>December</w:t>
      </w:r>
      <w:r w:rsidRPr="001C4D2E">
        <w:t xml:space="preserve"> quarter in regulatory year t–2</w:t>
      </w:r>
    </w:p>
    <w:p w:rsidR="00384389" w:rsidRPr="001C4D2E" w:rsidRDefault="00384389" w:rsidP="00384389">
      <w:pPr>
        <w:pStyle w:val="ListContinue"/>
      </w:pPr>
      <w:r w:rsidRPr="001C4D2E">
        <w:t>minus one.</w:t>
      </w:r>
    </w:p>
    <w:p w:rsidR="009B3860" w:rsidRPr="00BD4624" w:rsidRDefault="00384389" w:rsidP="009B3860">
      <w:pPr>
        <w:numPr>
          <w:ilvl w:val="0"/>
          <w:numId w:val="24"/>
        </w:numPr>
      </w:pPr>
      <w:r w:rsidRPr="001C4D2E">
        <w:t>For example, for</w:t>
      </w:r>
      <w:r>
        <w:t xml:space="preserve"> </w:t>
      </w:r>
      <w:r w:rsidRPr="001C4D2E">
        <w:t>2018</w:t>
      </w:r>
      <w:r>
        <w:t>–19,</w:t>
      </w:r>
      <w:r w:rsidRPr="001C4D2E">
        <w:t xml:space="preserve"> year t–2 is the </w:t>
      </w:r>
      <w:r>
        <w:t>December</w:t>
      </w:r>
      <w:r w:rsidRPr="001C4D2E">
        <w:t xml:space="preserve"> quarter 2016 and</w:t>
      </w:r>
      <w:r>
        <w:t xml:space="preserve"> year</w:t>
      </w:r>
      <w:r w:rsidRPr="001C4D2E">
        <w:t xml:space="preserve"> t–1 is the </w:t>
      </w:r>
      <w:r>
        <w:t>December</w:t>
      </w:r>
      <w:r w:rsidRPr="001C4D2E">
        <w:t xml:space="preserve"> quarter 2017.</w:t>
      </w:r>
    </w:p>
    <w:p w:rsidR="009B3860" w:rsidRPr="00BD4624" w:rsidRDefault="00384389" w:rsidP="009B3860">
      <w:r w:rsidRPr="00384389">
        <w:rPr>
          <w:position w:val="-12"/>
        </w:rPr>
        <w:object w:dxaOrig="340" w:dyaOrig="380">
          <v:shape id="_x0000_i1051" type="#_x0000_t75" style="width:19.55pt;height:19.55pt" o:ole="">
            <v:imagedata r:id="rId69" o:title=""/>
          </v:shape>
          <o:OLEObject Type="Embed" ProgID="Equation.3" ShapeID="_x0000_i1051" DrawAspect="Content" ObjectID="_1536569386" r:id="rId70"/>
        </w:object>
      </w:r>
      <w:r>
        <w:tab/>
      </w:r>
      <w:r w:rsidR="009B3860" w:rsidRPr="00BD4624">
        <w:t xml:space="preserve">is the </w:t>
      </w:r>
      <w:r w:rsidR="009B3860">
        <w:t xml:space="preserve">values set out in </w:t>
      </w:r>
      <w:r w:rsidR="00337D19">
        <w:fldChar w:fldCharType="begin"/>
      </w:r>
      <w:r w:rsidR="00337D19">
        <w:instrText xml:space="preserve"> REF  _Ref457997338 \* Lower \h </w:instrText>
      </w:r>
      <w:r w:rsidR="00337D19">
        <w:fldChar w:fldCharType="separate"/>
      </w:r>
      <w:r w:rsidR="000C061E">
        <w:t xml:space="preserve">table </w:t>
      </w:r>
      <w:r w:rsidR="000C061E">
        <w:rPr>
          <w:noProof/>
        </w:rPr>
        <w:t>16</w:t>
      </w:r>
      <w:r w:rsidR="000C061E">
        <w:t>.</w:t>
      </w:r>
      <w:r w:rsidR="000C061E">
        <w:rPr>
          <w:noProof/>
        </w:rPr>
        <w:t>4</w:t>
      </w:r>
      <w:r w:rsidR="00337D19">
        <w:fldChar w:fldCharType="end"/>
      </w:r>
      <w:r w:rsidR="009B3860">
        <w:t>.</w:t>
      </w:r>
    </w:p>
    <w:p w:rsidR="009B3860" w:rsidRDefault="009B3860" w:rsidP="009B3860">
      <w:pPr>
        <w:pStyle w:val="Caption"/>
      </w:pPr>
      <w:bookmarkStart w:id="118" w:name="_Ref457997338"/>
      <w:bookmarkStart w:id="119" w:name="_Ref457997335"/>
      <w:r>
        <w:t xml:space="preserve">Table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rsidR="0031261B">
        <w:t>.</w:t>
      </w:r>
      <w:r w:rsidR="00E639DB">
        <w:fldChar w:fldCharType="begin"/>
      </w:r>
      <w:r w:rsidR="00E639DB">
        <w:instrText xml:space="preserve"> SEQ Table \* ARABIC \s 1 </w:instrText>
      </w:r>
      <w:r w:rsidR="00E639DB">
        <w:fldChar w:fldCharType="separate"/>
      </w:r>
      <w:r w:rsidR="000C061E">
        <w:rPr>
          <w:noProof/>
        </w:rPr>
        <w:t>4</w:t>
      </w:r>
      <w:r w:rsidR="00E639DB">
        <w:rPr>
          <w:noProof/>
        </w:rPr>
        <w:fldChar w:fldCharType="end"/>
      </w:r>
      <w:bookmarkEnd w:id="118"/>
      <w:r>
        <w:tab/>
        <w:t>X factor for annual metering charges</w:t>
      </w:r>
      <w:bookmarkEnd w:id="119"/>
    </w:p>
    <w:tbl>
      <w:tblPr>
        <w:tblStyle w:val="AERtable-numbers"/>
        <w:tblW w:w="0" w:type="auto"/>
        <w:tblLook w:val="04A0" w:firstRow="1" w:lastRow="0" w:firstColumn="1" w:lastColumn="0" w:noHBand="0" w:noVBand="1"/>
      </w:tblPr>
      <w:tblGrid>
        <w:gridCol w:w="4346"/>
        <w:gridCol w:w="4347"/>
      </w:tblGrid>
      <w:tr w:rsidR="009B3860" w:rsidTr="009B3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9B3860" w:rsidRDefault="009B3860" w:rsidP="009B3860"/>
        </w:tc>
        <w:tc>
          <w:tcPr>
            <w:tcW w:w="4347" w:type="dxa"/>
          </w:tcPr>
          <w:p w:rsidR="009B3860" w:rsidRPr="009B3860" w:rsidRDefault="009B3860" w:rsidP="009B3860">
            <w:pPr>
              <w:cnfStyle w:val="100000000000" w:firstRow="1" w:lastRow="0" w:firstColumn="0" w:lastColumn="0" w:oddVBand="0" w:evenVBand="0" w:oddHBand="0" w:evenHBand="0" w:firstRowFirstColumn="0" w:firstRowLastColumn="0" w:lastRowFirstColumn="0" w:lastRowLastColumn="0"/>
            </w:pPr>
            <w:r>
              <w:t>2018–19</w:t>
            </w:r>
          </w:p>
        </w:tc>
      </w:tr>
      <w:tr w:rsidR="009B3860" w:rsidTr="009B3860">
        <w:tc>
          <w:tcPr>
            <w:cnfStyle w:val="001000000000" w:firstRow="0" w:lastRow="0" w:firstColumn="1" w:lastColumn="0" w:oddVBand="0" w:evenVBand="0" w:oddHBand="0" w:evenHBand="0" w:firstRowFirstColumn="0" w:firstRowLastColumn="0" w:lastRowFirstColumn="0" w:lastRowLastColumn="0"/>
            <w:tcW w:w="4346" w:type="dxa"/>
          </w:tcPr>
          <w:p w:rsidR="009B3860" w:rsidRPr="009B3860" w:rsidRDefault="009B3860" w:rsidP="009B3860">
            <w:r>
              <w:t>X factor (non–capital component)</w:t>
            </w:r>
          </w:p>
        </w:tc>
        <w:tc>
          <w:tcPr>
            <w:tcW w:w="4347" w:type="dxa"/>
          </w:tcPr>
          <w:p w:rsidR="009B3860" w:rsidRPr="009B3860" w:rsidRDefault="002E4BA6" w:rsidP="009B3860">
            <w:pPr>
              <w:cnfStyle w:val="000000000000" w:firstRow="0" w:lastRow="0" w:firstColumn="0" w:lastColumn="0" w:oddVBand="0" w:evenVBand="0" w:oddHBand="0" w:evenHBand="0" w:firstRowFirstColumn="0" w:firstRowLastColumn="0" w:lastRowFirstColumn="0" w:lastRowLastColumn="0"/>
            </w:pPr>
            <w:r>
              <w:t>0.0</w:t>
            </w:r>
          </w:p>
        </w:tc>
      </w:tr>
      <w:tr w:rsidR="009B3860" w:rsidTr="009B3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9B3860" w:rsidRPr="009B3860" w:rsidRDefault="009B3860" w:rsidP="009B3860">
            <w:r>
              <w:t>X factor (capital component)</w:t>
            </w:r>
          </w:p>
        </w:tc>
        <w:tc>
          <w:tcPr>
            <w:tcW w:w="4347" w:type="dxa"/>
          </w:tcPr>
          <w:p w:rsidR="009B3860" w:rsidRPr="009B3860" w:rsidRDefault="002E4BA6" w:rsidP="009B3860">
            <w:pPr>
              <w:cnfStyle w:val="000000010000" w:firstRow="0" w:lastRow="0" w:firstColumn="0" w:lastColumn="0" w:oddVBand="0" w:evenVBand="0" w:oddHBand="0" w:evenHBand="1" w:firstRowFirstColumn="0" w:firstRowLastColumn="0" w:lastRowFirstColumn="0" w:lastRowLastColumn="0"/>
            </w:pPr>
            <w:r>
              <w:t>0.0</w:t>
            </w:r>
          </w:p>
        </w:tc>
      </w:tr>
    </w:tbl>
    <w:p w:rsidR="009B3860" w:rsidRPr="00213CD9" w:rsidRDefault="009B3860" w:rsidP="009B3860">
      <w:pPr>
        <w:pStyle w:val="AERtablesource"/>
      </w:pPr>
      <w:r>
        <w:t xml:space="preserve">Source: </w:t>
      </w:r>
      <w:r>
        <w:tab/>
        <w:t>AER analysis.</w:t>
      </w:r>
    </w:p>
    <w:p w:rsidR="009B3860" w:rsidRDefault="009B3860" w:rsidP="009B3860">
      <w:pPr>
        <w:pStyle w:val="Heading3"/>
      </w:pPr>
      <w:bookmarkStart w:id="120" w:name="_Toc462755675"/>
      <w:r>
        <w:t>TasNetworks' proposal</w:t>
      </w:r>
      <w:bookmarkEnd w:id="120"/>
    </w:p>
    <w:p w:rsidR="009B3860" w:rsidRPr="00E35E7D" w:rsidRDefault="009B3860" w:rsidP="009B3860">
      <w:pPr>
        <w:pStyle w:val="Heading4"/>
      </w:pPr>
      <w:bookmarkStart w:id="121" w:name="_Ref456351063"/>
      <w:r>
        <w:t>Structure of metering charges</w:t>
      </w:r>
      <w:bookmarkEnd w:id="121"/>
    </w:p>
    <w:p w:rsidR="009B3860" w:rsidRDefault="009B3860" w:rsidP="009B3860">
      <w:r>
        <w:t xml:space="preserve">TasNetworks proposed a structure of metering charges for type 6 metering services that are consistent with our past determinations. </w:t>
      </w:r>
    </w:p>
    <w:p w:rsidR="009B3860" w:rsidRDefault="009B3860" w:rsidP="009B3860">
      <w:r>
        <w:t>In its revenue proposal, TasNetworks stated that the 'introduction of the competitive framework for the provision of advanced meters exposes the distribution businesses to the risk that the sunk capital costs of existing meters cannot be recovered'.</w:t>
      </w:r>
      <w:r>
        <w:rPr>
          <w:rStyle w:val="FootnoteReference"/>
        </w:rPr>
        <w:footnoteReference w:id="44"/>
      </w:r>
      <w:r>
        <w:t xml:space="preserve"> This is because if an 'existing meter is replaced with an advanced meter, the operational life of the present meter is unexpectedly cut short, resulting in the possibility of the meter's residual value being unrecovered'.</w:t>
      </w:r>
      <w:r>
        <w:rPr>
          <w:rStyle w:val="FootnoteReference"/>
        </w:rPr>
        <w:footnoteReference w:id="45"/>
      </w:r>
    </w:p>
    <w:p w:rsidR="009B3860" w:rsidRDefault="009B3860" w:rsidP="009B3860">
      <w:r>
        <w:t xml:space="preserve">To address the risk of 'stranded assets', TasNetworks proposed an annual metering charge for type 6 meters that is consistent with past regulatory decisions made by us in the NSW, ACT, Queensland and South Australian electricity distribution determinations. This charging structure involves splitting metering prices into 'capital' and 'non–capital' components, </w:t>
      </w:r>
      <w:r w:rsidR="007E1B03">
        <w:t xml:space="preserve">and </w:t>
      </w:r>
      <w:r>
        <w:t xml:space="preserve">is outlined in section </w:t>
      </w:r>
      <w:r>
        <w:fldChar w:fldCharType="begin"/>
      </w:r>
      <w:r>
        <w:instrText xml:space="preserve"> REF _Ref454973864 \r \h </w:instrText>
      </w:r>
      <w:r>
        <w:fldChar w:fldCharType="separate"/>
      </w:r>
      <w:r w:rsidR="000C061E">
        <w:t>16.3.1.1</w:t>
      </w:r>
      <w:r>
        <w:fldChar w:fldCharType="end"/>
      </w:r>
      <w:r>
        <w:t xml:space="preserve"> above.</w:t>
      </w:r>
    </w:p>
    <w:p w:rsidR="009B3860" w:rsidRDefault="009B3860" w:rsidP="009B3860">
      <w:pPr>
        <w:pStyle w:val="Heading4"/>
      </w:pPr>
      <w:r>
        <w:t>Annual metering charges</w:t>
      </w:r>
    </w:p>
    <w:p w:rsidR="009B3860" w:rsidRDefault="009B3860" w:rsidP="009B3860">
      <w:r w:rsidRPr="002B2506">
        <w:t xml:space="preserve">For each </w:t>
      </w:r>
      <w:r>
        <w:t>meter type</w:t>
      </w:r>
      <w:r w:rsidRPr="002B2506">
        <w:t xml:space="preserve">, </w:t>
      </w:r>
      <w:r>
        <w:t xml:space="preserve">TasNetworks </w:t>
      </w:r>
      <w:r w:rsidRPr="002B2506">
        <w:t xml:space="preserve">proposed a price cap for annual metering services. </w:t>
      </w:r>
      <w:r>
        <w:t>It</w:t>
      </w:r>
      <w:r w:rsidRPr="002B2506">
        <w:t xml:space="preserve"> built up the costs that constitute the annual metering service charges by applying a 'building block' approach. This involved forecasting the revenue requirement for each of </w:t>
      </w:r>
      <w:r>
        <w:t xml:space="preserve">the </w:t>
      </w:r>
      <w:r w:rsidRPr="002B2506">
        <w:t>metering cost categories and then translating this into price caps</w:t>
      </w:r>
      <w:r>
        <w:t xml:space="preserve">. </w:t>
      </w:r>
      <w:r>
        <w:fldChar w:fldCharType="begin"/>
      </w:r>
      <w:r>
        <w:instrText xml:space="preserve"> REF _Ref454973899 \h </w:instrText>
      </w:r>
      <w:r>
        <w:fldChar w:fldCharType="separate"/>
      </w:r>
      <w:r w:rsidR="000C061E">
        <w:t xml:space="preserve">Table </w:t>
      </w:r>
      <w:r w:rsidR="000C061E">
        <w:rPr>
          <w:noProof/>
        </w:rPr>
        <w:t>16</w:t>
      </w:r>
      <w:r w:rsidR="000C061E">
        <w:t>.</w:t>
      </w:r>
      <w:r w:rsidR="000C061E">
        <w:rPr>
          <w:noProof/>
        </w:rPr>
        <w:t>5</w:t>
      </w:r>
      <w:r>
        <w:fldChar w:fldCharType="end"/>
      </w:r>
      <w:r>
        <w:t xml:space="preserve"> shows the </w:t>
      </w:r>
      <w:r w:rsidRPr="002B2506">
        <w:t>proposed metering building block requirement</w:t>
      </w:r>
      <w:r>
        <w:t xml:space="preserve">. </w:t>
      </w:r>
      <w:r>
        <w:fldChar w:fldCharType="begin"/>
      </w:r>
      <w:r>
        <w:instrText xml:space="preserve"> REF _Ref454973909 \h </w:instrText>
      </w:r>
      <w:r>
        <w:fldChar w:fldCharType="separate"/>
      </w:r>
      <w:r w:rsidR="000C061E">
        <w:t xml:space="preserve">Table </w:t>
      </w:r>
      <w:r w:rsidR="000C061E">
        <w:rPr>
          <w:noProof/>
        </w:rPr>
        <w:t>16</w:t>
      </w:r>
      <w:r w:rsidR="000C061E">
        <w:t>.</w:t>
      </w:r>
      <w:r w:rsidR="000C061E">
        <w:rPr>
          <w:noProof/>
        </w:rPr>
        <w:t>6</w:t>
      </w:r>
      <w:r>
        <w:fldChar w:fldCharType="end"/>
      </w:r>
      <w:r>
        <w:t xml:space="preserve"> </w:t>
      </w:r>
      <w:r w:rsidRPr="002B2506">
        <w:t xml:space="preserve">shows the proposed annual charges for metering services that recover the total proposed revenue. </w:t>
      </w:r>
      <w:r w:rsidR="00D82D0C">
        <w:t>The assessment of these proposed charges is discussed in the next section.</w:t>
      </w:r>
    </w:p>
    <w:p w:rsidR="009B3860" w:rsidRDefault="009B3860" w:rsidP="009B3860">
      <w:pPr>
        <w:pStyle w:val="Caption"/>
      </w:pPr>
      <w:r>
        <w:t xml:space="preserve"> </w:t>
      </w:r>
      <w:bookmarkStart w:id="122" w:name="_Ref454973899"/>
      <w:r>
        <w:t xml:space="preserve">Table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rsidR="0031261B">
        <w:t>.</w:t>
      </w:r>
      <w:r w:rsidR="00E639DB">
        <w:fldChar w:fldCharType="begin"/>
      </w:r>
      <w:r w:rsidR="00E639DB">
        <w:instrText xml:space="preserve"> SEQ Table \* ARABIC \s 1 </w:instrText>
      </w:r>
      <w:r w:rsidR="00E639DB">
        <w:fldChar w:fldCharType="separate"/>
      </w:r>
      <w:r w:rsidR="000C061E">
        <w:rPr>
          <w:noProof/>
        </w:rPr>
        <w:t>5</w:t>
      </w:r>
      <w:r w:rsidR="00E639DB">
        <w:rPr>
          <w:noProof/>
        </w:rPr>
        <w:fldChar w:fldCharType="end"/>
      </w:r>
      <w:bookmarkEnd w:id="122"/>
      <w:r>
        <w:tab/>
        <w:t>TasNetworks</w:t>
      </w:r>
      <w:r w:rsidR="00295F96">
        <w:t>'</w:t>
      </w:r>
      <w:r>
        <w:t xml:space="preserve"> proposed metering building block requirement ($ nominal)</w:t>
      </w:r>
    </w:p>
    <w:tbl>
      <w:tblPr>
        <w:tblStyle w:val="AERtable-numbers"/>
        <w:tblW w:w="0" w:type="auto"/>
        <w:tblLook w:val="04A0" w:firstRow="1" w:lastRow="0" w:firstColumn="1" w:lastColumn="0" w:noHBand="0" w:noVBand="1"/>
      </w:tblPr>
      <w:tblGrid>
        <w:gridCol w:w="2897"/>
        <w:gridCol w:w="2898"/>
        <w:gridCol w:w="2898"/>
      </w:tblGrid>
      <w:tr w:rsidR="009B3860" w:rsidTr="009B3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9B3860" w:rsidRDefault="009B3860" w:rsidP="009B3860">
            <w:pPr>
              <w:pStyle w:val="Source"/>
            </w:pPr>
            <w:bookmarkStart w:id="123" w:name="_Ref399428660"/>
          </w:p>
        </w:tc>
        <w:tc>
          <w:tcPr>
            <w:tcW w:w="2898" w:type="dxa"/>
          </w:tcPr>
          <w:p w:rsidR="009B3860" w:rsidRPr="009B3860" w:rsidRDefault="009B3860" w:rsidP="009B3860">
            <w:pPr>
              <w:pStyle w:val="Source"/>
              <w:cnfStyle w:val="100000000000" w:firstRow="1" w:lastRow="0" w:firstColumn="0" w:lastColumn="0" w:oddVBand="0" w:evenVBand="0" w:oddHBand="0" w:evenHBand="0" w:firstRowFirstColumn="0" w:firstRowLastColumn="0" w:lastRowFirstColumn="0" w:lastRowLastColumn="0"/>
            </w:pPr>
            <w:r>
              <w:t>2017</w:t>
            </w:r>
          </w:p>
        </w:tc>
        <w:tc>
          <w:tcPr>
            <w:tcW w:w="2898" w:type="dxa"/>
          </w:tcPr>
          <w:p w:rsidR="009B3860" w:rsidRPr="009B3860" w:rsidRDefault="009B3860" w:rsidP="009B3860">
            <w:pPr>
              <w:pStyle w:val="Source"/>
              <w:cnfStyle w:val="100000000000" w:firstRow="1" w:lastRow="0" w:firstColumn="0" w:lastColumn="0" w:oddVBand="0" w:evenVBand="0" w:oddHBand="0" w:evenHBand="0" w:firstRowFirstColumn="0" w:firstRowLastColumn="0" w:lastRowFirstColumn="0" w:lastRowLastColumn="0"/>
            </w:pPr>
            <w:r>
              <w:t>2018</w:t>
            </w:r>
          </w:p>
        </w:tc>
      </w:tr>
      <w:tr w:rsidR="009B3860" w:rsidTr="009B3860">
        <w:tc>
          <w:tcPr>
            <w:cnfStyle w:val="001000000000" w:firstRow="0" w:lastRow="0" w:firstColumn="1" w:lastColumn="0" w:oddVBand="0" w:evenVBand="0" w:oddHBand="0" w:evenHBand="0" w:firstRowFirstColumn="0" w:firstRowLastColumn="0" w:lastRowFirstColumn="0" w:lastRowLastColumn="0"/>
            <w:tcW w:w="2897" w:type="dxa"/>
          </w:tcPr>
          <w:p w:rsidR="009B3860" w:rsidRPr="009B3860" w:rsidRDefault="009B3860" w:rsidP="009B3860">
            <w:pPr>
              <w:pStyle w:val="Source"/>
            </w:pPr>
            <w:r>
              <w:t>Return on capital</w:t>
            </w:r>
          </w:p>
        </w:tc>
        <w:tc>
          <w:tcPr>
            <w:tcW w:w="2898"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2.8</w:t>
            </w:r>
          </w:p>
        </w:tc>
        <w:tc>
          <w:tcPr>
            <w:tcW w:w="2898"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2.7</w:t>
            </w:r>
          </w:p>
        </w:tc>
      </w:tr>
      <w:tr w:rsidR="009B3860" w:rsidTr="009B3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9B3860" w:rsidRPr="009B3860" w:rsidRDefault="009B3860" w:rsidP="009B3860">
            <w:pPr>
              <w:pStyle w:val="Source"/>
            </w:pPr>
            <w:r>
              <w:t>Return of capital</w:t>
            </w:r>
          </w:p>
        </w:tc>
        <w:tc>
          <w:tcPr>
            <w:tcW w:w="2898"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3.5</w:t>
            </w:r>
          </w:p>
        </w:tc>
        <w:tc>
          <w:tcPr>
            <w:tcW w:w="2898"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3.9</w:t>
            </w:r>
          </w:p>
        </w:tc>
      </w:tr>
      <w:tr w:rsidR="009B3860" w:rsidTr="009B3860">
        <w:tc>
          <w:tcPr>
            <w:cnfStyle w:val="001000000000" w:firstRow="0" w:lastRow="0" w:firstColumn="1" w:lastColumn="0" w:oddVBand="0" w:evenVBand="0" w:oddHBand="0" w:evenHBand="0" w:firstRowFirstColumn="0" w:firstRowLastColumn="0" w:lastRowFirstColumn="0" w:lastRowLastColumn="0"/>
            <w:tcW w:w="2897" w:type="dxa"/>
          </w:tcPr>
          <w:p w:rsidR="009B3860" w:rsidRPr="009B3860" w:rsidRDefault="009B3860" w:rsidP="009B3860">
            <w:pPr>
              <w:pStyle w:val="Source"/>
            </w:pPr>
            <w:r>
              <w:t>Operating expenditure</w:t>
            </w:r>
          </w:p>
        </w:tc>
        <w:tc>
          <w:tcPr>
            <w:tcW w:w="2898"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5.3</w:t>
            </w:r>
          </w:p>
        </w:tc>
        <w:tc>
          <w:tcPr>
            <w:tcW w:w="2898"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5.4</w:t>
            </w:r>
          </w:p>
        </w:tc>
      </w:tr>
      <w:tr w:rsidR="009B3860" w:rsidTr="009B3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9B3860" w:rsidRPr="009B3860" w:rsidRDefault="009B3860" w:rsidP="009B3860">
            <w:pPr>
              <w:pStyle w:val="Source"/>
            </w:pPr>
            <w:r>
              <w:t>Tax liability</w:t>
            </w:r>
          </w:p>
        </w:tc>
        <w:tc>
          <w:tcPr>
            <w:tcW w:w="2898"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0.9</w:t>
            </w:r>
          </w:p>
        </w:tc>
        <w:tc>
          <w:tcPr>
            <w:tcW w:w="2898"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1.0</w:t>
            </w:r>
          </w:p>
        </w:tc>
      </w:tr>
      <w:tr w:rsidR="009B3860" w:rsidTr="009B3860">
        <w:tc>
          <w:tcPr>
            <w:cnfStyle w:val="001000000000" w:firstRow="0" w:lastRow="0" w:firstColumn="1" w:lastColumn="0" w:oddVBand="0" w:evenVBand="0" w:oddHBand="0" w:evenHBand="0" w:firstRowFirstColumn="0" w:firstRowLastColumn="0" w:lastRowFirstColumn="0" w:lastRowLastColumn="0"/>
            <w:tcW w:w="2897" w:type="dxa"/>
          </w:tcPr>
          <w:p w:rsidR="009B3860" w:rsidRPr="009B3860" w:rsidRDefault="009B3860" w:rsidP="009B3860">
            <w:pPr>
              <w:pStyle w:val="Source"/>
            </w:pPr>
            <w:r>
              <w:t>Total unsmoothed revenue</w:t>
            </w:r>
          </w:p>
        </w:tc>
        <w:tc>
          <w:tcPr>
            <w:tcW w:w="2898"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12.6</w:t>
            </w:r>
          </w:p>
        </w:tc>
        <w:tc>
          <w:tcPr>
            <w:tcW w:w="2898"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12.9</w:t>
            </w:r>
          </w:p>
        </w:tc>
      </w:tr>
      <w:tr w:rsidR="009B3860" w:rsidTr="009B3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tcPr>
          <w:p w:rsidR="009B3860" w:rsidRPr="009B3860" w:rsidRDefault="009B3860" w:rsidP="009B3860">
            <w:pPr>
              <w:pStyle w:val="Source"/>
            </w:pPr>
            <w:r>
              <w:t>X–factor (%)</w:t>
            </w:r>
          </w:p>
        </w:tc>
        <w:tc>
          <w:tcPr>
            <w:tcW w:w="2898"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18.76</w:t>
            </w:r>
          </w:p>
        </w:tc>
        <w:tc>
          <w:tcPr>
            <w:tcW w:w="2898"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2.20</w:t>
            </w:r>
          </w:p>
        </w:tc>
      </w:tr>
      <w:tr w:rsidR="009B3860" w:rsidTr="009B3860">
        <w:tc>
          <w:tcPr>
            <w:cnfStyle w:val="001000000000" w:firstRow="0" w:lastRow="0" w:firstColumn="1" w:lastColumn="0" w:oddVBand="0" w:evenVBand="0" w:oddHBand="0" w:evenHBand="0" w:firstRowFirstColumn="0" w:firstRowLastColumn="0" w:lastRowFirstColumn="0" w:lastRowLastColumn="0"/>
            <w:tcW w:w="2897" w:type="dxa"/>
          </w:tcPr>
          <w:p w:rsidR="009B3860" w:rsidRPr="009B3860" w:rsidRDefault="009B3860" w:rsidP="009B3860">
            <w:pPr>
              <w:pStyle w:val="Source"/>
            </w:pPr>
            <w:r>
              <w:t>Smoothed revenue requirement</w:t>
            </w:r>
          </w:p>
        </w:tc>
        <w:tc>
          <w:tcPr>
            <w:tcW w:w="2898" w:type="dxa"/>
          </w:tcPr>
          <w:p w:rsidR="009B3860" w:rsidRDefault="00C837D6" w:rsidP="009B3860">
            <w:pPr>
              <w:pStyle w:val="Source"/>
              <w:cnfStyle w:val="000000000000" w:firstRow="0" w:lastRow="0" w:firstColumn="0" w:lastColumn="0" w:oddVBand="0" w:evenVBand="0" w:oddHBand="0" w:evenHBand="0" w:firstRowFirstColumn="0" w:firstRowLastColumn="0" w:lastRowFirstColumn="0" w:lastRowLastColumn="0"/>
            </w:pPr>
            <w:r>
              <w:t>12.8</w:t>
            </w:r>
          </w:p>
        </w:tc>
        <w:tc>
          <w:tcPr>
            <w:tcW w:w="2898" w:type="dxa"/>
          </w:tcPr>
          <w:p w:rsidR="009B3860" w:rsidRDefault="00C837D6" w:rsidP="009B3860">
            <w:pPr>
              <w:pStyle w:val="Source"/>
              <w:cnfStyle w:val="000000000000" w:firstRow="0" w:lastRow="0" w:firstColumn="0" w:lastColumn="0" w:oddVBand="0" w:evenVBand="0" w:oddHBand="0" w:evenHBand="0" w:firstRowFirstColumn="0" w:firstRowLastColumn="0" w:lastRowFirstColumn="0" w:lastRowLastColumn="0"/>
            </w:pPr>
            <w:r>
              <w:t>12.8</w:t>
            </w:r>
          </w:p>
        </w:tc>
      </w:tr>
    </w:tbl>
    <w:p w:rsidR="009B3860" w:rsidRDefault="009B3860" w:rsidP="009B3860">
      <w:pPr>
        <w:pStyle w:val="Source"/>
      </w:pPr>
      <w:r w:rsidRPr="002B2506">
        <w:t xml:space="preserve">Source: </w:t>
      </w:r>
      <w:r>
        <w:t xml:space="preserve"> TasNetworks, </w:t>
      </w:r>
      <w:r w:rsidRPr="00047FC8">
        <w:rPr>
          <w:rStyle w:val="AERtextitalic"/>
        </w:rPr>
        <w:t>Regulatory proposal, TN055 Metering model</w:t>
      </w:r>
      <w:r>
        <w:t>, January 2016.</w:t>
      </w:r>
    </w:p>
    <w:p w:rsidR="009B3860" w:rsidRDefault="009B3860" w:rsidP="009B3860">
      <w:pPr>
        <w:pStyle w:val="Caption"/>
      </w:pPr>
      <w:bookmarkStart w:id="124" w:name="_Ref454973909"/>
      <w:r>
        <w:t xml:space="preserve">Table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rsidR="0031261B">
        <w:t>.</w:t>
      </w:r>
      <w:r w:rsidR="00E639DB">
        <w:fldChar w:fldCharType="begin"/>
      </w:r>
      <w:r w:rsidR="00E639DB">
        <w:instrText xml:space="preserve"> SEQ Table \* ARABIC \s 1 </w:instrText>
      </w:r>
      <w:r w:rsidR="00E639DB">
        <w:fldChar w:fldCharType="separate"/>
      </w:r>
      <w:r w:rsidR="000C061E">
        <w:rPr>
          <w:noProof/>
        </w:rPr>
        <w:t>6</w:t>
      </w:r>
      <w:r w:rsidR="00E639DB">
        <w:rPr>
          <w:noProof/>
        </w:rPr>
        <w:fldChar w:fldCharType="end"/>
      </w:r>
      <w:bookmarkEnd w:id="124"/>
      <w:r>
        <w:tab/>
        <w:t>TasNetworks</w:t>
      </w:r>
      <w:r w:rsidR="00295F96">
        <w:t>'</w:t>
      </w:r>
      <w:r>
        <w:t xml:space="preserve"> proposed annual metering service charges ($ nominal)</w:t>
      </w:r>
    </w:p>
    <w:bookmarkEnd w:id="123"/>
    <w:tbl>
      <w:tblPr>
        <w:tblStyle w:val="AERtable-numbers"/>
        <w:tblW w:w="0" w:type="auto"/>
        <w:tblLook w:val="04A0" w:firstRow="1" w:lastRow="0" w:firstColumn="1" w:lastColumn="0" w:noHBand="0" w:noVBand="1"/>
      </w:tblPr>
      <w:tblGrid>
        <w:gridCol w:w="2312"/>
        <w:gridCol w:w="2127"/>
        <w:gridCol w:w="2127"/>
        <w:gridCol w:w="2127"/>
      </w:tblGrid>
      <w:tr w:rsidR="009B3860" w:rsidTr="009B3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9B3860" w:rsidRDefault="009B3860" w:rsidP="009B3860">
            <w:pPr>
              <w:pStyle w:val="Source"/>
            </w:pPr>
          </w:p>
        </w:tc>
        <w:tc>
          <w:tcPr>
            <w:tcW w:w="2127" w:type="dxa"/>
          </w:tcPr>
          <w:p w:rsidR="009B3860" w:rsidRDefault="009B3860" w:rsidP="009B3860">
            <w:pPr>
              <w:pStyle w:val="Source"/>
              <w:cnfStyle w:val="100000000000" w:firstRow="1" w:lastRow="0" w:firstColumn="0" w:lastColumn="0" w:oddVBand="0" w:evenVBand="0" w:oddHBand="0" w:evenHBand="0" w:firstRowFirstColumn="0" w:firstRowLastColumn="0" w:lastRowFirstColumn="0" w:lastRowLastColumn="0"/>
            </w:pPr>
          </w:p>
        </w:tc>
        <w:tc>
          <w:tcPr>
            <w:tcW w:w="2127" w:type="dxa"/>
          </w:tcPr>
          <w:p w:rsidR="009B3860" w:rsidRPr="009B3860" w:rsidRDefault="009B3860" w:rsidP="009B3860">
            <w:pPr>
              <w:pStyle w:val="Source"/>
              <w:cnfStyle w:val="100000000000" w:firstRow="1" w:lastRow="0" w:firstColumn="0" w:lastColumn="0" w:oddVBand="0" w:evenVBand="0" w:oddHBand="0" w:evenHBand="0" w:firstRowFirstColumn="0" w:firstRowLastColumn="0" w:lastRowFirstColumn="0" w:lastRowLastColumn="0"/>
            </w:pPr>
            <w:r>
              <w:t>2017</w:t>
            </w:r>
          </w:p>
        </w:tc>
        <w:tc>
          <w:tcPr>
            <w:tcW w:w="2127" w:type="dxa"/>
          </w:tcPr>
          <w:p w:rsidR="009B3860" w:rsidRPr="009B3860" w:rsidRDefault="009B3860" w:rsidP="009B3860">
            <w:pPr>
              <w:pStyle w:val="Source"/>
              <w:cnfStyle w:val="100000000000" w:firstRow="1" w:lastRow="0" w:firstColumn="0" w:lastColumn="0" w:oddVBand="0" w:evenVBand="0" w:oddHBand="0" w:evenHBand="0" w:firstRowFirstColumn="0" w:firstRowLastColumn="0" w:lastRowFirstColumn="0" w:lastRowLastColumn="0"/>
            </w:pPr>
            <w:r>
              <w:t>2018</w:t>
            </w:r>
          </w:p>
        </w:tc>
      </w:tr>
      <w:tr w:rsidR="009B3860" w:rsidTr="009B3860">
        <w:tc>
          <w:tcPr>
            <w:cnfStyle w:val="001000000000" w:firstRow="0" w:lastRow="0" w:firstColumn="1" w:lastColumn="0" w:oddVBand="0" w:evenVBand="0" w:oddHBand="0" w:evenHBand="0" w:firstRowFirstColumn="0" w:firstRowLastColumn="0" w:lastRowFirstColumn="0" w:lastRowLastColumn="0"/>
            <w:tcW w:w="2312" w:type="dxa"/>
            <w:vMerge w:val="restart"/>
          </w:tcPr>
          <w:p w:rsidR="009B3860" w:rsidRPr="009B3860" w:rsidRDefault="009B3860" w:rsidP="009B3860">
            <w:pPr>
              <w:pStyle w:val="Source"/>
            </w:pPr>
            <w:r>
              <w:t>Business LV – Single phase</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Capital</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11.</w:t>
            </w:r>
            <w:r w:rsidRPr="009B3860">
              <w:t>29</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11.45</w:t>
            </w:r>
          </w:p>
        </w:tc>
      </w:tr>
      <w:tr w:rsidR="009B3860" w:rsidTr="009B3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vMerge/>
          </w:tcPr>
          <w:p w:rsidR="009B3860" w:rsidRDefault="009B3860" w:rsidP="009B3860">
            <w:pPr>
              <w:pStyle w:val="Source"/>
            </w:pP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11.12</w:t>
            </w: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11.14</w:t>
            </w:r>
          </w:p>
        </w:tc>
      </w:tr>
      <w:tr w:rsidR="009B3860" w:rsidTr="009B3860">
        <w:tc>
          <w:tcPr>
            <w:cnfStyle w:val="001000000000" w:firstRow="0" w:lastRow="0" w:firstColumn="1" w:lastColumn="0" w:oddVBand="0" w:evenVBand="0" w:oddHBand="0" w:evenHBand="0" w:firstRowFirstColumn="0" w:firstRowLastColumn="0" w:lastRowFirstColumn="0" w:lastRowLastColumn="0"/>
            <w:tcW w:w="2312" w:type="dxa"/>
            <w:vMerge w:val="restart"/>
          </w:tcPr>
          <w:p w:rsidR="009B3860" w:rsidRPr="009B3860" w:rsidRDefault="009B3860" w:rsidP="009B3860">
            <w:pPr>
              <w:pStyle w:val="Source"/>
            </w:pPr>
            <w:r>
              <w:t>Business LV – Multi phase</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Capital</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24.89</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25.25</w:t>
            </w:r>
          </w:p>
        </w:tc>
      </w:tr>
      <w:tr w:rsidR="009B3860" w:rsidTr="009B3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vMerge/>
          </w:tcPr>
          <w:p w:rsidR="009B3860" w:rsidRDefault="009B3860" w:rsidP="009B3860">
            <w:pPr>
              <w:pStyle w:val="Source"/>
            </w:pP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24.52</w:t>
            </w: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24.57</w:t>
            </w:r>
          </w:p>
        </w:tc>
      </w:tr>
      <w:tr w:rsidR="009B3860" w:rsidTr="009B3860">
        <w:tc>
          <w:tcPr>
            <w:cnfStyle w:val="001000000000" w:firstRow="0" w:lastRow="0" w:firstColumn="1" w:lastColumn="0" w:oddVBand="0" w:evenVBand="0" w:oddHBand="0" w:evenHBand="0" w:firstRowFirstColumn="0" w:firstRowLastColumn="0" w:lastRowFirstColumn="0" w:lastRowLastColumn="0"/>
            <w:tcW w:w="2312" w:type="dxa"/>
            <w:vMerge w:val="restart"/>
          </w:tcPr>
          <w:p w:rsidR="009B3860" w:rsidRPr="009B3860" w:rsidRDefault="009B3860" w:rsidP="009B3860">
            <w:pPr>
              <w:pStyle w:val="Source"/>
            </w:pPr>
            <w:r>
              <w:t>Business LV – CT meters</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Capital</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32.88</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33.36</w:t>
            </w:r>
          </w:p>
        </w:tc>
      </w:tr>
      <w:tr w:rsidR="009B3860" w:rsidTr="009B3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vMerge/>
          </w:tcPr>
          <w:p w:rsidR="009B3860" w:rsidRDefault="009B3860" w:rsidP="009B3860">
            <w:pPr>
              <w:pStyle w:val="Source"/>
            </w:pP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32.40</w:t>
            </w: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32.46</w:t>
            </w:r>
          </w:p>
        </w:tc>
      </w:tr>
      <w:tr w:rsidR="009B3860" w:rsidTr="009B3860">
        <w:tc>
          <w:tcPr>
            <w:cnfStyle w:val="001000000000" w:firstRow="0" w:lastRow="0" w:firstColumn="1" w:lastColumn="0" w:oddVBand="0" w:evenVBand="0" w:oddHBand="0" w:evenHBand="0" w:firstRowFirstColumn="0" w:firstRowLastColumn="0" w:lastRowFirstColumn="0" w:lastRowLastColumn="0"/>
            <w:tcW w:w="2312" w:type="dxa"/>
            <w:vMerge w:val="restart"/>
          </w:tcPr>
          <w:p w:rsidR="009B3860" w:rsidRPr="009B3860" w:rsidRDefault="009B3860" w:rsidP="009B3860">
            <w:pPr>
              <w:pStyle w:val="Source"/>
            </w:pPr>
            <w:r>
              <w:t>Domestic LV – Single phase</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Capital</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10.96</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11.13</w:t>
            </w:r>
          </w:p>
        </w:tc>
      </w:tr>
      <w:tr w:rsidR="009B3860" w:rsidTr="009B3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vMerge/>
          </w:tcPr>
          <w:p w:rsidR="009B3860" w:rsidRDefault="009B3860" w:rsidP="009B3860">
            <w:pPr>
              <w:pStyle w:val="Source"/>
            </w:pP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10.80</w:t>
            </w: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10.83</w:t>
            </w:r>
          </w:p>
        </w:tc>
      </w:tr>
      <w:tr w:rsidR="009B3860" w:rsidTr="009B3860">
        <w:tc>
          <w:tcPr>
            <w:cnfStyle w:val="001000000000" w:firstRow="0" w:lastRow="0" w:firstColumn="1" w:lastColumn="0" w:oddVBand="0" w:evenVBand="0" w:oddHBand="0" w:evenHBand="0" w:firstRowFirstColumn="0" w:firstRowLastColumn="0" w:lastRowFirstColumn="0" w:lastRowLastColumn="0"/>
            <w:tcW w:w="2312" w:type="dxa"/>
            <w:vMerge w:val="restart"/>
          </w:tcPr>
          <w:p w:rsidR="009B3860" w:rsidRPr="009B3860" w:rsidRDefault="009B3860" w:rsidP="009B3860">
            <w:pPr>
              <w:pStyle w:val="Source"/>
            </w:pPr>
            <w:r>
              <w:t>Domestic LV –Multi phase</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Capital</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22.86</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23.19</w:t>
            </w:r>
          </w:p>
        </w:tc>
      </w:tr>
      <w:tr w:rsidR="009B3860" w:rsidTr="009B3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vMerge/>
          </w:tcPr>
          <w:p w:rsidR="009B3860" w:rsidRDefault="009B3860" w:rsidP="009B3860">
            <w:pPr>
              <w:pStyle w:val="Source"/>
            </w:pP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22.52</w:t>
            </w: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22.57</w:t>
            </w:r>
          </w:p>
        </w:tc>
      </w:tr>
      <w:tr w:rsidR="009B3860" w:rsidTr="009B3860">
        <w:tc>
          <w:tcPr>
            <w:cnfStyle w:val="001000000000" w:firstRow="0" w:lastRow="0" w:firstColumn="1" w:lastColumn="0" w:oddVBand="0" w:evenVBand="0" w:oddHBand="0" w:evenHBand="0" w:firstRowFirstColumn="0" w:firstRowLastColumn="0" w:lastRowFirstColumn="0" w:lastRowLastColumn="0"/>
            <w:tcW w:w="2312" w:type="dxa"/>
            <w:vMerge w:val="restart"/>
          </w:tcPr>
          <w:p w:rsidR="009B3860" w:rsidRPr="009B3860" w:rsidRDefault="009B3860" w:rsidP="009B3860">
            <w:pPr>
              <w:pStyle w:val="Source"/>
            </w:pPr>
            <w:r>
              <w:t>Domestic LV - CT meters</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Capital</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29.09</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29.52</w:t>
            </w:r>
          </w:p>
        </w:tc>
      </w:tr>
      <w:tr w:rsidR="009B3860" w:rsidTr="009B3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vMerge/>
          </w:tcPr>
          <w:p w:rsidR="009B3860" w:rsidRDefault="009B3860" w:rsidP="009B3860">
            <w:pPr>
              <w:pStyle w:val="Source"/>
            </w:pP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28.66</w:t>
            </w: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28.72</w:t>
            </w:r>
          </w:p>
        </w:tc>
      </w:tr>
      <w:tr w:rsidR="009B3860" w:rsidTr="009B3860">
        <w:tc>
          <w:tcPr>
            <w:cnfStyle w:val="001000000000" w:firstRow="0" w:lastRow="0" w:firstColumn="1" w:lastColumn="0" w:oddVBand="0" w:evenVBand="0" w:oddHBand="0" w:evenHBand="0" w:firstRowFirstColumn="0" w:firstRowLastColumn="0" w:lastRowFirstColumn="0" w:lastRowLastColumn="0"/>
            <w:tcW w:w="2312" w:type="dxa"/>
            <w:vMerge w:val="restart"/>
          </w:tcPr>
          <w:p w:rsidR="009B3860" w:rsidRPr="009B3860" w:rsidRDefault="00BE7E0D" w:rsidP="009B3860">
            <w:pPr>
              <w:pStyle w:val="Source"/>
            </w:pPr>
            <w:r>
              <w:t>O</w:t>
            </w:r>
            <w:r w:rsidR="009B3860">
              <w:t>ther meters</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rsidRPr="00F22139">
              <w:t>Capital</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22.85</w:t>
            </w:r>
          </w:p>
        </w:tc>
        <w:tc>
          <w:tcPr>
            <w:tcW w:w="2127" w:type="dxa"/>
          </w:tcPr>
          <w:p w:rsidR="009B3860" w:rsidRPr="009B3860" w:rsidRDefault="009B3860" w:rsidP="009B3860">
            <w:pPr>
              <w:pStyle w:val="Source"/>
              <w:cnfStyle w:val="000000000000" w:firstRow="0" w:lastRow="0" w:firstColumn="0" w:lastColumn="0" w:oddVBand="0" w:evenVBand="0" w:oddHBand="0" w:evenHBand="0" w:firstRowFirstColumn="0" w:firstRowLastColumn="0" w:lastRowFirstColumn="0" w:lastRowLastColumn="0"/>
            </w:pPr>
            <w:r>
              <w:t>23.18</w:t>
            </w:r>
          </w:p>
        </w:tc>
      </w:tr>
      <w:tr w:rsidR="009B3860" w:rsidTr="009B3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vMerge/>
          </w:tcPr>
          <w:p w:rsidR="009B3860" w:rsidRDefault="009B3860" w:rsidP="009B3860">
            <w:pPr>
              <w:pStyle w:val="Source"/>
            </w:pP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22.51</w:t>
            </w:r>
          </w:p>
        </w:tc>
        <w:tc>
          <w:tcPr>
            <w:tcW w:w="2127" w:type="dxa"/>
          </w:tcPr>
          <w:p w:rsidR="009B3860" w:rsidRPr="009B3860" w:rsidRDefault="009B3860" w:rsidP="009B3860">
            <w:pPr>
              <w:pStyle w:val="Source"/>
              <w:cnfStyle w:val="000000010000" w:firstRow="0" w:lastRow="0" w:firstColumn="0" w:lastColumn="0" w:oddVBand="0" w:evenVBand="0" w:oddHBand="0" w:evenHBand="1" w:firstRowFirstColumn="0" w:firstRowLastColumn="0" w:lastRowFirstColumn="0" w:lastRowLastColumn="0"/>
            </w:pPr>
            <w:r>
              <w:t>22.56</w:t>
            </w:r>
          </w:p>
        </w:tc>
      </w:tr>
    </w:tbl>
    <w:p w:rsidR="009B3860" w:rsidRPr="005007D7" w:rsidRDefault="009B3860" w:rsidP="009B3860">
      <w:pPr>
        <w:pStyle w:val="Source"/>
      </w:pPr>
      <w:r w:rsidRPr="002B2506">
        <w:t xml:space="preserve">Source: </w:t>
      </w:r>
      <w:r w:rsidRPr="002B2506">
        <w:tab/>
      </w:r>
      <w:r>
        <w:t xml:space="preserve">TasNetworks, </w:t>
      </w:r>
      <w:r w:rsidRPr="00047FC8">
        <w:rPr>
          <w:rStyle w:val="AERtextitalic"/>
        </w:rPr>
        <w:t>Regulatory proposal, TN056 Metering post tax revenue model</w:t>
      </w:r>
      <w:r>
        <w:t>, January 2016.</w:t>
      </w:r>
    </w:p>
    <w:p w:rsidR="009B3860" w:rsidRDefault="009B3860" w:rsidP="009B3860">
      <w:pPr>
        <w:pStyle w:val="Heading3"/>
      </w:pPr>
      <w:bookmarkStart w:id="125" w:name="_Toc462755676"/>
      <w:r>
        <w:t>Assessment approach</w:t>
      </w:r>
      <w:bookmarkEnd w:id="125"/>
    </w:p>
    <w:p w:rsidR="009B3860" w:rsidRPr="009F2F29" w:rsidRDefault="009B3860" w:rsidP="009B3860">
      <w:r>
        <w:t xml:space="preserve">For </w:t>
      </w:r>
      <w:r w:rsidRPr="00553D46">
        <w:t>alternative control service</w:t>
      </w:r>
      <w:r>
        <w:t>s</w:t>
      </w:r>
      <w:r w:rsidRPr="00553D46">
        <w:t xml:space="preserve">, </w:t>
      </w:r>
      <w:r>
        <w:t xml:space="preserve">we have </w:t>
      </w:r>
      <w:r w:rsidRPr="00553D46">
        <w:t>greater discretion under the NER in making our assessment compared to standard control services.</w:t>
      </w:r>
      <w:r>
        <w:rPr>
          <w:rStyle w:val="FootnoteReference"/>
        </w:rPr>
        <w:footnoteReference w:id="46"/>
      </w:r>
      <w:r w:rsidRPr="00553D46">
        <w:t xml:space="preserve"> We have chosen to apply a streamlined version of a building block approach.</w:t>
      </w:r>
    </w:p>
    <w:p w:rsidR="009B3860" w:rsidRPr="009F2F29" w:rsidRDefault="009B3860" w:rsidP="009B3860">
      <w:pPr>
        <w:pStyle w:val="HeadingBoldBlue"/>
      </w:pPr>
      <w:r w:rsidRPr="009F2F29">
        <w:t>Forecast capex</w:t>
      </w:r>
    </w:p>
    <w:p w:rsidR="009B3860" w:rsidRDefault="009B3860" w:rsidP="009B3860">
      <w:r>
        <w:t>Our assessment approach for TasNetworks' proposed capex for type 6 annual metering services involved us assessing the proposed:</w:t>
      </w:r>
    </w:p>
    <w:p w:rsidR="009B3860" w:rsidRDefault="009B3860" w:rsidP="009B3860">
      <w:pPr>
        <w:pStyle w:val="AERbulletlistfirststyle"/>
      </w:pPr>
      <w:r>
        <w:t>unit costs for metering hardware and labour</w:t>
      </w:r>
    </w:p>
    <w:p w:rsidR="009B3860" w:rsidRDefault="009B3860" w:rsidP="009B3860">
      <w:pPr>
        <w:pStyle w:val="AERbulletlistfirststyle"/>
      </w:pPr>
      <w:r>
        <w:t>volume of new connections, replacements, and customer driven alterations.</w:t>
      </w:r>
    </w:p>
    <w:p w:rsidR="009B3860" w:rsidRPr="009B3860" w:rsidRDefault="009B3860" w:rsidP="009B3860">
      <w:pPr>
        <w:pStyle w:val="AERbulletlistfirststyle"/>
        <w:numPr>
          <w:ilvl w:val="0"/>
          <w:numId w:val="0"/>
        </w:numPr>
      </w:pPr>
      <w:r>
        <w:t xml:space="preserve">When undertaking this assessment, we took into account the introduction of metering contestability on 1 December 2017. From that date, TasNetworks will no longer </w:t>
      </w:r>
      <w:r w:rsidRPr="009B3860">
        <w:t>be the 'R</w:t>
      </w:r>
      <w:r w:rsidR="00BE7E0D">
        <w:t>esponsible Person' for type</w:t>
      </w:r>
      <w:r w:rsidRPr="009B3860">
        <w:t xml:space="preserve"> 6 meters.</w:t>
      </w:r>
    </w:p>
    <w:p w:rsidR="009B3860" w:rsidRPr="009F2F29" w:rsidRDefault="009B3860" w:rsidP="009B3860">
      <w:pPr>
        <w:pStyle w:val="HeadingBoldBlue"/>
      </w:pPr>
      <w:r w:rsidRPr="009F2F29">
        <w:t>Forecast opex</w:t>
      </w:r>
    </w:p>
    <w:p w:rsidR="009B3860" w:rsidRPr="00A51DC9" w:rsidRDefault="009B3860" w:rsidP="009B3860">
      <w:pPr>
        <w:numPr>
          <w:ilvl w:val="0"/>
          <w:numId w:val="24"/>
        </w:numPr>
      </w:pPr>
      <w:r w:rsidRPr="00A51DC9">
        <w:t xml:space="preserve">We considered </w:t>
      </w:r>
      <w:r>
        <w:t>TasNetworks'</w:t>
      </w:r>
      <w:r w:rsidRPr="00A51DC9">
        <w:t xml:space="preserve"> proposed metering opex us</w:t>
      </w:r>
      <w:r>
        <w:t>ing</w:t>
      </w:r>
      <w:r w:rsidRPr="00A51DC9">
        <w:t xml:space="preserve"> a top-down ‘base–step–trend’ approach. This is our preferred approach to assessing most opex categories.</w:t>
      </w:r>
      <w:r>
        <w:rPr>
          <w:rStyle w:val="FootnoteReference"/>
        </w:rPr>
        <w:footnoteReference w:id="47"/>
      </w:r>
      <w:r w:rsidRPr="00A51DC9">
        <w:t xml:space="preserve"> In particular, we:</w:t>
      </w:r>
    </w:p>
    <w:p w:rsidR="009B3860" w:rsidRPr="00A51DC9" w:rsidRDefault="009B3860" w:rsidP="009B3860">
      <w:pPr>
        <w:pStyle w:val="AERbulletlistfirststyle"/>
      </w:pPr>
      <w:r>
        <w:t>used the 'revealed costs'</w:t>
      </w:r>
      <w:r w:rsidRPr="00A51DC9">
        <w:t xml:space="preserve"> approach as the starting point</w:t>
      </w:r>
      <w:r>
        <w:t xml:space="preserve"> and removed</w:t>
      </w:r>
      <w:r w:rsidRPr="00A51DC9">
        <w:t xml:space="preserve"> any non–recurrent expenditure</w:t>
      </w:r>
      <w:r>
        <w:t xml:space="preserve"> </w:t>
      </w:r>
    </w:p>
    <w:p w:rsidR="009B3860" w:rsidRPr="00A51DC9" w:rsidRDefault="009B3860" w:rsidP="009B3860">
      <w:pPr>
        <w:pStyle w:val="AERbulletlistfirststyle"/>
      </w:pPr>
      <w:r w:rsidRPr="00A51DC9">
        <w:t>adjusted for any step changes if we were satisfied that a prudent and efficient service provider would require them</w:t>
      </w:r>
    </w:p>
    <w:p w:rsidR="009B3860" w:rsidRDefault="009B3860" w:rsidP="009B3860">
      <w:pPr>
        <w:pStyle w:val="AERbulletlistfirststyle"/>
      </w:pPr>
      <w:r w:rsidRPr="00A51DC9">
        <w:t>trended forward the base opex (plus any step changes).</w:t>
      </w:r>
    </w:p>
    <w:p w:rsidR="009B3860" w:rsidRPr="009B3860" w:rsidRDefault="009B3860" w:rsidP="009B3860">
      <w:pPr>
        <w:pStyle w:val="AERbulletlistfirststyle"/>
        <w:numPr>
          <w:ilvl w:val="0"/>
          <w:numId w:val="0"/>
        </w:numPr>
      </w:pPr>
      <w:r>
        <w:t xml:space="preserve">We </w:t>
      </w:r>
      <w:r w:rsidRPr="009B3860">
        <w:t>also had regard to benchmarking when considering TasNetworks' proposed metering opex for type 6 meters.</w:t>
      </w:r>
    </w:p>
    <w:p w:rsidR="009B3860" w:rsidRDefault="009B3860" w:rsidP="009B3860">
      <w:pPr>
        <w:pStyle w:val="Heading3"/>
      </w:pPr>
      <w:bookmarkStart w:id="126" w:name="_Toc462755677"/>
      <w:r>
        <w:t>Reasons for draft decision</w:t>
      </w:r>
      <w:bookmarkEnd w:id="126"/>
    </w:p>
    <w:p w:rsidR="009B3860" w:rsidRDefault="009B3860" w:rsidP="009B3860">
      <w:pPr>
        <w:pStyle w:val="Heading4"/>
      </w:pPr>
      <w:r>
        <w:t>Annual metering charges</w:t>
      </w:r>
    </w:p>
    <w:p w:rsidR="009B3860" w:rsidRDefault="009B3860" w:rsidP="009B3860">
      <w:pPr>
        <w:pStyle w:val="HeadingBoldBlue"/>
      </w:pPr>
      <w:r>
        <w:t>Forecast capex</w:t>
      </w:r>
    </w:p>
    <w:p w:rsidR="009B3860" w:rsidRDefault="009B3860" w:rsidP="009B3860">
      <w:r>
        <w:t>We a</w:t>
      </w:r>
      <w:r w:rsidR="00801FCF">
        <w:t>ccept TasNetworks' proposed $1.6</w:t>
      </w:r>
      <w:r>
        <w:t xml:space="preserve"> million ($2016–17) in capex.</w:t>
      </w:r>
    </w:p>
    <w:p w:rsidR="009B3860" w:rsidRDefault="009B3860" w:rsidP="009B3860">
      <w:r>
        <w:t>Our draft decision accepts the hardware and labour unit costs that input into TasNetworks' proposal. The unit costs are based on contracts resulting from a competitive tender process.</w:t>
      </w:r>
      <w:r>
        <w:rPr>
          <w:rStyle w:val="FootnoteReference"/>
        </w:rPr>
        <w:footnoteReference w:id="48"/>
      </w:r>
      <w:r>
        <w:t xml:space="preserve"> We are satisfied that they reflect market prices for hardware and labour. </w:t>
      </w:r>
    </w:p>
    <w:p w:rsidR="009B3860" w:rsidRDefault="009B3860" w:rsidP="009B3860">
      <w:r>
        <w:t xml:space="preserve">We accept TasNetworks' forecast volume of new connections, meter replacements, and customer driven alterations. In reaching this draft decision, we considered whether the volume forecasts reflect TasNetworks no longer being the </w:t>
      </w:r>
      <w:r w:rsidR="00BE7E0D">
        <w:t xml:space="preserve">'Responsible Person' for type </w:t>
      </w:r>
      <w:r>
        <w:t xml:space="preserve">6 metering from 1 December 2017. </w:t>
      </w:r>
      <w:r>
        <w:fldChar w:fldCharType="begin"/>
      </w:r>
      <w:r>
        <w:instrText xml:space="preserve"> REF _Ref454971639 \h </w:instrText>
      </w:r>
      <w:r>
        <w:fldChar w:fldCharType="separate"/>
      </w:r>
      <w:r w:rsidR="000C061E">
        <w:t xml:space="preserve">Table </w:t>
      </w:r>
      <w:r w:rsidR="000C061E">
        <w:rPr>
          <w:noProof/>
        </w:rPr>
        <w:t>16</w:t>
      </w:r>
      <w:r w:rsidR="000C061E">
        <w:t>.</w:t>
      </w:r>
      <w:r w:rsidR="000C061E">
        <w:rPr>
          <w:noProof/>
        </w:rPr>
        <w:t>7</w:t>
      </w:r>
      <w:r>
        <w:fldChar w:fldCharType="end"/>
      </w:r>
      <w:r>
        <w:t xml:space="preserve"> shows TasNetworks' proposed volumes reflect that change in responsibility. </w:t>
      </w:r>
    </w:p>
    <w:p w:rsidR="009B3860" w:rsidRDefault="009B3860" w:rsidP="009B3860">
      <w:pPr>
        <w:pStyle w:val="Caption"/>
      </w:pPr>
      <w:bookmarkStart w:id="127" w:name="_Ref454971639"/>
      <w:r>
        <w:t xml:space="preserve">Table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rsidR="0031261B">
        <w:t>.</w:t>
      </w:r>
      <w:r w:rsidR="00E639DB">
        <w:fldChar w:fldCharType="begin"/>
      </w:r>
      <w:r w:rsidR="00E639DB">
        <w:instrText xml:space="preserve"> SEQ Table \* ARABIC \s 1 </w:instrText>
      </w:r>
      <w:r w:rsidR="00E639DB">
        <w:fldChar w:fldCharType="separate"/>
      </w:r>
      <w:r w:rsidR="000C061E">
        <w:rPr>
          <w:noProof/>
        </w:rPr>
        <w:t>7</w:t>
      </w:r>
      <w:r w:rsidR="00E639DB">
        <w:rPr>
          <w:noProof/>
        </w:rPr>
        <w:fldChar w:fldCharType="end"/>
      </w:r>
      <w:bookmarkEnd w:id="127"/>
      <w:r>
        <w:tab/>
        <w:t>Draft decision on metering volume forecasts</w:t>
      </w:r>
    </w:p>
    <w:tbl>
      <w:tblPr>
        <w:tblStyle w:val="AERtable-numbers"/>
        <w:tblW w:w="0" w:type="auto"/>
        <w:tblLook w:val="04A0" w:firstRow="1" w:lastRow="0" w:firstColumn="1" w:lastColumn="0" w:noHBand="0" w:noVBand="1"/>
      </w:tblPr>
      <w:tblGrid>
        <w:gridCol w:w="2295"/>
        <w:gridCol w:w="2216"/>
        <w:gridCol w:w="2219"/>
        <w:gridCol w:w="1963"/>
      </w:tblGrid>
      <w:tr w:rsidR="009B3860" w:rsidTr="009B38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rsidR="009B3860" w:rsidRDefault="009B3860" w:rsidP="009B3860"/>
        </w:tc>
        <w:tc>
          <w:tcPr>
            <w:tcW w:w="2216" w:type="dxa"/>
          </w:tcPr>
          <w:p w:rsidR="009B3860" w:rsidRPr="009B3860" w:rsidRDefault="009B3860" w:rsidP="009B3860">
            <w:pPr>
              <w:cnfStyle w:val="100000000000" w:firstRow="1" w:lastRow="0" w:firstColumn="0" w:lastColumn="0" w:oddVBand="0" w:evenVBand="0" w:oddHBand="0" w:evenHBand="0" w:firstRowFirstColumn="0" w:firstRowLastColumn="0" w:lastRowFirstColumn="0" w:lastRowLastColumn="0"/>
            </w:pPr>
            <w:r>
              <w:t>A</w:t>
            </w:r>
            <w:r w:rsidRPr="009B3860">
              <w:t>nnual average</w:t>
            </w:r>
          </w:p>
          <w:p w:rsidR="009B3860" w:rsidRPr="009B3860" w:rsidRDefault="009B3860" w:rsidP="009B3860">
            <w:pPr>
              <w:cnfStyle w:val="100000000000" w:firstRow="1" w:lastRow="0" w:firstColumn="0" w:lastColumn="0" w:oddVBand="0" w:evenVBand="0" w:oddHBand="0" w:evenHBand="0" w:firstRowFirstColumn="0" w:firstRowLastColumn="0" w:lastRowFirstColumn="0" w:lastRowLastColumn="0"/>
            </w:pPr>
            <w:r>
              <w:t>(2010–11 to 2014–15)</w:t>
            </w:r>
          </w:p>
        </w:tc>
        <w:tc>
          <w:tcPr>
            <w:tcW w:w="2219" w:type="dxa"/>
          </w:tcPr>
          <w:p w:rsidR="009B3860" w:rsidRPr="009B3860" w:rsidRDefault="009B3860" w:rsidP="009B3860">
            <w:pPr>
              <w:cnfStyle w:val="100000000000" w:firstRow="1" w:lastRow="0" w:firstColumn="0" w:lastColumn="0" w:oddVBand="0" w:evenVBand="0" w:oddHBand="0" w:evenHBand="0" w:firstRowFirstColumn="0" w:firstRowLastColumn="0" w:lastRowFirstColumn="0" w:lastRowLastColumn="0"/>
            </w:pPr>
            <w:r>
              <w:t>Proposed</w:t>
            </w:r>
            <w:r w:rsidRPr="009B3860">
              <w:t xml:space="preserve"> volume for 2017–19 period</w:t>
            </w:r>
          </w:p>
        </w:tc>
        <w:tc>
          <w:tcPr>
            <w:tcW w:w="1963" w:type="dxa"/>
          </w:tcPr>
          <w:p w:rsidR="009B3860" w:rsidRPr="009B3860" w:rsidRDefault="009B3860" w:rsidP="009B3860">
            <w:pPr>
              <w:cnfStyle w:val="100000000000" w:firstRow="1" w:lastRow="0" w:firstColumn="0" w:lastColumn="0" w:oddVBand="0" w:evenVBand="0" w:oddHBand="0" w:evenHBand="0" w:firstRowFirstColumn="0" w:firstRowLastColumn="0" w:lastRowFirstColumn="0" w:lastRowLastColumn="0"/>
            </w:pPr>
            <w:r>
              <w:t>Draft decision</w:t>
            </w:r>
          </w:p>
        </w:tc>
      </w:tr>
      <w:tr w:rsidR="009B3860" w:rsidTr="009B3860">
        <w:tc>
          <w:tcPr>
            <w:cnfStyle w:val="001000000000" w:firstRow="0" w:lastRow="0" w:firstColumn="1" w:lastColumn="0" w:oddVBand="0" w:evenVBand="0" w:oddHBand="0" w:evenHBand="0" w:firstRowFirstColumn="0" w:firstRowLastColumn="0" w:lastRowFirstColumn="0" w:lastRowLastColumn="0"/>
            <w:tcW w:w="2295" w:type="dxa"/>
          </w:tcPr>
          <w:p w:rsidR="009B3860" w:rsidRPr="009B3860" w:rsidRDefault="009B3860" w:rsidP="009B3860">
            <w:r>
              <w:t>New connections</w:t>
            </w:r>
          </w:p>
        </w:tc>
        <w:tc>
          <w:tcPr>
            <w:tcW w:w="2216" w:type="dxa"/>
          </w:tcPr>
          <w:p w:rsidR="009B3860" w:rsidRPr="009B3860" w:rsidRDefault="009B3860" w:rsidP="009B3860">
            <w:pPr>
              <w:cnfStyle w:val="000000000000" w:firstRow="0" w:lastRow="0" w:firstColumn="0" w:lastColumn="0" w:oddVBand="0" w:evenVBand="0" w:oddHBand="0" w:evenHBand="0" w:firstRowFirstColumn="0" w:firstRowLastColumn="0" w:lastRowFirstColumn="0" w:lastRowLastColumn="0"/>
            </w:pPr>
            <w:r>
              <w:t>2 000</w:t>
            </w:r>
          </w:p>
        </w:tc>
        <w:tc>
          <w:tcPr>
            <w:tcW w:w="2219" w:type="dxa"/>
          </w:tcPr>
          <w:p w:rsidR="009B3860" w:rsidRPr="009B3860" w:rsidRDefault="009B3860" w:rsidP="009B3860">
            <w:pPr>
              <w:cnfStyle w:val="000000000000" w:firstRow="0" w:lastRow="0" w:firstColumn="0" w:lastColumn="0" w:oddVBand="0" w:evenVBand="0" w:oddHBand="0" w:evenHBand="0" w:firstRowFirstColumn="0" w:firstRowLastColumn="0" w:lastRowFirstColumn="0" w:lastRowLastColumn="0"/>
            </w:pPr>
            <w:r>
              <w:t>1 000</w:t>
            </w:r>
          </w:p>
        </w:tc>
        <w:tc>
          <w:tcPr>
            <w:tcW w:w="1963" w:type="dxa"/>
          </w:tcPr>
          <w:p w:rsidR="009B3860" w:rsidRPr="009B3860" w:rsidRDefault="009B3860" w:rsidP="009B3860">
            <w:pPr>
              <w:cnfStyle w:val="000000000000" w:firstRow="0" w:lastRow="0" w:firstColumn="0" w:lastColumn="0" w:oddVBand="0" w:evenVBand="0" w:oddHBand="0" w:evenHBand="0" w:firstRowFirstColumn="0" w:firstRowLastColumn="0" w:lastRowFirstColumn="0" w:lastRowLastColumn="0"/>
            </w:pPr>
            <w:r>
              <w:t>1 000</w:t>
            </w:r>
          </w:p>
        </w:tc>
      </w:tr>
      <w:tr w:rsidR="009B3860" w:rsidTr="009B3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rsidR="009B3860" w:rsidRPr="009B3860" w:rsidRDefault="009B3860" w:rsidP="009B3860">
            <w:r>
              <w:t>Meter replacements</w:t>
            </w:r>
          </w:p>
        </w:tc>
        <w:tc>
          <w:tcPr>
            <w:tcW w:w="2216" w:type="dxa"/>
          </w:tcPr>
          <w:p w:rsidR="009B3860" w:rsidRPr="009B3860" w:rsidRDefault="009B3860" w:rsidP="009B3860">
            <w:pPr>
              <w:cnfStyle w:val="000000010000" w:firstRow="0" w:lastRow="0" w:firstColumn="0" w:lastColumn="0" w:oddVBand="0" w:evenVBand="0" w:oddHBand="0" w:evenHBand="1" w:firstRowFirstColumn="0" w:firstRowLastColumn="0" w:lastRowFirstColumn="0" w:lastRowLastColumn="0"/>
            </w:pPr>
            <w:r>
              <w:t>5 000</w:t>
            </w:r>
          </w:p>
        </w:tc>
        <w:tc>
          <w:tcPr>
            <w:tcW w:w="2219" w:type="dxa"/>
          </w:tcPr>
          <w:p w:rsidR="009B3860" w:rsidRPr="009B3860" w:rsidRDefault="009B3860" w:rsidP="009B3860">
            <w:pPr>
              <w:cnfStyle w:val="000000010000" w:firstRow="0" w:lastRow="0" w:firstColumn="0" w:lastColumn="0" w:oddVBand="0" w:evenVBand="0" w:oddHBand="0" w:evenHBand="1" w:firstRowFirstColumn="0" w:firstRowLastColumn="0" w:lastRowFirstColumn="0" w:lastRowLastColumn="0"/>
            </w:pPr>
            <w:r>
              <w:t>0</w:t>
            </w:r>
          </w:p>
        </w:tc>
        <w:tc>
          <w:tcPr>
            <w:tcW w:w="1963" w:type="dxa"/>
          </w:tcPr>
          <w:p w:rsidR="009B3860" w:rsidRPr="009B3860" w:rsidRDefault="009B3860" w:rsidP="009B3860">
            <w:pPr>
              <w:cnfStyle w:val="000000010000" w:firstRow="0" w:lastRow="0" w:firstColumn="0" w:lastColumn="0" w:oddVBand="0" w:evenVBand="0" w:oddHBand="0" w:evenHBand="1" w:firstRowFirstColumn="0" w:firstRowLastColumn="0" w:lastRowFirstColumn="0" w:lastRowLastColumn="0"/>
            </w:pPr>
            <w:r>
              <w:t>0</w:t>
            </w:r>
          </w:p>
        </w:tc>
      </w:tr>
      <w:tr w:rsidR="009B3860" w:rsidTr="009B3860">
        <w:tc>
          <w:tcPr>
            <w:cnfStyle w:val="001000000000" w:firstRow="0" w:lastRow="0" w:firstColumn="1" w:lastColumn="0" w:oddVBand="0" w:evenVBand="0" w:oddHBand="0" w:evenHBand="0" w:firstRowFirstColumn="0" w:firstRowLastColumn="0" w:lastRowFirstColumn="0" w:lastRowLastColumn="0"/>
            <w:tcW w:w="2295" w:type="dxa"/>
          </w:tcPr>
          <w:p w:rsidR="009B3860" w:rsidRPr="009B3860" w:rsidRDefault="009B3860" w:rsidP="009B3860">
            <w:r>
              <w:t>Customer driven alterations</w:t>
            </w:r>
          </w:p>
        </w:tc>
        <w:tc>
          <w:tcPr>
            <w:tcW w:w="2216" w:type="dxa"/>
          </w:tcPr>
          <w:p w:rsidR="009B3860" w:rsidRPr="009B3860" w:rsidRDefault="009B3860" w:rsidP="009B3860">
            <w:pPr>
              <w:cnfStyle w:val="000000000000" w:firstRow="0" w:lastRow="0" w:firstColumn="0" w:lastColumn="0" w:oddVBand="0" w:evenVBand="0" w:oddHBand="0" w:evenHBand="0" w:firstRowFirstColumn="0" w:firstRowLastColumn="0" w:lastRowFirstColumn="0" w:lastRowLastColumn="0"/>
            </w:pPr>
            <w:r>
              <w:t>5 000</w:t>
            </w:r>
          </w:p>
        </w:tc>
        <w:tc>
          <w:tcPr>
            <w:tcW w:w="2219" w:type="dxa"/>
          </w:tcPr>
          <w:p w:rsidR="009B3860" w:rsidRPr="009B3860" w:rsidRDefault="009B3860" w:rsidP="009B3860">
            <w:pPr>
              <w:cnfStyle w:val="000000000000" w:firstRow="0" w:lastRow="0" w:firstColumn="0" w:lastColumn="0" w:oddVBand="0" w:evenVBand="0" w:oddHBand="0" w:evenHBand="0" w:firstRowFirstColumn="0" w:firstRowLastColumn="0" w:lastRowFirstColumn="0" w:lastRowLastColumn="0"/>
            </w:pPr>
            <w:r>
              <w:t>2 500</w:t>
            </w:r>
          </w:p>
        </w:tc>
        <w:tc>
          <w:tcPr>
            <w:tcW w:w="1963" w:type="dxa"/>
          </w:tcPr>
          <w:p w:rsidR="009B3860" w:rsidRPr="009B3860" w:rsidRDefault="009B3860" w:rsidP="009B3860">
            <w:pPr>
              <w:cnfStyle w:val="000000000000" w:firstRow="0" w:lastRow="0" w:firstColumn="0" w:lastColumn="0" w:oddVBand="0" w:evenVBand="0" w:oddHBand="0" w:evenHBand="0" w:firstRowFirstColumn="0" w:firstRowLastColumn="0" w:lastRowFirstColumn="0" w:lastRowLastColumn="0"/>
            </w:pPr>
            <w:r>
              <w:t>2 500</w:t>
            </w:r>
          </w:p>
        </w:tc>
      </w:tr>
      <w:tr w:rsidR="009B3860" w:rsidTr="009B38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rsidR="009B3860" w:rsidRPr="009B3860" w:rsidRDefault="009B3860" w:rsidP="009B3860">
            <w:r>
              <w:t>Total</w:t>
            </w:r>
          </w:p>
        </w:tc>
        <w:tc>
          <w:tcPr>
            <w:tcW w:w="2216" w:type="dxa"/>
          </w:tcPr>
          <w:p w:rsidR="009B3860" w:rsidRPr="009B3860" w:rsidRDefault="009B3860" w:rsidP="009B3860">
            <w:pPr>
              <w:cnfStyle w:val="000000010000" w:firstRow="0" w:lastRow="0" w:firstColumn="0" w:lastColumn="0" w:oddVBand="0" w:evenVBand="0" w:oddHBand="0" w:evenHBand="1" w:firstRowFirstColumn="0" w:firstRowLastColumn="0" w:lastRowFirstColumn="0" w:lastRowLastColumn="0"/>
            </w:pPr>
            <w:r>
              <w:t>12 000</w:t>
            </w:r>
          </w:p>
        </w:tc>
        <w:tc>
          <w:tcPr>
            <w:tcW w:w="2219" w:type="dxa"/>
          </w:tcPr>
          <w:p w:rsidR="009B3860" w:rsidRPr="009B3860" w:rsidRDefault="009B3860" w:rsidP="009B3860">
            <w:pPr>
              <w:cnfStyle w:val="000000010000" w:firstRow="0" w:lastRow="0" w:firstColumn="0" w:lastColumn="0" w:oddVBand="0" w:evenVBand="0" w:oddHBand="0" w:evenHBand="1" w:firstRowFirstColumn="0" w:firstRowLastColumn="0" w:lastRowFirstColumn="0" w:lastRowLastColumn="0"/>
            </w:pPr>
            <w:r>
              <w:t>3 500</w:t>
            </w:r>
          </w:p>
        </w:tc>
        <w:tc>
          <w:tcPr>
            <w:tcW w:w="1963" w:type="dxa"/>
          </w:tcPr>
          <w:p w:rsidR="009B3860" w:rsidRPr="009B3860" w:rsidRDefault="009B3860" w:rsidP="009B3860">
            <w:pPr>
              <w:cnfStyle w:val="000000010000" w:firstRow="0" w:lastRow="0" w:firstColumn="0" w:lastColumn="0" w:oddVBand="0" w:evenVBand="0" w:oddHBand="0" w:evenHBand="1" w:firstRowFirstColumn="0" w:firstRowLastColumn="0" w:lastRowFirstColumn="0" w:lastRowLastColumn="0"/>
            </w:pPr>
            <w:r>
              <w:t>3 500</w:t>
            </w:r>
          </w:p>
        </w:tc>
      </w:tr>
    </w:tbl>
    <w:p w:rsidR="009B3860" w:rsidRPr="00EB0092" w:rsidRDefault="009B3860" w:rsidP="009B3860">
      <w:pPr>
        <w:pStyle w:val="AERtablesource"/>
      </w:pPr>
      <w:r>
        <w:t>Source:</w:t>
      </w:r>
      <w:r>
        <w:tab/>
        <w:t xml:space="preserve">TasNetworks, </w:t>
      </w:r>
      <w:r w:rsidRPr="000F47A7">
        <w:rPr>
          <w:rStyle w:val="AERtextitalic"/>
        </w:rPr>
        <w:t>Regulatory proposal, TN055 Metering Model</w:t>
      </w:r>
      <w:r>
        <w:t>, January 2016, 'Volume trending' tab.</w:t>
      </w:r>
    </w:p>
    <w:p w:rsidR="009B3860" w:rsidRDefault="009B3860" w:rsidP="009B3860">
      <w:r>
        <w:t xml:space="preserve">As shown in </w:t>
      </w:r>
      <w:r>
        <w:fldChar w:fldCharType="begin"/>
      </w:r>
      <w:r>
        <w:instrText xml:space="preserve"> REF _Ref454971639 \h </w:instrText>
      </w:r>
      <w:r>
        <w:fldChar w:fldCharType="separate"/>
      </w:r>
      <w:r w:rsidR="000C061E">
        <w:t xml:space="preserve">Table </w:t>
      </w:r>
      <w:r w:rsidR="000C061E">
        <w:rPr>
          <w:noProof/>
        </w:rPr>
        <w:t>16</w:t>
      </w:r>
      <w:r w:rsidR="000C061E">
        <w:t>.</w:t>
      </w:r>
      <w:r w:rsidR="000C061E">
        <w:rPr>
          <w:noProof/>
        </w:rPr>
        <w:t>7</w:t>
      </w:r>
      <w:r>
        <w:fldChar w:fldCharType="end"/>
      </w:r>
      <w:r>
        <w:t xml:space="preserve"> above, TasNetworks has only forecast approximately half its historical annual average of new connections and customer driven alterations. We consider a forecast based on half the historical annual average to be reasonable for two reasons. First, the use of historical volumes is reasonable for new connections and customer driven alternations because housing growth in Tasmania is forecast to be similar in 2017–19 as it has been in the past.</w:t>
      </w:r>
      <w:r>
        <w:rPr>
          <w:rStyle w:val="FootnoteReference"/>
        </w:rPr>
        <w:footnoteReference w:id="49"/>
      </w:r>
      <w:r>
        <w:t xml:space="preserve"> Second, a forecast based on half the historical average is appropriate given that TasNetworks will only have responsibility for new connections and customer driven alterations for five months in the 2017–19 regulatory control period. We have therefore approved the volumes.</w:t>
      </w:r>
    </w:p>
    <w:p w:rsidR="009B3860" w:rsidRPr="002B492F" w:rsidRDefault="009B3860" w:rsidP="009B3860">
      <w:r>
        <w:t xml:space="preserve">TasNetworks' capex forecast does not include any meter replacements. We consider this to be an efficient response to the expansion of metering contestability. This is because it avoids a scenario where customers have an existing type 6 meter replaced with a new version of the same, increasingly obsolescent, technology. Instead, TasNetworks will not replace type 6 meters in the 2017–19 regulatory control period. This will allow for those meters to be replaced with more advanced metering when contestability is introduced. </w:t>
      </w:r>
    </w:p>
    <w:p w:rsidR="009B3860" w:rsidRDefault="009B3860" w:rsidP="009B3860">
      <w:pPr>
        <w:pStyle w:val="HeadingBoldBlue"/>
      </w:pPr>
      <w:r>
        <w:t>Forecast opex</w:t>
      </w:r>
    </w:p>
    <w:p w:rsidR="009B3860" w:rsidRDefault="009B3860" w:rsidP="009B3860">
      <w:r w:rsidRPr="00EB0092">
        <w:t>We</w:t>
      </w:r>
      <w:r>
        <w:t xml:space="preserve"> accept </w:t>
      </w:r>
      <w:r w:rsidR="00BE7E0D">
        <w:t>TasNetworks' proposed type</w:t>
      </w:r>
      <w:r>
        <w:t xml:space="preserve"> 6 metering opex of $10.3 million ($2016–17) for the 2017–19 regulatory control period.</w:t>
      </w:r>
    </w:p>
    <w:p w:rsidR="009B3860" w:rsidRDefault="009B3860" w:rsidP="009B3860">
      <w:pPr>
        <w:rPr>
          <w:rStyle w:val="Strong"/>
        </w:rPr>
      </w:pPr>
      <w:r>
        <w:rPr>
          <w:rStyle w:val="Strong"/>
        </w:rPr>
        <w:t>Base</w:t>
      </w:r>
    </w:p>
    <w:p w:rsidR="009B3860" w:rsidRDefault="009B3860" w:rsidP="009B3860">
      <w:r>
        <w:t xml:space="preserve">The initial step in our assessment of TasNetworks' proposed operating expenditure was to consider its 'base' level of expenditure. </w:t>
      </w:r>
    </w:p>
    <w:p w:rsidR="009B3860" w:rsidRDefault="009B3860" w:rsidP="009B3860">
      <w:r>
        <w:t xml:space="preserve">We looked at what TasNetworks' base should be from two different perspectives. These were TasNetworks' historical opex and its performance against benchmarking. </w:t>
      </w:r>
    </w:p>
    <w:p w:rsidR="009B3860" w:rsidRDefault="009B3860" w:rsidP="009B3860">
      <w:r>
        <w:t>In assessing historical expenditure, we considered TasNetworks' base should be at least as efficient as its costs in previous years. We observed TasNetworks' historic opex over a five year period. Applying this approach</w:t>
      </w:r>
      <w:r w:rsidRPr="00657C0C">
        <w:t xml:space="preserve">, we observed a base expenditure </w:t>
      </w:r>
      <w:r>
        <w:t>of $26 per customer per year ($2016–17</w:t>
      </w:r>
      <w:r w:rsidRPr="00657C0C">
        <w:t xml:space="preserve">). </w:t>
      </w:r>
    </w:p>
    <w:p w:rsidR="009B3860" w:rsidRPr="00C10FBE" w:rsidRDefault="009B3860" w:rsidP="009B3860">
      <w:pPr>
        <w:numPr>
          <w:ilvl w:val="0"/>
          <w:numId w:val="24"/>
        </w:numPr>
      </w:pPr>
      <w:r>
        <w:t>We</w:t>
      </w:r>
      <w:r w:rsidRPr="00C10FBE">
        <w:t xml:space="preserve"> </w:t>
      </w:r>
      <w:r>
        <w:t>further examined</w:t>
      </w:r>
      <w:r w:rsidRPr="00C10FBE">
        <w:t xml:space="preserve"> the proposed base by applying benchmarking.</w:t>
      </w:r>
      <w:r>
        <w:t xml:space="preserve"> To do this we used a partial performance indicator which</w:t>
      </w:r>
      <w:r w:rsidRPr="00C10FBE">
        <w:t xml:space="preserve"> compared </w:t>
      </w:r>
      <w:r>
        <w:t>TasNetworks</w:t>
      </w:r>
      <w:r w:rsidRPr="00C10FBE">
        <w:t xml:space="preserve"> proposed </w:t>
      </w:r>
      <w:r>
        <w:t>opex</w:t>
      </w:r>
      <w:r w:rsidRPr="00C10FBE">
        <w:t xml:space="preserve"> per customer against other </w:t>
      </w:r>
      <w:r>
        <w:t xml:space="preserve">non–Victorian </w:t>
      </w:r>
      <w:r w:rsidRPr="00C10FBE">
        <w:t>distribution businesses in the national electricity market</w:t>
      </w:r>
      <w:r>
        <w:t xml:space="preserve"> (NEM)</w:t>
      </w:r>
      <w:r w:rsidRPr="00C10FBE">
        <w:t xml:space="preserve">. </w:t>
      </w:r>
      <w:r>
        <w:t xml:space="preserve"> </w:t>
      </w:r>
    </w:p>
    <w:p w:rsidR="009B3860" w:rsidRDefault="009B3860" w:rsidP="009B3860">
      <w:r>
        <w:t>When comparing TasNetworks' proposed opex to its peers, we normalised our results by accounting</w:t>
      </w:r>
      <w:r w:rsidRPr="00C10FBE">
        <w:t xml:space="preserve"> for customer density. We calculated this as the number of customers a distribution business has per kilometre of line length. We took customer density into account because, all things equal, businesses with a low customer density are likely to require higher </w:t>
      </w:r>
      <w:r>
        <w:t>opex</w:t>
      </w:r>
      <w:r w:rsidRPr="00C10FBE">
        <w:t>. For example, this could be because of longer travel times to service customers</w:t>
      </w:r>
      <w:r>
        <w:t>. This assessment approach is consistent with past regulatory determinations we have made.</w:t>
      </w:r>
      <w:r>
        <w:rPr>
          <w:rStyle w:val="FootnoteReference"/>
        </w:rPr>
        <w:footnoteReference w:id="50"/>
      </w:r>
    </w:p>
    <w:p w:rsidR="009B3860" w:rsidRDefault="009B3860" w:rsidP="009B3860">
      <w:r>
        <w:fldChar w:fldCharType="begin"/>
      </w:r>
      <w:r>
        <w:instrText xml:space="preserve"> REF _Ref454894934 \h </w:instrText>
      </w:r>
      <w:r>
        <w:fldChar w:fldCharType="separate"/>
      </w:r>
      <w:r w:rsidR="000C061E">
        <w:t xml:space="preserve">Figure </w:t>
      </w:r>
      <w:r w:rsidR="000C061E">
        <w:rPr>
          <w:noProof/>
        </w:rPr>
        <w:t>16</w:t>
      </w:r>
      <w:r w:rsidR="000C061E">
        <w:t>.</w:t>
      </w:r>
      <w:r w:rsidR="000C061E">
        <w:rPr>
          <w:noProof/>
        </w:rPr>
        <w:t>4</w:t>
      </w:r>
      <w:r>
        <w:fldChar w:fldCharType="end"/>
      </w:r>
      <w:r>
        <w:t xml:space="preserve"> shows the results of our benchmarking. It compares TasNetworks' opex per customer with the other non–Victorian businesses in the NEM over the last five years from 2010–11 to 2014–15. In addition to comparing TasNetworks historical performance over that period, we also benchmarked its proposed 2017–19 opex per customer. We calculated TasNetworks' proposed opex to amount to $18 per customer per year ($2016–17). </w:t>
      </w:r>
    </w:p>
    <w:p w:rsidR="009B3860" w:rsidRDefault="009B3860" w:rsidP="009B3860">
      <w:pPr>
        <w:pStyle w:val="Caption"/>
      </w:pPr>
      <w:bookmarkStart w:id="128" w:name="_Ref454894934"/>
      <w:r>
        <w:t xml:space="preserve">Figure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t>.</w:t>
      </w:r>
      <w:r w:rsidR="00E639DB">
        <w:fldChar w:fldCharType="begin"/>
      </w:r>
      <w:r w:rsidR="00E639DB">
        <w:instrText xml:space="preserve"> SEQ Figure \* ARABIC \s 1 </w:instrText>
      </w:r>
      <w:r w:rsidR="00E639DB">
        <w:fldChar w:fldCharType="separate"/>
      </w:r>
      <w:r w:rsidR="000C061E">
        <w:rPr>
          <w:noProof/>
        </w:rPr>
        <w:t>4</w:t>
      </w:r>
      <w:r w:rsidR="00E639DB">
        <w:rPr>
          <w:noProof/>
        </w:rPr>
        <w:fldChar w:fldCharType="end"/>
      </w:r>
      <w:bookmarkEnd w:id="128"/>
      <w:r>
        <w:tab/>
        <w:t>Benchmarking of annual metering opex per customer ($2016–17)</w:t>
      </w:r>
    </w:p>
    <w:p w:rsidR="009B3860" w:rsidRDefault="009B3860" w:rsidP="009B3860">
      <w:r w:rsidRPr="009B3860">
        <w:rPr>
          <w:noProof/>
          <w:lang w:eastAsia="en-AU"/>
        </w:rPr>
        <w:drawing>
          <wp:inline distT="0" distB="0" distL="0" distR="0" wp14:anchorId="38B4F45F" wp14:editId="110FA454">
            <wp:extent cx="4572000" cy="27432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9B3860" w:rsidRPr="00DF1C42" w:rsidRDefault="009B3860" w:rsidP="009B3860">
      <w:pPr>
        <w:pStyle w:val="AERtablesource"/>
      </w:pPr>
      <w:r>
        <w:t>Source:</w:t>
      </w:r>
      <w:r>
        <w:tab/>
        <w:t>AER analysis.</w:t>
      </w:r>
    </w:p>
    <w:p w:rsidR="009B3860" w:rsidRDefault="009B3860" w:rsidP="009B3860">
      <w:r>
        <w:t>We considered whether we should apply an efficiency adjustment based on our benchmarking analysis. In support of making such an adjustment, we observe SA Power Networks spends $7 per customer per year ($2016–17). This is substantially less than TasNetworks, which has more customers per kilometre of line length. In general, we consider that this would offer reasonable grounds to make an efficiency adjustment. But in this instance we do not consider SA Power Networks to be a reasonable 'comparator' for TasNetworks. This is because SA Power Networks has materially more customers. SA Power Networks averaged 840 557 customers over the 2010–15 benchmarking period whereas TasNetworks averaged 276 018. We consider these higher customer numbers may provide efficiencies, through greater economies of scale, that TasNetworks may not be able to access.</w:t>
      </w:r>
    </w:p>
    <w:p w:rsidR="009B3860" w:rsidRDefault="009B3860" w:rsidP="009B3860">
      <w:r>
        <w:t xml:space="preserve">In the absence of </w:t>
      </w:r>
      <w:r w:rsidR="00D82D0C">
        <w:t>any close</w:t>
      </w:r>
      <w:r>
        <w:t xml:space="preserve">  comparator, we do not consider there to be grounds to apply an efficiency adjustment. Further we find that TasNetworks' 2017–19 proposed opex is relatively efficient. This is apparent given that its proposal to spend $18 per customer per year ($2016–17) is not </w:t>
      </w:r>
      <w:r w:rsidR="00D82D0C">
        <w:t xml:space="preserve">materially above that </w:t>
      </w:r>
      <w:r>
        <w:t xml:space="preserve"> </w:t>
      </w:r>
      <w:r w:rsidR="00D82D0C">
        <w:t xml:space="preserve">of </w:t>
      </w:r>
      <w:r>
        <w:t xml:space="preserve">Endeavour Energy, Ausgrid, and ActewAGL. Those distribution businesses all have at least twice as many customers per kilometre of line length, but incur only $3 less per customer per year ($2016–17) than TasNetworks. </w:t>
      </w:r>
    </w:p>
    <w:p w:rsidR="009B3860" w:rsidRDefault="009B3860" w:rsidP="009B3860">
      <w:r>
        <w:t>On balance</w:t>
      </w:r>
      <w:r w:rsidR="00D82D0C">
        <w:t>,</w:t>
      </w:r>
      <w:r>
        <w:t xml:space="preserve"> our benchmarking does not support grounds for an efficiency adjustment. Our draft decision is to accept TasNetworks' base opex for the 2017–19 regulatory control period. </w:t>
      </w:r>
    </w:p>
    <w:p w:rsidR="009B3860" w:rsidRDefault="009B3860" w:rsidP="009B3860">
      <w:pPr>
        <w:rPr>
          <w:rStyle w:val="Strong"/>
        </w:rPr>
      </w:pPr>
      <w:r>
        <w:rPr>
          <w:rStyle w:val="Strong"/>
        </w:rPr>
        <w:t>Step</w:t>
      </w:r>
    </w:p>
    <w:p w:rsidR="009B3860" w:rsidRDefault="009B3860" w:rsidP="009B3860">
      <w:r>
        <w:t xml:space="preserve">Our draft decision is to not apply any step changes to TasNetworks' base opex. We have not identified any step changes that should be applied and TasNetworks did not propose any. </w:t>
      </w:r>
    </w:p>
    <w:p w:rsidR="009B3860" w:rsidRDefault="009B3860" w:rsidP="009B3860">
      <w:pPr>
        <w:rPr>
          <w:rStyle w:val="Strong"/>
        </w:rPr>
      </w:pPr>
      <w:r>
        <w:rPr>
          <w:rStyle w:val="Strong"/>
        </w:rPr>
        <w:t>Trend</w:t>
      </w:r>
    </w:p>
    <w:p w:rsidR="009B3860" w:rsidRDefault="009B3860" w:rsidP="009B3860">
      <w:r>
        <w:t xml:space="preserve">We accept TasNetworks proposed opex for metering of $10.3 million ($2016–17). </w:t>
      </w:r>
    </w:p>
    <w:p w:rsidR="009B3860" w:rsidRPr="002656C7" w:rsidRDefault="009B3860" w:rsidP="009B3860">
      <w:r>
        <w:t xml:space="preserve">In trending forward TasNetworks base over the 2017–19 period, we have not accounted for changes in productivity and real price growth. This is consistent with TasNetworks' proposal. </w:t>
      </w:r>
    </w:p>
    <w:p w:rsidR="009B3860" w:rsidRPr="00BE2709" w:rsidRDefault="009B3860" w:rsidP="009B3860">
      <w:pPr>
        <w:pStyle w:val="HeadingBoldBlue"/>
      </w:pPr>
      <w:r>
        <w:t>Opening metering asset base</w:t>
      </w:r>
    </w:p>
    <w:p w:rsidR="009B3860" w:rsidRDefault="009B3860" w:rsidP="009B3860">
      <w:r>
        <w:t>Our draft decision accepts TasNetworks' proposed openin</w:t>
      </w:r>
      <w:r w:rsidR="005F62B6">
        <w:t>g MAB as of 1 July 2017 of $46.1</w:t>
      </w:r>
      <w:r>
        <w:t xml:space="preserve"> million ($ nominal).</w:t>
      </w:r>
    </w:p>
    <w:p w:rsidR="009B3860" w:rsidRDefault="009B3860" w:rsidP="009B3860">
      <w:r>
        <w:t xml:space="preserve">TasNetworks rolled forward its MAB using our roll forward model. This involved taking the opening asset value from the last determination and adding actual capex from the report regulatory information notices for the years already completed. It then added forecast expenditure for the remaining years. We are satisfied with this process and therefore the opening MAB value is accepted. </w:t>
      </w:r>
    </w:p>
    <w:p w:rsidR="009B3860" w:rsidRDefault="009B3860" w:rsidP="009B3860">
      <w:pPr>
        <w:numPr>
          <w:ilvl w:val="0"/>
          <w:numId w:val="24"/>
        </w:numPr>
      </w:pPr>
    </w:p>
    <w:p w:rsidR="009B3860" w:rsidRPr="003906D3" w:rsidRDefault="009B3860" w:rsidP="009B3860"/>
    <w:p w:rsidR="009B3860" w:rsidRPr="009B3860" w:rsidRDefault="009B3860" w:rsidP="009B3860"/>
    <w:p w:rsidR="00132D43" w:rsidRDefault="00132D43" w:rsidP="00132D43"/>
    <w:p w:rsidR="00132D43" w:rsidRDefault="00132D43" w:rsidP="00132D43">
      <w:pPr>
        <w:pStyle w:val="Heading7"/>
      </w:pPr>
      <w:bookmarkStart w:id="129" w:name="_Ref456362272"/>
      <w:bookmarkStart w:id="130" w:name="_Ref456364195"/>
      <w:bookmarkStart w:id="131" w:name="_Toc462755678"/>
      <w:r>
        <w:t>A</w:t>
      </w:r>
      <w:r w:rsidR="00083DF4">
        <w:t>ncillary network services</w:t>
      </w:r>
      <w:bookmarkEnd w:id="129"/>
      <w:bookmarkEnd w:id="130"/>
      <w:bookmarkEnd w:id="131"/>
    </w:p>
    <w:p w:rsidR="00083DF4" w:rsidRPr="0002383F" w:rsidRDefault="00083DF4" w:rsidP="00083DF4">
      <w:pPr>
        <w:pStyle w:val="Caption"/>
      </w:pPr>
      <w:bookmarkStart w:id="132" w:name="_Ref455674090"/>
      <w:r w:rsidRPr="0002383F">
        <w:t xml:space="preserve">Table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rsidR="0031261B">
        <w:t>.</w:t>
      </w:r>
      <w:r w:rsidR="00E639DB">
        <w:fldChar w:fldCharType="begin"/>
      </w:r>
      <w:r w:rsidR="00E639DB">
        <w:instrText xml:space="preserve"> SEQ Table \* ARABIC \s 1 </w:instrText>
      </w:r>
      <w:r w:rsidR="00E639DB">
        <w:fldChar w:fldCharType="separate"/>
      </w:r>
      <w:r w:rsidR="000C061E">
        <w:rPr>
          <w:noProof/>
        </w:rPr>
        <w:t>8</w:t>
      </w:r>
      <w:r w:rsidR="00E639DB">
        <w:rPr>
          <w:noProof/>
        </w:rPr>
        <w:fldChar w:fldCharType="end"/>
      </w:r>
      <w:bookmarkEnd w:id="132"/>
      <w:r w:rsidRPr="0002383F">
        <w:t xml:space="preserve">: </w:t>
      </w:r>
      <w:r w:rsidR="00D40DBF">
        <w:t xml:space="preserve">Fee based ancillary network service prices for 2017–18, draft decision </w:t>
      </w:r>
      <w:r>
        <w:t>($201</w:t>
      </w:r>
      <w:r w:rsidR="00120C05">
        <w:t>7</w:t>
      </w:r>
      <w:r>
        <w:t>–1</w:t>
      </w:r>
      <w:r w:rsidR="00120C05">
        <w:t>8</w:t>
      </w:r>
      <w:r>
        <w:t>)</w:t>
      </w:r>
    </w:p>
    <w:tbl>
      <w:tblPr>
        <w:tblStyle w:val="AERtable-numbers"/>
        <w:tblW w:w="0" w:type="auto"/>
        <w:tblLook w:val="04A0" w:firstRow="1" w:lastRow="0" w:firstColumn="1" w:lastColumn="0" w:noHBand="0" w:noVBand="1"/>
      </w:tblPr>
      <w:tblGrid>
        <w:gridCol w:w="5495"/>
        <w:gridCol w:w="1417"/>
        <w:gridCol w:w="1781"/>
      </w:tblGrid>
      <w:tr w:rsidR="00C9424A" w:rsidTr="00144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C9424A" w:rsidRDefault="00C9424A" w:rsidP="00C9424A">
            <w:r>
              <w:t>Fee based service</w:t>
            </w:r>
          </w:p>
        </w:tc>
        <w:tc>
          <w:tcPr>
            <w:tcW w:w="1417" w:type="dxa"/>
          </w:tcPr>
          <w:p w:rsidR="00C9424A" w:rsidRDefault="00C9424A" w:rsidP="00083DF4">
            <w:pPr>
              <w:cnfStyle w:val="100000000000" w:firstRow="1" w:lastRow="0" w:firstColumn="0" w:lastColumn="0" w:oddVBand="0" w:evenVBand="0" w:oddHBand="0" w:evenHBand="0" w:firstRowFirstColumn="0" w:firstRowLastColumn="0" w:lastRowFirstColumn="0" w:lastRowLastColumn="0"/>
            </w:pPr>
            <w:r>
              <w:t>Proposed price</w:t>
            </w:r>
          </w:p>
        </w:tc>
        <w:tc>
          <w:tcPr>
            <w:tcW w:w="1781" w:type="dxa"/>
          </w:tcPr>
          <w:p w:rsidR="00C9424A" w:rsidRDefault="00C9424A" w:rsidP="00083DF4">
            <w:pPr>
              <w:cnfStyle w:val="100000000000" w:firstRow="1" w:lastRow="0" w:firstColumn="0" w:lastColumn="0" w:oddVBand="0" w:evenVBand="0" w:oddHBand="0" w:evenHBand="0" w:firstRowFirstColumn="0" w:firstRowLastColumn="0" w:lastRowFirstColumn="0" w:lastRowLastColumn="0"/>
            </w:pPr>
            <w:r>
              <w:t>AER draft decision</w:t>
            </w:r>
          </w:p>
        </w:tc>
      </w:tr>
      <w:tr w:rsidR="00C9424A" w:rsidRPr="00601E72" w:rsidTr="00144B7B">
        <w:tc>
          <w:tcPr>
            <w:cnfStyle w:val="001000000000" w:firstRow="0" w:lastRow="0" w:firstColumn="1" w:lastColumn="0" w:oddVBand="0" w:evenVBand="0" w:oddHBand="0" w:evenHBand="0" w:firstRowFirstColumn="0" w:firstRowLastColumn="0" w:lastRowFirstColumn="0" w:lastRowLastColumn="0"/>
            <w:tcW w:w="5495" w:type="dxa"/>
          </w:tcPr>
          <w:p w:rsidR="00C9424A" w:rsidRPr="00601E72" w:rsidRDefault="00C9424A" w:rsidP="00083DF4">
            <w:pPr>
              <w:rPr>
                <w:rStyle w:val="Strong"/>
              </w:rPr>
            </w:pPr>
            <w:r w:rsidRPr="00601E72">
              <w:rPr>
                <w:rStyle w:val="Strong"/>
              </w:rPr>
              <w:t>Energisation, de</w:t>
            </w:r>
            <w:r w:rsidRPr="00601E72">
              <w:rPr>
                <w:rStyle w:val="Strong"/>
              </w:rPr>
              <w:noBreakHyphen/>
              <w:t>energisation, re</w:t>
            </w:r>
            <w:r w:rsidRPr="00601E72">
              <w:rPr>
                <w:rStyle w:val="Strong"/>
              </w:rPr>
              <w:noBreakHyphen/>
              <w:t>energisation and special reads</w:t>
            </w:r>
          </w:p>
        </w:tc>
        <w:tc>
          <w:tcPr>
            <w:tcW w:w="1417" w:type="dxa"/>
          </w:tcPr>
          <w:p w:rsidR="00C9424A" w:rsidRPr="00601E72" w:rsidRDefault="00C9424A" w:rsidP="00083DF4">
            <w:pPr>
              <w:cnfStyle w:val="000000000000" w:firstRow="0" w:lastRow="0" w:firstColumn="0" w:lastColumn="0" w:oddVBand="0" w:evenVBand="0" w:oddHBand="0" w:evenHBand="0" w:firstRowFirstColumn="0" w:firstRowLastColumn="0" w:lastRowFirstColumn="0" w:lastRowLastColumn="0"/>
              <w:rPr>
                <w:rStyle w:val="Strong"/>
              </w:rPr>
            </w:pPr>
          </w:p>
        </w:tc>
        <w:tc>
          <w:tcPr>
            <w:tcW w:w="1781" w:type="dxa"/>
          </w:tcPr>
          <w:p w:rsidR="00C9424A" w:rsidRPr="00601E72" w:rsidRDefault="00C9424A" w:rsidP="00083DF4">
            <w:pPr>
              <w:cnfStyle w:val="000000000000" w:firstRow="0" w:lastRow="0" w:firstColumn="0" w:lastColumn="0" w:oddVBand="0" w:evenVBand="0" w:oddHBand="0" w:evenHBand="0" w:firstRowFirstColumn="0" w:firstRowLastColumn="0" w:lastRowFirstColumn="0" w:lastRowLastColumn="0"/>
              <w:rPr>
                <w:rStyle w:val="Strong"/>
              </w:rPr>
            </w:pPr>
          </w:p>
        </w:tc>
      </w:tr>
      <w:tr w:rsidR="00C9424A"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C9424A" w:rsidRDefault="00601E72" w:rsidP="00083DF4">
            <w:r>
              <w:t>Site visit – no appointment</w:t>
            </w:r>
          </w:p>
        </w:tc>
        <w:tc>
          <w:tcPr>
            <w:tcW w:w="1417" w:type="dxa"/>
          </w:tcPr>
          <w:p w:rsidR="00C9424A" w:rsidRDefault="00601E72" w:rsidP="00083DF4">
            <w:pPr>
              <w:cnfStyle w:val="000000010000" w:firstRow="0" w:lastRow="0" w:firstColumn="0" w:lastColumn="0" w:oddVBand="0" w:evenVBand="0" w:oddHBand="0" w:evenHBand="1" w:firstRowFirstColumn="0" w:firstRowLastColumn="0" w:lastRowFirstColumn="0" w:lastRowLastColumn="0"/>
            </w:pPr>
            <w:r>
              <w:t>59.70</w:t>
            </w:r>
          </w:p>
        </w:tc>
        <w:tc>
          <w:tcPr>
            <w:tcW w:w="1781" w:type="dxa"/>
          </w:tcPr>
          <w:p w:rsidR="00C9424A" w:rsidRDefault="00144B7B" w:rsidP="00083DF4">
            <w:pPr>
              <w:cnfStyle w:val="000000010000" w:firstRow="0" w:lastRow="0" w:firstColumn="0" w:lastColumn="0" w:oddVBand="0" w:evenVBand="0" w:oddHBand="0" w:evenHBand="1" w:firstRowFirstColumn="0" w:firstRowLastColumn="0" w:lastRowFirstColumn="0" w:lastRowLastColumn="0"/>
            </w:pPr>
            <w:r>
              <w:t>48.07</w:t>
            </w:r>
          </w:p>
        </w:tc>
      </w:tr>
      <w:tr w:rsidR="00C9424A" w:rsidTr="00144B7B">
        <w:tc>
          <w:tcPr>
            <w:cnfStyle w:val="001000000000" w:firstRow="0" w:lastRow="0" w:firstColumn="1" w:lastColumn="0" w:oddVBand="0" w:evenVBand="0" w:oddHBand="0" w:evenHBand="0" w:firstRowFirstColumn="0" w:firstRowLastColumn="0" w:lastRowFirstColumn="0" w:lastRowLastColumn="0"/>
            <w:tcW w:w="5495" w:type="dxa"/>
          </w:tcPr>
          <w:p w:rsidR="00C9424A" w:rsidRDefault="00601E72" w:rsidP="00083DF4">
            <w:r>
              <w:t>Site visit – non</w:t>
            </w:r>
            <w:r>
              <w:noBreakHyphen/>
              <w:t>scheduled visit</w:t>
            </w:r>
          </w:p>
        </w:tc>
        <w:tc>
          <w:tcPr>
            <w:tcW w:w="1417" w:type="dxa"/>
          </w:tcPr>
          <w:p w:rsidR="00C9424A" w:rsidRDefault="00601E72" w:rsidP="00083DF4">
            <w:pPr>
              <w:cnfStyle w:val="000000000000" w:firstRow="0" w:lastRow="0" w:firstColumn="0" w:lastColumn="0" w:oddVBand="0" w:evenVBand="0" w:oddHBand="0" w:evenHBand="0" w:firstRowFirstColumn="0" w:firstRowLastColumn="0" w:lastRowFirstColumn="0" w:lastRowLastColumn="0"/>
            </w:pPr>
            <w:r>
              <w:t>141.82</w:t>
            </w:r>
          </w:p>
        </w:tc>
        <w:tc>
          <w:tcPr>
            <w:tcW w:w="1781" w:type="dxa"/>
          </w:tcPr>
          <w:p w:rsidR="00C9424A" w:rsidRDefault="00144B7B" w:rsidP="00083DF4">
            <w:pPr>
              <w:cnfStyle w:val="000000000000" w:firstRow="0" w:lastRow="0" w:firstColumn="0" w:lastColumn="0" w:oddVBand="0" w:evenVBand="0" w:oddHBand="0" w:evenHBand="0" w:firstRowFirstColumn="0" w:firstRowLastColumn="0" w:lastRowFirstColumn="0" w:lastRowLastColumn="0"/>
            </w:pPr>
            <w:r>
              <w:t>112.93</w:t>
            </w:r>
          </w:p>
        </w:tc>
      </w:tr>
      <w:tr w:rsidR="00C9424A"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C9424A" w:rsidRDefault="00601E72" w:rsidP="00083DF4">
            <w:r>
              <w:t>Site visit – same day premium service</w:t>
            </w:r>
          </w:p>
        </w:tc>
        <w:tc>
          <w:tcPr>
            <w:tcW w:w="1417" w:type="dxa"/>
          </w:tcPr>
          <w:p w:rsidR="00C9424A" w:rsidRDefault="00601E72" w:rsidP="00083DF4">
            <w:pPr>
              <w:cnfStyle w:val="000000010000" w:firstRow="0" w:lastRow="0" w:firstColumn="0" w:lastColumn="0" w:oddVBand="0" w:evenVBand="0" w:oddHBand="0" w:evenHBand="1" w:firstRowFirstColumn="0" w:firstRowLastColumn="0" w:lastRowFirstColumn="0" w:lastRowLastColumn="0"/>
            </w:pPr>
            <w:r>
              <w:t>265.66</w:t>
            </w:r>
          </w:p>
        </w:tc>
        <w:tc>
          <w:tcPr>
            <w:tcW w:w="1781" w:type="dxa"/>
          </w:tcPr>
          <w:p w:rsidR="00C9424A" w:rsidRDefault="00144B7B" w:rsidP="00083DF4">
            <w:pPr>
              <w:cnfStyle w:val="000000010000" w:firstRow="0" w:lastRow="0" w:firstColumn="0" w:lastColumn="0" w:oddVBand="0" w:evenVBand="0" w:oddHBand="0" w:evenHBand="1" w:firstRowFirstColumn="0" w:firstRowLastColumn="0" w:lastRowFirstColumn="0" w:lastRowLastColumn="0"/>
            </w:pPr>
            <w:r>
              <w:t>156.16</w:t>
            </w:r>
          </w:p>
        </w:tc>
      </w:tr>
      <w:tr w:rsidR="00C9424A" w:rsidTr="00144B7B">
        <w:tc>
          <w:tcPr>
            <w:cnfStyle w:val="001000000000" w:firstRow="0" w:lastRow="0" w:firstColumn="1" w:lastColumn="0" w:oddVBand="0" w:evenVBand="0" w:oddHBand="0" w:evenHBand="0" w:firstRowFirstColumn="0" w:firstRowLastColumn="0" w:lastRowFirstColumn="0" w:lastRowLastColumn="0"/>
            <w:tcW w:w="5495" w:type="dxa"/>
          </w:tcPr>
          <w:p w:rsidR="00C9424A" w:rsidRDefault="00601E72" w:rsidP="00083DF4">
            <w:r>
              <w:t>Site visit – after hours</w:t>
            </w:r>
          </w:p>
        </w:tc>
        <w:tc>
          <w:tcPr>
            <w:tcW w:w="1417" w:type="dxa"/>
          </w:tcPr>
          <w:p w:rsidR="00C9424A" w:rsidRDefault="00601E72" w:rsidP="00083DF4">
            <w:pPr>
              <w:cnfStyle w:val="000000000000" w:firstRow="0" w:lastRow="0" w:firstColumn="0" w:lastColumn="0" w:oddVBand="0" w:evenVBand="0" w:oddHBand="0" w:evenHBand="0" w:firstRowFirstColumn="0" w:firstRowLastColumn="0" w:lastRowFirstColumn="0" w:lastRowLastColumn="0"/>
            </w:pPr>
            <w:r>
              <w:t>712.32</w:t>
            </w:r>
          </w:p>
        </w:tc>
        <w:tc>
          <w:tcPr>
            <w:tcW w:w="1781" w:type="dxa"/>
          </w:tcPr>
          <w:p w:rsidR="00C9424A" w:rsidRDefault="00144B7B" w:rsidP="00083DF4">
            <w:pPr>
              <w:cnfStyle w:val="000000000000" w:firstRow="0" w:lastRow="0" w:firstColumn="0" w:lastColumn="0" w:oddVBand="0" w:evenVBand="0" w:oddHBand="0" w:evenHBand="0" w:firstRowFirstColumn="0" w:firstRowLastColumn="0" w:lastRowFirstColumn="0" w:lastRowLastColumn="0"/>
            </w:pPr>
            <w:r>
              <w:t>161.21</w:t>
            </w:r>
          </w:p>
        </w:tc>
      </w:tr>
      <w:tr w:rsidR="00C9424A"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C9424A" w:rsidRDefault="00601E72" w:rsidP="00083DF4">
            <w:r>
              <w:t>Site visit – credit action or site issues</w:t>
            </w:r>
          </w:p>
        </w:tc>
        <w:tc>
          <w:tcPr>
            <w:tcW w:w="1417" w:type="dxa"/>
          </w:tcPr>
          <w:p w:rsidR="00C9424A" w:rsidRDefault="00601E72" w:rsidP="00083DF4">
            <w:pPr>
              <w:cnfStyle w:val="000000010000" w:firstRow="0" w:lastRow="0" w:firstColumn="0" w:lastColumn="0" w:oddVBand="0" w:evenVBand="0" w:oddHBand="0" w:evenHBand="1" w:firstRowFirstColumn="0" w:firstRowLastColumn="0" w:lastRowFirstColumn="0" w:lastRowLastColumn="0"/>
            </w:pPr>
            <w:r>
              <w:t>138.28</w:t>
            </w:r>
          </w:p>
        </w:tc>
        <w:tc>
          <w:tcPr>
            <w:tcW w:w="1781" w:type="dxa"/>
          </w:tcPr>
          <w:p w:rsidR="00C9424A" w:rsidRDefault="00144B7B" w:rsidP="00083DF4">
            <w:pPr>
              <w:cnfStyle w:val="000000010000" w:firstRow="0" w:lastRow="0" w:firstColumn="0" w:lastColumn="0" w:oddVBand="0" w:evenVBand="0" w:oddHBand="0" w:evenHBand="1" w:firstRowFirstColumn="0" w:firstRowLastColumn="0" w:lastRowFirstColumn="0" w:lastRowLastColumn="0"/>
            </w:pPr>
            <w:r>
              <w:t>126.66</w:t>
            </w:r>
          </w:p>
        </w:tc>
      </w:tr>
      <w:tr w:rsidR="00C9424A" w:rsidTr="00144B7B">
        <w:tc>
          <w:tcPr>
            <w:cnfStyle w:val="001000000000" w:firstRow="0" w:lastRow="0" w:firstColumn="1" w:lastColumn="0" w:oddVBand="0" w:evenVBand="0" w:oddHBand="0" w:evenHBand="0" w:firstRowFirstColumn="0" w:firstRowLastColumn="0" w:lastRowFirstColumn="0" w:lastRowLastColumn="0"/>
            <w:tcW w:w="5495" w:type="dxa"/>
          </w:tcPr>
          <w:p w:rsidR="00C9424A" w:rsidRDefault="00601E72" w:rsidP="00083DF4">
            <w:r>
              <w:t>Site visit – credit action pillar box/pole top</w:t>
            </w:r>
          </w:p>
        </w:tc>
        <w:tc>
          <w:tcPr>
            <w:tcW w:w="1417" w:type="dxa"/>
          </w:tcPr>
          <w:p w:rsidR="00C9424A" w:rsidRDefault="00601E72" w:rsidP="00083DF4">
            <w:pPr>
              <w:cnfStyle w:val="000000000000" w:firstRow="0" w:lastRow="0" w:firstColumn="0" w:lastColumn="0" w:oddVBand="0" w:evenVBand="0" w:oddHBand="0" w:evenHBand="0" w:firstRowFirstColumn="0" w:firstRowLastColumn="0" w:lastRowFirstColumn="0" w:lastRowLastColumn="0"/>
            </w:pPr>
            <w:r>
              <w:t>247.73</w:t>
            </w:r>
          </w:p>
        </w:tc>
        <w:tc>
          <w:tcPr>
            <w:tcW w:w="1781" w:type="dxa"/>
          </w:tcPr>
          <w:p w:rsidR="00C9424A" w:rsidRDefault="00144B7B" w:rsidP="00083DF4">
            <w:pPr>
              <w:cnfStyle w:val="000000000000" w:firstRow="0" w:lastRow="0" w:firstColumn="0" w:lastColumn="0" w:oddVBand="0" w:evenVBand="0" w:oddHBand="0" w:evenHBand="0" w:firstRowFirstColumn="0" w:firstRowLastColumn="0" w:lastRowFirstColumn="0" w:lastRowLastColumn="0"/>
            </w:pPr>
            <w:r>
              <w:t>236.11</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Site visit – current transformer (CT) metering</w:t>
            </w:r>
          </w:p>
        </w:tc>
        <w:tc>
          <w:tcPr>
            <w:tcW w:w="1417" w:type="dxa"/>
          </w:tcPr>
          <w:p w:rsidR="00601E72" w:rsidRDefault="00601E72" w:rsidP="00083DF4">
            <w:pPr>
              <w:cnfStyle w:val="000000010000" w:firstRow="0" w:lastRow="0" w:firstColumn="0" w:lastColumn="0" w:oddVBand="0" w:evenVBand="0" w:oddHBand="0" w:evenHBand="1" w:firstRowFirstColumn="0" w:firstRowLastColumn="0" w:lastRowFirstColumn="0" w:lastRowLastColumn="0"/>
            </w:pPr>
            <w:r>
              <w:t>128.87</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117.24</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Site visit – pillar box/pole top</w:t>
            </w:r>
          </w:p>
        </w:tc>
        <w:tc>
          <w:tcPr>
            <w:tcW w:w="1417" w:type="dxa"/>
          </w:tcPr>
          <w:p w:rsidR="00601E72" w:rsidRDefault="00601E72" w:rsidP="00083DF4">
            <w:pPr>
              <w:cnfStyle w:val="000000000000" w:firstRow="0" w:lastRow="0" w:firstColumn="0" w:lastColumn="0" w:oddVBand="0" w:evenVBand="0" w:oddHBand="0" w:evenHBand="0" w:firstRowFirstColumn="0" w:firstRowLastColumn="0" w:lastRowFirstColumn="0" w:lastRowLastColumn="0"/>
            </w:pPr>
            <w:r>
              <w:t>247.73</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236.11</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Site visit – pillar box/pole top wasted visit</w:t>
            </w:r>
          </w:p>
        </w:tc>
        <w:tc>
          <w:tcPr>
            <w:tcW w:w="1417" w:type="dxa"/>
          </w:tcPr>
          <w:p w:rsidR="00601E72" w:rsidRDefault="00601E72" w:rsidP="00083DF4">
            <w:pPr>
              <w:cnfStyle w:val="000000010000" w:firstRow="0" w:lastRow="0" w:firstColumn="0" w:lastColumn="0" w:oddVBand="0" w:evenVBand="0" w:oddHBand="0" w:evenHBand="1" w:firstRowFirstColumn="0" w:firstRowLastColumn="0" w:lastRowFirstColumn="0" w:lastRowLastColumn="0"/>
            </w:pPr>
            <w:r>
              <w:t>147.88</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136.25</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Transfer of retailer</w:t>
            </w:r>
          </w:p>
        </w:tc>
        <w:tc>
          <w:tcPr>
            <w:tcW w:w="1417" w:type="dxa"/>
          </w:tcPr>
          <w:p w:rsidR="00601E72" w:rsidRDefault="00601E72" w:rsidP="00083DF4">
            <w:pPr>
              <w:cnfStyle w:val="000000000000" w:firstRow="0" w:lastRow="0" w:firstColumn="0" w:lastColumn="0" w:oddVBand="0" w:evenVBand="0" w:oddHBand="0" w:evenHBand="0" w:firstRowFirstColumn="0" w:firstRowLastColumn="0" w:lastRowFirstColumn="0" w:lastRowLastColumn="0"/>
            </w:pPr>
            <w:r>
              <w:t>0.00</w:t>
            </w:r>
          </w:p>
        </w:tc>
        <w:tc>
          <w:tcPr>
            <w:tcW w:w="1781" w:type="dxa"/>
          </w:tcPr>
          <w:p w:rsidR="00601E72" w:rsidRDefault="00601E72" w:rsidP="00083DF4">
            <w:pPr>
              <w:cnfStyle w:val="000000000000" w:firstRow="0" w:lastRow="0" w:firstColumn="0" w:lastColumn="0" w:oddVBand="0" w:evenVBand="0" w:oddHBand="0" w:evenHBand="0" w:firstRowFirstColumn="0" w:firstRowLastColumn="0" w:lastRowFirstColumn="0" w:lastRowLastColumn="0"/>
            </w:pPr>
            <w:r>
              <w:t>0.00</w:t>
            </w:r>
          </w:p>
        </w:tc>
      </w:tr>
      <w:tr w:rsidR="00601E72" w:rsidRP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Pr="00601E72" w:rsidRDefault="00601E72" w:rsidP="00083DF4">
            <w:pPr>
              <w:rPr>
                <w:rStyle w:val="Strong"/>
              </w:rPr>
            </w:pPr>
            <w:r w:rsidRPr="00601E72">
              <w:rPr>
                <w:rStyle w:val="Strong"/>
              </w:rPr>
              <w:t>Meter alteration</w:t>
            </w:r>
          </w:p>
        </w:tc>
        <w:tc>
          <w:tcPr>
            <w:tcW w:w="1417" w:type="dxa"/>
          </w:tcPr>
          <w:p w:rsidR="00601E72" w:rsidRPr="00601E72" w:rsidRDefault="00601E72" w:rsidP="00083DF4">
            <w:pPr>
              <w:cnfStyle w:val="000000010000" w:firstRow="0" w:lastRow="0" w:firstColumn="0" w:lastColumn="0" w:oddVBand="0" w:evenVBand="0" w:oddHBand="0" w:evenHBand="1" w:firstRowFirstColumn="0" w:firstRowLastColumn="0" w:lastRowFirstColumn="0" w:lastRowLastColumn="0"/>
              <w:rPr>
                <w:rStyle w:val="Strong"/>
              </w:rPr>
            </w:pPr>
          </w:p>
        </w:tc>
        <w:tc>
          <w:tcPr>
            <w:tcW w:w="1781" w:type="dxa"/>
          </w:tcPr>
          <w:p w:rsidR="00601E72" w:rsidRPr="00601E72" w:rsidRDefault="00601E72" w:rsidP="00083DF4">
            <w:pPr>
              <w:cnfStyle w:val="000000010000" w:firstRow="0" w:lastRow="0" w:firstColumn="0" w:lastColumn="0" w:oddVBand="0" w:evenVBand="0" w:oddHBand="0" w:evenHBand="1" w:firstRowFirstColumn="0" w:firstRowLastColumn="0" w:lastRowFirstColumn="0" w:lastRowLastColumn="0"/>
              <w:rPr>
                <w:rStyle w:val="Strong"/>
              </w:rPr>
            </w:pP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Tariff alteration – single phase</w:t>
            </w:r>
          </w:p>
        </w:tc>
        <w:tc>
          <w:tcPr>
            <w:tcW w:w="1417" w:type="dxa"/>
          </w:tcPr>
          <w:p w:rsidR="00601E72" w:rsidRDefault="00601E72" w:rsidP="00083DF4">
            <w:pPr>
              <w:cnfStyle w:val="000000000000" w:firstRow="0" w:lastRow="0" w:firstColumn="0" w:lastColumn="0" w:oddVBand="0" w:evenVBand="0" w:oddHBand="0" w:evenHBand="0" w:firstRowFirstColumn="0" w:firstRowLastColumn="0" w:lastRowFirstColumn="0" w:lastRowLastColumn="0"/>
            </w:pPr>
            <w:r>
              <w:t>139.68</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128.06</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Tariff alteration – multi phase</w:t>
            </w:r>
          </w:p>
        </w:tc>
        <w:tc>
          <w:tcPr>
            <w:tcW w:w="1417" w:type="dxa"/>
          </w:tcPr>
          <w:p w:rsidR="00601E72" w:rsidRDefault="00601E72" w:rsidP="00083DF4">
            <w:pPr>
              <w:cnfStyle w:val="000000010000" w:firstRow="0" w:lastRow="0" w:firstColumn="0" w:lastColumn="0" w:oddVBand="0" w:evenVBand="0" w:oddHBand="0" w:evenHBand="1" w:firstRowFirstColumn="0" w:firstRowLastColumn="0" w:lastRowFirstColumn="0" w:lastRowLastColumn="0"/>
            </w:pPr>
            <w:r>
              <w:t>182.92</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171.29</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Adjust time clock</w:t>
            </w:r>
          </w:p>
        </w:tc>
        <w:tc>
          <w:tcPr>
            <w:tcW w:w="1417" w:type="dxa"/>
          </w:tcPr>
          <w:p w:rsidR="00601E72" w:rsidRDefault="00601E72" w:rsidP="00083DF4">
            <w:pPr>
              <w:cnfStyle w:val="000000000000" w:firstRow="0" w:lastRow="0" w:firstColumn="0" w:lastColumn="0" w:oddVBand="0" w:evenVBand="0" w:oddHBand="0" w:evenHBand="0" w:firstRowFirstColumn="0" w:firstRowLastColumn="0" w:lastRowFirstColumn="0" w:lastRowLastColumn="0"/>
            </w:pPr>
            <w:r>
              <w:t>81.31</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69.69</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Install pulse outputs</w:t>
            </w:r>
          </w:p>
        </w:tc>
        <w:tc>
          <w:tcPr>
            <w:tcW w:w="1417" w:type="dxa"/>
          </w:tcPr>
          <w:p w:rsidR="00601E72" w:rsidRDefault="00601E72" w:rsidP="00083DF4">
            <w:pPr>
              <w:cnfStyle w:val="000000010000" w:firstRow="0" w:lastRow="0" w:firstColumn="0" w:lastColumn="0" w:oddVBand="0" w:evenVBand="0" w:oddHBand="0" w:evenHBand="1" w:firstRowFirstColumn="0" w:firstRowLastColumn="0" w:lastRowFirstColumn="0" w:lastRowLastColumn="0"/>
            </w:pPr>
            <w:r>
              <w:t>128.87</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117.25</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Remove meter – single phase</w:t>
            </w:r>
          </w:p>
        </w:tc>
        <w:tc>
          <w:tcPr>
            <w:tcW w:w="1417" w:type="dxa"/>
          </w:tcPr>
          <w:p w:rsidR="00601E72" w:rsidRDefault="00601E72" w:rsidP="00083DF4">
            <w:pPr>
              <w:cnfStyle w:val="000000000000" w:firstRow="0" w:lastRow="0" w:firstColumn="0" w:lastColumn="0" w:oddVBand="0" w:evenVBand="0" w:oddHBand="0" w:evenHBand="0" w:firstRowFirstColumn="0" w:firstRowLastColumn="0" w:lastRowFirstColumn="0" w:lastRowLastColumn="0"/>
            </w:pPr>
            <w:r>
              <w:t>139.68</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128.06</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Remove meter – multi phase</w:t>
            </w:r>
          </w:p>
        </w:tc>
        <w:tc>
          <w:tcPr>
            <w:tcW w:w="1417" w:type="dxa"/>
          </w:tcPr>
          <w:p w:rsidR="00601E72" w:rsidRDefault="00601E72" w:rsidP="00083DF4">
            <w:pPr>
              <w:cnfStyle w:val="000000010000" w:firstRow="0" w:lastRow="0" w:firstColumn="0" w:lastColumn="0" w:oddVBand="0" w:evenVBand="0" w:oddHBand="0" w:evenHBand="1" w:firstRowFirstColumn="0" w:firstRowLastColumn="0" w:lastRowFirstColumn="0" w:lastRowLastColumn="0"/>
            </w:pPr>
            <w:r>
              <w:t>182.92</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171.29</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Meter alteration – after hours visit</w:t>
            </w:r>
          </w:p>
        </w:tc>
        <w:tc>
          <w:tcPr>
            <w:tcW w:w="1417" w:type="dxa"/>
          </w:tcPr>
          <w:p w:rsidR="00601E72" w:rsidRDefault="00601E72" w:rsidP="00083DF4">
            <w:pPr>
              <w:cnfStyle w:val="000000000000" w:firstRow="0" w:lastRow="0" w:firstColumn="0" w:lastColumn="0" w:oddVBand="0" w:evenVBand="0" w:oddHBand="0" w:evenHBand="0" w:firstRowFirstColumn="0" w:firstRowLastColumn="0" w:lastRowFirstColumn="0" w:lastRowLastColumn="0"/>
            </w:pPr>
            <w:r>
              <w:t>712.32</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237.23</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Meter alteration – wasted visit</w:t>
            </w:r>
          </w:p>
        </w:tc>
        <w:tc>
          <w:tcPr>
            <w:tcW w:w="1417" w:type="dxa"/>
          </w:tcPr>
          <w:p w:rsidR="00601E72" w:rsidRDefault="00601E72" w:rsidP="00083DF4">
            <w:pPr>
              <w:cnfStyle w:val="000000010000" w:firstRow="0" w:lastRow="0" w:firstColumn="0" w:lastColumn="0" w:oddVBand="0" w:evenVBand="0" w:oddHBand="0" w:evenHBand="1" w:firstRowFirstColumn="0" w:firstRowLastColumn="0" w:lastRowFirstColumn="0" w:lastRowLastColumn="0"/>
            </w:pPr>
            <w:r>
              <w:t>85.64</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74.01</w:t>
            </w:r>
          </w:p>
        </w:tc>
      </w:tr>
      <w:tr w:rsidR="00601E72" w:rsidRP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Pr="00601E72" w:rsidRDefault="00601E72" w:rsidP="00083DF4">
            <w:pPr>
              <w:rPr>
                <w:rStyle w:val="Strong"/>
              </w:rPr>
            </w:pPr>
            <w:r w:rsidRPr="00601E72">
              <w:rPr>
                <w:rStyle w:val="Strong"/>
              </w:rPr>
              <w:t>Meter test</w:t>
            </w:r>
          </w:p>
        </w:tc>
        <w:tc>
          <w:tcPr>
            <w:tcW w:w="1417" w:type="dxa"/>
          </w:tcPr>
          <w:p w:rsidR="00601E72" w:rsidRPr="00601E72" w:rsidRDefault="00601E72" w:rsidP="00083DF4">
            <w:pPr>
              <w:cnfStyle w:val="000000000000" w:firstRow="0" w:lastRow="0" w:firstColumn="0" w:lastColumn="0" w:oddVBand="0" w:evenVBand="0" w:oddHBand="0" w:evenHBand="0" w:firstRowFirstColumn="0" w:firstRowLastColumn="0" w:lastRowFirstColumn="0" w:lastRowLastColumn="0"/>
              <w:rPr>
                <w:rStyle w:val="Strong"/>
              </w:rPr>
            </w:pPr>
          </w:p>
        </w:tc>
        <w:tc>
          <w:tcPr>
            <w:tcW w:w="1781" w:type="dxa"/>
          </w:tcPr>
          <w:p w:rsidR="00601E72" w:rsidRPr="00601E72" w:rsidRDefault="00601E72" w:rsidP="00083DF4">
            <w:pPr>
              <w:cnfStyle w:val="000000000000" w:firstRow="0" w:lastRow="0" w:firstColumn="0" w:lastColumn="0" w:oddVBand="0" w:evenVBand="0" w:oddHBand="0" w:evenHBand="0" w:firstRowFirstColumn="0" w:firstRowLastColumn="0" w:lastRowFirstColumn="0" w:lastRowLastColumn="0"/>
              <w:rPr>
                <w:rStyle w:val="Strong"/>
              </w:rPr>
            </w:pP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Meter test – single phase</w:t>
            </w:r>
          </w:p>
        </w:tc>
        <w:tc>
          <w:tcPr>
            <w:tcW w:w="1417" w:type="dxa"/>
          </w:tcPr>
          <w:p w:rsidR="00601E72" w:rsidRDefault="00601E72" w:rsidP="00083DF4">
            <w:pPr>
              <w:cnfStyle w:val="000000010000" w:firstRow="0" w:lastRow="0" w:firstColumn="0" w:lastColumn="0" w:oddVBand="0" w:evenVBand="0" w:oddHBand="0" w:evenHBand="1" w:firstRowFirstColumn="0" w:firstRowLastColumn="0" w:lastRowFirstColumn="0" w:lastRowLastColumn="0"/>
            </w:pPr>
            <w:r>
              <w:t>215.34</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203.72</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Meter test – multi phase</w:t>
            </w:r>
          </w:p>
        </w:tc>
        <w:tc>
          <w:tcPr>
            <w:tcW w:w="1417" w:type="dxa"/>
          </w:tcPr>
          <w:p w:rsidR="00601E72" w:rsidRDefault="00601E72" w:rsidP="00083DF4">
            <w:pPr>
              <w:cnfStyle w:val="000000000000" w:firstRow="0" w:lastRow="0" w:firstColumn="0" w:lastColumn="0" w:oddVBand="0" w:evenVBand="0" w:oddHBand="0" w:evenHBand="0" w:firstRowFirstColumn="0" w:firstRowLastColumn="0" w:lastRowFirstColumn="0" w:lastRowLastColumn="0"/>
            </w:pPr>
            <w:r>
              <w:t>409.90</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398.28</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Meter test – current transformer (CT)</w:t>
            </w:r>
          </w:p>
        </w:tc>
        <w:tc>
          <w:tcPr>
            <w:tcW w:w="1417" w:type="dxa"/>
          </w:tcPr>
          <w:p w:rsidR="00601E72" w:rsidRDefault="00601E72" w:rsidP="00083DF4">
            <w:pPr>
              <w:cnfStyle w:val="000000010000" w:firstRow="0" w:lastRow="0" w:firstColumn="0" w:lastColumn="0" w:oddVBand="0" w:evenVBand="0" w:oddHBand="0" w:evenHBand="1" w:firstRowFirstColumn="0" w:firstRowLastColumn="0" w:lastRowFirstColumn="0" w:lastRowLastColumn="0"/>
            </w:pPr>
            <w:r>
              <w:t>453.14</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441.51</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Meter test – after hours</w:t>
            </w:r>
          </w:p>
        </w:tc>
        <w:tc>
          <w:tcPr>
            <w:tcW w:w="1417" w:type="dxa"/>
          </w:tcPr>
          <w:p w:rsidR="00601E72" w:rsidRDefault="00601E72" w:rsidP="00083DF4">
            <w:pPr>
              <w:cnfStyle w:val="000000000000" w:firstRow="0" w:lastRow="0" w:firstColumn="0" w:lastColumn="0" w:oddVBand="0" w:evenVBand="0" w:oddHBand="0" w:evenHBand="0" w:firstRowFirstColumn="0" w:firstRowLastColumn="0" w:lastRowFirstColumn="0" w:lastRowLastColumn="0"/>
            </w:pPr>
            <w:r>
              <w:t>712.32</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617.34</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Meter test – wasted visit</w:t>
            </w:r>
          </w:p>
        </w:tc>
        <w:tc>
          <w:tcPr>
            <w:tcW w:w="1417" w:type="dxa"/>
          </w:tcPr>
          <w:p w:rsidR="00601E72" w:rsidRDefault="00601E72" w:rsidP="00083DF4">
            <w:pPr>
              <w:cnfStyle w:val="000000010000" w:firstRow="0" w:lastRow="0" w:firstColumn="0" w:lastColumn="0" w:oddVBand="0" w:evenVBand="0" w:oddHBand="0" w:evenHBand="1" w:firstRowFirstColumn="0" w:firstRowLastColumn="0" w:lastRowFirstColumn="0" w:lastRowLastColumn="0"/>
            </w:pPr>
            <w:r>
              <w:t>85.64</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74.01</w:t>
            </w:r>
          </w:p>
        </w:tc>
      </w:tr>
      <w:tr w:rsidR="00601E72" w:rsidRP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Pr="00601E72" w:rsidRDefault="00601E72" w:rsidP="00083DF4">
            <w:pPr>
              <w:rPr>
                <w:rStyle w:val="Strong"/>
              </w:rPr>
            </w:pPr>
            <w:r w:rsidRPr="00601E72">
              <w:rPr>
                <w:rStyle w:val="Strong"/>
              </w:rPr>
              <w:t>Supply abolishment</w:t>
            </w:r>
          </w:p>
        </w:tc>
        <w:tc>
          <w:tcPr>
            <w:tcW w:w="1417" w:type="dxa"/>
          </w:tcPr>
          <w:p w:rsidR="00601E72" w:rsidRPr="00601E72" w:rsidRDefault="00601E72" w:rsidP="00083DF4">
            <w:pPr>
              <w:cnfStyle w:val="000000000000" w:firstRow="0" w:lastRow="0" w:firstColumn="0" w:lastColumn="0" w:oddVBand="0" w:evenVBand="0" w:oddHBand="0" w:evenHBand="0" w:firstRowFirstColumn="0" w:firstRowLastColumn="0" w:lastRowFirstColumn="0" w:lastRowLastColumn="0"/>
              <w:rPr>
                <w:rStyle w:val="Strong"/>
              </w:rPr>
            </w:pPr>
          </w:p>
        </w:tc>
        <w:tc>
          <w:tcPr>
            <w:tcW w:w="1781" w:type="dxa"/>
          </w:tcPr>
          <w:p w:rsidR="00601E72" w:rsidRPr="00601E72" w:rsidRDefault="00601E72" w:rsidP="00083DF4">
            <w:pPr>
              <w:cnfStyle w:val="000000000000" w:firstRow="0" w:lastRow="0" w:firstColumn="0" w:lastColumn="0" w:oddVBand="0" w:evenVBand="0" w:oddHBand="0" w:evenHBand="0" w:firstRowFirstColumn="0" w:firstRowLastColumn="0" w:lastRowFirstColumn="0" w:lastRowLastColumn="0"/>
              <w:rPr>
                <w:rStyle w:val="Strong"/>
              </w:rPr>
            </w:pP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Remove service and meters</w:t>
            </w:r>
          </w:p>
        </w:tc>
        <w:tc>
          <w:tcPr>
            <w:tcW w:w="1417" w:type="dxa"/>
          </w:tcPr>
          <w:p w:rsidR="00601E72" w:rsidRDefault="00601E72" w:rsidP="00083DF4">
            <w:pPr>
              <w:cnfStyle w:val="000000010000" w:firstRow="0" w:lastRow="0" w:firstColumn="0" w:lastColumn="0" w:oddVBand="0" w:evenVBand="0" w:oddHBand="0" w:evenHBand="1" w:firstRowFirstColumn="0" w:firstRowLastColumn="0" w:lastRowFirstColumn="0" w:lastRowLastColumn="0"/>
            </w:pPr>
            <w:r>
              <w:t>260.20</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241.61</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601E72" w:rsidP="00083DF4">
            <w:r>
              <w:t>Supply abolishment – after hours</w:t>
            </w:r>
          </w:p>
        </w:tc>
        <w:tc>
          <w:tcPr>
            <w:tcW w:w="1417" w:type="dxa"/>
          </w:tcPr>
          <w:p w:rsidR="00601E72" w:rsidRDefault="00DE7DBB" w:rsidP="00083DF4">
            <w:pPr>
              <w:cnfStyle w:val="000000000000" w:firstRow="0" w:lastRow="0" w:firstColumn="0" w:lastColumn="0" w:oddVBand="0" w:evenVBand="0" w:oddHBand="0" w:evenHBand="0" w:firstRowFirstColumn="0" w:firstRowLastColumn="0" w:lastRowFirstColumn="0" w:lastRowLastColumn="0"/>
            </w:pPr>
            <w:r>
              <w:t>1,493.88</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329.52</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Supply abolishment – wasted visit</w:t>
            </w:r>
          </w:p>
        </w:tc>
        <w:tc>
          <w:tcPr>
            <w:tcW w:w="1417" w:type="dxa"/>
          </w:tcPr>
          <w:p w:rsidR="00601E72" w:rsidRDefault="00DE7DBB" w:rsidP="00083DF4">
            <w:pPr>
              <w:cnfStyle w:val="000000010000" w:firstRow="0" w:lastRow="0" w:firstColumn="0" w:lastColumn="0" w:oddVBand="0" w:evenVBand="0" w:oddHBand="0" w:evenHBand="1" w:firstRowFirstColumn="0" w:firstRowLastColumn="0" w:lastRowFirstColumn="0" w:lastRowLastColumn="0"/>
            </w:pPr>
            <w:r>
              <w:t>169.42</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150.83</w:t>
            </w:r>
          </w:p>
        </w:tc>
      </w:tr>
      <w:tr w:rsidR="00601E72" w:rsidRPr="00DE7DBB"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Pr="00DE7DBB" w:rsidRDefault="00DE7DBB" w:rsidP="00083DF4">
            <w:pPr>
              <w:rPr>
                <w:rStyle w:val="Strong"/>
              </w:rPr>
            </w:pPr>
            <w:r>
              <w:rPr>
                <w:rStyle w:val="Strong"/>
              </w:rPr>
              <w:t>Truck tee</w:t>
            </w:r>
            <w:r>
              <w:rPr>
                <w:rStyle w:val="Strong"/>
              </w:rPr>
              <w:noBreakHyphen/>
            </w:r>
            <w:r w:rsidRPr="00DE7DBB">
              <w:rPr>
                <w:rStyle w:val="Strong"/>
              </w:rPr>
              <w:t>up</w:t>
            </w:r>
          </w:p>
        </w:tc>
        <w:tc>
          <w:tcPr>
            <w:tcW w:w="1417" w:type="dxa"/>
          </w:tcPr>
          <w:p w:rsidR="00601E72" w:rsidRPr="00DE7DBB" w:rsidRDefault="00601E72" w:rsidP="00083DF4">
            <w:pPr>
              <w:cnfStyle w:val="000000000000" w:firstRow="0" w:lastRow="0" w:firstColumn="0" w:lastColumn="0" w:oddVBand="0" w:evenVBand="0" w:oddHBand="0" w:evenHBand="0" w:firstRowFirstColumn="0" w:firstRowLastColumn="0" w:lastRowFirstColumn="0" w:lastRowLastColumn="0"/>
              <w:rPr>
                <w:rStyle w:val="Strong"/>
              </w:rPr>
            </w:pPr>
          </w:p>
        </w:tc>
        <w:tc>
          <w:tcPr>
            <w:tcW w:w="1781" w:type="dxa"/>
          </w:tcPr>
          <w:p w:rsidR="00601E72" w:rsidRPr="00DE7DBB" w:rsidRDefault="00601E72" w:rsidP="00083DF4">
            <w:pPr>
              <w:cnfStyle w:val="000000000000" w:firstRow="0" w:lastRow="0" w:firstColumn="0" w:lastColumn="0" w:oddVBand="0" w:evenVBand="0" w:oddHBand="0" w:evenHBand="0" w:firstRowFirstColumn="0" w:firstRowLastColumn="0" w:lastRowFirstColumn="0" w:lastRowLastColumn="0"/>
              <w:rPr>
                <w:rStyle w:val="Strong"/>
              </w:rPr>
            </w:pP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DE7DBB">
            <w:r>
              <w:t>Tee</w:t>
            </w:r>
            <w:r>
              <w:noBreakHyphen/>
              <w:t>up/appointment</w:t>
            </w:r>
          </w:p>
        </w:tc>
        <w:tc>
          <w:tcPr>
            <w:tcW w:w="1417" w:type="dxa"/>
          </w:tcPr>
          <w:p w:rsidR="00601E72" w:rsidRDefault="00DE7DBB" w:rsidP="00083DF4">
            <w:pPr>
              <w:cnfStyle w:val="000000010000" w:firstRow="0" w:lastRow="0" w:firstColumn="0" w:lastColumn="0" w:oddVBand="0" w:evenVBand="0" w:oddHBand="0" w:evenHBand="1" w:firstRowFirstColumn="0" w:firstRowLastColumn="0" w:lastRowFirstColumn="0" w:lastRowLastColumn="0"/>
            </w:pPr>
            <w:r>
              <w:t>146.00</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134.38</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Tee</w:t>
            </w:r>
            <w:r>
              <w:noBreakHyphen/>
              <w:t>up/appointment – after hours</w:t>
            </w:r>
          </w:p>
        </w:tc>
        <w:tc>
          <w:tcPr>
            <w:tcW w:w="1417" w:type="dxa"/>
          </w:tcPr>
          <w:p w:rsidR="00601E72" w:rsidRDefault="00DE7DBB" w:rsidP="00083DF4">
            <w:pPr>
              <w:cnfStyle w:val="000000000000" w:firstRow="0" w:lastRow="0" w:firstColumn="0" w:lastColumn="0" w:oddVBand="0" w:evenVBand="0" w:oddHBand="0" w:evenHBand="0" w:firstRowFirstColumn="0" w:firstRowLastColumn="0" w:lastRowFirstColumn="0" w:lastRowLastColumn="0"/>
            </w:pPr>
            <w:r>
              <w:t>1,481.41</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324.02</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Tee</w:t>
            </w:r>
            <w:r>
              <w:noBreakHyphen/>
              <w:t>up/appointment – no truck – after hours</w:t>
            </w:r>
          </w:p>
        </w:tc>
        <w:tc>
          <w:tcPr>
            <w:tcW w:w="1417" w:type="dxa"/>
          </w:tcPr>
          <w:p w:rsidR="00601E72" w:rsidRDefault="00DE7DBB" w:rsidP="00083DF4">
            <w:pPr>
              <w:cnfStyle w:val="000000010000" w:firstRow="0" w:lastRow="0" w:firstColumn="0" w:lastColumn="0" w:oddVBand="0" w:evenVBand="0" w:oddHBand="0" w:evenHBand="1" w:firstRowFirstColumn="0" w:firstRowLastColumn="0" w:lastRowFirstColumn="0" w:lastRowLastColumn="0"/>
            </w:pPr>
            <w:r>
              <w:t>712.32</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161.21</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Tee</w:t>
            </w:r>
            <w:r>
              <w:noBreakHyphen/>
              <w:t>up/appointment – wasted visit</w:t>
            </w:r>
          </w:p>
        </w:tc>
        <w:tc>
          <w:tcPr>
            <w:tcW w:w="1417" w:type="dxa"/>
          </w:tcPr>
          <w:p w:rsidR="00601E72" w:rsidRDefault="00DE7DBB" w:rsidP="00083DF4">
            <w:pPr>
              <w:cnfStyle w:val="000000000000" w:firstRow="0" w:lastRow="0" w:firstColumn="0" w:lastColumn="0" w:oddVBand="0" w:evenVBand="0" w:oddHBand="0" w:evenHBand="0" w:firstRowFirstColumn="0" w:firstRowLastColumn="0" w:lastRowFirstColumn="0" w:lastRowLastColumn="0"/>
            </w:pPr>
            <w:r>
              <w:t>95.92</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84.29</w:t>
            </w:r>
          </w:p>
        </w:tc>
      </w:tr>
      <w:tr w:rsidR="00601E72" w:rsidRPr="00DE7DBB"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Pr="00DE7DBB" w:rsidRDefault="00DE7DBB" w:rsidP="00083DF4">
            <w:pPr>
              <w:rPr>
                <w:rStyle w:val="Strong"/>
              </w:rPr>
            </w:pPr>
            <w:r w:rsidRPr="00DE7DBB">
              <w:rPr>
                <w:rStyle w:val="Strong"/>
              </w:rPr>
              <w:t>Miscellaneous services</w:t>
            </w:r>
          </w:p>
        </w:tc>
        <w:tc>
          <w:tcPr>
            <w:tcW w:w="1417" w:type="dxa"/>
          </w:tcPr>
          <w:p w:rsidR="00601E72" w:rsidRPr="00DE7DBB" w:rsidRDefault="00601E72" w:rsidP="00083DF4">
            <w:pPr>
              <w:cnfStyle w:val="000000010000" w:firstRow="0" w:lastRow="0" w:firstColumn="0" w:lastColumn="0" w:oddVBand="0" w:evenVBand="0" w:oddHBand="0" w:evenHBand="1" w:firstRowFirstColumn="0" w:firstRowLastColumn="0" w:lastRowFirstColumn="0" w:lastRowLastColumn="0"/>
              <w:rPr>
                <w:rStyle w:val="Strong"/>
              </w:rPr>
            </w:pPr>
          </w:p>
        </w:tc>
        <w:tc>
          <w:tcPr>
            <w:tcW w:w="1781" w:type="dxa"/>
          </w:tcPr>
          <w:p w:rsidR="00601E72" w:rsidRPr="00DE7DBB" w:rsidRDefault="00601E72" w:rsidP="00083DF4">
            <w:pPr>
              <w:cnfStyle w:val="000000010000" w:firstRow="0" w:lastRow="0" w:firstColumn="0" w:lastColumn="0" w:oddVBand="0" w:evenVBand="0" w:oddHBand="0" w:evenHBand="1" w:firstRowFirstColumn="0" w:firstRowLastColumn="0" w:lastRowFirstColumn="0" w:lastRowLastColumn="0"/>
              <w:rPr>
                <w:rStyle w:val="Strong"/>
              </w:rPr>
            </w:pP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Open turret</w:t>
            </w:r>
          </w:p>
        </w:tc>
        <w:tc>
          <w:tcPr>
            <w:tcW w:w="1417" w:type="dxa"/>
          </w:tcPr>
          <w:p w:rsidR="00601E72" w:rsidRDefault="00DE7DBB" w:rsidP="00083DF4">
            <w:pPr>
              <w:cnfStyle w:val="000000000000" w:firstRow="0" w:lastRow="0" w:firstColumn="0" w:lastColumn="0" w:oddVBand="0" w:evenVBand="0" w:oddHBand="0" w:evenHBand="0" w:firstRowFirstColumn="0" w:firstRowLastColumn="0" w:lastRowFirstColumn="0" w:lastRowLastColumn="0"/>
            </w:pPr>
            <w:r>
              <w:t>137.64</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123.69</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Data download</w:t>
            </w:r>
          </w:p>
        </w:tc>
        <w:tc>
          <w:tcPr>
            <w:tcW w:w="1417" w:type="dxa"/>
          </w:tcPr>
          <w:p w:rsidR="00601E72" w:rsidRDefault="00DE7DBB" w:rsidP="00083DF4">
            <w:pPr>
              <w:cnfStyle w:val="000000010000" w:firstRow="0" w:lastRow="0" w:firstColumn="0" w:lastColumn="0" w:oddVBand="0" w:evenVBand="0" w:oddHBand="0" w:evenHBand="1" w:firstRowFirstColumn="0" w:firstRowLastColumn="0" w:lastRowFirstColumn="0" w:lastRowLastColumn="0"/>
            </w:pPr>
            <w:r>
              <w:t>275.38</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261.43</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Alteration to unmetered supply</w:t>
            </w:r>
          </w:p>
        </w:tc>
        <w:tc>
          <w:tcPr>
            <w:tcW w:w="1417" w:type="dxa"/>
          </w:tcPr>
          <w:p w:rsidR="00601E72" w:rsidRDefault="00DE7DBB" w:rsidP="00083DF4">
            <w:pPr>
              <w:cnfStyle w:val="000000000000" w:firstRow="0" w:lastRow="0" w:firstColumn="0" w:lastColumn="0" w:oddVBand="0" w:evenVBand="0" w:oddHBand="0" w:evenHBand="0" w:firstRowFirstColumn="0" w:firstRowLastColumn="0" w:lastRowFirstColumn="0" w:lastRowLastColumn="0"/>
            </w:pPr>
            <w:r>
              <w:t>212.77</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198.82</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Meter relocation</w:t>
            </w:r>
          </w:p>
        </w:tc>
        <w:tc>
          <w:tcPr>
            <w:tcW w:w="1417" w:type="dxa"/>
          </w:tcPr>
          <w:p w:rsidR="00601E72" w:rsidRDefault="00DE7DBB" w:rsidP="00083DF4">
            <w:pPr>
              <w:cnfStyle w:val="000000010000" w:firstRow="0" w:lastRow="0" w:firstColumn="0" w:lastColumn="0" w:oddVBand="0" w:evenVBand="0" w:oddHBand="0" w:evenHBand="1" w:firstRowFirstColumn="0" w:firstRowLastColumn="0" w:lastRowFirstColumn="0" w:lastRowLastColumn="0"/>
            </w:pPr>
            <w:r>
              <w:t>165.46</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151.51</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Miscellaneous services</w:t>
            </w:r>
          </w:p>
        </w:tc>
        <w:tc>
          <w:tcPr>
            <w:tcW w:w="1417" w:type="dxa"/>
          </w:tcPr>
          <w:p w:rsidR="00601E72" w:rsidRDefault="00DE7DBB" w:rsidP="00083DF4">
            <w:pPr>
              <w:cnfStyle w:val="000000000000" w:firstRow="0" w:lastRow="0" w:firstColumn="0" w:lastColumn="0" w:oddVBand="0" w:evenVBand="0" w:oddHBand="0" w:evenHBand="0" w:firstRowFirstColumn="0" w:firstRowLastColumn="0" w:lastRowFirstColumn="0" w:lastRowLastColumn="0"/>
            </w:pPr>
            <w:r>
              <w:t>125.12</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111.17</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Miscellaneous services – after hours</w:t>
            </w:r>
          </w:p>
        </w:tc>
        <w:tc>
          <w:tcPr>
            <w:tcW w:w="1417" w:type="dxa"/>
          </w:tcPr>
          <w:p w:rsidR="00601E72" w:rsidRDefault="00DE7DBB" w:rsidP="00083DF4">
            <w:pPr>
              <w:cnfStyle w:val="000000010000" w:firstRow="0" w:lastRow="0" w:firstColumn="0" w:lastColumn="0" w:oddVBand="0" w:evenVBand="0" w:oddHBand="0" w:evenHBand="1" w:firstRowFirstColumn="0" w:firstRowLastColumn="0" w:lastRowFirstColumn="0" w:lastRowLastColumn="0"/>
            </w:pPr>
            <w:r>
              <w:t>839.81</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349.34</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Miscellaneous services – wasted visit</w:t>
            </w:r>
          </w:p>
        </w:tc>
        <w:tc>
          <w:tcPr>
            <w:tcW w:w="1417" w:type="dxa"/>
          </w:tcPr>
          <w:p w:rsidR="00601E72" w:rsidRDefault="00DE7DBB" w:rsidP="00083DF4">
            <w:pPr>
              <w:cnfStyle w:val="000000000000" w:firstRow="0" w:lastRow="0" w:firstColumn="0" w:lastColumn="0" w:oddVBand="0" w:evenVBand="0" w:oddHBand="0" w:evenHBand="0" w:firstRowFirstColumn="0" w:firstRowLastColumn="0" w:lastRowFirstColumn="0" w:lastRowLastColumn="0"/>
            </w:pPr>
            <w:r>
              <w:t>100.07</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86.12</w:t>
            </w:r>
          </w:p>
        </w:tc>
      </w:tr>
      <w:tr w:rsidR="00601E72" w:rsidRPr="00DE7DBB"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Pr="00DE7DBB" w:rsidRDefault="00DE7DBB" w:rsidP="00083DF4">
            <w:pPr>
              <w:rPr>
                <w:rStyle w:val="Strong"/>
              </w:rPr>
            </w:pPr>
            <w:r w:rsidRPr="00DE7DBB">
              <w:rPr>
                <w:rStyle w:val="Strong"/>
              </w:rPr>
              <w:t>Connection establishment charges</w:t>
            </w:r>
          </w:p>
        </w:tc>
        <w:tc>
          <w:tcPr>
            <w:tcW w:w="1417" w:type="dxa"/>
          </w:tcPr>
          <w:p w:rsidR="00601E72" w:rsidRPr="00DE7DBB" w:rsidRDefault="00601E72" w:rsidP="00083DF4">
            <w:pPr>
              <w:cnfStyle w:val="000000010000" w:firstRow="0" w:lastRow="0" w:firstColumn="0" w:lastColumn="0" w:oddVBand="0" w:evenVBand="0" w:oddHBand="0" w:evenHBand="1" w:firstRowFirstColumn="0" w:firstRowLastColumn="0" w:lastRowFirstColumn="0" w:lastRowLastColumn="0"/>
              <w:rPr>
                <w:rStyle w:val="Strong"/>
              </w:rPr>
            </w:pPr>
          </w:p>
        </w:tc>
        <w:tc>
          <w:tcPr>
            <w:tcW w:w="1781" w:type="dxa"/>
          </w:tcPr>
          <w:p w:rsidR="00601E72" w:rsidRPr="00DE7DBB" w:rsidRDefault="00601E72" w:rsidP="00083DF4">
            <w:pPr>
              <w:cnfStyle w:val="000000010000" w:firstRow="0" w:lastRow="0" w:firstColumn="0" w:lastColumn="0" w:oddVBand="0" w:evenVBand="0" w:oddHBand="0" w:evenHBand="1" w:firstRowFirstColumn="0" w:firstRowLastColumn="0" w:lastRowFirstColumn="0" w:lastRowLastColumn="0"/>
              <w:rPr>
                <w:rStyle w:val="Strong"/>
              </w:rPr>
            </w:pP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Overhead service, single span – single phase</w:t>
            </w:r>
          </w:p>
        </w:tc>
        <w:tc>
          <w:tcPr>
            <w:tcW w:w="1417" w:type="dxa"/>
          </w:tcPr>
          <w:p w:rsidR="00601E72" w:rsidRDefault="00DE7DBB" w:rsidP="00083DF4">
            <w:pPr>
              <w:cnfStyle w:val="000000000000" w:firstRow="0" w:lastRow="0" w:firstColumn="0" w:lastColumn="0" w:oddVBand="0" w:evenVBand="0" w:oddHBand="0" w:evenHBand="0" w:firstRowFirstColumn="0" w:firstRowLastColumn="0" w:lastRowFirstColumn="0" w:lastRowLastColumn="0"/>
            </w:pPr>
            <w:r>
              <w:t>550.59</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522.69</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Overhead service, single span – multi phase</w:t>
            </w:r>
          </w:p>
        </w:tc>
        <w:tc>
          <w:tcPr>
            <w:tcW w:w="1417" w:type="dxa"/>
          </w:tcPr>
          <w:p w:rsidR="00601E72" w:rsidRDefault="00DE7DBB" w:rsidP="00083DF4">
            <w:pPr>
              <w:cnfStyle w:val="000000010000" w:firstRow="0" w:lastRow="0" w:firstColumn="0" w:lastColumn="0" w:oddVBand="0" w:evenVBand="0" w:oddHBand="0" w:evenHBand="1" w:firstRowFirstColumn="0" w:firstRowLastColumn="0" w:lastRowFirstColumn="0" w:lastRowLastColumn="0"/>
            </w:pPr>
            <w:r>
              <w:t>776.71</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748.81</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Underground service in turret/cabinet – single phase</w:t>
            </w:r>
          </w:p>
        </w:tc>
        <w:tc>
          <w:tcPr>
            <w:tcW w:w="1417" w:type="dxa"/>
          </w:tcPr>
          <w:p w:rsidR="00601E72" w:rsidRDefault="00DE7DBB" w:rsidP="00083DF4">
            <w:pPr>
              <w:cnfStyle w:val="000000000000" w:firstRow="0" w:lastRow="0" w:firstColumn="0" w:lastColumn="0" w:oddVBand="0" w:evenVBand="0" w:oddHBand="0" w:evenHBand="0" w:firstRowFirstColumn="0" w:firstRowLastColumn="0" w:lastRowFirstColumn="0" w:lastRowLastColumn="0"/>
            </w:pPr>
            <w:r>
              <w:t>180.81</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152.92</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Underground service in turret/cabinet – multi phase</w:t>
            </w:r>
          </w:p>
        </w:tc>
        <w:tc>
          <w:tcPr>
            <w:tcW w:w="1417" w:type="dxa"/>
          </w:tcPr>
          <w:p w:rsidR="00601E72" w:rsidRDefault="00DE7DBB" w:rsidP="00083DF4">
            <w:pPr>
              <w:cnfStyle w:val="000000010000" w:firstRow="0" w:lastRow="0" w:firstColumn="0" w:lastColumn="0" w:oddVBand="0" w:evenVBand="0" w:oddHBand="0" w:evenHBand="1" w:firstRowFirstColumn="0" w:firstRowLastColumn="0" w:lastRowFirstColumn="0" w:lastRowLastColumn="0"/>
            </w:pPr>
            <w:r>
              <w:t>226.51</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198.62</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Underground service with pole mounted fuse – single phase</w:t>
            </w:r>
          </w:p>
        </w:tc>
        <w:tc>
          <w:tcPr>
            <w:tcW w:w="1417" w:type="dxa"/>
          </w:tcPr>
          <w:p w:rsidR="00601E72" w:rsidRDefault="00DE7DBB" w:rsidP="00083DF4">
            <w:pPr>
              <w:cnfStyle w:val="000000000000" w:firstRow="0" w:lastRow="0" w:firstColumn="0" w:lastColumn="0" w:oddVBand="0" w:evenVBand="0" w:oddHBand="0" w:evenHBand="0" w:firstRowFirstColumn="0" w:firstRowLastColumn="0" w:lastRowFirstColumn="0" w:lastRowLastColumn="0"/>
            </w:pPr>
            <w:r>
              <w:t>421.46</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393.57</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Underground service with pole mounted fuse – multi phase</w:t>
            </w:r>
          </w:p>
        </w:tc>
        <w:tc>
          <w:tcPr>
            <w:tcW w:w="1417" w:type="dxa"/>
          </w:tcPr>
          <w:p w:rsidR="00601E72" w:rsidRDefault="00DE7DBB" w:rsidP="00083DF4">
            <w:pPr>
              <w:cnfStyle w:val="000000010000" w:firstRow="0" w:lastRow="0" w:firstColumn="0" w:lastColumn="0" w:oddVBand="0" w:evenVBand="0" w:oddHBand="0" w:evenHBand="1" w:firstRowFirstColumn="0" w:firstRowLastColumn="0" w:lastRowFirstColumn="0" w:lastRowLastColumn="0"/>
            </w:pPr>
            <w:r>
              <w:t>529.18</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501.29</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Basic connection – after hours</w:t>
            </w:r>
          </w:p>
        </w:tc>
        <w:tc>
          <w:tcPr>
            <w:tcW w:w="1417" w:type="dxa"/>
          </w:tcPr>
          <w:p w:rsidR="00601E72" w:rsidRDefault="00DE7DBB" w:rsidP="00083DF4">
            <w:pPr>
              <w:cnfStyle w:val="000000000000" w:firstRow="0" w:lastRow="0" w:firstColumn="0" w:lastColumn="0" w:oddVBand="0" w:evenVBand="0" w:oddHBand="0" w:evenHBand="0" w:firstRowFirstColumn="0" w:firstRowLastColumn="0" w:lastRowFirstColumn="0" w:lastRowLastColumn="0"/>
            </w:pPr>
            <w:r>
              <w:t>1,548.62</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677.11</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Connection establishment – wasted visit</w:t>
            </w:r>
          </w:p>
        </w:tc>
        <w:tc>
          <w:tcPr>
            <w:tcW w:w="1417" w:type="dxa"/>
          </w:tcPr>
          <w:p w:rsidR="00601E72" w:rsidRDefault="00DE7DBB" w:rsidP="00083DF4">
            <w:pPr>
              <w:cnfStyle w:val="000000010000" w:firstRow="0" w:lastRow="0" w:firstColumn="0" w:lastColumn="0" w:oddVBand="0" w:evenVBand="0" w:oddHBand="0" w:evenHBand="1" w:firstRowFirstColumn="0" w:firstRowLastColumn="0" w:lastRowFirstColumn="0" w:lastRowLastColumn="0"/>
            </w:pPr>
            <w:r>
              <w:t>154.79</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126.90</w:t>
            </w:r>
          </w:p>
        </w:tc>
      </w:tr>
      <w:tr w:rsidR="00601E72" w:rsidRPr="00DE7DBB"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Pr="00DE7DBB" w:rsidRDefault="00DE7DBB" w:rsidP="00083DF4">
            <w:pPr>
              <w:rPr>
                <w:rStyle w:val="Strong"/>
              </w:rPr>
            </w:pPr>
            <w:r w:rsidRPr="00DE7DBB">
              <w:rPr>
                <w:rStyle w:val="Strong"/>
              </w:rPr>
              <w:t>Renewable energy connection</w:t>
            </w:r>
          </w:p>
        </w:tc>
        <w:tc>
          <w:tcPr>
            <w:tcW w:w="1417" w:type="dxa"/>
          </w:tcPr>
          <w:p w:rsidR="00601E72" w:rsidRPr="00DE7DBB" w:rsidRDefault="00601E72" w:rsidP="00083DF4">
            <w:pPr>
              <w:cnfStyle w:val="000000000000" w:firstRow="0" w:lastRow="0" w:firstColumn="0" w:lastColumn="0" w:oddVBand="0" w:evenVBand="0" w:oddHBand="0" w:evenHBand="0" w:firstRowFirstColumn="0" w:firstRowLastColumn="0" w:lastRowFirstColumn="0" w:lastRowLastColumn="0"/>
              <w:rPr>
                <w:rStyle w:val="Strong"/>
              </w:rPr>
            </w:pPr>
          </w:p>
        </w:tc>
        <w:tc>
          <w:tcPr>
            <w:tcW w:w="1781" w:type="dxa"/>
          </w:tcPr>
          <w:p w:rsidR="00601E72" w:rsidRPr="00DE7DBB" w:rsidRDefault="00601E72" w:rsidP="00083DF4">
            <w:pPr>
              <w:cnfStyle w:val="000000000000" w:firstRow="0" w:lastRow="0" w:firstColumn="0" w:lastColumn="0" w:oddVBand="0" w:evenVBand="0" w:oddHBand="0" w:evenHBand="0" w:firstRowFirstColumn="0" w:firstRowLastColumn="0" w:lastRowFirstColumn="0" w:lastRowLastColumn="0"/>
              <w:rPr>
                <w:rStyle w:val="Strong"/>
              </w:rPr>
            </w:pP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Modify existing connection for micro embedded generation – single phase</w:t>
            </w:r>
          </w:p>
        </w:tc>
        <w:tc>
          <w:tcPr>
            <w:tcW w:w="1417" w:type="dxa"/>
          </w:tcPr>
          <w:p w:rsidR="00601E72" w:rsidRDefault="00DE7DBB" w:rsidP="00083DF4">
            <w:pPr>
              <w:cnfStyle w:val="000000010000" w:firstRow="0" w:lastRow="0" w:firstColumn="0" w:lastColumn="0" w:oddVBand="0" w:evenVBand="0" w:oddHBand="0" w:evenHBand="1" w:firstRowFirstColumn="0" w:firstRowLastColumn="0" w:lastRowFirstColumn="0" w:lastRowLastColumn="0"/>
            </w:pPr>
            <w:r>
              <w:t>171.27</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148.03</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Modify existing connection for micro embedded generation – multi phase</w:t>
            </w:r>
          </w:p>
        </w:tc>
        <w:tc>
          <w:tcPr>
            <w:tcW w:w="1417" w:type="dxa"/>
          </w:tcPr>
          <w:p w:rsidR="00601E72" w:rsidRDefault="00DE7DBB" w:rsidP="00083DF4">
            <w:pPr>
              <w:cnfStyle w:val="000000000000" w:firstRow="0" w:lastRow="0" w:firstColumn="0" w:lastColumn="0" w:oddVBand="0" w:evenVBand="0" w:oddHBand="0" w:evenHBand="0" w:firstRowFirstColumn="0" w:firstRowLastColumn="0" w:lastRowFirstColumn="0" w:lastRowLastColumn="0"/>
            </w:pPr>
            <w:r>
              <w:t>214.51</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191.26</w:t>
            </w:r>
          </w:p>
        </w:tc>
      </w:tr>
      <w:tr w:rsidR="00601E72"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Renewable energy connection – after hours</w:t>
            </w:r>
          </w:p>
        </w:tc>
        <w:tc>
          <w:tcPr>
            <w:tcW w:w="1417" w:type="dxa"/>
          </w:tcPr>
          <w:p w:rsidR="00601E72" w:rsidRDefault="00DE7DBB" w:rsidP="00083DF4">
            <w:pPr>
              <w:cnfStyle w:val="000000010000" w:firstRow="0" w:lastRow="0" w:firstColumn="0" w:lastColumn="0" w:oddVBand="0" w:evenVBand="0" w:oddHBand="0" w:evenHBand="1" w:firstRowFirstColumn="0" w:firstRowLastColumn="0" w:lastRowFirstColumn="0" w:lastRowLastColumn="0"/>
            </w:pPr>
            <w:r>
              <w:t>1,378.86</w:t>
            </w:r>
          </w:p>
        </w:tc>
        <w:tc>
          <w:tcPr>
            <w:tcW w:w="1781" w:type="dxa"/>
          </w:tcPr>
          <w:p w:rsidR="00601E72" w:rsidRDefault="00144B7B" w:rsidP="00083DF4">
            <w:pPr>
              <w:cnfStyle w:val="000000010000" w:firstRow="0" w:lastRow="0" w:firstColumn="0" w:lastColumn="0" w:oddVBand="0" w:evenVBand="0" w:oddHBand="0" w:evenHBand="1" w:firstRowFirstColumn="0" w:firstRowLastColumn="0" w:lastRowFirstColumn="0" w:lastRowLastColumn="0"/>
            </w:pPr>
            <w:r>
              <w:t>494.69</w:t>
            </w:r>
          </w:p>
        </w:tc>
      </w:tr>
      <w:tr w:rsidR="00601E72" w:rsidTr="00144B7B">
        <w:tc>
          <w:tcPr>
            <w:cnfStyle w:val="001000000000" w:firstRow="0" w:lastRow="0" w:firstColumn="1" w:lastColumn="0" w:oddVBand="0" w:evenVBand="0" w:oddHBand="0" w:evenHBand="0" w:firstRowFirstColumn="0" w:firstRowLastColumn="0" w:lastRowFirstColumn="0" w:lastRowLastColumn="0"/>
            <w:tcW w:w="5495" w:type="dxa"/>
          </w:tcPr>
          <w:p w:rsidR="00601E72" w:rsidRDefault="00DE7DBB" w:rsidP="00083DF4">
            <w:r>
              <w:t>Renewable energy – wasted visit</w:t>
            </w:r>
          </w:p>
        </w:tc>
        <w:tc>
          <w:tcPr>
            <w:tcW w:w="1417" w:type="dxa"/>
          </w:tcPr>
          <w:p w:rsidR="00601E72" w:rsidRDefault="00DE7DBB" w:rsidP="00083DF4">
            <w:pPr>
              <w:cnfStyle w:val="000000000000" w:firstRow="0" w:lastRow="0" w:firstColumn="0" w:lastColumn="0" w:oddVBand="0" w:evenVBand="0" w:oddHBand="0" w:evenHBand="0" w:firstRowFirstColumn="0" w:firstRowLastColumn="0" w:lastRowFirstColumn="0" w:lastRowLastColumn="0"/>
            </w:pPr>
            <w:r>
              <w:t>117.23</w:t>
            </w:r>
          </w:p>
        </w:tc>
        <w:tc>
          <w:tcPr>
            <w:tcW w:w="1781" w:type="dxa"/>
          </w:tcPr>
          <w:p w:rsidR="00601E72" w:rsidRDefault="00144B7B" w:rsidP="00083DF4">
            <w:pPr>
              <w:cnfStyle w:val="000000000000" w:firstRow="0" w:lastRow="0" w:firstColumn="0" w:lastColumn="0" w:oddVBand="0" w:evenVBand="0" w:oddHBand="0" w:evenHBand="0" w:firstRowFirstColumn="0" w:firstRowLastColumn="0" w:lastRowFirstColumn="0" w:lastRowLastColumn="0"/>
            </w:pPr>
            <w:r>
              <w:t>93.99</w:t>
            </w:r>
          </w:p>
        </w:tc>
      </w:tr>
      <w:tr w:rsidR="00601E72" w:rsidRPr="00DE7DBB"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601E72" w:rsidRPr="00DE7DBB" w:rsidRDefault="00DE7DBB" w:rsidP="00083DF4">
            <w:pPr>
              <w:rPr>
                <w:rStyle w:val="Strong"/>
              </w:rPr>
            </w:pPr>
            <w:r w:rsidRPr="00DE7DBB">
              <w:rPr>
                <w:rStyle w:val="Strong"/>
              </w:rPr>
              <w:t>Temporary disconnection charges</w:t>
            </w:r>
          </w:p>
        </w:tc>
        <w:tc>
          <w:tcPr>
            <w:tcW w:w="1417" w:type="dxa"/>
          </w:tcPr>
          <w:p w:rsidR="00601E72" w:rsidRPr="00DE7DBB" w:rsidRDefault="00601E72" w:rsidP="00083DF4">
            <w:pPr>
              <w:cnfStyle w:val="000000010000" w:firstRow="0" w:lastRow="0" w:firstColumn="0" w:lastColumn="0" w:oddVBand="0" w:evenVBand="0" w:oddHBand="0" w:evenHBand="1" w:firstRowFirstColumn="0" w:firstRowLastColumn="0" w:lastRowFirstColumn="0" w:lastRowLastColumn="0"/>
              <w:rPr>
                <w:rStyle w:val="Strong"/>
              </w:rPr>
            </w:pPr>
          </w:p>
        </w:tc>
        <w:tc>
          <w:tcPr>
            <w:tcW w:w="1781" w:type="dxa"/>
          </w:tcPr>
          <w:p w:rsidR="00601E72" w:rsidRPr="00DE7DBB" w:rsidRDefault="00601E72" w:rsidP="00083DF4">
            <w:pPr>
              <w:cnfStyle w:val="000000010000" w:firstRow="0" w:lastRow="0" w:firstColumn="0" w:lastColumn="0" w:oddVBand="0" w:evenVBand="0" w:oddHBand="0" w:evenHBand="1" w:firstRowFirstColumn="0" w:firstRowLastColumn="0" w:lastRowFirstColumn="0" w:lastRowLastColumn="0"/>
              <w:rPr>
                <w:rStyle w:val="Strong"/>
              </w:rPr>
            </w:pPr>
          </w:p>
        </w:tc>
      </w:tr>
      <w:tr w:rsidR="007A7D31"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7A7D31" w:rsidRPr="007A7D31" w:rsidRDefault="007A7D31" w:rsidP="007A7D31">
            <w:r>
              <w:t>Disconnect/reconnect overhead service for facia repairs – single phase</w:t>
            </w:r>
          </w:p>
        </w:tc>
        <w:tc>
          <w:tcPr>
            <w:tcW w:w="1417" w:type="dxa"/>
          </w:tcPr>
          <w:p w:rsidR="007A7D31" w:rsidRPr="007A7D31" w:rsidRDefault="007A7D31" w:rsidP="007A7D31">
            <w:pPr>
              <w:cnfStyle w:val="000000000000" w:firstRow="0" w:lastRow="0" w:firstColumn="0" w:lastColumn="0" w:oddVBand="0" w:evenVBand="0" w:oddHBand="0" w:evenHBand="0" w:firstRowFirstColumn="0" w:firstRowLastColumn="0" w:lastRowFirstColumn="0" w:lastRowLastColumn="0"/>
            </w:pPr>
            <w:r>
              <w:t>322.22</w:t>
            </w:r>
          </w:p>
        </w:tc>
        <w:tc>
          <w:tcPr>
            <w:tcW w:w="1781" w:type="dxa"/>
          </w:tcPr>
          <w:p w:rsidR="007A7D31" w:rsidRPr="007A7D31" w:rsidRDefault="00144B7B" w:rsidP="007A7D31">
            <w:pPr>
              <w:cnfStyle w:val="000000000000" w:firstRow="0" w:lastRow="0" w:firstColumn="0" w:lastColumn="0" w:oddVBand="0" w:evenVBand="0" w:oddHBand="0" w:evenHBand="0" w:firstRowFirstColumn="0" w:firstRowLastColumn="0" w:lastRowFirstColumn="0" w:lastRowLastColumn="0"/>
            </w:pPr>
            <w:r>
              <w:t>294.33</w:t>
            </w:r>
          </w:p>
        </w:tc>
      </w:tr>
      <w:tr w:rsidR="007A7D31"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7A7D31" w:rsidRPr="007A7D31" w:rsidRDefault="007A7D31" w:rsidP="007A7D31">
            <w:r>
              <w:t>Disconnect/connect overhead service for facia repairs – multi phase</w:t>
            </w:r>
          </w:p>
        </w:tc>
        <w:tc>
          <w:tcPr>
            <w:tcW w:w="1417" w:type="dxa"/>
          </w:tcPr>
          <w:p w:rsidR="007A7D31" w:rsidRPr="007A7D31" w:rsidRDefault="007A7D31" w:rsidP="007A7D31">
            <w:pPr>
              <w:cnfStyle w:val="000000010000" w:firstRow="0" w:lastRow="0" w:firstColumn="0" w:lastColumn="0" w:oddVBand="0" w:evenVBand="0" w:oddHBand="0" w:evenHBand="1" w:firstRowFirstColumn="0" w:firstRowLastColumn="0" w:lastRowFirstColumn="0" w:lastRowLastColumn="0"/>
            </w:pPr>
            <w:r>
              <w:t>413.00</w:t>
            </w:r>
          </w:p>
        </w:tc>
        <w:tc>
          <w:tcPr>
            <w:tcW w:w="1781" w:type="dxa"/>
          </w:tcPr>
          <w:p w:rsidR="007A7D31" w:rsidRPr="007A7D31" w:rsidRDefault="00144B7B" w:rsidP="007A7D31">
            <w:pPr>
              <w:cnfStyle w:val="000000010000" w:firstRow="0" w:lastRow="0" w:firstColumn="0" w:lastColumn="0" w:oddVBand="0" w:evenVBand="0" w:oddHBand="0" w:evenHBand="1" w:firstRowFirstColumn="0" w:firstRowLastColumn="0" w:lastRowFirstColumn="0" w:lastRowLastColumn="0"/>
            </w:pPr>
            <w:r>
              <w:t>385.10</w:t>
            </w:r>
          </w:p>
        </w:tc>
      </w:tr>
      <w:tr w:rsidR="007A7D31"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7A7D31" w:rsidRPr="007A7D31" w:rsidRDefault="007A7D31" w:rsidP="007A7D31">
            <w:r>
              <w:t>Temporary disconnect/reconnect – after hours</w:t>
            </w:r>
          </w:p>
        </w:tc>
        <w:tc>
          <w:tcPr>
            <w:tcW w:w="1417" w:type="dxa"/>
          </w:tcPr>
          <w:p w:rsidR="007A7D31" w:rsidRPr="007A7D31" w:rsidRDefault="007A7D31" w:rsidP="007A7D31">
            <w:pPr>
              <w:cnfStyle w:val="000000000000" w:firstRow="0" w:lastRow="0" w:firstColumn="0" w:lastColumn="0" w:oddVBand="0" w:evenVBand="0" w:oddHBand="0" w:evenHBand="0" w:firstRowFirstColumn="0" w:firstRowLastColumn="0" w:lastRowFirstColumn="0" w:lastRowLastColumn="0"/>
            </w:pPr>
            <w:r>
              <w:t>1,510.51</w:t>
            </w:r>
          </w:p>
        </w:tc>
        <w:tc>
          <w:tcPr>
            <w:tcW w:w="1781" w:type="dxa"/>
          </w:tcPr>
          <w:p w:rsidR="007A7D31" w:rsidRPr="007A7D31" w:rsidRDefault="00144B7B" w:rsidP="007A7D31">
            <w:pPr>
              <w:cnfStyle w:val="000000000000" w:firstRow="0" w:lastRow="0" w:firstColumn="0" w:lastColumn="0" w:oddVBand="0" w:evenVBand="0" w:oddHBand="0" w:evenHBand="0" w:firstRowFirstColumn="0" w:firstRowLastColumn="0" w:lastRowFirstColumn="0" w:lastRowLastColumn="0"/>
            </w:pPr>
            <w:r>
              <w:t>525.76</w:t>
            </w:r>
          </w:p>
        </w:tc>
      </w:tr>
      <w:tr w:rsidR="007A7D31"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7A7D31" w:rsidRPr="007A7D31" w:rsidRDefault="007A7D31" w:rsidP="007A7D31">
            <w:r>
              <w:t>Temporary disconnect/reconnect – wasted visit</w:t>
            </w:r>
          </w:p>
        </w:tc>
        <w:tc>
          <w:tcPr>
            <w:tcW w:w="1417" w:type="dxa"/>
          </w:tcPr>
          <w:p w:rsidR="007A7D31" w:rsidRPr="007A7D31" w:rsidRDefault="007A7D31" w:rsidP="007A7D31">
            <w:pPr>
              <w:cnfStyle w:val="000000010000" w:firstRow="0" w:lastRow="0" w:firstColumn="0" w:lastColumn="0" w:oddVBand="0" w:evenVBand="0" w:oddHBand="0" w:evenHBand="1" w:firstRowFirstColumn="0" w:firstRowLastColumn="0" w:lastRowFirstColumn="0" w:lastRowLastColumn="0"/>
            </w:pPr>
            <w:r>
              <w:t>186.05</w:t>
            </w:r>
          </w:p>
        </w:tc>
        <w:tc>
          <w:tcPr>
            <w:tcW w:w="1781" w:type="dxa"/>
          </w:tcPr>
          <w:p w:rsidR="007A7D31" w:rsidRPr="007A7D31" w:rsidRDefault="00144B7B" w:rsidP="007A7D31">
            <w:pPr>
              <w:cnfStyle w:val="000000010000" w:firstRow="0" w:lastRow="0" w:firstColumn="0" w:lastColumn="0" w:oddVBand="0" w:evenVBand="0" w:oddHBand="0" w:evenHBand="1" w:firstRowFirstColumn="0" w:firstRowLastColumn="0" w:lastRowFirstColumn="0" w:lastRowLastColumn="0"/>
            </w:pPr>
            <w:r>
              <w:t>158.16</w:t>
            </w:r>
          </w:p>
        </w:tc>
      </w:tr>
      <w:tr w:rsidR="007A7D31"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7A7D31" w:rsidRPr="00144B7B" w:rsidRDefault="007A7D31" w:rsidP="007A7D31">
            <w:pPr>
              <w:rPr>
                <w:rStyle w:val="Strong"/>
              </w:rPr>
            </w:pPr>
            <w:r w:rsidRPr="00144B7B">
              <w:rPr>
                <w:rStyle w:val="Strong"/>
              </w:rPr>
              <w:t>Basic connection alteration</w:t>
            </w:r>
          </w:p>
        </w:tc>
        <w:tc>
          <w:tcPr>
            <w:tcW w:w="1417" w:type="dxa"/>
          </w:tcPr>
          <w:p w:rsidR="007A7D31" w:rsidRPr="007A7D31" w:rsidRDefault="007A7D31" w:rsidP="007A7D31">
            <w:pPr>
              <w:cnfStyle w:val="000000000000" w:firstRow="0" w:lastRow="0" w:firstColumn="0" w:lastColumn="0" w:oddVBand="0" w:evenVBand="0" w:oddHBand="0" w:evenHBand="0" w:firstRowFirstColumn="0" w:firstRowLastColumn="0" w:lastRowFirstColumn="0" w:lastRowLastColumn="0"/>
            </w:pPr>
          </w:p>
        </w:tc>
        <w:tc>
          <w:tcPr>
            <w:tcW w:w="1781" w:type="dxa"/>
          </w:tcPr>
          <w:p w:rsidR="007A7D31" w:rsidRPr="007A7D31" w:rsidRDefault="007A7D31" w:rsidP="007A7D31">
            <w:pPr>
              <w:cnfStyle w:val="000000000000" w:firstRow="0" w:lastRow="0" w:firstColumn="0" w:lastColumn="0" w:oddVBand="0" w:evenVBand="0" w:oddHBand="0" w:evenHBand="0" w:firstRowFirstColumn="0" w:firstRowLastColumn="0" w:lastRowFirstColumn="0" w:lastRowLastColumn="0"/>
            </w:pPr>
          </w:p>
        </w:tc>
      </w:tr>
      <w:tr w:rsidR="007A7D31"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7A7D31" w:rsidRPr="007A7D31" w:rsidRDefault="007A7D31" w:rsidP="007A7D31">
            <w:r>
              <w:t>Connection alteration – overhead single phase</w:t>
            </w:r>
          </w:p>
        </w:tc>
        <w:tc>
          <w:tcPr>
            <w:tcW w:w="1417" w:type="dxa"/>
          </w:tcPr>
          <w:p w:rsidR="007A7D31" w:rsidRPr="007A7D31" w:rsidRDefault="007A7D31" w:rsidP="007A7D31">
            <w:pPr>
              <w:cnfStyle w:val="000000010000" w:firstRow="0" w:lastRow="0" w:firstColumn="0" w:lastColumn="0" w:oddVBand="0" w:evenVBand="0" w:oddHBand="0" w:evenHBand="1" w:firstRowFirstColumn="0" w:firstRowLastColumn="0" w:lastRowFirstColumn="0" w:lastRowLastColumn="0"/>
            </w:pPr>
            <w:r>
              <w:t>322.22</w:t>
            </w:r>
          </w:p>
        </w:tc>
        <w:tc>
          <w:tcPr>
            <w:tcW w:w="1781" w:type="dxa"/>
          </w:tcPr>
          <w:p w:rsidR="007A7D31" w:rsidRPr="007A7D31" w:rsidRDefault="00144B7B" w:rsidP="007A7D31">
            <w:pPr>
              <w:cnfStyle w:val="000000010000" w:firstRow="0" w:lastRow="0" w:firstColumn="0" w:lastColumn="0" w:oddVBand="0" w:evenVBand="0" w:oddHBand="0" w:evenHBand="1" w:firstRowFirstColumn="0" w:firstRowLastColumn="0" w:lastRowFirstColumn="0" w:lastRowLastColumn="0"/>
            </w:pPr>
            <w:r>
              <w:t>294.33</w:t>
            </w:r>
          </w:p>
        </w:tc>
      </w:tr>
      <w:tr w:rsidR="007A7D31"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7A7D31" w:rsidRPr="007A7D31" w:rsidRDefault="007A7D31" w:rsidP="007A7D31">
            <w:r>
              <w:t>Connection alteration – overhead multi phase</w:t>
            </w:r>
          </w:p>
        </w:tc>
        <w:tc>
          <w:tcPr>
            <w:tcW w:w="1417" w:type="dxa"/>
          </w:tcPr>
          <w:p w:rsidR="007A7D31" w:rsidRPr="007A7D31" w:rsidRDefault="007A7D31" w:rsidP="007A7D31">
            <w:pPr>
              <w:cnfStyle w:val="000000000000" w:firstRow="0" w:lastRow="0" w:firstColumn="0" w:lastColumn="0" w:oddVBand="0" w:evenVBand="0" w:oddHBand="0" w:evenHBand="0" w:firstRowFirstColumn="0" w:firstRowLastColumn="0" w:lastRowFirstColumn="0" w:lastRowLastColumn="0"/>
            </w:pPr>
            <w:r>
              <w:t>413.00</w:t>
            </w:r>
          </w:p>
        </w:tc>
        <w:tc>
          <w:tcPr>
            <w:tcW w:w="1781" w:type="dxa"/>
          </w:tcPr>
          <w:p w:rsidR="007A7D31" w:rsidRPr="007A7D31" w:rsidRDefault="00144B7B" w:rsidP="007A7D31">
            <w:pPr>
              <w:cnfStyle w:val="000000000000" w:firstRow="0" w:lastRow="0" w:firstColumn="0" w:lastColumn="0" w:oddVBand="0" w:evenVBand="0" w:oddHBand="0" w:evenHBand="0" w:firstRowFirstColumn="0" w:firstRowLastColumn="0" w:lastRowFirstColumn="0" w:lastRowLastColumn="0"/>
            </w:pPr>
            <w:r>
              <w:t>385.10</w:t>
            </w:r>
          </w:p>
        </w:tc>
      </w:tr>
      <w:tr w:rsidR="007A7D31"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7A7D31" w:rsidRPr="007A7D31" w:rsidRDefault="007A7D31" w:rsidP="007A7D31">
            <w:r>
              <w:t>Connection of new consumer mains to an existing installation – underground single phase to turret or pole</w:t>
            </w:r>
          </w:p>
        </w:tc>
        <w:tc>
          <w:tcPr>
            <w:tcW w:w="1417" w:type="dxa"/>
          </w:tcPr>
          <w:p w:rsidR="007A7D31" w:rsidRPr="007A7D31" w:rsidRDefault="007A7D31" w:rsidP="007A7D31">
            <w:pPr>
              <w:cnfStyle w:val="000000010000" w:firstRow="0" w:lastRow="0" w:firstColumn="0" w:lastColumn="0" w:oddVBand="0" w:evenVBand="0" w:oddHBand="0" w:evenHBand="1" w:firstRowFirstColumn="0" w:firstRowLastColumn="0" w:lastRowFirstColumn="0" w:lastRowLastColumn="0"/>
            </w:pPr>
            <w:r>
              <w:t>225.19</w:t>
            </w:r>
          </w:p>
        </w:tc>
        <w:tc>
          <w:tcPr>
            <w:tcW w:w="1781" w:type="dxa"/>
          </w:tcPr>
          <w:p w:rsidR="007A7D31" w:rsidRPr="007A7D31" w:rsidRDefault="00144B7B" w:rsidP="007A7D31">
            <w:pPr>
              <w:cnfStyle w:val="000000010000" w:firstRow="0" w:lastRow="0" w:firstColumn="0" w:lastColumn="0" w:oddVBand="0" w:evenVBand="0" w:oddHBand="0" w:evenHBand="1" w:firstRowFirstColumn="0" w:firstRowLastColumn="0" w:lastRowFirstColumn="0" w:lastRowLastColumn="0"/>
            </w:pPr>
            <w:r>
              <w:t>197.29</w:t>
            </w:r>
          </w:p>
        </w:tc>
      </w:tr>
      <w:tr w:rsidR="007A7D31"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7A7D31" w:rsidRPr="007A7D31" w:rsidRDefault="007A7D31" w:rsidP="007A7D31">
            <w:r>
              <w:t>Connection of new consumer mains to an existing installation – underground multi phase to turret or pole</w:t>
            </w:r>
          </w:p>
        </w:tc>
        <w:tc>
          <w:tcPr>
            <w:tcW w:w="1417" w:type="dxa"/>
          </w:tcPr>
          <w:p w:rsidR="007A7D31" w:rsidRPr="007A7D31" w:rsidRDefault="007A7D31" w:rsidP="007A7D31">
            <w:pPr>
              <w:cnfStyle w:val="000000000000" w:firstRow="0" w:lastRow="0" w:firstColumn="0" w:lastColumn="0" w:oddVBand="0" w:evenVBand="0" w:oddHBand="0" w:evenHBand="0" w:firstRowFirstColumn="0" w:firstRowLastColumn="0" w:lastRowFirstColumn="0" w:lastRowLastColumn="0"/>
            </w:pPr>
            <w:r>
              <w:t>275.27</w:t>
            </w:r>
          </w:p>
        </w:tc>
        <w:tc>
          <w:tcPr>
            <w:tcW w:w="1781" w:type="dxa"/>
          </w:tcPr>
          <w:p w:rsidR="007A7D31" w:rsidRPr="007A7D31" w:rsidRDefault="00144B7B" w:rsidP="007A7D31">
            <w:pPr>
              <w:cnfStyle w:val="000000000000" w:firstRow="0" w:lastRow="0" w:firstColumn="0" w:lastColumn="0" w:oddVBand="0" w:evenVBand="0" w:oddHBand="0" w:evenHBand="0" w:firstRowFirstColumn="0" w:firstRowLastColumn="0" w:lastRowFirstColumn="0" w:lastRowLastColumn="0"/>
            </w:pPr>
            <w:r>
              <w:t>247.38</w:t>
            </w:r>
          </w:p>
        </w:tc>
      </w:tr>
      <w:tr w:rsidR="007A7D31"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7A7D31" w:rsidRPr="007A7D31" w:rsidRDefault="007A7D31" w:rsidP="007A7D31">
            <w:r>
              <w:t>Augment single phase overhead service to multi phase supply</w:t>
            </w:r>
          </w:p>
        </w:tc>
        <w:tc>
          <w:tcPr>
            <w:tcW w:w="1417" w:type="dxa"/>
          </w:tcPr>
          <w:p w:rsidR="007A7D31" w:rsidRPr="007A7D31" w:rsidRDefault="007A7D31" w:rsidP="007A7D31">
            <w:pPr>
              <w:cnfStyle w:val="000000010000" w:firstRow="0" w:lastRow="0" w:firstColumn="0" w:lastColumn="0" w:oddVBand="0" w:evenVBand="0" w:oddHBand="0" w:evenHBand="1" w:firstRowFirstColumn="0" w:firstRowLastColumn="0" w:lastRowFirstColumn="0" w:lastRowLastColumn="0"/>
            </w:pPr>
            <w:r>
              <w:t>844.79</w:t>
            </w:r>
          </w:p>
        </w:tc>
        <w:tc>
          <w:tcPr>
            <w:tcW w:w="1781" w:type="dxa"/>
          </w:tcPr>
          <w:p w:rsidR="007A7D31" w:rsidRPr="007A7D31" w:rsidRDefault="00144B7B" w:rsidP="007A7D31">
            <w:pPr>
              <w:cnfStyle w:val="000000010000" w:firstRow="0" w:lastRow="0" w:firstColumn="0" w:lastColumn="0" w:oddVBand="0" w:evenVBand="0" w:oddHBand="0" w:evenHBand="1" w:firstRowFirstColumn="0" w:firstRowLastColumn="0" w:lastRowFirstColumn="0" w:lastRowLastColumn="0"/>
            </w:pPr>
            <w:r>
              <w:t>816.89</w:t>
            </w:r>
          </w:p>
        </w:tc>
      </w:tr>
      <w:tr w:rsidR="007A7D31"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7A7D31" w:rsidRPr="007A7D31" w:rsidRDefault="007A7D31" w:rsidP="007A7D31">
            <w:r>
              <w:t>Augment multi phase overhead service to single phase supply</w:t>
            </w:r>
          </w:p>
        </w:tc>
        <w:tc>
          <w:tcPr>
            <w:tcW w:w="1417" w:type="dxa"/>
          </w:tcPr>
          <w:p w:rsidR="007A7D31" w:rsidRPr="007A7D31" w:rsidRDefault="007A7D31" w:rsidP="007A7D31">
            <w:pPr>
              <w:cnfStyle w:val="000000000000" w:firstRow="0" w:lastRow="0" w:firstColumn="0" w:lastColumn="0" w:oddVBand="0" w:evenVBand="0" w:oddHBand="0" w:evenHBand="0" w:firstRowFirstColumn="0" w:firstRowLastColumn="0" w:lastRowFirstColumn="0" w:lastRowLastColumn="0"/>
            </w:pPr>
            <w:r>
              <w:t>618.67</w:t>
            </w:r>
          </w:p>
        </w:tc>
        <w:tc>
          <w:tcPr>
            <w:tcW w:w="1781" w:type="dxa"/>
          </w:tcPr>
          <w:p w:rsidR="007A7D31" w:rsidRPr="007A7D31" w:rsidRDefault="00144B7B" w:rsidP="007A7D31">
            <w:pPr>
              <w:cnfStyle w:val="000000000000" w:firstRow="0" w:lastRow="0" w:firstColumn="0" w:lastColumn="0" w:oddVBand="0" w:evenVBand="0" w:oddHBand="0" w:evenHBand="0" w:firstRowFirstColumn="0" w:firstRowLastColumn="0" w:lastRowFirstColumn="0" w:lastRowLastColumn="0"/>
            </w:pPr>
            <w:r>
              <w:t>590.78</w:t>
            </w:r>
          </w:p>
        </w:tc>
      </w:tr>
      <w:tr w:rsidR="007A7D31"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7A7D31" w:rsidRPr="007A7D31" w:rsidRDefault="007A7D31" w:rsidP="007A7D31">
            <w:r>
              <w:t>Augment single phase overhead service to underground supply (turret)</w:t>
            </w:r>
          </w:p>
        </w:tc>
        <w:tc>
          <w:tcPr>
            <w:tcW w:w="1417" w:type="dxa"/>
          </w:tcPr>
          <w:p w:rsidR="007A7D31" w:rsidRPr="007A7D31" w:rsidRDefault="007A7D31" w:rsidP="007A7D31">
            <w:pPr>
              <w:cnfStyle w:val="000000010000" w:firstRow="0" w:lastRow="0" w:firstColumn="0" w:lastColumn="0" w:oddVBand="0" w:evenVBand="0" w:oddHBand="0" w:evenHBand="1" w:firstRowFirstColumn="0" w:firstRowLastColumn="0" w:lastRowFirstColumn="0" w:lastRowLastColumn="0"/>
            </w:pPr>
            <w:r>
              <w:t>391.53</w:t>
            </w:r>
          </w:p>
        </w:tc>
        <w:tc>
          <w:tcPr>
            <w:tcW w:w="1781" w:type="dxa"/>
          </w:tcPr>
          <w:p w:rsidR="007A7D31" w:rsidRPr="007A7D31" w:rsidRDefault="00144B7B" w:rsidP="007A7D31">
            <w:pPr>
              <w:cnfStyle w:val="000000010000" w:firstRow="0" w:lastRow="0" w:firstColumn="0" w:lastColumn="0" w:oddVBand="0" w:evenVBand="0" w:oddHBand="0" w:evenHBand="1" w:firstRowFirstColumn="0" w:firstRowLastColumn="0" w:lastRowFirstColumn="0" w:lastRowLastColumn="0"/>
            </w:pPr>
            <w:r>
              <w:t>363.64</w:t>
            </w:r>
          </w:p>
        </w:tc>
      </w:tr>
      <w:tr w:rsidR="007A7D31"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7A7D31" w:rsidRPr="007A7D31" w:rsidRDefault="007A7D31" w:rsidP="007A7D31">
            <w:r>
              <w:t>Augment multi phase overhead service to underground supply (turret)</w:t>
            </w:r>
          </w:p>
        </w:tc>
        <w:tc>
          <w:tcPr>
            <w:tcW w:w="1417" w:type="dxa"/>
          </w:tcPr>
          <w:p w:rsidR="007A7D31" w:rsidRPr="007A7D31" w:rsidRDefault="007A7D31" w:rsidP="007A7D31">
            <w:pPr>
              <w:cnfStyle w:val="000000000000" w:firstRow="0" w:lastRow="0" w:firstColumn="0" w:lastColumn="0" w:oddVBand="0" w:evenVBand="0" w:oddHBand="0" w:evenHBand="0" w:firstRowFirstColumn="0" w:firstRowLastColumn="0" w:lastRowFirstColumn="0" w:lastRowLastColumn="0"/>
            </w:pPr>
            <w:r>
              <w:t>482.31</w:t>
            </w:r>
          </w:p>
        </w:tc>
        <w:tc>
          <w:tcPr>
            <w:tcW w:w="1781" w:type="dxa"/>
          </w:tcPr>
          <w:p w:rsidR="007A7D31" w:rsidRPr="007A7D31" w:rsidRDefault="00144B7B" w:rsidP="007A7D31">
            <w:pPr>
              <w:cnfStyle w:val="000000000000" w:firstRow="0" w:lastRow="0" w:firstColumn="0" w:lastColumn="0" w:oddVBand="0" w:evenVBand="0" w:oddHBand="0" w:evenHBand="0" w:firstRowFirstColumn="0" w:firstRowLastColumn="0" w:lastRowFirstColumn="0" w:lastRowLastColumn="0"/>
            </w:pPr>
            <w:r>
              <w:t>454.41</w:t>
            </w:r>
          </w:p>
        </w:tc>
      </w:tr>
      <w:tr w:rsidR="007A7D31"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7A7D31" w:rsidRPr="007A7D31" w:rsidRDefault="007A7D31" w:rsidP="007A7D31">
            <w:r>
              <w:t>Augment single phase overhead service to underground supply (pole)</w:t>
            </w:r>
          </w:p>
        </w:tc>
        <w:tc>
          <w:tcPr>
            <w:tcW w:w="1417" w:type="dxa"/>
          </w:tcPr>
          <w:p w:rsidR="007A7D31" w:rsidRPr="007A7D31" w:rsidRDefault="007A7D31" w:rsidP="007A7D31">
            <w:pPr>
              <w:cnfStyle w:val="000000010000" w:firstRow="0" w:lastRow="0" w:firstColumn="0" w:lastColumn="0" w:oddVBand="0" w:evenVBand="0" w:oddHBand="0" w:evenHBand="1" w:firstRowFirstColumn="0" w:firstRowLastColumn="0" w:lastRowFirstColumn="0" w:lastRowLastColumn="0"/>
            </w:pPr>
            <w:r>
              <w:t>489.55</w:t>
            </w:r>
          </w:p>
        </w:tc>
        <w:tc>
          <w:tcPr>
            <w:tcW w:w="1781" w:type="dxa"/>
          </w:tcPr>
          <w:p w:rsidR="007A7D31" w:rsidRPr="007A7D31" w:rsidRDefault="00144B7B" w:rsidP="007A7D31">
            <w:pPr>
              <w:cnfStyle w:val="000000010000" w:firstRow="0" w:lastRow="0" w:firstColumn="0" w:lastColumn="0" w:oddVBand="0" w:evenVBand="0" w:oddHBand="0" w:evenHBand="1" w:firstRowFirstColumn="0" w:firstRowLastColumn="0" w:lastRowFirstColumn="0" w:lastRowLastColumn="0"/>
            </w:pPr>
            <w:r>
              <w:t>461.65</w:t>
            </w:r>
          </w:p>
        </w:tc>
      </w:tr>
      <w:tr w:rsidR="007A7D31"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7A7D31" w:rsidRPr="007A7D31" w:rsidRDefault="007A7D31" w:rsidP="007A7D31">
            <w:r>
              <w:t>Augment multi phase overhead service to underground supply (pole)</w:t>
            </w:r>
          </w:p>
        </w:tc>
        <w:tc>
          <w:tcPr>
            <w:tcW w:w="1417" w:type="dxa"/>
          </w:tcPr>
          <w:p w:rsidR="007A7D31" w:rsidRPr="007A7D31" w:rsidRDefault="007A7D31" w:rsidP="007A7D31">
            <w:pPr>
              <w:cnfStyle w:val="000000000000" w:firstRow="0" w:lastRow="0" w:firstColumn="0" w:lastColumn="0" w:oddVBand="0" w:evenVBand="0" w:oddHBand="0" w:evenHBand="0" w:firstRowFirstColumn="0" w:firstRowLastColumn="0" w:lastRowFirstColumn="0" w:lastRowLastColumn="0"/>
            </w:pPr>
            <w:r>
              <w:t>597.26</w:t>
            </w:r>
          </w:p>
        </w:tc>
        <w:tc>
          <w:tcPr>
            <w:tcW w:w="1781" w:type="dxa"/>
          </w:tcPr>
          <w:p w:rsidR="007A7D31" w:rsidRPr="007A7D31" w:rsidRDefault="00144B7B" w:rsidP="007A7D31">
            <w:pPr>
              <w:cnfStyle w:val="000000000000" w:firstRow="0" w:lastRow="0" w:firstColumn="0" w:lastColumn="0" w:oddVBand="0" w:evenVBand="0" w:oddHBand="0" w:evenHBand="0" w:firstRowFirstColumn="0" w:firstRowLastColumn="0" w:lastRowFirstColumn="0" w:lastRowLastColumn="0"/>
            </w:pPr>
            <w:r>
              <w:t>569.37</w:t>
            </w:r>
          </w:p>
        </w:tc>
      </w:tr>
      <w:tr w:rsidR="007A7D31"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7A7D31" w:rsidRPr="007A7D31" w:rsidRDefault="007A7D31" w:rsidP="007A7D31">
            <w:r>
              <w:t>Basic connection alteration – after hours</w:t>
            </w:r>
          </w:p>
        </w:tc>
        <w:tc>
          <w:tcPr>
            <w:tcW w:w="1417" w:type="dxa"/>
          </w:tcPr>
          <w:p w:rsidR="007A7D31" w:rsidRPr="007A7D31" w:rsidRDefault="007A7D31" w:rsidP="007A7D31">
            <w:pPr>
              <w:cnfStyle w:val="000000010000" w:firstRow="0" w:lastRow="0" w:firstColumn="0" w:lastColumn="0" w:oddVBand="0" w:evenVBand="0" w:oddHBand="0" w:evenHBand="1" w:firstRowFirstColumn="0" w:firstRowLastColumn="0" w:lastRowFirstColumn="0" w:lastRowLastColumn="0"/>
            </w:pPr>
            <w:r>
              <w:t>1,510.51</w:t>
            </w:r>
          </w:p>
        </w:tc>
        <w:tc>
          <w:tcPr>
            <w:tcW w:w="1781" w:type="dxa"/>
          </w:tcPr>
          <w:p w:rsidR="007A7D31" w:rsidRPr="007A7D31" w:rsidRDefault="00144B7B" w:rsidP="007A7D31">
            <w:pPr>
              <w:cnfStyle w:val="000000010000" w:firstRow="0" w:lastRow="0" w:firstColumn="0" w:lastColumn="0" w:oddVBand="0" w:evenVBand="0" w:oddHBand="0" w:evenHBand="1" w:firstRowFirstColumn="0" w:firstRowLastColumn="0" w:lastRowFirstColumn="0" w:lastRowLastColumn="0"/>
            </w:pPr>
            <w:r>
              <w:t>746.17</w:t>
            </w:r>
          </w:p>
        </w:tc>
      </w:tr>
      <w:tr w:rsidR="007A7D31"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7A7D31" w:rsidRPr="007A7D31" w:rsidRDefault="007A7D31" w:rsidP="007A7D31">
            <w:r>
              <w:t>Basic connection – wasted visit</w:t>
            </w:r>
          </w:p>
        </w:tc>
        <w:tc>
          <w:tcPr>
            <w:tcW w:w="1417" w:type="dxa"/>
          </w:tcPr>
          <w:p w:rsidR="007A7D31" w:rsidRPr="007A7D31" w:rsidRDefault="007A7D31" w:rsidP="007A7D31">
            <w:pPr>
              <w:cnfStyle w:val="000000000000" w:firstRow="0" w:lastRow="0" w:firstColumn="0" w:lastColumn="0" w:oddVBand="0" w:evenVBand="0" w:oddHBand="0" w:evenHBand="0" w:firstRowFirstColumn="0" w:firstRowLastColumn="0" w:lastRowFirstColumn="0" w:lastRowLastColumn="0"/>
            </w:pPr>
            <w:r>
              <w:t>174.70</w:t>
            </w:r>
          </w:p>
        </w:tc>
        <w:tc>
          <w:tcPr>
            <w:tcW w:w="1781" w:type="dxa"/>
          </w:tcPr>
          <w:p w:rsidR="007A7D31" w:rsidRPr="007A7D31" w:rsidRDefault="00144B7B" w:rsidP="007A7D31">
            <w:pPr>
              <w:cnfStyle w:val="000000000000" w:firstRow="0" w:lastRow="0" w:firstColumn="0" w:lastColumn="0" w:oddVBand="0" w:evenVBand="0" w:oddHBand="0" w:evenHBand="0" w:firstRowFirstColumn="0" w:firstRowLastColumn="0" w:lastRowFirstColumn="0" w:lastRowLastColumn="0"/>
            </w:pPr>
            <w:r>
              <w:t>146.81</w:t>
            </w:r>
          </w:p>
        </w:tc>
      </w:tr>
      <w:tr w:rsidR="00F21E68" w:rsidRPr="00F21E68"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F21E68" w:rsidRPr="00F21E68" w:rsidRDefault="00F21E68" w:rsidP="007A7D31">
            <w:pPr>
              <w:rPr>
                <w:rStyle w:val="Strong"/>
              </w:rPr>
            </w:pPr>
            <w:r w:rsidRPr="00F21E68">
              <w:rPr>
                <w:rStyle w:val="Strong"/>
              </w:rPr>
              <w:t>New design and construction fees</w:t>
            </w:r>
          </w:p>
        </w:tc>
        <w:tc>
          <w:tcPr>
            <w:tcW w:w="1417" w:type="dxa"/>
          </w:tcPr>
          <w:p w:rsidR="00F21E68" w:rsidRPr="00F21E68" w:rsidRDefault="00F21E68" w:rsidP="007A7D31">
            <w:pPr>
              <w:cnfStyle w:val="000000010000" w:firstRow="0" w:lastRow="0" w:firstColumn="0" w:lastColumn="0" w:oddVBand="0" w:evenVBand="0" w:oddHBand="0" w:evenHBand="1" w:firstRowFirstColumn="0" w:firstRowLastColumn="0" w:lastRowFirstColumn="0" w:lastRowLastColumn="0"/>
              <w:rPr>
                <w:rStyle w:val="Strong"/>
              </w:rPr>
            </w:pPr>
          </w:p>
        </w:tc>
        <w:tc>
          <w:tcPr>
            <w:tcW w:w="1781" w:type="dxa"/>
          </w:tcPr>
          <w:p w:rsidR="00F21E68" w:rsidRPr="00F21E68" w:rsidRDefault="00F21E68" w:rsidP="007A7D31">
            <w:pPr>
              <w:cnfStyle w:val="000000010000" w:firstRow="0" w:lastRow="0" w:firstColumn="0" w:lastColumn="0" w:oddVBand="0" w:evenVBand="0" w:oddHBand="0" w:evenHBand="1" w:firstRowFirstColumn="0" w:firstRowLastColumn="0" w:lastRowFirstColumn="0" w:lastRowLastColumn="0"/>
              <w:rPr>
                <w:rStyle w:val="Strong"/>
              </w:rPr>
            </w:pPr>
          </w:p>
        </w:tc>
      </w:tr>
      <w:tr w:rsidR="00F21E68"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F21E68" w:rsidRDefault="00F21E68" w:rsidP="007A7D31">
            <w:r>
              <w:t>Standard application fee</w:t>
            </w:r>
          </w:p>
        </w:tc>
        <w:tc>
          <w:tcPr>
            <w:tcW w:w="1417" w:type="dxa"/>
          </w:tcPr>
          <w:p w:rsidR="00F21E68" w:rsidRDefault="00F21E68" w:rsidP="007A7D31">
            <w:pPr>
              <w:cnfStyle w:val="000000000000" w:firstRow="0" w:lastRow="0" w:firstColumn="0" w:lastColumn="0" w:oddVBand="0" w:evenVBand="0" w:oddHBand="0" w:evenHBand="0" w:firstRowFirstColumn="0" w:firstRowLastColumn="0" w:lastRowFirstColumn="0" w:lastRowLastColumn="0"/>
            </w:pPr>
            <w:r>
              <w:t>200.00</w:t>
            </w:r>
          </w:p>
        </w:tc>
        <w:tc>
          <w:tcPr>
            <w:tcW w:w="1781" w:type="dxa"/>
          </w:tcPr>
          <w:p w:rsidR="00F21E68" w:rsidRPr="007A7D31" w:rsidRDefault="00F21E68" w:rsidP="007A7D31">
            <w:pPr>
              <w:cnfStyle w:val="000000000000" w:firstRow="0" w:lastRow="0" w:firstColumn="0" w:lastColumn="0" w:oddVBand="0" w:evenVBand="0" w:oddHBand="0" w:evenHBand="0" w:firstRowFirstColumn="0" w:firstRowLastColumn="0" w:lastRowFirstColumn="0" w:lastRowLastColumn="0"/>
            </w:pPr>
            <w:r>
              <w:t>Quoted service</w:t>
            </w:r>
          </w:p>
        </w:tc>
      </w:tr>
      <w:tr w:rsidR="00F21E68"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F21E68" w:rsidRDefault="00F21E68" w:rsidP="007A7D31">
            <w:r>
              <w:t>Application fee – customer choice</w:t>
            </w:r>
          </w:p>
        </w:tc>
        <w:tc>
          <w:tcPr>
            <w:tcW w:w="1417" w:type="dxa"/>
          </w:tcPr>
          <w:p w:rsidR="00F21E68" w:rsidRDefault="00F21E68" w:rsidP="007A7D31">
            <w:pPr>
              <w:cnfStyle w:val="000000010000" w:firstRow="0" w:lastRow="0" w:firstColumn="0" w:lastColumn="0" w:oddVBand="0" w:evenVBand="0" w:oddHBand="0" w:evenHBand="1" w:firstRowFirstColumn="0" w:firstRowLastColumn="0" w:lastRowFirstColumn="0" w:lastRowLastColumn="0"/>
            </w:pPr>
            <w:r>
              <w:t>1,886.51</w:t>
            </w:r>
          </w:p>
        </w:tc>
        <w:tc>
          <w:tcPr>
            <w:tcW w:w="1781" w:type="dxa"/>
          </w:tcPr>
          <w:p w:rsidR="00F21E68" w:rsidRPr="007A7D31" w:rsidRDefault="00F21E68" w:rsidP="007A7D31">
            <w:pPr>
              <w:cnfStyle w:val="000000010000" w:firstRow="0" w:lastRow="0" w:firstColumn="0" w:lastColumn="0" w:oddVBand="0" w:evenVBand="0" w:oddHBand="0" w:evenHBand="1" w:firstRowFirstColumn="0" w:firstRowLastColumn="0" w:lastRowFirstColumn="0" w:lastRowLastColumn="0"/>
            </w:pPr>
            <w:r>
              <w:t>Quoted service</w:t>
            </w:r>
          </w:p>
        </w:tc>
      </w:tr>
      <w:tr w:rsidR="00F21E68" w:rsidRPr="00F21E68" w:rsidTr="00144B7B">
        <w:tc>
          <w:tcPr>
            <w:cnfStyle w:val="001000000000" w:firstRow="0" w:lastRow="0" w:firstColumn="1" w:lastColumn="0" w:oddVBand="0" w:evenVBand="0" w:oddHBand="0" w:evenHBand="0" w:firstRowFirstColumn="0" w:firstRowLastColumn="0" w:lastRowFirstColumn="0" w:lastRowLastColumn="0"/>
            <w:tcW w:w="5495" w:type="dxa"/>
          </w:tcPr>
          <w:p w:rsidR="00F21E68" w:rsidRPr="00F21E68" w:rsidRDefault="00F21E68" w:rsidP="007A7D31">
            <w:pPr>
              <w:rPr>
                <w:rStyle w:val="Strong"/>
              </w:rPr>
            </w:pPr>
            <w:r w:rsidRPr="00F21E68">
              <w:rPr>
                <w:rStyle w:val="Strong"/>
              </w:rPr>
              <w:t>New design and construction fees (maximum service)</w:t>
            </w:r>
          </w:p>
        </w:tc>
        <w:tc>
          <w:tcPr>
            <w:tcW w:w="1417" w:type="dxa"/>
          </w:tcPr>
          <w:p w:rsidR="00F21E68" w:rsidRPr="00F21E68" w:rsidRDefault="00F21E68" w:rsidP="007A7D31">
            <w:pPr>
              <w:cnfStyle w:val="000000000000" w:firstRow="0" w:lastRow="0" w:firstColumn="0" w:lastColumn="0" w:oddVBand="0" w:evenVBand="0" w:oddHBand="0" w:evenHBand="0" w:firstRowFirstColumn="0" w:firstRowLastColumn="0" w:lastRowFirstColumn="0" w:lastRowLastColumn="0"/>
              <w:rPr>
                <w:rStyle w:val="Strong"/>
              </w:rPr>
            </w:pPr>
          </w:p>
        </w:tc>
        <w:tc>
          <w:tcPr>
            <w:tcW w:w="1781" w:type="dxa"/>
          </w:tcPr>
          <w:p w:rsidR="00F21E68" w:rsidRPr="00F21E68" w:rsidRDefault="00F21E68" w:rsidP="007A7D31">
            <w:pPr>
              <w:cnfStyle w:val="000000000000" w:firstRow="0" w:lastRow="0" w:firstColumn="0" w:lastColumn="0" w:oddVBand="0" w:evenVBand="0" w:oddHBand="0" w:evenHBand="0" w:firstRowFirstColumn="0" w:firstRowLastColumn="0" w:lastRowFirstColumn="0" w:lastRowLastColumn="0"/>
              <w:rPr>
                <w:rStyle w:val="Strong"/>
              </w:rPr>
            </w:pPr>
          </w:p>
        </w:tc>
      </w:tr>
      <w:tr w:rsidR="00F21E68"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F21E68" w:rsidRDefault="00F21E68" w:rsidP="007A7D31">
            <w:r>
              <w:t>Design cost</w:t>
            </w:r>
          </w:p>
        </w:tc>
        <w:tc>
          <w:tcPr>
            <w:tcW w:w="1417" w:type="dxa"/>
          </w:tcPr>
          <w:p w:rsidR="00F21E68" w:rsidRDefault="00F21E68" w:rsidP="007A7D31">
            <w:pPr>
              <w:cnfStyle w:val="000000010000" w:firstRow="0" w:lastRow="0" w:firstColumn="0" w:lastColumn="0" w:oddVBand="0" w:evenVBand="0" w:oddHBand="0" w:evenHBand="1" w:firstRowFirstColumn="0" w:firstRowLastColumn="0" w:lastRowFirstColumn="0" w:lastRowLastColumn="0"/>
            </w:pPr>
          </w:p>
        </w:tc>
        <w:tc>
          <w:tcPr>
            <w:tcW w:w="1781" w:type="dxa"/>
          </w:tcPr>
          <w:p w:rsidR="00F21E68" w:rsidRPr="007A7D31" w:rsidRDefault="00F21E68" w:rsidP="007A7D31">
            <w:pPr>
              <w:cnfStyle w:val="000000010000" w:firstRow="0" w:lastRow="0" w:firstColumn="0" w:lastColumn="0" w:oddVBand="0" w:evenVBand="0" w:oddHBand="0" w:evenHBand="1" w:firstRowFirstColumn="0" w:firstRowLastColumn="0" w:lastRowFirstColumn="0" w:lastRowLastColumn="0"/>
            </w:pPr>
          </w:p>
        </w:tc>
      </w:tr>
      <w:tr w:rsidR="00F21E68"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F21E68" w:rsidRDefault="00F21E68" w:rsidP="007A7D31">
            <w:r>
              <w:tab/>
              <w:t>Design audit fee (small)</w:t>
            </w:r>
          </w:p>
        </w:tc>
        <w:tc>
          <w:tcPr>
            <w:tcW w:w="1417" w:type="dxa"/>
          </w:tcPr>
          <w:p w:rsidR="00F21E68" w:rsidRDefault="00F21E68" w:rsidP="007A7D31">
            <w:pPr>
              <w:cnfStyle w:val="000000000000" w:firstRow="0" w:lastRow="0" w:firstColumn="0" w:lastColumn="0" w:oddVBand="0" w:evenVBand="0" w:oddHBand="0" w:evenHBand="0" w:firstRowFirstColumn="0" w:firstRowLastColumn="0" w:lastRowFirstColumn="0" w:lastRowLastColumn="0"/>
            </w:pPr>
            <w:r>
              <w:t>1,382.41</w:t>
            </w:r>
          </w:p>
        </w:tc>
        <w:tc>
          <w:tcPr>
            <w:tcW w:w="1781" w:type="dxa"/>
          </w:tcPr>
          <w:p w:rsidR="00F21E68" w:rsidRPr="007A7D31" w:rsidRDefault="00F21E68" w:rsidP="007A7D31">
            <w:pPr>
              <w:cnfStyle w:val="000000000000" w:firstRow="0" w:lastRow="0" w:firstColumn="0" w:lastColumn="0" w:oddVBand="0" w:evenVBand="0" w:oddHBand="0" w:evenHBand="0" w:firstRowFirstColumn="0" w:firstRowLastColumn="0" w:lastRowFirstColumn="0" w:lastRowLastColumn="0"/>
            </w:pPr>
            <w:r>
              <w:t>Quoted service</w:t>
            </w:r>
          </w:p>
        </w:tc>
      </w:tr>
      <w:tr w:rsidR="00F21E68"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F21E68" w:rsidRDefault="00F21E68" w:rsidP="007A7D31">
            <w:r>
              <w:tab/>
              <w:t>Design audit fee (large)</w:t>
            </w:r>
          </w:p>
        </w:tc>
        <w:tc>
          <w:tcPr>
            <w:tcW w:w="1417" w:type="dxa"/>
          </w:tcPr>
          <w:p w:rsidR="00F21E68" w:rsidRDefault="00F21E68" w:rsidP="007A7D31">
            <w:pPr>
              <w:cnfStyle w:val="000000010000" w:firstRow="0" w:lastRow="0" w:firstColumn="0" w:lastColumn="0" w:oddVBand="0" w:evenVBand="0" w:oddHBand="0" w:evenHBand="1" w:firstRowFirstColumn="0" w:firstRowLastColumn="0" w:lastRowFirstColumn="0" w:lastRowLastColumn="0"/>
            </w:pPr>
            <w:r>
              <w:t>1,844.82</w:t>
            </w:r>
          </w:p>
        </w:tc>
        <w:tc>
          <w:tcPr>
            <w:tcW w:w="1781" w:type="dxa"/>
          </w:tcPr>
          <w:p w:rsidR="00F21E68" w:rsidRPr="007A7D31" w:rsidRDefault="00F21E68" w:rsidP="007A7D31">
            <w:pPr>
              <w:cnfStyle w:val="000000010000" w:firstRow="0" w:lastRow="0" w:firstColumn="0" w:lastColumn="0" w:oddVBand="0" w:evenVBand="0" w:oddHBand="0" w:evenHBand="1" w:firstRowFirstColumn="0" w:firstRowLastColumn="0" w:lastRowFirstColumn="0" w:lastRowLastColumn="0"/>
            </w:pPr>
            <w:r>
              <w:t>Quoted service</w:t>
            </w:r>
          </w:p>
        </w:tc>
      </w:tr>
      <w:tr w:rsidR="00F21E68"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F21E68" w:rsidRDefault="00F21E68" w:rsidP="007A7D31">
            <w:r>
              <w:tab/>
              <w:t>Design audit fee (major)</w:t>
            </w:r>
          </w:p>
        </w:tc>
        <w:tc>
          <w:tcPr>
            <w:tcW w:w="1417" w:type="dxa"/>
          </w:tcPr>
          <w:p w:rsidR="00F21E68" w:rsidRDefault="00F21E68" w:rsidP="007A7D31">
            <w:pPr>
              <w:cnfStyle w:val="000000000000" w:firstRow="0" w:lastRow="0" w:firstColumn="0" w:lastColumn="0" w:oddVBand="0" w:evenVBand="0" w:oddHBand="0" w:evenHBand="0" w:firstRowFirstColumn="0" w:firstRowLastColumn="0" w:lastRowFirstColumn="0" w:lastRowLastColumn="0"/>
            </w:pPr>
            <w:r>
              <w:t>2,944.89</w:t>
            </w:r>
          </w:p>
        </w:tc>
        <w:tc>
          <w:tcPr>
            <w:tcW w:w="1781" w:type="dxa"/>
          </w:tcPr>
          <w:p w:rsidR="00F21E68" w:rsidRPr="007A7D31" w:rsidRDefault="00F21E68" w:rsidP="007A7D31">
            <w:pPr>
              <w:cnfStyle w:val="000000000000" w:firstRow="0" w:lastRow="0" w:firstColumn="0" w:lastColumn="0" w:oddVBand="0" w:evenVBand="0" w:oddHBand="0" w:evenHBand="0" w:firstRowFirstColumn="0" w:firstRowLastColumn="0" w:lastRowFirstColumn="0" w:lastRowLastColumn="0"/>
            </w:pPr>
            <w:r>
              <w:t>Quoted service</w:t>
            </w:r>
          </w:p>
        </w:tc>
      </w:tr>
      <w:tr w:rsidR="00F21E68"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F21E68" w:rsidRDefault="00F21E68" w:rsidP="007A7D31">
            <w:r>
              <w:t>Construction cost</w:t>
            </w:r>
          </w:p>
        </w:tc>
        <w:tc>
          <w:tcPr>
            <w:tcW w:w="1417" w:type="dxa"/>
          </w:tcPr>
          <w:p w:rsidR="00F21E68" w:rsidRDefault="00F21E68" w:rsidP="007A7D31">
            <w:pPr>
              <w:cnfStyle w:val="000000010000" w:firstRow="0" w:lastRow="0" w:firstColumn="0" w:lastColumn="0" w:oddVBand="0" w:evenVBand="0" w:oddHBand="0" w:evenHBand="1" w:firstRowFirstColumn="0" w:firstRowLastColumn="0" w:lastRowFirstColumn="0" w:lastRowLastColumn="0"/>
            </w:pPr>
          </w:p>
        </w:tc>
        <w:tc>
          <w:tcPr>
            <w:tcW w:w="1781" w:type="dxa"/>
          </w:tcPr>
          <w:p w:rsidR="00F21E68" w:rsidRPr="007A7D31" w:rsidRDefault="00F21E68" w:rsidP="007A7D31">
            <w:pPr>
              <w:cnfStyle w:val="000000010000" w:firstRow="0" w:lastRow="0" w:firstColumn="0" w:lastColumn="0" w:oddVBand="0" w:evenVBand="0" w:oddHBand="0" w:evenHBand="1" w:firstRowFirstColumn="0" w:firstRowLastColumn="0" w:lastRowFirstColumn="0" w:lastRowLastColumn="0"/>
            </w:pPr>
          </w:p>
        </w:tc>
      </w:tr>
      <w:tr w:rsidR="00F21E68"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F21E68" w:rsidRDefault="00F21E68" w:rsidP="007A7D31">
            <w:r>
              <w:tab/>
              <w:t>Construction audit fee (small)</w:t>
            </w:r>
          </w:p>
        </w:tc>
        <w:tc>
          <w:tcPr>
            <w:tcW w:w="1417" w:type="dxa"/>
          </w:tcPr>
          <w:p w:rsidR="00F21E68" w:rsidRDefault="00F21E68" w:rsidP="007A7D31">
            <w:pPr>
              <w:cnfStyle w:val="000000000000" w:firstRow="0" w:lastRow="0" w:firstColumn="0" w:lastColumn="0" w:oddVBand="0" w:evenVBand="0" w:oddHBand="0" w:evenHBand="0" w:firstRowFirstColumn="0" w:firstRowLastColumn="0" w:lastRowFirstColumn="0" w:lastRowLastColumn="0"/>
            </w:pPr>
            <w:r>
              <w:t>4,755.95</w:t>
            </w:r>
          </w:p>
        </w:tc>
        <w:tc>
          <w:tcPr>
            <w:tcW w:w="1781" w:type="dxa"/>
          </w:tcPr>
          <w:p w:rsidR="00F21E68" w:rsidRPr="007A7D31" w:rsidRDefault="00F21E68" w:rsidP="007A7D31">
            <w:pPr>
              <w:cnfStyle w:val="000000000000" w:firstRow="0" w:lastRow="0" w:firstColumn="0" w:lastColumn="0" w:oddVBand="0" w:evenVBand="0" w:oddHBand="0" w:evenHBand="0" w:firstRowFirstColumn="0" w:firstRowLastColumn="0" w:lastRowFirstColumn="0" w:lastRowLastColumn="0"/>
            </w:pPr>
            <w:r>
              <w:t>Quoted service</w:t>
            </w:r>
          </w:p>
        </w:tc>
      </w:tr>
      <w:tr w:rsidR="00F21E68"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F21E68" w:rsidRDefault="00F21E68" w:rsidP="007A7D31">
            <w:r>
              <w:tab/>
              <w:t>Construction audit fee (large)</w:t>
            </w:r>
          </w:p>
        </w:tc>
        <w:tc>
          <w:tcPr>
            <w:tcW w:w="1417" w:type="dxa"/>
          </w:tcPr>
          <w:p w:rsidR="00F21E68" w:rsidRDefault="00F21E68" w:rsidP="007A7D31">
            <w:pPr>
              <w:cnfStyle w:val="000000010000" w:firstRow="0" w:lastRow="0" w:firstColumn="0" w:lastColumn="0" w:oddVBand="0" w:evenVBand="0" w:oddHBand="0" w:evenHBand="1" w:firstRowFirstColumn="0" w:firstRowLastColumn="0" w:lastRowFirstColumn="0" w:lastRowLastColumn="0"/>
            </w:pPr>
            <w:r>
              <w:t>5,944.93</w:t>
            </w:r>
          </w:p>
        </w:tc>
        <w:tc>
          <w:tcPr>
            <w:tcW w:w="1781" w:type="dxa"/>
          </w:tcPr>
          <w:p w:rsidR="00F21E68" w:rsidRPr="007A7D31" w:rsidRDefault="00F21E68" w:rsidP="007A7D31">
            <w:pPr>
              <w:cnfStyle w:val="000000010000" w:firstRow="0" w:lastRow="0" w:firstColumn="0" w:lastColumn="0" w:oddVBand="0" w:evenVBand="0" w:oddHBand="0" w:evenHBand="1" w:firstRowFirstColumn="0" w:firstRowLastColumn="0" w:lastRowFirstColumn="0" w:lastRowLastColumn="0"/>
            </w:pPr>
            <w:r>
              <w:t>Quoted service</w:t>
            </w:r>
          </w:p>
        </w:tc>
      </w:tr>
      <w:tr w:rsidR="00F21E68"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F21E68" w:rsidRDefault="00F21E68" w:rsidP="007A7D31">
            <w:r>
              <w:tab/>
              <w:t>Construction audit fee (major)</w:t>
            </w:r>
          </w:p>
        </w:tc>
        <w:tc>
          <w:tcPr>
            <w:tcW w:w="1417" w:type="dxa"/>
          </w:tcPr>
          <w:p w:rsidR="00F21E68" w:rsidRDefault="00F21E68" w:rsidP="007A7D31">
            <w:pPr>
              <w:cnfStyle w:val="000000000000" w:firstRow="0" w:lastRow="0" w:firstColumn="0" w:lastColumn="0" w:oddVBand="0" w:evenVBand="0" w:oddHBand="0" w:evenHBand="0" w:firstRowFirstColumn="0" w:firstRowLastColumn="0" w:lastRowFirstColumn="0" w:lastRowLastColumn="0"/>
            </w:pPr>
            <w:r>
              <w:t>7,379.75</w:t>
            </w:r>
          </w:p>
        </w:tc>
        <w:tc>
          <w:tcPr>
            <w:tcW w:w="1781" w:type="dxa"/>
          </w:tcPr>
          <w:p w:rsidR="00F21E68" w:rsidRPr="007A7D31" w:rsidRDefault="00F21E68" w:rsidP="007A7D31">
            <w:pPr>
              <w:cnfStyle w:val="000000000000" w:firstRow="0" w:lastRow="0" w:firstColumn="0" w:lastColumn="0" w:oddVBand="0" w:evenVBand="0" w:oddHBand="0" w:evenHBand="0" w:firstRowFirstColumn="0" w:firstRowLastColumn="0" w:lastRowFirstColumn="0" w:lastRowLastColumn="0"/>
            </w:pPr>
            <w:r>
              <w:t>Quoted service</w:t>
            </w:r>
          </w:p>
        </w:tc>
      </w:tr>
      <w:tr w:rsidR="00F21E68"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F21E68" w:rsidRPr="00F21E68" w:rsidRDefault="00F21E68" w:rsidP="00F21E68">
            <w:pPr>
              <w:rPr>
                <w:rStyle w:val="Strong"/>
              </w:rPr>
            </w:pPr>
            <w:r w:rsidRPr="00F21E68">
              <w:rPr>
                <w:rStyle w:val="Strong"/>
              </w:rPr>
              <w:t>New desig</w:t>
            </w:r>
            <w:r>
              <w:rPr>
                <w:rStyle w:val="Strong"/>
              </w:rPr>
              <w:t>n and construction fees (minimum</w:t>
            </w:r>
            <w:r w:rsidRPr="00F21E68">
              <w:rPr>
                <w:rStyle w:val="Strong"/>
              </w:rPr>
              <w:t xml:space="preserve"> service)</w:t>
            </w:r>
          </w:p>
        </w:tc>
        <w:tc>
          <w:tcPr>
            <w:tcW w:w="1417" w:type="dxa"/>
          </w:tcPr>
          <w:p w:rsidR="00F21E68" w:rsidRPr="00F21E68" w:rsidRDefault="00F21E68" w:rsidP="00F21E68">
            <w:pPr>
              <w:cnfStyle w:val="000000010000" w:firstRow="0" w:lastRow="0" w:firstColumn="0" w:lastColumn="0" w:oddVBand="0" w:evenVBand="0" w:oddHBand="0" w:evenHBand="1" w:firstRowFirstColumn="0" w:firstRowLastColumn="0" w:lastRowFirstColumn="0" w:lastRowLastColumn="0"/>
              <w:rPr>
                <w:rStyle w:val="Strong"/>
              </w:rPr>
            </w:pPr>
          </w:p>
        </w:tc>
        <w:tc>
          <w:tcPr>
            <w:tcW w:w="1781" w:type="dxa"/>
          </w:tcPr>
          <w:p w:rsidR="00F21E68" w:rsidRPr="00F21E68" w:rsidRDefault="00F21E68" w:rsidP="00F21E68">
            <w:pPr>
              <w:cnfStyle w:val="000000010000" w:firstRow="0" w:lastRow="0" w:firstColumn="0" w:lastColumn="0" w:oddVBand="0" w:evenVBand="0" w:oddHBand="0" w:evenHBand="1" w:firstRowFirstColumn="0" w:firstRowLastColumn="0" w:lastRowFirstColumn="0" w:lastRowLastColumn="0"/>
              <w:rPr>
                <w:rStyle w:val="Strong"/>
              </w:rPr>
            </w:pPr>
          </w:p>
        </w:tc>
      </w:tr>
      <w:tr w:rsidR="00F21E68"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F21E68" w:rsidRPr="00F21E68" w:rsidRDefault="00F21E68" w:rsidP="00F21E68">
            <w:r>
              <w:t>Design cost</w:t>
            </w:r>
          </w:p>
        </w:tc>
        <w:tc>
          <w:tcPr>
            <w:tcW w:w="1417" w:type="dxa"/>
          </w:tcPr>
          <w:p w:rsidR="00F21E68" w:rsidRDefault="00F21E68" w:rsidP="00F21E68">
            <w:pPr>
              <w:cnfStyle w:val="000000000000" w:firstRow="0" w:lastRow="0" w:firstColumn="0" w:lastColumn="0" w:oddVBand="0" w:evenVBand="0" w:oddHBand="0" w:evenHBand="0" w:firstRowFirstColumn="0" w:firstRowLastColumn="0" w:lastRowFirstColumn="0" w:lastRowLastColumn="0"/>
            </w:pPr>
          </w:p>
        </w:tc>
        <w:tc>
          <w:tcPr>
            <w:tcW w:w="1781" w:type="dxa"/>
          </w:tcPr>
          <w:p w:rsidR="00F21E68" w:rsidRPr="007A7D31" w:rsidRDefault="00F21E68" w:rsidP="00F21E68">
            <w:pPr>
              <w:cnfStyle w:val="000000000000" w:firstRow="0" w:lastRow="0" w:firstColumn="0" w:lastColumn="0" w:oddVBand="0" w:evenVBand="0" w:oddHBand="0" w:evenHBand="0" w:firstRowFirstColumn="0" w:firstRowLastColumn="0" w:lastRowFirstColumn="0" w:lastRowLastColumn="0"/>
            </w:pPr>
          </w:p>
        </w:tc>
      </w:tr>
      <w:tr w:rsidR="00F21E68"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F21E68" w:rsidRPr="00F21E68" w:rsidRDefault="00F21E68" w:rsidP="00F21E68">
            <w:r>
              <w:tab/>
            </w:r>
            <w:r w:rsidRPr="00F21E68">
              <w:t>Design audit fee (small)</w:t>
            </w:r>
          </w:p>
        </w:tc>
        <w:tc>
          <w:tcPr>
            <w:tcW w:w="1417" w:type="dxa"/>
          </w:tcPr>
          <w:p w:rsidR="00F21E68" w:rsidRPr="00F21E68" w:rsidRDefault="00F21E68" w:rsidP="00F21E68">
            <w:pPr>
              <w:cnfStyle w:val="000000010000" w:firstRow="0" w:lastRow="0" w:firstColumn="0" w:lastColumn="0" w:oddVBand="0" w:evenVBand="0" w:oddHBand="0" w:evenHBand="1" w:firstRowFirstColumn="0" w:firstRowLastColumn="0" w:lastRowFirstColumn="0" w:lastRowLastColumn="0"/>
            </w:pPr>
            <w:r>
              <w:t>441.62</w:t>
            </w:r>
          </w:p>
        </w:tc>
        <w:tc>
          <w:tcPr>
            <w:tcW w:w="1781" w:type="dxa"/>
          </w:tcPr>
          <w:p w:rsidR="00F21E68" w:rsidRPr="00F21E68" w:rsidRDefault="00F21E68" w:rsidP="00F21E68">
            <w:pPr>
              <w:cnfStyle w:val="000000010000" w:firstRow="0" w:lastRow="0" w:firstColumn="0" w:lastColumn="0" w:oddVBand="0" w:evenVBand="0" w:oddHBand="0" w:evenHBand="1" w:firstRowFirstColumn="0" w:firstRowLastColumn="0" w:lastRowFirstColumn="0" w:lastRowLastColumn="0"/>
            </w:pPr>
            <w:r>
              <w:t>Quoted service</w:t>
            </w:r>
          </w:p>
        </w:tc>
      </w:tr>
      <w:tr w:rsidR="00F21E68"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F21E68" w:rsidRPr="00F21E68" w:rsidRDefault="00F21E68" w:rsidP="00F21E68">
            <w:r>
              <w:tab/>
            </w:r>
            <w:r w:rsidRPr="00F21E68">
              <w:t>Design audit fee (large)</w:t>
            </w:r>
          </w:p>
        </w:tc>
        <w:tc>
          <w:tcPr>
            <w:tcW w:w="1417" w:type="dxa"/>
          </w:tcPr>
          <w:p w:rsidR="00F21E68" w:rsidRPr="00F21E68" w:rsidRDefault="00F21E68" w:rsidP="00F21E68">
            <w:pPr>
              <w:cnfStyle w:val="000000000000" w:firstRow="0" w:lastRow="0" w:firstColumn="0" w:lastColumn="0" w:oddVBand="0" w:evenVBand="0" w:oddHBand="0" w:evenHBand="0" w:firstRowFirstColumn="0" w:firstRowLastColumn="0" w:lastRowFirstColumn="0" w:lastRowLastColumn="0"/>
            </w:pPr>
            <w:r>
              <w:t>670.22</w:t>
            </w:r>
          </w:p>
        </w:tc>
        <w:tc>
          <w:tcPr>
            <w:tcW w:w="1781" w:type="dxa"/>
          </w:tcPr>
          <w:p w:rsidR="00F21E68" w:rsidRPr="00F21E68" w:rsidRDefault="00F21E68" w:rsidP="00F21E68">
            <w:pPr>
              <w:cnfStyle w:val="000000000000" w:firstRow="0" w:lastRow="0" w:firstColumn="0" w:lastColumn="0" w:oddVBand="0" w:evenVBand="0" w:oddHBand="0" w:evenHBand="0" w:firstRowFirstColumn="0" w:firstRowLastColumn="0" w:lastRowFirstColumn="0" w:lastRowLastColumn="0"/>
            </w:pPr>
            <w:r>
              <w:t>Quoted service</w:t>
            </w:r>
          </w:p>
        </w:tc>
      </w:tr>
      <w:tr w:rsidR="00F21E68"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F21E68" w:rsidRPr="00F21E68" w:rsidRDefault="00F21E68" w:rsidP="00F21E68">
            <w:r>
              <w:tab/>
            </w:r>
            <w:r w:rsidRPr="00F21E68">
              <w:t>Design audit fee (major)</w:t>
            </w:r>
          </w:p>
        </w:tc>
        <w:tc>
          <w:tcPr>
            <w:tcW w:w="1417" w:type="dxa"/>
          </w:tcPr>
          <w:p w:rsidR="00F21E68" w:rsidRPr="00F21E68" w:rsidRDefault="00F21E68" w:rsidP="00F21E68">
            <w:pPr>
              <w:cnfStyle w:val="000000010000" w:firstRow="0" w:lastRow="0" w:firstColumn="0" w:lastColumn="0" w:oddVBand="0" w:evenVBand="0" w:oddHBand="0" w:evenHBand="1" w:firstRowFirstColumn="0" w:firstRowLastColumn="0" w:lastRowFirstColumn="0" w:lastRowLastColumn="0"/>
            </w:pPr>
            <w:r>
              <w:t>943.26</w:t>
            </w:r>
          </w:p>
        </w:tc>
        <w:tc>
          <w:tcPr>
            <w:tcW w:w="1781" w:type="dxa"/>
          </w:tcPr>
          <w:p w:rsidR="00F21E68" w:rsidRPr="00F21E68" w:rsidRDefault="00F21E68" w:rsidP="00F21E68">
            <w:pPr>
              <w:cnfStyle w:val="000000010000" w:firstRow="0" w:lastRow="0" w:firstColumn="0" w:lastColumn="0" w:oddVBand="0" w:evenVBand="0" w:oddHBand="0" w:evenHBand="1" w:firstRowFirstColumn="0" w:firstRowLastColumn="0" w:lastRowFirstColumn="0" w:lastRowLastColumn="0"/>
            </w:pPr>
            <w:r>
              <w:t>Quoted service</w:t>
            </w:r>
          </w:p>
        </w:tc>
      </w:tr>
      <w:tr w:rsidR="00F21E68"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F21E68" w:rsidRPr="00F21E68" w:rsidRDefault="00F21E68" w:rsidP="00F21E68">
            <w:r>
              <w:t>Construction cost</w:t>
            </w:r>
          </w:p>
        </w:tc>
        <w:tc>
          <w:tcPr>
            <w:tcW w:w="1417" w:type="dxa"/>
          </w:tcPr>
          <w:p w:rsidR="00F21E68" w:rsidRDefault="00F21E68" w:rsidP="00F21E68">
            <w:pPr>
              <w:cnfStyle w:val="000000000000" w:firstRow="0" w:lastRow="0" w:firstColumn="0" w:lastColumn="0" w:oddVBand="0" w:evenVBand="0" w:oddHBand="0" w:evenHBand="0" w:firstRowFirstColumn="0" w:firstRowLastColumn="0" w:lastRowFirstColumn="0" w:lastRowLastColumn="0"/>
            </w:pPr>
          </w:p>
        </w:tc>
        <w:tc>
          <w:tcPr>
            <w:tcW w:w="1781" w:type="dxa"/>
          </w:tcPr>
          <w:p w:rsidR="00F21E68" w:rsidRPr="007A7D31" w:rsidRDefault="00F21E68" w:rsidP="00F21E68">
            <w:pPr>
              <w:cnfStyle w:val="000000000000" w:firstRow="0" w:lastRow="0" w:firstColumn="0" w:lastColumn="0" w:oddVBand="0" w:evenVBand="0" w:oddHBand="0" w:evenHBand="0" w:firstRowFirstColumn="0" w:firstRowLastColumn="0" w:lastRowFirstColumn="0" w:lastRowLastColumn="0"/>
            </w:pPr>
          </w:p>
        </w:tc>
      </w:tr>
      <w:tr w:rsidR="00F21E68"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F21E68" w:rsidRPr="00F21E68" w:rsidRDefault="00F21E68" w:rsidP="00F21E68">
            <w:r>
              <w:tab/>
            </w:r>
            <w:r w:rsidRPr="00F21E68">
              <w:t>Construction audit fee (small)</w:t>
            </w:r>
          </w:p>
        </w:tc>
        <w:tc>
          <w:tcPr>
            <w:tcW w:w="1417" w:type="dxa"/>
          </w:tcPr>
          <w:p w:rsidR="00F21E68" w:rsidRPr="00F21E68" w:rsidRDefault="00F21E68" w:rsidP="00F21E68">
            <w:pPr>
              <w:cnfStyle w:val="000000010000" w:firstRow="0" w:lastRow="0" w:firstColumn="0" w:lastColumn="0" w:oddVBand="0" w:evenVBand="0" w:oddHBand="0" w:evenHBand="1" w:firstRowFirstColumn="0" w:firstRowLastColumn="0" w:lastRowFirstColumn="0" w:lastRowLastColumn="0"/>
            </w:pPr>
            <w:r>
              <w:t>951.19</w:t>
            </w:r>
          </w:p>
        </w:tc>
        <w:tc>
          <w:tcPr>
            <w:tcW w:w="1781" w:type="dxa"/>
          </w:tcPr>
          <w:p w:rsidR="00F21E68" w:rsidRPr="00F21E68" w:rsidRDefault="00F21E68" w:rsidP="00F21E68">
            <w:pPr>
              <w:cnfStyle w:val="000000010000" w:firstRow="0" w:lastRow="0" w:firstColumn="0" w:lastColumn="0" w:oddVBand="0" w:evenVBand="0" w:oddHBand="0" w:evenHBand="1" w:firstRowFirstColumn="0" w:firstRowLastColumn="0" w:lastRowFirstColumn="0" w:lastRowLastColumn="0"/>
            </w:pPr>
            <w:r>
              <w:t>Quoted service</w:t>
            </w:r>
          </w:p>
        </w:tc>
      </w:tr>
      <w:tr w:rsidR="00F21E68" w:rsidRPr="007A7D31" w:rsidTr="00144B7B">
        <w:tc>
          <w:tcPr>
            <w:cnfStyle w:val="001000000000" w:firstRow="0" w:lastRow="0" w:firstColumn="1" w:lastColumn="0" w:oddVBand="0" w:evenVBand="0" w:oddHBand="0" w:evenHBand="0" w:firstRowFirstColumn="0" w:firstRowLastColumn="0" w:lastRowFirstColumn="0" w:lastRowLastColumn="0"/>
            <w:tcW w:w="5495" w:type="dxa"/>
          </w:tcPr>
          <w:p w:rsidR="00F21E68" w:rsidRPr="00F21E68" w:rsidRDefault="00F21E68" w:rsidP="00F21E68">
            <w:r>
              <w:tab/>
            </w:r>
            <w:r w:rsidRPr="00F21E68">
              <w:t>Construction audit fee (large)</w:t>
            </w:r>
          </w:p>
        </w:tc>
        <w:tc>
          <w:tcPr>
            <w:tcW w:w="1417" w:type="dxa"/>
          </w:tcPr>
          <w:p w:rsidR="00F21E68" w:rsidRPr="00F21E68" w:rsidRDefault="00F21E68" w:rsidP="00F21E68">
            <w:pPr>
              <w:cnfStyle w:val="000000000000" w:firstRow="0" w:lastRow="0" w:firstColumn="0" w:lastColumn="0" w:oddVBand="0" w:evenVBand="0" w:oddHBand="0" w:evenHBand="0" w:firstRowFirstColumn="0" w:firstRowLastColumn="0" w:lastRowFirstColumn="0" w:lastRowLastColumn="0"/>
            </w:pPr>
            <w:r>
              <w:t>1,902.38</w:t>
            </w:r>
          </w:p>
        </w:tc>
        <w:tc>
          <w:tcPr>
            <w:tcW w:w="1781" w:type="dxa"/>
          </w:tcPr>
          <w:p w:rsidR="00F21E68" w:rsidRPr="00F21E68" w:rsidRDefault="00F21E68" w:rsidP="00F21E68">
            <w:pPr>
              <w:cnfStyle w:val="000000000000" w:firstRow="0" w:lastRow="0" w:firstColumn="0" w:lastColumn="0" w:oddVBand="0" w:evenVBand="0" w:oddHBand="0" w:evenHBand="0" w:firstRowFirstColumn="0" w:firstRowLastColumn="0" w:lastRowFirstColumn="0" w:lastRowLastColumn="0"/>
            </w:pPr>
            <w:r>
              <w:t>Quoted service</w:t>
            </w:r>
          </w:p>
        </w:tc>
      </w:tr>
      <w:tr w:rsidR="00F21E68" w:rsidRPr="007A7D31" w:rsidTr="00144B7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5" w:type="dxa"/>
          </w:tcPr>
          <w:p w:rsidR="00F21E68" w:rsidRPr="00F21E68" w:rsidRDefault="00F21E68" w:rsidP="00F21E68">
            <w:r>
              <w:tab/>
            </w:r>
            <w:r w:rsidRPr="00F21E68">
              <w:t>Construction audit fee (major)</w:t>
            </w:r>
          </w:p>
        </w:tc>
        <w:tc>
          <w:tcPr>
            <w:tcW w:w="1417" w:type="dxa"/>
          </w:tcPr>
          <w:p w:rsidR="00F21E68" w:rsidRPr="00F21E68" w:rsidRDefault="00F21E68" w:rsidP="00F21E68">
            <w:pPr>
              <w:cnfStyle w:val="000000010000" w:firstRow="0" w:lastRow="0" w:firstColumn="0" w:lastColumn="0" w:oddVBand="0" w:evenVBand="0" w:oddHBand="0" w:evenHBand="1" w:firstRowFirstColumn="0" w:firstRowLastColumn="0" w:lastRowFirstColumn="0" w:lastRowLastColumn="0"/>
            </w:pPr>
            <w:r>
              <w:t>2,951.90</w:t>
            </w:r>
          </w:p>
        </w:tc>
        <w:tc>
          <w:tcPr>
            <w:tcW w:w="1781" w:type="dxa"/>
          </w:tcPr>
          <w:p w:rsidR="00F21E68" w:rsidRPr="00F21E68" w:rsidRDefault="00F21E68" w:rsidP="00F21E68">
            <w:pPr>
              <w:cnfStyle w:val="000000010000" w:firstRow="0" w:lastRow="0" w:firstColumn="0" w:lastColumn="0" w:oddVBand="0" w:evenVBand="0" w:oddHBand="0" w:evenHBand="1" w:firstRowFirstColumn="0" w:firstRowLastColumn="0" w:lastRowFirstColumn="0" w:lastRowLastColumn="0"/>
            </w:pPr>
            <w:r>
              <w:t>Quoted service</w:t>
            </w:r>
          </w:p>
        </w:tc>
      </w:tr>
    </w:tbl>
    <w:p w:rsidR="00083DF4" w:rsidRDefault="00CD159D" w:rsidP="00CD159D">
      <w:pPr>
        <w:pStyle w:val="AERtablesource"/>
      </w:pPr>
      <w:r>
        <w:t>Source:</w:t>
      </w:r>
      <w:r>
        <w:tab/>
        <w:t>AER analysis;</w:t>
      </w:r>
      <w:r w:rsidR="007A7D31">
        <w:t xml:space="preserve"> TasNetworks, </w:t>
      </w:r>
      <w:r w:rsidR="007A7D31" w:rsidRPr="00CD159D">
        <w:rPr>
          <w:rStyle w:val="AERtextitalic"/>
        </w:rPr>
        <w:t>Indicative pricing schedule</w:t>
      </w:r>
      <w:r w:rsidRPr="00CD159D">
        <w:rPr>
          <w:rStyle w:val="AERtextitalic"/>
        </w:rPr>
        <w:t>: Regulatory control period 1 July 2017 to 30 June 2019</w:t>
      </w:r>
      <w:r>
        <w:t>, January 2016.</w:t>
      </w:r>
    </w:p>
    <w:p w:rsidR="00083DF4" w:rsidRDefault="00083DF4" w:rsidP="00083DF4">
      <w:pPr>
        <w:pStyle w:val="Caption"/>
      </w:pPr>
      <w:bookmarkStart w:id="133" w:name="_Ref455739656"/>
      <w:r w:rsidRPr="00034C24">
        <w:t xml:space="preserve">Table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rsidR="0031261B">
        <w:t>.</w:t>
      </w:r>
      <w:r w:rsidR="00E639DB">
        <w:fldChar w:fldCharType="begin"/>
      </w:r>
      <w:r w:rsidR="00E639DB">
        <w:instrText xml:space="preserve"> SEQ Table \* ARABIC \s 1 </w:instrText>
      </w:r>
      <w:r w:rsidR="00E639DB">
        <w:fldChar w:fldCharType="separate"/>
      </w:r>
      <w:r w:rsidR="000C061E">
        <w:rPr>
          <w:noProof/>
        </w:rPr>
        <w:t>9</w:t>
      </w:r>
      <w:r w:rsidR="00E639DB">
        <w:rPr>
          <w:noProof/>
        </w:rPr>
        <w:fldChar w:fldCharType="end"/>
      </w:r>
      <w:bookmarkEnd w:id="133"/>
      <w:r w:rsidRPr="00034C24">
        <w:t xml:space="preserve">: </w:t>
      </w:r>
      <w:r w:rsidR="00867CA5">
        <w:t>TasNetworks' quoted services</w:t>
      </w:r>
    </w:p>
    <w:tbl>
      <w:tblPr>
        <w:tblStyle w:val="AERtable-text0"/>
        <w:tblW w:w="0" w:type="auto"/>
        <w:tblLook w:val="04A0" w:firstRow="1" w:lastRow="0" w:firstColumn="1" w:lastColumn="0" w:noHBand="0" w:noVBand="1"/>
      </w:tblPr>
      <w:tblGrid>
        <w:gridCol w:w="1951"/>
        <w:gridCol w:w="2835"/>
        <w:gridCol w:w="3907"/>
      </w:tblGrid>
      <w:tr w:rsidR="006B4038" w:rsidTr="00934485">
        <w:trPr>
          <w:cnfStyle w:val="100000000000" w:firstRow="1" w:lastRow="0" w:firstColumn="0" w:lastColumn="0" w:oddVBand="0" w:evenVBand="0" w:oddHBand="0" w:evenHBand="0" w:firstRowFirstColumn="0" w:firstRowLastColumn="0" w:lastRowFirstColumn="0" w:lastRowLastColumn="0"/>
        </w:trPr>
        <w:tc>
          <w:tcPr>
            <w:tcW w:w="1951" w:type="dxa"/>
          </w:tcPr>
          <w:p w:rsidR="006B4038" w:rsidRDefault="006B4038" w:rsidP="006B4038">
            <w:r>
              <w:t>Quoted service</w:t>
            </w:r>
            <w:r w:rsidR="00855469">
              <w:t xml:space="preserve"> group</w:t>
            </w:r>
          </w:p>
        </w:tc>
        <w:tc>
          <w:tcPr>
            <w:tcW w:w="2835" w:type="dxa"/>
          </w:tcPr>
          <w:p w:rsidR="006B4038" w:rsidRDefault="006B4038" w:rsidP="006B4038">
            <w:r>
              <w:t>Service name</w:t>
            </w:r>
          </w:p>
        </w:tc>
        <w:tc>
          <w:tcPr>
            <w:tcW w:w="3907" w:type="dxa"/>
          </w:tcPr>
          <w:p w:rsidR="006B4038" w:rsidRDefault="006B4038" w:rsidP="006B4038">
            <w:r>
              <w:t>Description</w:t>
            </w:r>
          </w:p>
        </w:tc>
      </w:tr>
      <w:tr w:rsidR="00855469" w:rsidRPr="00934485" w:rsidTr="002252E3">
        <w:tc>
          <w:tcPr>
            <w:tcW w:w="8693" w:type="dxa"/>
            <w:gridSpan w:val="3"/>
          </w:tcPr>
          <w:p w:rsidR="00855469" w:rsidRPr="00934485" w:rsidRDefault="00855469" w:rsidP="006B4038">
            <w:pPr>
              <w:rPr>
                <w:rStyle w:val="Strong"/>
              </w:rPr>
            </w:pPr>
            <w:r w:rsidRPr="00934485">
              <w:rPr>
                <w:rStyle w:val="Strong"/>
              </w:rPr>
              <w:t>New design and construction fees</w:t>
            </w:r>
          </w:p>
        </w:tc>
      </w:tr>
      <w:tr w:rsidR="006B4038" w:rsidTr="00934485">
        <w:trPr>
          <w:cnfStyle w:val="000000010000" w:firstRow="0" w:lastRow="0" w:firstColumn="0" w:lastColumn="0" w:oddVBand="0" w:evenVBand="0" w:oddHBand="0" w:evenHBand="1" w:firstRowFirstColumn="0" w:firstRowLastColumn="0" w:lastRowFirstColumn="0" w:lastRowLastColumn="0"/>
        </w:trPr>
        <w:tc>
          <w:tcPr>
            <w:tcW w:w="1951" w:type="dxa"/>
          </w:tcPr>
          <w:p w:rsidR="006B4038" w:rsidRDefault="006B4038" w:rsidP="006B4038"/>
        </w:tc>
        <w:tc>
          <w:tcPr>
            <w:tcW w:w="2835" w:type="dxa"/>
          </w:tcPr>
          <w:p w:rsidR="006B4038" w:rsidRDefault="006B4038" w:rsidP="006B4038">
            <w:r>
              <w:t>Standard application fee</w:t>
            </w:r>
          </w:p>
        </w:tc>
        <w:tc>
          <w:tcPr>
            <w:tcW w:w="3907" w:type="dxa"/>
          </w:tcPr>
          <w:p w:rsidR="006B4038" w:rsidRDefault="006B4038" w:rsidP="006B4038">
            <w:r>
              <w:t>Administrative costs of application assessment</w:t>
            </w:r>
          </w:p>
        </w:tc>
      </w:tr>
      <w:tr w:rsidR="006B4038" w:rsidTr="00934485">
        <w:tc>
          <w:tcPr>
            <w:tcW w:w="1951" w:type="dxa"/>
          </w:tcPr>
          <w:p w:rsidR="006B4038" w:rsidRDefault="006B4038" w:rsidP="006B4038"/>
        </w:tc>
        <w:tc>
          <w:tcPr>
            <w:tcW w:w="2835" w:type="dxa"/>
          </w:tcPr>
          <w:p w:rsidR="006B4038" w:rsidRDefault="006B4038" w:rsidP="006B4038">
            <w:r>
              <w:t>Application fee – Customer choice</w:t>
            </w:r>
          </w:p>
        </w:tc>
        <w:tc>
          <w:tcPr>
            <w:tcW w:w="3907" w:type="dxa"/>
          </w:tcPr>
          <w:p w:rsidR="006B4038" w:rsidRDefault="006B4038" w:rsidP="006B4038">
            <w:r>
              <w:t>Connection assessment costs and preparation of specifications for a customer choice project</w:t>
            </w:r>
          </w:p>
        </w:tc>
      </w:tr>
      <w:tr w:rsidR="006B4038" w:rsidTr="00934485">
        <w:trPr>
          <w:cnfStyle w:val="000000010000" w:firstRow="0" w:lastRow="0" w:firstColumn="0" w:lastColumn="0" w:oddVBand="0" w:evenVBand="0" w:oddHBand="0" w:evenHBand="1" w:firstRowFirstColumn="0" w:firstRowLastColumn="0" w:lastRowFirstColumn="0" w:lastRowLastColumn="0"/>
        </w:trPr>
        <w:tc>
          <w:tcPr>
            <w:tcW w:w="1951" w:type="dxa"/>
          </w:tcPr>
          <w:p w:rsidR="006B4038" w:rsidRDefault="006B4038" w:rsidP="006B4038"/>
        </w:tc>
        <w:tc>
          <w:tcPr>
            <w:tcW w:w="2835" w:type="dxa"/>
          </w:tcPr>
          <w:p w:rsidR="006B4038" w:rsidRDefault="00855469" w:rsidP="00855469">
            <w:r>
              <w:t xml:space="preserve">Design cost – </w:t>
            </w:r>
            <w:r w:rsidR="006B4038">
              <w:t>Design audit fee (small)</w:t>
            </w:r>
            <w:r>
              <w:t xml:space="preserve">– </w:t>
            </w:r>
            <w:r w:rsidR="006B4038">
              <w:t>minimum service</w:t>
            </w:r>
            <w:r>
              <w:t xml:space="preserve"> </w:t>
            </w:r>
          </w:p>
        </w:tc>
        <w:tc>
          <w:tcPr>
            <w:tcW w:w="3907" w:type="dxa"/>
          </w:tcPr>
          <w:p w:rsidR="006B4038" w:rsidRDefault="006B4038" w:rsidP="006B4038">
            <w:r w:rsidRPr="006B4038">
              <w:t>Audit of a design incorporating low or high voltage</w:t>
            </w:r>
            <w:r>
              <w:t xml:space="preserve"> </w:t>
            </w:r>
            <w:r w:rsidRPr="006B4038">
              <w:t>elements</w:t>
            </w:r>
          </w:p>
        </w:tc>
      </w:tr>
      <w:tr w:rsidR="006B4038" w:rsidTr="00934485">
        <w:tc>
          <w:tcPr>
            <w:tcW w:w="1951" w:type="dxa"/>
          </w:tcPr>
          <w:p w:rsidR="006B4038" w:rsidRDefault="006B4038" w:rsidP="006B4038"/>
        </w:tc>
        <w:tc>
          <w:tcPr>
            <w:tcW w:w="2835" w:type="dxa"/>
          </w:tcPr>
          <w:p w:rsidR="006B4038" w:rsidRDefault="00855469" w:rsidP="006B4038">
            <w:r>
              <w:t xml:space="preserve">Design cost – </w:t>
            </w:r>
            <w:r w:rsidR="006B4038">
              <w:t>Design audit fee (large) – minimum service</w:t>
            </w:r>
          </w:p>
        </w:tc>
        <w:tc>
          <w:tcPr>
            <w:tcW w:w="3907" w:type="dxa"/>
          </w:tcPr>
          <w:p w:rsidR="006B4038" w:rsidRDefault="006B4038" w:rsidP="006B4038">
            <w:r w:rsidRPr="006B4038">
              <w:t>Audit of a design incorporating high voltage and</w:t>
            </w:r>
            <w:r>
              <w:t xml:space="preserve"> </w:t>
            </w:r>
            <w:r w:rsidRPr="006B4038">
              <w:t>low voltage elements</w:t>
            </w:r>
          </w:p>
        </w:tc>
      </w:tr>
      <w:tr w:rsidR="006B4038" w:rsidTr="00934485">
        <w:trPr>
          <w:cnfStyle w:val="000000010000" w:firstRow="0" w:lastRow="0" w:firstColumn="0" w:lastColumn="0" w:oddVBand="0" w:evenVBand="0" w:oddHBand="0" w:evenHBand="1" w:firstRowFirstColumn="0" w:firstRowLastColumn="0" w:lastRowFirstColumn="0" w:lastRowLastColumn="0"/>
        </w:trPr>
        <w:tc>
          <w:tcPr>
            <w:tcW w:w="1951" w:type="dxa"/>
          </w:tcPr>
          <w:p w:rsidR="006B4038" w:rsidRDefault="006B4038" w:rsidP="006B4038"/>
        </w:tc>
        <w:tc>
          <w:tcPr>
            <w:tcW w:w="2835" w:type="dxa"/>
          </w:tcPr>
          <w:p w:rsidR="006B4038" w:rsidRDefault="00855469" w:rsidP="006B4038">
            <w:r>
              <w:t xml:space="preserve">Design cost – </w:t>
            </w:r>
            <w:r w:rsidR="006B4038">
              <w:t>Design audit fee (major) – minimum</w:t>
            </w:r>
            <w:r>
              <w:t xml:space="preserve"> service</w:t>
            </w:r>
          </w:p>
        </w:tc>
        <w:tc>
          <w:tcPr>
            <w:tcW w:w="3907" w:type="dxa"/>
          </w:tcPr>
          <w:p w:rsidR="006B4038" w:rsidRDefault="006B4038" w:rsidP="006B4038">
            <w:r w:rsidRPr="006B4038">
              <w:t>Audit of a design incorporating high voltage, low</w:t>
            </w:r>
            <w:r>
              <w:t xml:space="preserve"> </w:t>
            </w:r>
            <w:r w:rsidRPr="006B4038">
              <w:t>voltage and substation elements</w:t>
            </w:r>
          </w:p>
        </w:tc>
      </w:tr>
      <w:tr w:rsidR="00855469" w:rsidTr="00934485">
        <w:tc>
          <w:tcPr>
            <w:tcW w:w="1951" w:type="dxa"/>
          </w:tcPr>
          <w:p w:rsidR="00855469" w:rsidRDefault="00855469" w:rsidP="00855469"/>
        </w:tc>
        <w:tc>
          <w:tcPr>
            <w:tcW w:w="2835" w:type="dxa"/>
          </w:tcPr>
          <w:p w:rsidR="00855469" w:rsidRPr="00855469" w:rsidRDefault="00855469" w:rsidP="00855469">
            <w:r>
              <w:t xml:space="preserve">Design </w:t>
            </w:r>
            <w:r w:rsidRPr="00855469">
              <w:t xml:space="preserve">cost – Design audit fee (small)– </w:t>
            </w:r>
            <w:r>
              <w:t>max</w:t>
            </w:r>
            <w:r w:rsidRPr="00855469">
              <w:t xml:space="preserve">imum service </w:t>
            </w:r>
          </w:p>
        </w:tc>
        <w:tc>
          <w:tcPr>
            <w:tcW w:w="3907" w:type="dxa"/>
          </w:tcPr>
          <w:p w:rsidR="00855469" w:rsidRDefault="00855469" w:rsidP="00855469">
            <w:r w:rsidRPr="00855469">
              <w:t>Audit of a design incorporating low or high voltage</w:t>
            </w:r>
            <w:r>
              <w:t xml:space="preserve"> </w:t>
            </w:r>
            <w:r w:rsidRPr="00855469">
              <w:t>elements including a site visit</w:t>
            </w:r>
          </w:p>
        </w:tc>
      </w:tr>
      <w:tr w:rsidR="00855469" w:rsidTr="00934485">
        <w:trPr>
          <w:cnfStyle w:val="000000010000" w:firstRow="0" w:lastRow="0" w:firstColumn="0" w:lastColumn="0" w:oddVBand="0" w:evenVBand="0" w:oddHBand="0" w:evenHBand="1" w:firstRowFirstColumn="0" w:firstRowLastColumn="0" w:lastRowFirstColumn="0" w:lastRowLastColumn="0"/>
        </w:trPr>
        <w:tc>
          <w:tcPr>
            <w:tcW w:w="1951" w:type="dxa"/>
          </w:tcPr>
          <w:p w:rsidR="00855469" w:rsidRDefault="00855469" w:rsidP="00855469"/>
        </w:tc>
        <w:tc>
          <w:tcPr>
            <w:tcW w:w="2835" w:type="dxa"/>
          </w:tcPr>
          <w:p w:rsidR="00855469" w:rsidRPr="00855469" w:rsidRDefault="00855469" w:rsidP="00855469">
            <w:r>
              <w:t xml:space="preserve">Design </w:t>
            </w:r>
            <w:r w:rsidRPr="00855469">
              <w:t>cost – Design audit fee (large) –</w:t>
            </w:r>
            <w:r>
              <w:t xml:space="preserve"> max</w:t>
            </w:r>
            <w:r w:rsidRPr="00855469">
              <w:t>imum service</w:t>
            </w:r>
          </w:p>
        </w:tc>
        <w:tc>
          <w:tcPr>
            <w:tcW w:w="3907" w:type="dxa"/>
          </w:tcPr>
          <w:p w:rsidR="00855469" w:rsidRDefault="00855469" w:rsidP="00855469">
            <w:r w:rsidRPr="00855469">
              <w:t>Audit of a design incorporating high voltage and</w:t>
            </w:r>
            <w:r>
              <w:t xml:space="preserve"> </w:t>
            </w:r>
            <w:r w:rsidRPr="00855469">
              <w:t>low voltage elements including a site visit</w:t>
            </w:r>
          </w:p>
        </w:tc>
      </w:tr>
      <w:tr w:rsidR="00855469" w:rsidTr="00934485">
        <w:tc>
          <w:tcPr>
            <w:tcW w:w="1951" w:type="dxa"/>
          </w:tcPr>
          <w:p w:rsidR="00855469" w:rsidRDefault="00855469" w:rsidP="00855469"/>
        </w:tc>
        <w:tc>
          <w:tcPr>
            <w:tcW w:w="2835" w:type="dxa"/>
          </w:tcPr>
          <w:p w:rsidR="00855469" w:rsidRPr="00855469" w:rsidRDefault="00855469" w:rsidP="00855469">
            <w:r>
              <w:t xml:space="preserve">Design cost – </w:t>
            </w:r>
            <w:r w:rsidRPr="00855469">
              <w:t>Design audit fee (major)</w:t>
            </w:r>
            <w:r>
              <w:t xml:space="preserve"> – max</w:t>
            </w:r>
            <w:r w:rsidRPr="00855469">
              <w:t>imum service</w:t>
            </w:r>
          </w:p>
        </w:tc>
        <w:tc>
          <w:tcPr>
            <w:tcW w:w="3907" w:type="dxa"/>
          </w:tcPr>
          <w:p w:rsidR="00855469" w:rsidRDefault="00855469" w:rsidP="00855469">
            <w:r w:rsidRPr="00855469">
              <w:t>Audit of a design incorporating high voltage, low</w:t>
            </w:r>
            <w:r>
              <w:t xml:space="preserve"> </w:t>
            </w:r>
            <w:r w:rsidRPr="00855469">
              <w:t>voltage and substation elements including a site</w:t>
            </w:r>
            <w:r>
              <w:t xml:space="preserve"> </w:t>
            </w:r>
            <w:r w:rsidRPr="00855469">
              <w:t>visit</w:t>
            </w:r>
          </w:p>
        </w:tc>
      </w:tr>
      <w:tr w:rsidR="00855469" w:rsidTr="00934485">
        <w:trPr>
          <w:cnfStyle w:val="000000010000" w:firstRow="0" w:lastRow="0" w:firstColumn="0" w:lastColumn="0" w:oddVBand="0" w:evenVBand="0" w:oddHBand="0" w:evenHBand="1" w:firstRowFirstColumn="0" w:firstRowLastColumn="0" w:lastRowFirstColumn="0" w:lastRowLastColumn="0"/>
        </w:trPr>
        <w:tc>
          <w:tcPr>
            <w:tcW w:w="1951" w:type="dxa"/>
          </w:tcPr>
          <w:p w:rsidR="00855469" w:rsidRDefault="00855469" w:rsidP="00855469"/>
        </w:tc>
        <w:tc>
          <w:tcPr>
            <w:tcW w:w="2835" w:type="dxa"/>
          </w:tcPr>
          <w:p w:rsidR="00855469" w:rsidRDefault="00855469" w:rsidP="00855469">
            <w:r>
              <w:t>Construction cost – Construction audit fee (small) – minimum service</w:t>
            </w:r>
          </w:p>
        </w:tc>
        <w:tc>
          <w:tcPr>
            <w:tcW w:w="3907" w:type="dxa"/>
          </w:tcPr>
          <w:p w:rsidR="00855469" w:rsidRDefault="00855469" w:rsidP="00855469">
            <w:r w:rsidRPr="00855469">
              <w:t>Audit of low or high voltage construction with 1</w:t>
            </w:r>
            <w:r w:rsidRPr="00855469">
              <w:rPr>
                <w:rFonts w:ascii="Cambria Math" w:hAnsi="Cambria Math" w:cs="Cambria Math"/>
              </w:rPr>
              <w:t>‐</w:t>
            </w:r>
            <w:r w:rsidRPr="00855469">
              <w:t>3</w:t>
            </w:r>
            <w:r>
              <w:t xml:space="preserve"> </w:t>
            </w:r>
            <w:r w:rsidRPr="00855469">
              <w:t>project audit gates</w:t>
            </w:r>
          </w:p>
        </w:tc>
      </w:tr>
      <w:tr w:rsidR="00855469" w:rsidTr="00934485">
        <w:tc>
          <w:tcPr>
            <w:tcW w:w="1951" w:type="dxa"/>
          </w:tcPr>
          <w:p w:rsidR="00855469" w:rsidRPr="00855469" w:rsidRDefault="00855469" w:rsidP="00855469"/>
        </w:tc>
        <w:tc>
          <w:tcPr>
            <w:tcW w:w="2835" w:type="dxa"/>
            <w:vAlign w:val="top"/>
          </w:tcPr>
          <w:p w:rsidR="00855469" w:rsidRPr="00855469" w:rsidRDefault="00855469">
            <w:r w:rsidRPr="00855469">
              <w:t>Construction cost</w:t>
            </w:r>
            <w:r>
              <w:t xml:space="preserve"> – Construction audit fee (large</w:t>
            </w:r>
            <w:r w:rsidRPr="00855469">
              <w:t>) – minimum service</w:t>
            </w:r>
          </w:p>
        </w:tc>
        <w:tc>
          <w:tcPr>
            <w:tcW w:w="3907" w:type="dxa"/>
          </w:tcPr>
          <w:p w:rsidR="00855469" w:rsidRPr="00855469" w:rsidRDefault="00855469" w:rsidP="00855469">
            <w:r w:rsidRPr="00855469">
              <w:t>Audit of high voltage and low voltage construction</w:t>
            </w:r>
            <w:r>
              <w:t xml:space="preserve"> </w:t>
            </w:r>
            <w:r w:rsidRPr="00855469">
              <w:t>with 1</w:t>
            </w:r>
            <w:r w:rsidRPr="00855469">
              <w:rPr>
                <w:rFonts w:ascii="Cambria Math" w:hAnsi="Cambria Math" w:cs="Cambria Math"/>
              </w:rPr>
              <w:t>‐</w:t>
            </w:r>
            <w:r w:rsidRPr="00855469">
              <w:t>3 project audit gates</w:t>
            </w:r>
          </w:p>
        </w:tc>
      </w:tr>
      <w:tr w:rsidR="00855469" w:rsidTr="00934485">
        <w:trPr>
          <w:cnfStyle w:val="000000010000" w:firstRow="0" w:lastRow="0" w:firstColumn="0" w:lastColumn="0" w:oddVBand="0" w:evenVBand="0" w:oddHBand="0" w:evenHBand="1" w:firstRowFirstColumn="0" w:firstRowLastColumn="0" w:lastRowFirstColumn="0" w:lastRowLastColumn="0"/>
        </w:trPr>
        <w:tc>
          <w:tcPr>
            <w:tcW w:w="1951" w:type="dxa"/>
          </w:tcPr>
          <w:p w:rsidR="00855469" w:rsidRPr="00855469" w:rsidRDefault="00855469" w:rsidP="00855469"/>
        </w:tc>
        <w:tc>
          <w:tcPr>
            <w:tcW w:w="2835" w:type="dxa"/>
            <w:vAlign w:val="top"/>
          </w:tcPr>
          <w:p w:rsidR="00855469" w:rsidRPr="00855469" w:rsidRDefault="00855469">
            <w:r w:rsidRPr="00855469">
              <w:t>Construction cost</w:t>
            </w:r>
            <w:r>
              <w:t xml:space="preserve"> – Construction audit fee (major</w:t>
            </w:r>
            <w:r w:rsidRPr="00855469">
              <w:t>) – minimum service</w:t>
            </w:r>
          </w:p>
        </w:tc>
        <w:tc>
          <w:tcPr>
            <w:tcW w:w="3907" w:type="dxa"/>
          </w:tcPr>
          <w:p w:rsidR="00855469" w:rsidRPr="00855469" w:rsidRDefault="00855469" w:rsidP="00855469">
            <w:r w:rsidRPr="00855469">
              <w:t>Audit of high voltage, low voltage and substation</w:t>
            </w:r>
            <w:r>
              <w:t xml:space="preserve"> </w:t>
            </w:r>
            <w:r w:rsidRPr="00855469">
              <w:t>construction with 1</w:t>
            </w:r>
            <w:r w:rsidRPr="00855469">
              <w:rPr>
                <w:rFonts w:ascii="Cambria Math" w:hAnsi="Cambria Math" w:cs="Cambria Math"/>
              </w:rPr>
              <w:t>‐</w:t>
            </w:r>
            <w:r w:rsidRPr="00855469">
              <w:t>3 project audit gates</w:t>
            </w:r>
          </w:p>
        </w:tc>
      </w:tr>
      <w:tr w:rsidR="00855469" w:rsidTr="00934485">
        <w:tc>
          <w:tcPr>
            <w:tcW w:w="1951" w:type="dxa"/>
          </w:tcPr>
          <w:p w:rsidR="00855469" w:rsidRPr="00855469" w:rsidRDefault="00855469" w:rsidP="00855469"/>
        </w:tc>
        <w:tc>
          <w:tcPr>
            <w:tcW w:w="2835" w:type="dxa"/>
            <w:vAlign w:val="top"/>
          </w:tcPr>
          <w:p w:rsidR="00855469" w:rsidRPr="00855469" w:rsidRDefault="00855469">
            <w:r w:rsidRPr="00855469">
              <w:t>Construction cost – Cons</w:t>
            </w:r>
            <w:r>
              <w:t>truction audit fee (small) – max</w:t>
            </w:r>
            <w:r w:rsidRPr="00855469">
              <w:t>imum service</w:t>
            </w:r>
          </w:p>
        </w:tc>
        <w:tc>
          <w:tcPr>
            <w:tcW w:w="3907" w:type="dxa"/>
          </w:tcPr>
          <w:p w:rsidR="00855469" w:rsidRPr="00855469" w:rsidRDefault="00855469" w:rsidP="00855469">
            <w:r w:rsidRPr="00855469">
              <w:t>Audit of low or high voltage construction with 5</w:t>
            </w:r>
            <w:r w:rsidRPr="00855469">
              <w:rPr>
                <w:rFonts w:ascii="Cambria Math" w:hAnsi="Cambria Math" w:cs="Cambria Math"/>
              </w:rPr>
              <w:t>‐</w:t>
            </w:r>
            <w:r w:rsidRPr="00855469">
              <w:t>7</w:t>
            </w:r>
            <w:r>
              <w:t xml:space="preserve"> </w:t>
            </w:r>
            <w:r w:rsidRPr="00855469">
              <w:t>project audit gates</w:t>
            </w:r>
          </w:p>
        </w:tc>
      </w:tr>
      <w:tr w:rsidR="00855469" w:rsidTr="00934485">
        <w:trPr>
          <w:cnfStyle w:val="000000010000" w:firstRow="0" w:lastRow="0" w:firstColumn="0" w:lastColumn="0" w:oddVBand="0" w:evenVBand="0" w:oddHBand="0" w:evenHBand="1" w:firstRowFirstColumn="0" w:firstRowLastColumn="0" w:lastRowFirstColumn="0" w:lastRowLastColumn="0"/>
        </w:trPr>
        <w:tc>
          <w:tcPr>
            <w:tcW w:w="1951" w:type="dxa"/>
          </w:tcPr>
          <w:p w:rsidR="00855469" w:rsidRPr="00855469" w:rsidRDefault="00855469" w:rsidP="00855469"/>
        </w:tc>
        <w:tc>
          <w:tcPr>
            <w:tcW w:w="2835" w:type="dxa"/>
            <w:vAlign w:val="top"/>
          </w:tcPr>
          <w:p w:rsidR="00855469" w:rsidRPr="00855469" w:rsidRDefault="00855469">
            <w:r w:rsidRPr="00855469">
              <w:t>Construction cost</w:t>
            </w:r>
            <w:r>
              <w:t xml:space="preserve"> – Construction audit fee (large) – max</w:t>
            </w:r>
            <w:r w:rsidRPr="00855469">
              <w:t>imum service</w:t>
            </w:r>
          </w:p>
        </w:tc>
        <w:tc>
          <w:tcPr>
            <w:tcW w:w="3907" w:type="dxa"/>
          </w:tcPr>
          <w:p w:rsidR="00855469" w:rsidRPr="00855469" w:rsidRDefault="00855469" w:rsidP="00855469">
            <w:r w:rsidRPr="00855469">
              <w:t>Audit of high voltage and low voltage construction</w:t>
            </w:r>
            <w:r>
              <w:t xml:space="preserve"> </w:t>
            </w:r>
            <w:r w:rsidRPr="00855469">
              <w:t>with 5</w:t>
            </w:r>
            <w:r w:rsidRPr="00855469">
              <w:rPr>
                <w:rFonts w:ascii="Cambria Math" w:hAnsi="Cambria Math" w:cs="Cambria Math"/>
              </w:rPr>
              <w:t>‐</w:t>
            </w:r>
            <w:r w:rsidRPr="00855469">
              <w:t>7 project audit gates</w:t>
            </w:r>
          </w:p>
        </w:tc>
      </w:tr>
      <w:tr w:rsidR="00855469" w:rsidTr="00934485">
        <w:tc>
          <w:tcPr>
            <w:tcW w:w="1951" w:type="dxa"/>
          </w:tcPr>
          <w:p w:rsidR="00855469" w:rsidRPr="00855469" w:rsidRDefault="00855469" w:rsidP="00855469"/>
        </w:tc>
        <w:tc>
          <w:tcPr>
            <w:tcW w:w="2835" w:type="dxa"/>
            <w:vAlign w:val="top"/>
          </w:tcPr>
          <w:p w:rsidR="00855469" w:rsidRPr="00855469" w:rsidRDefault="00855469">
            <w:r w:rsidRPr="00855469">
              <w:t>Construction cost</w:t>
            </w:r>
            <w:r>
              <w:t xml:space="preserve"> – Construction audit fee (major) – max</w:t>
            </w:r>
            <w:r w:rsidRPr="00855469">
              <w:t>imum service</w:t>
            </w:r>
          </w:p>
        </w:tc>
        <w:tc>
          <w:tcPr>
            <w:tcW w:w="3907" w:type="dxa"/>
          </w:tcPr>
          <w:p w:rsidR="00855469" w:rsidRPr="00855469" w:rsidRDefault="00855469" w:rsidP="00855469">
            <w:r w:rsidRPr="00855469">
              <w:t>Audit of high voltage, low voltage and substation</w:t>
            </w:r>
            <w:r>
              <w:t xml:space="preserve"> </w:t>
            </w:r>
            <w:r w:rsidRPr="00855469">
              <w:t>construction with 5</w:t>
            </w:r>
            <w:r w:rsidRPr="00855469">
              <w:rPr>
                <w:rFonts w:ascii="Cambria Math" w:hAnsi="Cambria Math" w:cs="Cambria Math"/>
              </w:rPr>
              <w:t>‐</w:t>
            </w:r>
            <w:r w:rsidRPr="00855469">
              <w:t>7 project audit gates</w:t>
            </w:r>
          </w:p>
        </w:tc>
      </w:tr>
      <w:tr w:rsidR="00855469" w:rsidRPr="00934485" w:rsidTr="00934485">
        <w:trPr>
          <w:cnfStyle w:val="000000010000" w:firstRow="0" w:lastRow="0" w:firstColumn="0" w:lastColumn="0" w:oddVBand="0" w:evenVBand="0" w:oddHBand="0" w:evenHBand="1" w:firstRowFirstColumn="0" w:firstRowLastColumn="0" w:lastRowFirstColumn="0" w:lastRowLastColumn="0"/>
        </w:trPr>
        <w:tc>
          <w:tcPr>
            <w:tcW w:w="1951" w:type="dxa"/>
          </w:tcPr>
          <w:p w:rsidR="00855469" w:rsidRPr="00934485" w:rsidRDefault="00855469" w:rsidP="00855469">
            <w:pPr>
              <w:rPr>
                <w:rStyle w:val="Strong"/>
              </w:rPr>
            </w:pPr>
            <w:r w:rsidRPr="00934485">
              <w:rPr>
                <w:rStyle w:val="Strong"/>
              </w:rPr>
              <w:t>Non-standard services</w:t>
            </w:r>
          </w:p>
        </w:tc>
        <w:tc>
          <w:tcPr>
            <w:tcW w:w="2835" w:type="dxa"/>
            <w:vAlign w:val="top"/>
          </w:tcPr>
          <w:p w:rsidR="00855469" w:rsidRPr="00934485" w:rsidRDefault="00855469">
            <w:pPr>
              <w:rPr>
                <w:rStyle w:val="Strong"/>
              </w:rPr>
            </w:pPr>
          </w:p>
        </w:tc>
        <w:tc>
          <w:tcPr>
            <w:tcW w:w="3907" w:type="dxa"/>
          </w:tcPr>
          <w:p w:rsidR="00855469" w:rsidRPr="00934485" w:rsidRDefault="00855469" w:rsidP="00855469">
            <w:pPr>
              <w:rPr>
                <w:rStyle w:val="Strong"/>
              </w:rPr>
            </w:pPr>
          </w:p>
        </w:tc>
      </w:tr>
      <w:tr w:rsidR="00855469" w:rsidTr="00934485">
        <w:tc>
          <w:tcPr>
            <w:tcW w:w="1951" w:type="dxa"/>
          </w:tcPr>
          <w:p w:rsidR="00855469" w:rsidRDefault="00855469" w:rsidP="00855469"/>
        </w:tc>
        <w:tc>
          <w:tcPr>
            <w:tcW w:w="2835" w:type="dxa"/>
          </w:tcPr>
          <w:p w:rsidR="00855469" w:rsidRDefault="00855469" w:rsidP="00855469"/>
        </w:tc>
        <w:tc>
          <w:tcPr>
            <w:tcW w:w="3907" w:type="dxa"/>
          </w:tcPr>
          <w:p w:rsidR="00855469" w:rsidRDefault="00855469" w:rsidP="00855469">
            <w:r>
              <w:t>Removal or relocation of TasNetworks' assets at a customer's request (for example, the Tasmanian Government) request</w:t>
            </w:r>
          </w:p>
        </w:tc>
      </w:tr>
      <w:tr w:rsidR="00855469" w:rsidTr="00934485">
        <w:trPr>
          <w:cnfStyle w:val="000000010000" w:firstRow="0" w:lastRow="0" w:firstColumn="0" w:lastColumn="0" w:oddVBand="0" w:evenVBand="0" w:oddHBand="0" w:evenHBand="1" w:firstRowFirstColumn="0" w:firstRowLastColumn="0" w:lastRowFirstColumn="0" w:lastRowLastColumn="0"/>
        </w:trPr>
        <w:tc>
          <w:tcPr>
            <w:tcW w:w="1951" w:type="dxa"/>
          </w:tcPr>
          <w:p w:rsidR="00855469" w:rsidRDefault="00855469" w:rsidP="00855469"/>
        </w:tc>
        <w:tc>
          <w:tcPr>
            <w:tcW w:w="2835" w:type="dxa"/>
          </w:tcPr>
          <w:p w:rsidR="00855469" w:rsidRDefault="00855469" w:rsidP="00855469"/>
        </w:tc>
        <w:tc>
          <w:tcPr>
            <w:tcW w:w="3907" w:type="dxa"/>
          </w:tcPr>
          <w:p w:rsidR="00855469" w:rsidRDefault="00855469" w:rsidP="00855469">
            <w:r>
              <w:t>Services provided at a higher standard than the standard service, due to a customer's request</w:t>
            </w:r>
          </w:p>
        </w:tc>
      </w:tr>
      <w:tr w:rsidR="00855469" w:rsidTr="00934485">
        <w:tc>
          <w:tcPr>
            <w:tcW w:w="1951" w:type="dxa"/>
          </w:tcPr>
          <w:p w:rsidR="00855469" w:rsidRDefault="00855469" w:rsidP="00855469"/>
        </w:tc>
        <w:tc>
          <w:tcPr>
            <w:tcW w:w="2835" w:type="dxa"/>
          </w:tcPr>
          <w:p w:rsidR="00855469" w:rsidRDefault="00855469" w:rsidP="00855469"/>
        </w:tc>
        <w:tc>
          <w:tcPr>
            <w:tcW w:w="3907" w:type="dxa"/>
          </w:tcPr>
          <w:p w:rsidR="00855469" w:rsidRDefault="00855469" w:rsidP="00855469">
            <w:r>
              <w:t>Provision of public lighting schemes</w:t>
            </w:r>
          </w:p>
        </w:tc>
      </w:tr>
      <w:tr w:rsidR="00975820" w:rsidTr="00934485">
        <w:trPr>
          <w:cnfStyle w:val="000000010000" w:firstRow="0" w:lastRow="0" w:firstColumn="0" w:lastColumn="0" w:oddVBand="0" w:evenVBand="0" w:oddHBand="0" w:evenHBand="1" w:firstRowFirstColumn="0" w:firstRowLastColumn="0" w:lastRowFirstColumn="0" w:lastRowLastColumn="0"/>
        </w:trPr>
        <w:tc>
          <w:tcPr>
            <w:tcW w:w="1951" w:type="dxa"/>
          </w:tcPr>
          <w:p w:rsidR="00975820" w:rsidRDefault="00975820" w:rsidP="00855469"/>
        </w:tc>
        <w:tc>
          <w:tcPr>
            <w:tcW w:w="2835" w:type="dxa"/>
          </w:tcPr>
          <w:p w:rsidR="00975820" w:rsidRDefault="00975820" w:rsidP="00855469"/>
        </w:tc>
        <w:tc>
          <w:tcPr>
            <w:tcW w:w="3907" w:type="dxa"/>
          </w:tcPr>
          <w:p w:rsidR="00975820" w:rsidRDefault="00975820" w:rsidP="00855469">
            <w:r>
              <w:t>Provision of overhead and underground subdivisions for developers</w:t>
            </w:r>
          </w:p>
        </w:tc>
      </w:tr>
      <w:tr w:rsidR="00855469" w:rsidTr="00934485">
        <w:tc>
          <w:tcPr>
            <w:tcW w:w="1951" w:type="dxa"/>
          </w:tcPr>
          <w:p w:rsidR="00855469" w:rsidRDefault="00855469" w:rsidP="00855469"/>
        </w:tc>
        <w:tc>
          <w:tcPr>
            <w:tcW w:w="2835" w:type="dxa"/>
          </w:tcPr>
          <w:p w:rsidR="00855469" w:rsidRDefault="00855469" w:rsidP="00855469"/>
        </w:tc>
        <w:tc>
          <w:tcPr>
            <w:tcW w:w="3907" w:type="dxa"/>
          </w:tcPr>
          <w:p w:rsidR="00855469" w:rsidRDefault="00855469" w:rsidP="00855469">
            <w:r>
              <w:t>Design work for a new connection</w:t>
            </w:r>
          </w:p>
        </w:tc>
      </w:tr>
      <w:tr w:rsidR="00975820" w:rsidTr="00934485">
        <w:trPr>
          <w:cnfStyle w:val="000000010000" w:firstRow="0" w:lastRow="0" w:firstColumn="0" w:lastColumn="0" w:oddVBand="0" w:evenVBand="0" w:oddHBand="0" w:evenHBand="1" w:firstRowFirstColumn="0" w:firstRowLastColumn="0" w:lastRowFirstColumn="0" w:lastRowLastColumn="0"/>
        </w:trPr>
        <w:tc>
          <w:tcPr>
            <w:tcW w:w="1951" w:type="dxa"/>
          </w:tcPr>
          <w:p w:rsidR="00975820" w:rsidRDefault="00975820" w:rsidP="00855469"/>
        </w:tc>
        <w:tc>
          <w:tcPr>
            <w:tcW w:w="2835" w:type="dxa"/>
          </w:tcPr>
          <w:p w:rsidR="00975820" w:rsidRDefault="00975820" w:rsidP="00855469"/>
        </w:tc>
        <w:tc>
          <w:tcPr>
            <w:tcW w:w="3907" w:type="dxa"/>
          </w:tcPr>
          <w:p w:rsidR="00975820" w:rsidRDefault="00975820" w:rsidP="00855469">
            <w:r>
              <w:t>Relocation of assets at the request of a third party</w:t>
            </w:r>
          </w:p>
        </w:tc>
      </w:tr>
      <w:tr w:rsidR="00855469" w:rsidTr="00934485">
        <w:tc>
          <w:tcPr>
            <w:tcW w:w="1951" w:type="dxa"/>
          </w:tcPr>
          <w:p w:rsidR="00855469" w:rsidRDefault="00855469" w:rsidP="00855469"/>
        </w:tc>
        <w:tc>
          <w:tcPr>
            <w:tcW w:w="2835" w:type="dxa"/>
          </w:tcPr>
          <w:p w:rsidR="00855469" w:rsidRDefault="00855469" w:rsidP="00855469"/>
        </w:tc>
        <w:tc>
          <w:tcPr>
            <w:tcW w:w="3907" w:type="dxa"/>
          </w:tcPr>
          <w:p w:rsidR="00855469" w:rsidRDefault="00855469" w:rsidP="00855469">
            <w:r>
              <w:t>Services that are provided through a non</w:t>
            </w:r>
            <w:r>
              <w:noBreakHyphen/>
              <w:t>standard process at a customer's request (for example, more frequent meter reading)</w:t>
            </w:r>
          </w:p>
        </w:tc>
      </w:tr>
    </w:tbl>
    <w:p w:rsidR="00855469" w:rsidRPr="006B4038" w:rsidRDefault="00934485" w:rsidP="00934485">
      <w:pPr>
        <w:pStyle w:val="AERtablesource"/>
      </w:pPr>
      <w:r>
        <w:t>Source:</w:t>
      </w:r>
      <w:r>
        <w:tab/>
        <w:t>AER analysis;</w:t>
      </w:r>
      <w:r w:rsidR="00975820">
        <w:t xml:space="preserve"> TasNetworks,</w:t>
      </w:r>
      <w:r w:rsidR="00975820" w:rsidRPr="00DA7A24">
        <w:t xml:space="preserve"> </w:t>
      </w:r>
      <w:r w:rsidR="00975820">
        <w:rPr>
          <w:rStyle w:val="AERtextitalic"/>
        </w:rPr>
        <w:t>Tasmanian distribution regulatory proposal—Regulatory control period 1 July 2017 to 30 June 2019</w:t>
      </w:r>
      <w:r w:rsidR="00975820">
        <w:t>, 29 January 2016</w:t>
      </w:r>
      <w:r w:rsidR="00975820" w:rsidRPr="009274DD">
        <w:t>,</w:t>
      </w:r>
      <w:r w:rsidR="00975820">
        <w:t xml:space="preserve"> p. 147;</w:t>
      </w:r>
      <w:r>
        <w:t xml:space="preserve"> TasNetworks, </w:t>
      </w:r>
      <w:r w:rsidRPr="00CD159D">
        <w:rPr>
          <w:rStyle w:val="AERtextitalic"/>
        </w:rPr>
        <w:t>Indicative pricing schedule: Regulatory control period 1 July 2017 to 30 June 2019</w:t>
      </w:r>
      <w:r>
        <w:t>, January 2016.</w:t>
      </w:r>
    </w:p>
    <w:p w:rsidR="00083DF4" w:rsidRDefault="001D5287" w:rsidP="001D5287">
      <w:pPr>
        <w:pStyle w:val="Caption"/>
      </w:pPr>
      <w:bookmarkStart w:id="134" w:name="_Ref456364175"/>
      <w:r>
        <w:t xml:space="preserve">Table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rsidR="0031261B">
        <w:t>.</w:t>
      </w:r>
      <w:r w:rsidR="00E639DB">
        <w:fldChar w:fldCharType="begin"/>
      </w:r>
      <w:r w:rsidR="00E639DB">
        <w:instrText xml:space="preserve"> SEQ Table \* ARABIC \s 1 </w:instrText>
      </w:r>
      <w:r w:rsidR="00E639DB">
        <w:fldChar w:fldCharType="separate"/>
      </w:r>
      <w:r w:rsidR="000C061E">
        <w:rPr>
          <w:noProof/>
        </w:rPr>
        <w:t>10</w:t>
      </w:r>
      <w:r w:rsidR="00E639DB">
        <w:rPr>
          <w:noProof/>
        </w:rPr>
        <w:fldChar w:fldCharType="end"/>
      </w:r>
      <w:bookmarkEnd w:id="134"/>
      <w:r>
        <w:tab/>
      </w:r>
      <w:r w:rsidR="00023276">
        <w:t>Q</w:t>
      </w:r>
      <w:r>
        <w:t>uoted service ancillary network services hourly labour rates for 201</w:t>
      </w:r>
      <w:r w:rsidR="00C05D5F">
        <w:t>7</w:t>
      </w:r>
      <w:r>
        <w:t>–1</w:t>
      </w:r>
      <w:r w:rsidR="00C05D5F">
        <w:t>8</w:t>
      </w:r>
      <w:r>
        <w:t>, draft decision ($201</w:t>
      </w:r>
      <w:r w:rsidR="00023276">
        <w:t>7</w:t>
      </w:r>
      <w:r>
        <w:t>–1</w:t>
      </w:r>
      <w:r w:rsidR="00023276">
        <w:t>8</w:t>
      </w:r>
      <w:r>
        <w:t>)</w:t>
      </w:r>
    </w:p>
    <w:tbl>
      <w:tblPr>
        <w:tblStyle w:val="AERtable-numbers"/>
        <w:tblW w:w="0" w:type="auto"/>
        <w:tblLook w:val="04A0" w:firstRow="1" w:lastRow="0" w:firstColumn="1" w:lastColumn="0" w:noHBand="0" w:noVBand="1"/>
      </w:tblPr>
      <w:tblGrid>
        <w:gridCol w:w="4361"/>
        <w:gridCol w:w="2166"/>
        <w:gridCol w:w="2166"/>
      </w:tblGrid>
      <w:tr w:rsidR="00C05D5F" w:rsidTr="00C05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C05D5F" w:rsidRDefault="00C05D5F" w:rsidP="001D5287">
            <w:r>
              <w:t>Labour type</w:t>
            </w:r>
          </w:p>
        </w:tc>
        <w:tc>
          <w:tcPr>
            <w:tcW w:w="2166" w:type="dxa"/>
          </w:tcPr>
          <w:p w:rsidR="00C05D5F" w:rsidRDefault="00C05D5F" w:rsidP="001D5287">
            <w:pPr>
              <w:cnfStyle w:val="100000000000" w:firstRow="1" w:lastRow="0" w:firstColumn="0" w:lastColumn="0" w:oddVBand="0" w:evenVBand="0" w:oddHBand="0" w:evenHBand="0" w:firstRowFirstColumn="0" w:firstRowLastColumn="0" w:lastRowFirstColumn="0" w:lastRowLastColumn="0"/>
            </w:pPr>
            <w:r>
              <w:t>Proposed price</w:t>
            </w:r>
          </w:p>
        </w:tc>
        <w:tc>
          <w:tcPr>
            <w:tcW w:w="2166" w:type="dxa"/>
          </w:tcPr>
          <w:p w:rsidR="00C05D5F" w:rsidRDefault="00C05D5F" w:rsidP="001D5287">
            <w:pPr>
              <w:cnfStyle w:val="100000000000" w:firstRow="1" w:lastRow="0" w:firstColumn="0" w:lastColumn="0" w:oddVBand="0" w:evenVBand="0" w:oddHBand="0" w:evenHBand="0" w:firstRowFirstColumn="0" w:firstRowLastColumn="0" w:lastRowFirstColumn="0" w:lastRowLastColumn="0"/>
            </w:pPr>
            <w:r>
              <w:t>AER draft decision</w:t>
            </w:r>
          </w:p>
        </w:tc>
      </w:tr>
      <w:tr w:rsidR="006B4038" w:rsidTr="00C05D5F">
        <w:tc>
          <w:tcPr>
            <w:cnfStyle w:val="001000000000" w:firstRow="0" w:lastRow="0" w:firstColumn="1" w:lastColumn="0" w:oddVBand="0" w:evenVBand="0" w:oddHBand="0" w:evenHBand="0" w:firstRowFirstColumn="0" w:firstRowLastColumn="0" w:lastRowFirstColumn="0" w:lastRowLastColumn="0"/>
            <w:tcW w:w="4361" w:type="dxa"/>
          </w:tcPr>
          <w:p w:rsidR="006B4038" w:rsidRPr="006B4038" w:rsidRDefault="006B4038" w:rsidP="006B4038">
            <w:r>
              <w:t>Cable joiner</w:t>
            </w:r>
          </w:p>
        </w:tc>
        <w:tc>
          <w:tcPr>
            <w:tcW w:w="2166" w:type="dxa"/>
          </w:tcPr>
          <w:p w:rsidR="006B4038" w:rsidRPr="006B4038" w:rsidRDefault="006B4038" w:rsidP="006B4038">
            <w:pPr>
              <w:cnfStyle w:val="000000000000" w:firstRow="0" w:lastRow="0" w:firstColumn="0" w:lastColumn="0" w:oddVBand="0" w:evenVBand="0" w:oddHBand="0" w:evenHBand="0" w:firstRowFirstColumn="0" w:firstRowLastColumn="0" w:lastRowFirstColumn="0" w:lastRowLastColumn="0"/>
            </w:pPr>
            <w:r>
              <w:t>60.56</w:t>
            </w:r>
          </w:p>
        </w:tc>
        <w:tc>
          <w:tcPr>
            <w:tcW w:w="2166" w:type="dxa"/>
          </w:tcPr>
          <w:p w:rsidR="006B4038" w:rsidRPr="006B4038" w:rsidRDefault="006B4038" w:rsidP="006B4038">
            <w:pPr>
              <w:cnfStyle w:val="000000000000" w:firstRow="0" w:lastRow="0" w:firstColumn="0" w:lastColumn="0" w:oddVBand="0" w:evenVBand="0" w:oddHBand="0" w:evenHBand="0" w:firstRowFirstColumn="0" w:firstRowLastColumn="0" w:lastRowFirstColumn="0" w:lastRowLastColumn="0"/>
            </w:pPr>
            <w:r>
              <w:t>60.56</w:t>
            </w:r>
          </w:p>
        </w:tc>
      </w:tr>
      <w:tr w:rsidR="006B4038" w:rsidTr="00C05D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B4038" w:rsidRPr="006B4038" w:rsidRDefault="006B4038" w:rsidP="006B4038">
            <w:r>
              <w:t>Customer connections – commercial metering</w:t>
            </w:r>
          </w:p>
        </w:tc>
        <w:tc>
          <w:tcPr>
            <w:tcW w:w="2166" w:type="dxa"/>
          </w:tcPr>
          <w:p w:rsidR="006B4038" w:rsidRPr="006B4038" w:rsidRDefault="006B4038" w:rsidP="006B4038">
            <w:pPr>
              <w:cnfStyle w:val="000000010000" w:firstRow="0" w:lastRow="0" w:firstColumn="0" w:lastColumn="0" w:oddVBand="0" w:evenVBand="0" w:oddHBand="0" w:evenHBand="1" w:firstRowFirstColumn="0" w:firstRowLastColumn="0" w:lastRowFirstColumn="0" w:lastRowLastColumn="0"/>
            </w:pPr>
            <w:r>
              <w:t>63.09</w:t>
            </w:r>
          </w:p>
        </w:tc>
        <w:tc>
          <w:tcPr>
            <w:tcW w:w="2166" w:type="dxa"/>
          </w:tcPr>
          <w:p w:rsidR="006B4038" w:rsidRPr="006B4038" w:rsidRDefault="006B4038" w:rsidP="006B4038">
            <w:pPr>
              <w:cnfStyle w:val="000000010000" w:firstRow="0" w:lastRow="0" w:firstColumn="0" w:lastColumn="0" w:oddVBand="0" w:evenVBand="0" w:oddHBand="0" w:evenHBand="1" w:firstRowFirstColumn="0" w:firstRowLastColumn="0" w:lastRowFirstColumn="0" w:lastRowLastColumn="0"/>
            </w:pPr>
            <w:r>
              <w:t>63.09</w:t>
            </w:r>
          </w:p>
        </w:tc>
      </w:tr>
      <w:tr w:rsidR="006B4038" w:rsidTr="00C05D5F">
        <w:tc>
          <w:tcPr>
            <w:cnfStyle w:val="001000000000" w:firstRow="0" w:lastRow="0" w:firstColumn="1" w:lastColumn="0" w:oddVBand="0" w:evenVBand="0" w:oddHBand="0" w:evenHBand="0" w:firstRowFirstColumn="0" w:firstRowLastColumn="0" w:lastRowFirstColumn="0" w:lastRowLastColumn="0"/>
            <w:tcW w:w="4361" w:type="dxa"/>
          </w:tcPr>
          <w:p w:rsidR="006B4038" w:rsidRPr="006B4038" w:rsidRDefault="006B4038" w:rsidP="006B4038">
            <w:r>
              <w:t>Customer connections – service crew</w:t>
            </w:r>
          </w:p>
        </w:tc>
        <w:tc>
          <w:tcPr>
            <w:tcW w:w="2166" w:type="dxa"/>
          </w:tcPr>
          <w:p w:rsidR="006B4038" w:rsidRPr="006B4038" w:rsidRDefault="006B4038" w:rsidP="006B4038">
            <w:pPr>
              <w:cnfStyle w:val="000000000000" w:firstRow="0" w:lastRow="0" w:firstColumn="0" w:lastColumn="0" w:oddVBand="0" w:evenVBand="0" w:oddHBand="0" w:evenHBand="0" w:firstRowFirstColumn="0" w:firstRowLastColumn="0" w:lastRowFirstColumn="0" w:lastRowLastColumn="0"/>
            </w:pPr>
            <w:r>
              <w:t>62.13</w:t>
            </w:r>
          </w:p>
        </w:tc>
        <w:tc>
          <w:tcPr>
            <w:tcW w:w="2166" w:type="dxa"/>
          </w:tcPr>
          <w:p w:rsidR="006B4038" w:rsidRPr="006B4038" w:rsidRDefault="006B4038" w:rsidP="006B4038">
            <w:pPr>
              <w:cnfStyle w:val="000000000000" w:firstRow="0" w:lastRow="0" w:firstColumn="0" w:lastColumn="0" w:oddVBand="0" w:evenVBand="0" w:oddHBand="0" w:evenHBand="0" w:firstRowFirstColumn="0" w:firstRowLastColumn="0" w:lastRowFirstColumn="0" w:lastRowLastColumn="0"/>
            </w:pPr>
            <w:r>
              <w:t>62.13</w:t>
            </w:r>
          </w:p>
        </w:tc>
      </w:tr>
      <w:tr w:rsidR="006B4038" w:rsidTr="00C05D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B4038" w:rsidRPr="006B4038" w:rsidRDefault="006B4038" w:rsidP="006B4038">
            <w:r>
              <w:t>Desi</w:t>
            </w:r>
            <w:r w:rsidRPr="006B4038">
              <w:t>gner</w:t>
            </w:r>
          </w:p>
        </w:tc>
        <w:tc>
          <w:tcPr>
            <w:tcW w:w="2166" w:type="dxa"/>
          </w:tcPr>
          <w:p w:rsidR="006B4038" w:rsidRPr="006B4038" w:rsidRDefault="006B4038" w:rsidP="006B4038">
            <w:pPr>
              <w:cnfStyle w:val="000000010000" w:firstRow="0" w:lastRow="0" w:firstColumn="0" w:lastColumn="0" w:oddVBand="0" w:evenVBand="0" w:oddHBand="0" w:evenHBand="1" w:firstRowFirstColumn="0" w:firstRowLastColumn="0" w:lastRowFirstColumn="0" w:lastRowLastColumn="0"/>
            </w:pPr>
            <w:r>
              <w:t>70.05</w:t>
            </w:r>
          </w:p>
        </w:tc>
        <w:tc>
          <w:tcPr>
            <w:tcW w:w="2166" w:type="dxa"/>
          </w:tcPr>
          <w:p w:rsidR="006B4038" w:rsidRPr="006B4038" w:rsidRDefault="006B4038" w:rsidP="006B4038">
            <w:pPr>
              <w:cnfStyle w:val="000000010000" w:firstRow="0" w:lastRow="0" w:firstColumn="0" w:lastColumn="0" w:oddVBand="0" w:evenVBand="0" w:oddHBand="0" w:evenHBand="1" w:firstRowFirstColumn="0" w:firstRowLastColumn="0" w:lastRowFirstColumn="0" w:lastRowLastColumn="0"/>
            </w:pPr>
            <w:r>
              <w:t>70.05</w:t>
            </w:r>
          </w:p>
        </w:tc>
      </w:tr>
      <w:tr w:rsidR="006B4038" w:rsidTr="00C05D5F">
        <w:tc>
          <w:tcPr>
            <w:cnfStyle w:val="001000000000" w:firstRow="0" w:lastRow="0" w:firstColumn="1" w:lastColumn="0" w:oddVBand="0" w:evenVBand="0" w:oddHBand="0" w:evenHBand="0" w:firstRowFirstColumn="0" w:firstRowLastColumn="0" w:lastRowFirstColumn="0" w:lastRowLastColumn="0"/>
            <w:tcW w:w="4361" w:type="dxa"/>
          </w:tcPr>
          <w:p w:rsidR="006B4038" w:rsidRPr="006B4038" w:rsidRDefault="006B4038" w:rsidP="006B4038">
            <w:r>
              <w:t>Distribution electrical technician</w:t>
            </w:r>
          </w:p>
        </w:tc>
        <w:tc>
          <w:tcPr>
            <w:tcW w:w="2166" w:type="dxa"/>
          </w:tcPr>
          <w:p w:rsidR="006B4038" w:rsidRPr="006B4038" w:rsidRDefault="006B4038" w:rsidP="006B4038">
            <w:pPr>
              <w:cnfStyle w:val="000000000000" w:firstRow="0" w:lastRow="0" w:firstColumn="0" w:lastColumn="0" w:oddVBand="0" w:evenVBand="0" w:oddHBand="0" w:evenHBand="0" w:firstRowFirstColumn="0" w:firstRowLastColumn="0" w:lastRowFirstColumn="0" w:lastRowLastColumn="0"/>
            </w:pPr>
            <w:r>
              <w:t>62.25</w:t>
            </w:r>
          </w:p>
        </w:tc>
        <w:tc>
          <w:tcPr>
            <w:tcW w:w="2166" w:type="dxa"/>
          </w:tcPr>
          <w:p w:rsidR="006B4038" w:rsidRPr="006B4038" w:rsidRDefault="006B4038" w:rsidP="006B4038">
            <w:pPr>
              <w:cnfStyle w:val="000000000000" w:firstRow="0" w:lastRow="0" w:firstColumn="0" w:lastColumn="0" w:oddVBand="0" w:evenVBand="0" w:oddHBand="0" w:evenHBand="0" w:firstRowFirstColumn="0" w:firstRowLastColumn="0" w:lastRowFirstColumn="0" w:lastRowLastColumn="0"/>
            </w:pPr>
            <w:r>
              <w:t>62.25</w:t>
            </w:r>
          </w:p>
        </w:tc>
      </w:tr>
      <w:tr w:rsidR="006B4038" w:rsidTr="00C05D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B4038" w:rsidRPr="006B4038" w:rsidRDefault="006B4038" w:rsidP="006B4038">
            <w:r>
              <w:t>Distribution linesman</w:t>
            </w:r>
          </w:p>
        </w:tc>
        <w:tc>
          <w:tcPr>
            <w:tcW w:w="2166" w:type="dxa"/>
          </w:tcPr>
          <w:p w:rsidR="006B4038" w:rsidRPr="006B4038" w:rsidRDefault="006B4038" w:rsidP="006B4038">
            <w:pPr>
              <w:cnfStyle w:val="000000010000" w:firstRow="0" w:lastRow="0" w:firstColumn="0" w:lastColumn="0" w:oddVBand="0" w:evenVBand="0" w:oddHBand="0" w:evenHBand="1" w:firstRowFirstColumn="0" w:firstRowLastColumn="0" w:lastRowFirstColumn="0" w:lastRowLastColumn="0"/>
            </w:pPr>
            <w:r>
              <w:t>56.35</w:t>
            </w:r>
          </w:p>
        </w:tc>
        <w:tc>
          <w:tcPr>
            <w:tcW w:w="2166" w:type="dxa"/>
          </w:tcPr>
          <w:p w:rsidR="006B4038" w:rsidRPr="006B4038" w:rsidRDefault="006B4038" w:rsidP="006B4038">
            <w:pPr>
              <w:cnfStyle w:val="000000010000" w:firstRow="0" w:lastRow="0" w:firstColumn="0" w:lastColumn="0" w:oddVBand="0" w:evenVBand="0" w:oddHBand="0" w:evenHBand="1" w:firstRowFirstColumn="0" w:firstRowLastColumn="0" w:lastRowFirstColumn="0" w:lastRowLastColumn="0"/>
            </w:pPr>
            <w:r>
              <w:t>56.35</w:t>
            </w:r>
          </w:p>
        </w:tc>
      </w:tr>
      <w:tr w:rsidR="006B4038" w:rsidTr="00C05D5F">
        <w:tc>
          <w:tcPr>
            <w:cnfStyle w:val="001000000000" w:firstRow="0" w:lastRow="0" w:firstColumn="1" w:lastColumn="0" w:oddVBand="0" w:evenVBand="0" w:oddHBand="0" w:evenHBand="0" w:firstRowFirstColumn="0" w:firstRowLastColumn="0" w:lastRowFirstColumn="0" w:lastRowLastColumn="0"/>
            <w:tcW w:w="4361" w:type="dxa"/>
          </w:tcPr>
          <w:p w:rsidR="006B4038" w:rsidRPr="006B4038" w:rsidRDefault="006B4038" w:rsidP="006B4038">
            <w:r>
              <w:t xml:space="preserve">Distribution </w:t>
            </w:r>
            <w:r w:rsidRPr="006B4038">
              <w:t>linesman – live line</w:t>
            </w:r>
          </w:p>
        </w:tc>
        <w:tc>
          <w:tcPr>
            <w:tcW w:w="2166" w:type="dxa"/>
          </w:tcPr>
          <w:p w:rsidR="006B4038" w:rsidRPr="006B4038" w:rsidRDefault="006B4038" w:rsidP="006B4038">
            <w:pPr>
              <w:cnfStyle w:val="000000000000" w:firstRow="0" w:lastRow="0" w:firstColumn="0" w:lastColumn="0" w:oddVBand="0" w:evenVBand="0" w:oddHBand="0" w:evenHBand="0" w:firstRowFirstColumn="0" w:firstRowLastColumn="0" w:lastRowFirstColumn="0" w:lastRowLastColumn="0"/>
            </w:pPr>
            <w:r>
              <w:t>63.38</w:t>
            </w:r>
          </w:p>
        </w:tc>
        <w:tc>
          <w:tcPr>
            <w:tcW w:w="2166" w:type="dxa"/>
          </w:tcPr>
          <w:p w:rsidR="006B4038" w:rsidRPr="006B4038" w:rsidRDefault="006B4038" w:rsidP="006B4038">
            <w:pPr>
              <w:cnfStyle w:val="000000000000" w:firstRow="0" w:lastRow="0" w:firstColumn="0" w:lastColumn="0" w:oddVBand="0" w:evenVBand="0" w:oddHBand="0" w:evenHBand="0" w:firstRowFirstColumn="0" w:firstRowLastColumn="0" w:lastRowFirstColumn="0" w:lastRowLastColumn="0"/>
            </w:pPr>
            <w:r>
              <w:t>63.38</w:t>
            </w:r>
          </w:p>
        </w:tc>
      </w:tr>
      <w:tr w:rsidR="006B4038" w:rsidTr="00C05D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B4038" w:rsidRPr="006B4038" w:rsidRDefault="006B4038" w:rsidP="006B4038">
            <w:r>
              <w:t>Distribution operator</w:t>
            </w:r>
          </w:p>
        </w:tc>
        <w:tc>
          <w:tcPr>
            <w:tcW w:w="2166" w:type="dxa"/>
          </w:tcPr>
          <w:p w:rsidR="006B4038" w:rsidRPr="006B4038" w:rsidRDefault="006B4038" w:rsidP="006B4038">
            <w:pPr>
              <w:cnfStyle w:val="000000010000" w:firstRow="0" w:lastRow="0" w:firstColumn="0" w:lastColumn="0" w:oddVBand="0" w:evenVBand="0" w:oddHBand="0" w:evenHBand="1" w:firstRowFirstColumn="0" w:firstRowLastColumn="0" w:lastRowFirstColumn="0" w:lastRowLastColumn="0"/>
            </w:pPr>
            <w:r>
              <w:t>69.65</w:t>
            </w:r>
          </w:p>
        </w:tc>
        <w:tc>
          <w:tcPr>
            <w:tcW w:w="2166" w:type="dxa"/>
          </w:tcPr>
          <w:p w:rsidR="006B4038" w:rsidRPr="006B4038" w:rsidRDefault="006B4038" w:rsidP="006B4038">
            <w:pPr>
              <w:cnfStyle w:val="000000010000" w:firstRow="0" w:lastRow="0" w:firstColumn="0" w:lastColumn="0" w:oddVBand="0" w:evenVBand="0" w:oddHBand="0" w:evenHBand="1" w:firstRowFirstColumn="0" w:firstRowLastColumn="0" w:lastRowFirstColumn="0" w:lastRowLastColumn="0"/>
            </w:pPr>
            <w:r>
              <w:t>69.65</w:t>
            </w:r>
          </w:p>
        </w:tc>
      </w:tr>
      <w:tr w:rsidR="006B4038" w:rsidTr="00C05D5F">
        <w:tc>
          <w:tcPr>
            <w:cnfStyle w:val="001000000000" w:firstRow="0" w:lastRow="0" w:firstColumn="1" w:lastColumn="0" w:oddVBand="0" w:evenVBand="0" w:oddHBand="0" w:evenHBand="0" w:firstRowFirstColumn="0" w:firstRowLastColumn="0" w:lastRowFirstColumn="0" w:lastRowLastColumn="0"/>
            <w:tcW w:w="4361" w:type="dxa"/>
          </w:tcPr>
          <w:p w:rsidR="006B4038" w:rsidRPr="006B4038" w:rsidRDefault="006B4038" w:rsidP="006B4038">
            <w:r>
              <w:t>Electrical inspector</w:t>
            </w:r>
          </w:p>
        </w:tc>
        <w:tc>
          <w:tcPr>
            <w:tcW w:w="2166" w:type="dxa"/>
          </w:tcPr>
          <w:p w:rsidR="006B4038" w:rsidRPr="006B4038" w:rsidRDefault="006B4038" w:rsidP="006B4038">
            <w:pPr>
              <w:cnfStyle w:val="000000000000" w:firstRow="0" w:lastRow="0" w:firstColumn="0" w:lastColumn="0" w:oddVBand="0" w:evenVBand="0" w:oddHBand="0" w:evenHBand="0" w:firstRowFirstColumn="0" w:firstRowLastColumn="0" w:lastRowFirstColumn="0" w:lastRowLastColumn="0"/>
            </w:pPr>
            <w:r>
              <w:t>58.32</w:t>
            </w:r>
          </w:p>
        </w:tc>
        <w:tc>
          <w:tcPr>
            <w:tcW w:w="2166" w:type="dxa"/>
          </w:tcPr>
          <w:p w:rsidR="006B4038" w:rsidRPr="006B4038" w:rsidRDefault="006B4038" w:rsidP="006B4038">
            <w:pPr>
              <w:cnfStyle w:val="000000000000" w:firstRow="0" w:lastRow="0" w:firstColumn="0" w:lastColumn="0" w:oddVBand="0" w:evenVBand="0" w:oddHBand="0" w:evenHBand="0" w:firstRowFirstColumn="0" w:firstRowLastColumn="0" w:lastRowFirstColumn="0" w:lastRowLastColumn="0"/>
            </w:pPr>
            <w:r>
              <w:t>58.32</w:t>
            </w:r>
          </w:p>
        </w:tc>
      </w:tr>
      <w:tr w:rsidR="006B4038" w:rsidTr="00C05D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B4038" w:rsidRPr="006B4038" w:rsidRDefault="006B4038" w:rsidP="006B4038">
            <w:r>
              <w:t>Field service co</w:t>
            </w:r>
            <w:r>
              <w:noBreakHyphen/>
              <w:t>ordinator</w:t>
            </w:r>
          </w:p>
        </w:tc>
        <w:tc>
          <w:tcPr>
            <w:tcW w:w="2166" w:type="dxa"/>
          </w:tcPr>
          <w:p w:rsidR="006B4038" w:rsidRPr="006B4038" w:rsidRDefault="006B4038" w:rsidP="006B4038">
            <w:pPr>
              <w:cnfStyle w:val="000000010000" w:firstRow="0" w:lastRow="0" w:firstColumn="0" w:lastColumn="0" w:oddVBand="0" w:evenVBand="0" w:oddHBand="0" w:evenHBand="1" w:firstRowFirstColumn="0" w:firstRowLastColumn="0" w:lastRowFirstColumn="0" w:lastRowLastColumn="0"/>
            </w:pPr>
            <w:r>
              <w:t>72.38</w:t>
            </w:r>
          </w:p>
        </w:tc>
        <w:tc>
          <w:tcPr>
            <w:tcW w:w="2166" w:type="dxa"/>
          </w:tcPr>
          <w:p w:rsidR="006B4038" w:rsidRPr="006B4038" w:rsidRDefault="006B4038" w:rsidP="006B4038">
            <w:pPr>
              <w:cnfStyle w:val="000000010000" w:firstRow="0" w:lastRow="0" w:firstColumn="0" w:lastColumn="0" w:oddVBand="0" w:evenVBand="0" w:oddHBand="0" w:evenHBand="1" w:firstRowFirstColumn="0" w:firstRowLastColumn="0" w:lastRowFirstColumn="0" w:lastRowLastColumn="0"/>
            </w:pPr>
            <w:r>
              <w:t>72.38</w:t>
            </w:r>
          </w:p>
        </w:tc>
      </w:tr>
      <w:tr w:rsidR="006B4038" w:rsidTr="00C05D5F">
        <w:tc>
          <w:tcPr>
            <w:cnfStyle w:val="001000000000" w:firstRow="0" w:lastRow="0" w:firstColumn="1" w:lastColumn="0" w:oddVBand="0" w:evenVBand="0" w:oddHBand="0" w:evenHBand="0" w:firstRowFirstColumn="0" w:firstRowLastColumn="0" w:lastRowFirstColumn="0" w:lastRowLastColumn="0"/>
            <w:tcW w:w="4361" w:type="dxa"/>
          </w:tcPr>
          <w:p w:rsidR="006B4038" w:rsidRPr="006B4038" w:rsidRDefault="006B4038" w:rsidP="006B4038">
            <w:r>
              <w:t>Labourer – overhead</w:t>
            </w:r>
          </w:p>
        </w:tc>
        <w:tc>
          <w:tcPr>
            <w:tcW w:w="2166" w:type="dxa"/>
          </w:tcPr>
          <w:p w:rsidR="006B4038" w:rsidRPr="006B4038" w:rsidRDefault="006B4038" w:rsidP="006B4038">
            <w:pPr>
              <w:cnfStyle w:val="000000000000" w:firstRow="0" w:lastRow="0" w:firstColumn="0" w:lastColumn="0" w:oddVBand="0" w:evenVBand="0" w:oddHBand="0" w:evenHBand="0" w:firstRowFirstColumn="0" w:firstRowLastColumn="0" w:lastRowFirstColumn="0" w:lastRowLastColumn="0"/>
            </w:pPr>
            <w:r>
              <w:t>48.42</w:t>
            </w:r>
          </w:p>
        </w:tc>
        <w:tc>
          <w:tcPr>
            <w:tcW w:w="2166" w:type="dxa"/>
          </w:tcPr>
          <w:p w:rsidR="006B4038" w:rsidRPr="006B4038" w:rsidRDefault="006B4038" w:rsidP="006B4038">
            <w:pPr>
              <w:cnfStyle w:val="000000000000" w:firstRow="0" w:lastRow="0" w:firstColumn="0" w:lastColumn="0" w:oddVBand="0" w:evenVBand="0" w:oddHBand="0" w:evenHBand="0" w:firstRowFirstColumn="0" w:firstRowLastColumn="0" w:lastRowFirstColumn="0" w:lastRowLastColumn="0"/>
            </w:pPr>
            <w:r>
              <w:t>48.42</w:t>
            </w:r>
          </w:p>
        </w:tc>
      </w:tr>
      <w:tr w:rsidR="006B4038" w:rsidTr="00C05D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B4038" w:rsidRPr="006B4038" w:rsidRDefault="006B4038" w:rsidP="006B4038">
            <w:r>
              <w:t>Meter reader</w:t>
            </w:r>
          </w:p>
        </w:tc>
        <w:tc>
          <w:tcPr>
            <w:tcW w:w="2166" w:type="dxa"/>
          </w:tcPr>
          <w:p w:rsidR="006B4038" w:rsidRPr="006B4038" w:rsidRDefault="006B4038" w:rsidP="006B4038">
            <w:pPr>
              <w:cnfStyle w:val="000000010000" w:firstRow="0" w:lastRow="0" w:firstColumn="0" w:lastColumn="0" w:oddVBand="0" w:evenVBand="0" w:oddHBand="0" w:evenHBand="1" w:firstRowFirstColumn="0" w:firstRowLastColumn="0" w:lastRowFirstColumn="0" w:lastRowLastColumn="0"/>
            </w:pPr>
            <w:r>
              <w:t>48.23</w:t>
            </w:r>
          </w:p>
        </w:tc>
        <w:tc>
          <w:tcPr>
            <w:tcW w:w="2166" w:type="dxa"/>
          </w:tcPr>
          <w:p w:rsidR="006B4038" w:rsidRPr="006B4038" w:rsidRDefault="006B4038" w:rsidP="006B4038">
            <w:pPr>
              <w:cnfStyle w:val="000000010000" w:firstRow="0" w:lastRow="0" w:firstColumn="0" w:lastColumn="0" w:oddVBand="0" w:evenVBand="0" w:oddHBand="0" w:evenHBand="1" w:firstRowFirstColumn="0" w:firstRowLastColumn="0" w:lastRowFirstColumn="0" w:lastRowLastColumn="0"/>
            </w:pPr>
            <w:r>
              <w:t>48.23</w:t>
            </w:r>
          </w:p>
        </w:tc>
      </w:tr>
      <w:tr w:rsidR="006B4038" w:rsidTr="00C05D5F">
        <w:tc>
          <w:tcPr>
            <w:cnfStyle w:val="001000000000" w:firstRow="0" w:lastRow="0" w:firstColumn="1" w:lastColumn="0" w:oddVBand="0" w:evenVBand="0" w:oddHBand="0" w:evenHBand="0" w:firstRowFirstColumn="0" w:firstRowLastColumn="0" w:lastRowFirstColumn="0" w:lastRowLastColumn="0"/>
            <w:tcW w:w="4361" w:type="dxa"/>
          </w:tcPr>
          <w:p w:rsidR="006B4038" w:rsidRPr="006B4038" w:rsidRDefault="006B4038" w:rsidP="006B4038">
            <w:r>
              <w:t>Pole tester</w:t>
            </w:r>
          </w:p>
        </w:tc>
        <w:tc>
          <w:tcPr>
            <w:tcW w:w="2166" w:type="dxa"/>
          </w:tcPr>
          <w:p w:rsidR="006B4038" w:rsidRPr="006B4038" w:rsidRDefault="006B4038" w:rsidP="006B4038">
            <w:pPr>
              <w:cnfStyle w:val="000000000000" w:firstRow="0" w:lastRow="0" w:firstColumn="0" w:lastColumn="0" w:oddVBand="0" w:evenVBand="0" w:oddHBand="0" w:evenHBand="0" w:firstRowFirstColumn="0" w:firstRowLastColumn="0" w:lastRowFirstColumn="0" w:lastRowLastColumn="0"/>
            </w:pPr>
            <w:r>
              <w:t>50.22</w:t>
            </w:r>
          </w:p>
        </w:tc>
        <w:tc>
          <w:tcPr>
            <w:tcW w:w="2166" w:type="dxa"/>
          </w:tcPr>
          <w:p w:rsidR="006B4038" w:rsidRPr="006B4038" w:rsidRDefault="006B4038" w:rsidP="006B4038">
            <w:pPr>
              <w:cnfStyle w:val="000000000000" w:firstRow="0" w:lastRow="0" w:firstColumn="0" w:lastColumn="0" w:oddVBand="0" w:evenVBand="0" w:oddHBand="0" w:evenHBand="0" w:firstRowFirstColumn="0" w:firstRowLastColumn="0" w:lastRowFirstColumn="0" w:lastRowLastColumn="0"/>
            </w:pPr>
            <w:r>
              <w:t>50.22</w:t>
            </w:r>
          </w:p>
        </w:tc>
      </w:tr>
      <w:tr w:rsidR="006B4038" w:rsidTr="00C05D5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Pr>
          <w:p w:rsidR="006B4038" w:rsidRPr="006B4038" w:rsidRDefault="006B4038" w:rsidP="006B4038">
            <w:r>
              <w:t>Project manager</w:t>
            </w:r>
          </w:p>
        </w:tc>
        <w:tc>
          <w:tcPr>
            <w:tcW w:w="2166" w:type="dxa"/>
          </w:tcPr>
          <w:p w:rsidR="006B4038" w:rsidRPr="006B4038" w:rsidRDefault="006B4038" w:rsidP="006B4038">
            <w:pPr>
              <w:cnfStyle w:val="000000010000" w:firstRow="0" w:lastRow="0" w:firstColumn="0" w:lastColumn="0" w:oddVBand="0" w:evenVBand="0" w:oddHBand="0" w:evenHBand="1" w:firstRowFirstColumn="0" w:firstRowLastColumn="0" w:lastRowFirstColumn="0" w:lastRowLastColumn="0"/>
            </w:pPr>
            <w:r>
              <w:t>86.06</w:t>
            </w:r>
          </w:p>
        </w:tc>
        <w:tc>
          <w:tcPr>
            <w:tcW w:w="2166" w:type="dxa"/>
          </w:tcPr>
          <w:p w:rsidR="006B4038" w:rsidRPr="006B4038" w:rsidRDefault="006B4038" w:rsidP="006B4038">
            <w:pPr>
              <w:cnfStyle w:val="000000010000" w:firstRow="0" w:lastRow="0" w:firstColumn="0" w:lastColumn="0" w:oddVBand="0" w:evenVBand="0" w:oddHBand="0" w:evenHBand="1" w:firstRowFirstColumn="0" w:firstRowLastColumn="0" w:lastRowFirstColumn="0" w:lastRowLastColumn="0"/>
            </w:pPr>
            <w:r>
              <w:t>86.06</w:t>
            </w:r>
          </w:p>
        </w:tc>
      </w:tr>
    </w:tbl>
    <w:p w:rsidR="003906D3" w:rsidRDefault="003C48AC" w:rsidP="00381B19">
      <w:pPr>
        <w:pStyle w:val="AERtablesource"/>
      </w:pPr>
      <w:r>
        <w:t>Source:</w:t>
      </w:r>
      <w:r>
        <w:tab/>
        <w:t xml:space="preserve">AER analysis; TasNetworks, </w:t>
      </w:r>
      <w:r w:rsidRPr="00CD159D">
        <w:rPr>
          <w:rStyle w:val="AERtextitalic"/>
        </w:rPr>
        <w:t>Indicative pricing schedule: Regulatory control period 1 July 2017 to 30 June 2019</w:t>
      </w:r>
      <w:r>
        <w:t>, January 2016.</w:t>
      </w:r>
    </w:p>
    <w:p w:rsidR="005F62B6" w:rsidRDefault="005F62B6" w:rsidP="005F62B6">
      <w:pPr>
        <w:pStyle w:val="Heading7"/>
      </w:pPr>
      <w:bookmarkStart w:id="135" w:name="_Toc462755679"/>
      <w:r>
        <w:t>Metering</w:t>
      </w:r>
      <w:bookmarkEnd w:id="135"/>
    </w:p>
    <w:p w:rsidR="001F2C65" w:rsidRDefault="001F2C65" w:rsidP="001F2C65">
      <w:pPr>
        <w:pStyle w:val="Caption"/>
      </w:pPr>
      <w:bookmarkStart w:id="136" w:name="_Ref460578354"/>
      <w:r>
        <w:t xml:space="preserve">Table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rsidR="0031261B">
        <w:t>.</w:t>
      </w:r>
      <w:r w:rsidR="00E639DB">
        <w:fldChar w:fldCharType="begin"/>
      </w:r>
      <w:r w:rsidR="00E639DB">
        <w:instrText xml:space="preserve"> SEQ Table \* ARABIC \s 1 </w:instrText>
      </w:r>
      <w:r w:rsidR="00E639DB">
        <w:fldChar w:fldCharType="separate"/>
      </w:r>
      <w:r w:rsidR="000C061E">
        <w:rPr>
          <w:noProof/>
        </w:rPr>
        <w:t>11</w:t>
      </w:r>
      <w:r w:rsidR="00E639DB">
        <w:rPr>
          <w:noProof/>
        </w:rPr>
        <w:fldChar w:fldCharType="end"/>
      </w:r>
      <w:bookmarkEnd w:id="136"/>
      <w:r>
        <w:tab/>
      </w:r>
      <w:r>
        <w:tab/>
      </w:r>
      <w:r w:rsidR="0031261B">
        <w:t xml:space="preserve">Draft decision </w:t>
      </w:r>
      <w:r w:rsidR="003C0494">
        <w:t>metering charge</w:t>
      </w:r>
      <w:r w:rsidR="0031261B">
        <w:t>s</w:t>
      </w:r>
      <w:r w:rsidR="003C0494">
        <w:t xml:space="preserve"> (nominal, cents per day)</w:t>
      </w:r>
    </w:p>
    <w:tbl>
      <w:tblPr>
        <w:tblStyle w:val="AERtable-numbers"/>
        <w:tblW w:w="0" w:type="auto"/>
        <w:tblLook w:val="04A0" w:firstRow="1" w:lastRow="0" w:firstColumn="1" w:lastColumn="0" w:noHBand="0" w:noVBand="1"/>
      </w:tblPr>
      <w:tblGrid>
        <w:gridCol w:w="2312"/>
        <w:gridCol w:w="2127"/>
        <w:gridCol w:w="2127"/>
        <w:gridCol w:w="2127"/>
      </w:tblGrid>
      <w:tr w:rsidR="001F2C65" w:rsidRPr="009B3860" w:rsidTr="00295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tcPr>
          <w:p w:rsidR="001F2C65" w:rsidRDefault="001F2C65" w:rsidP="001F2C65">
            <w:pPr>
              <w:pStyle w:val="Source"/>
            </w:pPr>
          </w:p>
        </w:tc>
        <w:tc>
          <w:tcPr>
            <w:tcW w:w="2127" w:type="dxa"/>
          </w:tcPr>
          <w:p w:rsidR="001F2C65" w:rsidRDefault="001F2C65" w:rsidP="001F2C65">
            <w:pPr>
              <w:pStyle w:val="Source"/>
              <w:cnfStyle w:val="100000000000" w:firstRow="1" w:lastRow="0" w:firstColumn="0" w:lastColumn="0" w:oddVBand="0" w:evenVBand="0" w:oddHBand="0" w:evenHBand="0" w:firstRowFirstColumn="0" w:firstRowLastColumn="0" w:lastRowFirstColumn="0" w:lastRowLastColumn="0"/>
            </w:pPr>
          </w:p>
        </w:tc>
        <w:tc>
          <w:tcPr>
            <w:tcW w:w="2127" w:type="dxa"/>
          </w:tcPr>
          <w:p w:rsidR="001F2C65" w:rsidRPr="001F2C65" w:rsidRDefault="001F2C65" w:rsidP="001F2C65">
            <w:pPr>
              <w:pStyle w:val="Source"/>
              <w:cnfStyle w:val="100000000000" w:firstRow="1" w:lastRow="0" w:firstColumn="0" w:lastColumn="0" w:oddVBand="0" w:evenVBand="0" w:oddHBand="0" w:evenHBand="0" w:firstRowFirstColumn="0" w:firstRowLastColumn="0" w:lastRowFirstColumn="0" w:lastRowLastColumn="0"/>
            </w:pPr>
            <w:r>
              <w:t>2017</w:t>
            </w:r>
            <w:r w:rsidR="003C0494">
              <w:t>-18</w:t>
            </w:r>
          </w:p>
        </w:tc>
        <w:tc>
          <w:tcPr>
            <w:tcW w:w="2127" w:type="dxa"/>
          </w:tcPr>
          <w:p w:rsidR="001F2C65" w:rsidRPr="001F2C65" w:rsidRDefault="001F2C65" w:rsidP="001F2C65">
            <w:pPr>
              <w:pStyle w:val="Source"/>
              <w:cnfStyle w:val="100000000000" w:firstRow="1" w:lastRow="0" w:firstColumn="0" w:lastColumn="0" w:oddVBand="0" w:evenVBand="0" w:oddHBand="0" w:evenHBand="0" w:firstRowFirstColumn="0" w:firstRowLastColumn="0" w:lastRowFirstColumn="0" w:lastRowLastColumn="0"/>
            </w:pPr>
            <w:r>
              <w:t>2018</w:t>
            </w:r>
            <w:r w:rsidR="003C0494">
              <w:t>-19</w:t>
            </w:r>
          </w:p>
        </w:tc>
      </w:tr>
      <w:tr w:rsidR="001F2C65" w:rsidRPr="009B3860" w:rsidTr="00295F96">
        <w:tc>
          <w:tcPr>
            <w:cnfStyle w:val="001000000000" w:firstRow="0" w:lastRow="0" w:firstColumn="1" w:lastColumn="0" w:oddVBand="0" w:evenVBand="0" w:oddHBand="0" w:evenHBand="0" w:firstRowFirstColumn="0" w:firstRowLastColumn="0" w:lastRowFirstColumn="0" w:lastRowLastColumn="0"/>
            <w:tcW w:w="2312" w:type="dxa"/>
            <w:vMerge w:val="restart"/>
          </w:tcPr>
          <w:p w:rsidR="001F2C65" w:rsidRPr="001F2C65" w:rsidRDefault="001F2C65" w:rsidP="001F2C65">
            <w:pPr>
              <w:pStyle w:val="Source"/>
            </w:pPr>
            <w:r>
              <w:t>Business LV – Single phase</w:t>
            </w:r>
          </w:p>
        </w:tc>
        <w:tc>
          <w:tcPr>
            <w:tcW w:w="2127" w:type="dxa"/>
          </w:tcPr>
          <w:p w:rsidR="001F2C65" w:rsidRPr="001F2C65" w:rsidRDefault="001F2C65" w:rsidP="001F2C65">
            <w:pPr>
              <w:pStyle w:val="Source"/>
              <w:cnfStyle w:val="000000000000" w:firstRow="0" w:lastRow="0" w:firstColumn="0" w:lastColumn="0" w:oddVBand="0" w:evenVBand="0" w:oddHBand="0" w:evenHBand="0" w:firstRowFirstColumn="0" w:firstRowLastColumn="0" w:lastRowFirstColumn="0" w:lastRowLastColumn="0"/>
            </w:pPr>
            <w:r>
              <w:t>Capital</w:t>
            </w:r>
          </w:p>
        </w:tc>
        <w:tc>
          <w:tcPr>
            <w:tcW w:w="2127" w:type="dxa"/>
          </w:tcPr>
          <w:p w:rsidR="001F2C65" w:rsidRPr="001F2C65" w:rsidRDefault="003C0494" w:rsidP="001F2C65">
            <w:pPr>
              <w:pStyle w:val="Source"/>
              <w:cnfStyle w:val="000000000000" w:firstRow="0" w:lastRow="0" w:firstColumn="0" w:lastColumn="0" w:oddVBand="0" w:evenVBand="0" w:oddHBand="0" w:evenHBand="0" w:firstRowFirstColumn="0" w:firstRowLastColumn="0" w:lastRowFirstColumn="0" w:lastRowLastColumn="0"/>
            </w:pPr>
            <w:r>
              <w:t>3.012</w:t>
            </w:r>
          </w:p>
        </w:tc>
        <w:tc>
          <w:tcPr>
            <w:tcW w:w="2127" w:type="dxa"/>
          </w:tcPr>
          <w:p w:rsidR="001F2C65" w:rsidRPr="001F2C65" w:rsidRDefault="003C0494" w:rsidP="001F2C65">
            <w:pPr>
              <w:pStyle w:val="Source"/>
              <w:cnfStyle w:val="000000000000" w:firstRow="0" w:lastRow="0" w:firstColumn="0" w:lastColumn="0" w:oddVBand="0" w:evenVBand="0" w:oddHBand="0" w:evenHBand="0" w:firstRowFirstColumn="0" w:firstRowLastColumn="0" w:lastRowFirstColumn="0" w:lastRowLastColumn="0"/>
            </w:pPr>
            <w:r>
              <w:t>3.085</w:t>
            </w:r>
          </w:p>
        </w:tc>
      </w:tr>
      <w:tr w:rsidR="001F2C65" w:rsidRPr="009B3860" w:rsidTr="00295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vMerge/>
          </w:tcPr>
          <w:p w:rsidR="001F2C65" w:rsidRDefault="001F2C65" w:rsidP="001F2C65">
            <w:pPr>
              <w:pStyle w:val="Source"/>
            </w:pPr>
          </w:p>
        </w:tc>
        <w:tc>
          <w:tcPr>
            <w:tcW w:w="2127" w:type="dxa"/>
          </w:tcPr>
          <w:p w:rsidR="001F2C65" w:rsidRPr="001F2C65" w:rsidRDefault="001F2C65" w:rsidP="001F2C65">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127" w:type="dxa"/>
          </w:tcPr>
          <w:p w:rsidR="001F2C65" w:rsidRPr="001F2C65" w:rsidRDefault="003C0494" w:rsidP="001F2C65">
            <w:pPr>
              <w:pStyle w:val="Source"/>
              <w:cnfStyle w:val="000000010000" w:firstRow="0" w:lastRow="0" w:firstColumn="0" w:lastColumn="0" w:oddVBand="0" w:evenVBand="0" w:oddHBand="0" w:evenHBand="1" w:firstRowFirstColumn="0" w:firstRowLastColumn="0" w:lastRowFirstColumn="0" w:lastRowLastColumn="0"/>
            </w:pPr>
            <w:r>
              <w:t>2.972</w:t>
            </w:r>
          </w:p>
        </w:tc>
        <w:tc>
          <w:tcPr>
            <w:tcW w:w="2127" w:type="dxa"/>
          </w:tcPr>
          <w:p w:rsidR="001F2C65" w:rsidRPr="001F2C65" w:rsidRDefault="003C0494" w:rsidP="001F2C65">
            <w:pPr>
              <w:pStyle w:val="Source"/>
              <w:cnfStyle w:val="000000010000" w:firstRow="0" w:lastRow="0" w:firstColumn="0" w:lastColumn="0" w:oddVBand="0" w:evenVBand="0" w:oddHBand="0" w:evenHBand="1" w:firstRowFirstColumn="0" w:firstRowLastColumn="0" w:lastRowFirstColumn="0" w:lastRowLastColumn="0"/>
            </w:pPr>
            <w:r>
              <w:t>3.045</w:t>
            </w:r>
          </w:p>
        </w:tc>
      </w:tr>
      <w:tr w:rsidR="001F2C65" w:rsidRPr="009B3860" w:rsidTr="00295F96">
        <w:tc>
          <w:tcPr>
            <w:cnfStyle w:val="001000000000" w:firstRow="0" w:lastRow="0" w:firstColumn="1" w:lastColumn="0" w:oddVBand="0" w:evenVBand="0" w:oddHBand="0" w:evenHBand="0" w:firstRowFirstColumn="0" w:firstRowLastColumn="0" w:lastRowFirstColumn="0" w:lastRowLastColumn="0"/>
            <w:tcW w:w="2312" w:type="dxa"/>
            <w:vMerge w:val="restart"/>
          </w:tcPr>
          <w:p w:rsidR="001F2C65" w:rsidRPr="001F2C65" w:rsidRDefault="001F2C65" w:rsidP="001F2C65">
            <w:pPr>
              <w:pStyle w:val="Source"/>
            </w:pPr>
            <w:r>
              <w:t>Business LV – Multi phase</w:t>
            </w:r>
          </w:p>
        </w:tc>
        <w:tc>
          <w:tcPr>
            <w:tcW w:w="2127" w:type="dxa"/>
          </w:tcPr>
          <w:p w:rsidR="001F2C65" w:rsidRPr="001F2C65" w:rsidRDefault="001F2C65" w:rsidP="001F2C65">
            <w:pPr>
              <w:pStyle w:val="Source"/>
              <w:cnfStyle w:val="000000000000" w:firstRow="0" w:lastRow="0" w:firstColumn="0" w:lastColumn="0" w:oddVBand="0" w:evenVBand="0" w:oddHBand="0" w:evenHBand="0" w:firstRowFirstColumn="0" w:firstRowLastColumn="0" w:lastRowFirstColumn="0" w:lastRowLastColumn="0"/>
            </w:pPr>
            <w:r>
              <w:t>Capital</w:t>
            </w:r>
          </w:p>
        </w:tc>
        <w:tc>
          <w:tcPr>
            <w:tcW w:w="2127" w:type="dxa"/>
          </w:tcPr>
          <w:p w:rsidR="001F2C65" w:rsidRPr="001F2C65" w:rsidRDefault="003C0494" w:rsidP="001F2C65">
            <w:pPr>
              <w:pStyle w:val="Source"/>
              <w:cnfStyle w:val="000000000000" w:firstRow="0" w:lastRow="0" w:firstColumn="0" w:lastColumn="0" w:oddVBand="0" w:evenVBand="0" w:oddHBand="0" w:evenHBand="0" w:firstRowFirstColumn="0" w:firstRowLastColumn="0" w:lastRowFirstColumn="0" w:lastRowLastColumn="0"/>
            </w:pPr>
            <w:r>
              <w:t>6.025</w:t>
            </w:r>
          </w:p>
        </w:tc>
        <w:tc>
          <w:tcPr>
            <w:tcW w:w="2127" w:type="dxa"/>
          </w:tcPr>
          <w:p w:rsidR="001F2C65" w:rsidRPr="001F2C65" w:rsidRDefault="003C0494" w:rsidP="001F2C65">
            <w:pPr>
              <w:pStyle w:val="Source"/>
              <w:cnfStyle w:val="000000000000" w:firstRow="0" w:lastRow="0" w:firstColumn="0" w:lastColumn="0" w:oddVBand="0" w:evenVBand="0" w:oddHBand="0" w:evenHBand="0" w:firstRowFirstColumn="0" w:firstRowLastColumn="0" w:lastRowFirstColumn="0" w:lastRowLastColumn="0"/>
            </w:pPr>
            <w:r>
              <w:t>6.172</w:t>
            </w:r>
          </w:p>
        </w:tc>
      </w:tr>
      <w:tr w:rsidR="001F2C65" w:rsidRPr="009B3860" w:rsidTr="00295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vMerge/>
          </w:tcPr>
          <w:p w:rsidR="001F2C65" w:rsidRDefault="001F2C65" w:rsidP="001F2C65">
            <w:pPr>
              <w:pStyle w:val="Source"/>
            </w:pPr>
          </w:p>
        </w:tc>
        <w:tc>
          <w:tcPr>
            <w:tcW w:w="2127" w:type="dxa"/>
          </w:tcPr>
          <w:p w:rsidR="001F2C65" w:rsidRPr="001F2C65" w:rsidRDefault="001F2C65" w:rsidP="001F2C65">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127" w:type="dxa"/>
          </w:tcPr>
          <w:p w:rsidR="001F2C65" w:rsidRPr="001F2C65" w:rsidRDefault="003C0494" w:rsidP="001F2C65">
            <w:pPr>
              <w:pStyle w:val="Source"/>
              <w:cnfStyle w:val="000000010000" w:firstRow="0" w:lastRow="0" w:firstColumn="0" w:lastColumn="0" w:oddVBand="0" w:evenVBand="0" w:oddHBand="0" w:evenHBand="1" w:firstRowFirstColumn="0" w:firstRowLastColumn="0" w:lastRowFirstColumn="0" w:lastRowLastColumn="0"/>
            </w:pPr>
            <w:r>
              <w:t>5.947</w:t>
            </w:r>
          </w:p>
        </w:tc>
        <w:tc>
          <w:tcPr>
            <w:tcW w:w="2127" w:type="dxa"/>
          </w:tcPr>
          <w:p w:rsidR="001F2C65" w:rsidRPr="001F2C65" w:rsidRDefault="003C0494" w:rsidP="001F2C65">
            <w:pPr>
              <w:pStyle w:val="Source"/>
              <w:cnfStyle w:val="000000010000" w:firstRow="0" w:lastRow="0" w:firstColumn="0" w:lastColumn="0" w:oddVBand="0" w:evenVBand="0" w:oddHBand="0" w:evenHBand="1" w:firstRowFirstColumn="0" w:firstRowLastColumn="0" w:lastRowFirstColumn="0" w:lastRowLastColumn="0"/>
            </w:pPr>
            <w:r>
              <w:t>6.092</w:t>
            </w:r>
          </w:p>
        </w:tc>
      </w:tr>
      <w:tr w:rsidR="001F2C65" w:rsidRPr="009B3860" w:rsidTr="00295F96">
        <w:tc>
          <w:tcPr>
            <w:cnfStyle w:val="001000000000" w:firstRow="0" w:lastRow="0" w:firstColumn="1" w:lastColumn="0" w:oddVBand="0" w:evenVBand="0" w:oddHBand="0" w:evenHBand="0" w:firstRowFirstColumn="0" w:firstRowLastColumn="0" w:lastRowFirstColumn="0" w:lastRowLastColumn="0"/>
            <w:tcW w:w="2312" w:type="dxa"/>
            <w:vMerge w:val="restart"/>
          </w:tcPr>
          <w:p w:rsidR="001F2C65" w:rsidRPr="001F2C65" w:rsidRDefault="001F2C65" w:rsidP="001F2C65">
            <w:pPr>
              <w:pStyle w:val="Source"/>
            </w:pPr>
            <w:r>
              <w:t>Business LV – CT meters</w:t>
            </w:r>
          </w:p>
        </w:tc>
        <w:tc>
          <w:tcPr>
            <w:tcW w:w="2127" w:type="dxa"/>
          </w:tcPr>
          <w:p w:rsidR="001F2C65" w:rsidRPr="001F2C65" w:rsidRDefault="001F2C65" w:rsidP="001F2C65">
            <w:pPr>
              <w:pStyle w:val="Source"/>
              <w:cnfStyle w:val="000000000000" w:firstRow="0" w:lastRow="0" w:firstColumn="0" w:lastColumn="0" w:oddVBand="0" w:evenVBand="0" w:oddHBand="0" w:evenHBand="0" w:firstRowFirstColumn="0" w:firstRowLastColumn="0" w:lastRowFirstColumn="0" w:lastRowLastColumn="0"/>
            </w:pPr>
            <w:r>
              <w:t>Capital</w:t>
            </w:r>
          </w:p>
        </w:tc>
        <w:tc>
          <w:tcPr>
            <w:tcW w:w="2127" w:type="dxa"/>
          </w:tcPr>
          <w:p w:rsidR="001F2C65" w:rsidRPr="001F2C65" w:rsidRDefault="003C0494" w:rsidP="001F2C65">
            <w:pPr>
              <w:pStyle w:val="Source"/>
              <w:cnfStyle w:val="000000000000" w:firstRow="0" w:lastRow="0" w:firstColumn="0" w:lastColumn="0" w:oddVBand="0" w:evenVBand="0" w:oddHBand="0" w:evenHBand="0" w:firstRowFirstColumn="0" w:firstRowLastColumn="0" w:lastRowFirstColumn="0" w:lastRowLastColumn="0"/>
            </w:pPr>
            <w:r>
              <w:t>7.790</w:t>
            </w:r>
          </w:p>
        </w:tc>
        <w:tc>
          <w:tcPr>
            <w:tcW w:w="2127" w:type="dxa"/>
          </w:tcPr>
          <w:p w:rsidR="001F2C65" w:rsidRPr="001F2C65" w:rsidRDefault="003C0494" w:rsidP="001F2C65">
            <w:pPr>
              <w:pStyle w:val="Source"/>
              <w:cnfStyle w:val="000000000000" w:firstRow="0" w:lastRow="0" w:firstColumn="0" w:lastColumn="0" w:oddVBand="0" w:evenVBand="0" w:oddHBand="0" w:evenHBand="0" w:firstRowFirstColumn="0" w:firstRowLastColumn="0" w:lastRowFirstColumn="0" w:lastRowLastColumn="0"/>
            </w:pPr>
            <w:r>
              <w:t>7.981</w:t>
            </w:r>
          </w:p>
        </w:tc>
      </w:tr>
      <w:tr w:rsidR="001F2C65" w:rsidRPr="009B3860" w:rsidTr="00295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vMerge/>
          </w:tcPr>
          <w:p w:rsidR="001F2C65" w:rsidRDefault="001F2C65" w:rsidP="001F2C65">
            <w:pPr>
              <w:pStyle w:val="Source"/>
            </w:pPr>
          </w:p>
        </w:tc>
        <w:tc>
          <w:tcPr>
            <w:tcW w:w="2127" w:type="dxa"/>
          </w:tcPr>
          <w:p w:rsidR="001F2C65" w:rsidRPr="001F2C65" w:rsidRDefault="001F2C65" w:rsidP="001F2C65">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127" w:type="dxa"/>
          </w:tcPr>
          <w:p w:rsidR="001F2C65" w:rsidRPr="001F2C65" w:rsidRDefault="003C0494" w:rsidP="001F2C65">
            <w:pPr>
              <w:pStyle w:val="Source"/>
              <w:cnfStyle w:val="000000010000" w:firstRow="0" w:lastRow="0" w:firstColumn="0" w:lastColumn="0" w:oddVBand="0" w:evenVBand="0" w:oddHBand="0" w:evenHBand="1" w:firstRowFirstColumn="0" w:firstRowLastColumn="0" w:lastRowFirstColumn="0" w:lastRowLastColumn="0"/>
            </w:pPr>
            <w:r>
              <w:t>7.689</w:t>
            </w:r>
          </w:p>
        </w:tc>
        <w:tc>
          <w:tcPr>
            <w:tcW w:w="2127" w:type="dxa"/>
          </w:tcPr>
          <w:p w:rsidR="001F2C65" w:rsidRPr="001F2C65" w:rsidRDefault="003C0494" w:rsidP="001F2C65">
            <w:pPr>
              <w:pStyle w:val="Source"/>
              <w:cnfStyle w:val="000000010000" w:firstRow="0" w:lastRow="0" w:firstColumn="0" w:lastColumn="0" w:oddVBand="0" w:evenVBand="0" w:oddHBand="0" w:evenHBand="1" w:firstRowFirstColumn="0" w:firstRowLastColumn="0" w:lastRowFirstColumn="0" w:lastRowLastColumn="0"/>
            </w:pPr>
            <w:r>
              <w:t>7.878</w:t>
            </w:r>
          </w:p>
        </w:tc>
      </w:tr>
      <w:tr w:rsidR="001F2C65" w:rsidRPr="009B3860" w:rsidTr="00295F96">
        <w:tc>
          <w:tcPr>
            <w:cnfStyle w:val="001000000000" w:firstRow="0" w:lastRow="0" w:firstColumn="1" w:lastColumn="0" w:oddVBand="0" w:evenVBand="0" w:oddHBand="0" w:evenHBand="0" w:firstRowFirstColumn="0" w:firstRowLastColumn="0" w:lastRowFirstColumn="0" w:lastRowLastColumn="0"/>
            <w:tcW w:w="2312" w:type="dxa"/>
            <w:vMerge w:val="restart"/>
          </w:tcPr>
          <w:p w:rsidR="001F2C65" w:rsidRPr="001F2C65" w:rsidRDefault="001F2C65" w:rsidP="001F2C65">
            <w:pPr>
              <w:pStyle w:val="Source"/>
            </w:pPr>
            <w:r>
              <w:t>Domestic LV – Single phase</w:t>
            </w:r>
          </w:p>
        </w:tc>
        <w:tc>
          <w:tcPr>
            <w:tcW w:w="2127" w:type="dxa"/>
          </w:tcPr>
          <w:p w:rsidR="001F2C65" w:rsidRPr="001F2C65" w:rsidRDefault="001F2C65" w:rsidP="001F2C65">
            <w:pPr>
              <w:pStyle w:val="Source"/>
              <w:cnfStyle w:val="000000000000" w:firstRow="0" w:lastRow="0" w:firstColumn="0" w:lastColumn="0" w:oddVBand="0" w:evenVBand="0" w:oddHBand="0" w:evenHBand="0" w:firstRowFirstColumn="0" w:firstRowLastColumn="0" w:lastRowFirstColumn="0" w:lastRowLastColumn="0"/>
            </w:pPr>
            <w:r>
              <w:t>Capital</w:t>
            </w:r>
          </w:p>
        </w:tc>
        <w:tc>
          <w:tcPr>
            <w:tcW w:w="2127" w:type="dxa"/>
          </w:tcPr>
          <w:p w:rsidR="001F2C65" w:rsidRPr="001F2C65" w:rsidRDefault="003C0494" w:rsidP="001F2C65">
            <w:pPr>
              <w:pStyle w:val="Source"/>
              <w:cnfStyle w:val="000000000000" w:firstRow="0" w:lastRow="0" w:firstColumn="0" w:lastColumn="0" w:oddVBand="0" w:evenVBand="0" w:oddHBand="0" w:evenHBand="0" w:firstRowFirstColumn="0" w:firstRowLastColumn="0" w:lastRowFirstColumn="0" w:lastRowLastColumn="0"/>
            </w:pPr>
            <w:r>
              <w:t>2.912</w:t>
            </w:r>
          </w:p>
        </w:tc>
        <w:tc>
          <w:tcPr>
            <w:tcW w:w="2127" w:type="dxa"/>
          </w:tcPr>
          <w:p w:rsidR="001F2C65" w:rsidRPr="001F2C65" w:rsidRDefault="003C0494" w:rsidP="001F2C65">
            <w:pPr>
              <w:pStyle w:val="Source"/>
              <w:cnfStyle w:val="000000000000" w:firstRow="0" w:lastRow="0" w:firstColumn="0" w:lastColumn="0" w:oddVBand="0" w:evenVBand="0" w:oddHBand="0" w:evenHBand="0" w:firstRowFirstColumn="0" w:firstRowLastColumn="0" w:lastRowFirstColumn="0" w:lastRowLastColumn="0"/>
            </w:pPr>
            <w:r>
              <w:t>2.983</w:t>
            </w:r>
          </w:p>
        </w:tc>
      </w:tr>
      <w:tr w:rsidR="001F2C65" w:rsidRPr="009B3860" w:rsidTr="00295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vMerge/>
          </w:tcPr>
          <w:p w:rsidR="001F2C65" w:rsidRDefault="001F2C65" w:rsidP="001F2C65">
            <w:pPr>
              <w:pStyle w:val="Source"/>
            </w:pPr>
          </w:p>
        </w:tc>
        <w:tc>
          <w:tcPr>
            <w:tcW w:w="2127" w:type="dxa"/>
          </w:tcPr>
          <w:p w:rsidR="001F2C65" w:rsidRPr="001F2C65" w:rsidRDefault="001F2C65" w:rsidP="001F2C65">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127" w:type="dxa"/>
          </w:tcPr>
          <w:p w:rsidR="001F2C65" w:rsidRPr="001F2C65" w:rsidRDefault="003C0494" w:rsidP="001F2C65">
            <w:pPr>
              <w:pStyle w:val="Source"/>
              <w:cnfStyle w:val="000000010000" w:firstRow="0" w:lastRow="0" w:firstColumn="0" w:lastColumn="0" w:oddVBand="0" w:evenVBand="0" w:oddHBand="0" w:evenHBand="1" w:firstRowFirstColumn="0" w:firstRowLastColumn="0" w:lastRowFirstColumn="0" w:lastRowLastColumn="0"/>
            </w:pPr>
            <w:r>
              <w:t>2.874</w:t>
            </w:r>
          </w:p>
        </w:tc>
        <w:tc>
          <w:tcPr>
            <w:tcW w:w="2127" w:type="dxa"/>
          </w:tcPr>
          <w:p w:rsidR="001F2C65" w:rsidRPr="001F2C65" w:rsidRDefault="003C0494" w:rsidP="001F2C65">
            <w:pPr>
              <w:pStyle w:val="Source"/>
              <w:cnfStyle w:val="000000010000" w:firstRow="0" w:lastRow="0" w:firstColumn="0" w:lastColumn="0" w:oddVBand="0" w:evenVBand="0" w:oddHBand="0" w:evenHBand="1" w:firstRowFirstColumn="0" w:firstRowLastColumn="0" w:lastRowFirstColumn="0" w:lastRowLastColumn="0"/>
            </w:pPr>
            <w:r>
              <w:t>2.944</w:t>
            </w:r>
          </w:p>
        </w:tc>
      </w:tr>
      <w:tr w:rsidR="001F2C65" w:rsidRPr="009B3860" w:rsidTr="00295F96">
        <w:tc>
          <w:tcPr>
            <w:cnfStyle w:val="001000000000" w:firstRow="0" w:lastRow="0" w:firstColumn="1" w:lastColumn="0" w:oddVBand="0" w:evenVBand="0" w:oddHBand="0" w:evenHBand="0" w:firstRowFirstColumn="0" w:firstRowLastColumn="0" w:lastRowFirstColumn="0" w:lastRowLastColumn="0"/>
            <w:tcW w:w="2312" w:type="dxa"/>
            <w:vMerge w:val="restart"/>
          </w:tcPr>
          <w:p w:rsidR="001F2C65" w:rsidRPr="001F2C65" w:rsidRDefault="001F2C65" w:rsidP="001F2C65">
            <w:pPr>
              <w:pStyle w:val="Source"/>
            </w:pPr>
            <w:r>
              <w:t>Domestic LV –Multi phase</w:t>
            </w:r>
          </w:p>
        </w:tc>
        <w:tc>
          <w:tcPr>
            <w:tcW w:w="2127" w:type="dxa"/>
          </w:tcPr>
          <w:p w:rsidR="001F2C65" w:rsidRPr="001F2C65" w:rsidRDefault="001F2C65" w:rsidP="001F2C65">
            <w:pPr>
              <w:pStyle w:val="Source"/>
              <w:cnfStyle w:val="000000000000" w:firstRow="0" w:lastRow="0" w:firstColumn="0" w:lastColumn="0" w:oddVBand="0" w:evenVBand="0" w:oddHBand="0" w:evenHBand="0" w:firstRowFirstColumn="0" w:firstRowLastColumn="0" w:lastRowFirstColumn="0" w:lastRowLastColumn="0"/>
            </w:pPr>
            <w:r>
              <w:t>Capital</w:t>
            </w:r>
          </w:p>
        </w:tc>
        <w:tc>
          <w:tcPr>
            <w:tcW w:w="2127" w:type="dxa"/>
          </w:tcPr>
          <w:p w:rsidR="001F2C65" w:rsidRPr="001F2C65" w:rsidRDefault="003C0494" w:rsidP="001F2C65">
            <w:pPr>
              <w:pStyle w:val="Source"/>
              <w:cnfStyle w:val="000000000000" w:firstRow="0" w:lastRow="0" w:firstColumn="0" w:lastColumn="0" w:oddVBand="0" w:evenVBand="0" w:oddHBand="0" w:evenHBand="0" w:firstRowFirstColumn="0" w:firstRowLastColumn="0" w:lastRowFirstColumn="0" w:lastRowLastColumn="0"/>
            </w:pPr>
            <w:r>
              <w:t>6.042</w:t>
            </w:r>
          </w:p>
        </w:tc>
        <w:tc>
          <w:tcPr>
            <w:tcW w:w="2127" w:type="dxa"/>
          </w:tcPr>
          <w:p w:rsidR="001F2C65" w:rsidRPr="001F2C65" w:rsidRDefault="003C0494" w:rsidP="001F2C65">
            <w:pPr>
              <w:pStyle w:val="Source"/>
              <w:cnfStyle w:val="000000000000" w:firstRow="0" w:lastRow="0" w:firstColumn="0" w:lastColumn="0" w:oddVBand="0" w:evenVBand="0" w:oddHBand="0" w:evenHBand="0" w:firstRowFirstColumn="0" w:firstRowLastColumn="0" w:lastRowFirstColumn="0" w:lastRowLastColumn="0"/>
            </w:pPr>
            <w:r>
              <w:t>6.190</w:t>
            </w:r>
          </w:p>
        </w:tc>
      </w:tr>
      <w:tr w:rsidR="001F2C65" w:rsidRPr="009B3860" w:rsidTr="00295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vMerge/>
          </w:tcPr>
          <w:p w:rsidR="001F2C65" w:rsidRDefault="001F2C65" w:rsidP="001F2C65">
            <w:pPr>
              <w:pStyle w:val="Source"/>
            </w:pPr>
          </w:p>
        </w:tc>
        <w:tc>
          <w:tcPr>
            <w:tcW w:w="2127" w:type="dxa"/>
          </w:tcPr>
          <w:p w:rsidR="001F2C65" w:rsidRPr="001F2C65" w:rsidRDefault="001F2C65" w:rsidP="001F2C65">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127" w:type="dxa"/>
          </w:tcPr>
          <w:p w:rsidR="001F2C65" w:rsidRPr="001F2C65" w:rsidRDefault="003C0494" w:rsidP="001F2C65">
            <w:pPr>
              <w:pStyle w:val="Source"/>
              <w:cnfStyle w:val="000000010000" w:firstRow="0" w:lastRow="0" w:firstColumn="0" w:lastColumn="0" w:oddVBand="0" w:evenVBand="0" w:oddHBand="0" w:evenHBand="1" w:firstRowFirstColumn="0" w:firstRowLastColumn="0" w:lastRowFirstColumn="0" w:lastRowLastColumn="0"/>
            </w:pPr>
            <w:r>
              <w:t>5.964</w:t>
            </w:r>
          </w:p>
        </w:tc>
        <w:tc>
          <w:tcPr>
            <w:tcW w:w="2127" w:type="dxa"/>
          </w:tcPr>
          <w:p w:rsidR="001F2C65" w:rsidRPr="001F2C65" w:rsidRDefault="003C0494" w:rsidP="001F2C65">
            <w:pPr>
              <w:pStyle w:val="Source"/>
              <w:cnfStyle w:val="000000010000" w:firstRow="0" w:lastRow="0" w:firstColumn="0" w:lastColumn="0" w:oddVBand="0" w:evenVBand="0" w:oddHBand="0" w:evenHBand="1" w:firstRowFirstColumn="0" w:firstRowLastColumn="0" w:lastRowFirstColumn="0" w:lastRowLastColumn="0"/>
            </w:pPr>
            <w:r>
              <w:t>6.110</w:t>
            </w:r>
          </w:p>
        </w:tc>
      </w:tr>
      <w:tr w:rsidR="001F2C65" w:rsidRPr="009B3860" w:rsidTr="00295F96">
        <w:tc>
          <w:tcPr>
            <w:cnfStyle w:val="001000000000" w:firstRow="0" w:lastRow="0" w:firstColumn="1" w:lastColumn="0" w:oddVBand="0" w:evenVBand="0" w:oddHBand="0" w:evenHBand="0" w:firstRowFirstColumn="0" w:firstRowLastColumn="0" w:lastRowFirstColumn="0" w:lastRowLastColumn="0"/>
            <w:tcW w:w="2312" w:type="dxa"/>
            <w:vMerge w:val="restart"/>
          </w:tcPr>
          <w:p w:rsidR="001F2C65" w:rsidRPr="001F2C65" w:rsidRDefault="001F2C65" w:rsidP="001F2C65">
            <w:pPr>
              <w:pStyle w:val="Source"/>
            </w:pPr>
            <w:r>
              <w:t>Domestic LV - CT meters</w:t>
            </w:r>
          </w:p>
        </w:tc>
        <w:tc>
          <w:tcPr>
            <w:tcW w:w="2127" w:type="dxa"/>
          </w:tcPr>
          <w:p w:rsidR="001F2C65" w:rsidRPr="001F2C65" w:rsidRDefault="001F2C65" w:rsidP="001F2C65">
            <w:pPr>
              <w:pStyle w:val="Source"/>
              <w:cnfStyle w:val="000000000000" w:firstRow="0" w:lastRow="0" w:firstColumn="0" w:lastColumn="0" w:oddVBand="0" w:evenVBand="0" w:oddHBand="0" w:evenHBand="0" w:firstRowFirstColumn="0" w:firstRowLastColumn="0" w:lastRowFirstColumn="0" w:lastRowLastColumn="0"/>
            </w:pPr>
            <w:r>
              <w:t>Capital</w:t>
            </w:r>
          </w:p>
        </w:tc>
        <w:tc>
          <w:tcPr>
            <w:tcW w:w="2127" w:type="dxa"/>
          </w:tcPr>
          <w:p w:rsidR="001F2C65" w:rsidRPr="001F2C65" w:rsidRDefault="003C0494" w:rsidP="001F2C65">
            <w:pPr>
              <w:pStyle w:val="Source"/>
              <w:cnfStyle w:val="000000000000" w:firstRow="0" w:lastRow="0" w:firstColumn="0" w:lastColumn="0" w:oddVBand="0" w:evenVBand="0" w:oddHBand="0" w:evenHBand="0" w:firstRowFirstColumn="0" w:firstRowLastColumn="0" w:lastRowFirstColumn="0" w:lastRowLastColumn="0"/>
            </w:pPr>
            <w:r>
              <w:t>7.477</w:t>
            </w:r>
          </w:p>
        </w:tc>
        <w:tc>
          <w:tcPr>
            <w:tcW w:w="2127" w:type="dxa"/>
          </w:tcPr>
          <w:p w:rsidR="001F2C65" w:rsidRPr="001F2C65" w:rsidRDefault="003C0494" w:rsidP="001F2C65">
            <w:pPr>
              <w:pStyle w:val="Source"/>
              <w:cnfStyle w:val="000000000000" w:firstRow="0" w:lastRow="0" w:firstColumn="0" w:lastColumn="0" w:oddVBand="0" w:evenVBand="0" w:oddHBand="0" w:evenHBand="0" w:firstRowFirstColumn="0" w:firstRowLastColumn="0" w:lastRowFirstColumn="0" w:lastRowLastColumn="0"/>
            </w:pPr>
            <w:r>
              <w:t>7.660</w:t>
            </w:r>
          </w:p>
        </w:tc>
      </w:tr>
      <w:tr w:rsidR="001F2C65" w:rsidRPr="009B3860" w:rsidTr="00295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vMerge/>
          </w:tcPr>
          <w:p w:rsidR="001F2C65" w:rsidRDefault="001F2C65" w:rsidP="001F2C65">
            <w:pPr>
              <w:pStyle w:val="Source"/>
            </w:pPr>
          </w:p>
        </w:tc>
        <w:tc>
          <w:tcPr>
            <w:tcW w:w="2127" w:type="dxa"/>
          </w:tcPr>
          <w:p w:rsidR="001F2C65" w:rsidRPr="001F2C65" w:rsidRDefault="001F2C65" w:rsidP="001F2C65">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127" w:type="dxa"/>
          </w:tcPr>
          <w:p w:rsidR="001F2C65" w:rsidRPr="001F2C65" w:rsidRDefault="003C0494" w:rsidP="001F2C65">
            <w:pPr>
              <w:pStyle w:val="Source"/>
              <w:cnfStyle w:val="000000010000" w:firstRow="0" w:lastRow="0" w:firstColumn="0" w:lastColumn="0" w:oddVBand="0" w:evenVBand="0" w:oddHBand="0" w:evenHBand="1" w:firstRowFirstColumn="0" w:firstRowLastColumn="0" w:lastRowFirstColumn="0" w:lastRowLastColumn="0"/>
            </w:pPr>
            <w:r>
              <w:t>7.380</w:t>
            </w:r>
          </w:p>
        </w:tc>
        <w:tc>
          <w:tcPr>
            <w:tcW w:w="2127" w:type="dxa"/>
          </w:tcPr>
          <w:p w:rsidR="001F2C65" w:rsidRPr="001F2C65" w:rsidRDefault="003C0494" w:rsidP="001F2C65">
            <w:pPr>
              <w:pStyle w:val="Source"/>
              <w:cnfStyle w:val="000000010000" w:firstRow="0" w:lastRow="0" w:firstColumn="0" w:lastColumn="0" w:oddVBand="0" w:evenVBand="0" w:oddHBand="0" w:evenHBand="1" w:firstRowFirstColumn="0" w:firstRowLastColumn="0" w:lastRowFirstColumn="0" w:lastRowLastColumn="0"/>
            </w:pPr>
            <w:r>
              <w:t>7.561</w:t>
            </w:r>
          </w:p>
        </w:tc>
      </w:tr>
      <w:tr w:rsidR="001F2C65" w:rsidRPr="009B3860" w:rsidTr="00295F96">
        <w:tc>
          <w:tcPr>
            <w:cnfStyle w:val="001000000000" w:firstRow="0" w:lastRow="0" w:firstColumn="1" w:lastColumn="0" w:oddVBand="0" w:evenVBand="0" w:oddHBand="0" w:evenHBand="0" w:firstRowFirstColumn="0" w:firstRowLastColumn="0" w:lastRowFirstColumn="0" w:lastRowLastColumn="0"/>
            <w:tcW w:w="2312" w:type="dxa"/>
            <w:vMerge w:val="restart"/>
          </w:tcPr>
          <w:p w:rsidR="001F2C65" w:rsidRPr="001F2C65" w:rsidRDefault="001F2C65" w:rsidP="001F2C65">
            <w:pPr>
              <w:pStyle w:val="Source"/>
            </w:pPr>
            <w:r>
              <w:t>O</w:t>
            </w:r>
            <w:r w:rsidRPr="001F2C65">
              <w:t>ther meters</w:t>
            </w:r>
          </w:p>
        </w:tc>
        <w:tc>
          <w:tcPr>
            <w:tcW w:w="2127" w:type="dxa"/>
          </w:tcPr>
          <w:p w:rsidR="001F2C65" w:rsidRPr="001F2C65" w:rsidRDefault="001F2C65" w:rsidP="001F2C65">
            <w:pPr>
              <w:pStyle w:val="Source"/>
              <w:cnfStyle w:val="000000000000" w:firstRow="0" w:lastRow="0" w:firstColumn="0" w:lastColumn="0" w:oddVBand="0" w:evenVBand="0" w:oddHBand="0" w:evenHBand="0" w:firstRowFirstColumn="0" w:firstRowLastColumn="0" w:lastRowFirstColumn="0" w:lastRowLastColumn="0"/>
            </w:pPr>
            <w:r w:rsidRPr="00F22139">
              <w:t>Capital</w:t>
            </w:r>
          </w:p>
        </w:tc>
        <w:tc>
          <w:tcPr>
            <w:tcW w:w="2127" w:type="dxa"/>
          </w:tcPr>
          <w:p w:rsidR="001F2C65" w:rsidRPr="001F2C65" w:rsidRDefault="003C0494" w:rsidP="001F2C65">
            <w:pPr>
              <w:pStyle w:val="Source"/>
              <w:cnfStyle w:val="000000000000" w:firstRow="0" w:lastRow="0" w:firstColumn="0" w:lastColumn="0" w:oddVBand="0" w:evenVBand="0" w:oddHBand="0" w:evenHBand="0" w:firstRowFirstColumn="0" w:firstRowLastColumn="0" w:lastRowFirstColumn="0" w:lastRowLastColumn="0"/>
            </w:pPr>
            <w:r>
              <w:t>5.317</w:t>
            </w:r>
          </w:p>
        </w:tc>
        <w:tc>
          <w:tcPr>
            <w:tcW w:w="2127" w:type="dxa"/>
          </w:tcPr>
          <w:p w:rsidR="001F2C65" w:rsidRPr="001F2C65" w:rsidRDefault="003C0494" w:rsidP="001F2C65">
            <w:pPr>
              <w:pStyle w:val="Source"/>
              <w:cnfStyle w:val="000000000000" w:firstRow="0" w:lastRow="0" w:firstColumn="0" w:lastColumn="0" w:oddVBand="0" w:evenVBand="0" w:oddHBand="0" w:evenHBand="0" w:firstRowFirstColumn="0" w:firstRowLastColumn="0" w:lastRowFirstColumn="0" w:lastRowLastColumn="0"/>
            </w:pPr>
            <w:r>
              <w:t>5.447</w:t>
            </w:r>
          </w:p>
        </w:tc>
      </w:tr>
      <w:tr w:rsidR="001F2C65" w:rsidRPr="009B3860" w:rsidTr="00295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2" w:type="dxa"/>
            <w:vMerge/>
          </w:tcPr>
          <w:p w:rsidR="001F2C65" w:rsidRDefault="001F2C65" w:rsidP="001F2C65">
            <w:pPr>
              <w:pStyle w:val="Source"/>
            </w:pPr>
          </w:p>
        </w:tc>
        <w:tc>
          <w:tcPr>
            <w:tcW w:w="2127" w:type="dxa"/>
          </w:tcPr>
          <w:p w:rsidR="001F2C65" w:rsidRPr="001F2C65" w:rsidRDefault="001F2C65" w:rsidP="001F2C65">
            <w:pPr>
              <w:pStyle w:val="Source"/>
              <w:cnfStyle w:val="000000010000" w:firstRow="0" w:lastRow="0" w:firstColumn="0" w:lastColumn="0" w:oddVBand="0" w:evenVBand="0" w:oddHBand="0" w:evenHBand="1" w:firstRowFirstColumn="0" w:firstRowLastColumn="0" w:lastRowFirstColumn="0" w:lastRowLastColumn="0"/>
            </w:pPr>
            <w:r>
              <w:t>Non–capital</w:t>
            </w:r>
          </w:p>
        </w:tc>
        <w:tc>
          <w:tcPr>
            <w:tcW w:w="2127" w:type="dxa"/>
          </w:tcPr>
          <w:p w:rsidR="001F2C65" w:rsidRPr="001F2C65" w:rsidRDefault="003C0494" w:rsidP="001F2C65">
            <w:pPr>
              <w:pStyle w:val="Source"/>
              <w:cnfStyle w:val="000000010000" w:firstRow="0" w:lastRow="0" w:firstColumn="0" w:lastColumn="0" w:oddVBand="0" w:evenVBand="0" w:oddHBand="0" w:evenHBand="1" w:firstRowFirstColumn="0" w:firstRowLastColumn="0" w:lastRowFirstColumn="0" w:lastRowLastColumn="0"/>
            </w:pPr>
            <w:r>
              <w:t>5.248</w:t>
            </w:r>
          </w:p>
        </w:tc>
        <w:tc>
          <w:tcPr>
            <w:tcW w:w="2127" w:type="dxa"/>
          </w:tcPr>
          <w:p w:rsidR="001F2C65" w:rsidRPr="001F2C65" w:rsidRDefault="003C0494" w:rsidP="001F2C65">
            <w:pPr>
              <w:pStyle w:val="Source"/>
              <w:cnfStyle w:val="000000010000" w:firstRow="0" w:lastRow="0" w:firstColumn="0" w:lastColumn="0" w:oddVBand="0" w:evenVBand="0" w:oddHBand="0" w:evenHBand="1" w:firstRowFirstColumn="0" w:firstRowLastColumn="0" w:lastRowFirstColumn="0" w:lastRowLastColumn="0"/>
            </w:pPr>
            <w:r>
              <w:t>5.376</w:t>
            </w:r>
          </w:p>
        </w:tc>
      </w:tr>
    </w:tbl>
    <w:p w:rsidR="0031261B" w:rsidRDefault="0031261B" w:rsidP="003C0494">
      <w:pPr>
        <w:pStyle w:val="AERtablesource"/>
      </w:pPr>
      <w:r>
        <w:t>Source:</w:t>
      </w:r>
      <w:r>
        <w:tab/>
        <w:t>AER analysis.</w:t>
      </w:r>
    </w:p>
    <w:p w:rsidR="001F2C65" w:rsidRDefault="003C0494" w:rsidP="003C0494">
      <w:pPr>
        <w:pStyle w:val="AERtablesource"/>
      </w:pPr>
      <w:r>
        <w:t>Note:</w:t>
      </w:r>
      <w:r>
        <w:tab/>
        <w:t>Prices for 2018–19 are indicative only and will be adjusted for actual CPI during the AER's annual pricing approval processes.</w:t>
      </w:r>
    </w:p>
    <w:p w:rsidR="0031261B" w:rsidRDefault="0031261B" w:rsidP="0031261B">
      <w:pPr>
        <w:pStyle w:val="Caption"/>
      </w:pPr>
      <w:bookmarkStart w:id="137" w:name="_Ref460578369"/>
      <w:r>
        <w:t xml:space="preserve">Table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t>.</w:t>
      </w:r>
      <w:r w:rsidR="00E639DB">
        <w:fldChar w:fldCharType="begin"/>
      </w:r>
      <w:r w:rsidR="00E639DB">
        <w:instrText xml:space="preserve"> SEQ Table \* ARABIC \s 1 </w:instrText>
      </w:r>
      <w:r w:rsidR="00E639DB">
        <w:fldChar w:fldCharType="separate"/>
      </w:r>
      <w:r w:rsidR="000C061E">
        <w:rPr>
          <w:noProof/>
        </w:rPr>
        <w:t>12</w:t>
      </w:r>
      <w:r w:rsidR="00E639DB">
        <w:rPr>
          <w:noProof/>
        </w:rPr>
        <w:fldChar w:fldCharType="end"/>
      </w:r>
      <w:bookmarkEnd w:id="137"/>
      <w:r>
        <w:tab/>
      </w:r>
      <w:r>
        <w:tab/>
        <w:t>Draft decision on X factors for metering charges (per cent)</w:t>
      </w:r>
    </w:p>
    <w:tbl>
      <w:tblPr>
        <w:tblStyle w:val="AERtable-numbers"/>
        <w:tblW w:w="0" w:type="auto"/>
        <w:tblLook w:val="04A0" w:firstRow="1" w:lastRow="0" w:firstColumn="1" w:lastColumn="0" w:noHBand="0" w:noVBand="1"/>
      </w:tblPr>
      <w:tblGrid>
        <w:gridCol w:w="4346"/>
        <w:gridCol w:w="4347"/>
      </w:tblGrid>
      <w:tr w:rsidR="0031261B" w:rsidRPr="009B3860" w:rsidTr="00295F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31261B" w:rsidRDefault="0031261B" w:rsidP="0031261B"/>
        </w:tc>
        <w:tc>
          <w:tcPr>
            <w:tcW w:w="4347" w:type="dxa"/>
          </w:tcPr>
          <w:p w:rsidR="0031261B" w:rsidRPr="0031261B" w:rsidRDefault="0031261B" w:rsidP="0031261B">
            <w:pPr>
              <w:cnfStyle w:val="100000000000" w:firstRow="1" w:lastRow="0" w:firstColumn="0" w:lastColumn="0" w:oddVBand="0" w:evenVBand="0" w:oddHBand="0" w:evenHBand="0" w:firstRowFirstColumn="0" w:firstRowLastColumn="0" w:lastRowFirstColumn="0" w:lastRowLastColumn="0"/>
            </w:pPr>
            <w:r>
              <w:t>2018–19</w:t>
            </w:r>
          </w:p>
        </w:tc>
      </w:tr>
      <w:tr w:rsidR="0031261B" w:rsidRPr="009B3860" w:rsidTr="00295F96">
        <w:tc>
          <w:tcPr>
            <w:cnfStyle w:val="001000000000" w:firstRow="0" w:lastRow="0" w:firstColumn="1" w:lastColumn="0" w:oddVBand="0" w:evenVBand="0" w:oddHBand="0" w:evenHBand="0" w:firstRowFirstColumn="0" w:firstRowLastColumn="0" w:lastRowFirstColumn="0" w:lastRowLastColumn="0"/>
            <w:tcW w:w="4346" w:type="dxa"/>
          </w:tcPr>
          <w:p w:rsidR="0031261B" w:rsidRPr="0031261B" w:rsidRDefault="0031261B" w:rsidP="0031261B">
            <w:r>
              <w:t>X factor (non–capital component)</w:t>
            </w:r>
          </w:p>
        </w:tc>
        <w:tc>
          <w:tcPr>
            <w:tcW w:w="4347" w:type="dxa"/>
          </w:tcPr>
          <w:p w:rsidR="0031261B" w:rsidRPr="0031261B" w:rsidRDefault="0031261B" w:rsidP="0031261B">
            <w:pPr>
              <w:cnfStyle w:val="000000000000" w:firstRow="0" w:lastRow="0" w:firstColumn="0" w:lastColumn="0" w:oddVBand="0" w:evenVBand="0" w:oddHBand="0" w:evenHBand="0" w:firstRowFirstColumn="0" w:firstRowLastColumn="0" w:lastRowFirstColumn="0" w:lastRowLastColumn="0"/>
            </w:pPr>
            <w:r>
              <w:t>0.0</w:t>
            </w:r>
          </w:p>
        </w:tc>
      </w:tr>
      <w:tr w:rsidR="0031261B" w:rsidRPr="009B3860" w:rsidTr="00295F9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46" w:type="dxa"/>
          </w:tcPr>
          <w:p w:rsidR="0031261B" w:rsidRPr="0031261B" w:rsidRDefault="0031261B" w:rsidP="0031261B">
            <w:r>
              <w:t>X factor (capital component)</w:t>
            </w:r>
          </w:p>
        </w:tc>
        <w:tc>
          <w:tcPr>
            <w:tcW w:w="4347" w:type="dxa"/>
          </w:tcPr>
          <w:p w:rsidR="0031261B" w:rsidRPr="0031261B" w:rsidRDefault="0031261B" w:rsidP="0031261B">
            <w:pPr>
              <w:cnfStyle w:val="000000010000" w:firstRow="0" w:lastRow="0" w:firstColumn="0" w:lastColumn="0" w:oddVBand="0" w:evenVBand="0" w:oddHBand="0" w:evenHBand="1" w:firstRowFirstColumn="0" w:firstRowLastColumn="0" w:lastRowFirstColumn="0" w:lastRowLastColumn="0"/>
            </w:pPr>
            <w:r>
              <w:t>0.0</w:t>
            </w:r>
          </w:p>
        </w:tc>
      </w:tr>
    </w:tbl>
    <w:p w:rsidR="0031261B" w:rsidRDefault="0031261B" w:rsidP="0031261B">
      <w:pPr>
        <w:pStyle w:val="AERtablesource"/>
      </w:pPr>
      <w:r w:rsidRPr="0031261B">
        <w:t>Source:</w:t>
      </w:r>
      <w:r w:rsidRPr="0031261B">
        <w:tab/>
        <w:t>AER analysis.</w:t>
      </w:r>
    </w:p>
    <w:p w:rsidR="0031261B" w:rsidRDefault="0031261B" w:rsidP="0031261B">
      <w:pPr>
        <w:pStyle w:val="Caption"/>
      </w:pPr>
      <w:bookmarkStart w:id="138" w:name="_Ref460578297"/>
      <w:r>
        <w:t xml:space="preserve">Table </w:t>
      </w:r>
      <w:r w:rsidR="00E639DB">
        <w:fldChar w:fldCharType="begin"/>
      </w:r>
      <w:r w:rsidR="00E639DB">
        <w:instrText xml:space="preserve"> STYLEREF 1 \s </w:instrText>
      </w:r>
      <w:r w:rsidR="00E639DB">
        <w:fldChar w:fldCharType="separate"/>
      </w:r>
      <w:r w:rsidR="000C061E">
        <w:rPr>
          <w:noProof/>
        </w:rPr>
        <w:t>16</w:t>
      </w:r>
      <w:r w:rsidR="00E639DB">
        <w:rPr>
          <w:noProof/>
        </w:rPr>
        <w:fldChar w:fldCharType="end"/>
      </w:r>
      <w:r>
        <w:t>.</w:t>
      </w:r>
      <w:r w:rsidR="00E639DB">
        <w:fldChar w:fldCharType="begin"/>
      </w:r>
      <w:r w:rsidR="00E639DB">
        <w:instrText xml:space="preserve"> SEQ Table \* ARABIC \s 1 </w:instrText>
      </w:r>
      <w:r w:rsidR="00E639DB">
        <w:fldChar w:fldCharType="separate"/>
      </w:r>
      <w:r w:rsidR="000C061E">
        <w:rPr>
          <w:noProof/>
        </w:rPr>
        <w:t>13</w:t>
      </w:r>
      <w:r w:rsidR="00E639DB">
        <w:rPr>
          <w:noProof/>
        </w:rPr>
        <w:fldChar w:fldCharType="end"/>
      </w:r>
      <w:bookmarkEnd w:id="138"/>
      <w:r>
        <w:tab/>
      </w:r>
      <w:r>
        <w:tab/>
        <w:t>Indicative annua</w:t>
      </w:r>
      <w:r w:rsidR="00441C75">
        <w:t>l</w:t>
      </w:r>
      <w:r>
        <w:t xml:space="preserve"> metering charges ($ nominal) </w:t>
      </w:r>
    </w:p>
    <w:tbl>
      <w:tblPr>
        <w:tblStyle w:val="AERtable-numbers"/>
        <w:tblW w:w="0" w:type="auto"/>
        <w:tblLook w:val="04A0" w:firstRow="1" w:lastRow="0" w:firstColumn="1" w:lastColumn="0" w:noHBand="0" w:noVBand="1"/>
      </w:tblPr>
      <w:tblGrid>
        <w:gridCol w:w="2173"/>
        <w:gridCol w:w="2173"/>
        <w:gridCol w:w="2173"/>
        <w:gridCol w:w="2174"/>
      </w:tblGrid>
      <w:tr w:rsidR="0031261B" w:rsidTr="003126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31261B" w:rsidRDefault="0031261B" w:rsidP="0031261B"/>
        </w:tc>
        <w:tc>
          <w:tcPr>
            <w:tcW w:w="2173" w:type="dxa"/>
          </w:tcPr>
          <w:p w:rsidR="0031261B" w:rsidRDefault="0031261B" w:rsidP="0031261B">
            <w:pPr>
              <w:cnfStyle w:val="100000000000" w:firstRow="1" w:lastRow="0" w:firstColumn="0" w:lastColumn="0" w:oddVBand="0" w:evenVBand="0" w:oddHBand="0" w:evenHBand="0" w:firstRowFirstColumn="0" w:firstRowLastColumn="0" w:lastRowFirstColumn="0" w:lastRowLastColumn="0"/>
            </w:pPr>
            <w:r>
              <w:t>2016–17</w:t>
            </w:r>
          </w:p>
        </w:tc>
        <w:tc>
          <w:tcPr>
            <w:tcW w:w="2173" w:type="dxa"/>
          </w:tcPr>
          <w:p w:rsidR="0031261B" w:rsidRDefault="0031261B" w:rsidP="0031261B">
            <w:pPr>
              <w:cnfStyle w:val="100000000000" w:firstRow="1" w:lastRow="0" w:firstColumn="0" w:lastColumn="0" w:oddVBand="0" w:evenVBand="0" w:oddHBand="0" w:evenHBand="0" w:firstRowFirstColumn="0" w:firstRowLastColumn="0" w:lastRowFirstColumn="0" w:lastRowLastColumn="0"/>
            </w:pPr>
            <w:r>
              <w:t>2017–18</w:t>
            </w:r>
          </w:p>
        </w:tc>
        <w:tc>
          <w:tcPr>
            <w:tcW w:w="2174" w:type="dxa"/>
          </w:tcPr>
          <w:p w:rsidR="0031261B" w:rsidRDefault="0031261B" w:rsidP="0031261B">
            <w:pPr>
              <w:cnfStyle w:val="100000000000" w:firstRow="1" w:lastRow="0" w:firstColumn="0" w:lastColumn="0" w:oddVBand="0" w:evenVBand="0" w:oddHBand="0" w:evenHBand="0" w:firstRowFirstColumn="0" w:firstRowLastColumn="0" w:lastRowFirstColumn="0" w:lastRowLastColumn="0"/>
            </w:pPr>
            <w:r>
              <w:t>2018–19</w:t>
            </w:r>
          </w:p>
        </w:tc>
      </w:tr>
      <w:tr w:rsidR="0031261B" w:rsidTr="0031261B">
        <w:tc>
          <w:tcPr>
            <w:cnfStyle w:val="001000000000" w:firstRow="0" w:lastRow="0" w:firstColumn="1" w:lastColumn="0" w:oddVBand="0" w:evenVBand="0" w:oddHBand="0" w:evenHBand="0" w:firstRowFirstColumn="0" w:firstRowLastColumn="0" w:lastRowFirstColumn="0" w:lastRowLastColumn="0"/>
            <w:tcW w:w="2173" w:type="dxa"/>
          </w:tcPr>
          <w:p w:rsidR="0031261B" w:rsidRDefault="0031261B" w:rsidP="0031261B">
            <w:r>
              <w:t>Business LV – Single phase</w:t>
            </w:r>
          </w:p>
        </w:tc>
        <w:tc>
          <w:tcPr>
            <w:tcW w:w="2173" w:type="dxa"/>
          </w:tcPr>
          <w:p w:rsidR="0031261B" w:rsidRDefault="0031261B" w:rsidP="0031261B">
            <w:pPr>
              <w:cnfStyle w:val="000000000000" w:firstRow="0" w:lastRow="0" w:firstColumn="0" w:lastColumn="0" w:oddVBand="0" w:evenVBand="0" w:oddHBand="0" w:evenHBand="0" w:firstRowFirstColumn="0" w:firstRowLastColumn="0" w:lastRowFirstColumn="0" w:lastRowLastColumn="0"/>
            </w:pPr>
            <w:r>
              <w:t>28.46</w:t>
            </w:r>
          </w:p>
        </w:tc>
        <w:tc>
          <w:tcPr>
            <w:tcW w:w="2173" w:type="dxa"/>
          </w:tcPr>
          <w:p w:rsidR="0031261B" w:rsidRDefault="0031261B" w:rsidP="0031261B">
            <w:pPr>
              <w:cnfStyle w:val="000000000000" w:firstRow="0" w:lastRow="0" w:firstColumn="0" w:lastColumn="0" w:oddVBand="0" w:evenVBand="0" w:oddHBand="0" w:evenHBand="0" w:firstRowFirstColumn="0" w:firstRowLastColumn="0" w:lastRowFirstColumn="0" w:lastRowLastColumn="0"/>
            </w:pPr>
            <w:r>
              <w:t>21.84</w:t>
            </w:r>
          </w:p>
        </w:tc>
        <w:tc>
          <w:tcPr>
            <w:tcW w:w="2174" w:type="dxa"/>
          </w:tcPr>
          <w:p w:rsidR="0031261B" w:rsidRDefault="0031261B" w:rsidP="0031261B">
            <w:pPr>
              <w:cnfStyle w:val="000000000000" w:firstRow="0" w:lastRow="0" w:firstColumn="0" w:lastColumn="0" w:oddVBand="0" w:evenVBand="0" w:oddHBand="0" w:evenHBand="0" w:firstRowFirstColumn="0" w:firstRowLastColumn="0" w:lastRowFirstColumn="0" w:lastRowLastColumn="0"/>
            </w:pPr>
            <w:r>
              <w:t>22.38</w:t>
            </w:r>
          </w:p>
        </w:tc>
      </w:tr>
      <w:tr w:rsidR="0031261B" w:rsidTr="003126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31261B" w:rsidRDefault="0031261B" w:rsidP="0031261B">
            <w:r>
              <w:t>Business LV - Multiple phase</w:t>
            </w:r>
          </w:p>
        </w:tc>
        <w:tc>
          <w:tcPr>
            <w:tcW w:w="2173" w:type="dxa"/>
          </w:tcPr>
          <w:p w:rsidR="0031261B" w:rsidRDefault="0031261B" w:rsidP="0031261B">
            <w:pPr>
              <w:cnfStyle w:val="000000010000" w:firstRow="0" w:lastRow="0" w:firstColumn="0" w:lastColumn="0" w:oddVBand="0" w:evenVBand="0" w:oddHBand="0" w:evenHBand="1" w:firstRowFirstColumn="0" w:firstRowLastColumn="0" w:lastRowFirstColumn="0" w:lastRowLastColumn="0"/>
            </w:pPr>
            <w:r>
              <w:t>56.94</w:t>
            </w:r>
          </w:p>
        </w:tc>
        <w:tc>
          <w:tcPr>
            <w:tcW w:w="2173" w:type="dxa"/>
          </w:tcPr>
          <w:p w:rsidR="0031261B" w:rsidRDefault="0031261B" w:rsidP="0031261B">
            <w:pPr>
              <w:cnfStyle w:val="000000010000" w:firstRow="0" w:lastRow="0" w:firstColumn="0" w:lastColumn="0" w:oddVBand="0" w:evenVBand="0" w:oddHBand="0" w:evenHBand="1" w:firstRowFirstColumn="0" w:firstRowLastColumn="0" w:lastRowFirstColumn="0" w:lastRowLastColumn="0"/>
            </w:pPr>
            <w:r>
              <w:t>43.69</w:t>
            </w:r>
          </w:p>
        </w:tc>
        <w:tc>
          <w:tcPr>
            <w:tcW w:w="2174" w:type="dxa"/>
          </w:tcPr>
          <w:p w:rsidR="0031261B" w:rsidRDefault="0031261B" w:rsidP="0031261B">
            <w:pPr>
              <w:cnfStyle w:val="000000010000" w:firstRow="0" w:lastRow="0" w:firstColumn="0" w:lastColumn="0" w:oddVBand="0" w:evenVBand="0" w:oddHBand="0" w:evenHBand="1" w:firstRowFirstColumn="0" w:firstRowLastColumn="0" w:lastRowFirstColumn="0" w:lastRowLastColumn="0"/>
            </w:pPr>
            <w:r>
              <w:t>44.77</w:t>
            </w:r>
          </w:p>
        </w:tc>
      </w:tr>
      <w:tr w:rsidR="0031261B" w:rsidTr="0031261B">
        <w:tc>
          <w:tcPr>
            <w:cnfStyle w:val="001000000000" w:firstRow="0" w:lastRow="0" w:firstColumn="1" w:lastColumn="0" w:oddVBand="0" w:evenVBand="0" w:oddHBand="0" w:evenHBand="0" w:firstRowFirstColumn="0" w:firstRowLastColumn="0" w:lastRowFirstColumn="0" w:lastRowLastColumn="0"/>
            <w:tcW w:w="2173" w:type="dxa"/>
          </w:tcPr>
          <w:p w:rsidR="0031261B" w:rsidRDefault="0031261B" w:rsidP="0031261B">
            <w:r>
              <w:t>Business LV –CT meters</w:t>
            </w:r>
          </w:p>
        </w:tc>
        <w:tc>
          <w:tcPr>
            <w:tcW w:w="2173" w:type="dxa"/>
          </w:tcPr>
          <w:p w:rsidR="0031261B" w:rsidRDefault="0031261B" w:rsidP="0031261B">
            <w:pPr>
              <w:cnfStyle w:val="000000000000" w:firstRow="0" w:lastRow="0" w:firstColumn="0" w:lastColumn="0" w:oddVBand="0" w:evenVBand="0" w:oddHBand="0" w:evenHBand="0" w:firstRowFirstColumn="0" w:firstRowLastColumn="0" w:lastRowFirstColumn="0" w:lastRowLastColumn="0"/>
            </w:pPr>
            <w:r>
              <w:t>73.63</w:t>
            </w:r>
          </w:p>
        </w:tc>
        <w:tc>
          <w:tcPr>
            <w:tcW w:w="2173" w:type="dxa"/>
          </w:tcPr>
          <w:p w:rsidR="0031261B" w:rsidRDefault="0031261B" w:rsidP="0031261B">
            <w:pPr>
              <w:cnfStyle w:val="000000000000" w:firstRow="0" w:lastRow="0" w:firstColumn="0" w:lastColumn="0" w:oddVBand="0" w:evenVBand="0" w:oddHBand="0" w:evenHBand="0" w:firstRowFirstColumn="0" w:firstRowLastColumn="0" w:lastRowFirstColumn="0" w:lastRowLastColumn="0"/>
            </w:pPr>
            <w:r>
              <w:t>56.50</w:t>
            </w:r>
          </w:p>
        </w:tc>
        <w:tc>
          <w:tcPr>
            <w:tcW w:w="2174" w:type="dxa"/>
          </w:tcPr>
          <w:p w:rsidR="0031261B" w:rsidRDefault="0031261B" w:rsidP="0031261B">
            <w:pPr>
              <w:cnfStyle w:val="000000000000" w:firstRow="0" w:lastRow="0" w:firstColumn="0" w:lastColumn="0" w:oddVBand="0" w:evenVBand="0" w:oddHBand="0" w:evenHBand="0" w:firstRowFirstColumn="0" w:firstRowLastColumn="0" w:lastRowFirstColumn="0" w:lastRowLastColumn="0"/>
            </w:pPr>
            <w:r>
              <w:t>57.88</w:t>
            </w:r>
          </w:p>
        </w:tc>
      </w:tr>
      <w:tr w:rsidR="0031261B" w:rsidTr="003126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31261B" w:rsidRDefault="0031261B" w:rsidP="0031261B">
            <w:r>
              <w:t>Domestic LV – Single phase</w:t>
            </w:r>
          </w:p>
        </w:tc>
        <w:tc>
          <w:tcPr>
            <w:tcW w:w="2173" w:type="dxa"/>
          </w:tcPr>
          <w:p w:rsidR="0031261B" w:rsidRDefault="0031261B" w:rsidP="0031261B">
            <w:pPr>
              <w:cnfStyle w:val="000000010000" w:firstRow="0" w:lastRow="0" w:firstColumn="0" w:lastColumn="0" w:oddVBand="0" w:evenVBand="0" w:oddHBand="0" w:evenHBand="1" w:firstRowFirstColumn="0" w:firstRowLastColumn="0" w:lastRowFirstColumn="0" w:lastRowLastColumn="0"/>
            </w:pPr>
            <w:r>
              <w:t>27.52</w:t>
            </w:r>
          </w:p>
        </w:tc>
        <w:tc>
          <w:tcPr>
            <w:tcW w:w="2173" w:type="dxa"/>
          </w:tcPr>
          <w:p w:rsidR="0031261B" w:rsidRDefault="0031261B" w:rsidP="0031261B">
            <w:pPr>
              <w:cnfStyle w:val="000000010000" w:firstRow="0" w:lastRow="0" w:firstColumn="0" w:lastColumn="0" w:oddVBand="0" w:evenVBand="0" w:oddHBand="0" w:evenHBand="1" w:firstRowFirstColumn="0" w:firstRowLastColumn="0" w:lastRowFirstColumn="0" w:lastRowLastColumn="0"/>
            </w:pPr>
            <w:r>
              <w:t>21.12</w:t>
            </w:r>
          </w:p>
        </w:tc>
        <w:tc>
          <w:tcPr>
            <w:tcW w:w="2174" w:type="dxa"/>
          </w:tcPr>
          <w:p w:rsidR="0031261B" w:rsidRDefault="0031261B" w:rsidP="0031261B">
            <w:pPr>
              <w:cnfStyle w:val="000000010000" w:firstRow="0" w:lastRow="0" w:firstColumn="0" w:lastColumn="0" w:oddVBand="0" w:evenVBand="0" w:oddHBand="0" w:evenHBand="1" w:firstRowFirstColumn="0" w:firstRowLastColumn="0" w:lastRowFirstColumn="0" w:lastRowLastColumn="0"/>
            </w:pPr>
            <w:r>
              <w:t>21.63</w:t>
            </w:r>
          </w:p>
        </w:tc>
      </w:tr>
      <w:tr w:rsidR="0031261B" w:rsidTr="0031261B">
        <w:tc>
          <w:tcPr>
            <w:cnfStyle w:val="001000000000" w:firstRow="0" w:lastRow="0" w:firstColumn="1" w:lastColumn="0" w:oddVBand="0" w:evenVBand="0" w:oddHBand="0" w:evenHBand="0" w:firstRowFirstColumn="0" w:firstRowLastColumn="0" w:lastRowFirstColumn="0" w:lastRowLastColumn="0"/>
            <w:tcW w:w="2173" w:type="dxa"/>
          </w:tcPr>
          <w:p w:rsidR="0031261B" w:rsidRDefault="0031261B" w:rsidP="0031261B">
            <w:r>
              <w:t>Domestic LV – Multiple phase</w:t>
            </w:r>
          </w:p>
        </w:tc>
        <w:tc>
          <w:tcPr>
            <w:tcW w:w="2173" w:type="dxa"/>
          </w:tcPr>
          <w:p w:rsidR="0031261B" w:rsidRDefault="0031261B" w:rsidP="0031261B">
            <w:pPr>
              <w:cnfStyle w:val="000000000000" w:firstRow="0" w:lastRow="0" w:firstColumn="0" w:lastColumn="0" w:oddVBand="0" w:evenVBand="0" w:oddHBand="0" w:evenHBand="0" w:firstRowFirstColumn="0" w:firstRowLastColumn="0" w:lastRowFirstColumn="0" w:lastRowLastColumn="0"/>
            </w:pPr>
            <w:r>
              <w:t>57.10</w:t>
            </w:r>
          </w:p>
        </w:tc>
        <w:tc>
          <w:tcPr>
            <w:tcW w:w="2173" w:type="dxa"/>
          </w:tcPr>
          <w:p w:rsidR="0031261B" w:rsidRDefault="0031261B" w:rsidP="0031261B">
            <w:pPr>
              <w:cnfStyle w:val="000000000000" w:firstRow="0" w:lastRow="0" w:firstColumn="0" w:lastColumn="0" w:oddVBand="0" w:evenVBand="0" w:oddHBand="0" w:evenHBand="0" w:firstRowFirstColumn="0" w:firstRowLastColumn="0" w:lastRowFirstColumn="0" w:lastRowLastColumn="0"/>
            </w:pPr>
            <w:r>
              <w:t>43.82</w:t>
            </w:r>
          </w:p>
        </w:tc>
        <w:tc>
          <w:tcPr>
            <w:tcW w:w="2174" w:type="dxa"/>
          </w:tcPr>
          <w:p w:rsidR="0031261B" w:rsidRDefault="0031261B" w:rsidP="0031261B">
            <w:pPr>
              <w:cnfStyle w:val="000000000000" w:firstRow="0" w:lastRow="0" w:firstColumn="0" w:lastColumn="0" w:oddVBand="0" w:evenVBand="0" w:oddHBand="0" w:evenHBand="0" w:firstRowFirstColumn="0" w:firstRowLastColumn="0" w:lastRowFirstColumn="0" w:lastRowLastColumn="0"/>
            </w:pPr>
            <w:r>
              <w:t>44.89</w:t>
            </w:r>
          </w:p>
        </w:tc>
      </w:tr>
      <w:tr w:rsidR="0031261B" w:rsidTr="0031261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3" w:type="dxa"/>
          </w:tcPr>
          <w:p w:rsidR="0031261B" w:rsidRDefault="0031261B" w:rsidP="0031261B">
            <w:r>
              <w:t>Domestic LV – CT meters</w:t>
            </w:r>
          </w:p>
        </w:tc>
        <w:tc>
          <w:tcPr>
            <w:tcW w:w="2173" w:type="dxa"/>
          </w:tcPr>
          <w:p w:rsidR="0031261B" w:rsidRDefault="0031261B" w:rsidP="0031261B">
            <w:pPr>
              <w:cnfStyle w:val="000000010000" w:firstRow="0" w:lastRow="0" w:firstColumn="0" w:lastColumn="0" w:oddVBand="0" w:evenVBand="0" w:oddHBand="0" w:evenHBand="1" w:firstRowFirstColumn="0" w:firstRowLastColumn="0" w:lastRowFirstColumn="0" w:lastRowLastColumn="0"/>
            </w:pPr>
            <w:r>
              <w:t>70.67</w:t>
            </w:r>
          </w:p>
        </w:tc>
        <w:tc>
          <w:tcPr>
            <w:tcW w:w="2173" w:type="dxa"/>
          </w:tcPr>
          <w:p w:rsidR="0031261B" w:rsidRDefault="0031261B" w:rsidP="0031261B">
            <w:pPr>
              <w:cnfStyle w:val="000000010000" w:firstRow="0" w:lastRow="0" w:firstColumn="0" w:lastColumn="0" w:oddVBand="0" w:evenVBand="0" w:oddHBand="0" w:evenHBand="1" w:firstRowFirstColumn="0" w:firstRowLastColumn="0" w:lastRowFirstColumn="0" w:lastRowLastColumn="0"/>
            </w:pPr>
            <w:r>
              <w:t>54.23</w:t>
            </w:r>
          </w:p>
        </w:tc>
        <w:tc>
          <w:tcPr>
            <w:tcW w:w="2174" w:type="dxa"/>
          </w:tcPr>
          <w:p w:rsidR="0031261B" w:rsidRDefault="0031261B" w:rsidP="0031261B">
            <w:pPr>
              <w:cnfStyle w:val="000000010000" w:firstRow="0" w:lastRow="0" w:firstColumn="0" w:lastColumn="0" w:oddVBand="0" w:evenVBand="0" w:oddHBand="0" w:evenHBand="1" w:firstRowFirstColumn="0" w:firstRowLastColumn="0" w:lastRowFirstColumn="0" w:lastRowLastColumn="0"/>
            </w:pPr>
            <w:r>
              <w:t>55.56</w:t>
            </w:r>
          </w:p>
        </w:tc>
      </w:tr>
      <w:tr w:rsidR="0031261B" w:rsidTr="0031261B">
        <w:tc>
          <w:tcPr>
            <w:cnfStyle w:val="001000000000" w:firstRow="0" w:lastRow="0" w:firstColumn="1" w:lastColumn="0" w:oddVBand="0" w:evenVBand="0" w:oddHBand="0" w:evenHBand="0" w:firstRowFirstColumn="0" w:firstRowLastColumn="0" w:lastRowFirstColumn="0" w:lastRowLastColumn="0"/>
            <w:tcW w:w="2173" w:type="dxa"/>
          </w:tcPr>
          <w:p w:rsidR="0031261B" w:rsidRDefault="0031261B" w:rsidP="0031261B">
            <w:r>
              <w:t>Other meters</w:t>
            </w:r>
          </w:p>
        </w:tc>
        <w:tc>
          <w:tcPr>
            <w:tcW w:w="2173" w:type="dxa"/>
          </w:tcPr>
          <w:p w:rsidR="0031261B" w:rsidRDefault="0031261B" w:rsidP="0031261B">
            <w:pPr>
              <w:cnfStyle w:val="000000000000" w:firstRow="0" w:lastRow="0" w:firstColumn="0" w:lastColumn="0" w:oddVBand="0" w:evenVBand="0" w:oddHBand="0" w:evenHBand="0" w:firstRowFirstColumn="0" w:firstRowLastColumn="0" w:lastRowFirstColumn="0" w:lastRowLastColumn="0"/>
            </w:pPr>
            <w:r>
              <w:t>50.25</w:t>
            </w:r>
          </w:p>
        </w:tc>
        <w:tc>
          <w:tcPr>
            <w:tcW w:w="2173" w:type="dxa"/>
          </w:tcPr>
          <w:p w:rsidR="0031261B" w:rsidRDefault="0031261B" w:rsidP="0031261B">
            <w:pPr>
              <w:cnfStyle w:val="000000000000" w:firstRow="0" w:lastRow="0" w:firstColumn="0" w:lastColumn="0" w:oddVBand="0" w:evenVBand="0" w:oddHBand="0" w:evenHBand="0" w:firstRowFirstColumn="0" w:firstRowLastColumn="0" w:lastRowFirstColumn="0" w:lastRowLastColumn="0"/>
            </w:pPr>
            <w:r>
              <w:t>38.56</w:t>
            </w:r>
          </w:p>
        </w:tc>
        <w:tc>
          <w:tcPr>
            <w:tcW w:w="2174" w:type="dxa"/>
          </w:tcPr>
          <w:p w:rsidR="0031261B" w:rsidRDefault="0031261B" w:rsidP="0031261B">
            <w:pPr>
              <w:cnfStyle w:val="000000000000" w:firstRow="0" w:lastRow="0" w:firstColumn="0" w:lastColumn="0" w:oddVBand="0" w:evenVBand="0" w:oddHBand="0" w:evenHBand="0" w:firstRowFirstColumn="0" w:firstRowLastColumn="0" w:lastRowFirstColumn="0" w:lastRowLastColumn="0"/>
            </w:pPr>
            <w:r>
              <w:t>39.51</w:t>
            </w:r>
          </w:p>
        </w:tc>
      </w:tr>
    </w:tbl>
    <w:p w:rsidR="0031261B" w:rsidRDefault="0031261B" w:rsidP="0031261B">
      <w:pPr>
        <w:pStyle w:val="AERtablesource"/>
      </w:pPr>
      <w:r w:rsidRPr="0031261B">
        <w:t>Source:</w:t>
      </w:r>
      <w:r w:rsidRPr="0031261B">
        <w:tab/>
        <w:t>AER analysis.</w:t>
      </w:r>
    </w:p>
    <w:p w:rsidR="0031261B" w:rsidRPr="0031261B" w:rsidRDefault="0031261B" w:rsidP="0031261B">
      <w:pPr>
        <w:pStyle w:val="AERtablesource"/>
      </w:pPr>
      <w:r w:rsidRPr="0031261B">
        <w:t>Note:</w:t>
      </w:r>
      <w:r w:rsidRPr="0031261B">
        <w:tab/>
      </w:r>
      <w:r w:rsidR="004D7472">
        <w:t xml:space="preserve">The prices in </w:t>
      </w:r>
      <w:r w:rsidR="004D7472">
        <w:fldChar w:fldCharType="begin"/>
      </w:r>
      <w:r w:rsidR="004D7472">
        <w:instrText xml:space="preserve"> REF _Ref460578297 \h </w:instrText>
      </w:r>
      <w:r w:rsidR="004D7472">
        <w:fldChar w:fldCharType="separate"/>
      </w:r>
      <w:r w:rsidR="000C061E">
        <w:t xml:space="preserve">Table </w:t>
      </w:r>
      <w:r w:rsidR="000C061E">
        <w:rPr>
          <w:noProof/>
        </w:rPr>
        <w:t>16</w:t>
      </w:r>
      <w:r w:rsidR="000C061E">
        <w:t>.</w:t>
      </w:r>
      <w:r w:rsidR="000C061E">
        <w:rPr>
          <w:noProof/>
        </w:rPr>
        <w:t>13</w:t>
      </w:r>
      <w:r w:rsidR="004D7472">
        <w:fldChar w:fldCharType="end"/>
      </w:r>
      <w:r w:rsidR="00441C75">
        <w:t xml:space="preserve"> </w:t>
      </w:r>
      <w:r w:rsidR="004D7472">
        <w:t xml:space="preserve"> are indicative only. When setting metering charges, the AER will use the prices in </w:t>
      </w:r>
      <w:r w:rsidR="004D7472">
        <w:fldChar w:fldCharType="begin"/>
      </w:r>
      <w:r w:rsidR="004D7472">
        <w:instrText xml:space="preserve"> REF _Ref460578354 \h </w:instrText>
      </w:r>
      <w:r w:rsidR="004D7472">
        <w:fldChar w:fldCharType="separate"/>
      </w:r>
      <w:r w:rsidR="000C061E">
        <w:t xml:space="preserve">Table </w:t>
      </w:r>
      <w:r w:rsidR="000C061E">
        <w:rPr>
          <w:noProof/>
        </w:rPr>
        <w:t>16</w:t>
      </w:r>
      <w:r w:rsidR="000C061E">
        <w:t>.</w:t>
      </w:r>
      <w:r w:rsidR="000C061E">
        <w:rPr>
          <w:noProof/>
        </w:rPr>
        <w:t>11</w:t>
      </w:r>
      <w:r w:rsidR="004D7472">
        <w:fldChar w:fldCharType="end"/>
      </w:r>
      <w:r w:rsidR="004D7472">
        <w:t xml:space="preserve"> and the X factors in </w:t>
      </w:r>
      <w:r w:rsidR="004D7472">
        <w:fldChar w:fldCharType="begin"/>
      </w:r>
      <w:r w:rsidR="004D7472">
        <w:instrText xml:space="preserve"> REF _Ref460578369 \h </w:instrText>
      </w:r>
      <w:r w:rsidR="004D7472">
        <w:fldChar w:fldCharType="separate"/>
      </w:r>
      <w:r w:rsidR="000C061E">
        <w:t xml:space="preserve">Table </w:t>
      </w:r>
      <w:r w:rsidR="000C061E">
        <w:rPr>
          <w:noProof/>
        </w:rPr>
        <w:t>16</w:t>
      </w:r>
      <w:r w:rsidR="000C061E">
        <w:t>.</w:t>
      </w:r>
      <w:r w:rsidR="000C061E">
        <w:rPr>
          <w:noProof/>
        </w:rPr>
        <w:t>12</w:t>
      </w:r>
      <w:r w:rsidR="004D7472">
        <w:fldChar w:fldCharType="end"/>
      </w:r>
      <w:r w:rsidR="004D7472">
        <w:t>.</w:t>
      </w:r>
      <w:r w:rsidR="00441C75">
        <w:t xml:space="preserve"> The prices in </w:t>
      </w:r>
      <w:r w:rsidR="00441C75" w:rsidRPr="00441C75">
        <w:fldChar w:fldCharType="begin"/>
      </w:r>
      <w:r w:rsidR="00441C75" w:rsidRPr="00441C75">
        <w:instrText xml:space="preserve"> REF _Ref460578297 \h </w:instrText>
      </w:r>
      <w:r w:rsidR="00441C75" w:rsidRPr="00441C75">
        <w:fldChar w:fldCharType="separate"/>
      </w:r>
      <w:r w:rsidR="000C061E">
        <w:t xml:space="preserve">Table </w:t>
      </w:r>
      <w:r w:rsidR="000C061E">
        <w:rPr>
          <w:noProof/>
        </w:rPr>
        <w:t>16</w:t>
      </w:r>
      <w:r w:rsidR="000C061E">
        <w:t>.</w:t>
      </w:r>
      <w:r w:rsidR="000C061E">
        <w:rPr>
          <w:noProof/>
        </w:rPr>
        <w:t>13</w:t>
      </w:r>
      <w:r w:rsidR="00441C75" w:rsidRPr="00441C75">
        <w:fldChar w:fldCharType="end"/>
      </w:r>
      <w:r w:rsidR="00441C75">
        <w:t xml:space="preserve"> include both the capital and non–capital component.</w:t>
      </w:r>
    </w:p>
    <w:p w:rsidR="0031261B" w:rsidRPr="0031261B" w:rsidRDefault="0031261B" w:rsidP="0031261B"/>
    <w:sectPr w:rsidR="0031261B" w:rsidRPr="0031261B" w:rsidSect="00CF42AA">
      <w:headerReference w:type="default" r:id="rId72"/>
      <w:footerReference w:type="even" r:id="rId73"/>
      <w:footerReference w:type="default" r:id="rId74"/>
      <w:footerReference w:type="first" r:id="rId75"/>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97E" w:rsidRPr="00290C63" w:rsidRDefault="00B8797E" w:rsidP="00290C63">
      <w:r>
        <w:separator/>
      </w:r>
    </w:p>
    <w:p w:rsidR="00B8797E" w:rsidRDefault="00B8797E"/>
  </w:endnote>
  <w:endnote w:type="continuationSeparator" w:id="0">
    <w:p w:rsidR="00B8797E" w:rsidRPr="00290C63" w:rsidRDefault="00B8797E" w:rsidP="00290C63">
      <w:r>
        <w:continuationSeparator/>
      </w:r>
    </w:p>
    <w:p w:rsidR="00B8797E" w:rsidRDefault="00B879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7E" w:rsidRPr="00290C63" w:rsidRDefault="00B8797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0C061E">
      <w:rPr>
        <w:rStyle w:val="PageNumber"/>
        <w:noProof/>
      </w:rPr>
      <w:t>16-42</w:t>
    </w:r>
    <w:r w:rsidRPr="00290C63">
      <w:rPr>
        <w:rStyle w:val="PageNumber"/>
      </w:rPr>
      <w:fldChar w:fldCharType="end"/>
    </w:r>
    <w:r w:rsidRPr="00290C63">
      <w:rPr>
        <w:rStyle w:val="PageNumber"/>
      </w:rPr>
      <w:tab/>
      <w:t>Xxx report—month/year</w:t>
    </w:r>
  </w:p>
  <w:p w:rsidR="00B8797E" w:rsidRDefault="00B8797E"/>
  <w:p w:rsidR="00B8797E" w:rsidRDefault="00B8797E"/>
  <w:p w:rsidR="00B8797E" w:rsidRDefault="00B8797E"/>
  <w:p w:rsidR="00B8797E" w:rsidRDefault="00B8797E"/>
  <w:p w:rsidR="00B8797E" w:rsidRDefault="00B8797E"/>
  <w:p w:rsidR="00B8797E" w:rsidRDefault="00B8797E"/>
  <w:p w:rsidR="00B8797E" w:rsidRDefault="00B8797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B8797E" w:rsidRPr="009B6F84" w:rsidRDefault="00B8797E">
        <w:pPr>
          <w:pStyle w:val="Footer"/>
          <w:rPr>
            <w:sz w:val="20"/>
          </w:rPr>
        </w:pPr>
        <w:r>
          <w:fldChar w:fldCharType="begin"/>
        </w:r>
        <w:r>
          <w:instrText xml:space="preserve"> PAGE   \* MERGEFORMAT </w:instrText>
        </w:r>
        <w:r>
          <w:fldChar w:fldCharType="separate"/>
        </w:r>
        <w:r w:rsidR="00E639DB">
          <w:rPr>
            <w:noProof/>
          </w:rPr>
          <w:t>16-1</w:t>
        </w:r>
        <w:r>
          <w:rPr>
            <w:noProof/>
          </w:rPr>
          <w:fldChar w:fldCharType="end"/>
        </w:r>
        <w:r>
          <w:rPr>
            <w:noProof/>
          </w:rPr>
          <w:t xml:space="preserve">  </w:t>
        </w:r>
        <w:r>
          <w:t>Attachment 16 – Alternative control services</w:t>
        </w:r>
        <w:r w:rsidRPr="004523B2">
          <w:t xml:space="preserve"> | </w:t>
        </w:r>
        <w:r>
          <w:t>TasNetworks distribution draft determination</w:t>
        </w:r>
        <w:r w:rsidRPr="004523B2">
          <w:t xml:space="preserve"> 201</w:t>
        </w:r>
        <w:r>
          <w:t>7</w:t>
        </w:r>
        <w:r w:rsidRPr="004523B2">
          <w:t>–</w:t>
        </w:r>
        <w:r>
          <w:t>19</w:t>
        </w:r>
      </w:p>
    </w:sdtContent>
  </w:sdt>
  <w:p w:rsidR="00B8797E" w:rsidRDefault="00B879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7E" w:rsidRPr="00290C63" w:rsidRDefault="00B8797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0C061E">
      <w:rPr>
        <w:noProof/>
      </w:rPr>
      <w:t>16-42</w:t>
    </w:r>
    <w:r w:rsidRPr="00290C63">
      <w:fldChar w:fldCharType="end"/>
    </w:r>
  </w:p>
  <w:p w:rsidR="00B8797E" w:rsidRDefault="00B8797E">
    <w:pPr>
      <w:pStyle w:val="Footer"/>
    </w:pPr>
  </w:p>
  <w:p w:rsidR="00B8797E" w:rsidRDefault="00B8797E"/>
  <w:p w:rsidR="00B8797E" w:rsidRDefault="00B8797E"/>
  <w:p w:rsidR="00B8797E" w:rsidRDefault="00B8797E"/>
  <w:p w:rsidR="00B8797E" w:rsidRDefault="00B8797E"/>
  <w:p w:rsidR="00B8797E" w:rsidRDefault="00B8797E"/>
  <w:p w:rsidR="00B8797E" w:rsidRDefault="00B8797E"/>
  <w:p w:rsidR="00B8797E" w:rsidRDefault="00B8797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7E" w:rsidRPr="00290C63" w:rsidRDefault="00B8797E"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000C061E">
      <w:rPr>
        <w:rStyle w:val="PageNumber"/>
        <w:noProof/>
      </w:rPr>
      <w:t>16-42</w:t>
    </w:r>
    <w:r w:rsidRPr="00290C63">
      <w:rPr>
        <w:rStyle w:val="PageNumber"/>
      </w:rPr>
      <w:fldChar w:fldCharType="end"/>
    </w:r>
    <w:r w:rsidRPr="00290C63">
      <w:rPr>
        <w:rStyle w:val="PageNumber"/>
      </w:rPr>
      <w:tab/>
      <w:t>Xxx report—month/year</w:t>
    </w:r>
  </w:p>
  <w:p w:rsidR="00B8797E" w:rsidRDefault="00B8797E"/>
  <w:p w:rsidR="00B8797E" w:rsidRDefault="00B8797E"/>
  <w:p w:rsidR="00B8797E" w:rsidRDefault="00B8797E"/>
  <w:p w:rsidR="00B8797E" w:rsidRDefault="00B8797E"/>
  <w:p w:rsidR="00B8797E" w:rsidRDefault="00B8797E"/>
  <w:p w:rsidR="00B8797E" w:rsidRDefault="00B8797E"/>
  <w:p w:rsidR="00B8797E" w:rsidRDefault="00B8797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901426"/>
      <w:docPartObj>
        <w:docPartGallery w:val="Page Numbers (Bottom of Page)"/>
        <w:docPartUnique/>
      </w:docPartObj>
    </w:sdtPr>
    <w:sdtEndPr>
      <w:rPr>
        <w:noProof/>
        <w:szCs w:val="16"/>
      </w:rPr>
    </w:sdtEndPr>
    <w:sdtContent>
      <w:p w:rsidR="00B8797E" w:rsidRPr="009B6F84" w:rsidRDefault="00B8797E">
        <w:pPr>
          <w:pStyle w:val="Footer"/>
          <w:rPr>
            <w:sz w:val="20"/>
          </w:rPr>
        </w:pPr>
        <w:r>
          <w:fldChar w:fldCharType="begin"/>
        </w:r>
        <w:r>
          <w:instrText xml:space="preserve"> PAGE   \* MERGEFORMAT </w:instrText>
        </w:r>
        <w:r>
          <w:fldChar w:fldCharType="separate"/>
        </w:r>
        <w:r w:rsidR="00E639DB">
          <w:rPr>
            <w:noProof/>
          </w:rPr>
          <w:t>16-8</w:t>
        </w:r>
        <w:r>
          <w:rPr>
            <w:noProof/>
          </w:rPr>
          <w:fldChar w:fldCharType="end"/>
        </w:r>
        <w:r>
          <w:rPr>
            <w:noProof/>
          </w:rPr>
          <w:t xml:space="preserve">  </w:t>
        </w:r>
        <w:r>
          <w:t>Attachment 16 – Alternative control services</w:t>
        </w:r>
        <w:r w:rsidRPr="004523B2">
          <w:t xml:space="preserve"> | </w:t>
        </w:r>
        <w:r>
          <w:t>TasNetworks distribution draft determination</w:t>
        </w:r>
        <w:r w:rsidRPr="004523B2">
          <w:t xml:space="preserve"> 201</w:t>
        </w:r>
        <w:r>
          <w:t>7</w:t>
        </w:r>
        <w:r w:rsidRPr="004523B2">
          <w:t>–</w:t>
        </w:r>
        <w:r>
          <w:t>19</w:t>
        </w:r>
      </w:p>
    </w:sdtContent>
  </w:sdt>
  <w:p w:rsidR="00B8797E" w:rsidRDefault="00B8797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7E" w:rsidRPr="00290C63" w:rsidRDefault="00B8797E"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000C061E">
      <w:rPr>
        <w:noProof/>
      </w:rPr>
      <w:t>16-42</w:t>
    </w:r>
    <w:r w:rsidRPr="00290C63">
      <w:fldChar w:fldCharType="end"/>
    </w:r>
  </w:p>
  <w:p w:rsidR="00B8797E" w:rsidRDefault="00B8797E">
    <w:pPr>
      <w:pStyle w:val="Footer"/>
    </w:pPr>
  </w:p>
  <w:p w:rsidR="00B8797E" w:rsidRDefault="00B8797E"/>
  <w:p w:rsidR="00B8797E" w:rsidRDefault="00B8797E"/>
  <w:p w:rsidR="00B8797E" w:rsidRDefault="00B8797E"/>
  <w:p w:rsidR="00B8797E" w:rsidRDefault="00B8797E"/>
  <w:p w:rsidR="00B8797E" w:rsidRDefault="00B8797E"/>
  <w:p w:rsidR="00B8797E" w:rsidRDefault="00B8797E"/>
  <w:p w:rsidR="00B8797E" w:rsidRDefault="00B8797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97E" w:rsidRPr="00290C63" w:rsidRDefault="00B8797E" w:rsidP="00290C63">
      <w:r>
        <w:separator/>
      </w:r>
    </w:p>
    <w:p w:rsidR="00B8797E" w:rsidRDefault="00B8797E"/>
  </w:footnote>
  <w:footnote w:type="continuationSeparator" w:id="0">
    <w:p w:rsidR="00B8797E" w:rsidRPr="00290C63" w:rsidRDefault="00B8797E" w:rsidP="00290C63">
      <w:r>
        <w:continuationSeparator/>
      </w:r>
    </w:p>
    <w:p w:rsidR="00B8797E" w:rsidRDefault="00B8797E"/>
  </w:footnote>
  <w:footnote w:id="1">
    <w:p w:rsidR="00B8797E" w:rsidRDefault="00B8797E" w:rsidP="00B055A4">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TasNetworks Distribution—</w:t>
      </w:r>
      <w:r w:rsidRPr="008C1606">
        <w:rPr>
          <w:rStyle w:val="AERtextitalic"/>
        </w:rPr>
        <w:t>Regulatory control period commencing 1</w:t>
      </w:r>
      <w:r>
        <w:rPr>
          <w:rStyle w:val="AERtextitalic"/>
        </w:rPr>
        <w:t> </w:t>
      </w:r>
      <w:r w:rsidRPr="008C1606">
        <w:rPr>
          <w:rStyle w:val="AERtextitalic"/>
        </w:rPr>
        <w:t>J</w:t>
      </w:r>
      <w:r>
        <w:rPr>
          <w:rStyle w:val="AERtextitalic"/>
        </w:rPr>
        <w:t xml:space="preserve">uly </w:t>
      </w:r>
      <w:r w:rsidRPr="008C1606">
        <w:rPr>
          <w:rStyle w:val="AERtextitalic"/>
        </w:rPr>
        <w:t>201</w:t>
      </w:r>
      <w:r>
        <w:rPr>
          <w:rStyle w:val="AERtextitalic"/>
        </w:rPr>
        <w:t>7</w:t>
      </w:r>
      <w:r>
        <w:t>, July 2015</w:t>
      </w:r>
      <w:r w:rsidRPr="009274DD">
        <w:t>,</w:t>
      </w:r>
      <w:r>
        <w:t xml:space="preserve"> p. 25.</w:t>
      </w:r>
    </w:p>
  </w:footnote>
  <w:footnote w:id="2">
    <w:p w:rsidR="00B8797E" w:rsidRDefault="00B8797E" w:rsidP="00B055A4">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TasNetworks Distribution—</w:t>
      </w:r>
      <w:r w:rsidRPr="008C1606">
        <w:rPr>
          <w:rStyle w:val="AERtextitalic"/>
        </w:rPr>
        <w:t>Regulatory control period commencing 1</w:t>
      </w:r>
      <w:r>
        <w:rPr>
          <w:rStyle w:val="AERtextitalic"/>
        </w:rPr>
        <w:t> </w:t>
      </w:r>
      <w:r w:rsidRPr="008C1606">
        <w:rPr>
          <w:rStyle w:val="AERtextitalic"/>
        </w:rPr>
        <w:t>J</w:t>
      </w:r>
      <w:r>
        <w:rPr>
          <w:rStyle w:val="AERtextitalic"/>
        </w:rPr>
        <w:t xml:space="preserve">uly </w:t>
      </w:r>
      <w:r w:rsidRPr="008C1606">
        <w:rPr>
          <w:rStyle w:val="AERtextitalic"/>
        </w:rPr>
        <w:t>201</w:t>
      </w:r>
      <w:r>
        <w:rPr>
          <w:rStyle w:val="AERtextitalic"/>
        </w:rPr>
        <w:t>7</w:t>
      </w:r>
      <w:r>
        <w:t>, July 2015</w:t>
      </w:r>
      <w:r w:rsidRPr="009274DD">
        <w:t>,</w:t>
      </w:r>
      <w:r>
        <w:t xml:space="preserve"> p. 41.</w:t>
      </w:r>
    </w:p>
  </w:footnote>
  <w:footnote w:id="3">
    <w:p w:rsidR="00B8797E" w:rsidRDefault="00B8797E" w:rsidP="00B055A4">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TasNetworks Distribution—</w:t>
      </w:r>
      <w:r w:rsidRPr="008C1606">
        <w:rPr>
          <w:rStyle w:val="AERtextitalic"/>
        </w:rPr>
        <w:t>Regulatory control period commencing 1</w:t>
      </w:r>
      <w:r>
        <w:rPr>
          <w:rStyle w:val="AERtextitalic"/>
        </w:rPr>
        <w:t> </w:t>
      </w:r>
      <w:r w:rsidRPr="008C1606">
        <w:rPr>
          <w:rStyle w:val="AERtextitalic"/>
        </w:rPr>
        <w:t>J</w:t>
      </w:r>
      <w:r>
        <w:rPr>
          <w:rStyle w:val="AERtextitalic"/>
        </w:rPr>
        <w:t xml:space="preserve">uly </w:t>
      </w:r>
      <w:r w:rsidRPr="008C1606">
        <w:rPr>
          <w:rStyle w:val="AERtextitalic"/>
        </w:rPr>
        <w:t>201</w:t>
      </w:r>
      <w:r>
        <w:rPr>
          <w:rStyle w:val="AERtextitalic"/>
        </w:rPr>
        <w:t>7</w:t>
      </w:r>
      <w:r>
        <w:t>, July 2015</w:t>
      </w:r>
      <w:r w:rsidRPr="009274DD">
        <w:t>,</w:t>
      </w:r>
      <w:r>
        <w:t xml:space="preserve"> p. 41.</w:t>
      </w:r>
    </w:p>
  </w:footnote>
  <w:footnote w:id="4">
    <w:p w:rsidR="00B8797E" w:rsidRDefault="00B8797E" w:rsidP="00206777">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TasNetworks Distribution—</w:t>
      </w:r>
      <w:r w:rsidRPr="008C1606">
        <w:rPr>
          <w:rStyle w:val="AERtextitalic"/>
        </w:rPr>
        <w:t>Regulatory control period commencing 1</w:t>
      </w:r>
      <w:r>
        <w:rPr>
          <w:rStyle w:val="AERtextitalic"/>
        </w:rPr>
        <w:t> </w:t>
      </w:r>
      <w:r w:rsidRPr="008C1606">
        <w:rPr>
          <w:rStyle w:val="AERtextitalic"/>
        </w:rPr>
        <w:t>J</w:t>
      </w:r>
      <w:r>
        <w:rPr>
          <w:rStyle w:val="AERtextitalic"/>
        </w:rPr>
        <w:t xml:space="preserve">uly </w:t>
      </w:r>
      <w:r w:rsidRPr="008C1606">
        <w:rPr>
          <w:rStyle w:val="AERtextitalic"/>
        </w:rPr>
        <w:t>201</w:t>
      </w:r>
      <w:r>
        <w:rPr>
          <w:rStyle w:val="AERtextitalic"/>
        </w:rPr>
        <w:t>7</w:t>
      </w:r>
      <w:r>
        <w:t>, July 2015</w:t>
      </w:r>
      <w:r w:rsidRPr="009274DD">
        <w:t>,</w:t>
      </w:r>
      <w:r>
        <w:t xml:space="preserve"> pp. 56–57.</w:t>
      </w:r>
    </w:p>
  </w:footnote>
  <w:footnote w:id="5">
    <w:p w:rsidR="00B8797E" w:rsidRDefault="00B8797E" w:rsidP="00206777">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6">
    <w:p w:rsidR="00B8797E" w:rsidRDefault="00B8797E" w:rsidP="00FD7850">
      <w:pPr>
        <w:pStyle w:val="FootnoteText"/>
      </w:pPr>
      <w:r>
        <w:rPr>
          <w:rStyle w:val="FootnoteReference"/>
        </w:rPr>
        <w:footnoteRef/>
      </w:r>
      <w:r>
        <w:t xml:space="preserve"> </w:t>
      </w:r>
      <w:r>
        <w:tab/>
      </w:r>
      <w:r w:rsidRPr="00FD7850">
        <w:t xml:space="preserve">AER, </w:t>
      </w:r>
      <w:r w:rsidRPr="00FD7850">
        <w:rPr>
          <w:rStyle w:val="AERtextitalic"/>
        </w:rPr>
        <w:t>Final framework and approach paper for TasNetworks Distribution—Regulatory control period commencing 1</w:t>
      </w:r>
      <w:r>
        <w:rPr>
          <w:rStyle w:val="AERtextitalic"/>
        </w:rPr>
        <w:t> </w:t>
      </w:r>
      <w:r w:rsidRPr="00FD7850">
        <w:rPr>
          <w:rStyle w:val="AERtextitalic"/>
        </w:rPr>
        <w:t>July 2017</w:t>
      </w:r>
      <w:r w:rsidRPr="00FD7850">
        <w:t>, July 2015, p. 54</w:t>
      </w:r>
      <w:r>
        <w:t>.</w:t>
      </w:r>
    </w:p>
  </w:footnote>
  <w:footnote w:id="7">
    <w:p w:rsidR="00B8797E" w:rsidRDefault="00B8797E" w:rsidP="00206777">
      <w:pPr>
        <w:pStyle w:val="FootnoteText"/>
      </w:pPr>
      <w:r>
        <w:rPr>
          <w:rStyle w:val="FootnoteReference"/>
        </w:rPr>
        <w:footnoteRef/>
      </w:r>
      <w:r>
        <w:t xml:space="preserve"> </w:t>
      </w:r>
      <w:r>
        <w:tab/>
        <w:t>AER,</w:t>
      </w:r>
      <w:r w:rsidRPr="00DA7A24">
        <w:t xml:space="preserve"> </w:t>
      </w:r>
      <w:r w:rsidRPr="008C1606">
        <w:rPr>
          <w:rStyle w:val="AERtextitalic"/>
        </w:rPr>
        <w:t>F</w:t>
      </w:r>
      <w:r>
        <w:rPr>
          <w:rStyle w:val="AERtextitalic"/>
        </w:rPr>
        <w:t>inal f</w:t>
      </w:r>
      <w:r w:rsidRPr="008C1606">
        <w:rPr>
          <w:rStyle w:val="AERtextitalic"/>
        </w:rPr>
        <w:t xml:space="preserve">ramework and approach paper for </w:t>
      </w:r>
      <w:r>
        <w:rPr>
          <w:rStyle w:val="AERtextitalic"/>
        </w:rPr>
        <w:t>TasNetworks Distribution—</w:t>
      </w:r>
      <w:r w:rsidRPr="008C1606">
        <w:rPr>
          <w:rStyle w:val="AERtextitalic"/>
        </w:rPr>
        <w:t>Regulatory control period commencing 1</w:t>
      </w:r>
      <w:r>
        <w:rPr>
          <w:rStyle w:val="AERtextitalic"/>
        </w:rPr>
        <w:t> </w:t>
      </w:r>
      <w:r w:rsidRPr="008C1606">
        <w:rPr>
          <w:rStyle w:val="AERtextitalic"/>
        </w:rPr>
        <w:t>J</w:t>
      </w:r>
      <w:r>
        <w:rPr>
          <w:rStyle w:val="AERtextitalic"/>
        </w:rPr>
        <w:t xml:space="preserve">uly </w:t>
      </w:r>
      <w:r w:rsidRPr="008C1606">
        <w:rPr>
          <w:rStyle w:val="AERtextitalic"/>
        </w:rPr>
        <w:t>201</w:t>
      </w:r>
      <w:r>
        <w:rPr>
          <w:rStyle w:val="AERtextitalic"/>
        </w:rPr>
        <w:t>7</w:t>
      </w:r>
      <w:r>
        <w:t>, July 2015</w:t>
      </w:r>
      <w:r w:rsidRPr="009274DD">
        <w:t>,</w:t>
      </w:r>
      <w:r>
        <w:t xml:space="preserve"> pp. 56–57.</w:t>
      </w:r>
    </w:p>
  </w:footnote>
  <w:footnote w:id="8">
    <w:p w:rsidR="00B8797E" w:rsidRDefault="00B8797E" w:rsidP="00C26A82">
      <w:pPr>
        <w:pStyle w:val="FootnoteText"/>
      </w:pPr>
      <w:r>
        <w:rPr>
          <w:rStyle w:val="FootnoteReference"/>
        </w:rPr>
        <w:footnoteRef/>
      </w:r>
      <w:r>
        <w:t xml:space="preserve"> </w:t>
      </w:r>
      <w:r>
        <w:tab/>
      </w:r>
      <w:r w:rsidRPr="00CC65D0">
        <w:t>If the ABS does not, or ceases to, publish the index, then CPI will mean an index which the AER considers is the best available alternative index.</w:t>
      </w:r>
    </w:p>
  </w:footnote>
  <w:footnote w:id="9">
    <w:p w:rsidR="00B8797E" w:rsidRDefault="00B8797E" w:rsidP="00C26A82">
      <w:pPr>
        <w:pStyle w:val="FootnoteText"/>
      </w:pPr>
      <w:r>
        <w:rPr>
          <w:rStyle w:val="FootnoteReference"/>
        </w:rPr>
        <w:footnoteRef/>
      </w:r>
      <w:r>
        <w:t xml:space="preserve"> </w:t>
      </w:r>
      <w:r>
        <w:tab/>
      </w:r>
      <w:r w:rsidRPr="00C52A8D">
        <w:t>The X factors applied in this formula adjust for annual labour price growth.</w:t>
      </w:r>
    </w:p>
  </w:footnote>
  <w:footnote w:id="10">
    <w:p w:rsidR="00B8797E" w:rsidRDefault="00B8797E" w:rsidP="00206777">
      <w:pPr>
        <w:pStyle w:val="FootnoteText"/>
      </w:pPr>
      <w:r>
        <w:rPr>
          <w:rStyle w:val="FootnoteReference"/>
        </w:rPr>
        <w:footnoteRef/>
      </w:r>
      <w:r>
        <w:t xml:space="preserve"> </w:t>
      </w:r>
      <w:r>
        <w:tab/>
        <w:t xml:space="preserve">TasNetworks, </w:t>
      </w:r>
      <w:r w:rsidRPr="00BF454F">
        <w:rPr>
          <w:rStyle w:val="AERtextitalic"/>
        </w:rPr>
        <w:t>Alternative control services descriptions paper: Regulatory control period 1 July 2017 to 30 June 2019</w:t>
      </w:r>
      <w:r>
        <w:t xml:space="preserve">, January 2016, p. 19; TasNetworks, </w:t>
      </w:r>
      <w:r w:rsidRPr="0026607E">
        <w:rPr>
          <w:rStyle w:val="AERtextitalic"/>
        </w:rPr>
        <w:t>TasNetworks (Ancillary service fees model)</w:t>
      </w:r>
      <w:r>
        <w:t>, January 2016.</w:t>
      </w:r>
    </w:p>
  </w:footnote>
  <w:footnote w:id="11">
    <w:p w:rsidR="00B8797E" w:rsidRDefault="00B8797E" w:rsidP="00206777">
      <w:pPr>
        <w:pStyle w:val="FootnoteText"/>
      </w:pPr>
      <w:r>
        <w:rPr>
          <w:rStyle w:val="FootnoteReference"/>
        </w:rPr>
        <w:footnoteRef/>
      </w:r>
      <w:r>
        <w:t xml:space="preserve"> </w:t>
      </w:r>
      <w:r>
        <w:tab/>
        <w:t>TasNetworks,</w:t>
      </w:r>
      <w:r w:rsidRPr="00DA7A24">
        <w:t xml:space="preserve"> </w:t>
      </w:r>
      <w:r>
        <w:rPr>
          <w:rStyle w:val="AERtextitalic"/>
        </w:rPr>
        <w:t>Tasmanian distribution regulatory proposal—Regulatory control period 1 July 2017 to 30 June 2019</w:t>
      </w:r>
      <w:r>
        <w:t>, 29 January 2016</w:t>
      </w:r>
      <w:r w:rsidRPr="009274DD">
        <w:t>,</w:t>
      </w:r>
      <w:r>
        <w:t xml:space="preserve"> p. 146.</w:t>
      </w:r>
    </w:p>
  </w:footnote>
  <w:footnote w:id="12">
    <w:p w:rsidR="00B8797E" w:rsidRDefault="00B8797E" w:rsidP="00206777">
      <w:pPr>
        <w:pStyle w:val="FootnoteText"/>
      </w:pPr>
      <w:r>
        <w:rPr>
          <w:rStyle w:val="FootnoteReference"/>
        </w:rPr>
        <w:footnoteRef/>
      </w:r>
      <w:r>
        <w:t xml:space="preserve"> </w:t>
      </w:r>
      <w:r>
        <w:tab/>
        <w:t>TasNetworks,</w:t>
      </w:r>
      <w:r w:rsidRPr="00DA7A24">
        <w:t xml:space="preserve"> </w:t>
      </w:r>
      <w:r>
        <w:rPr>
          <w:rStyle w:val="AERtextitalic"/>
        </w:rPr>
        <w:t>Tasmanian distribution regulatory proposal—Regulatory control period 1 July 2017 to 30 June 2019</w:t>
      </w:r>
      <w:r>
        <w:t>, 29 January 2016</w:t>
      </w:r>
      <w:r w:rsidRPr="009274DD">
        <w:t>,</w:t>
      </w:r>
      <w:r>
        <w:t xml:space="preserve"> p. 147.</w:t>
      </w:r>
    </w:p>
  </w:footnote>
  <w:footnote w:id="13">
    <w:p w:rsidR="00B8797E" w:rsidRDefault="00B8797E" w:rsidP="00206777">
      <w:pPr>
        <w:pStyle w:val="FootnoteText"/>
      </w:pPr>
      <w:r>
        <w:rPr>
          <w:rStyle w:val="FootnoteReference"/>
        </w:rPr>
        <w:footnoteRef/>
      </w:r>
      <w:r>
        <w:t xml:space="preserve"> </w:t>
      </w:r>
      <w:r>
        <w:tab/>
        <w:t xml:space="preserve">TasNetworks, </w:t>
      </w:r>
      <w:r w:rsidRPr="00BF454F">
        <w:rPr>
          <w:rStyle w:val="AERtextitalic"/>
        </w:rPr>
        <w:t>Alternative control services descriptions paper: Regulatory control period 1 July 2017 to 30 June 2019</w:t>
      </w:r>
      <w:r>
        <w:t>, January 2016, p. 19.</w:t>
      </w:r>
    </w:p>
  </w:footnote>
  <w:footnote w:id="14">
    <w:p w:rsidR="00B8797E" w:rsidRDefault="00B8797E">
      <w:pPr>
        <w:pStyle w:val="FootnoteText"/>
      </w:pPr>
      <w:r>
        <w:rPr>
          <w:rStyle w:val="FootnoteReference"/>
        </w:rPr>
        <w:footnoteRef/>
      </w:r>
      <w:r>
        <w:t xml:space="preserve"> </w:t>
      </w:r>
      <w:r>
        <w:tab/>
        <w:t>NEL, s. 7A and 16.</w:t>
      </w:r>
    </w:p>
  </w:footnote>
  <w:footnote w:id="15">
    <w:p w:rsidR="00B8797E" w:rsidRDefault="00B8797E" w:rsidP="00EB6FB9">
      <w:pPr>
        <w:pStyle w:val="FootnoteText"/>
      </w:pPr>
      <w:r>
        <w:rPr>
          <w:rStyle w:val="FootnoteReference"/>
        </w:rPr>
        <w:footnoteRef/>
      </w:r>
      <w:r>
        <w:t xml:space="preserve"> </w:t>
      </w:r>
      <w:r>
        <w:tab/>
        <w:t>AER</w:t>
      </w:r>
      <w:r>
        <w:tab/>
        <w:t>,</w:t>
      </w:r>
      <w:r w:rsidRPr="00CE2087">
        <w:rPr>
          <w:rStyle w:val="AERtextitalic"/>
        </w:rPr>
        <w:t xml:space="preserve"> </w:t>
      </w:r>
      <w:r>
        <w:rPr>
          <w:rStyle w:val="AERtextitalic"/>
        </w:rPr>
        <w:t>Final decision: Ergon Energy determination 2015–16 to 2019–20</w:t>
      </w:r>
      <w:r>
        <w:t xml:space="preserve">, October </w:t>
      </w:r>
      <w:r w:rsidRPr="00CE2087">
        <w:t>201</w:t>
      </w:r>
      <w:r>
        <w:t>5</w:t>
      </w:r>
      <w:r w:rsidRPr="00CE2087">
        <w:t>, p. </w:t>
      </w:r>
      <w:r>
        <w:t xml:space="preserve">16–13;  </w:t>
      </w:r>
      <w:r w:rsidRPr="00CE2087">
        <w:t>AER,</w:t>
      </w:r>
      <w:r w:rsidRPr="00CE2087">
        <w:rPr>
          <w:rStyle w:val="AERtextitalic"/>
        </w:rPr>
        <w:t xml:space="preserve"> Final decision</w:t>
      </w:r>
      <w:r>
        <w:rPr>
          <w:rStyle w:val="AERtextitalic"/>
        </w:rPr>
        <w:t xml:space="preserve">: Essential </w:t>
      </w:r>
      <w:r w:rsidRPr="00CE2087">
        <w:rPr>
          <w:rStyle w:val="AERtextitalic"/>
        </w:rPr>
        <w:t xml:space="preserve">Energy </w:t>
      </w:r>
      <w:r>
        <w:rPr>
          <w:rStyle w:val="AERtextitalic"/>
        </w:rPr>
        <w:t xml:space="preserve">distribution </w:t>
      </w:r>
      <w:r w:rsidRPr="00CE2087">
        <w:rPr>
          <w:rStyle w:val="AERtextitalic"/>
        </w:rPr>
        <w:t xml:space="preserve">determination 2015–16 to </w:t>
      </w:r>
      <w:r>
        <w:rPr>
          <w:rStyle w:val="AERtextitalic"/>
        </w:rPr>
        <w:t>2018</w:t>
      </w:r>
      <w:r w:rsidRPr="00CE2087">
        <w:rPr>
          <w:rStyle w:val="AERtextitalic"/>
        </w:rPr>
        <w:t>–</w:t>
      </w:r>
      <w:r>
        <w:rPr>
          <w:rStyle w:val="AERtextitalic"/>
        </w:rPr>
        <w:t>19</w:t>
      </w:r>
      <w:r w:rsidRPr="00CE2087">
        <w:t>, October 2015, p. 16–</w:t>
      </w:r>
      <w:r>
        <w:t>15</w:t>
      </w:r>
      <w:r w:rsidRPr="00CE2087">
        <w:t>;</w:t>
      </w:r>
      <w:r>
        <w:t xml:space="preserve"> </w:t>
      </w:r>
      <w:r w:rsidRPr="00EE7DE3">
        <w:t>AER,</w:t>
      </w:r>
      <w:r w:rsidRPr="00EE7DE3">
        <w:rPr>
          <w:rStyle w:val="AERtextitalic"/>
        </w:rPr>
        <w:t xml:space="preserve"> Final decision</w:t>
      </w:r>
      <w:r>
        <w:rPr>
          <w:rStyle w:val="AERtextitalic"/>
        </w:rPr>
        <w:t>: CitiPower</w:t>
      </w:r>
      <w:r w:rsidRPr="00EE7DE3">
        <w:rPr>
          <w:rStyle w:val="AERtextitalic"/>
        </w:rPr>
        <w:t xml:space="preserve"> distribution determination 2016 to 20</w:t>
      </w:r>
      <w:r>
        <w:rPr>
          <w:rStyle w:val="AERtextitalic"/>
        </w:rPr>
        <w:t>20</w:t>
      </w:r>
      <w:r w:rsidRPr="00EE7DE3">
        <w:t xml:space="preserve">, </w:t>
      </w:r>
      <w:r>
        <w:t>May</w:t>
      </w:r>
      <w:r w:rsidRPr="00EE7DE3">
        <w:t xml:space="preserve"> 201</w:t>
      </w:r>
      <w:r>
        <w:t>6</w:t>
      </w:r>
      <w:r w:rsidRPr="00EE7DE3">
        <w:t>, p. 16–1</w:t>
      </w:r>
      <w:r>
        <w:t>1.</w:t>
      </w:r>
    </w:p>
  </w:footnote>
  <w:footnote w:id="16">
    <w:p w:rsidR="00B8797E" w:rsidRDefault="00B8797E" w:rsidP="00422D2A">
      <w:pPr>
        <w:pStyle w:val="FootnoteText"/>
      </w:pPr>
      <w:r>
        <w:rPr>
          <w:rStyle w:val="FootnoteReference"/>
        </w:rPr>
        <w:footnoteRef/>
      </w:r>
      <w:r>
        <w:t xml:space="preserve"> </w:t>
      </w:r>
      <w:r>
        <w:tab/>
        <w:t xml:space="preserve">Hays, </w:t>
      </w:r>
      <w:r w:rsidRPr="00C53A02">
        <w:rPr>
          <w:rStyle w:val="AERtextitalic"/>
        </w:rPr>
        <w:t>The 2014 Hays salary guide: salary &amp; recruiting trends</w:t>
      </w:r>
      <w:r>
        <w:t>, 2014.</w:t>
      </w:r>
    </w:p>
  </w:footnote>
  <w:footnote w:id="17">
    <w:p w:rsidR="00B8797E" w:rsidRDefault="00B8797E" w:rsidP="00122464">
      <w:pPr>
        <w:pStyle w:val="FootnoteText"/>
      </w:pPr>
      <w:r>
        <w:rPr>
          <w:rStyle w:val="FootnoteReference"/>
        </w:rPr>
        <w:footnoteRef/>
      </w:r>
      <w:r>
        <w:t xml:space="preserve"> </w:t>
      </w:r>
      <w:r>
        <w:tab/>
      </w:r>
      <w:r w:rsidRPr="00CE2087">
        <w:t>AER</w:t>
      </w:r>
      <w:r w:rsidRPr="00CE2087">
        <w:tab/>
        <w:t>,</w:t>
      </w:r>
      <w:r w:rsidRPr="00CE2087">
        <w:rPr>
          <w:rStyle w:val="AERtextitalic"/>
        </w:rPr>
        <w:t xml:space="preserve"> Final decision</w:t>
      </w:r>
      <w:r>
        <w:rPr>
          <w:rStyle w:val="AERtextitalic"/>
        </w:rPr>
        <w:t xml:space="preserve">: </w:t>
      </w:r>
      <w:r w:rsidRPr="00CE2087">
        <w:rPr>
          <w:rStyle w:val="AERtextitalic"/>
        </w:rPr>
        <w:t>Ergon Energy determination 2015–16 to 2019–20</w:t>
      </w:r>
      <w:r w:rsidRPr="00CE2087">
        <w:t>, October 2015, p. 16–13</w:t>
      </w:r>
      <w:r>
        <w:t xml:space="preserve">; </w:t>
      </w:r>
      <w:r w:rsidRPr="00C153E2">
        <w:t>AER,</w:t>
      </w:r>
      <w:r w:rsidRPr="00C153E2">
        <w:rPr>
          <w:rStyle w:val="AERtextitalic"/>
        </w:rPr>
        <w:t xml:space="preserve"> Final decision</w:t>
      </w:r>
      <w:r>
        <w:rPr>
          <w:rStyle w:val="AERtextitalic"/>
        </w:rPr>
        <w:t xml:space="preserve">: </w:t>
      </w:r>
      <w:r w:rsidRPr="00C153E2">
        <w:rPr>
          <w:rStyle w:val="AERtextitalic"/>
        </w:rPr>
        <w:t>Essential Energy distribution determination 2015–16 to 2018–19</w:t>
      </w:r>
      <w:r w:rsidRPr="00C153E2">
        <w:t>, October 2015, p. 16–</w:t>
      </w:r>
      <w:r>
        <w:t xml:space="preserve">12 to 16–13; </w:t>
      </w:r>
      <w:r w:rsidRPr="00EE7DE3">
        <w:t>AER,</w:t>
      </w:r>
      <w:r w:rsidRPr="00EE7DE3">
        <w:rPr>
          <w:rStyle w:val="AERtextitalic"/>
        </w:rPr>
        <w:t xml:space="preserve"> Final decision</w:t>
      </w:r>
      <w:r>
        <w:rPr>
          <w:rStyle w:val="AERtextitalic"/>
        </w:rPr>
        <w:t xml:space="preserve">: </w:t>
      </w:r>
      <w:r w:rsidRPr="00EE7DE3">
        <w:rPr>
          <w:rStyle w:val="AERtextitalic"/>
        </w:rPr>
        <w:t>CitiPower distribution determination 2016 to 2020</w:t>
      </w:r>
      <w:r w:rsidRPr="00EE7DE3">
        <w:t>, May 2016, p. 16–11.</w:t>
      </w:r>
    </w:p>
  </w:footnote>
  <w:footnote w:id="18">
    <w:p w:rsidR="00B8797E" w:rsidRDefault="00B8797E" w:rsidP="00422D2A">
      <w:pPr>
        <w:pStyle w:val="FootnoteText"/>
      </w:pPr>
      <w:r>
        <w:rPr>
          <w:rStyle w:val="FootnoteReference"/>
        </w:rPr>
        <w:footnoteRef/>
      </w:r>
      <w:r>
        <w:t xml:space="preserve"> </w:t>
      </w:r>
      <w:r>
        <w:tab/>
        <w:t xml:space="preserve">TasNetworks, </w:t>
      </w:r>
      <w:r w:rsidRPr="0026607E">
        <w:rPr>
          <w:rStyle w:val="AERtextitalic"/>
        </w:rPr>
        <w:t>TasNetworks (Ancillary service fees model)</w:t>
      </w:r>
      <w:r>
        <w:t>, January 2016.</w:t>
      </w:r>
    </w:p>
  </w:footnote>
  <w:footnote w:id="19">
    <w:p w:rsidR="00B8797E" w:rsidRDefault="00B8797E" w:rsidP="00422D2A">
      <w:pPr>
        <w:pStyle w:val="FootnoteText"/>
      </w:pPr>
      <w:r>
        <w:rPr>
          <w:rStyle w:val="FootnoteReference"/>
        </w:rPr>
        <w:footnoteRef/>
      </w:r>
      <w:r>
        <w:t xml:space="preserve"> </w:t>
      </w:r>
      <w:r>
        <w:tab/>
        <w:t xml:space="preserve">TasNetworks, </w:t>
      </w:r>
      <w:r w:rsidRPr="003B11B1">
        <w:rPr>
          <w:rStyle w:val="AERtextitalic"/>
        </w:rPr>
        <w:t>AER information request: TasNetworks response to questions raised by the AER</w:t>
      </w:r>
      <w:r>
        <w:rPr>
          <w:rStyle w:val="AERtextitalic"/>
        </w:rPr>
        <w:t xml:space="preserve"> – IR008</w:t>
      </w:r>
      <w:r>
        <w:t>, 10 May 2016, p. 8.</w:t>
      </w:r>
    </w:p>
  </w:footnote>
  <w:footnote w:id="20">
    <w:p w:rsidR="00B8797E" w:rsidRDefault="00B8797E" w:rsidP="00422D2A">
      <w:pPr>
        <w:pStyle w:val="FootnoteText"/>
      </w:pPr>
      <w:r>
        <w:rPr>
          <w:rStyle w:val="FootnoteReference"/>
        </w:rPr>
        <w:footnoteRef/>
      </w:r>
      <w:r>
        <w:t xml:space="preserve"> </w:t>
      </w:r>
      <w:r>
        <w:tab/>
        <w:t>TasNetworks</w:t>
      </w:r>
      <w:r w:rsidRPr="00911EDA">
        <w:t xml:space="preserve">, </w:t>
      </w:r>
      <w:r>
        <w:rPr>
          <w:rStyle w:val="AERtextitalic"/>
        </w:rPr>
        <w:t>TasNetworks' response to questions raised by the AER IR#008</w:t>
      </w:r>
      <w:r>
        <w:t>, 24 May 2016</w:t>
      </w:r>
      <w:r w:rsidRPr="00911EDA">
        <w:t>.</w:t>
      </w:r>
    </w:p>
  </w:footnote>
  <w:footnote w:id="21">
    <w:p w:rsidR="00B8797E" w:rsidRDefault="00B8797E" w:rsidP="00422D2A">
      <w:pPr>
        <w:pStyle w:val="FootnoteText"/>
      </w:pPr>
      <w:r>
        <w:rPr>
          <w:rStyle w:val="FootnoteReference"/>
        </w:rPr>
        <w:footnoteRef/>
      </w:r>
      <w:r>
        <w:t xml:space="preserve"> </w:t>
      </w:r>
      <w:r>
        <w:tab/>
        <w:t xml:space="preserve">TasNetworks, </w:t>
      </w:r>
      <w:r w:rsidRPr="0026607E">
        <w:rPr>
          <w:rStyle w:val="AERtextitalic"/>
        </w:rPr>
        <w:t>TasNetworks (Ancillary service fees model)</w:t>
      </w:r>
      <w:r>
        <w:t>, January 2016.</w:t>
      </w:r>
    </w:p>
  </w:footnote>
  <w:footnote w:id="22">
    <w:p w:rsidR="00B8797E" w:rsidRDefault="00B8797E" w:rsidP="00422D2A">
      <w:pPr>
        <w:pStyle w:val="FootnoteText"/>
      </w:pPr>
      <w:r>
        <w:rPr>
          <w:rStyle w:val="FootnoteReference"/>
        </w:rPr>
        <w:footnoteRef/>
      </w:r>
      <w:r>
        <w:t xml:space="preserve"> </w:t>
      </w:r>
      <w:r>
        <w:tab/>
        <w:t xml:space="preserve">TasNetworks, </w:t>
      </w:r>
      <w:r w:rsidRPr="003B11B1">
        <w:rPr>
          <w:rStyle w:val="AERtextitalic"/>
        </w:rPr>
        <w:t>AER information request: TasNetworks response to questions raised by the AER</w:t>
      </w:r>
      <w:r>
        <w:rPr>
          <w:rStyle w:val="AERtextitalic"/>
        </w:rPr>
        <w:t xml:space="preserve"> – IR008</w:t>
      </w:r>
      <w:r>
        <w:t>, 10 May 2016, pp. 8–9.</w:t>
      </w:r>
    </w:p>
  </w:footnote>
  <w:footnote w:id="23">
    <w:p w:rsidR="00B8797E" w:rsidRDefault="00B8797E" w:rsidP="007A3264">
      <w:pPr>
        <w:pStyle w:val="FootnoteText"/>
      </w:pPr>
      <w:r>
        <w:rPr>
          <w:rStyle w:val="FootnoteReference"/>
        </w:rPr>
        <w:footnoteRef/>
      </w:r>
      <w:r>
        <w:t xml:space="preserve"> </w:t>
      </w:r>
      <w:r>
        <w:tab/>
        <w:t xml:space="preserve">TasNetworks, </w:t>
      </w:r>
      <w:r w:rsidRPr="0026607E">
        <w:rPr>
          <w:rStyle w:val="AERtextitalic"/>
        </w:rPr>
        <w:t>TasNetworks (Ancillary service fees model)</w:t>
      </w:r>
      <w:r>
        <w:t>, January 2016.</w:t>
      </w:r>
    </w:p>
  </w:footnote>
  <w:footnote w:id="24">
    <w:p w:rsidR="00B8797E" w:rsidRDefault="00B8797E" w:rsidP="007A3264">
      <w:pPr>
        <w:pStyle w:val="FootnoteText"/>
      </w:pPr>
      <w:r>
        <w:rPr>
          <w:rStyle w:val="FootnoteReference"/>
        </w:rPr>
        <w:footnoteRef/>
      </w:r>
      <w:r>
        <w:t xml:space="preserve"> </w:t>
      </w:r>
      <w:r>
        <w:tab/>
        <w:t xml:space="preserve">TasNetworks, </w:t>
      </w:r>
      <w:r w:rsidRPr="003B11B1">
        <w:rPr>
          <w:rStyle w:val="AERtextitalic"/>
        </w:rPr>
        <w:t>AER information request: TasNetworks response to questions raised by the AER</w:t>
      </w:r>
      <w:r>
        <w:rPr>
          <w:rStyle w:val="AERtextitalic"/>
        </w:rPr>
        <w:t xml:space="preserve"> – IR008</w:t>
      </w:r>
      <w:r>
        <w:t>, 10 May 2016, pp. 8–9.</w:t>
      </w:r>
    </w:p>
  </w:footnote>
  <w:footnote w:id="25">
    <w:p w:rsidR="00B8797E" w:rsidRDefault="00B8797E" w:rsidP="009A139E">
      <w:pPr>
        <w:pStyle w:val="FootnoteText"/>
      </w:pPr>
      <w:r>
        <w:rPr>
          <w:rStyle w:val="FootnoteReference"/>
        </w:rPr>
        <w:footnoteRef/>
      </w:r>
      <w:r>
        <w:t xml:space="preserve"> </w:t>
      </w:r>
      <w:r>
        <w:tab/>
        <w:t>AER</w:t>
      </w:r>
      <w:r w:rsidRPr="00911EDA">
        <w:t xml:space="preserve">, </w:t>
      </w:r>
      <w:r>
        <w:rPr>
          <w:rStyle w:val="AERtextitalic"/>
        </w:rPr>
        <w:t>Preliminary decision: United Energy distribution determination 2016 to 2020—Attachment 16—Alternative control services</w:t>
      </w:r>
      <w:r w:rsidRPr="00911EDA">
        <w:t xml:space="preserve">, </w:t>
      </w:r>
      <w:r>
        <w:t>29 October 2015, p. 16–13</w:t>
      </w:r>
      <w:r w:rsidRPr="00911EDA">
        <w:t>.</w:t>
      </w:r>
    </w:p>
  </w:footnote>
  <w:footnote w:id="26">
    <w:p w:rsidR="00B8797E" w:rsidRDefault="00B8797E" w:rsidP="00BF4B83">
      <w:pPr>
        <w:pStyle w:val="FootnoteText"/>
      </w:pPr>
      <w:r>
        <w:rPr>
          <w:rStyle w:val="FootnoteReference"/>
        </w:rPr>
        <w:footnoteRef/>
      </w:r>
      <w:r>
        <w:t xml:space="preserve"> </w:t>
      </w:r>
      <w:r>
        <w:tab/>
        <w:t>AER</w:t>
      </w:r>
      <w:r w:rsidRPr="00911EDA">
        <w:t xml:space="preserve">, </w:t>
      </w:r>
      <w:r>
        <w:rPr>
          <w:rStyle w:val="AERtextitalic"/>
        </w:rPr>
        <w:t>Preliminary decision: United Energy distribution determination 2016 to 2020—Attachment 16—Alternative control services</w:t>
      </w:r>
      <w:r w:rsidRPr="00911EDA">
        <w:t xml:space="preserve">, </w:t>
      </w:r>
      <w:r>
        <w:t>29 October 2015, p. 16–13</w:t>
      </w:r>
      <w:r w:rsidRPr="00911EDA">
        <w:t>.</w:t>
      </w:r>
    </w:p>
  </w:footnote>
  <w:footnote w:id="27">
    <w:p w:rsidR="00B8797E" w:rsidRDefault="00B8797E" w:rsidP="00C95BBB">
      <w:pPr>
        <w:pStyle w:val="FootnoteText"/>
      </w:pPr>
      <w:r>
        <w:rPr>
          <w:rStyle w:val="FootnoteReference"/>
        </w:rPr>
        <w:footnoteRef/>
      </w:r>
      <w:r>
        <w:t xml:space="preserve"> </w:t>
      </w:r>
      <w:r>
        <w:tab/>
        <w:t xml:space="preserve">TasNetworks, </w:t>
      </w:r>
      <w:r w:rsidRPr="003B11B1">
        <w:rPr>
          <w:rStyle w:val="AERtextitalic"/>
        </w:rPr>
        <w:t>AER information request: TasNetworks response to questions raised by the AER</w:t>
      </w:r>
      <w:r>
        <w:rPr>
          <w:rStyle w:val="AERtextitalic"/>
        </w:rPr>
        <w:t xml:space="preserve"> – IR008</w:t>
      </w:r>
      <w:r>
        <w:t>, 10 May 2016, p. 7.</w:t>
      </w:r>
    </w:p>
  </w:footnote>
  <w:footnote w:id="28">
    <w:p w:rsidR="00B8797E" w:rsidRDefault="00B8797E">
      <w:pPr>
        <w:pStyle w:val="FootnoteText"/>
      </w:pPr>
      <w:r>
        <w:rPr>
          <w:rStyle w:val="FootnoteReference"/>
        </w:rPr>
        <w:footnoteRef/>
      </w:r>
      <w:r>
        <w:t xml:space="preserve"> </w:t>
      </w:r>
      <w:r>
        <w:tab/>
        <w:t xml:space="preserve">For example, see: CitiPower, </w:t>
      </w:r>
      <w:r w:rsidRPr="0033723D">
        <w:rPr>
          <w:rStyle w:val="AERtextitalic"/>
        </w:rPr>
        <w:t>Regulatory proposal 2016–20</w:t>
      </w:r>
      <w:r w:rsidRPr="0033723D">
        <w:t>, 30 April 2015,</w:t>
      </w:r>
      <w:r>
        <w:t xml:space="preserve"> pp. 291, 298, </w:t>
      </w:r>
    </w:p>
  </w:footnote>
  <w:footnote w:id="29">
    <w:p w:rsidR="00B8797E" w:rsidRDefault="00B8797E" w:rsidP="00677107">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30">
    <w:p w:rsidR="00B8797E" w:rsidRDefault="00B8797E">
      <w:pPr>
        <w:pStyle w:val="FootnoteText"/>
      </w:pPr>
      <w:r>
        <w:rPr>
          <w:rStyle w:val="FootnoteReference"/>
        </w:rPr>
        <w:footnoteRef/>
      </w:r>
      <w:r>
        <w:t xml:space="preserve"> </w:t>
      </w:r>
      <w:r w:rsidRPr="00B65CF0">
        <w:t xml:space="preserve">TasNetworks, </w:t>
      </w:r>
      <w:r w:rsidRPr="00B65CF0">
        <w:rPr>
          <w:rStyle w:val="AERtextitalic"/>
        </w:rPr>
        <w:t>TasNetworks (</w:t>
      </w:r>
      <w:r>
        <w:rPr>
          <w:rStyle w:val="AERtextitalic"/>
        </w:rPr>
        <w:t>Public Lighting</w:t>
      </w:r>
      <w:r w:rsidRPr="00B65CF0">
        <w:rPr>
          <w:rStyle w:val="AERtextitalic"/>
        </w:rPr>
        <w:t xml:space="preserve"> model)</w:t>
      </w:r>
      <w:r w:rsidRPr="00B65CF0">
        <w:t>, January 2016.</w:t>
      </w:r>
    </w:p>
  </w:footnote>
  <w:footnote w:id="31">
    <w:p w:rsidR="00B8797E" w:rsidRDefault="00B8797E">
      <w:pPr>
        <w:pStyle w:val="FootnoteText"/>
      </w:pPr>
      <w:r>
        <w:rPr>
          <w:rStyle w:val="FootnoteReference"/>
        </w:rPr>
        <w:footnoteRef/>
      </w:r>
      <w:r>
        <w:t xml:space="preserve"> </w:t>
      </w:r>
      <w:r w:rsidR="00F8269D">
        <w:t xml:space="preserve">CCP (David Headberry), </w:t>
      </w:r>
      <w:r w:rsidR="00F8269D" w:rsidRPr="00F94244">
        <w:rPr>
          <w:rStyle w:val="AERtextitalic"/>
        </w:rPr>
        <w:t xml:space="preserve">Submission </w:t>
      </w:r>
      <w:r w:rsidR="00F8269D">
        <w:rPr>
          <w:rStyle w:val="AERtextitalic"/>
        </w:rPr>
        <w:t>to the AER, Response to the proposal from Tasmania's electricity distribution network service provider (TasNetworks - TND) for a revenue reset for the 2017–19 regulatory period</w:t>
      </w:r>
      <w:r>
        <w:t xml:space="preserve">, </w:t>
      </w:r>
      <w:r w:rsidR="00F8269D">
        <w:t xml:space="preserve">4 </w:t>
      </w:r>
      <w:r>
        <w:t xml:space="preserve">May 2016, p. 48. </w:t>
      </w:r>
    </w:p>
  </w:footnote>
  <w:footnote w:id="32">
    <w:p w:rsidR="00B8797E" w:rsidRDefault="00B8797E" w:rsidP="009B3860">
      <w:pPr>
        <w:pStyle w:val="FootnoteText"/>
      </w:pPr>
      <w:r>
        <w:rPr>
          <w:rStyle w:val="FootnoteReference"/>
        </w:rPr>
        <w:footnoteRef/>
      </w:r>
      <w:r>
        <w:t xml:space="preserve"> </w:t>
      </w:r>
      <w:r>
        <w:tab/>
        <w:t xml:space="preserve">AER, </w:t>
      </w:r>
      <w:r>
        <w:rPr>
          <w:rStyle w:val="AERtextitalic"/>
        </w:rPr>
        <w:t>Framework and approach for TasNetworks distribution: For the regulatory control period commencing 1 July 2017</w:t>
      </w:r>
      <w:r>
        <w:t>, July 2015, p. 24.</w:t>
      </w:r>
    </w:p>
  </w:footnote>
  <w:footnote w:id="33">
    <w:p w:rsidR="00B8797E" w:rsidRDefault="00B8797E" w:rsidP="009B3860">
      <w:pPr>
        <w:pStyle w:val="FootnoteText"/>
      </w:pPr>
      <w:r>
        <w:rPr>
          <w:rStyle w:val="FootnoteReference"/>
        </w:rPr>
        <w:footnoteRef/>
      </w:r>
      <w:r>
        <w:t xml:space="preserve"> </w:t>
      </w:r>
      <w:r>
        <w:tab/>
      </w:r>
      <w:r w:rsidRPr="0093166A">
        <w:t>AEMC</w:t>
      </w:r>
      <w:r w:rsidRPr="0093166A">
        <w:rPr>
          <w:rStyle w:val="AERtextitalic"/>
        </w:rPr>
        <w:t>, Final rule determination: Expanding competition in metering and related services</w:t>
      </w:r>
      <w:r w:rsidRPr="0093166A">
        <w:t>, 26 November 2015,</w:t>
      </w:r>
    </w:p>
  </w:footnote>
  <w:footnote w:id="34">
    <w:p w:rsidR="00B8797E" w:rsidRDefault="00B8797E" w:rsidP="009B3860">
      <w:pPr>
        <w:pStyle w:val="FootnoteText"/>
      </w:pPr>
      <w:r>
        <w:rPr>
          <w:rStyle w:val="FootnoteReference"/>
        </w:rPr>
        <w:footnoteRef/>
      </w:r>
      <w:r>
        <w:t xml:space="preserve"> </w:t>
      </w:r>
      <w:r>
        <w:tab/>
      </w:r>
      <w:r w:rsidRPr="00316D18">
        <w:t>AEMC</w:t>
      </w:r>
      <w:r w:rsidRPr="00316D18">
        <w:rPr>
          <w:rStyle w:val="AERtextitalic"/>
        </w:rPr>
        <w:t>, Final rule determination: Expanding competition in metering and related services</w:t>
      </w:r>
      <w:r w:rsidRPr="00316D18">
        <w:t xml:space="preserve">, 26 </w:t>
      </w:r>
      <w:r>
        <w:t xml:space="preserve">November 2015, </w:t>
      </w:r>
      <w:r>
        <w:tab/>
        <w:t>p. i.</w:t>
      </w:r>
    </w:p>
  </w:footnote>
  <w:footnote w:id="35">
    <w:p w:rsidR="00B8797E" w:rsidRDefault="00B8797E" w:rsidP="009B3860">
      <w:pPr>
        <w:pStyle w:val="FootnoteText"/>
      </w:pPr>
      <w:r>
        <w:rPr>
          <w:rStyle w:val="FootnoteReference"/>
        </w:rPr>
        <w:footnoteRef/>
      </w:r>
      <w:r>
        <w:t xml:space="preserve"> </w:t>
      </w:r>
      <w:r>
        <w:tab/>
      </w:r>
      <w:r w:rsidRPr="00316D18">
        <w:t>AEMC</w:t>
      </w:r>
      <w:r w:rsidRPr="00316D18">
        <w:rPr>
          <w:rStyle w:val="AERtextitalic"/>
        </w:rPr>
        <w:t>, Final rule determination: Expanding competition in metering and related services</w:t>
      </w:r>
      <w:r w:rsidRPr="00316D18">
        <w:t xml:space="preserve">, 26 </w:t>
      </w:r>
      <w:r>
        <w:t>November 2015, p. iii–iv.</w:t>
      </w:r>
    </w:p>
  </w:footnote>
  <w:footnote w:id="36">
    <w:p w:rsidR="00B8797E" w:rsidRDefault="00B8797E" w:rsidP="009B3860">
      <w:pPr>
        <w:pStyle w:val="FootnoteText"/>
      </w:pPr>
      <w:r>
        <w:rPr>
          <w:rStyle w:val="FootnoteReference"/>
        </w:rPr>
        <w:footnoteRef/>
      </w:r>
      <w:r>
        <w:t xml:space="preserve"> </w:t>
      </w:r>
      <w:r>
        <w:tab/>
      </w:r>
      <w:r w:rsidRPr="00EE041B">
        <w:t>AEMC</w:t>
      </w:r>
      <w:r w:rsidRPr="00EE041B">
        <w:rPr>
          <w:rStyle w:val="AERtextitalic"/>
        </w:rPr>
        <w:t>, Final rule determination: Expanding competition in metering and related services</w:t>
      </w:r>
      <w:r w:rsidRPr="00EE041B">
        <w:t>, 26 November 2015</w:t>
      </w:r>
      <w:r>
        <w:t>, p. 46</w:t>
      </w:r>
      <w:r w:rsidRPr="00EE041B">
        <w:t>.</w:t>
      </w:r>
    </w:p>
  </w:footnote>
  <w:footnote w:id="37">
    <w:p w:rsidR="00B8797E" w:rsidRDefault="00B8797E" w:rsidP="009B3860">
      <w:pPr>
        <w:pStyle w:val="FootnoteText"/>
      </w:pPr>
      <w:r>
        <w:rPr>
          <w:rStyle w:val="FootnoteReference"/>
        </w:rPr>
        <w:footnoteRef/>
      </w:r>
      <w:r>
        <w:t xml:space="preserve"> </w:t>
      </w:r>
      <w:r>
        <w:tab/>
      </w:r>
      <w:r w:rsidRPr="00EE041B">
        <w:t>AEMC</w:t>
      </w:r>
      <w:r w:rsidRPr="00EE041B">
        <w:rPr>
          <w:rStyle w:val="AERtextitalic"/>
        </w:rPr>
        <w:t>, Final rule determination: Expanding competition in metering and related services</w:t>
      </w:r>
      <w:r w:rsidRPr="00EE041B">
        <w:t>, 26 November 2015, p. 46.</w:t>
      </w:r>
    </w:p>
  </w:footnote>
  <w:footnote w:id="38">
    <w:p w:rsidR="00B8797E" w:rsidRDefault="00B8797E" w:rsidP="009B3860">
      <w:pPr>
        <w:pStyle w:val="FootnoteText"/>
      </w:pPr>
      <w:r>
        <w:rPr>
          <w:rStyle w:val="FootnoteReference"/>
        </w:rPr>
        <w:footnoteRef/>
      </w:r>
      <w:r>
        <w:t xml:space="preserve"> </w:t>
      </w:r>
      <w:r>
        <w:tab/>
      </w:r>
      <w:r w:rsidRPr="00EE041B">
        <w:t>AEMC</w:t>
      </w:r>
      <w:r w:rsidRPr="00EE041B">
        <w:rPr>
          <w:rStyle w:val="AERtextitalic"/>
        </w:rPr>
        <w:t>, Final rule determination: Expanding competition in metering and related services</w:t>
      </w:r>
      <w:r w:rsidRPr="00EE041B">
        <w:t>, 26 November 2015, p. 46.</w:t>
      </w:r>
    </w:p>
  </w:footnote>
  <w:footnote w:id="39">
    <w:p w:rsidR="00B8797E" w:rsidRDefault="00B8797E" w:rsidP="009B3860">
      <w:pPr>
        <w:pStyle w:val="FootnoteText"/>
      </w:pPr>
      <w:r>
        <w:rPr>
          <w:rStyle w:val="FootnoteReference"/>
        </w:rPr>
        <w:footnoteRef/>
      </w:r>
      <w:r>
        <w:t xml:space="preserve"> </w:t>
      </w:r>
      <w:r>
        <w:tab/>
        <w:t>TasNetworks, Response to AER information request #1, 29 February 2016, p. 7.</w:t>
      </w:r>
    </w:p>
  </w:footnote>
  <w:footnote w:id="40">
    <w:p w:rsidR="00B8797E" w:rsidRDefault="00B8797E" w:rsidP="009B3860">
      <w:pPr>
        <w:pStyle w:val="FootnoteText"/>
      </w:pPr>
      <w:r>
        <w:rPr>
          <w:rStyle w:val="FootnoteReference"/>
        </w:rPr>
        <w:footnoteRef/>
      </w:r>
      <w:r>
        <w:t xml:space="preserve"> </w:t>
      </w:r>
      <w:r>
        <w:tab/>
        <w:t>NSW/ACT distribution determinations, April 2015; QLD/SA distribution determinations, October 2015.</w:t>
      </w:r>
    </w:p>
  </w:footnote>
  <w:footnote w:id="41">
    <w:p w:rsidR="00B8797E" w:rsidRDefault="00B8797E" w:rsidP="009B3860">
      <w:pPr>
        <w:pStyle w:val="FootnoteText"/>
      </w:pPr>
      <w:r>
        <w:rPr>
          <w:rStyle w:val="FootnoteReference"/>
        </w:rPr>
        <w:footnoteRef/>
      </w:r>
      <w:r>
        <w:t xml:space="preserve"> </w:t>
      </w:r>
      <w:r>
        <w:tab/>
        <w:t>Vector, Submission on TasNetworks 2017–19 regulatory proposal, 28 April 2016, p. 2.</w:t>
      </w:r>
    </w:p>
  </w:footnote>
  <w:footnote w:id="42">
    <w:p w:rsidR="00B8797E" w:rsidRDefault="00B8797E" w:rsidP="009B3860">
      <w:pPr>
        <w:pStyle w:val="FootnoteText"/>
      </w:pPr>
      <w:r>
        <w:rPr>
          <w:rStyle w:val="FootnoteReference"/>
        </w:rPr>
        <w:footnoteRef/>
      </w:r>
      <w:r>
        <w:t xml:space="preserve"> </w:t>
      </w:r>
      <w:r>
        <w:tab/>
        <w:t>TasNetworks, Response to information request #13, 12 July 2016, p. 7.</w:t>
      </w:r>
    </w:p>
  </w:footnote>
  <w:footnote w:id="43">
    <w:p w:rsidR="00B8797E" w:rsidRDefault="00B8797E" w:rsidP="00384389">
      <w:pPr>
        <w:pStyle w:val="FootnoteText"/>
      </w:pPr>
      <w:r>
        <w:rPr>
          <w:rStyle w:val="FootnoteReference"/>
        </w:rPr>
        <w:footnoteRef/>
      </w:r>
      <w:r>
        <w:t xml:space="preserve"> </w:t>
      </w:r>
      <w:r>
        <w:tab/>
      </w:r>
      <w:r w:rsidRPr="00EB750F">
        <w:t>If the ABS does not, or ceases to, publish the index, then CPI will mean an index which the AER considers is the best available alternative index.</w:t>
      </w:r>
    </w:p>
  </w:footnote>
  <w:footnote w:id="44">
    <w:p w:rsidR="00B8797E" w:rsidRDefault="00B8797E" w:rsidP="009B3860">
      <w:pPr>
        <w:pStyle w:val="FootnoteText"/>
      </w:pPr>
      <w:r>
        <w:rPr>
          <w:rStyle w:val="FootnoteReference"/>
        </w:rPr>
        <w:footnoteRef/>
      </w:r>
      <w:r>
        <w:t xml:space="preserve"> </w:t>
      </w:r>
      <w:r>
        <w:tab/>
        <w:t xml:space="preserve">TasNetworks, </w:t>
      </w:r>
      <w:r w:rsidRPr="008036D9">
        <w:rPr>
          <w:rStyle w:val="AERtextitalic"/>
        </w:rPr>
        <w:t>Regulatory proposal</w:t>
      </w:r>
      <w:r>
        <w:t>, January 2016, p. 140.</w:t>
      </w:r>
    </w:p>
  </w:footnote>
  <w:footnote w:id="45">
    <w:p w:rsidR="00B8797E" w:rsidRDefault="00B8797E" w:rsidP="009B3860">
      <w:pPr>
        <w:pStyle w:val="FootnoteText"/>
      </w:pPr>
      <w:r>
        <w:rPr>
          <w:rStyle w:val="FootnoteReference"/>
        </w:rPr>
        <w:footnoteRef/>
      </w:r>
      <w:r>
        <w:t xml:space="preserve"> </w:t>
      </w:r>
      <w:r>
        <w:tab/>
        <w:t xml:space="preserve">TasNetworks, </w:t>
      </w:r>
      <w:r w:rsidRPr="008036D9">
        <w:rPr>
          <w:rStyle w:val="AERtextitalic"/>
        </w:rPr>
        <w:t>Regulatory proposal</w:t>
      </w:r>
      <w:r>
        <w:t>, January 2016, p. 140.</w:t>
      </w:r>
    </w:p>
  </w:footnote>
  <w:footnote w:id="46">
    <w:p w:rsidR="00B8797E" w:rsidRDefault="00B8797E" w:rsidP="009B3860">
      <w:pPr>
        <w:pStyle w:val="FootnoteText"/>
      </w:pPr>
      <w:r>
        <w:rPr>
          <w:rStyle w:val="FootnoteReference"/>
        </w:rPr>
        <w:footnoteRef/>
      </w:r>
      <w:r>
        <w:t xml:space="preserve"> </w:t>
      </w:r>
      <w:r>
        <w:tab/>
        <w:t>For alternative control services, the control mechanism must have a basis stated in the distribution determination and may (but not need to) utilise elements of a building block determination (with or without modification), NER cl 6.2.6(b) and (c).</w:t>
      </w:r>
    </w:p>
  </w:footnote>
  <w:footnote w:id="47">
    <w:p w:rsidR="00B8797E" w:rsidRDefault="00B8797E" w:rsidP="009B3860">
      <w:pPr>
        <w:pStyle w:val="FootnoteText"/>
      </w:pPr>
      <w:r>
        <w:rPr>
          <w:rStyle w:val="FootnoteReference"/>
        </w:rPr>
        <w:footnoteRef/>
      </w:r>
      <w:r>
        <w:t xml:space="preserve"> </w:t>
      </w:r>
      <w:r>
        <w:tab/>
      </w:r>
      <w:r w:rsidRPr="00A51DC9">
        <w:t xml:space="preserve">AER, </w:t>
      </w:r>
      <w:r w:rsidRPr="000576C6">
        <w:rPr>
          <w:rStyle w:val="AERtextitalic"/>
        </w:rPr>
        <w:t>Better regulation: Expenditure forecast assessment guideline for distribution</w:t>
      </w:r>
      <w:r w:rsidRPr="00A51DC9">
        <w:t>, November 2013, p. 32.</w:t>
      </w:r>
    </w:p>
  </w:footnote>
  <w:footnote w:id="48">
    <w:p w:rsidR="00B8797E" w:rsidRDefault="00B8797E" w:rsidP="009B3860">
      <w:pPr>
        <w:pStyle w:val="FootnoteText"/>
      </w:pPr>
      <w:r>
        <w:rPr>
          <w:rStyle w:val="FootnoteReference"/>
        </w:rPr>
        <w:footnoteRef/>
      </w:r>
      <w:r>
        <w:t xml:space="preserve"> </w:t>
      </w:r>
      <w:r>
        <w:tab/>
        <w:t>TasNetworks, Response to information request #13, 12 July 2016.</w:t>
      </w:r>
    </w:p>
  </w:footnote>
  <w:footnote w:id="49">
    <w:p w:rsidR="00B8797E" w:rsidRDefault="00B8797E" w:rsidP="009B3860">
      <w:pPr>
        <w:pStyle w:val="FootnoteText"/>
      </w:pPr>
      <w:r>
        <w:rPr>
          <w:rStyle w:val="FootnoteReference"/>
        </w:rPr>
        <w:footnoteRef/>
      </w:r>
      <w:r>
        <w:t xml:space="preserve"> </w:t>
      </w:r>
      <w:r>
        <w:tab/>
        <w:t>HIA, HIA housing forecasts, February 2016, p. 1</w:t>
      </w:r>
    </w:p>
  </w:footnote>
  <w:footnote w:id="50">
    <w:p w:rsidR="00B8797E" w:rsidRDefault="00B8797E" w:rsidP="009B3860">
      <w:pPr>
        <w:pStyle w:val="FootnoteText"/>
      </w:pPr>
      <w:r>
        <w:rPr>
          <w:rStyle w:val="FootnoteReference"/>
        </w:rPr>
        <w:footnoteRef/>
      </w:r>
      <w:r>
        <w:t xml:space="preserve"> </w:t>
      </w:r>
      <w:r>
        <w:tab/>
        <w:t>See the NSW 2014–19 distribution determinations and the QLD &amp; SA 2015–20 regulatory determinations.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61E" w:rsidRDefault="000C06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61E" w:rsidRDefault="000C06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61E" w:rsidRDefault="000C06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97E" w:rsidRDefault="00B879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F07D5F"/>
    <w:multiLevelType w:val="hybridMultilevel"/>
    <w:tmpl w:val="D6DC675A"/>
    <w:lvl w:ilvl="0" w:tplc="6C6CF7F2">
      <w:start w:val="1"/>
      <w:numFmt w:val="lowerLetter"/>
      <w:lvlText w:val="(%1)"/>
      <w:lvlJc w:val="left"/>
      <w:pPr>
        <w:ind w:left="1361" w:hanging="340"/>
      </w:pPr>
      <w:rPr>
        <w:rFonts w:hint="default"/>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7">
    <w:nsid w:val="5ECE4384"/>
    <w:multiLevelType w:val="multilevel"/>
    <w:tmpl w:val="60D0A57E"/>
    <w:lvl w:ilvl="0">
      <w:start w:val="16"/>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9">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1">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19"/>
  </w:num>
  <w:num w:numId="14">
    <w:abstractNumId w:val="11"/>
  </w:num>
  <w:num w:numId="15">
    <w:abstractNumId w:val="14"/>
  </w:num>
  <w:num w:numId="16">
    <w:abstractNumId w:val="22"/>
  </w:num>
  <w:num w:numId="17">
    <w:abstractNumId w:val="10"/>
  </w:num>
  <w:num w:numId="18">
    <w:abstractNumId w:val="16"/>
  </w:num>
  <w:num w:numId="19">
    <w:abstractNumId w:val="23"/>
  </w:num>
  <w:num w:numId="20">
    <w:abstractNumId w:val="29"/>
  </w:num>
  <w:num w:numId="21">
    <w:abstractNumId w:val="26"/>
  </w:num>
  <w:num w:numId="22">
    <w:abstractNumId w:val="24"/>
  </w:num>
  <w:num w:numId="23">
    <w:abstractNumId w:val="17"/>
  </w:num>
  <w:num w:numId="24">
    <w:abstractNumId w:val="25"/>
  </w:num>
  <w:num w:numId="25">
    <w:abstractNumId w:val="27"/>
  </w:num>
  <w:num w:numId="26">
    <w:abstractNumId w:val="18"/>
  </w:num>
  <w:num w:numId="27">
    <w:abstractNumId w:val="15"/>
  </w:num>
  <w:num w:numId="28">
    <w:abstractNumId w:val="31"/>
  </w:num>
  <w:num w:numId="29">
    <w:abstractNumId w:val="20"/>
  </w:num>
  <w:num w:numId="30">
    <w:abstractNumId w:val="9"/>
  </w:num>
  <w:num w:numId="31">
    <w:abstractNumId w:val="30"/>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qJ6F1J928DMB8MAa/OeMt20/A8y2AB3AqG2z52ZlK98=" w:saltValue="wbgrhuo6sw2p9z6Qw26Mhw==" w:algorithmName="SHA-256"/>
  <w:defaultTabStop w:val="340"/>
  <w:characterSpacingControl w:val="doNotCompress"/>
  <w:hdrShapeDefaults>
    <o:shapedefaults v:ext="edit" spidmax="274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mleco\aer - draft decision tasnetworks distribution determination - attachment 16 - alternative control services - september 2 (D2015-00170644).docx"/>
  </w:docVars>
  <w:rsids>
    <w:rsidRoot w:val="00961A4A"/>
    <w:rsid w:val="000051DC"/>
    <w:rsid w:val="0000658F"/>
    <w:rsid w:val="00012A17"/>
    <w:rsid w:val="0001507B"/>
    <w:rsid w:val="00020016"/>
    <w:rsid w:val="00021202"/>
    <w:rsid w:val="000212B2"/>
    <w:rsid w:val="00021C2B"/>
    <w:rsid w:val="00023276"/>
    <w:rsid w:val="0002498B"/>
    <w:rsid w:val="0002517F"/>
    <w:rsid w:val="00026187"/>
    <w:rsid w:val="000266FC"/>
    <w:rsid w:val="000273B3"/>
    <w:rsid w:val="00027E2D"/>
    <w:rsid w:val="0003578C"/>
    <w:rsid w:val="00044DA3"/>
    <w:rsid w:val="00046C7A"/>
    <w:rsid w:val="000474DF"/>
    <w:rsid w:val="00050EF6"/>
    <w:rsid w:val="00055253"/>
    <w:rsid w:val="00055A67"/>
    <w:rsid w:val="00063247"/>
    <w:rsid w:val="0006624E"/>
    <w:rsid w:val="00070F9F"/>
    <w:rsid w:val="0007137B"/>
    <w:rsid w:val="00073B74"/>
    <w:rsid w:val="00076416"/>
    <w:rsid w:val="000805A8"/>
    <w:rsid w:val="0008190B"/>
    <w:rsid w:val="000836D9"/>
    <w:rsid w:val="00083DF4"/>
    <w:rsid w:val="00085663"/>
    <w:rsid w:val="00085EBF"/>
    <w:rsid w:val="00090EBF"/>
    <w:rsid w:val="00091B15"/>
    <w:rsid w:val="000948F4"/>
    <w:rsid w:val="00095186"/>
    <w:rsid w:val="000A0E71"/>
    <w:rsid w:val="000A1C0C"/>
    <w:rsid w:val="000A3020"/>
    <w:rsid w:val="000A4840"/>
    <w:rsid w:val="000A62C1"/>
    <w:rsid w:val="000A6A79"/>
    <w:rsid w:val="000A6C7B"/>
    <w:rsid w:val="000B0484"/>
    <w:rsid w:val="000B0A7B"/>
    <w:rsid w:val="000B1173"/>
    <w:rsid w:val="000B4DE3"/>
    <w:rsid w:val="000B5827"/>
    <w:rsid w:val="000B6A71"/>
    <w:rsid w:val="000B7037"/>
    <w:rsid w:val="000C02D1"/>
    <w:rsid w:val="000C061E"/>
    <w:rsid w:val="000C0C63"/>
    <w:rsid w:val="000C1C4E"/>
    <w:rsid w:val="000C2B40"/>
    <w:rsid w:val="000C5255"/>
    <w:rsid w:val="000C6C2D"/>
    <w:rsid w:val="000D07A7"/>
    <w:rsid w:val="000D122C"/>
    <w:rsid w:val="000D3D30"/>
    <w:rsid w:val="000D75B0"/>
    <w:rsid w:val="000E1819"/>
    <w:rsid w:val="000E4384"/>
    <w:rsid w:val="000E4821"/>
    <w:rsid w:val="000E4AA9"/>
    <w:rsid w:val="000E6C72"/>
    <w:rsid w:val="000E7258"/>
    <w:rsid w:val="000E7F39"/>
    <w:rsid w:val="000F4821"/>
    <w:rsid w:val="00100B0B"/>
    <w:rsid w:val="00100EA2"/>
    <w:rsid w:val="00101AA1"/>
    <w:rsid w:val="00102338"/>
    <w:rsid w:val="0010435B"/>
    <w:rsid w:val="00104566"/>
    <w:rsid w:val="00104FF6"/>
    <w:rsid w:val="001058DF"/>
    <w:rsid w:val="001114AA"/>
    <w:rsid w:val="00115743"/>
    <w:rsid w:val="00116EB2"/>
    <w:rsid w:val="00120C05"/>
    <w:rsid w:val="0012132C"/>
    <w:rsid w:val="00122464"/>
    <w:rsid w:val="00124609"/>
    <w:rsid w:val="00126A4C"/>
    <w:rsid w:val="001270E3"/>
    <w:rsid w:val="00132D43"/>
    <w:rsid w:val="00133366"/>
    <w:rsid w:val="00133F47"/>
    <w:rsid w:val="00134029"/>
    <w:rsid w:val="00142C2D"/>
    <w:rsid w:val="00143A20"/>
    <w:rsid w:val="00144B7B"/>
    <w:rsid w:val="00144C96"/>
    <w:rsid w:val="0014573B"/>
    <w:rsid w:val="001463A3"/>
    <w:rsid w:val="0015073A"/>
    <w:rsid w:val="001573E4"/>
    <w:rsid w:val="00160756"/>
    <w:rsid w:val="00161DC8"/>
    <w:rsid w:val="00166760"/>
    <w:rsid w:val="0017232E"/>
    <w:rsid w:val="00174102"/>
    <w:rsid w:val="00175128"/>
    <w:rsid w:val="001754EE"/>
    <w:rsid w:val="00176CA4"/>
    <w:rsid w:val="00180157"/>
    <w:rsid w:val="00180997"/>
    <w:rsid w:val="001809BC"/>
    <w:rsid w:val="00180E97"/>
    <w:rsid w:val="00181D92"/>
    <w:rsid w:val="001820B4"/>
    <w:rsid w:val="00182A9F"/>
    <w:rsid w:val="00184351"/>
    <w:rsid w:val="00184AC8"/>
    <w:rsid w:val="00185BA5"/>
    <w:rsid w:val="00185CB9"/>
    <w:rsid w:val="00185DBE"/>
    <w:rsid w:val="00186ADC"/>
    <w:rsid w:val="00186F77"/>
    <w:rsid w:val="00187055"/>
    <w:rsid w:val="001877A4"/>
    <w:rsid w:val="001926A4"/>
    <w:rsid w:val="00192AD5"/>
    <w:rsid w:val="00194597"/>
    <w:rsid w:val="00194E00"/>
    <w:rsid w:val="0019745E"/>
    <w:rsid w:val="00197B16"/>
    <w:rsid w:val="001A04CB"/>
    <w:rsid w:val="001A530D"/>
    <w:rsid w:val="001A5FB3"/>
    <w:rsid w:val="001A7155"/>
    <w:rsid w:val="001B45A0"/>
    <w:rsid w:val="001B680E"/>
    <w:rsid w:val="001C628E"/>
    <w:rsid w:val="001D055E"/>
    <w:rsid w:val="001D230B"/>
    <w:rsid w:val="001D5287"/>
    <w:rsid w:val="001E1B3F"/>
    <w:rsid w:val="001E7161"/>
    <w:rsid w:val="001F05A4"/>
    <w:rsid w:val="001F2C65"/>
    <w:rsid w:val="001F3D4A"/>
    <w:rsid w:val="001F43AC"/>
    <w:rsid w:val="001F492E"/>
    <w:rsid w:val="001F64EF"/>
    <w:rsid w:val="001F6DA3"/>
    <w:rsid w:val="002010BC"/>
    <w:rsid w:val="002016E7"/>
    <w:rsid w:val="00202E03"/>
    <w:rsid w:val="002033B9"/>
    <w:rsid w:val="00203E72"/>
    <w:rsid w:val="002043D0"/>
    <w:rsid w:val="0020492C"/>
    <w:rsid w:val="00204EC9"/>
    <w:rsid w:val="00206505"/>
    <w:rsid w:val="00206777"/>
    <w:rsid w:val="0020743F"/>
    <w:rsid w:val="00216C93"/>
    <w:rsid w:val="002213F9"/>
    <w:rsid w:val="00223051"/>
    <w:rsid w:val="00224DB9"/>
    <w:rsid w:val="002252E3"/>
    <w:rsid w:val="0022569A"/>
    <w:rsid w:val="00227C30"/>
    <w:rsid w:val="0023005C"/>
    <w:rsid w:val="00231012"/>
    <w:rsid w:val="00233775"/>
    <w:rsid w:val="0023414B"/>
    <w:rsid w:val="00237458"/>
    <w:rsid w:val="00243635"/>
    <w:rsid w:val="00247079"/>
    <w:rsid w:val="00251745"/>
    <w:rsid w:val="002552BA"/>
    <w:rsid w:val="00260016"/>
    <w:rsid w:val="00263AC0"/>
    <w:rsid w:val="00264264"/>
    <w:rsid w:val="00264C69"/>
    <w:rsid w:val="0026689B"/>
    <w:rsid w:val="0026772D"/>
    <w:rsid w:val="002730B2"/>
    <w:rsid w:val="00274C7E"/>
    <w:rsid w:val="0027680B"/>
    <w:rsid w:val="002777CF"/>
    <w:rsid w:val="002810F2"/>
    <w:rsid w:val="002843D6"/>
    <w:rsid w:val="00286874"/>
    <w:rsid w:val="00290C63"/>
    <w:rsid w:val="00291A99"/>
    <w:rsid w:val="00293B6D"/>
    <w:rsid w:val="00294B08"/>
    <w:rsid w:val="0029518C"/>
    <w:rsid w:val="00295F96"/>
    <w:rsid w:val="002963DD"/>
    <w:rsid w:val="00296AA1"/>
    <w:rsid w:val="00296B65"/>
    <w:rsid w:val="002A0BBD"/>
    <w:rsid w:val="002A7DEF"/>
    <w:rsid w:val="002B0696"/>
    <w:rsid w:val="002B0E95"/>
    <w:rsid w:val="002C0222"/>
    <w:rsid w:val="002C05F0"/>
    <w:rsid w:val="002C1499"/>
    <w:rsid w:val="002C233C"/>
    <w:rsid w:val="002C517B"/>
    <w:rsid w:val="002C7DD6"/>
    <w:rsid w:val="002D106F"/>
    <w:rsid w:val="002D3509"/>
    <w:rsid w:val="002D5457"/>
    <w:rsid w:val="002D72E8"/>
    <w:rsid w:val="002D77C6"/>
    <w:rsid w:val="002D79AD"/>
    <w:rsid w:val="002E268F"/>
    <w:rsid w:val="002E4BA6"/>
    <w:rsid w:val="002E78DD"/>
    <w:rsid w:val="002E7B22"/>
    <w:rsid w:val="002F061F"/>
    <w:rsid w:val="002F12EC"/>
    <w:rsid w:val="002F37FB"/>
    <w:rsid w:val="002F7986"/>
    <w:rsid w:val="003001E7"/>
    <w:rsid w:val="00301B40"/>
    <w:rsid w:val="00301C82"/>
    <w:rsid w:val="003029EE"/>
    <w:rsid w:val="00304D38"/>
    <w:rsid w:val="00305CC8"/>
    <w:rsid w:val="00307F6D"/>
    <w:rsid w:val="0031261B"/>
    <w:rsid w:val="00314D83"/>
    <w:rsid w:val="0031571F"/>
    <w:rsid w:val="003177A2"/>
    <w:rsid w:val="00317E02"/>
    <w:rsid w:val="003271B5"/>
    <w:rsid w:val="00327A1E"/>
    <w:rsid w:val="00327E28"/>
    <w:rsid w:val="00331264"/>
    <w:rsid w:val="00332989"/>
    <w:rsid w:val="00334C8D"/>
    <w:rsid w:val="0033723D"/>
    <w:rsid w:val="003378BD"/>
    <w:rsid w:val="00337D19"/>
    <w:rsid w:val="003424EA"/>
    <w:rsid w:val="00342C2F"/>
    <w:rsid w:val="003436EB"/>
    <w:rsid w:val="00343A18"/>
    <w:rsid w:val="00345744"/>
    <w:rsid w:val="003518B3"/>
    <w:rsid w:val="003520D9"/>
    <w:rsid w:val="00353E79"/>
    <w:rsid w:val="00363014"/>
    <w:rsid w:val="00364EA0"/>
    <w:rsid w:val="00366981"/>
    <w:rsid w:val="00370678"/>
    <w:rsid w:val="0037214E"/>
    <w:rsid w:val="00372C85"/>
    <w:rsid w:val="00373845"/>
    <w:rsid w:val="003744E3"/>
    <w:rsid w:val="00375F71"/>
    <w:rsid w:val="00376219"/>
    <w:rsid w:val="0037663E"/>
    <w:rsid w:val="0037699E"/>
    <w:rsid w:val="00377A29"/>
    <w:rsid w:val="00377C69"/>
    <w:rsid w:val="00381B19"/>
    <w:rsid w:val="003840CC"/>
    <w:rsid w:val="0038415D"/>
    <w:rsid w:val="00384389"/>
    <w:rsid w:val="0038461C"/>
    <w:rsid w:val="003846F1"/>
    <w:rsid w:val="003906D3"/>
    <w:rsid w:val="00390E6A"/>
    <w:rsid w:val="00393ABE"/>
    <w:rsid w:val="00395DB6"/>
    <w:rsid w:val="00397398"/>
    <w:rsid w:val="003A371A"/>
    <w:rsid w:val="003A59CD"/>
    <w:rsid w:val="003A6B00"/>
    <w:rsid w:val="003B30B2"/>
    <w:rsid w:val="003B386A"/>
    <w:rsid w:val="003B484F"/>
    <w:rsid w:val="003B504B"/>
    <w:rsid w:val="003B5179"/>
    <w:rsid w:val="003B685C"/>
    <w:rsid w:val="003B7FBA"/>
    <w:rsid w:val="003C0494"/>
    <w:rsid w:val="003C486F"/>
    <w:rsid w:val="003C48AC"/>
    <w:rsid w:val="003C6537"/>
    <w:rsid w:val="003C6A13"/>
    <w:rsid w:val="003C764A"/>
    <w:rsid w:val="003C78BA"/>
    <w:rsid w:val="003D41F1"/>
    <w:rsid w:val="003D42AB"/>
    <w:rsid w:val="003D5B94"/>
    <w:rsid w:val="003E0D3A"/>
    <w:rsid w:val="003E3AAB"/>
    <w:rsid w:val="003E3BE1"/>
    <w:rsid w:val="003E7E55"/>
    <w:rsid w:val="003E7FE9"/>
    <w:rsid w:val="003F07D4"/>
    <w:rsid w:val="003F174D"/>
    <w:rsid w:val="003F2329"/>
    <w:rsid w:val="003F79C3"/>
    <w:rsid w:val="00400FD2"/>
    <w:rsid w:val="00403711"/>
    <w:rsid w:val="00404C52"/>
    <w:rsid w:val="00414412"/>
    <w:rsid w:val="004156D5"/>
    <w:rsid w:val="00415BA9"/>
    <w:rsid w:val="00415F31"/>
    <w:rsid w:val="0041691D"/>
    <w:rsid w:val="0042000C"/>
    <w:rsid w:val="0042090E"/>
    <w:rsid w:val="00421F27"/>
    <w:rsid w:val="00422D2A"/>
    <w:rsid w:val="004238D8"/>
    <w:rsid w:val="00423A77"/>
    <w:rsid w:val="004324F4"/>
    <w:rsid w:val="00434544"/>
    <w:rsid w:val="00437537"/>
    <w:rsid w:val="00441C75"/>
    <w:rsid w:val="00444953"/>
    <w:rsid w:val="00445D43"/>
    <w:rsid w:val="00446CD2"/>
    <w:rsid w:val="004523B2"/>
    <w:rsid w:val="0045777E"/>
    <w:rsid w:val="004639FE"/>
    <w:rsid w:val="00465258"/>
    <w:rsid w:val="00465411"/>
    <w:rsid w:val="00471BC6"/>
    <w:rsid w:val="00476221"/>
    <w:rsid w:val="004766F5"/>
    <w:rsid w:val="00480B4B"/>
    <w:rsid w:val="004838D8"/>
    <w:rsid w:val="00485DC4"/>
    <w:rsid w:val="004869FF"/>
    <w:rsid w:val="00494D04"/>
    <w:rsid w:val="00495C04"/>
    <w:rsid w:val="004A14E6"/>
    <w:rsid w:val="004A2056"/>
    <w:rsid w:val="004A3C5D"/>
    <w:rsid w:val="004A40BA"/>
    <w:rsid w:val="004A43D1"/>
    <w:rsid w:val="004A492B"/>
    <w:rsid w:val="004B4412"/>
    <w:rsid w:val="004B6269"/>
    <w:rsid w:val="004C20B2"/>
    <w:rsid w:val="004C348C"/>
    <w:rsid w:val="004C462E"/>
    <w:rsid w:val="004C6CA3"/>
    <w:rsid w:val="004C7F5E"/>
    <w:rsid w:val="004D08FA"/>
    <w:rsid w:val="004D1CB6"/>
    <w:rsid w:val="004D343C"/>
    <w:rsid w:val="004D372A"/>
    <w:rsid w:val="004D4238"/>
    <w:rsid w:val="004D55BA"/>
    <w:rsid w:val="004D607B"/>
    <w:rsid w:val="004D720C"/>
    <w:rsid w:val="004D7472"/>
    <w:rsid w:val="004E0FA7"/>
    <w:rsid w:val="004E22EC"/>
    <w:rsid w:val="004E2D53"/>
    <w:rsid w:val="004E6BBF"/>
    <w:rsid w:val="004E729D"/>
    <w:rsid w:val="004F0BFA"/>
    <w:rsid w:val="004F13DA"/>
    <w:rsid w:val="004F303D"/>
    <w:rsid w:val="004F4D69"/>
    <w:rsid w:val="004F6883"/>
    <w:rsid w:val="004F6A0E"/>
    <w:rsid w:val="004F6BB3"/>
    <w:rsid w:val="005009CD"/>
    <w:rsid w:val="00504E5F"/>
    <w:rsid w:val="0051337E"/>
    <w:rsid w:val="00513FA7"/>
    <w:rsid w:val="0051493F"/>
    <w:rsid w:val="0051768F"/>
    <w:rsid w:val="00520ABA"/>
    <w:rsid w:val="00522DC2"/>
    <w:rsid w:val="0052631D"/>
    <w:rsid w:val="00530128"/>
    <w:rsid w:val="00532467"/>
    <w:rsid w:val="005332A9"/>
    <w:rsid w:val="0053603C"/>
    <w:rsid w:val="00537871"/>
    <w:rsid w:val="00542FE9"/>
    <w:rsid w:val="00543785"/>
    <w:rsid w:val="00544598"/>
    <w:rsid w:val="00544C8D"/>
    <w:rsid w:val="00544DFD"/>
    <w:rsid w:val="0054657D"/>
    <w:rsid w:val="00556B1E"/>
    <w:rsid w:val="00563676"/>
    <w:rsid w:val="0056477F"/>
    <w:rsid w:val="00564A4D"/>
    <w:rsid w:val="0056598C"/>
    <w:rsid w:val="00566E0B"/>
    <w:rsid w:val="00567BA5"/>
    <w:rsid w:val="00570B81"/>
    <w:rsid w:val="00571B35"/>
    <w:rsid w:val="00571B43"/>
    <w:rsid w:val="00571D57"/>
    <w:rsid w:val="00572132"/>
    <w:rsid w:val="00573A3B"/>
    <w:rsid w:val="00577716"/>
    <w:rsid w:val="00577A09"/>
    <w:rsid w:val="005829C2"/>
    <w:rsid w:val="00584D8F"/>
    <w:rsid w:val="005863EE"/>
    <w:rsid w:val="00587A18"/>
    <w:rsid w:val="00587ADE"/>
    <w:rsid w:val="005A0BEC"/>
    <w:rsid w:val="005A404D"/>
    <w:rsid w:val="005B1E3C"/>
    <w:rsid w:val="005B6518"/>
    <w:rsid w:val="005B704A"/>
    <w:rsid w:val="005B72D7"/>
    <w:rsid w:val="005C045F"/>
    <w:rsid w:val="005C16FE"/>
    <w:rsid w:val="005C1FAB"/>
    <w:rsid w:val="005C21A4"/>
    <w:rsid w:val="005C26CC"/>
    <w:rsid w:val="005C4463"/>
    <w:rsid w:val="005D3D88"/>
    <w:rsid w:val="005D48C4"/>
    <w:rsid w:val="005D6208"/>
    <w:rsid w:val="005D6366"/>
    <w:rsid w:val="005D7BA2"/>
    <w:rsid w:val="005E21FE"/>
    <w:rsid w:val="005E36C2"/>
    <w:rsid w:val="005E4AF4"/>
    <w:rsid w:val="005F387E"/>
    <w:rsid w:val="005F62B6"/>
    <w:rsid w:val="00601E0B"/>
    <w:rsid w:val="00601E72"/>
    <w:rsid w:val="0060258B"/>
    <w:rsid w:val="006038DB"/>
    <w:rsid w:val="00610EF9"/>
    <w:rsid w:val="00612F4F"/>
    <w:rsid w:val="00614EA0"/>
    <w:rsid w:val="00615C6B"/>
    <w:rsid w:val="00617114"/>
    <w:rsid w:val="00617D4C"/>
    <w:rsid w:val="00621DCE"/>
    <w:rsid w:val="00621FC5"/>
    <w:rsid w:val="00624F2C"/>
    <w:rsid w:val="00626E16"/>
    <w:rsid w:val="00632D6D"/>
    <w:rsid w:val="00636569"/>
    <w:rsid w:val="00636EF9"/>
    <w:rsid w:val="00642C3E"/>
    <w:rsid w:val="00644359"/>
    <w:rsid w:val="00644A01"/>
    <w:rsid w:val="00651BAF"/>
    <w:rsid w:val="00651E2D"/>
    <w:rsid w:val="00652324"/>
    <w:rsid w:val="00654FD7"/>
    <w:rsid w:val="00655B7B"/>
    <w:rsid w:val="006577FB"/>
    <w:rsid w:val="0066104A"/>
    <w:rsid w:val="00663066"/>
    <w:rsid w:val="00663DAD"/>
    <w:rsid w:val="00664206"/>
    <w:rsid w:val="006649E7"/>
    <w:rsid w:val="00666634"/>
    <w:rsid w:val="00671692"/>
    <w:rsid w:val="00675E20"/>
    <w:rsid w:val="00676679"/>
    <w:rsid w:val="00677107"/>
    <w:rsid w:val="00677F80"/>
    <w:rsid w:val="00683C89"/>
    <w:rsid w:val="00691B53"/>
    <w:rsid w:val="00697D0B"/>
    <w:rsid w:val="006A12BA"/>
    <w:rsid w:val="006A4739"/>
    <w:rsid w:val="006A66A1"/>
    <w:rsid w:val="006B032D"/>
    <w:rsid w:val="006B2395"/>
    <w:rsid w:val="006B4038"/>
    <w:rsid w:val="006B40AC"/>
    <w:rsid w:val="006B4CF9"/>
    <w:rsid w:val="006B797C"/>
    <w:rsid w:val="006B7AC8"/>
    <w:rsid w:val="006C1736"/>
    <w:rsid w:val="006C329B"/>
    <w:rsid w:val="006C6303"/>
    <w:rsid w:val="006D550F"/>
    <w:rsid w:val="006D5540"/>
    <w:rsid w:val="006D6146"/>
    <w:rsid w:val="006D7F7E"/>
    <w:rsid w:val="006E0CFF"/>
    <w:rsid w:val="006F0D92"/>
    <w:rsid w:val="006F267D"/>
    <w:rsid w:val="006F2F79"/>
    <w:rsid w:val="006F4C06"/>
    <w:rsid w:val="0070011E"/>
    <w:rsid w:val="00701CAB"/>
    <w:rsid w:val="007023BB"/>
    <w:rsid w:val="00704DD7"/>
    <w:rsid w:val="00705A0A"/>
    <w:rsid w:val="00707563"/>
    <w:rsid w:val="00715F61"/>
    <w:rsid w:val="00722132"/>
    <w:rsid w:val="007228F7"/>
    <w:rsid w:val="0072348C"/>
    <w:rsid w:val="00724945"/>
    <w:rsid w:val="00724A37"/>
    <w:rsid w:val="00725C19"/>
    <w:rsid w:val="007271F5"/>
    <w:rsid w:val="007303C3"/>
    <w:rsid w:val="00731188"/>
    <w:rsid w:val="007349B9"/>
    <w:rsid w:val="007356CC"/>
    <w:rsid w:val="007364E9"/>
    <w:rsid w:val="007368E6"/>
    <w:rsid w:val="007375DF"/>
    <w:rsid w:val="00741F0C"/>
    <w:rsid w:val="007429BE"/>
    <w:rsid w:val="00743223"/>
    <w:rsid w:val="00743349"/>
    <w:rsid w:val="0074403A"/>
    <w:rsid w:val="00746E01"/>
    <w:rsid w:val="00751560"/>
    <w:rsid w:val="00751DCD"/>
    <w:rsid w:val="00755084"/>
    <w:rsid w:val="00757364"/>
    <w:rsid w:val="007578AA"/>
    <w:rsid w:val="00757BDF"/>
    <w:rsid w:val="007609D0"/>
    <w:rsid w:val="00761454"/>
    <w:rsid w:val="0076193D"/>
    <w:rsid w:val="00763E5D"/>
    <w:rsid w:val="00764300"/>
    <w:rsid w:val="00765F36"/>
    <w:rsid w:val="00767740"/>
    <w:rsid w:val="00767B5E"/>
    <w:rsid w:val="00775460"/>
    <w:rsid w:val="00777EE6"/>
    <w:rsid w:val="00782EEA"/>
    <w:rsid w:val="00786470"/>
    <w:rsid w:val="00786CA4"/>
    <w:rsid w:val="00790456"/>
    <w:rsid w:val="007909B4"/>
    <w:rsid w:val="00790E86"/>
    <w:rsid w:val="007949D7"/>
    <w:rsid w:val="0079769A"/>
    <w:rsid w:val="007A0143"/>
    <w:rsid w:val="007A3264"/>
    <w:rsid w:val="007A34C2"/>
    <w:rsid w:val="007A396C"/>
    <w:rsid w:val="007A4B02"/>
    <w:rsid w:val="007A7D31"/>
    <w:rsid w:val="007B0BE3"/>
    <w:rsid w:val="007B1816"/>
    <w:rsid w:val="007B186E"/>
    <w:rsid w:val="007B25DC"/>
    <w:rsid w:val="007B2C72"/>
    <w:rsid w:val="007B3789"/>
    <w:rsid w:val="007B4290"/>
    <w:rsid w:val="007B651F"/>
    <w:rsid w:val="007B7BB5"/>
    <w:rsid w:val="007C1C53"/>
    <w:rsid w:val="007C284C"/>
    <w:rsid w:val="007C4B82"/>
    <w:rsid w:val="007C5D61"/>
    <w:rsid w:val="007C628A"/>
    <w:rsid w:val="007C74BB"/>
    <w:rsid w:val="007C7F64"/>
    <w:rsid w:val="007D0A95"/>
    <w:rsid w:val="007D0EB5"/>
    <w:rsid w:val="007D368E"/>
    <w:rsid w:val="007D456E"/>
    <w:rsid w:val="007D5837"/>
    <w:rsid w:val="007E1B03"/>
    <w:rsid w:val="007E4904"/>
    <w:rsid w:val="007E4CB5"/>
    <w:rsid w:val="007E4DAE"/>
    <w:rsid w:val="007F066B"/>
    <w:rsid w:val="007F4EAB"/>
    <w:rsid w:val="007F5B16"/>
    <w:rsid w:val="007F6EF4"/>
    <w:rsid w:val="007F7C9D"/>
    <w:rsid w:val="00800AE6"/>
    <w:rsid w:val="00801FCF"/>
    <w:rsid w:val="008033C4"/>
    <w:rsid w:val="00806731"/>
    <w:rsid w:val="00806C88"/>
    <w:rsid w:val="0081034E"/>
    <w:rsid w:val="00810806"/>
    <w:rsid w:val="00810D77"/>
    <w:rsid w:val="00812D9E"/>
    <w:rsid w:val="008148D7"/>
    <w:rsid w:val="00815882"/>
    <w:rsid w:val="008179B2"/>
    <w:rsid w:val="00817C38"/>
    <w:rsid w:val="00820454"/>
    <w:rsid w:val="00822AC7"/>
    <w:rsid w:val="00822E86"/>
    <w:rsid w:val="008344F6"/>
    <w:rsid w:val="0083510F"/>
    <w:rsid w:val="00837BF3"/>
    <w:rsid w:val="008415DE"/>
    <w:rsid w:val="008420DE"/>
    <w:rsid w:val="00845865"/>
    <w:rsid w:val="0084799B"/>
    <w:rsid w:val="008504DE"/>
    <w:rsid w:val="00850C90"/>
    <w:rsid w:val="00851209"/>
    <w:rsid w:val="0085171F"/>
    <w:rsid w:val="00855469"/>
    <w:rsid w:val="008658A1"/>
    <w:rsid w:val="0086716A"/>
    <w:rsid w:val="00867535"/>
    <w:rsid w:val="00867CA5"/>
    <w:rsid w:val="00870613"/>
    <w:rsid w:val="0087380F"/>
    <w:rsid w:val="0087648F"/>
    <w:rsid w:val="00876612"/>
    <w:rsid w:val="00877365"/>
    <w:rsid w:val="00882BB1"/>
    <w:rsid w:val="008837AC"/>
    <w:rsid w:val="00884B60"/>
    <w:rsid w:val="00885803"/>
    <w:rsid w:val="008909DC"/>
    <w:rsid w:val="00894255"/>
    <w:rsid w:val="008945AD"/>
    <w:rsid w:val="008A0645"/>
    <w:rsid w:val="008A1C02"/>
    <w:rsid w:val="008A370D"/>
    <w:rsid w:val="008A4934"/>
    <w:rsid w:val="008A504C"/>
    <w:rsid w:val="008A587D"/>
    <w:rsid w:val="008B16B0"/>
    <w:rsid w:val="008B1BD5"/>
    <w:rsid w:val="008B35CD"/>
    <w:rsid w:val="008B4093"/>
    <w:rsid w:val="008B5FCC"/>
    <w:rsid w:val="008B7F36"/>
    <w:rsid w:val="008C357F"/>
    <w:rsid w:val="008C4A63"/>
    <w:rsid w:val="008C5486"/>
    <w:rsid w:val="008D1661"/>
    <w:rsid w:val="008D27E0"/>
    <w:rsid w:val="008D5F90"/>
    <w:rsid w:val="008D6800"/>
    <w:rsid w:val="008D72F1"/>
    <w:rsid w:val="008E4089"/>
    <w:rsid w:val="008E5AFF"/>
    <w:rsid w:val="008E7031"/>
    <w:rsid w:val="008E77DE"/>
    <w:rsid w:val="008F040C"/>
    <w:rsid w:val="008F07A3"/>
    <w:rsid w:val="008F3322"/>
    <w:rsid w:val="008F3519"/>
    <w:rsid w:val="008F3A0D"/>
    <w:rsid w:val="009001B6"/>
    <w:rsid w:val="00900E1B"/>
    <w:rsid w:val="0090131F"/>
    <w:rsid w:val="009039EC"/>
    <w:rsid w:val="00907683"/>
    <w:rsid w:val="009132B7"/>
    <w:rsid w:val="00916A2C"/>
    <w:rsid w:val="009233EE"/>
    <w:rsid w:val="0092523E"/>
    <w:rsid w:val="009255C5"/>
    <w:rsid w:val="00930B1A"/>
    <w:rsid w:val="00932612"/>
    <w:rsid w:val="009327DC"/>
    <w:rsid w:val="009338D9"/>
    <w:rsid w:val="009339BD"/>
    <w:rsid w:val="00934485"/>
    <w:rsid w:val="009356CF"/>
    <w:rsid w:val="009436DD"/>
    <w:rsid w:val="00945E53"/>
    <w:rsid w:val="009460AA"/>
    <w:rsid w:val="00946DA7"/>
    <w:rsid w:val="00951978"/>
    <w:rsid w:val="00952C8B"/>
    <w:rsid w:val="009540A1"/>
    <w:rsid w:val="00955B20"/>
    <w:rsid w:val="00961A4A"/>
    <w:rsid w:val="009661DE"/>
    <w:rsid w:val="00972C7C"/>
    <w:rsid w:val="00974310"/>
    <w:rsid w:val="00975820"/>
    <w:rsid w:val="009776F4"/>
    <w:rsid w:val="00982DA2"/>
    <w:rsid w:val="00983C25"/>
    <w:rsid w:val="0098466D"/>
    <w:rsid w:val="009856B7"/>
    <w:rsid w:val="009859D6"/>
    <w:rsid w:val="00985C86"/>
    <w:rsid w:val="0099352C"/>
    <w:rsid w:val="009A0914"/>
    <w:rsid w:val="009A139E"/>
    <w:rsid w:val="009A5FC3"/>
    <w:rsid w:val="009A754D"/>
    <w:rsid w:val="009B3860"/>
    <w:rsid w:val="009B6690"/>
    <w:rsid w:val="009B6F84"/>
    <w:rsid w:val="009B74B0"/>
    <w:rsid w:val="009C0152"/>
    <w:rsid w:val="009C08C4"/>
    <w:rsid w:val="009C1A74"/>
    <w:rsid w:val="009C3D42"/>
    <w:rsid w:val="009C41A2"/>
    <w:rsid w:val="009C491E"/>
    <w:rsid w:val="009C68CC"/>
    <w:rsid w:val="009D0DF1"/>
    <w:rsid w:val="009D22D6"/>
    <w:rsid w:val="009D2C84"/>
    <w:rsid w:val="009D2EB3"/>
    <w:rsid w:val="009D3906"/>
    <w:rsid w:val="009D5E35"/>
    <w:rsid w:val="009D60FB"/>
    <w:rsid w:val="009D6B46"/>
    <w:rsid w:val="009E35B6"/>
    <w:rsid w:val="009E5ABC"/>
    <w:rsid w:val="009F3BBA"/>
    <w:rsid w:val="009F4393"/>
    <w:rsid w:val="009F43B4"/>
    <w:rsid w:val="009F4940"/>
    <w:rsid w:val="009F5BA1"/>
    <w:rsid w:val="00A02A88"/>
    <w:rsid w:val="00A04012"/>
    <w:rsid w:val="00A046FA"/>
    <w:rsid w:val="00A0562E"/>
    <w:rsid w:val="00A0726D"/>
    <w:rsid w:val="00A073AE"/>
    <w:rsid w:val="00A073CD"/>
    <w:rsid w:val="00A07B54"/>
    <w:rsid w:val="00A1118A"/>
    <w:rsid w:val="00A12204"/>
    <w:rsid w:val="00A12750"/>
    <w:rsid w:val="00A13CB0"/>
    <w:rsid w:val="00A1561F"/>
    <w:rsid w:val="00A16544"/>
    <w:rsid w:val="00A256E7"/>
    <w:rsid w:val="00A30BF5"/>
    <w:rsid w:val="00A31BE6"/>
    <w:rsid w:val="00A32FBB"/>
    <w:rsid w:val="00A3466F"/>
    <w:rsid w:val="00A40068"/>
    <w:rsid w:val="00A40BE9"/>
    <w:rsid w:val="00A4169E"/>
    <w:rsid w:val="00A428EE"/>
    <w:rsid w:val="00A443C2"/>
    <w:rsid w:val="00A4478A"/>
    <w:rsid w:val="00A44852"/>
    <w:rsid w:val="00A468F3"/>
    <w:rsid w:val="00A50502"/>
    <w:rsid w:val="00A53409"/>
    <w:rsid w:val="00A53796"/>
    <w:rsid w:val="00A53848"/>
    <w:rsid w:val="00A54EAB"/>
    <w:rsid w:val="00A56945"/>
    <w:rsid w:val="00A56A6E"/>
    <w:rsid w:val="00A57D04"/>
    <w:rsid w:val="00A60A26"/>
    <w:rsid w:val="00A61598"/>
    <w:rsid w:val="00A61777"/>
    <w:rsid w:val="00A63646"/>
    <w:rsid w:val="00A63914"/>
    <w:rsid w:val="00A84A99"/>
    <w:rsid w:val="00A84F46"/>
    <w:rsid w:val="00A85E87"/>
    <w:rsid w:val="00A86AEA"/>
    <w:rsid w:val="00A871F4"/>
    <w:rsid w:val="00A876ED"/>
    <w:rsid w:val="00A9431A"/>
    <w:rsid w:val="00A95988"/>
    <w:rsid w:val="00A959DF"/>
    <w:rsid w:val="00A97A1B"/>
    <w:rsid w:val="00AA2927"/>
    <w:rsid w:val="00AB2CB8"/>
    <w:rsid w:val="00AB4617"/>
    <w:rsid w:val="00AC1B2C"/>
    <w:rsid w:val="00AC3264"/>
    <w:rsid w:val="00AC46AD"/>
    <w:rsid w:val="00AC4D2D"/>
    <w:rsid w:val="00AC58EC"/>
    <w:rsid w:val="00AC7282"/>
    <w:rsid w:val="00AC7961"/>
    <w:rsid w:val="00AD314E"/>
    <w:rsid w:val="00AD5FCD"/>
    <w:rsid w:val="00AD6B48"/>
    <w:rsid w:val="00AD7A3A"/>
    <w:rsid w:val="00AE1BF1"/>
    <w:rsid w:val="00AE23AB"/>
    <w:rsid w:val="00AE3E0A"/>
    <w:rsid w:val="00AE4466"/>
    <w:rsid w:val="00AE58FB"/>
    <w:rsid w:val="00AE5AF0"/>
    <w:rsid w:val="00AE663D"/>
    <w:rsid w:val="00AE73B3"/>
    <w:rsid w:val="00AF07E7"/>
    <w:rsid w:val="00AF0DD2"/>
    <w:rsid w:val="00AF31E1"/>
    <w:rsid w:val="00AF3BBA"/>
    <w:rsid w:val="00AF4231"/>
    <w:rsid w:val="00B00B0E"/>
    <w:rsid w:val="00B00B26"/>
    <w:rsid w:val="00B02385"/>
    <w:rsid w:val="00B02F9D"/>
    <w:rsid w:val="00B04CCD"/>
    <w:rsid w:val="00B055A4"/>
    <w:rsid w:val="00B05766"/>
    <w:rsid w:val="00B06B2D"/>
    <w:rsid w:val="00B13048"/>
    <w:rsid w:val="00B13883"/>
    <w:rsid w:val="00B147AA"/>
    <w:rsid w:val="00B15591"/>
    <w:rsid w:val="00B16138"/>
    <w:rsid w:val="00B1716D"/>
    <w:rsid w:val="00B17A1D"/>
    <w:rsid w:val="00B2028C"/>
    <w:rsid w:val="00B207A0"/>
    <w:rsid w:val="00B21C21"/>
    <w:rsid w:val="00B22F54"/>
    <w:rsid w:val="00B24A7E"/>
    <w:rsid w:val="00B25C0C"/>
    <w:rsid w:val="00B30374"/>
    <w:rsid w:val="00B304B5"/>
    <w:rsid w:val="00B308A9"/>
    <w:rsid w:val="00B31047"/>
    <w:rsid w:val="00B33148"/>
    <w:rsid w:val="00B335B6"/>
    <w:rsid w:val="00B35CDF"/>
    <w:rsid w:val="00B403C2"/>
    <w:rsid w:val="00B405A1"/>
    <w:rsid w:val="00B44217"/>
    <w:rsid w:val="00B4438A"/>
    <w:rsid w:val="00B45270"/>
    <w:rsid w:val="00B45AA2"/>
    <w:rsid w:val="00B46271"/>
    <w:rsid w:val="00B479CA"/>
    <w:rsid w:val="00B5084F"/>
    <w:rsid w:val="00B514DD"/>
    <w:rsid w:val="00B52AF0"/>
    <w:rsid w:val="00B53D5F"/>
    <w:rsid w:val="00B54051"/>
    <w:rsid w:val="00B561BD"/>
    <w:rsid w:val="00B5696E"/>
    <w:rsid w:val="00B56E03"/>
    <w:rsid w:val="00B62765"/>
    <w:rsid w:val="00B65CF0"/>
    <w:rsid w:val="00B65DF5"/>
    <w:rsid w:val="00B745C8"/>
    <w:rsid w:val="00B7679F"/>
    <w:rsid w:val="00B77159"/>
    <w:rsid w:val="00B8080B"/>
    <w:rsid w:val="00B8103F"/>
    <w:rsid w:val="00B82223"/>
    <w:rsid w:val="00B8797E"/>
    <w:rsid w:val="00B87BA5"/>
    <w:rsid w:val="00B87C39"/>
    <w:rsid w:val="00B93891"/>
    <w:rsid w:val="00B9562D"/>
    <w:rsid w:val="00BA21DA"/>
    <w:rsid w:val="00BA2B60"/>
    <w:rsid w:val="00BA3C93"/>
    <w:rsid w:val="00BA4665"/>
    <w:rsid w:val="00BA6B45"/>
    <w:rsid w:val="00BA7FD7"/>
    <w:rsid w:val="00BB1681"/>
    <w:rsid w:val="00BB2AC3"/>
    <w:rsid w:val="00BB2FB2"/>
    <w:rsid w:val="00BB3304"/>
    <w:rsid w:val="00BB4118"/>
    <w:rsid w:val="00BB6551"/>
    <w:rsid w:val="00BC4A10"/>
    <w:rsid w:val="00BD290F"/>
    <w:rsid w:val="00BD2CC5"/>
    <w:rsid w:val="00BD30F4"/>
    <w:rsid w:val="00BD3446"/>
    <w:rsid w:val="00BD59CF"/>
    <w:rsid w:val="00BD5A12"/>
    <w:rsid w:val="00BE0407"/>
    <w:rsid w:val="00BE1312"/>
    <w:rsid w:val="00BE1F1B"/>
    <w:rsid w:val="00BE3F89"/>
    <w:rsid w:val="00BE459B"/>
    <w:rsid w:val="00BE47B5"/>
    <w:rsid w:val="00BE5C5B"/>
    <w:rsid w:val="00BE5FCE"/>
    <w:rsid w:val="00BE7E0D"/>
    <w:rsid w:val="00BF4B83"/>
    <w:rsid w:val="00C0079E"/>
    <w:rsid w:val="00C0572A"/>
    <w:rsid w:val="00C05D5F"/>
    <w:rsid w:val="00C06F30"/>
    <w:rsid w:val="00C132BE"/>
    <w:rsid w:val="00C13EBD"/>
    <w:rsid w:val="00C153E2"/>
    <w:rsid w:val="00C1631B"/>
    <w:rsid w:val="00C163AB"/>
    <w:rsid w:val="00C170F0"/>
    <w:rsid w:val="00C20C8B"/>
    <w:rsid w:val="00C22EF3"/>
    <w:rsid w:val="00C25962"/>
    <w:rsid w:val="00C25FA6"/>
    <w:rsid w:val="00C26A82"/>
    <w:rsid w:val="00C3099D"/>
    <w:rsid w:val="00C33011"/>
    <w:rsid w:val="00C34043"/>
    <w:rsid w:val="00C362C1"/>
    <w:rsid w:val="00C41950"/>
    <w:rsid w:val="00C42C3B"/>
    <w:rsid w:val="00C51672"/>
    <w:rsid w:val="00C528CF"/>
    <w:rsid w:val="00C532B8"/>
    <w:rsid w:val="00C538A9"/>
    <w:rsid w:val="00C53A02"/>
    <w:rsid w:val="00C53B5A"/>
    <w:rsid w:val="00C53E41"/>
    <w:rsid w:val="00C54909"/>
    <w:rsid w:val="00C54AF3"/>
    <w:rsid w:val="00C54F5A"/>
    <w:rsid w:val="00C569B4"/>
    <w:rsid w:val="00C57DDE"/>
    <w:rsid w:val="00C603EF"/>
    <w:rsid w:val="00C61468"/>
    <w:rsid w:val="00C61A97"/>
    <w:rsid w:val="00C61E44"/>
    <w:rsid w:val="00C64FF3"/>
    <w:rsid w:val="00C662AD"/>
    <w:rsid w:val="00C67A92"/>
    <w:rsid w:val="00C71280"/>
    <w:rsid w:val="00C717BF"/>
    <w:rsid w:val="00C76178"/>
    <w:rsid w:val="00C837D6"/>
    <w:rsid w:val="00C84560"/>
    <w:rsid w:val="00C85DF4"/>
    <w:rsid w:val="00C86679"/>
    <w:rsid w:val="00C8792F"/>
    <w:rsid w:val="00C90472"/>
    <w:rsid w:val="00C91D6E"/>
    <w:rsid w:val="00C9424A"/>
    <w:rsid w:val="00C95BBB"/>
    <w:rsid w:val="00C95C72"/>
    <w:rsid w:val="00CA3174"/>
    <w:rsid w:val="00CA489E"/>
    <w:rsid w:val="00CB0279"/>
    <w:rsid w:val="00CB505E"/>
    <w:rsid w:val="00CB666B"/>
    <w:rsid w:val="00CB734B"/>
    <w:rsid w:val="00CC000F"/>
    <w:rsid w:val="00CC1632"/>
    <w:rsid w:val="00CC3A0E"/>
    <w:rsid w:val="00CC41B6"/>
    <w:rsid w:val="00CC7ADA"/>
    <w:rsid w:val="00CC7F1D"/>
    <w:rsid w:val="00CD0A88"/>
    <w:rsid w:val="00CD125D"/>
    <w:rsid w:val="00CD159D"/>
    <w:rsid w:val="00CD2656"/>
    <w:rsid w:val="00CD283C"/>
    <w:rsid w:val="00CD3641"/>
    <w:rsid w:val="00CD66EA"/>
    <w:rsid w:val="00CD7432"/>
    <w:rsid w:val="00CE0FA5"/>
    <w:rsid w:val="00CE2087"/>
    <w:rsid w:val="00CE2A23"/>
    <w:rsid w:val="00CE31C8"/>
    <w:rsid w:val="00CE3A11"/>
    <w:rsid w:val="00CE484B"/>
    <w:rsid w:val="00CE7CBA"/>
    <w:rsid w:val="00CF0DEE"/>
    <w:rsid w:val="00CF42AA"/>
    <w:rsid w:val="00CF5EAA"/>
    <w:rsid w:val="00CF6AE3"/>
    <w:rsid w:val="00CF77BB"/>
    <w:rsid w:val="00D006AE"/>
    <w:rsid w:val="00D00905"/>
    <w:rsid w:val="00D00B55"/>
    <w:rsid w:val="00D010C1"/>
    <w:rsid w:val="00D01CF0"/>
    <w:rsid w:val="00D0386B"/>
    <w:rsid w:val="00D0442A"/>
    <w:rsid w:val="00D12A7B"/>
    <w:rsid w:val="00D12ADB"/>
    <w:rsid w:val="00D15E63"/>
    <w:rsid w:val="00D16995"/>
    <w:rsid w:val="00D25A39"/>
    <w:rsid w:val="00D27CFA"/>
    <w:rsid w:val="00D310FA"/>
    <w:rsid w:val="00D325C6"/>
    <w:rsid w:val="00D33E2C"/>
    <w:rsid w:val="00D37213"/>
    <w:rsid w:val="00D40DBF"/>
    <w:rsid w:val="00D4360D"/>
    <w:rsid w:val="00D442B2"/>
    <w:rsid w:val="00D52799"/>
    <w:rsid w:val="00D54BCE"/>
    <w:rsid w:val="00D5607F"/>
    <w:rsid w:val="00D61388"/>
    <w:rsid w:val="00D61A54"/>
    <w:rsid w:val="00D62108"/>
    <w:rsid w:val="00D63AB2"/>
    <w:rsid w:val="00D64AA4"/>
    <w:rsid w:val="00D64DEA"/>
    <w:rsid w:val="00D64F84"/>
    <w:rsid w:val="00D663CD"/>
    <w:rsid w:val="00D6726A"/>
    <w:rsid w:val="00D7001B"/>
    <w:rsid w:val="00D712EA"/>
    <w:rsid w:val="00D7160D"/>
    <w:rsid w:val="00D7168E"/>
    <w:rsid w:val="00D71E57"/>
    <w:rsid w:val="00D72D27"/>
    <w:rsid w:val="00D7786B"/>
    <w:rsid w:val="00D77C66"/>
    <w:rsid w:val="00D80893"/>
    <w:rsid w:val="00D82519"/>
    <w:rsid w:val="00D82D0C"/>
    <w:rsid w:val="00D84854"/>
    <w:rsid w:val="00D924AE"/>
    <w:rsid w:val="00D92CF1"/>
    <w:rsid w:val="00D92D38"/>
    <w:rsid w:val="00D950F5"/>
    <w:rsid w:val="00D97379"/>
    <w:rsid w:val="00DA4752"/>
    <w:rsid w:val="00DA4C09"/>
    <w:rsid w:val="00DA61F3"/>
    <w:rsid w:val="00DA73BF"/>
    <w:rsid w:val="00DA7CB3"/>
    <w:rsid w:val="00DB0D00"/>
    <w:rsid w:val="00DB0F93"/>
    <w:rsid w:val="00DB1A67"/>
    <w:rsid w:val="00DB3721"/>
    <w:rsid w:val="00DB3AFF"/>
    <w:rsid w:val="00DB5074"/>
    <w:rsid w:val="00DC0281"/>
    <w:rsid w:val="00DC1930"/>
    <w:rsid w:val="00DC1C76"/>
    <w:rsid w:val="00DC28D4"/>
    <w:rsid w:val="00DC4DBF"/>
    <w:rsid w:val="00DC4E19"/>
    <w:rsid w:val="00DC65FE"/>
    <w:rsid w:val="00DC7981"/>
    <w:rsid w:val="00DD391C"/>
    <w:rsid w:val="00DD4C07"/>
    <w:rsid w:val="00DD577D"/>
    <w:rsid w:val="00DD5ADC"/>
    <w:rsid w:val="00DE06F2"/>
    <w:rsid w:val="00DE1093"/>
    <w:rsid w:val="00DE4EFA"/>
    <w:rsid w:val="00DE5520"/>
    <w:rsid w:val="00DE563D"/>
    <w:rsid w:val="00DE7AB5"/>
    <w:rsid w:val="00DE7DBB"/>
    <w:rsid w:val="00DF0152"/>
    <w:rsid w:val="00DF1958"/>
    <w:rsid w:val="00DF1EDA"/>
    <w:rsid w:val="00E04818"/>
    <w:rsid w:val="00E06442"/>
    <w:rsid w:val="00E06952"/>
    <w:rsid w:val="00E11E61"/>
    <w:rsid w:val="00E12371"/>
    <w:rsid w:val="00E157B2"/>
    <w:rsid w:val="00E1587E"/>
    <w:rsid w:val="00E16055"/>
    <w:rsid w:val="00E2332D"/>
    <w:rsid w:val="00E23993"/>
    <w:rsid w:val="00E2400E"/>
    <w:rsid w:val="00E2574F"/>
    <w:rsid w:val="00E25951"/>
    <w:rsid w:val="00E25B8C"/>
    <w:rsid w:val="00E31CF6"/>
    <w:rsid w:val="00E33F9F"/>
    <w:rsid w:val="00E34A4A"/>
    <w:rsid w:val="00E35AFC"/>
    <w:rsid w:val="00E368AD"/>
    <w:rsid w:val="00E408B0"/>
    <w:rsid w:val="00E41980"/>
    <w:rsid w:val="00E41D39"/>
    <w:rsid w:val="00E50A02"/>
    <w:rsid w:val="00E54106"/>
    <w:rsid w:val="00E54697"/>
    <w:rsid w:val="00E57A08"/>
    <w:rsid w:val="00E63631"/>
    <w:rsid w:val="00E639DB"/>
    <w:rsid w:val="00E64C2A"/>
    <w:rsid w:val="00E64F5B"/>
    <w:rsid w:val="00E65C85"/>
    <w:rsid w:val="00E66199"/>
    <w:rsid w:val="00E66A50"/>
    <w:rsid w:val="00E70526"/>
    <w:rsid w:val="00E737CB"/>
    <w:rsid w:val="00E7470D"/>
    <w:rsid w:val="00E754B4"/>
    <w:rsid w:val="00E755EC"/>
    <w:rsid w:val="00E75947"/>
    <w:rsid w:val="00E7624D"/>
    <w:rsid w:val="00E81724"/>
    <w:rsid w:val="00E819A4"/>
    <w:rsid w:val="00E82D7F"/>
    <w:rsid w:val="00E833FA"/>
    <w:rsid w:val="00E84B74"/>
    <w:rsid w:val="00E87066"/>
    <w:rsid w:val="00E966BF"/>
    <w:rsid w:val="00EA0C04"/>
    <w:rsid w:val="00EA2F0D"/>
    <w:rsid w:val="00EA3D42"/>
    <w:rsid w:val="00EA4757"/>
    <w:rsid w:val="00EA6B1B"/>
    <w:rsid w:val="00EB019C"/>
    <w:rsid w:val="00EB104C"/>
    <w:rsid w:val="00EB1CBD"/>
    <w:rsid w:val="00EB3A34"/>
    <w:rsid w:val="00EB3C3F"/>
    <w:rsid w:val="00EB6FB9"/>
    <w:rsid w:val="00EC04F1"/>
    <w:rsid w:val="00EC237F"/>
    <w:rsid w:val="00EC573A"/>
    <w:rsid w:val="00ED35C8"/>
    <w:rsid w:val="00ED3968"/>
    <w:rsid w:val="00ED7323"/>
    <w:rsid w:val="00EE28F3"/>
    <w:rsid w:val="00EE50D1"/>
    <w:rsid w:val="00EE7614"/>
    <w:rsid w:val="00EE7DE3"/>
    <w:rsid w:val="00EF5110"/>
    <w:rsid w:val="00EF5890"/>
    <w:rsid w:val="00EF76BA"/>
    <w:rsid w:val="00F0231A"/>
    <w:rsid w:val="00F03463"/>
    <w:rsid w:val="00F036B7"/>
    <w:rsid w:val="00F053FE"/>
    <w:rsid w:val="00F0700F"/>
    <w:rsid w:val="00F07F1F"/>
    <w:rsid w:val="00F10411"/>
    <w:rsid w:val="00F10A9A"/>
    <w:rsid w:val="00F11B2D"/>
    <w:rsid w:val="00F121C2"/>
    <w:rsid w:val="00F13245"/>
    <w:rsid w:val="00F1485B"/>
    <w:rsid w:val="00F15882"/>
    <w:rsid w:val="00F170C7"/>
    <w:rsid w:val="00F171E0"/>
    <w:rsid w:val="00F20BD3"/>
    <w:rsid w:val="00F21E68"/>
    <w:rsid w:val="00F25292"/>
    <w:rsid w:val="00F30660"/>
    <w:rsid w:val="00F322E9"/>
    <w:rsid w:val="00F3231B"/>
    <w:rsid w:val="00F33808"/>
    <w:rsid w:val="00F33B46"/>
    <w:rsid w:val="00F373A5"/>
    <w:rsid w:val="00F37864"/>
    <w:rsid w:val="00F404F9"/>
    <w:rsid w:val="00F41178"/>
    <w:rsid w:val="00F414D0"/>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3DBA"/>
    <w:rsid w:val="00F75A26"/>
    <w:rsid w:val="00F76706"/>
    <w:rsid w:val="00F77D6D"/>
    <w:rsid w:val="00F80206"/>
    <w:rsid w:val="00F8269D"/>
    <w:rsid w:val="00F83034"/>
    <w:rsid w:val="00F83FAD"/>
    <w:rsid w:val="00F844C6"/>
    <w:rsid w:val="00F92FA6"/>
    <w:rsid w:val="00F9353B"/>
    <w:rsid w:val="00F937F1"/>
    <w:rsid w:val="00F952A0"/>
    <w:rsid w:val="00FA2A6E"/>
    <w:rsid w:val="00FA31B1"/>
    <w:rsid w:val="00FA3320"/>
    <w:rsid w:val="00FA3C7F"/>
    <w:rsid w:val="00FA5F14"/>
    <w:rsid w:val="00FA6246"/>
    <w:rsid w:val="00FB24ED"/>
    <w:rsid w:val="00FB3304"/>
    <w:rsid w:val="00FB443D"/>
    <w:rsid w:val="00FB5005"/>
    <w:rsid w:val="00FB60FE"/>
    <w:rsid w:val="00FB74E2"/>
    <w:rsid w:val="00FB778B"/>
    <w:rsid w:val="00FD3E19"/>
    <w:rsid w:val="00FD5614"/>
    <w:rsid w:val="00FD5E78"/>
    <w:rsid w:val="00FD7495"/>
    <w:rsid w:val="00FD7850"/>
    <w:rsid w:val="00FE0BE1"/>
    <w:rsid w:val="00FE11BB"/>
    <w:rsid w:val="00FE1DE9"/>
    <w:rsid w:val="00FE36AF"/>
    <w:rsid w:val="00FE39C2"/>
    <w:rsid w:val="00FE3C32"/>
    <w:rsid w:val="00FE64AE"/>
    <w:rsid w:val="00FE7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74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572132"/>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uiPriority="0"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572132"/>
    <w:pPr>
      <w:spacing w:line="276" w:lineRule="auto"/>
    </w:pPr>
    <w:rPr>
      <w:rFonts w:ascii="Arial" w:hAnsi="Arial"/>
    </w:rPr>
  </w:style>
  <w:style w:type="paragraph" w:styleId="Heading1">
    <w:name w:val="heading 1"/>
    <w:aliases w:val="(Alt + 1)"/>
    <w:basedOn w:val="Normal"/>
    <w:next w:val="Normal"/>
    <w:link w:val="Heading1Char"/>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aliases w:val="Appendix 1"/>
    <w:next w:val="Normal"/>
    <w:link w:val="Heading5Char"/>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aliases w:val="Appendix 2"/>
    <w:basedOn w:val="Normal"/>
    <w:next w:val="Normal"/>
    <w:link w:val="Heading6Char"/>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lt + 1) Char"/>
    <w:basedOn w:val="DefaultParagraphFont"/>
    <w:link w:val="Heading1"/>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rsid w:val="00126A4C"/>
    <w:rPr>
      <w:rFonts w:ascii="Arial" w:eastAsiaTheme="majorEastAsia" w:hAnsi="Arial" w:cstheme="majorBidi"/>
      <w:b/>
      <w:bCs/>
      <w:iCs/>
      <w:color w:val="51626F"/>
      <w:sz w:val="24"/>
    </w:rPr>
  </w:style>
  <w:style w:type="character" w:customStyle="1" w:styleId="Heading5Char">
    <w:name w:val="Heading 5 Char"/>
    <w:aliases w:val="Appendix 1 Char"/>
    <w:basedOn w:val="DefaultParagraphFont"/>
    <w:link w:val="Heading5"/>
    <w:rsid w:val="00126A4C"/>
    <w:rPr>
      <w:rFonts w:ascii="Arial" w:eastAsiaTheme="majorEastAsia" w:hAnsi="Arial" w:cstheme="majorBidi"/>
      <w:b/>
      <w:color w:val="170017" w:themeColor="accent1" w:themeShade="7F"/>
    </w:rPr>
  </w:style>
  <w:style w:type="character" w:customStyle="1" w:styleId="Heading6Char">
    <w:name w:val="Heading 6 Char"/>
    <w:aliases w:val="Appendix 2 Char"/>
    <w:basedOn w:val="DefaultParagraphFont"/>
    <w:link w:val="Heading6"/>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13756060">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342198129">
      <w:bodyDiv w:val="1"/>
      <w:marLeft w:val="0"/>
      <w:marRight w:val="0"/>
      <w:marTop w:val="0"/>
      <w:marBottom w:val="0"/>
      <w:divBdr>
        <w:top w:val="none" w:sz="0" w:space="0" w:color="auto"/>
        <w:left w:val="none" w:sz="0" w:space="0" w:color="auto"/>
        <w:bottom w:val="none" w:sz="0" w:space="0" w:color="auto"/>
        <w:right w:val="none" w:sz="0" w:space="0" w:color="auto"/>
      </w:divBdr>
    </w:div>
    <w:div w:id="1463040902">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3.wmf"/><Relationship Id="rId26" Type="http://schemas.openxmlformats.org/officeDocument/2006/relationships/image" Target="media/image7.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oleObject" Target="embeddings/oleObject19.bin"/><Relationship Id="rId63" Type="http://schemas.openxmlformats.org/officeDocument/2006/relationships/image" Target="media/image25.wmf"/><Relationship Id="rId68" Type="http://schemas.openxmlformats.org/officeDocument/2006/relationships/oleObject" Target="embeddings/oleObject26.bin"/><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oleObject" Target="embeddings/oleObject6.bin"/><Relationship Id="rId11" Type="http://schemas.openxmlformats.org/officeDocument/2006/relationships/hyperlink" Target="mailto:AERInquiry@aer.gov.au" TargetMode="Externa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3.wmf"/><Relationship Id="rId66" Type="http://schemas.openxmlformats.org/officeDocument/2006/relationships/oleObject" Target="embeddings/oleObject25.bin"/><Relationship Id="rId7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oleObject" Target="embeddings/oleObject3.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6.bin"/><Relationship Id="rId57" Type="http://schemas.openxmlformats.org/officeDocument/2006/relationships/oleObject" Target="embeddings/oleObject20.bin"/><Relationship Id="rId61" Type="http://schemas.openxmlformats.org/officeDocument/2006/relationships/image" Target="media/image24.wmf"/><Relationship Id="rId10" Type="http://schemas.openxmlformats.org/officeDocument/2006/relationships/image" Target="media/image2.jpeg"/><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2.bin"/><Relationship Id="rId65" Type="http://schemas.openxmlformats.org/officeDocument/2006/relationships/image" Target="media/image26.wmf"/><Relationship Id="rId73"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5.wmf"/><Relationship Id="rId27"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8.wmf"/><Relationship Id="rId56" Type="http://schemas.openxmlformats.org/officeDocument/2006/relationships/image" Target="media/image22.tmp"/><Relationship Id="rId64" Type="http://schemas.openxmlformats.org/officeDocument/2006/relationships/oleObject" Target="embeddings/oleObject24.bin"/><Relationship Id="rId69" Type="http://schemas.openxmlformats.org/officeDocument/2006/relationships/image" Target="media/image28.wmf"/><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17.bin"/><Relationship Id="rId72" Type="http://schemas.openxmlformats.org/officeDocument/2006/relationships/header" Target="header4.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oleObject" Target="embeddings/oleObject21.bin"/><Relationship Id="rId67" Type="http://schemas.openxmlformats.org/officeDocument/2006/relationships/image" Target="media/image27.wmf"/><Relationship Id="rId20" Type="http://schemas.openxmlformats.org/officeDocument/2006/relationships/image" Target="media/image4.wmf"/><Relationship Id="rId41" Type="http://schemas.openxmlformats.org/officeDocument/2006/relationships/oleObject" Target="embeddings/oleObject12.bin"/><Relationship Id="rId54" Type="http://schemas.openxmlformats.org/officeDocument/2006/relationships/image" Target="media/image21.wmf"/><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476618547681539"/>
          <c:y val="3.75116652085156E-2"/>
          <c:w val="0.84448381452318455"/>
          <c:h val="0.80947142023913676"/>
        </c:manualLayout>
      </c:layout>
      <c:scatterChart>
        <c:scatterStyle val="lineMarker"/>
        <c:varyColors val="0"/>
        <c:ser>
          <c:idx val="0"/>
          <c:order val="0"/>
          <c:spPr>
            <a:ln w="28575">
              <a:noFill/>
            </a:ln>
          </c:spPr>
          <c:marker>
            <c:symbol val="diamond"/>
            <c:size val="7"/>
          </c:marker>
          <c:xVal>
            <c:numRef>
              <c:f>Benchmarking!$C$3:$C$11</c:f>
              <c:numCache>
                <c:formatCode>0</c:formatCode>
                <c:ptCount val="9"/>
                <c:pt idx="0">
                  <c:v>57.764170647030276</c:v>
                </c:pt>
                <c:pt idx="1">
                  <c:v>44.073463769091745</c:v>
                </c:pt>
                <c:pt idx="2">
                  <c:v>32.976218906228652</c:v>
                </c:pt>
                <c:pt idx="3">
                  <c:v>32.033729953666423</c:v>
                </c:pt>
                <c:pt idx="4">
                  <c:v>5.0199175046691353</c:v>
                </c:pt>
                <c:pt idx="5">
                  <c:v>4.7270278862480684</c:v>
                </c:pt>
                <c:pt idx="6">
                  <c:v>10.434544496804468</c:v>
                </c:pt>
                <c:pt idx="7">
                  <c:v>16.002045508758279</c:v>
                </c:pt>
                <c:pt idx="8">
                  <c:v>14.056187162583409</c:v>
                </c:pt>
              </c:numCache>
            </c:numRef>
          </c:xVal>
          <c:yVal>
            <c:numRef>
              <c:f>Benchmarking!$D$3:$D$11</c:f>
              <c:numCache>
                <c:formatCode>0</c:formatCode>
                <c:ptCount val="9"/>
                <c:pt idx="0">
                  <c:v>9.2139018206340566</c:v>
                </c:pt>
                <c:pt idx="1">
                  <c:v>14.773500502372537</c:v>
                </c:pt>
                <c:pt idx="2">
                  <c:v>15.2217136744708</c:v>
                </c:pt>
                <c:pt idx="3">
                  <c:v>13.237769244012128</c:v>
                </c:pt>
                <c:pt idx="4">
                  <c:v>69.409189507114064</c:v>
                </c:pt>
                <c:pt idx="5">
                  <c:v>52.408202662354554</c:v>
                </c:pt>
                <c:pt idx="6">
                  <c:v>7.3546045703594416</c:v>
                </c:pt>
                <c:pt idx="7">
                  <c:v>17.786562147281821</c:v>
                </c:pt>
                <c:pt idx="8">
                  <c:v>26.250055042264876</c:v>
                </c:pt>
              </c:numCache>
            </c:numRef>
          </c:yVal>
          <c:smooth val="0"/>
        </c:ser>
        <c:dLbls>
          <c:showLegendKey val="0"/>
          <c:showVal val="0"/>
          <c:showCatName val="0"/>
          <c:showSerName val="0"/>
          <c:showPercent val="0"/>
          <c:showBubbleSize val="0"/>
        </c:dLbls>
        <c:axId val="284592000"/>
        <c:axId val="284639232"/>
      </c:scatterChart>
      <c:valAx>
        <c:axId val="284592000"/>
        <c:scaling>
          <c:orientation val="minMax"/>
        </c:scaling>
        <c:delete val="0"/>
        <c:axPos val="b"/>
        <c:title>
          <c:tx>
            <c:rich>
              <a:bodyPr/>
              <a:lstStyle/>
              <a:p>
                <a:pPr>
                  <a:defRPr/>
                </a:pPr>
                <a:r>
                  <a:rPr lang="en-US"/>
                  <a:t>Customer density (customer</a:t>
                </a:r>
                <a:r>
                  <a:rPr lang="en-US" baseline="0"/>
                  <a:t> per km of line length)</a:t>
                </a:r>
                <a:endParaRPr lang="en-US"/>
              </a:p>
            </c:rich>
          </c:tx>
          <c:overlay val="0"/>
        </c:title>
        <c:numFmt formatCode="0" sourceLinked="1"/>
        <c:majorTickMark val="out"/>
        <c:minorTickMark val="none"/>
        <c:tickLblPos val="nextTo"/>
        <c:crossAx val="284639232"/>
        <c:crosses val="autoZero"/>
        <c:crossBetween val="midCat"/>
      </c:valAx>
      <c:valAx>
        <c:axId val="284639232"/>
        <c:scaling>
          <c:orientation val="minMax"/>
        </c:scaling>
        <c:delete val="0"/>
        <c:axPos val="l"/>
        <c:title>
          <c:tx>
            <c:rich>
              <a:bodyPr rot="-5400000" vert="horz"/>
              <a:lstStyle/>
              <a:p>
                <a:pPr>
                  <a:defRPr/>
                </a:pPr>
                <a:r>
                  <a:rPr lang="en-US"/>
                  <a:t>Base opex per customer ($2016-17)</a:t>
                </a:r>
              </a:p>
            </c:rich>
          </c:tx>
          <c:overlay val="0"/>
        </c:title>
        <c:numFmt formatCode="0" sourceLinked="1"/>
        <c:majorTickMark val="out"/>
        <c:minorTickMark val="none"/>
        <c:tickLblPos val="nextTo"/>
        <c:crossAx val="284592000"/>
        <c:crosses val="autoZero"/>
        <c:crossBetween val="midCat"/>
      </c:valAx>
    </c:plotArea>
    <c:plotVisOnly val="1"/>
    <c:dispBlanksAs val="gap"/>
    <c:showDLblsOverMax val="0"/>
  </c:chart>
  <c:spPr>
    <a:ln>
      <a:noFill/>
    </a:ln>
  </c:sp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0.17188</cdr:x>
      <cdr:y>0.10243</cdr:y>
    </cdr:from>
    <cdr:to>
      <cdr:x>0.34479</cdr:x>
      <cdr:y>0.22049</cdr:y>
    </cdr:to>
    <cdr:sp macro="" textlink="">
      <cdr:nvSpPr>
        <cdr:cNvPr id="2" name="TextBox 1"/>
        <cdr:cNvSpPr txBox="1"/>
      </cdr:nvSpPr>
      <cdr:spPr>
        <a:xfrm xmlns:a="http://schemas.openxmlformats.org/drawingml/2006/main">
          <a:off x="785813" y="280988"/>
          <a:ext cx="790575" cy="323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0.11528</cdr:x>
      <cdr:y>0.21991</cdr:y>
    </cdr:from>
    <cdr:to>
      <cdr:x>0.35521</cdr:x>
      <cdr:y>0.40394</cdr:y>
    </cdr:to>
    <cdr:sp macro="" textlink="">
      <cdr:nvSpPr>
        <cdr:cNvPr id="3" name="TextBox 5"/>
        <cdr:cNvSpPr txBox="1"/>
      </cdr:nvSpPr>
      <cdr:spPr>
        <a:xfrm xmlns:a="http://schemas.openxmlformats.org/drawingml/2006/main">
          <a:off x="527049" y="603250"/>
          <a:ext cx="1096963" cy="50482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900"/>
            <a:t>Essential</a:t>
          </a:r>
          <a:r>
            <a:rPr lang="en-US" sz="900" baseline="0"/>
            <a:t> Energy</a:t>
          </a:r>
          <a:endParaRPr lang="en-US" sz="900"/>
        </a:p>
        <a:p xmlns:a="http://schemas.openxmlformats.org/drawingml/2006/main">
          <a:pPr algn="ctr"/>
          <a:r>
            <a:rPr lang="en-US" sz="900"/>
            <a:t>$52</a:t>
          </a:r>
        </a:p>
      </cdr:txBody>
    </cdr:sp>
  </cdr:relSizeAnchor>
  <cdr:relSizeAnchor xmlns:cdr="http://schemas.openxmlformats.org/drawingml/2006/chartDrawing">
    <cdr:from>
      <cdr:x>0.19444</cdr:x>
      <cdr:y>0.39005</cdr:y>
    </cdr:from>
    <cdr:to>
      <cdr:x>0.43438</cdr:x>
      <cdr:y>0.57407</cdr:y>
    </cdr:to>
    <cdr:sp macro="" textlink="">
      <cdr:nvSpPr>
        <cdr:cNvPr id="5" name="TextBox 5"/>
        <cdr:cNvSpPr txBox="1"/>
      </cdr:nvSpPr>
      <cdr:spPr>
        <a:xfrm xmlns:a="http://schemas.openxmlformats.org/drawingml/2006/main">
          <a:off x="889000" y="1069975"/>
          <a:ext cx="1096963" cy="50482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900"/>
            <a:t>TasNetworks (2010-15)</a:t>
          </a:r>
        </a:p>
        <a:p xmlns:a="http://schemas.openxmlformats.org/drawingml/2006/main">
          <a:pPr algn="ctr"/>
          <a:r>
            <a:rPr lang="en-US" sz="900"/>
            <a:t>$26</a:t>
          </a:r>
        </a:p>
      </cdr:txBody>
    </cdr:sp>
  </cdr:relSizeAnchor>
  <cdr:relSizeAnchor xmlns:cdr="http://schemas.openxmlformats.org/drawingml/2006/chartDrawing">
    <cdr:from>
      <cdr:x>0.04479</cdr:x>
      <cdr:y>0.65394</cdr:y>
    </cdr:from>
    <cdr:to>
      <cdr:x>0.31979</cdr:x>
      <cdr:y>0.83796</cdr:y>
    </cdr:to>
    <cdr:sp macro="" textlink="">
      <cdr:nvSpPr>
        <cdr:cNvPr id="7" name="TextBox 5"/>
        <cdr:cNvSpPr txBox="1"/>
      </cdr:nvSpPr>
      <cdr:spPr>
        <a:xfrm xmlns:a="http://schemas.openxmlformats.org/drawingml/2006/main">
          <a:off x="204789" y="1793875"/>
          <a:ext cx="1257300" cy="50482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900"/>
            <a:t>SA Power </a:t>
          </a:r>
        </a:p>
        <a:p xmlns:a="http://schemas.openxmlformats.org/drawingml/2006/main">
          <a:pPr algn="ctr"/>
          <a:r>
            <a:rPr lang="en-US" sz="900"/>
            <a:t>Networks</a:t>
          </a:r>
        </a:p>
        <a:p xmlns:a="http://schemas.openxmlformats.org/drawingml/2006/main">
          <a:pPr algn="ctr"/>
          <a:r>
            <a:rPr lang="en-US" sz="900"/>
            <a:t>$7</a:t>
          </a:r>
        </a:p>
      </cdr:txBody>
    </cdr:sp>
  </cdr:relSizeAnchor>
  <cdr:relSizeAnchor xmlns:cdr="http://schemas.openxmlformats.org/drawingml/2006/chartDrawing">
    <cdr:from>
      <cdr:x>0.34236</cdr:x>
      <cdr:y>0.70255</cdr:y>
    </cdr:from>
    <cdr:to>
      <cdr:x>0.61736</cdr:x>
      <cdr:y>0.88657</cdr:y>
    </cdr:to>
    <cdr:sp macro="" textlink="">
      <cdr:nvSpPr>
        <cdr:cNvPr id="9" name="TextBox 5"/>
        <cdr:cNvSpPr txBox="1"/>
      </cdr:nvSpPr>
      <cdr:spPr>
        <a:xfrm xmlns:a="http://schemas.openxmlformats.org/drawingml/2006/main">
          <a:off x="1565275" y="1927225"/>
          <a:ext cx="1257300" cy="50482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900"/>
            <a:t>Energex</a:t>
          </a:r>
        </a:p>
        <a:p xmlns:a="http://schemas.openxmlformats.org/drawingml/2006/main">
          <a:pPr algn="ctr"/>
          <a:r>
            <a:rPr lang="en-US" sz="900"/>
            <a:t>$13</a:t>
          </a:r>
        </a:p>
      </cdr:txBody>
    </cdr:sp>
  </cdr:relSizeAnchor>
  <cdr:relSizeAnchor xmlns:cdr="http://schemas.openxmlformats.org/drawingml/2006/chartDrawing">
    <cdr:from>
      <cdr:x>0.40903</cdr:x>
      <cdr:y>0.5463</cdr:y>
    </cdr:from>
    <cdr:to>
      <cdr:x>0.68403</cdr:x>
      <cdr:y>0.73032</cdr:y>
    </cdr:to>
    <cdr:sp macro="" textlink="">
      <cdr:nvSpPr>
        <cdr:cNvPr id="10" name="TextBox 5"/>
        <cdr:cNvSpPr txBox="1"/>
      </cdr:nvSpPr>
      <cdr:spPr>
        <a:xfrm xmlns:a="http://schemas.openxmlformats.org/drawingml/2006/main">
          <a:off x="1870075" y="1498600"/>
          <a:ext cx="1257300" cy="50482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900"/>
            <a:t>Endeavour Energy</a:t>
          </a:r>
        </a:p>
        <a:p xmlns:a="http://schemas.openxmlformats.org/drawingml/2006/main">
          <a:pPr algn="ctr"/>
          <a:r>
            <a:rPr lang="en-US" sz="900"/>
            <a:t>$15</a:t>
          </a:r>
        </a:p>
      </cdr:txBody>
    </cdr:sp>
  </cdr:relSizeAnchor>
  <cdr:relSizeAnchor xmlns:cdr="http://schemas.openxmlformats.org/drawingml/2006/chartDrawing">
    <cdr:from>
      <cdr:x>0.55903</cdr:x>
      <cdr:y>0.56019</cdr:y>
    </cdr:from>
    <cdr:to>
      <cdr:x>0.83403</cdr:x>
      <cdr:y>0.74421</cdr:y>
    </cdr:to>
    <cdr:sp macro="" textlink="">
      <cdr:nvSpPr>
        <cdr:cNvPr id="11" name="TextBox 5"/>
        <cdr:cNvSpPr txBox="1"/>
      </cdr:nvSpPr>
      <cdr:spPr>
        <a:xfrm xmlns:a="http://schemas.openxmlformats.org/drawingml/2006/main">
          <a:off x="2555875" y="1536700"/>
          <a:ext cx="1257300" cy="50482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900"/>
            <a:t>Ausgrid</a:t>
          </a:r>
        </a:p>
        <a:p xmlns:a="http://schemas.openxmlformats.org/drawingml/2006/main">
          <a:pPr algn="ctr"/>
          <a:r>
            <a:rPr lang="en-US" sz="900"/>
            <a:t>$15</a:t>
          </a:r>
        </a:p>
      </cdr:txBody>
    </cdr:sp>
  </cdr:relSizeAnchor>
  <cdr:relSizeAnchor xmlns:cdr="http://schemas.openxmlformats.org/drawingml/2006/chartDrawing">
    <cdr:from>
      <cdr:x>0.71944</cdr:x>
      <cdr:y>0.61574</cdr:y>
    </cdr:from>
    <cdr:to>
      <cdr:x>0.99444</cdr:x>
      <cdr:y>0.79977</cdr:y>
    </cdr:to>
    <cdr:sp macro="" textlink="">
      <cdr:nvSpPr>
        <cdr:cNvPr id="12" name="TextBox 5"/>
        <cdr:cNvSpPr txBox="1"/>
      </cdr:nvSpPr>
      <cdr:spPr>
        <a:xfrm xmlns:a="http://schemas.openxmlformats.org/drawingml/2006/main">
          <a:off x="3289300" y="1689100"/>
          <a:ext cx="1257300" cy="50482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900"/>
            <a:t>ActewAGL</a:t>
          </a:r>
        </a:p>
        <a:p xmlns:a="http://schemas.openxmlformats.org/drawingml/2006/main">
          <a:pPr algn="ctr"/>
          <a:r>
            <a:rPr lang="en-US" sz="900"/>
            <a:t>$15</a:t>
          </a:r>
        </a:p>
      </cdr:txBody>
    </cdr:sp>
  </cdr:relSizeAnchor>
  <cdr:relSizeAnchor xmlns:cdr="http://schemas.openxmlformats.org/drawingml/2006/chartDrawing">
    <cdr:from>
      <cdr:x>0.21319</cdr:x>
      <cdr:y>0.66782</cdr:y>
    </cdr:from>
    <cdr:to>
      <cdr:x>0.45313</cdr:x>
      <cdr:y>0.85185</cdr:y>
    </cdr:to>
    <cdr:sp macro="" textlink="">
      <cdr:nvSpPr>
        <cdr:cNvPr id="13" name="TextBox 5"/>
        <cdr:cNvSpPr txBox="1"/>
      </cdr:nvSpPr>
      <cdr:spPr>
        <a:xfrm xmlns:a="http://schemas.openxmlformats.org/drawingml/2006/main">
          <a:off x="974725" y="1831975"/>
          <a:ext cx="1096963" cy="50482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900"/>
            <a:t>TasNetworks (2017-19)</a:t>
          </a:r>
        </a:p>
        <a:p xmlns:a="http://schemas.openxmlformats.org/drawingml/2006/main">
          <a:pPr algn="ctr"/>
          <a:r>
            <a:rPr lang="en-US" sz="900"/>
            <a:t>$18</a:t>
          </a:r>
        </a:p>
      </cdr:txBody>
    </cdr:sp>
  </cdr:relSizeAnchor>
  <cdr:relSizeAnchor xmlns:cdr="http://schemas.openxmlformats.org/drawingml/2006/chartDrawing">
    <cdr:from>
      <cdr:x>0.11944</cdr:x>
      <cdr:y>0.01852</cdr:y>
    </cdr:from>
    <cdr:to>
      <cdr:x>0.35937</cdr:x>
      <cdr:y>0.20255</cdr:y>
    </cdr:to>
    <cdr:sp macro="" textlink="">
      <cdr:nvSpPr>
        <cdr:cNvPr id="14" name="TextBox 5"/>
        <cdr:cNvSpPr txBox="1"/>
      </cdr:nvSpPr>
      <cdr:spPr>
        <a:xfrm xmlns:a="http://schemas.openxmlformats.org/drawingml/2006/main">
          <a:off x="546100" y="50800"/>
          <a:ext cx="1096960" cy="50483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r>
            <a:rPr lang="en-US" sz="900"/>
            <a:t>Ergon Energy</a:t>
          </a:r>
        </a:p>
        <a:p xmlns:a="http://schemas.openxmlformats.org/drawingml/2006/main">
          <a:pPr algn="ctr"/>
          <a:r>
            <a:rPr lang="en-US" sz="900"/>
            <a:t>$69</a:t>
          </a:r>
        </a:p>
      </cdr:txBody>
    </cdr:sp>
  </cdr:relSizeAnchor>
</c:userShape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4A622408.dotm</Template>
  <TotalTime>0</TotalTime>
  <Pages>10</Pages>
  <Words>10911</Words>
  <Characters>62197</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AER draft decision - TasNetworks - Attachment 16 - Alternative control services</vt:lpstr>
    </vt:vector>
  </TitlesOfParts>
  <LinksUpToDate>false</LinksUpToDate>
  <CharactersWithSpaces>72963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decision - TasNetworks - Attachment 16 - Alternative control services</dc:title>
  <dc:creator/>
  <cp:lastModifiedBy/>
  <cp:revision>1</cp:revision>
  <dcterms:created xsi:type="dcterms:W3CDTF">2016-09-28T02:02:00Z</dcterms:created>
  <dcterms:modified xsi:type="dcterms:W3CDTF">2016-09-28T02:02:00Z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rrfile">
    <vt:lpwstr>\\cdchnas-evs02\home$\mleco\aer - draft decision tasnetworks distribution determination - attachment 16 - alternative control services - september 2 (D2015-00170644).docx</vt:lpwstr>
  </property>
</Properties>
</file>