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DE7AB5" w:rsidP="00290C63">
          <w:r w:rsidRPr="00DB723B">
            <w:rPr>
              <w:noProof/>
              <w:lang w:eastAsia="en-AU"/>
            </w:rPr>
            <w:drawing>
              <wp:anchor distT="0" distB="0" distL="114300" distR="114300" simplePos="0" relativeHeight="251661312" behindDoc="1" locked="0" layoutInCell="1" allowOverlap="1" wp14:anchorId="692A2E04" wp14:editId="123433EF">
                <wp:simplePos x="0" y="0"/>
                <wp:positionH relativeFrom="column">
                  <wp:posOffset>-1116964</wp:posOffset>
                </wp:positionH>
                <wp:positionV relativeFrom="paragraph">
                  <wp:posOffset>-1000406</wp:posOffset>
                </wp:positionV>
                <wp:extent cx="7734300" cy="10932441"/>
                <wp:effectExtent l="0" t="0" r="0" b="25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734300" cy="10932441"/>
                        </a:xfrm>
                        <a:prstGeom prst="rect">
                          <a:avLst/>
                        </a:prstGeom>
                        <a:noFill/>
                      </pic:spPr>
                    </pic:pic>
                  </a:graphicData>
                </a:graphic>
                <wp14:sizeRelH relativeFrom="page">
                  <wp14:pctWidth>0</wp14:pctWidth>
                </wp14:sizeRelH>
                <wp14:sizeRelV relativeFrom="page">
                  <wp14:pctHeight>0</wp14:pctHeight>
                </wp14:sizeRelV>
              </wp:anchor>
            </w:drawing>
          </w:r>
          <w:r w:rsidR="000A6C7B" w:rsidRPr="00290C63">
            <w:rPr>
              <w:noProof/>
              <w:lang w:eastAsia="en-AU"/>
            </w:rPr>
            <w:drawing>
              <wp:anchor distT="0" distB="0" distL="114300" distR="114300" simplePos="0" relativeHeight="251659264" behindDoc="1" locked="0" layoutInCell="1" allowOverlap="1" wp14:anchorId="77B9218D" wp14:editId="1449143D">
                <wp:simplePos x="0" y="0"/>
                <wp:positionH relativeFrom="column">
                  <wp:posOffset>-1112520</wp:posOffset>
                </wp:positionH>
                <wp:positionV relativeFrom="paragraph">
                  <wp:posOffset>-919138</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5C16FE" w:rsidRDefault="005C16FE" w:rsidP="00F171E0"/>
        <w:p w:rsidR="00327A1E" w:rsidRDefault="001754EE" w:rsidP="001754EE">
          <w:pPr>
            <w:pStyle w:val="ReportSubtitle"/>
            <w:tabs>
              <w:tab w:val="left" w:pos="1122"/>
              <w:tab w:val="center" w:pos="4238"/>
            </w:tabs>
            <w:jc w:val="left"/>
          </w:pPr>
          <w:r>
            <w:tab/>
          </w:r>
          <w:r>
            <w:tab/>
          </w:r>
          <w:r w:rsidR="000474DF">
            <w:t>DRAFT</w:t>
          </w:r>
          <w:r w:rsidR="00DA4752">
            <w:t xml:space="preserve"> DECISION</w:t>
          </w:r>
        </w:p>
        <w:p w:rsidR="00415F31" w:rsidRDefault="004523B2" w:rsidP="008F07A3">
          <w:pPr>
            <w:pStyle w:val="ReportSubtitle"/>
          </w:pPr>
          <w:r>
            <w:t>TasNetworks distribution</w:t>
          </w:r>
          <w:r w:rsidR="00415F31">
            <w:t xml:space="preserve"> </w:t>
          </w:r>
          <w:r w:rsidR="00DA4752">
            <w:t>determination</w:t>
          </w:r>
        </w:p>
        <w:p w:rsidR="000A6C7B" w:rsidRDefault="00DA4752" w:rsidP="008F07A3">
          <w:pPr>
            <w:pStyle w:val="ReportSubtitle"/>
          </w:pPr>
          <w:r>
            <w:t xml:space="preserve"> 201</w:t>
          </w:r>
          <w:r w:rsidR="000474DF">
            <w:t>7</w:t>
          </w:r>
          <w:r>
            <w:rPr>
              <w:rFonts w:cs="Arial"/>
            </w:rPr>
            <w:t>−</w:t>
          </w:r>
          <w:r>
            <w:t>1</w:t>
          </w:r>
          <w:r w:rsidR="000474DF">
            <w:t>8 to 20</w:t>
          </w:r>
          <w:r w:rsidR="004523B2">
            <w:t>18</w:t>
          </w:r>
          <w:r>
            <w:rPr>
              <w:rFonts w:cs="Arial"/>
            </w:rPr>
            <w:t>−</w:t>
          </w:r>
          <w:r w:rsidR="004523B2">
            <w:t>19</w:t>
          </w:r>
        </w:p>
        <w:p w:rsidR="008F07A3" w:rsidRPr="000A6C7B" w:rsidRDefault="008F07A3" w:rsidP="008F07A3">
          <w:pPr>
            <w:pStyle w:val="ReportSubtitle"/>
          </w:pPr>
        </w:p>
        <w:p w:rsidR="000A6C7B" w:rsidRDefault="0037699E" w:rsidP="008F07A3">
          <w:pPr>
            <w:pStyle w:val="ReportSubtitle"/>
          </w:pPr>
          <w:r>
            <w:t xml:space="preserve">Attachment </w:t>
          </w:r>
          <w:r w:rsidR="00471BC6">
            <w:t>1</w:t>
          </w:r>
          <w:r w:rsidR="0079769A">
            <w:t>7</w:t>
          </w:r>
          <w:r w:rsidR="000474DF">
            <w:t xml:space="preserve"> </w:t>
          </w:r>
          <w:r w:rsidR="00185BA5">
            <w:t>–</w:t>
          </w:r>
          <w:r w:rsidR="000474DF">
            <w:t xml:space="preserve"> </w:t>
          </w:r>
          <w:r w:rsidR="0079769A">
            <w:t>Negotiated services framework and criteria</w:t>
          </w:r>
        </w:p>
        <w:p w:rsidR="000A6C7B" w:rsidRPr="00327A1E" w:rsidRDefault="000474DF" w:rsidP="00327A1E">
          <w:pPr>
            <w:pStyle w:val="ReportDate"/>
          </w:pPr>
          <w:r>
            <w:t>September 2016</w:t>
          </w:r>
        </w:p>
      </w:sdtContent>
    </w:sdt>
    <w:p w:rsidR="00327A1E" w:rsidRPr="00290C63" w:rsidRDefault="00327A1E" w:rsidP="00290C63">
      <w:r>
        <w:br w:type="page"/>
      </w:r>
    </w:p>
    <w:p w:rsidR="00CE2A23" w:rsidRDefault="00CE2A23" w:rsidP="00761454">
      <w:bookmarkStart w:id="0" w:name="_Toc411428008"/>
      <w:r>
        <w:lastRenderedPageBreak/>
        <w:t>© Commonwealth of Australia 201</w:t>
      </w:r>
      <w:r w:rsidR="000474DF">
        <w:t>6</w:t>
      </w:r>
    </w:p>
    <w:p w:rsidR="00CE2A23" w:rsidRDefault="00CE2A23" w:rsidP="00761454">
      <w:r>
        <w:t>This work is copyright. In addition to any use permitted under the Copyright Act 1968, all material contained within this work is provided under a Creative Commons Attributions 3.0 Australia licence, with the exception of:</w:t>
      </w:r>
    </w:p>
    <w:p w:rsidR="00CE2A23" w:rsidRPr="00CE2A23" w:rsidRDefault="00CE2A23" w:rsidP="00CE2A23">
      <w:pPr>
        <w:pStyle w:val="AERbulletlistfirststyle"/>
      </w:pPr>
      <w:r w:rsidRPr="00CE2A23">
        <w:t>the Commonwealth Coat of Arms</w:t>
      </w:r>
    </w:p>
    <w:p w:rsidR="00CE2A23" w:rsidRPr="00CB734B" w:rsidRDefault="00CE2A23" w:rsidP="00CE2A23">
      <w:pPr>
        <w:pStyle w:val="AERbulletlistfirststyle"/>
      </w:pPr>
      <w:r w:rsidRPr="00CE2A23">
        <w:t>the ACCC and AER logos</w:t>
      </w:r>
    </w:p>
    <w:p w:rsidR="00CE2A23" w:rsidRPr="00CE2A23" w:rsidRDefault="00CE2A23" w:rsidP="00CB734B">
      <w:pPr>
        <w:pStyle w:val="AERbulletlistfirststyle"/>
      </w:pPr>
      <w:r w:rsidRPr="00CE2A23">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CE2A23" w:rsidRDefault="00CE2A23" w:rsidP="00761454">
      <w:r>
        <w:t>Requests and inquiries concerning reproduction and rights should be addressed to the:</w:t>
      </w:r>
    </w:p>
    <w:p w:rsidR="00CE2A23" w:rsidRDefault="00CE2A23" w:rsidP="00761454">
      <w:r>
        <w:t>Director, Corporate Communications</w:t>
      </w:r>
      <w:r>
        <w:br/>
        <w:t xml:space="preserve">Australian Competition and Consumer Commission </w:t>
      </w:r>
      <w:r>
        <w:br/>
        <w:t>GPO Box 4141, Canberra ACT 2601</w:t>
      </w:r>
    </w:p>
    <w:p w:rsidR="00CE2A23" w:rsidRDefault="00CE2A23" w:rsidP="00761454">
      <w:r>
        <w:t>or publishing.unit@accc.gov.au.</w:t>
      </w:r>
    </w:p>
    <w:p w:rsidR="00CE2A23" w:rsidRDefault="00CE2A23" w:rsidP="00761454">
      <w:r>
        <w:t>Inquiries about this publication should be addressed to:</w:t>
      </w:r>
    </w:p>
    <w:p w:rsidR="00CE2A23" w:rsidRDefault="00CE2A23" w:rsidP="00761454">
      <w:r>
        <w:t xml:space="preserve">Australian Energy </w:t>
      </w:r>
      <w:r w:rsidRPr="00F171E0">
        <w:t>Regulator</w:t>
      </w:r>
      <w:r>
        <w:br/>
        <w:t>GPO Box 520</w:t>
      </w:r>
      <w:r>
        <w:br/>
      </w:r>
      <w:r w:rsidR="008658A1">
        <w:t>Melbourne Vic 3001</w:t>
      </w:r>
    </w:p>
    <w:p w:rsidR="00CE2A23" w:rsidRDefault="00CE2A23" w:rsidP="00761454">
      <w:r>
        <w:t xml:space="preserve">Tel: </w:t>
      </w:r>
      <w:r w:rsidR="00CD2F8B">
        <w:t>1300 5</w:t>
      </w:r>
      <w:r w:rsidR="00F63E66">
        <w:t>8</w:t>
      </w:r>
      <w:bookmarkStart w:id="1" w:name="_GoBack"/>
      <w:bookmarkEnd w:id="1"/>
      <w:r w:rsidR="00CD2F8B">
        <w:t>5 165</w:t>
      </w:r>
      <w:r>
        <w:br/>
        <w:t xml:space="preserve">Email: </w:t>
      </w:r>
      <w:hyperlink r:id="rId11" w:history="1">
        <w:r w:rsidRPr="00D64888">
          <w:rPr>
            <w:rStyle w:val="Hyperlink"/>
          </w:rPr>
          <w:t>AERInquiry@aer.gov.au</w:t>
        </w:r>
      </w:hyperlink>
      <w:r>
        <w:rPr>
          <w:rStyle w:val="Hyperlink"/>
        </w:rPr>
        <w:br/>
      </w:r>
    </w:p>
    <w:p w:rsidR="00291A99" w:rsidRDefault="00291A99" w:rsidP="00761454"/>
    <w:p w:rsidR="00761454" w:rsidRDefault="00761454">
      <w:pPr>
        <w:spacing w:line="240" w:lineRule="auto"/>
      </w:pPr>
      <w:r>
        <w:br w:type="page"/>
      </w:r>
    </w:p>
    <w:p w:rsidR="00761454" w:rsidRDefault="00761454" w:rsidP="00761454">
      <w:pPr>
        <w:pStyle w:val="UnnumberedHeading"/>
        <w:numPr>
          <w:ilvl w:val="0"/>
          <w:numId w:val="23"/>
        </w:numPr>
      </w:pPr>
      <w:bookmarkStart w:id="2" w:name="_Toc404153950"/>
      <w:bookmarkStart w:id="3" w:name="_Toc404437593"/>
      <w:bookmarkStart w:id="4" w:name="_Toc462755732"/>
      <w:r>
        <w:lastRenderedPageBreak/>
        <w:t>Note</w:t>
      </w:r>
      <w:bookmarkEnd w:id="2"/>
      <w:bookmarkEnd w:id="3"/>
      <w:bookmarkEnd w:id="4"/>
    </w:p>
    <w:p w:rsidR="00761454" w:rsidRDefault="00761454" w:rsidP="00761454">
      <w:pPr>
        <w:numPr>
          <w:ilvl w:val="0"/>
          <w:numId w:val="24"/>
        </w:numPr>
      </w:pPr>
      <w:r>
        <w:t xml:space="preserve">This </w:t>
      </w:r>
      <w:r w:rsidR="00CD2F8B">
        <w:t>attachment</w:t>
      </w:r>
      <w:r>
        <w:t xml:space="preserve"> forms part of the AER's </w:t>
      </w:r>
      <w:r w:rsidR="000474DF">
        <w:t xml:space="preserve">draft </w:t>
      </w:r>
      <w:r>
        <w:t xml:space="preserve">decision on </w:t>
      </w:r>
      <w:r w:rsidR="004523B2">
        <w:t>TasNetworks' distribution</w:t>
      </w:r>
      <w:r>
        <w:t xml:space="preserve"> determination for 201</w:t>
      </w:r>
      <w:r w:rsidR="000474DF">
        <w:t>7</w:t>
      </w:r>
      <w:r w:rsidRPr="00F02D30">
        <w:t>–</w:t>
      </w:r>
      <w:r w:rsidR="004523B2">
        <w:t>19</w:t>
      </w:r>
      <w:r>
        <w:t xml:space="preserve">. It should be read with </w:t>
      </w:r>
      <w:r w:rsidR="000474DF">
        <w:t xml:space="preserve">all </w:t>
      </w:r>
      <w:r>
        <w:t xml:space="preserve">other parts of the </w:t>
      </w:r>
      <w:r w:rsidR="000474DF">
        <w:t>draft</w:t>
      </w:r>
      <w:r>
        <w:t xml:space="preserve"> decision.</w:t>
      </w:r>
    </w:p>
    <w:p w:rsidR="00761454" w:rsidRDefault="00761454" w:rsidP="00761454">
      <w:pPr>
        <w:numPr>
          <w:ilvl w:val="0"/>
          <w:numId w:val="24"/>
        </w:numPr>
      </w:pPr>
      <w:r>
        <w:t xml:space="preserve">The </w:t>
      </w:r>
      <w:r w:rsidR="000474DF">
        <w:t>draft</w:t>
      </w:r>
      <w:r>
        <w:t xml:space="preserve"> decision includes the following documents:</w:t>
      </w:r>
    </w:p>
    <w:p w:rsidR="00761454" w:rsidRDefault="00761454" w:rsidP="00761454">
      <w:pPr>
        <w:numPr>
          <w:ilvl w:val="0"/>
          <w:numId w:val="24"/>
        </w:numPr>
      </w:pPr>
      <w:r>
        <w:t>Overview</w:t>
      </w:r>
    </w:p>
    <w:p w:rsidR="00761454" w:rsidRDefault="000474DF" w:rsidP="00761454">
      <w:pPr>
        <w:numPr>
          <w:ilvl w:val="0"/>
          <w:numId w:val="24"/>
        </w:numPr>
      </w:pPr>
      <w:r>
        <w:t xml:space="preserve">Attachment 1 – </w:t>
      </w:r>
      <w:r w:rsidR="004523B2">
        <w:t>Annual revenue requirement</w:t>
      </w:r>
    </w:p>
    <w:p w:rsidR="00761454" w:rsidRDefault="000474DF" w:rsidP="00761454">
      <w:pPr>
        <w:numPr>
          <w:ilvl w:val="0"/>
          <w:numId w:val="24"/>
        </w:numPr>
      </w:pPr>
      <w:r>
        <w:t>Attachment 2 – R</w:t>
      </w:r>
      <w:r w:rsidR="00761454">
        <w:t>egulatory asset base</w:t>
      </w:r>
    </w:p>
    <w:p w:rsidR="00761454" w:rsidRDefault="000474DF" w:rsidP="00761454">
      <w:pPr>
        <w:numPr>
          <w:ilvl w:val="0"/>
          <w:numId w:val="24"/>
        </w:numPr>
      </w:pPr>
      <w:r>
        <w:t>Attachment 3 – R</w:t>
      </w:r>
      <w:r w:rsidR="00761454">
        <w:t>ate of return</w:t>
      </w:r>
    </w:p>
    <w:p w:rsidR="00761454" w:rsidRDefault="000474DF" w:rsidP="00761454">
      <w:pPr>
        <w:numPr>
          <w:ilvl w:val="0"/>
          <w:numId w:val="24"/>
        </w:numPr>
      </w:pPr>
      <w:r>
        <w:t>Attachment 4 – V</w:t>
      </w:r>
      <w:r w:rsidR="00761454">
        <w:t>alue of imputation credits</w:t>
      </w:r>
    </w:p>
    <w:p w:rsidR="00761454" w:rsidRDefault="00761454" w:rsidP="00761454">
      <w:pPr>
        <w:numPr>
          <w:ilvl w:val="0"/>
          <w:numId w:val="24"/>
        </w:numPr>
      </w:pPr>
      <w:r>
        <w:t xml:space="preserve">Attachment 5 – </w:t>
      </w:r>
      <w:r w:rsidR="000474DF">
        <w:t>R</w:t>
      </w:r>
      <w:r>
        <w:t>egulatory depreciation</w:t>
      </w:r>
    </w:p>
    <w:p w:rsidR="00761454" w:rsidRDefault="000474DF" w:rsidP="00761454">
      <w:pPr>
        <w:numPr>
          <w:ilvl w:val="0"/>
          <w:numId w:val="24"/>
        </w:numPr>
      </w:pPr>
      <w:r>
        <w:t>Attachment 6 – C</w:t>
      </w:r>
      <w:r w:rsidR="00761454">
        <w:t xml:space="preserve">apital expenditure </w:t>
      </w:r>
    </w:p>
    <w:p w:rsidR="00761454" w:rsidRDefault="000474DF" w:rsidP="00761454">
      <w:pPr>
        <w:numPr>
          <w:ilvl w:val="0"/>
          <w:numId w:val="24"/>
        </w:numPr>
      </w:pPr>
      <w:r>
        <w:t>Attachment 7 – O</w:t>
      </w:r>
      <w:r w:rsidR="00761454">
        <w:t>perating expenditure</w:t>
      </w:r>
    </w:p>
    <w:p w:rsidR="00761454" w:rsidRDefault="00761454" w:rsidP="00761454">
      <w:pPr>
        <w:numPr>
          <w:ilvl w:val="0"/>
          <w:numId w:val="24"/>
        </w:numPr>
      </w:pPr>
      <w:r>
        <w:t xml:space="preserve">Attachment 8 – </w:t>
      </w:r>
      <w:r w:rsidR="000474DF">
        <w:t>C</w:t>
      </w:r>
      <w:r>
        <w:t>orporate income tax</w:t>
      </w:r>
    </w:p>
    <w:p w:rsidR="00761454" w:rsidRDefault="000474DF" w:rsidP="00761454">
      <w:pPr>
        <w:numPr>
          <w:ilvl w:val="0"/>
          <w:numId w:val="24"/>
        </w:numPr>
      </w:pPr>
      <w:r>
        <w:t>Attachment 9 – E</w:t>
      </w:r>
      <w:r w:rsidR="00761454">
        <w:t>fficiency benefit sharing scheme</w:t>
      </w:r>
    </w:p>
    <w:p w:rsidR="00761454" w:rsidRDefault="000474DF" w:rsidP="00761454">
      <w:pPr>
        <w:numPr>
          <w:ilvl w:val="0"/>
          <w:numId w:val="24"/>
        </w:numPr>
      </w:pPr>
      <w:r>
        <w:t>Attachment 10 – C</w:t>
      </w:r>
      <w:r w:rsidR="00761454">
        <w:t>apital expenditure sharing scheme</w:t>
      </w:r>
    </w:p>
    <w:p w:rsidR="00761454" w:rsidRDefault="000474DF" w:rsidP="00761454">
      <w:pPr>
        <w:numPr>
          <w:ilvl w:val="0"/>
          <w:numId w:val="24"/>
        </w:numPr>
      </w:pPr>
      <w:r>
        <w:t>Attachment 11 – S</w:t>
      </w:r>
      <w:r w:rsidR="00761454">
        <w:t>ervice target performance incentive scheme</w:t>
      </w:r>
    </w:p>
    <w:p w:rsidR="00761454" w:rsidRPr="00F02D30" w:rsidRDefault="00761454" w:rsidP="00761454">
      <w:pPr>
        <w:numPr>
          <w:ilvl w:val="0"/>
          <w:numId w:val="24"/>
        </w:numPr>
      </w:pPr>
      <w:r>
        <w:t xml:space="preserve">Attachment 12 – </w:t>
      </w:r>
      <w:r w:rsidR="004523B2">
        <w:t>Demand management incentive scheme</w:t>
      </w:r>
    </w:p>
    <w:p w:rsidR="00761454" w:rsidRPr="00F02D30" w:rsidRDefault="00761454" w:rsidP="00761454">
      <w:pPr>
        <w:numPr>
          <w:ilvl w:val="0"/>
          <w:numId w:val="24"/>
        </w:numPr>
      </w:pPr>
      <w:r>
        <w:t xml:space="preserve">Attachment 13 </w:t>
      </w:r>
      <w:r w:rsidR="000474DF">
        <w:t xml:space="preserve">– </w:t>
      </w:r>
      <w:r w:rsidR="004523B2">
        <w:t>Classification of services</w:t>
      </w:r>
    </w:p>
    <w:p w:rsidR="00761454" w:rsidRDefault="00761454" w:rsidP="00761454">
      <w:pPr>
        <w:numPr>
          <w:ilvl w:val="0"/>
          <w:numId w:val="24"/>
        </w:numPr>
      </w:pPr>
      <w:r>
        <w:t xml:space="preserve">Attachment 14 </w:t>
      </w:r>
      <w:r w:rsidR="000474DF">
        <w:t xml:space="preserve">– </w:t>
      </w:r>
      <w:r w:rsidR="004523B2">
        <w:t>Control mechanisms</w:t>
      </w:r>
    </w:p>
    <w:p w:rsidR="004523B2" w:rsidRDefault="004523B2" w:rsidP="00761454">
      <w:pPr>
        <w:numPr>
          <w:ilvl w:val="0"/>
          <w:numId w:val="24"/>
        </w:numPr>
      </w:pPr>
      <w:r>
        <w:t>Attachment 15 – Pass through events</w:t>
      </w:r>
    </w:p>
    <w:p w:rsidR="004523B2" w:rsidRDefault="004523B2" w:rsidP="00761454">
      <w:pPr>
        <w:numPr>
          <w:ilvl w:val="0"/>
          <w:numId w:val="24"/>
        </w:numPr>
      </w:pPr>
      <w:r>
        <w:t>Attachment 16 – Alternative control services</w:t>
      </w:r>
    </w:p>
    <w:p w:rsidR="004523B2" w:rsidRDefault="004523B2" w:rsidP="00761454">
      <w:pPr>
        <w:numPr>
          <w:ilvl w:val="0"/>
          <w:numId w:val="24"/>
        </w:numPr>
      </w:pPr>
      <w:r>
        <w:t>Attachment 17 – Negotiated services framework and criteria</w:t>
      </w:r>
    </w:p>
    <w:p w:rsidR="004523B2" w:rsidRDefault="004523B2" w:rsidP="00761454">
      <w:pPr>
        <w:numPr>
          <w:ilvl w:val="0"/>
          <w:numId w:val="24"/>
        </w:numPr>
      </w:pPr>
      <w:r>
        <w:t>Attachment 18 – Connection policy</w:t>
      </w:r>
    </w:p>
    <w:p w:rsidR="004523B2" w:rsidRPr="00F02D30" w:rsidRDefault="00CD2F8B" w:rsidP="00761454">
      <w:pPr>
        <w:numPr>
          <w:ilvl w:val="0"/>
          <w:numId w:val="24"/>
        </w:numPr>
      </w:pPr>
      <w:r>
        <w:t>Attachment 19 – Tariff structure statement</w:t>
      </w:r>
    </w:p>
    <w:p w:rsidR="00761454" w:rsidRPr="009D3906" w:rsidRDefault="00761454" w:rsidP="00761454"/>
    <w:p w:rsidR="00CE2A23" w:rsidRPr="00CE2A23" w:rsidRDefault="00CE2A23" w:rsidP="00CE2A23">
      <w:bookmarkStart w:id="5" w:name="_Toc404354899"/>
      <w:bookmarkStart w:id="6" w:name="_Toc404353070"/>
      <w:bookmarkStart w:id="7" w:name="_Toc404684201"/>
      <w:bookmarkStart w:id="8" w:name="_Toc404700923"/>
      <w:r>
        <w:br w:type="page"/>
      </w:r>
    </w:p>
    <w:bookmarkEnd w:id="5"/>
    <w:bookmarkEnd w:id="6"/>
    <w:bookmarkEnd w:id="7"/>
    <w:bookmarkEnd w:id="8"/>
    <w:p w:rsidR="00CE2A23" w:rsidRPr="008F07A3" w:rsidRDefault="00CE2A23" w:rsidP="00CE2A23">
      <w:pPr>
        <w:numPr>
          <w:ilvl w:val="0"/>
          <w:numId w:val="24"/>
        </w:numPr>
        <w:sectPr w:rsidR="00CE2A23" w:rsidRPr="008F07A3" w:rsidSect="00317E02">
          <w:headerReference w:type="even" r:id="rId12"/>
          <w:headerReference w:type="default" r:id="rId13"/>
          <w:footerReference w:type="even" r:id="rId14"/>
          <w:footerReference w:type="default" r:id="rId15"/>
          <w:headerReference w:type="first" r:id="rId16"/>
          <w:footerReference w:type="first" r:id="rId17"/>
          <w:pgSz w:w="11906" w:h="16838" w:code="9"/>
          <w:pgMar w:top="1440" w:right="1700" w:bottom="1582" w:left="1729" w:header="720" w:footer="0" w:gutter="0"/>
          <w:pgNumType w:start="0" w:chapStyle="1"/>
          <w:cols w:space="720"/>
          <w:docGrid w:linePitch="326"/>
        </w:sectPr>
      </w:pPr>
    </w:p>
    <w:p w:rsidR="00CE2A23" w:rsidRPr="00A72B34" w:rsidRDefault="00CE2A23" w:rsidP="00CE2A23">
      <w:pPr>
        <w:pStyle w:val="UnnumberedHeading"/>
        <w:numPr>
          <w:ilvl w:val="0"/>
          <w:numId w:val="23"/>
        </w:numPr>
      </w:pPr>
      <w:bookmarkStart w:id="9" w:name="_Toc403144133"/>
      <w:bookmarkStart w:id="10" w:name="_Toc462755733"/>
      <w:r>
        <w:lastRenderedPageBreak/>
        <w:t>Contents</w:t>
      </w:r>
      <w:bookmarkEnd w:id="9"/>
      <w:bookmarkEnd w:id="10"/>
    </w:p>
    <w:p w:rsidR="00CE2A23" w:rsidRDefault="00CE2A23" w:rsidP="00CE2A23"/>
    <w:sdt>
      <w:sdtPr>
        <w:id w:val="1269200322"/>
        <w:docPartObj>
          <w:docPartGallery w:val="Table of Contents"/>
          <w:docPartUnique/>
        </w:docPartObj>
      </w:sdtPr>
      <w:sdtEndPr/>
      <w:sdtContent>
        <w:p w:rsidR="00377AAC" w:rsidRDefault="00CD283C">
          <w:pPr>
            <w:pStyle w:val="TOC1"/>
            <w:rPr>
              <w:rFonts w:asciiTheme="minorHAnsi" w:eastAsiaTheme="minorEastAsia" w:hAnsiTheme="minorHAnsi"/>
              <w:b w:val="0"/>
              <w:color w:val="auto"/>
              <w:sz w:val="22"/>
              <w:lang w:val="en-AU" w:eastAsia="en-AU"/>
            </w:rPr>
          </w:pPr>
          <w:r>
            <w:fldChar w:fldCharType="begin"/>
          </w:r>
          <w:r>
            <w:instrText xml:space="preserve"> TOC \o "1-2" \h \z \t "Heading 3,3,Heading 7,1,Heading 8,2,Heading 9,3" </w:instrText>
          </w:r>
          <w:r>
            <w:fldChar w:fldCharType="separate"/>
          </w:r>
          <w:hyperlink w:anchor="_Toc462755732" w:history="1">
            <w:r w:rsidR="00377AAC" w:rsidRPr="00BA6F5F">
              <w:rPr>
                <w:rStyle w:val="Hyperlink"/>
              </w:rPr>
              <w:t>Note</w:t>
            </w:r>
            <w:r w:rsidR="00377AAC">
              <w:rPr>
                <w:webHidden/>
              </w:rPr>
              <w:tab/>
            </w:r>
            <w:r w:rsidR="00377AAC">
              <w:rPr>
                <w:webHidden/>
              </w:rPr>
              <w:fldChar w:fldCharType="begin"/>
            </w:r>
            <w:r w:rsidR="00377AAC">
              <w:rPr>
                <w:webHidden/>
              </w:rPr>
              <w:instrText xml:space="preserve"> PAGEREF _Toc462755732 \h </w:instrText>
            </w:r>
            <w:r w:rsidR="00377AAC">
              <w:rPr>
                <w:webHidden/>
              </w:rPr>
            </w:r>
            <w:r w:rsidR="00377AAC">
              <w:rPr>
                <w:webHidden/>
              </w:rPr>
              <w:fldChar w:fldCharType="separate"/>
            </w:r>
            <w:r w:rsidR="00377AAC">
              <w:rPr>
                <w:webHidden/>
              </w:rPr>
              <w:t>17-2</w:t>
            </w:r>
            <w:r w:rsidR="00377AAC">
              <w:rPr>
                <w:webHidden/>
              </w:rPr>
              <w:fldChar w:fldCharType="end"/>
            </w:r>
          </w:hyperlink>
        </w:p>
        <w:p w:rsidR="00377AAC" w:rsidRDefault="00E650F3">
          <w:pPr>
            <w:pStyle w:val="TOC1"/>
            <w:rPr>
              <w:rFonts w:asciiTheme="minorHAnsi" w:eastAsiaTheme="minorEastAsia" w:hAnsiTheme="minorHAnsi"/>
              <w:b w:val="0"/>
              <w:color w:val="auto"/>
              <w:sz w:val="22"/>
              <w:lang w:val="en-AU" w:eastAsia="en-AU"/>
            </w:rPr>
          </w:pPr>
          <w:hyperlink w:anchor="_Toc462755733" w:history="1">
            <w:r w:rsidR="00377AAC" w:rsidRPr="00BA6F5F">
              <w:rPr>
                <w:rStyle w:val="Hyperlink"/>
              </w:rPr>
              <w:t>Contents</w:t>
            </w:r>
            <w:r w:rsidR="00377AAC">
              <w:rPr>
                <w:webHidden/>
              </w:rPr>
              <w:tab/>
            </w:r>
            <w:r w:rsidR="00377AAC">
              <w:rPr>
                <w:webHidden/>
              </w:rPr>
              <w:fldChar w:fldCharType="begin"/>
            </w:r>
            <w:r w:rsidR="00377AAC">
              <w:rPr>
                <w:webHidden/>
              </w:rPr>
              <w:instrText xml:space="preserve"> PAGEREF _Toc462755733 \h </w:instrText>
            </w:r>
            <w:r w:rsidR="00377AAC">
              <w:rPr>
                <w:webHidden/>
              </w:rPr>
            </w:r>
            <w:r w:rsidR="00377AAC">
              <w:rPr>
                <w:webHidden/>
              </w:rPr>
              <w:fldChar w:fldCharType="separate"/>
            </w:r>
            <w:r w:rsidR="00377AAC">
              <w:rPr>
                <w:webHidden/>
              </w:rPr>
              <w:t>17-3</w:t>
            </w:r>
            <w:r w:rsidR="00377AAC">
              <w:rPr>
                <w:webHidden/>
              </w:rPr>
              <w:fldChar w:fldCharType="end"/>
            </w:r>
          </w:hyperlink>
        </w:p>
        <w:p w:rsidR="00377AAC" w:rsidRDefault="00E650F3">
          <w:pPr>
            <w:pStyle w:val="TOC1"/>
            <w:rPr>
              <w:rFonts w:asciiTheme="minorHAnsi" w:eastAsiaTheme="minorEastAsia" w:hAnsiTheme="minorHAnsi"/>
              <w:b w:val="0"/>
              <w:color w:val="auto"/>
              <w:sz w:val="22"/>
              <w:lang w:val="en-AU" w:eastAsia="en-AU"/>
            </w:rPr>
          </w:pPr>
          <w:hyperlink w:anchor="_Toc462755734" w:history="1">
            <w:r w:rsidR="00377AAC" w:rsidRPr="00BA6F5F">
              <w:rPr>
                <w:rStyle w:val="Hyperlink"/>
              </w:rPr>
              <w:t>Shortened forms</w:t>
            </w:r>
            <w:r w:rsidR="00377AAC">
              <w:rPr>
                <w:webHidden/>
              </w:rPr>
              <w:tab/>
            </w:r>
            <w:r w:rsidR="00377AAC">
              <w:rPr>
                <w:webHidden/>
              </w:rPr>
              <w:fldChar w:fldCharType="begin"/>
            </w:r>
            <w:r w:rsidR="00377AAC">
              <w:rPr>
                <w:webHidden/>
              </w:rPr>
              <w:instrText xml:space="preserve"> PAGEREF _Toc462755734 \h </w:instrText>
            </w:r>
            <w:r w:rsidR="00377AAC">
              <w:rPr>
                <w:webHidden/>
              </w:rPr>
            </w:r>
            <w:r w:rsidR="00377AAC">
              <w:rPr>
                <w:webHidden/>
              </w:rPr>
              <w:fldChar w:fldCharType="separate"/>
            </w:r>
            <w:r w:rsidR="00377AAC">
              <w:rPr>
                <w:webHidden/>
              </w:rPr>
              <w:t>17-4</w:t>
            </w:r>
            <w:r w:rsidR="00377AAC">
              <w:rPr>
                <w:webHidden/>
              </w:rPr>
              <w:fldChar w:fldCharType="end"/>
            </w:r>
          </w:hyperlink>
        </w:p>
        <w:p w:rsidR="00377AAC" w:rsidRDefault="00E650F3">
          <w:pPr>
            <w:pStyle w:val="TOC1"/>
            <w:rPr>
              <w:rFonts w:asciiTheme="minorHAnsi" w:eastAsiaTheme="minorEastAsia" w:hAnsiTheme="minorHAnsi"/>
              <w:b w:val="0"/>
              <w:color w:val="auto"/>
              <w:sz w:val="22"/>
              <w:lang w:val="en-AU" w:eastAsia="en-AU"/>
            </w:rPr>
          </w:pPr>
          <w:hyperlink w:anchor="_Toc462755735" w:history="1">
            <w:r w:rsidR="00377AAC" w:rsidRPr="00BA6F5F">
              <w:rPr>
                <w:rStyle w:val="Hyperlink"/>
              </w:rPr>
              <w:t>17</w:t>
            </w:r>
            <w:r w:rsidR="00377AAC">
              <w:rPr>
                <w:rFonts w:asciiTheme="minorHAnsi" w:eastAsiaTheme="minorEastAsia" w:hAnsiTheme="minorHAnsi"/>
                <w:b w:val="0"/>
                <w:color w:val="auto"/>
                <w:sz w:val="22"/>
                <w:lang w:val="en-AU" w:eastAsia="en-AU"/>
              </w:rPr>
              <w:tab/>
            </w:r>
            <w:r w:rsidR="00377AAC" w:rsidRPr="00BA6F5F">
              <w:rPr>
                <w:rStyle w:val="Hyperlink"/>
              </w:rPr>
              <w:t>Negotiated services framework and criteria</w:t>
            </w:r>
            <w:r w:rsidR="00377AAC">
              <w:rPr>
                <w:webHidden/>
              </w:rPr>
              <w:tab/>
            </w:r>
            <w:r w:rsidR="00377AAC">
              <w:rPr>
                <w:webHidden/>
              </w:rPr>
              <w:fldChar w:fldCharType="begin"/>
            </w:r>
            <w:r w:rsidR="00377AAC">
              <w:rPr>
                <w:webHidden/>
              </w:rPr>
              <w:instrText xml:space="preserve"> PAGEREF _Toc462755735 \h </w:instrText>
            </w:r>
            <w:r w:rsidR="00377AAC">
              <w:rPr>
                <w:webHidden/>
              </w:rPr>
            </w:r>
            <w:r w:rsidR="00377AAC">
              <w:rPr>
                <w:webHidden/>
              </w:rPr>
              <w:fldChar w:fldCharType="separate"/>
            </w:r>
            <w:r w:rsidR="00377AAC">
              <w:rPr>
                <w:webHidden/>
              </w:rPr>
              <w:t>17-6</w:t>
            </w:r>
            <w:r w:rsidR="00377AAC">
              <w:rPr>
                <w:webHidden/>
              </w:rPr>
              <w:fldChar w:fldCharType="end"/>
            </w:r>
          </w:hyperlink>
        </w:p>
        <w:p w:rsidR="00377AAC" w:rsidRDefault="00E650F3">
          <w:pPr>
            <w:pStyle w:val="TOC2"/>
            <w:tabs>
              <w:tab w:val="left" w:pos="1276"/>
            </w:tabs>
            <w:rPr>
              <w:rFonts w:asciiTheme="minorHAnsi" w:eastAsiaTheme="minorEastAsia" w:hAnsiTheme="minorHAnsi"/>
              <w:b w:val="0"/>
              <w:color w:val="auto"/>
              <w:sz w:val="22"/>
              <w:lang w:eastAsia="en-AU"/>
            </w:rPr>
          </w:pPr>
          <w:hyperlink w:anchor="_Toc462755736" w:history="1">
            <w:r w:rsidR="00377AAC" w:rsidRPr="00BA6F5F">
              <w:rPr>
                <w:rStyle w:val="Hyperlink"/>
              </w:rPr>
              <w:t>17.1</w:t>
            </w:r>
            <w:r w:rsidR="00377AAC">
              <w:rPr>
                <w:rFonts w:asciiTheme="minorHAnsi" w:eastAsiaTheme="minorEastAsia" w:hAnsiTheme="minorHAnsi"/>
                <w:b w:val="0"/>
                <w:color w:val="auto"/>
                <w:sz w:val="22"/>
                <w:lang w:eastAsia="en-AU"/>
              </w:rPr>
              <w:tab/>
            </w:r>
            <w:r w:rsidR="00377AAC" w:rsidRPr="00BA6F5F">
              <w:rPr>
                <w:rStyle w:val="Hyperlink"/>
              </w:rPr>
              <w:t>Draft decision</w:t>
            </w:r>
            <w:r w:rsidR="00377AAC">
              <w:rPr>
                <w:webHidden/>
              </w:rPr>
              <w:tab/>
            </w:r>
            <w:r w:rsidR="00377AAC">
              <w:rPr>
                <w:webHidden/>
              </w:rPr>
              <w:fldChar w:fldCharType="begin"/>
            </w:r>
            <w:r w:rsidR="00377AAC">
              <w:rPr>
                <w:webHidden/>
              </w:rPr>
              <w:instrText xml:space="preserve"> PAGEREF _Toc462755736 \h </w:instrText>
            </w:r>
            <w:r w:rsidR="00377AAC">
              <w:rPr>
                <w:webHidden/>
              </w:rPr>
            </w:r>
            <w:r w:rsidR="00377AAC">
              <w:rPr>
                <w:webHidden/>
              </w:rPr>
              <w:fldChar w:fldCharType="separate"/>
            </w:r>
            <w:r w:rsidR="00377AAC">
              <w:rPr>
                <w:webHidden/>
              </w:rPr>
              <w:t>17-6</w:t>
            </w:r>
            <w:r w:rsidR="00377AAC">
              <w:rPr>
                <w:webHidden/>
              </w:rPr>
              <w:fldChar w:fldCharType="end"/>
            </w:r>
          </w:hyperlink>
        </w:p>
        <w:p w:rsidR="00377AAC" w:rsidRDefault="00E650F3">
          <w:pPr>
            <w:pStyle w:val="TOC2"/>
            <w:tabs>
              <w:tab w:val="left" w:pos="1276"/>
            </w:tabs>
            <w:rPr>
              <w:rFonts w:asciiTheme="minorHAnsi" w:eastAsiaTheme="minorEastAsia" w:hAnsiTheme="minorHAnsi"/>
              <w:b w:val="0"/>
              <w:color w:val="auto"/>
              <w:sz w:val="22"/>
              <w:lang w:eastAsia="en-AU"/>
            </w:rPr>
          </w:pPr>
          <w:hyperlink w:anchor="_Toc462755737" w:history="1">
            <w:r w:rsidR="00377AAC" w:rsidRPr="00BA6F5F">
              <w:rPr>
                <w:rStyle w:val="Hyperlink"/>
              </w:rPr>
              <w:t>17.2</w:t>
            </w:r>
            <w:r w:rsidR="00377AAC">
              <w:rPr>
                <w:rFonts w:asciiTheme="minorHAnsi" w:eastAsiaTheme="minorEastAsia" w:hAnsiTheme="minorHAnsi"/>
                <w:b w:val="0"/>
                <w:color w:val="auto"/>
                <w:sz w:val="22"/>
                <w:lang w:eastAsia="en-AU"/>
              </w:rPr>
              <w:tab/>
            </w:r>
            <w:r w:rsidR="00377AAC" w:rsidRPr="00BA6F5F">
              <w:rPr>
                <w:rStyle w:val="Hyperlink"/>
              </w:rPr>
              <w:t>TasNetworks' proposal</w:t>
            </w:r>
            <w:r w:rsidR="00377AAC">
              <w:rPr>
                <w:webHidden/>
              </w:rPr>
              <w:tab/>
            </w:r>
            <w:r w:rsidR="00377AAC">
              <w:rPr>
                <w:webHidden/>
              </w:rPr>
              <w:fldChar w:fldCharType="begin"/>
            </w:r>
            <w:r w:rsidR="00377AAC">
              <w:rPr>
                <w:webHidden/>
              </w:rPr>
              <w:instrText xml:space="preserve"> PAGEREF _Toc462755737 \h </w:instrText>
            </w:r>
            <w:r w:rsidR="00377AAC">
              <w:rPr>
                <w:webHidden/>
              </w:rPr>
            </w:r>
            <w:r w:rsidR="00377AAC">
              <w:rPr>
                <w:webHidden/>
              </w:rPr>
              <w:fldChar w:fldCharType="separate"/>
            </w:r>
            <w:r w:rsidR="00377AAC">
              <w:rPr>
                <w:webHidden/>
              </w:rPr>
              <w:t>17-6</w:t>
            </w:r>
            <w:r w:rsidR="00377AAC">
              <w:rPr>
                <w:webHidden/>
              </w:rPr>
              <w:fldChar w:fldCharType="end"/>
            </w:r>
          </w:hyperlink>
        </w:p>
        <w:p w:rsidR="00377AAC" w:rsidRDefault="00E650F3">
          <w:pPr>
            <w:pStyle w:val="TOC2"/>
            <w:tabs>
              <w:tab w:val="left" w:pos="1276"/>
            </w:tabs>
            <w:rPr>
              <w:rFonts w:asciiTheme="minorHAnsi" w:eastAsiaTheme="minorEastAsia" w:hAnsiTheme="minorHAnsi"/>
              <w:b w:val="0"/>
              <w:color w:val="auto"/>
              <w:sz w:val="22"/>
              <w:lang w:eastAsia="en-AU"/>
            </w:rPr>
          </w:pPr>
          <w:hyperlink w:anchor="_Toc462755738" w:history="1">
            <w:r w:rsidR="00377AAC" w:rsidRPr="00BA6F5F">
              <w:rPr>
                <w:rStyle w:val="Hyperlink"/>
              </w:rPr>
              <w:t>17.3</w:t>
            </w:r>
            <w:r w:rsidR="00377AAC">
              <w:rPr>
                <w:rFonts w:asciiTheme="minorHAnsi" w:eastAsiaTheme="minorEastAsia" w:hAnsiTheme="minorHAnsi"/>
                <w:b w:val="0"/>
                <w:color w:val="auto"/>
                <w:sz w:val="22"/>
                <w:lang w:eastAsia="en-AU"/>
              </w:rPr>
              <w:tab/>
            </w:r>
            <w:r w:rsidR="00377AAC" w:rsidRPr="00BA6F5F">
              <w:rPr>
                <w:rStyle w:val="Hyperlink"/>
              </w:rPr>
              <w:t>Assessment approach</w:t>
            </w:r>
            <w:r w:rsidR="00377AAC">
              <w:rPr>
                <w:webHidden/>
              </w:rPr>
              <w:tab/>
            </w:r>
            <w:r w:rsidR="00377AAC">
              <w:rPr>
                <w:webHidden/>
              </w:rPr>
              <w:fldChar w:fldCharType="begin"/>
            </w:r>
            <w:r w:rsidR="00377AAC">
              <w:rPr>
                <w:webHidden/>
              </w:rPr>
              <w:instrText xml:space="preserve"> PAGEREF _Toc462755738 \h </w:instrText>
            </w:r>
            <w:r w:rsidR="00377AAC">
              <w:rPr>
                <w:webHidden/>
              </w:rPr>
            </w:r>
            <w:r w:rsidR="00377AAC">
              <w:rPr>
                <w:webHidden/>
              </w:rPr>
              <w:fldChar w:fldCharType="separate"/>
            </w:r>
            <w:r w:rsidR="00377AAC">
              <w:rPr>
                <w:webHidden/>
              </w:rPr>
              <w:t>17-6</w:t>
            </w:r>
            <w:r w:rsidR="00377AAC">
              <w:rPr>
                <w:webHidden/>
              </w:rPr>
              <w:fldChar w:fldCharType="end"/>
            </w:r>
          </w:hyperlink>
        </w:p>
        <w:p w:rsidR="00377AAC" w:rsidRDefault="00E650F3">
          <w:pPr>
            <w:pStyle w:val="TOC2"/>
            <w:tabs>
              <w:tab w:val="left" w:pos="1276"/>
            </w:tabs>
            <w:rPr>
              <w:rFonts w:asciiTheme="minorHAnsi" w:eastAsiaTheme="minorEastAsia" w:hAnsiTheme="minorHAnsi"/>
              <w:b w:val="0"/>
              <w:color w:val="auto"/>
              <w:sz w:val="22"/>
              <w:lang w:eastAsia="en-AU"/>
            </w:rPr>
          </w:pPr>
          <w:hyperlink w:anchor="_Toc462755739" w:history="1">
            <w:r w:rsidR="00377AAC" w:rsidRPr="00BA6F5F">
              <w:rPr>
                <w:rStyle w:val="Hyperlink"/>
              </w:rPr>
              <w:t>17.4</w:t>
            </w:r>
            <w:r w:rsidR="00377AAC">
              <w:rPr>
                <w:rFonts w:asciiTheme="minorHAnsi" w:eastAsiaTheme="minorEastAsia" w:hAnsiTheme="minorHAnsi"/>
                <w:b w:val="0"/>
                <w:color w:val="auto"/>
                <w:sz w:val="22"/>
                <w:lang w:eastAsia="en-AU"/>
              </w:rPr>
              <w:tab/>
            </w:r>
            <w:r w:rsidR="00377AAC" w:rsidRPr="00BA6F5F">
              <w:rPr>
                <w:rStyle w:val="Hyperlink"/>
              </w:rPr>
              <w:t>Reasons for draft decision</w:t>
            </w:r>
            <w:r w:rsidR="00377AAC">
              <w:rPr>
                <w:webHidden/>
              </w:rPr>
              <w:tab/>
            </w:r>
            <w:r w:rsidR="00377AAC">
              <w:rPr>
                <w:webHidden/>
              </w:rPr>
              <w:fldChar w:fldCharType="begin"/>
            </w:r>
            <w:r w:rsidR="00377AAC">
              <w:rPr>
                <w:webHidden/>
              </w:rPr>
              <w:instrText xml:space="preserve"> PAGEREF _Toc462755739 \h </w:instrText>
            </w:r>
            <w:r w:rsidR="00377AAC">
              <w:rPr>
                <w:webHidden/>
              </w:rPr>
            </w:r>
            <w:r w:rsidR="00377AAC">
              <w:rPr>
                <w:webHidden/>
              </w:rPr>
              <w:fldChar w:fldCharType="separate"/>
            </w:r>
            <w:r w:rsidR="00377AAC">
              <w:rPr>
                <w:webHidden/>
              </w:rPr>
              <w:t>17-7</w:t>
            </w:r>
            <w:r w:rsidR="00377AAC">
              <w:rPr>
                <w:webHidden/>
              </w:rPr>
              <w:fldChar w:fldCharType="end"/>
            </w:r>
          </w:hyperlink>
        </w:p>
        <w:p w:rsidR="00377AAC" w:rsidRDefault="00E650F3">
          <w:pPr>
            <w:pStyle w:val="TOC1"/>
            <w:rPr>
              <w:rFonts w:asciiTheme="minorHAnsi" w:eastAsiaTheme="minorEastAsia" w:hAnsiTheme="minorHAnsi"/>
              <w:b w:val="0"/>
              <w:color w:val="auto"/>
              <w:sz w:val="22"/>
              <w:lang w:val="en-AU" w:eastAsia="en-AU"/>
            </w:rPr>
          </w:pPr>
          <w:hyperlink w:anchor="_Toc462755740" w:history="1">
            <w:r w:rsidR="00377AAC" w:rsidRPr="00BA6F5F">
              <w:rPr>
                <w:rStyle w:val="Hyperlink"/>
              </w:rPr>
              <w:t>A</w:t>
            </w:r>
            <w:r w:rsidR="00377AAC">
              <w:rPr>
                <w:rFonts w:asciiTheme="minorHAnsi" w:eastAsiaTheme="minorEastAsia" w:hAnsiTheme="minorHAnsi"/>
                <w:b w:val="0"/>
                <w:color w:val="auto"/>
                <w:sz w:val="22"/>
                <w:lang w:val="en-AU" w:eastAsia="en-AU"/>
              </w:rPr>
              <w:tab/>
            </w:r>
            <w:r w:rsidR="00377AAC" w:rsidRPr="00BA6F5F">
              <w:rPr>
                <w:rStyle w:val="Hyperlink"/>
              </w:rPr>
              <w:t>TasNetworks' negotiating framework</w:t>
            </w:r>
            <w:r w:rsidR="00377AAC">
              <w:rPr>
                <w:webHidden/>
              </w:rPr>
              <w:tab/>
            </w:r>
            <w:r w:rsidR="00377AAC">
              <w:rPr>
                <w:webHidden/>
              </w:rPr>
              <w:fldChar w:fldCharType="begin"/>
            </w:r>
            <w:r w:rsidR="00377AAC">
              <w:rPr>
                <w:webHidden/>
              </w:rPr>
              <w:instrText xml:space="preserve"> PAGEREF _Toc462755740 \h </w:instrText>
            </w:r>
            <w:r w:rsidR="00377AAC">
              <w:rPr>
                <w:webHidden/>
              </w:rPr>
            </w:r>
            <w:r w:rsidR="00377AAC">
              <w:rPr>
                <w:webHidden/>
              </w:rPr>
              <w:fldChar w:fldCharType="separate"/>
            </w:r>
            <w:r w:rsidR="00377AAC">
              <w:rPr>
                <w:webHidden/>
              </w:rPr>
              <w:t>17-11</w:t>
            </w:r>
            <w:r w:rsidR="00377AAC">
              <w:rPr>
                <w:webHidden/>
              </w:rPr>
              <w:fldChar w:fldCharType="end"/>
            </w:r>
          </w:hyperlink>
        </w:p>
        <w:p w:rsidR="00CE2A23" w:rsidRDefault="00CD283C" w:rsidP="00CD283C">
          <w:pPr>
            <w:pStyle w:val="TOC1"/>
          </w:pPr>
          <w:r>
            <w:fldChar w:fldCharType="end"/>
          </w:r>
        </w:p>
      </w:sdtContent>
    </w:sdt>
    <w:p w:rsidR="00CE2A23" w:rsidRPr="00CE2A23" w:rsidRDefault="00CE2A23" w:rsidP="00CE2A23">
      <w:r>
        <w:t xml:space="preserve"> </w:t>
      </w:r>
    </w:p>
    <w:p w:rsidR="00CE2A23" w:rsidRPr="00271F7C" w:rsidRDefault="00CE2A23" w:rsidP="00CE2A23">
      <w:pPr>
        <w:pStyle w:val="UnnumberedHeading"/>
        <w:numPr>
          <w:ilvl w:val="0"/>
          <w:numId w:val="23"/>
        </w:numPr>
      </w:pPr>
      <w:bookmarkStart w:id="11" w:name="_Toc404700925"/>
      <w:bookmarkStart w:id="12" w:name="_Toc462755734"/>
      <w:r>
        <w:lastRenderedPageBreak/>
        <w:t>Shortened forms</w:t>
      </w:r>
      <w:bookmarkEnd w:id="11"/>
      <w:bookmarkEnd w:id="12"/>
    </w:p>
    <w:tbl>
      <w:tblPr>
        <w:tblStyle w:val="AERtable-text0"/>
        <w:tblW w:w="0" w:type="auto"/>
        <w:tblLook w:val="04A0" w:firstRow="1" w:lastRow="0" w:firstColumn="1" w:lastColumn="0" w:noHBand="0" w:noVBand="1"/>
      </w:tblPr>
      <w:tblGrid>
        <w:gridCol w:w="4340"/>
        <w:gridCol w:w="4353"/>
      </w:tblGrid>
      <w:tr w:rsidR="0053603C" w:rsidRPr="0087648F" w:rsidTr="000474DF">
        <w:trPr>
          <w:cnfStyle w:val="100000000000" w:firstRow="1" w:lastRow="0" w:firstColumn="0" w:lastColumn="0" w:oddVBand="0" w:evenVBand="0" w:oddHBand="0" w:evenHBand="0" w:firstRowFirstColumn="0" w:firstRowLastColumn="0" w:lastRowFirstColumn="0" w:lastRowLastColumn="0"/>
          <w:tblHeader/>
        </w:trPr>
        <w:tc>
          <w:tcPr>
            <w:tcW w:w="4340" w:type="dxa"/>
          </w:tcPr>
          <w:p w:rsidR="0053603C" w:rsidRPr="0087648F" w:rsidRDefault="0087648F" w:rsidP="0087648F">
            <w:r>
              <w:t>Shortened form</w:t>
            </w:r>
          </w:p>
        </w:tc>
        <w:tc>
          <w:tcPr>
            <w:tcW w:w="4353" w:type="dxa"/>
          </w:tcPr>
          <w:p w:rsidR="0053603C" w:rsidRPr="0087648F" w:rsidRDefault="0087648F" w:rsidP="0087648F">
            <w:r>
              <w:t>Extended form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AEMC</w:t>
            </w:r>
          </w:p>
        </w:tc>
        <w:tc>
          <w:tcPr>
            <w:tcW w:w="4353" w:type="dxa"/>
          </w:tcPr>
          <w:p w:rsidR="004523B2" w:rsidRPr="004523B2" w:rsidRDefault="004523B2" w:rsidP="004523B2">
            <w:pPr>
              <w:pStyle w:val="AERtabletextleft"/>
              <w:rPr>
                <w:rStyle w:val="AERtextsize8"/>
              </w:rPr>
            </w:pPr>
            <w:r w:rsidRPr="00712239">
              <w:rPr>
                <w:rStyle w:val="AERtextsize8"/>
              </w:rPr>
              <w:t>Australian Energy Market Commission</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AEMO</w:t>
            </w:r>
          </w:p>
        </w:tc>
        <w:tc>
          <w:tcPr>
            <w:tcW w:w="4353" w:type="dxa"/>
          </w:tcPr>
          <w:p w:rsidR="004523B2" w:rsidRPr="004523B2" w:rsidRDefault="004523B2" w:rsidP="004523B2">
            <w:pPr>
              <w:pStyle w:val="AERtabletextleft"/>
              <w:rPr>
                <w:rStyle w:val="AERtextsize8"/>
              </w:rPr>
            </w:pPr>
            <w:r w:rsidRPr="00712239">
              <w:rPr>
                <w:rStyle w:val="AERtextsize8"/>
              </w:rPr>
              <w:t>Australian Energy Market Operator</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AER</w:t>
            </w:r>
          </w:p>
        </w:tc>
        <w:tc>
          <w:tcPr>
            <w:tcW w:w="4353" w:type="dxa"/>
          </w:tcPr>
          <w:p w:rsidR="004523B2" w:rsidRPr="004523B2" w:rsidRDefault="004523B2" w:rsidP="004523B2">
            <w:pPr>
              <w:pStyle w:val="AERtabletextleft"/>
              <w:rPr>
                <w:rStyle w:val="AERtextsize8"/>
              </w:rPr>
            </w:pPr>
            <w:r w:rsidRPr="00712239">
              <w:rPr>
                <w:rStyle w:val="AERtextsize8"/>
              </w:rPr>
              <w:t xml:space="preserve">Australian Energy </w:t>
            </w:r>
            <w:r w:rsidRPr="004523B2">
              <w:rPr>
                <w:rStyle w:val="AERtextsize8"/>
              </w:rPr>
              <w:t>Regulator</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augex</w:t>
            </w:r>
          </w:p>
        </w:tc>
        <w:tc>
          <w:tcPr>
            <w:tcW w:w="4353" w:type="dxa"/>
          </w:tcPr>
          <w:p w:rsidR="004523B2" w:rsidRPr="004523B2" w:rsidRDefault="004523B2" w:rsidP="004523B2">
            <w:pPr>
              <w:pStyle w:val="AERtabletextleft"/>
              <w:rPr>
                <w:rStyle w:val="AERtextsize8"/>
              </w:rPr>
            </w:pPr>
            <w:r w:rsidRPr="00712239">
              <w:rPr>
                <w:rStyle w:val="AERtextsize8"/>
              </w:rPr>
              <w:t>augmentation expenditure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capex</w:t>
            </w:r>
          </w:p>
        </w:tc>
        <w:tc>
          <w:tcPr>
            <w:tcW w:w="4353" w:type="dxa"/>
          </w:tcPr>
          <w:p w:rsidR="004523B2" w:rsidRPr="004523B2" w:rsidRDefault="004523B2" w:rsidP="004523B2">
            <w:pPr>
              <w:pStyle w:val="AERtabletextleft"/>
              <w:rPr>
                <w:rStyle w:val="AERtextsize8"/>
              </w:rPr>
            </w:pPr>
            <w:r w:rsidRPr="00712239">
              <w:rPr>
                <w:rStyle w:val="AERtextsize8"/>
              </w:rPr>
              <w:t>capital expenditure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CCP</w:t>
            </w:r>
          </w:p>
        </w:tc>
        <w:tc>
          <w:tcPr>
            <w:tcW w:w="4353" w:type="dxa"/>
          </w:tcPr>
          <w:p w:rsidR="004523B2" w:rsidRPr="004523B2" w:rsidRDefault="004523B2" w:rsidP="004523B2">
            <w:pPr>
              <w:pStyle w:val="AERtabletextleft"/>
              <w:rPr>
                <w:rStyle w:val="AERtextsize8"/>
              </w:rPr>
            </w:pPr>
            <w:r w:rsidRPr="00712239">
              <w:rPr>
                <w:rStyle w:val="AERtextsize8"/>
              </w:rPr>
              <w:t>Consumer Challenge Panel</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CESS</w:t>
            </w:r>
          </w:p>
        </w:tc>
        <w:tc>
          <w:tcPr>
            <w:tcW w:w="4353" w:type="dxa"/>
          </w:tcPr>
          <w:p w:rsidR="004523B2" w:rsidRPr="004523B2" w:rsidRDefault="004523B2" w:rsidP="004523B2">
            <w:pPr>
              <w:pStyle w:val="AERtabletextleft"/>
              <w:rPr>
                <w:rStyle w:val="AERtextsize8"/>
              </w:rPr>
            </w:pPr>
            <w:r w:rsidRPr="00712239">
              <w:rPr>
                <w:rStyle w:val="AERtextsize8"/>
              </w:rPr>
              <w:t>capital expenditure sharing scheme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CPI</w:t>
            </w:r>
          </w:p>
        </w:tc>
        <w:tc>
          <w:tcPr>
            <w:tcW w:w="4353" w:type="dxa"/>
          </w:tcPr>
          <w:p w:rsidR="004523B2" w:rsidRPr="004523B2" w:rsidRDefault="004523B2" w:rsidP="004523B2">
            <w:pPr>
              <w:pStyle w:val="AERtabletextleft"/>
              <w:rPr>
                <w:rStyle w:val="AERtextsize8"/>
              </w:rPr>
            </w:pPr>
            <w:r w:rsidRPr="00712239">
              <w:rPr>
                <w:rStyle w:val="AERtextsize8"/>
              </w:rPr>
              <w:t>consumer price index</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DRP</w:t>
            </w:r>
          </w:p>
        </w:tc>
        <w:tc>
          <w:tcPr>
            <w:tcW w:w="4353" w:type="dxa"/>
          </w:tcPr>
          <w:p w:rsidR="004523B2" w:rsidRPr="004523B2" w:rsidRDefault="004523B2" w:rsidP="004523B2">
            <w:pPr>
              <w:pStyle w:val="AERtabletextleft"/>
              <w:rPr>
                <w:rStyle w:val="AERtextsize8"/>
              </w:rPr>
            </w:pPr>
            <w:r w:rsidRPr="00712239">
              <w:rPr>
                <w:rStyle w:val="AERtextsize8"/>
              </w:rPr>
              <w:t>debt risk premium</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DMIA</w:t>
            </w:r>
          </w:p>
        </w:tc>
        <w:tc>
          <w:tcPr>
            <w:tcW w:w="4353" w:type="dxa"/>
          </w:tcPr>
          <w:p w:rsidR="004523B2" w:rsidRPr="004523B2" w:rsidRDefault="004523B2" w:rsidP="004523B2">
            <w:pPr>
              <w:pStyle w:val="AERtabletextleft"/>
              <w:rPr>
                <w:rStyle w:val="AERtextsize8"/>
              </w:rPr>
            </w:pPr>
            <w:r w:rsidRPr="00712239">
              <w:rPr>
                <w:rStyle w:val="AERtextsize8"/>
              </w:rPr>
              <w:t>demand management innovation allowance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DMIS</w:t>
            </w:r>
          </w:p>
        </w:tc>
        <w:tc>
          <w:tcPr>
            <w:tcW w:w="4353" w:type="dxa"/>
          </w:tcPr>
          <w:p w:rsidR="004523B2" w:rsidRPr="004523B2" w:rsidRDefault="004523B2" w:rsidP="004523B2">
            <w:pPr>
              <w:pStyle w:val="AERtabletextleft"/>
              <w:rPr>
                <w:rStyle w:val="AERtextsize8"/>
              </w:rPr>
            </w:pPr>
            <w:r w:rsidRPr="00712239">
              <w:rPr>
                <w:rStyle w:val="AERtextsize8"/>
              </w:rPr>
              <w:t xml:space="preserve">demand </w:t>
            </w:r>
            <w:r w:rsidRPr="004523B2">
              <w:rPr>
                <w:rStyle w:val="AERtextsize8"/>
              </w:rPr>
              <w:t>management incentive scheme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distributor</w:t>
            </w:r>
          </w:p>
        </w:tc>
        <w:tc>
          <w:tcPr>
            <w:tcW w:w="4353" w:type="dxa"/>
          </w:tcPr>
          <w:p w:rsidR="004523B2" w:rsidRPr="004523B2" w:rsidRDefault="004523B2" w:rsidP="004523B2">
            <w:pPr>
              <w:pStyle w:val="AERtabletextleft"/>
              <w:rPr>
                <w:rStyle w:val="AERtextsize8"/>
              </w:rPr>
            </w:pPr>
            <w:r w:rsidRPr="00712239">
              <w:rPr>
                <w:rStyle w:val="AERtextsize8"/>
              </w:rPr>
              <w:t>distribution network service provider</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DUoS</w:t>
            </w:r>
          </w:p>
        </w:tc>
        <w:tc>
          <w:tcPr>
            <w:tcW w:w="4353" w:type="dxa"/>
          </w:tcPr>
          <w:p w:rsidR="004523B2" w:rsidRPr="004523B2" w:rsidRDefault="004523B2" w:rsidP="004523B2">
            <w:pPr>
              <w:pStyle w:val="AERtabletextleft"/>
              <w:rPr>
                <w:rStyle w:val="AERtextsize8"/>
              </w:rPr>
            </w:pPr>
            <w:r w:rsidRPr="00712239">
              <w:rPr>
                <w:rStyle w:val="AERtextsize8"/>
              </w:rPr>
              <w:t>distribution use of system</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EBSS</w:t>
            </w:r>
          </w:p>
        </w:tc>
        <w:tc>
          <w:tcPr>
            <w:tcW w:w="4353" w:type="dxa"/>
          </w:tcPr>
          <w:p w:rsidR="004523B2" w:rsidRPr="004523B2" w:rsidRDefault="004523B2" w:rsidP="004523B2">
            <w:pPr>
              <w:pStyle w:val="AERtabletextleft"/>
              <w:rPr>
                <w:rStyle w:val="AERtextsize8"/>
              </w:rPr>
            </w:pPr>
            <w:r w:rsidRPr="00712239">
              <w:rPr>
                <w:rStyle w:val="AERtextsize8"/>
              </w:rPr>
              <w:t>efficiency benefit sharing scheme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ERP</w:t>
            </w:r>
          </w:p>
        </w:tc>
        <w:tc>
          <w:tcPr>
            <w:tcW w:w="4353" w:type="dxa"/>
          </w:tcPr>
          <w:p w:rsidR="004523B2" w:rsidRPr="004523B2" w:rsidRDefault="004523B2" w:rsidP="004523B2">
            <w:pPr>
              <w:pStyle w:val="AERtabletextleft"/>
              <w:rPr>
                <w:rStyle w:val="AERtextsize8"/>
              </w:rPr>
            </w:pPr>
            <w:r w:rsidRPr="00712239">
              <w:rPr>
                <w:rStyle w:val="AERtextsize8"/>
              </w:rPr>
              <w:t>equity risk premium</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Expenditure A</w:t>
            </w:r>
            <w:r w:rsidRPr="004523B2">
              <w:rPr>
                <w:rStyle w:val="AERtextsize8"/>
              </w:rPr>
              <w:t>ssessment Guideline</w:t>
            </w:r>
          </w:p>
        </w:tc>
        <w:tc>
          <w:tcPr>
            <w:tcW w:w="4353" w:type="dxa"/>
          </w:tcPr>
          <w:p w:rsidR="004523B2" w:rsidRPr="004523B2" w:rsidRDefault="004523B2" w:rsidP="004523B2">
            <w:pPr>
              <w:pStyle w:val="AERtabletextleft"/>
              <w:rPr>
                <w:rStyle w:val="AERtextsize8"/>
              </w:rPr>
            </w:pPr>
            <w:r w:rsidRPr="00712239">
              <w:rPr>
                <w:rStyle w:val="AERtextsize8"/>
              </w:rPr>
              <w:t>E</w:t>
            </w:r>
            <w:r w:rsidRPr="004523B2">
              <w:rPr>
                <w:rStyle w:val="AERtextsize8"/>
              </w:rPr>
              <w:t>xpenditure Forecast Assessment Guideline for Electricity Distribution</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F&amp;A</w:t>
            </w:r>
          </w:p>
        </w:tc>
        <w:tc>
          <w:tcPr>
            <w:tcW w:w="4353" w:type="dxa"/>
          </w:tcPr>
          <w:p w:rsidR="004523B2" w:rsidRPr="004523B2" w:rsidRDefault="004523B2" w:rsidP="004523B2">
            <w:pPr>
              <w:pStyle w:val="AERtabletextleft"/>
              <w:rPr>
                <w:rStyle w:val="AERtextsize8"/>
              </w:rPr>
            </w:pPr>
            <w:r w:rsidRPr="00712239">
              <w:rPr>
                <w:rStyle w:val="AERtextsize8"/>
              </w:rPr>
              <w:t>framework and approach</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MRP</w:t>
            </w:r>
          </w:p>
        </w:tc>
        <w:tc>
          <w:tcPr>
            <w:tcW w:w="4353" w:type="dxa"/>
          </w:tcPr>
          <w:p w:rsidR="004523B2" w:rsidRPr="004523B2" w:rsidRDefault="004523B2" w:rsidP="004523B2">
            <w:pPr>
              <w:pStyle w:val="AERtabletextleft"/>
              <w:rPr>
                <w:rStyle w:val="AERtextsize8"/>
              </w:rPr>
            </w:pPr>
            <w:r w:rsidRPr="00712239">
              <w:rPr>
                <w:rStyle w:val="AERtextsize8"/>
              </w:rPr>
              <w:t>market risk premium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NEL</w:t>
            </w:r>
          </w:p>
        </w:tc>
        <w:tc>
          <w:tcPr>
            <w:tcW w:w="4353" w:type="dxa"/>
          </w:tcPr>
          <w:p w:rsidR="004523B2" w:rsidRPr="004523B2" w:rsidRDefault="004523B2" w:rsidP="004523B2">
            <w:pPr>
              <w:pStyle w:val="AERtabletextleft"/>
              <w:rPr>
                <w:rStyle w:val="AERtextsize8"/>
              </w:rPr>
            </w:pPr>
            <w:r w:rsidRPr="00712239">
              <w:rPr>
                <w:rStyle w:val="AERtextsize8"/>
              </w:rPr>
              <w:t>national electricity law</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NEM</w:t>
            </w:r>
          </w:p>
        </w:tc>
        <w:tc>
          <w:tcPr>
            <w:tcW w:w="4353" w:type="dxa"/>
          </w:tcPr>
          <w:p w:rsidR="004523B2" w:rsidRPr="004523B2" w:rsidRDefault="004523B2" w:rsidP="004523B2">
            <w:pPr>
              <w:pStyle w:val="AERtabletextleft"/>
              <w:rPr>
                <w:rStyle w:val="AERtextsize8"/>
              </w:rPr>
            </w:pPr>
            <w:r w:rsidRPr="00712239">
              <w:rPr>
                <w:rStyle w:val="AERtextsize8"/>
              </w:rPr>
              <w:t>national electricity market</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NEO</w:t>
            </w:r>
          </w:p>
        </w:tc>
        <w:tc>
          <w:tcPr>
            <w:tcW w:w="4353" w:type="dxa"/>
          </w:tcPr>
          <w:p w:rsidR="004523B2" w:rsidRPr="004523B2" w:rsidRDefault="004523B2" w:rsidP="004523B2">
            <w:pPr>
              <w:pStyle w:val="AERtabletextleft"/>
              <w:rPr>
                <w:rStyle w:val="AERtextsize8"/>
              </w:rPr>
            </w:pPr>
            <w:r w:rsidRPr="00712239">
              <w:rPr>
                <w:rStyle w:val="AERtextsize8"/>
              </w:rPr>
              <w:t>national electricity objective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NER</w:t>
            </w:r>
          </w:p>
        </w:tc>
        <w:tc>
          <w:tcPr>
            <w:tcW w:w="4353" w:type="dxa"/>
          </w:tcPr>
          <w:p w:rsidR="004523B2" w:rsidRPr="004523B2" w:rsidRDefault="004523B2" w:rsidP="004523B2">
            <w:pPr>
              <w:pStyle w:val="AERtabletextleft"/>
              <w:rPr>
                <w:rStyle w:val="AERtextsize8"/>
              </w:rPr>
            </w:pPr>
            <w:r w:rsidRPr="00712239">
              <w:rPr>
                <w:rStyle w:val="AERtextsize8"/>
              </w:rPr>
              <w:t>national electricity rules</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NSP</w:t>
            </w:r>
          </w:p>
        </w:tc>
        <w:tc>
          <w:tcPr>
            <w:tcW w:w="4353" w:type="dxa"/>
          </w:tcPr>
          <w:p w:rsidR="004523B2" w:rsidRPr="004523B2" w:rsidRDefault="004523B2" w:rsidP="004523B2">
            <w:pPr>
              <w:pStyle w:val="AERtabletextleft"/>
              <w:rPr>
                <w:rStyle w:val="AERtextsize8"/>
              </w:rPr>
            </w:pPr>
            <w:r w:rsidRPr="00712239">
              <w:rPr>
                <w:rStyle w:val="AERtextsize8"/>
              </w:rPr>
              <w:t xml:space="preserve">network service </w:t>
            </w:r>
            <w:r w:rsidRPr="004523B2">
              <w:rPr>
                <w:rStyle w:val="AERtextsize8"/>
              </w:rPr>
              <w:t>provider</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opex</w:t>
            </w:r>
          </w:p>
        </w:tc>
        <w:tc>
          <w:tcPr>
            <w:tcW w:w="4353" w:type="dxa"/>
          </w:tcPr>
          <w:p w:rsidR="004523B2" w:rsidRPr="004523B2" w:rsidRDefault="004523B2" w:rsidP="004523B2">
            <w:pPr>
              <w:pStyle w:val="AERtabletextleft"/>
              <w:rPr>
                <w:rStyle w:val="AERtextsize8"/>
              </w:rPr>
            </w:pPr>
            <w:r w:rsidRPr="00712239">
              <w:rPr>
                <w:rStyle w:val="AERtextsize8"/>
              </w:rPr>
              <w:t>operating expenditure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PPI</w:t>
            </w:r>
          </w:p>
        </w:tc>
        <w:tc>
          <w:tcPr>
            <w:tcW w:w="4353" w:type="dxa"/>
          </w:tcPr>
          <w:p w:rsidR="004523B2" w:rsidRPr="004523B2" w:rsidRDefault="004523B2" w:rsidP="004523B2">
            <w:pPr>
              <w:pStyle w:val="AERtabletextleft"/>
              <w:rPr>
                <w:rStyle w:val="AERtextsize8"/>
              </w:rPr>
            </w:pPr>
            <w:r w:rsidRPr="00712239">
              <w:rPr>
                <w:rStyle w:val="AERtextsize8"/>
              </w:rPr>
              <w:t>partial performance indicators</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PTRM</w:t>
            </w:r>
          </w:p>
        </w:tc>
        <w:tc>
          <w:tcPr>
            <w:tcW w:w="4353" w:type="dxa"/>
          </w:tcPr>
          <w:p w:rsidR="004523B2" w:rsidRPr="004523B2" w:rsidRDefault="004523B2" w:rsidP="004523B2">
            <w:pPr>
              <w:pStyle w:val="AERtabletextleft"/>
              <w:rPr>
                <w:rStyle w:val="AERtextsize8"/>
              </w:rPr>
            </w:pPr>
            <w:r w:rsidRPr="00712239">
              <w:rPr>
                <w:rStyle w:val="AERtextsize8"/>
              </w:rPr>
              <w:t>post-tax revenue model</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RAB</w:t>
            </w:r>
          </w:p>
        </w:tc>
        <w:tc>
          <w:tcPr>
            <w:tcW w:w="4353" w:type="dxa"/>
          </w:tcPr>
          <w:p w:rsidR="004523B2" w:rsidRPr="004523B2" w:rsidRDefault="004523B2" w:rsidP="004523B2">
            <w:pPr>
              <w:pStyle w:val="AERtabletextleft"/>
              <w:rPr>
                <w:rStyle w:val="AERtextsize8"/>
              </w:rPr>
            </w:pPr>
            <w:r w:rsidRPr="00712239">
              <w:rPr>
                <w:rStyle w:val="AERtextsize8"/>
              </w:rPr>
              <w:t>regulatory asset base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RBA</w:t>
            </w:r>
          </w:p>
        </w:tc>
        <w:tc>
          <w:tcPr>
            <w:tcW w:w="4353" w:type="dxa"/>
          </w:tcPr>
          <w:p w:rsidR="004523B2" w:rsidRPr="004523B2" w:rsidRDefault="004523B2" w:rsidP="004523B2">
            <w:pPr>
              <w:pStyle w:val="AERtabletextleft"/>
              <w:rPr>
                <w:rStyle w:val="AERtextsize8"/>
              </w:rPr>
            </w:pPr>
            <w:r w:rsidRPr="00712239">
              <w:rPr>
                <w:rStyle w:val="AERtextsize8"/>
              </w:rPr>
              <w:t>Reserve Bank of Australia</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repex</w:t>
            </w:r>
          </w:p>
        </w:tc>
        <w:tc>
          <w:tcPr>
            <w:tcW w:w="4353" w:type="dxa"/>
          </w:tcPr>
          <w:p w:rsidR="004523B2" w:rsidRPr="004523B2" w:rsidRDefault="004523B2" w:rsidP="004523B2">
            <w:pPr>
              <w:pStyle w:val="AERtabletextleft"/>
              <w:rPr>
                <w:rStyle w:val="AERtextsize8"/>
              </w:rPr>
            </w:pPr>
            <w:r w:rsidRPr="00712239">
              <w:rPr>
                <w:rStyle w:val="AERtextsize8"/>
              </w:rPr>
              <w:t>replacement expenditure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lastRenderedPageBreak/>
              <w:t>RFM</w:t>
            </w:r>
          </w:p>
        </w:tc>
        <w:tc>
          <w:tcPr>
            <w:tcW w:w="4353" w:type="dxa"/>
          </w:tcPr>
          <w:p w:rsidR="004523B2" w:rsidRPr="004523B2" w:rsidRDefault="004523B2" w:rsidP="004523B2">
            <w:pPr>
              <w:pStyle w:val="AERtabletextleft"/>
              <w:rPr>
                <w:rStyle w:val="AERtextsize8"/>
              </w:rPr>
            </w:pPr>
            <w:r w:rsidRPr="00712239">
              <w:rPr>
                <w:rStyle w:val="AERtextsize8"/>
              </w:rPr>
              <w:t>roll forward model</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RIN</w:t>
            </w:r>
          </w:p>
        </w:tc>
        <w:tc>
          <w:tcPr>
            <w:tcW w:w="4353" w:type="dxa"/>
          </w:tcPr>
          <w:p w:rsidR="004523B2" w:rsidRPr="004523B2" w:rsidRDefault="004523B2" w:rsidP="004523B2">
            <w:pPr>
              <w:pStyle w:val="AERtabletextleft"/>
              <w:rPr>
                <w:rStyle w:val="AERtextsize8"/>
              </w:rPr>
            </w:pPr>
            <w:r w:rsidRPr="00712239">
              <w:rPr>
                <w:rStyle w:val="AERtextsize8"/>
              </w:rPr>
              <w:t>regulatory information notice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RPP</w:t>
            </w:r>
          </w:p>
        </w:tc>
        <w:tc>
          <w:tcPr>
            <w:tcW w:w="4353" w:type="dxa"/>
          </w:tcPr>
          <w:p w:rsidR="004523B2" w:rsidRPr="004523B2" w:rsidRDefault="004523B2" w:rsidP="004523B2">
            <w:pPr>
              <w:pStyle w:val="AERtabletextleft"/>
              <w:rPr>
                <w:rStyle w:val="AERtextsize8"/>
              </w:rPr>
            </w:pPr>
            <w:r w:rsidRPr="00712239">
              <w:rPr>
                <w:rStyle w:val="AERtextsize8"/>
              </w:rPr>
              <w:t xml:space="preserve">revenue </w:t>
            </w:r>
            <w:r w:rsidRPr="004523B2">
              <w:rPr>
                <w:rStyle w:val="AERtextsize8"/>
              </w:rPr>
              <w:t>and pricing principles</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SAIDI</w:t>
            </w:r>
          </w:p>
        </w:tc>
        <w:tc>
          <w:tcPr>
            <w:tcW w:w="4353" w:type="dxa"/>
          </w:tcPr>
          <w:p w:rsidR="004523B2" w:rsidRPr="004523B2" w:rsidRDefault="004523B2" w:rsidP="004523B2">
            <w:pPr>
              <w:pStyle w:val="AERtabletextleft"/>
              <w:rPr>
                <w:rStyle w:val="AERtextsize8"/>
              </w:rPr>
            </w:pPr>
            <w:r w:rsidRPr="00712239">
              <w:rPr>
                <w:rStyle w:val="AERtextsize8"/>
              </w:rPr>
              <w:t>system average interruption duration index</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SAIFI</w:t>
            </w:r>
          </w:p>
        </w:tc>
        <w:tc>
          <w:tcPr>
            <w:tcW w:w="4353" w:type="dxa"/>
          </w:tcPr>
          <w:p w:rsidR="004523B2" w:rsidRPr="004523B2" w:rsidRDefault="004523B2" w:rsidP="004523B2">
            <w:pPr>
              <w:pStyle w:val="AERtabletextleft"/>
              <w:rPr>
                <w:rStyle w:val="AERtextsize8"/>
              </w:rPr>
            </w:pPr>
            <w:r w:rsidRPr="00712239">
              <w:rPr>
                <w:rStyle w:val="AERtextsize8"/>
              </w:rPr>
              <w:t>system average interruption frequency index</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SLCAPM</w:t>
            </w:r>
          </w:p>
        </w:tc>
        <w:tc>
          <w:tcPr>
            <w:tcW w:w="4353" w:type="dxa"/>
          </w:tcPr>
          <w:p w:rsidR="004523B2" w:rsidRPr="004523B2" w:rsidRDefault="004523B2" w:rsidP="004523B2">
            <w:pPr>
              <w:pStyle w:val="AERtabletextleft"/>
              <w:rPr>
                <w:rStyle w:val="AERtextsize8"/>
              </w:rPr>
            </w:pPr>
            <w:r w:rsidRPr="00712239">
              <w:rPr>
                <w:rStyle w:val="AERtextsize8"/>
              </w:rPr>
              <w:t>Sharpe-Lintner capital asset pricing model</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STPIS</w:t>
            </w:r>
          </w:p>
        </w:tc>
        <w:tc>
          <w:tcPr>
            <w:tcW w:w="4353" w:type="dxa"/>
          </w:tcPr>
          <w:p w:rsidR="004523B2" w:rsidRPr="004523B2" w:rsidRDefault="004523B2" w:rsidP="004523B2">
            <w:pPr>
              <w:pStyle w:val="AERtabletextleft"/>
              <w:rPr>
                <w:rStyle w:val="AERtextsize8"/>
              </w:rPr>
            </w:pPr>
            <w:r w:rsidRPr="00712239">
              <w:rPr>
                <w:rStyle w:val="AERtextsize8"/>
              </w:rPr>
              <w:t>service target performance incentive scheme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WACC</w:t>
            </w:r>
          </w:p>
        </w:tc>
        <w:tc>
          <w:tcPr>
            <w:tcW w:w="4353" w:type="dxa"/>
          </w:tcPr>
          <w:p w:rsidR="004523B2" w:rsidRPr="004523B2" w:rsidRDefault="004523B2" w:rsidP="004523B2">
            <w:pPr>
              <w:pStyle w:val="AERtabletextleft"/>
              <w:rPr>
                <w:rStyle w:val="AERtextsize8"/>
              </w:rPr>
            </w:pPr>
            <w:r w:rsidRPr="00712239">
              <w:rPr>
                <w:rStyle w:val="AERtextsize8"/>
              </w:rPr>
              <w:t>weighted average</w:t>
            </w:r>
            <w:r w:rsidRPr="004523B2">
              <w:rPr>
                <w:rStyle w:val="AERtextsize8"/>
              </w:rPr>
              <w:t xml:space="preserve"> cost of capital</w:t>
            </w:r>
          </w:p>
        </w:tc>
      </w:tr>
    </w:tbl>
    <w:p w:rsidR="00DE563D" w:rsidRDefault="0079769A" w:rsidP="0079769A">
      <w:pPr>
        <w:pStyle w:val="Heading1"/>
      </w:pPr>
      <w:bookmarkStart w:id="13" w:name="_Toc416278154"/>
      <w:bookmarkStart w:id="14" w:name="_Toc416346517"/>
      <w:bookmarkStart w:id="15" w:name="_Toc416278157"/>
      <w:bookmarkStart w:id="16" w:name="_Toc416346520"/>
      <w:bookmarkStart w:id="17" w:name="_Toc416278160"/>
      <w:bookmarkStart w:id="18" w:name="_Toc416346523"/>
      <w:bookmarkStart w:id="19" w:name="_Toc416278163"/>
      <w:bookmarkStart w:id="20" w:name="_Toc416346526"/>
      <w:bookmarkStart w:id="21" w:name="_Toc416278166"/>
      <w:bookmarkStart w:id="22" w:name="_Toc416346529"/>
      <w:bookmarkStart w:id="23" w:name="_Toc416278169"/>
      <w:bookmarkStart w:id="24" w:name="_Toc416346532"/>
      <w:bookmarkStart w:id="25" w:name="_Toc416278172"/>
      <w:bookmarkStart w:id="26" w:name="_Toc416346535"/>
      <w:bookmarkStart w:id="27" w:name="_Toc416278175"/>
      <w:bookmarkStart w:id="28" w:name="_Toc416346538"/>
      <w:bookmarkStart w:id="29" w:name="_Toc416278178"/>
      <w:bookmarkStart w:id="30" w:name="_Toc416346541"/>
      <w:bookmarkStart w:id="31" w:name="_Toc416278181"/>
      <w:bookmarkStart w:id="32" w:name="_Toc416346544"/>
      <w:bookmarkStart w:id="33" w:name="_Toc416278184"/>
      <w:bookmarkStart w:id="34" w:name="_Toc416346547"/>
      <w:bookmarkStart w:id="35" w:name="_Toc416278187"/>
      <w:bookmarkStart w:id="36" w:name="_Toc416346550"/>
      <w:bookmarkStart w:id="37" w:name="_Toc416278190"/>
      <w:bookmarkStart w:id="38" w:name="_Toc416346553"/>
      <w:bookmarkStart w:id="39" w:name="_Toc416278193"/>
      <w:bookmarkStart w:id="40" w:name="_Toc416346556"/>
      <w:bookmarkStart w:id="41" w:name="_Toc416278196"/>
      <w:bookmarkStart w:id="42" w:name="_Toc416346559"/>
      <w:bookmarkStart w:id="43" w:name="_Toc416278199"/>
      <w:bookmarkStart w:id="44" w:name="_Toc416346562"/>
      <w:bookmarkStart w:id="45" w:name="_Toc416278202"/>
      <w:bookmarkStart w:id="46" w:name="_Toc416346565"/>
      <w:bookmarkStart w:id="47" w:name="_Toc416278205"/>
      <w:bookmarkStart w:id="48" w:name="_Toc416346568"/>
      <w:bookmarkStart w:id="49" w:name="_Toc416278208"/>
      <w:bookmarkStart w:id="50" w:name="_Toc416346571"/>
      <w:bookmarkStart w:id="51" w:name="_Toc416278211"/>
      <w:bookmarkStart w:id="52" w:name="_Toc416346574"/>
      <w:bookmarkStart w:id="53" w:name="_Toc416278214"/>
      <w:bookmarkStart w:id="54" w:name="_Toc416346577"/>
      <w:bookmarkStart w:id="55" w:name="_Toc416278217"/>
      <w:bookmarkStart w:id="56" w:name="_Toc416346580"/>
      <w:bookmarkStart w:id="57" w:name="_Toc416278220"/>
      <w:bookmarkStart w:id="58" w:name="_Toc416346583"/>
      <w:bookmarkStart w:id="59" w:name="_Toc416278223"/>
      <w:bookmarkStart w:id="60" w:name="_Toc416346586"/>
      <w:bookmarkStart w:id="61" w:name="_Toc416278226"/>
      <w:bookmarkStart w:id="62" w:name="_Toc416346589"/>
      <w:bookmarkStart w:id="63" w:name="_Toc416278229"/>
      <w:bookmarkStart w:id="64" w:name="_Toc416346592"/>
      <w:bookmarkStart w:id="65" w:name="_Toc416278232"/>
      <w:bookmarkStart w:id="66" w:name="_Toc416346595"/>
      <w:bookmarkStart w:id="67" w:name="_Toc416278235"/>
      <w:bookmarkStart w:id="68" w:name="_Toc416346598"/>
      <w:bookmarkStart w:id="69" w:name="_Toc416278238"/>
      <w:bookmarkStart w:id="70" w:name="_Toc416346601"/>
      <w:bookmarkStart w:id="71" w:name="_Toc462755735"/>
      <w:bookmarkEnd w:id="0"/>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r>
        <w:t>Negotiated services framework and criteria</w:t>
      </w:r>
      <w:bookmarkEnd w:id="71"/>
    </w:p>
    <w:p w:rsidR="00B04797" w:rsidRPr="00B04797" w:rsidRDefault="00B04797" w:rsidP="00B04797">
      <w:pPr>
        <w:rPr>
          <w:rStyle w:val="AERbody"/>
        </w:rPr>
      </w:pPr>
      <w:r w:rsidRPr="00B04797">
        <w:rPr>
          <w:rStyle w:val="AERbody"/>
        </w:rPr>
        <w:t>The NER requires us to make constituent decisions on:</w:t>
      </w:r>
    </w:p>
    <w:p w:rsidR="00B04797" w:rsidRPr="00B04797" w:rsidRDefault="00B04797" w:rsidP="00B04797">
      <w:pPr>
        <w:pStyle w:val="AERbulletlistfirststyle"/>
      </w:pPr>
      <w:r w:rsidRPr="00B04797">
        <w:t>the negotiating framework tha</w:t>
      </w:r>
      <w:r>
        <w:t>t is to apply to TasNetworks</w:t>
      </w:r>
      <w:r w:rsidRPr="00B04797">
        <w:t xml:space="preserve"> (which may be as proposed by the distributor, some variant of it, or a framework substituted by us),  and</w:t>
      </w:r>
    </w:p>
    <w:p w:rsidR="00B04797" w:rsidRDefault="00B04797" w:rsidP="00B04797">
      <w:pPr>
        <w:pStyle w:val="AERbulletlistfirststyle"/>
      </w:pPr>
      <w:r w:rsidRPr="00B04797">
        <w:t xml:space="preserve">a decision on the negotiated distribution service criteria (NDSC) for the distributor. </w:t>
      </w:r>
    </w:p>
    <w:p w:rsidR="00B04797" w:rsidRDefault="00B04797" w:rsidP="00B04797">
      <w:pPr>
        <w:rPr>
          <w:rStyle w:val="AERbody"/>
        </w:rPr>
      </w:pPr>
      <w:r>
        <w:rPr>
          <w:rStyle w:val="AERbody"/>
        </w:rPr>
        <w:t>TasNetworks submitted a</w:t>
      </w:r>
      <w:r w:rsidRPr="00B04797">
        <w:rPr>
          <w:rStyle w:val="AERbody"/>
        </w:rPr>
        <w:t xml:space="preserve"> negotiating framework as part of its revised regulatory proposal for our consideration.  </w:t>
      </w:r>
    </w:p>
    <w:p w:rsidR="00132D43" w:rsidRPr="00B04797" w:rsidRDefault="00B04797" w:rsidP="00B04797">
      <w:pPr>
        <w:rPr>
          <w:rStyle w:val="AERbody"/>
        </w:rPr>
      </w:pPr>
      <w:r w:rsidRPr="00B04797">
        <w:rPr>
          <w:rStyle w:val="AERbody"/>
        </w:rPr>
        <w:t>The NDSC set out criteria that a distributor must apply in negotiating terms and conditions including the prices for negotiated distribution services. They also contain the criteria that a commercial arbitrator must apply to resolve disputes about such terms and conditions and/or prices.</w:t>
      </w:r>
      <w:r>
        <w:rPr>
          <w:rStyle w:val="AERbody"/>
        </w:rPr>
        <w:t xml:space="preserve"> This section sets out our draft</w:t>
      </w:r>
      <w:r w:rsidRPr="00B04797">
        <w:rPr>
          <w:rStyle w:val="AERbody"/>
        </w:rPr>
        <w:t xml:space="preserve"> decision on </w:t>
      </w:r>
      <w:r>
        <w:rPr>
          <w:rStyle w:val="AERbody"/>
        </w:rPr>
        <w:t>TasNetworks'</w:t>
      </w:r>
      <w:r w:rsidRPr="00B04797">
        <w:rPr>
          <w:rStyle w:val="AERbody"/>
        </w:rPr>
        <w:t xml:space="preserve"> negotiating framework and NDSC.</w:t>
      </w:r>
    </w:p>
    <w:p w:rsidR="00132D43" w:rsidRDefault="00132D43" w:rsidP="00132D43">
      <w:pPr>
        <w:pStyle w:val="Heading2"/>
      </w:pPr>
      <w:bookmarkStart w:id="72" w:name="_Toc462755736"/>
      <w:r>
        <w:t>Draft decision</w:t>
      </w:r>
      <w:bookmarkEnd w:id="72"/>
    </w:p>
    <w:p w:rsidR="00132D43" w:rsidRDefault="00E24137" w:rsidP="00E24137">
      <w:pPr>
        <w:pStyle w:val="TOC1"/>
      </w:pPr>
      <w:r>
        <w:t>Negotiating framework</w:t>
      </w:r>
    </w:p>
    <w:p w:rsidR="00E24137" w:rsidRDefault="00E24137" w:rsidP="00132D43">
      <w:r>
        <w:t xml:space="preserve">Our draft decision is to accept TasNetworks' proposed negotiating framework </w:t>
      </w:r>
      <w:r w:rsidR="00A45558">
        <w:t xml:space="preserve">for the </w:t>
      </w:r>
      <w:r w:rsidR="00A45558" w:rsidRPr="00A45558">
        <w:t xml:space="preserve">2017−18 to 2018−19 regulatory control period </w:t>
      </w:r>
      <w:r>
        <w:t>as set out in appendix A.</w:t>
      </w:r>
      <w:r>
        <w:rPr>
          <w:rStyle w:val="FootnoteReference"/>
        </w:rPr>
        <w:footnoteReference w:id="1"/>
      </w:r>
      <w:r>
        <w:t xml:space="preserve"> </w:t>
      </w:r>
    </w:p>
    <w:p w:rsidR="00E24137" w:rsidRDefault="00E24137" w:rsidP="00E24137">
      <w:pPr>
        <w:pStyle w:val="TOC1"/>
      </w:pPr>
      <w:r>
        <w:t>Negotiated distribution services criteria</w:t>
      </w:r>
    </w:p>
    <w:p w:rsidR="00B04797" w:rsidRDefault="0007189A" w:rsidP="00132D43">
      <w:r>
        <w:t xml:space="preserve">Our draft decision is to retain the NDSC that we </w:t>
      </w:r>
      <w:r w:rsidR="00E96B5E">
        <w:t xml:space="preserve">have previously developed and </w:t>
      </w:r>
      <w:r>
        <w:t xml:space="preserve">published for TasNetworks in February 2016 for the </w:t>
      </w:r>
      <w:r w:rsidRPr="00A45558">
        <w:t>2017−18 to 2018−19 regulatory control period</w:t>
      </w:r>
      <w:r>
        <w:t>.</w:t>
      </w:r>
      <w:r w:rsidR="005D6DED">
        <w:rPr>
          <w:rStyle w:val="FootnoteReference"/>
        </w:rPr>
        <w:footnoteReference w:id="2"/>
      </w:r>
      <w:r>
        <w:t xml:space="preserve"> The NDSC give effect to the negotiated distribution service principles.</w:t>
      </w:r>
      <w:r>
        <w:rPr>
          <w:rStyle w:val="FootnoteReference"/>
        </w:rPr>
        <w:footnoteReference w:id="3"/>
      </w:r>
    </w:p>
    <w:p w:rsidR="00132D43" w:rsidRDefault="004523B2" w:rsidP="00132D43">
      <w:pPr>
        <w:pStyle w:val="Heading2"/>
      </w:pPr>
      <w:bookmarkStart w:id="73" w:name="_Toc462755737"/>
      <w:r>
        <w:t>TasNetworks'</w:t>
      </w:r>
      <w:r w:rsidR="00132D43">
        <w:t xml:space="preserve"> proposal</w:t>
      </w:r>
      <w:bookmarkEnd w:id="73"/>
    </w:p>
    <w:p w:rsidR="00132D43" w:rsidRDefault="00687E5A" w:rsidP="00132D43">
      <w:r>
        <w:t xml:space="preserve">TasNetworks submitted its proposed negotiating framework </w:t>
      </w:r>
      <w:r w:rsidR="0088481A">
        <w:t xml:space="preserve">on 29 February 2016. </w:t>
      </w:r>
      <w:r w:rsidR="000C0C2B">
        <w:t>TasNetworks noted that its proposed negotiating framework does not materially depart from its current negotiating framework.</w:t>
      </w:r>
      <w:r w:rsidR="000C0C2B">
        <w:rPr>
          <w:rStyle w:val="FootnoteReference"/>
        </w:rPr>
        <w:footnoteReference w:id="4"/>
      </w:r>
    </w:p>
    <w:p w:rsidR="00132D43" w:rsidRDefault="00132D43" w:rsidP="00132D43">
      <w:pPr>
        <w:pStyle w:val="Heading2"/>
      </w:pPr>
      <w:bookmarkStart w:id="74" w:name="_Toc462755738"/>
      <w:r>
        <w:t>Assessment approach</w:t>
      </w:r>
      <w:bookmarkEnd w:id="74"/>
    </w:p>
    <w:p w:rsidR="00B04797" w:rsidRPr="00B04797" w:rsidRDefault="00B04797" w:rsidP="00B04797">
      <w:pPr>
        <w:pStyle w:val="TOC1"/>
      </w:pPr>
      <w:r w:rsidRPr="00B04797">
        <w:t>Negotiating framework</w:t>
      </w:r>
    </w:p>
    <w:p w:rsidR="00B04797" w:rsidRPr="00B04797" w:rsidRDefault="00B04797" w:rsidP="00B04797">
      <w:r w:rsidRPr="00B04797">
        <w:t xml:space="preserve">To be approved, a proposed negotiating framework must specify the obligations in clause 6.7.5(c) of the NER. We examined whether </w:t>
      </w:r>
      <w:r>
        <w:t>TasNetworks'</w:t>
      </w:r>
      <w:r w:rsidRPr="00B04797">
        <w:t xml:space="preserve"> proposed negotiating framework has </w:t>
      </w:r>
      <w:r w:rsidR="00E96B5E">
        <w:t>met these requirements</w:t>
      </w:r>
      <w:r w:rsidRPr="00B04797">
        <w:t xml:space="preserve">. </w:t>
      </w:r>
    </w:p>
    <w:p w:rsidR="00B04797" w:rsidRPr="00B04797" w:rsidRDefault="00B04797" w:rsidP="00B04797">
      <w:pPr>
        <w:pStyle w:val="TOC1"/>
      </w:pPr>
      <w:r w:rsidRPr="00B04797">
        <w:t>Negotiated distribution services criteria</w:t>
      </w:r>
    </w:p>
    <w:p w:rsidR="00132D43" w:rsidRDefault="00B04797" w:rsidP="00132D43">
      <w:r w:rsidRPr="00B04797">
        <w:t>We consider NDSC that reflect the negotiated distribution service principles would satisfy the NER. Therefore we assessed whether our proposed NDSC reflect the negotiated distribution service principles in clause 6.7.1 of the NER.</w:t>
      </w:r>
    </w:p>
    <w:p w:rsidR="00132D43" w:rsidRDefault="00132D43" w:rsidP="00132D43">
      <w:pPr>
        <w:pStyle w:val="Heading2"/>
      </w:pPr>
      <w:bookmarkStart w:id="75" w:name="_Toc462755739"/>
      <w:r>
        <w:t>Reasons for draft decision</w:t>
      </w:r>
      <w:bookmarkEnd w:id="75"/>
    </w:p>
    <w:p w:rsidR="00132D43" w:rsidRDefault="00B04797" w:rsidP="00B04797">
      <w:pPr>
        <w:pStyle w:val="TOC1"/>
      </w:pPr>
      <w:r>
        <w:t>Negotiating framework</w:t>
      </w:r>
    </w:p>
    <w:p w:rsidR="004F3192" w:rsidRPr="004F3192" w:rsidRDefault="004F3192" w:rsidP="004F3192">
      <w:r>
        <w:t>Our draft decision is to</w:t>
      </w:r>
      <w:r w:rsidRPr="004F3192">
        <w:t xml:space="preserve"> approve </w:t>
      </w:r>
      <w:r>
        <w:t>TasNetworks'</w:t>
      </w:r>
      <w:r w:rsidRPr="004F3192">
        <w:t xml:space="preserve"> proposed negotiating framework because it specifies the mi</w:t>
      </w:r>
      <w:r>
        <w:t>nimum requirements of the NER</w:t>
      </w:r>
      <w:r w:rsidR="00E96B5E">
        <w:t xml:space="preserve"> as it needs to do to be compliant</w:t>
      </w:r>
      <w:r>
        <w:t xml:space="preserve">. </w:t>
      </w:r>
      <w:r w:rsidRPr="004F3192">
        <w:t xml:space="preserve">Those requirements include, among other things, a statement that a distributor will negotiate in good faith and a process for dealing with disputes. </w:t>
      </w:r>
      <w:r w:rsidR="00CE2B0F">
        <w:t xml:space="preserve">We note that TasNetworks' proposed negotiating framework is unchanged from its current negotiating framework, other than substituting the business name 'TasNetworks' for the now out of date 'Aurora'. </w:t>
      </w:r>
    </w:p>
    <w:p w:rsidR="00B04797" w:rsidRDefault="004F3192" w:rsidP="00B04797">
      <w:r w:rsidRPr="004F3192">
        <w:t xml:space="preserve">Table 17.1 summarises our assessment of </w:t>
      </w:r>
      <w:r>
        <w:t>TasNetworks'</w:t>
      </w:r>
      <w:r w:rsidRPr="004F3192">
        <w:t xml:space="preserve"> proposed negotiating framework. It indicates where in </w:t>
      </w:r>
      <w:r>
        <w:t>TasNetworks'</w:t>
      </w:r>
      <w:r w:rsidRPr="004F3192">
        <w:t xml:space="preserve"> negotiating framework the relevant NER requirements are addressed. Our view is that each of the NER requirements for a negotiated framework is satisfactorily addressed.</w:t>
      </w:r>
      <w:r w:rsidR="00CE2B0F">
        <w:t xml:space="preserve"> </w:t>
      </w:r>
    </w:p>
    <w:p w:rsidR="00E513CC" w:rsidRDefault="00E513CC" w:rsidP="00E513CC">
      <w:pPr>
        <w:pStyle w:val="Caption"/>
      </w:pPr>
      <w:r>
        <w:t xml:space="preserve">Table </w:t>
      </w:r>
      <w:fldSimple w:instr=" SEQ Table \* ARABIC ">
        <w:r w:rsidR="00377AAC">
          <w:rPr>
            <w:noProof/>
          </w:rPr>
          <w:t>1</w:t>
        </w:r>
      </w:fldSimple>
      <w:r>
        <w:tab/>
        <w:t>AER's assessment of TasNetworks' revised proposed negotiating framework</w:t>
      </w:r>
    </w:p>
    <w:tbl>
      <w:tblPr>
        <w:tblStyle w:val="AERtable-text0"/>
        <w:tblW w:w="0" w:type="auto"/>
        <w:tblLook w:val="04A0" w:firstRow="1" w:lastRow="0" w:firstColumn="1" w:lastColumn="0" w:noHBand="0" w:noVBand="1"/>
      </w:tblPr>
      <w:tblGrid>
        <w:gridCol w:w="5721"/>
        <w:gridCol w:w="2972"/>
      </w:tblGrid>
      <w:tr w:rsidR="00E513CC" w:rsidRPr="00B04797" w:rsidTr="00D348B1">
        <w:trPr>
          <w:cnfStyle w:val="100000000000" w:firstRow="1" w:lastRow="0" w:firstColumn="0" w:lastColumn="0" w:oddVBand="0" w:evenVBand="0" w:oddHBand="0" w:evenHBand="0" w:firstRowFirstColumn="0" w:firstRowLastColumn="0" w:lastRowFirstColumn="0" w:lastRowLastColumn="0"/>
        </w:trPr>
        <w:tc>
          <w:tcPr>
            <w:tcW w:w="5721" w:type="dxa"/>
          </w:tcPr>
          <w:p w:rsidR="00E513CC" w:rsidRPr="00B04797" w:rsidRDefault="00E513CC" w:rsidP="00E513CC">
            <w:pPr>
              <w:numPr>
                <w:ilvl w:val="0"/>
                <w:numId w:val="24"/>
              </w:numPr>
            </w:pPr>
            <w:r w:rsidRPr="00B04797">
              <w:t xml:space="preserve">NER requirements </w:t>
            </w:r>
          </w:p>
        </w:tc>
        <w:tc>
          <w:tcPr>
            <w:tcW w:w="2972" w:type="dxa"/>
          </w:tcPr>
          <w:p w:rsidR="00E513CC" w:rsidRPr="00B04797" w:rsidRDefault="00E513CC" w:rsidP="00E513CC">
            <w:pPr>
              <w:numPr>
                <w:ilvl w:val="0"/>
                <w:numId w:val="24"/>
              </w:numPr>
            </w:pPr>
            <w:r>
              <w:t xml:space="preserve">Requirement addressed in TasNetworks' </w:t>
            </w:r>
            <w:r w:rsidRPr="00B04797">
              <w:t>negotiating framework</w:t>
            </w:r>
          </w:p>
        </w:tc>
      </w:tr>
      <w:tr w:rsidR="00E513CC" w:rsidRPr="00B04797" w:rsidTr="00D348B1">
        <w:tc>
          <w:tcPr>
            <w:tcW w:w="5721" w:type="dxa"/>
          </w:tcPr>
          <w:p w:rsidR="00E513CC" w:rsidRPr="00E513CC" w:rsidRDefault="00E513CC" w:rsidP="00E513CC">
            <w:r w:rsidRPr="00B04797">
              <w:t>Requirement for a distributor and applicant</w:t>
            </w:r>
            <w:r w:rsidRPr="00E513CC">
              <w:footnoteReference w:id="5"/>
            </w:r>
            <w:r w:rsidRPr="00E513CC">
              <w:t xml:space="preserve"> to negotiate in good faith— cl. 6.7.5(c)(1)</w:t>
            </w:r>
          </w:p>
        </w:tc>
        <w:tc>
          <w:tcPr>
            <w:tcW w:w="2972" w:type="dxa"/>
          </w:tcPr>
          <w:p w:rsidR="00E513CC" w:rsidRPr="00E513CC" w:rsidRDefault="00E513CC" w:rsidP="00E513CC">
            <w:r w:rsidRPr="00B04797">
              <w:t xml:space="preserve">Section </w:t>
            </w:r>
            <w:r w:rsidRPr="00E513CC">
              <w:t>4 of TasNetworks' framework</w:t>
            </w:r>
          </w:p>
        </w:tc>
      </w:tr>
      <w:tr w:rsidR="00E513CC" w:rsidRPr="00B04797" w:rsidTr="00D348B1">
        <w:trPr>
          <w:cnfStyle w:val="000000010000" w:firstRow="0" w:lastRow="0" w:firstColumn="0" w:lastColumn="0" w:oddVBand="0" w:evenVBand="0" w:oddHBand="0" w:evenHBand="1" w:firstRowFirstColumn="0" w:firstRowLastColumn="0" w:lastRowFirstColumn="0" w:lastRowLastColumn="0"/>
        </w:trPr>
        <w:tc>
          <w:tcPr>
            <w:tcW w:w="5721" w:type="dxa"/>
          </w:tcPr>
          <w:p w:rsidR="00E513CC" w:rsidRPr="00E513CC" w:rsidRDefault="00E513CC" w:rsidP="00E513CC">
            <w:r w:rsidRPr="00B04797">
              <w:t>Requirement for a distributor</w:t>
            </w:r>
            <w:r w:rsidRPr="00E513CC">
              <w:t xml:space="preserve"> to provide all such commercial information reasonably required to enable the applicant of a negotiated distribution service to engage in effective negotiations— cl. 6.7.5(c)(2)</w:t>
            </w:r>
          </w:p>
        </w:tc>
        <w:tc>
          <w:tcPr>
            <w:tcW w:w="2972" w:type="dxa"/>
          </w:tcPr>
          <w:p w:rsidR="00E513CC" w:rsidRPr="00E513CC" w:rsidRDefault="00E513CC" w:rsidP="00E513CC">
            <w:r>
              <w:t xml:space="preserve">Section </w:t>
            </w:r>
            <w:r w:rsidRPr="00E513CC">
              <w:t>5 of TasNetworks' framework</w:t>
            </w:r>
          </w:p>
        </w:tc>
      </w:tr>
      <w:tr w:rsidR="00E513CC" w:rsidRPr="00B04797" w:rsidTr="00D348B1">
        <w:tc>
          <w:tcPr>
            <w:tcW w:w="5721" w:type="dxa"/>
          </w:tcPr>
          <w:p w:rsidR="00E513CC" w:rsidRPr="00E513CC" w:rsidRDefault="00E513CC" w:rsidP="00E513CC">
            <w:r w:rsidRPr="00B04797">
              <w:t>Requirement for a distributor to identify and inform the applicant of the reasonable costs of providing the negotiated service; demonstrate the charges reflect costs and have appropriate arrangements for assessment and review of the charges and the basis on which they are made— cl. 6.7.5(c)(3)</w:t>
            </w:r>
          </w:p>
        </w:tc>
        <w:tc>
          <w:tcPr>
            <w:tcW w:w="2972" w:type="dxa"/>
          </w:tcPr>
          <w:p w:rsidR="00E513CC" w:rsidRPr="00E513CC" w:rsidRDefault="00E513CC" w:rsidP="00E513CC">
            <w:r>
              <w:t xml:space="preserve">Section </w:t>
            </w:r>
            <w:r w:rsidRPr="00E513CC">
              <w:t>5 of TasNetworks' framework</w:t>
            </w:r>
          </w:p>
        </w:tc>
      </w:tr>
      <w:tr w:rsidR="00E513CC" w:rsidRPr="00B04797" w:rsidTr="00D348B1">
        <w:trPr>
          <w:cnfStyle w:val="000000010000" w:firstRow="0" w:lastRow="0" w:firstColumn="0" w:lastColumn="0" w:oddVBand="0" w:evenVBand="0" w:oddHBand="0" w:evenHBand="1" w:firstRowFirstColumn="0" w:firstRowLastColumn="0" w:lastRowFirstColumn="0" w:lastRowLastColumn="0"/>
        </w:trPr>
        <w:tc>
          <w:tcPr>
            <w:tcW w:w="5721" w:type="dxa"/>
          </w:tcPr>
          <w:p w:rsidR="00E513CC" w:rsidRPr="00E513CC" w:rsidRDefault="00E513CC" w:rsidP="00E513CC">
            <w:r w:rsidRPr="00B04797">
              <w:t>Requirement for the applicant to provide all such commercial information reasonably required for a distributor to engage in effective negotiation— cl. 6.7.5(c)(4)</w:t>
            </w:r>
          </w:p>
        </w:tc>
        <w:tc>
          <w:tcPr>
            <w:tcW w:w="2972" w:type="dxa"/>
          </w:tcPr>
          <w:p w:rsidR="00E513CC" w:rsidRPr="00E513CC" w:rsidRDefault="00E513CC" w:rsidP="00E513CC">
            <w:r>
              <w:t xml:space="preserve">Section </w:t>
            </w:r>
            <w:r w:rsidRPr="00E513CC">
              <w:t>6 of TasNetworks' framework</w:t>
            </w:r>
          </w:p>
        </w:tc>
      </w:tr>
      <w:tr w:rsidR="00E513CC" w:rsidRPr="00B04797" w:rsidTr="00D348B1">
        <w:tc>
          <w:tcPr>
            <w:tcW w:w="5721" w:type="dxa"/>
          </w:tcPr>
          <w:p w:rsidR="00E513CC" w:rsidRPr="00E513CC" w:rsidRDefault="00E513CC" w:rsidP="00E513CC">
            <w:r w:rsidRPr="00B04797">
              <w:t>Requirement to specify a reasonable period of time for commencing, progressing and finalising negotiations; and a requirement for each party to use their reasonable endeavours to adhere to those time periods during the negotiation— cl. 6.7.5(c)(5)</w:t>
            </w:r>
          </w:p>
        </w:tc>
        <w:tc>
          <w:tcPr>
            <w:tcW w:w="2972" w:type="dxa"/>
          </w:tcPr>
          <w:p w:rsidR="00E513CC" w:rsidRPr="00E513CC" w:rsidRDefault="00E513CC" w:rsidP="00E513CC">
            <w:r>
              <w:t>Section</w:t>
            </w:r>
            <w:r w:rsidR="005754F3">
              <w:t>s</w:t>
            </w:r>
            <w:r>
              <w:t xml:space="preserve"> </w:t>
            </w:r>
            <w:r w:rsidRPr="00E513CC">
              <w:t xml:space="preserve">8 </w:t>
            </w:r>
            <w:r w:rsidR="005754F3">
              <w:t xml:space="preserve">and 9 </w:t>
            </w:r>
            <w:r w:rsidRPr="00E513CC">
              <w:t>of TasNetworks' framework</w:t>
            </w:r>
          </w:p>
        </w:tc>
      </w:tr>
      <w:tr w:rsidR="00E513CC" w:rsidRPr="00B04797" w:rsidTr="00D348B1">
        <w:trPr>
          <w:cnfStyle w:val="000000010000" w:firstRow="0" w:lastRow="0" w:firstColumn="0" w:lastColumn="0" w:oddVBand="0" w:evenVBand="0" w:oddHBand="0" w:evenHBand="1" w:firstRowFirstColumn="0" w:firstRowLastColumn="0" w:lastRowFirstColumn="0" w:lastRowLastColumn="0"/>
        </w:trPr>
        <w:tc>
          <w:tcPr>
            <w:tcW w:w="5721" w:type="dxa"/>
          </w:tcPr>
          <w:p w:rsidR="00E513CC" w:rsidRPr="00E513CC" w:rsidRDefault="00E513CC" w:rsidP="00E513CC">
            <w:r w:rsidRPr="00B04797">
              <w:t>Requirement to specify a process for dispute resolution in accordance with the relevant provisions for dispute resolution— cl. 6.7.5(c)(6)</w:t>
            </w:r>
          </w:p>
        </w:tc>
        <w:tc>
          <w:tcPr>
            <w:tcW w:w="2972" w:type="dxa"/>
          </w:tcPr>
          <w:p w:rsidR="00E513CC" w:rsidRPr="00E513CC" w:rsidRDefault="00E513CC" w:rsidP="00E513CC">
            <w:r>
              <w:t xml:space="preserve">Section </w:t>
            </w:r>
            <w:r w:rsidRPr="00E513CC">
              <w:t>10 of TasNetworks' framework</w:t>
            </w:r>
          </w:p>
        </w:tc>
      </w:tr>
      <w:tr w:rsidR="00E513CC" w:rsidRPr="00B04797" w:rsidTr="00D348B1">
        <w:tc>
          <w:tcPr>
            <w:tcW w:w="5721" w:type="dxa"/>
          </w:tcPr>
          <w:p w:rsidR="00E513CC" w:rsidRPr="00E513CC" w:rsidRDefault="00E513CC" w:rsidP="00E513CC">
            <w:r w:rsidRPr="00B04797">
              <w:t>Requirements to specify arrangements for the payment of a distributor's reasonable direct expenses incurred in processing the application to provide the negotiated distribution service— cl. 6.7.5(c)(7)</w:t>
            </w:r>
          </w:p>
        </w:tc>
        <w:tc>
          <w:tcPr>
            <w:tcW w:w="2972" w:type="dxa"/>
          </w:tcPr>
          <w:p w:rsidR="00E513CC" w:rsidRPr="00E513CC" w:rsidRDefault="00E513CC" w:rsidP="00E513CC">
            <w:r>
              <w:t xml:space="preserve">Section </w:t>
            </w:r>
            <w:r w:rsidRPr="00E513CC">
              <w:t>11 of TasNetworks' framework</w:t>
            </w:r>
          </w:p>
        </w:tc>
      </w:tr>
      <w:tr w:rsidR="00E513CC" w:rsidRPr="00B04797" w:rsidTr="00D348B1">
        <w:trPr>
          <w:cnfStyle w:val="000000010000" w:firstRow="0" w:lastRow="0" w:firstColumn="0" w:lastColumn="0" w:oddVBand="0" w:evenVBand="0" w:oddHBand="0" w:evenHBand="1" w:firstRowFirstColumn="0" w:firstRowLastColumn="0" w:lastRowFirstColumn="0" w:lastRowLastColumn="0"/>
        </w:trPr>
        <w:tc>
          <w:tcPr>
            <w:tcW w:w="5721" w:type="dxa"/>
          </w:tcPr>
          <w:p w:rsidR="00E513CC" w:rsidRPr="00E513CC" w:rsidRDefault="00E513CC" w:rsidP="00E513CC">
            <w:r w:rsidRPr="00B04797">
              <w:t>Requirement for a distributor to determine the potential impact of the provision of a negotiated distribution service on other distribution network users— cl. 6.7.5(c)(8)</w:t>
            </w:r>
          </w:p>
        </w:tc>
        <w:tc>
          <w:tcPr>
            <w:tcW w:w="2972" w:type="dxa"/>
          </w:tcPr>
          <w:p w:rsidR="00E513CC" w:rsidRPr="00E513CC" w:rsidRDefault="00E513CC" w:rsidP="00E513CC">
            <w:r>
              <w:t xml:space="preserve">Section </w:t>
            </w:r>
            <w:r w:rsidRPr="00E513CC">
              <w:t>12 of TasNetworks' framework</w:t>
            </w:r>
          </w:p>
        </w:tc>
      </w:tr>
      <w:tr w:rsidR="00E513CC" w:rsidRPr="00B04797" w:rsidTr="00D348B1">
        <w:tc>
          <w:tcPr>
            <w:tcW w:w="5721" w:type="dxa"/>
          </w:tcPr>
          <w:p w:rsidR="00E513CC" w:rsidRPr="00E513CC" w:rsidRDefault="00E513CC" w:rsidP="00E513CC">
            <w:r w:rsidRPr="00B04797">
              <w:t xml:space="preserve">Requirement for a distributor to notify and consult with any affected distribution network user and ensure that </w:t>
            </w:r>
            <w:r w:rsidR="002F1BB6">
              <w:t>the provision of the negotiated</w:t>
            </w:r>
            <w:r w:rsidRPr="00B04797">
              <w:t xml:space="preserve"> distribution service does not result in noncompliance with obligations in relation to other network </w:t>
            </w:r>
            <w:r w:rsidRPr="00E513CC">
              <w:t>users under the NER— cl. 6.7.5(c)(9)</w:t>
            </w:r>
          </w:p>
        </w:tc>
        <w:tc>
          <w:tcPr>
            <w:tcW w:w="2972" w:type="dxa"/>
          </w:tcPr>
          <w:p w:rsidR="00E513CC" w:rsidRPr="00E513CC" w:rsidRDefault="00E513CC" w:rsidP="00E513CC">
            <w:r>
              <w:t xml:space="preserve">Section </w:t>
            </w:r>
            <w:r w:rsidRPr="00E513CC">
              <w:t>12 of TasNetworks' framework</w:t>
            </w:r>
          </w:p>
        </w:tc>
      </w:tr>
      <w:tr w:rsidR="00E513CC" w:rsidRPr="00B04797" w:rsidTr="00D348B1">
        <w:trPr>
          <w:cnfStyle w:val="000000010000" w:firstRow="0" w:lastRow="0" w:firstColumn="0" w:lastColumn="0" w:oddVBand="0" w:evenVBand="0" w:oddHBand="0" w:evenHBand="1" w:firstRowFirstColumn="0" w:firstRowLastColumn="0" w:lastRowFirstColumn="0" w:lastRowLastColumn="0"/>
        </w:trPr>
        <w:tc>
          <w:tcPr>
            <w:tcW w:w="5721" w:type="dxa"/>
          </w:tcPr>
          <w:p w:rsidR="00E513CC" w:rsidRPr="00E513CC" w:rsidRDefault="00E513CC" w:rsidP="00E513CC">
            <w:r w:rsidRPr="00B04797">
              <w:t>Requirement that the distributor publish the results of negotiations on its website</w:t>
            </w:r>
            <w:r w:rsidRPr="00E513CC">
              <w:t xml:space="preserve"> − cl. 6.7.5(c)(10)</w:t>
            </w:r>
          </w:p>
        </w:tc>
        <w:tc>
          <w:tcPr>
            <w:tcW w:w="2972" w:type="dxa"/>
          </w:tcPr>
          <w:p w:rsidR="00E513CC" w:rsidRPr="00E513CC" w:rsidRDefault="00E513CC" w:rsidP="00E513CC">
            <w:r w:rsidRPr="00B04797">
              <w:t xml:space="preserve">Section </w:t>
            </w:r>
            <w:r w:rsidRPr="00E513CC">
              <w:t>13 of TasNetworks' framework</w:t>
            </w:r>
          </w:p>
        </w:tc>
      </w:tr>
    </w:tbl>
    <w:p w:rsidR="00E513CC" w:rsidRDefault="00E513CC" w:rsidP="00B04797"/>
    <w:p w:rsidR="00E513CC" w:rsidRPr="00E513CC" w:rsidRDefault="00E513CC" w:rsidP="00E513CC">
      <w:pPr>
        <w:pStyle w:val="TOC1"/>
      </w:pPr>
      <w:r w:rsidRPr="00E513CC">
        <w:t>Negotiated distribution services criteria</w:t>
      </w:r>
    </w:p>
    <w:p w:rsidR="00E513CC" w:rsidRPr="00E513CC" w:rsidRDefault="0002458F" w:rsidP="000455EB">
      <w:r w:rsidRPr="000455EB">
        <w:t>In February 2016</w:t>
      </w:r>
      <w:r w:rsidR="00E513CC" w:rsidRPr="000455EB">
        <w:t xml:space="preserve"> we published an invitation for submissions on our proposed NDSC for </w:t>
      </w:r>
      <w:r w:rsidRPr="000455EB">
        <w:t>TasNetworks</w:t>
      </w:r>
      <w:r w:rsidR="00E513CC" w:rsidRPr="000455EB">
        <w:t>.</w:t>
      </w:r>
      <w:r w:rsidRPr="000455EB">
        <w:rPr>
          <w:rStyle w:val="FootnoteReference"/>
        </w:rPr>
        <w:footnoteReference w:id="6"/>
      </w:r>
      <w:r w:rsidR="00E513CC" w:rsidRPr="000455EB">
        <w:rPr>
          <w:rStyle w:val="FootnoteReference"/>
        </w:rPr>
        <w:t xml:space="preserve"> </w:t>
      </w:r>
      <w:r w:rsidR="00E513CC" w:rsidRPr="000455EB">
        <w:t>We did not receive any submissions in response to our proposed NDSC.</w:t>
      </w:r>
      <w:r w:rsidR="00E513CC" w:rsidRPr="00E513CC">
        <w:t xml:space="preserve"> The NDSC we have decided to apply to </w:t>
      </w:r>
      <w:r w:rsidR="004F3192">
        <w:t>TasNetworks</w:t>
      </w:r>
      <w:r w:rsidR="00E513CC" w:rsidRPr="00E513CC">
        <w:t xml:space="preserve"> </w:t>
      </w:r>
      <w:r w:rsidR="00E96B5E">
        <w:t>has the following components</w:t>
      </w:r>
      <w:r w:rsidR="00E513CC" w:rsidRPr="00E513CC">
        <w:t>:</w:t>
      </w:r>
    </w:p>
    <w:p w:rsidR="00E513CC" w:rsidRPr="00E513CC" w:rsidRDefault="00E513CC" w:rsidP="00E513CC">
      <w:pPr>
        <w:pStyle w:val="HeadingBoldItalic"/>
      </w:pPr>
      <w:r w:rsidRPr="00E513CC">
        <w:t>National Electricity Objective</w:t>
      </w:r>
    </w:p>
    <w:p w:rsidR="00E513CC" w:rsidRPr="00E513CC" w:rsidRDefault="00E513CC" w:rsidP="009F2D81">
      <w:pPr>
        <w:ind w:left="357"/>
      </w:pPr>
      <w:r w:rsidRPr="00E513CC">
        <w:t>The terms and conditions of access for a negotiated distribution service, including the price that is to be charged for the provision of that service and any access charges, should promote the achievement of the national electricity objective.</w:t>
      </w:r>
    </w:p>
    <w:p w:rsidR="00E513CC" w:rsidRPr="00E513CC" w:rsidRDefault="00E513CC" w:rsidP="00E513CC">
      <w:pPr>
        <w:pStyle w:val="HeadingBoldItalic"/>
      </w:pPr>
      <w:r w:rsidRPr="00E513CC">
        <w:t>Criteria for terms and conditions of access</w:t>
      </w:r>
    </w:p>
    <w:p w:rsidR="00E513CC" w:rsidRPr="00E513CC" w:rsidRDefault="00E513CC" w:rsidP="00E513CC">
      <w:pPr>
        <w:pStyle w:val="HeadingItalic"/>
      </w:pPr>
      <w:r w:rsidRPr="00E513CC">
        <w:t>Terms and Conditions of Access</w:t>
      </w:r>
    </w:p>
    <w:p w:rsidR="00E513CC" w:rsidRPr="00E513CC" w:rsidRDefault="00E513CC" w:rsidP="00E513CC">
      <w:pPr>
        <w:numPr>
          <w:ilvl w:val="1"/>
          <w:numId w:val="24"/>
        </w:numPr>
      </w:pPr>
      <w:r w:rsidRPr="00E513CC">
        <w:t>The terms and conditions of access for a negotiated distribution service must be fair and reasonable and consistent with the safe and reliable operation of the power system in accordance with the NER.</w:t>
      </w:r>
    </w:p>
    <w:p w:rsidR="00E513CC" w:rsidRPr="00E513CC" w:rsidRDefault="00E513CC" w:rsidP="00E513CC">
      <w:pPr>
        <w:numPr>
          <w:ilvl w:val="1"/>
          <w:numId w:val="24"/>
        </w:numPr>
      </w:pPr>
      <w:r w:rsidRPr="00E513CC">
        <w:t>The terms and conditions of access for a negotiated distribution service (including in particular, any exclusions and limitations of liability and indemnities) must not be unreasonably onerous taking into account the allocation of risk between a distributor and any other party, the price for the negotiated distribution service and the costs to a distributor of providing the negotiated distribution service.</w:t>
      </w:r>
    </w:p>
    <w:p w:rsidR="00E513CC" w:rsidRPr="00E513CC" w:rsidRDefault="00E513CC" w:rsidP="00E513CC">
      <w:pPr>
        <w:numPr>
          <w:ilvl w:val="1"/>
          <w:numId w:val="24"/>
        </w:numPr>
      </w:pPr>
      <w:r w:rsidRPr="00E513CC">
        <w:t>The terms and conditions of access for a negotiated distribution service must take into account the need for the service to be provided in a manner that does not adversely affect the safe and reliable operation of the power system in accordance with the NER.</w:t>
      </w:r>
    </w:p>
    <w:p w:rsidR="00E513CC" w:rsidRPr="00E513CC" w:rsidRDefault="00E513CC" w:rsidP="00E513CC">
      <w:pPr>
        <w:pStyle w:val="HeadingItalic"/>
      </w:pPr>
      <w:r w:rsidRPr="00E513CC">
        <w:t>Price of Services</w:t>
      </w:r>
    </w:p>
    <w:p w:rsidR="00E513CC" w:rsidRPr="00E513CC" w:rsidRDefault="00E513CC" w:rsidP="00E513CC">
      <w:pPr>
        <w:numPr>
          <w:ilvl w:val="1"/>
          <w:numId w:val="24"/>
        </w:numPr>
      </w:pPr>
      <w:r w:rsidRPr="00E513CC">
        <w:t>The price for a negotiated distribution service must reflect the costs that a distributor has incurred or incurs in providing that service, and must be determined in accordance with the principles and policies set out in the relevant Cost Allocation Method.</w:t>
      </w:r>
    </w:p>
    <w:p w:rsidR="00E513CC" w:rsidRPr="00E513CC" w:rsidRDefault="00E513CC" w:rsidP="00E513CC">
      <w:pPr>
        <w:numPr>
          <w:ilvl w:val="1"/>
          <w:numId w:val="24"/>
        </w:numPr>
      </w:pPr>
      <w:r w:rsidRPr="00E513CC">
        <w:t>Subject to criteria 7 and 8, the price for a negotiated distribution service must be at least equal to the cost that would be avoided by not providing that service but no more than the cost of providing it on a stand-alone basis.</w:t>
      </w:r>
    </w:p>
    <w:p w:rsidR="00E513CC" w:rsidRPr="00E513CC" w:rsidRDefault="00E513CC" w:rsidP="00E513CC">
      <w:pPr>
        <w:numPr>
          <w:ilvl w:val="1"/>
          <w:numId w:val="24"/>
        </w:numPr>
      </w:pPr>
      <w:r w:rsidRPr="00E513CC">
        <w:t>If a negotiated distribution service is a shared distribution service that:</w:t>
      </w:r>
    </w:p>
    <w:p w:rsidR="00E513CC" w:rsidRPr="00E513CC" w:rsidRDefault="00E513CC" w:rsidP="00E513CC">
      <w:pPr>
        <w:numPr>
          <w:ilvl w:val="3"/>
          <w:numId w:val="24"/>
        </w:numPr>
      </w:pPr>
      <w:r w:rsidRPr="00E513CC">
        <w:t>exceeds any network performance requirements which it is required to meet under any relevant electricity legislation: or</w:t>
      </w:r>
    </w:p>
    <w:p w:rsidR="00E513CC" w:rsidRPr="00E513CC" w:rsidRDefault="00E513CC" w:rsidP="00E513CC">
      <w:pPr>
        <w:numPr>
          <w:ilvl w:val="3"/>
          <w:numId w:val="24"/>
        </w:numPr>
      </w:pPr>
      <w:r w:rsidRPr="00E513CC">
        <w:t>exceeds the network performance requirements set out in schedule 5.1a and 5.1 of the NER,</w:t>
      </w:r>
    </w:p>
    <w:p w:rsidR="00E513CC" w:rsidRPr="00E513CC" w:rsidRDefault="00E513CC" w:rsidP="000306A1">
      <w:pPr>
        <w:pStyle w:val="ListContinue"/>
      </w:pPr>
      <w:r w:rsidRPr="00E513CC">
        <w:t>then the difference between the price for that service and the price for the shared distribution service which meets network performance requirements must reflect a distributor’s incremental cost of providing that service (as appropriate).</w:t>
      </w:r>
    </w:p>
    <w:p w:rsidR="00E513CC" w:rsidRPr="00E513CC" w:rsidRDefault="00E513CC" w:rsidP="00E513CC">
      <w:pPr>
        <w:numPr>
          <w:ilvl w:val="1"/>
          <w:numId w:val="24"/>
        </w:numPr>
      </w:pPr>
      <w:r w:rsidRPr="00E513CC">
        <w:t>If a negotiated distribution service is the provision of a shared distribution service that does not meet or exceed the network performance requirements, the difference between the price for that service and the price for the shared distribution service which meets, but does not exceed, the network performance requirements should reflect the cost a distributor would avoid by not providing that service (as appropriate).</w:t>
      </w:r>
    </w:p>
    <w:p w:rsidR="00E513CC" w:rsidRPr="00E513CC" w:rsidRDefault="00E513CC" w:rsidP="00E513CC">
      <w:pPr>
        <w:numPr>
          <w:ilvl w:val="1"/>
          <w:numId w:val="24"/>
        </w:numPr>
      </w:pPr>
      <w:r w:rsidRPr="00E513CC">
        <w:t>The price for a negotiated distribution service must be the same for all Distribution Network Users unless there is a material difference in the costs of providing the negotiated distribution service to different Distribution Network Users or classes of Distribution Network Users.</w:t>
      </w:r>
    </w:p>
    <w:p w:rsidR="00E513CC" w:rsidRPr="00E513CC" w:rsidRDefault="00E513CC" w:rsidP="00E513CC">
      <w:pPr>
        <w:numPr>
          <w:ilvl w:val="1"/>
          <w:numId w:val="24"/>
        </w:numPr>
      </w:pPr>
      <w:r w:rsidRPr="00E513CC">
        <w:t>The price for a negotiated distribution service must be subject to adjustment over time to the extent that the assets used to provide that service are subsequently used to provide services to another person, in which case such adjustment must reflect the extent to which the costs of that asset are being recovered through charges to that other person.</w:t>
      </w:r>
    </w:p>
    <w:p w:rsidR="00E513CC" w:rsidRPr="00E513CC" w:rsidRDefault="00E513CC" w:rsidP="00E513CC">
      <w:pPr>
        <w:numPr>
          <w:ilvl w:val="1"/>
          <w:numId w:val="24"/>
        </w:numPr>
      </w:pPr>
      <w:r w:rsidRPr="00E513CC">
        <w:t>The price for a negotiated distribution service must be such as to enable a DNSP to recover the efficient costs of complying with all regulatory obligations or requirements associated with the provision of the negotiated service.</w:t>
      </w:r>
    </w:p>
    <w:p w:rsidR="00E513CC" w:rsidRPr="00E513CC" w:rsidRDefault="00E513CC" w:rsidP="00E513CC">
      <w:pPr>
        <w:pStyle w:val="HeadingBoldItalic"/>
      </w:pPr>
      <w:r w:rsidRPr="00E513CC">
        <w:t>Criteria for access charges</w:t>
      </w:r>
    </w:p>
    <w:p w:rsidR="00E513CC" w:rsidRPr="00E513CC" w:rsidRDefault="00E513CC" w:rsidP="00E513CC">
      <w:pPr>
        <w:pStyle w:val="HeadingItalic"/>
      </w:pPr>
      <w:r w:rsidRPr="00E513CC">
        <w:t>Access Charges</w:t>
      </w:r>
    </w:p>
    <w:p w:rsidR="00E513CC" w:rsidRPr="00E513CC" w:rsidRDefault="00E513CC" w:rsidP="00E513CC">
      <w:pPr>
        <w:numPr>
          <w:ilvl w:val="1"/>
          <w:numId w:val="24"/>
        </w:numPr>
      </w:pPr>
      <w:r w:rsidRPr="00E513CC">
        <w:t>Any charges must be based on costs reasonably incurred by a distributor in providing distribution network user access, and, in the case of compensation referred to in clauses 5.5(f)(4)(ii) and (iii) of the NER, on the revenue that is likely to be foregone and the costs that are likely to be incurred by a person referred to in those provisions where an event referred to in those provisions occurs (as appropriate).</w:t>
      </w:r>
    </w:p>
    <w:p w:rsidR="00E513CC" w:rsidRPr="00E513CC" w:rsidRDefault="00E513CC" w:rsidP="00E513CC">
      <w:pPr>
        <w:numPr>
          <w:ilvl w:val="1"/>
          <w:numId w:val="24"/>
        </w:numPr>
      </w:pPr>
      <w:r w:rsidRPr="00E513CC">
        <w:t>Any charges must be based on costs reasonably incurred by a distributor in providing transmission network user access to services deemed to be negotiated distribution services by clause 6.24.2(c) of the NER, and, in the case of compensation referred to in clauses 5.4A(h) to (j) of the NER, on the revenue that is likely to be foregone and the costs that are likely to be incurred by a person referred to in those provisions where an event referred to in those provisions occurs (as appropriate).</w:t>
      </w:r>
    </w:p>
    <w:p w:rsidR="00E513CC" w:rsidRPr="00E513CC" w:rsidRDefault="00E513CC" w:rsidP="001056C9">
      <w:pPr>
        <w:numPr>
          <w:ilvl w:val="0"/>
          <w:numId w:val="24"/>
        </w:numPr>
      </w:pPr>
      <w:r w:rsidRPr="00E513CC">
        <w:t xml:space="preserve">This attachment sets out our constituent decisions on the negotiating framework and NDSC to apply to </w:t>
      </w:r>
      <w:r>
        <w:t>TasNetworks</w:t>
      </w:r>
      <w:r w:rsidRPr="00E513CC">
        <w:t xml:space="preserve"> for the </w:t>
      </w:r>
      <w:r w:rsidR="001056C9" w:rsidRPr="001056C9">
        <w:t>2017−18 to 2018−19</w:t>
      </w:r>
      <w:r w:rsidRPr="00E513CC">
        <w:t xml:space="preserve"> regulatory control period. </w:t>
      </w:r>
    </w:p>
    <w:p w:rsidR="00E513CC" w:rsidRDefault="00E513CC" w:rsidP="00B04797"/>
    <w:p w:rsidR="00E513CC" w:rsidRDefault="00E513CC" w:rsidP="00B04797"/>
    <w:p w:rsidR="00E513CC" w:rsidRDefault="00E513CC" w:rsidP="00B04797"/>
    <w:p w:rsidR="00E513CC" w:rsidRDefault="00E513CC" w:rsidP="00B04797"/>
    <w:p w:rsidR="00E513CC" w:rsidRDefault="00E513CC" w:rsidP="00B04797"/>
    <w:p w:rsidR="00E513CC" w:rsidRDefault="00E513CC" w:rsidP="00B04797"/>
    <w:p w:rsidR="00B04797" w:rsidRDefault="00B04797" w:rsidP="00B04797"/>
    <w:p w:rsidR="00E513CC" w:rsidRDefault="00E513CC" w:rsidP="00B04797"/>
    <w:p w:rsidR="00132D43" w:rsidRDefault="005B1E81" w:rsidP="00132D43">
      <w:pPr>
        <w:pStyle w:val="Heading7"/>
      </w:pPr>
      <w:bookmarkStart w:id="76" w:name="_Toc462755740"/>
      <w:r>
        <w:t>TasNetworks' negotiating framework</w:t>
      </w:r>
      <w:bookmarkEnd w:id="76"/>
    </w:p>
    <w:p w:rsidR="00E513CC" w:rsidRDefault="0007189A" w:rsidP="00E513CC">
      <w:r w:rsidRPr="0007189A">
        <w:rPr>
          <w:noProof/>
          <w:lang w:eastAsia="en-AU"/>
        </w:rPr>
        <w:drawing>
          <wp:inline distT="0" distB="0" distL="0" distR="0" wp14:anchorId="5DFFFC9A" wp14:editId="408A8C38">
            <wp:extent cx="5382895" cy="7604123"/>
            <wp:effectExtent l="0" t="0" r="825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5382895" cy="7604123"/>
                    </a:xfrm>
                    <a:prstGeom prst="rect">
                      <a:avLst/>
                    </a:prstGeom>
                  </pic:spPr>
                </pic:pic>
              </a:graphicData>
            </a:graphic>
          </wp:inline>
        </w:drawing>
      </w:r>
    </w:p>
    <w:p w:rsidR="00E24137" w:rsidRDefault="00E24137" w:rsidP="00E513CC"/>
    <w:p w:rsidR="00E24137" w:rsidRDefault="00E24137" w:rsidP="00E513CC"/>
    <w:p w:rsidR="00E24137" w:rsidRDefault="00E24137" w:rsidP="00E513CC">
      <w:r w:rsidRPr="00E24137">
        <w:rPr>
          <w:noProof/>
          <w:lang w:eastAsia="en-AU"/>
        </w:rPr>
        <w:drawing>
          <wp:inline distT="0" distB="0" distL="0" distR="0" wp14:anchorId="026E20F0" wp14:editId="55F2505B">
            <wp:extent cx="5382895" cy="7870865"/>
            <wp:effectExtent l="0" t="0" r="825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5382895" cy="7870865"/>
                    </a:xfrm>
                    <a:prstGeom prst="rect">
                      <a:avLst/>
                    </a:prstGeom>
                  </pic:spPr>
                </pic:pic>
              </a:graphicData>
            </a:graphic>
          </wp:inline>
        </w:drawing>
      </w:r>
    </w:p>
    <w:p w:rsidR="00E24137" w:rsidRDefault="00E24137" w:rsidP="00E513CC"/>
    <w:p w:rsidR="00E24137" w:rsidRDefault="00E24137" w:rsidP="00E513CC"/>
    <w:p w:rsidR="00E24137" w:rsidRDefault="00E24137" w:rsidP="00E513CC">
      <w:r w:rsidRPr="00E24137">
        <w:rPr>
          <w:noProof/>
          <w:lang w:eastAsia="en-AU"/>
        </w:rPr>
        <w:drawing>
          <wp:inline distT="0" distB="0" distL="0" distR="0" wp14:anchorId="59FBF4AB" wp14:editId="31E636EA">
            <wp:extent cx="5353050" cy="7591425"/>
            <wp:effectExtent l="0" t="0" r="0"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5353050" cy="7591425"/>
                    </a:xfrm>
                    <a:prstGeom prst="rect">
                      <a:avLst/>
                    </a:prstGeom>
                  </pic:spPr>
                </pic:pic>
              </a:graphicData>
            </a:graphic>
          </wp:inline>
        </w:drawing>
      </w:r>
    </w:p>
    <w:p w:rsidR="00E24137" w:rsidRDefault="00E24137" w:rsidP="00E513CC"/>
    <w:p w:rsidR="00E24137" w:rsidRDefault="00E24137" w:rsidP="00E513CC"/>
    <w:p w:rsidR="00E24137" w:rsidRDefault="00E24137" w:rsidP="00E513CC"/>
    <w:p w:rsidR="00E24137" w:rsidRDefault="00E24137" w:rsidP="00E513CC">
      <w:r w:rsidRPr="00E24137">
        <w:rPr>
          <w:noProof/>
          <w:lang w:eastAsia="en-AU"/>
        </w:rPr>
        <w:drawing>
          <wp:inline distT="0" distB="0" distL="0" distR="0" wp14:anchorId="3A93016E" wp14:editId="34AAA9E2">
            <wp:extent cx="5382895" cy="7765947"/>
            <wp:effectExtent l="0" t="0" r="8255" b="698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5382895" cy="7765947"/>
                    </a:xfrm>
                    <a:prstGeom prst="rect">
                      <a:avLst/>
                    </a:prstGeom>
                  </pic:spPr>
                </pic:pic>
              </a:graphicData>
            </a:graphic>
          </wp:inline>
        </w:drawing>
      </w:r>
    </w:p>
    <w:p w:rsidR="00E24137" w:rsidRDefault="00E24137" w:rsidP="00E513CC"/>
    <w:p w:rsidR="00E24137" w:rsidRDefault="00E24137" w:rsidP="00E513CC"/>
    <w:p w:rsidR="00E24137" w:rsidRDefault="00E24137" w:rsidP="00E513CC"/>
    <w:p w:rsidR="00E24137" w:rsidRDefault="00E24137" w:rsidP="00E513CC">
      <w:r w:rsidRPr="00E24137">
        <w:rPr>
          <w:noProof/>
          <w:lang w:eastAsia="en-AU"/>
        </w:rPr>
        <w:drawing>
          <wp:inline distT="0" distB="0" distL="0" distR="0" wp14:anchorId="0165E01C" wp14:editId="3C534426">
            <wp:extent cx="5382895" cy="7876025"/>
            <wp:effectExtent l="0" t="0" r="825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5382895" cy="7876025"/>
                    </a:xfrm>
                    <a:prstGeom prst="rect">
                      <a:avLst/>
                    </a:prstGeom>
                  </pic:spPr>
                </pic:pic>
              </a:graphicData>
            </a:graphic>
          </wp:inline>
        </w:drawing>
      </w:r>
    </w:p>
    <w:p w:rsidR="00E24137" w:rsidRDefault="00E24137" w:rsidP="00E513CC"/>
    <w:p w:rsidR="00E24137" w:rsidRDefault="00E24137" w:rsidP="00E513CC"/>
    <w:p w:rsidR="00E24137" w:rsidRDefault="00E24137" w:rsidP="00E513CC">
      <w:r w:rsidRPr="00E24137">
        <w:rPr>
          <w:noProof/>
          <w:lang w:eastAsia="en-AU"/>
        </w:rPr>
        <w:drawing>
          <wp:inline distT="0" distB="0" distL="0" distR="0" wp14:anchorId="01416EA0" wp14:editId="463D9E22">
            <wp:extent cx="5382895" cy="7950707"/>
            <wp:effectExtent l="0" t="0" r="8255"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5382895" cy="7950707"/>
                    </a:xfrm>
                    <a:prstGeom prst="rect">
                      <a:avLst/>
                    </a:prstGeom>
                  </pic:spPr>
                </pic:pic>
              </a:graphicData>
            </a:graphic>
          </wp:inline>
        </w:drawing>
      </w:r>
    </w:p>
    <w:p w:rsidR="00E24137" w:rsidRDefault="00E24137" w:rsidP="00E513CC"/>
    <w:p w:rsidR="00E24137" w:rsidRDefault="00E24137" w:rsidP="00E513CC"/>
    <w:p w:rsidR="00E24137" w:rsidRDefault="00E24137" w:rsidP="00E513CC">
      <w:r w:rsidRPr="00E24137">
        <w:rPr>
          <w:noProof/>
          <w:lang w:eastAsia="en-AU"/>
        </w:rPr>
        <w:drawing>
          <wp:inline distT="0" distB="0" distL="0" distR="0" wp14:anchorId="2EC848B5" wp14:editId="549A1DB2">
            <wp:extent cx="5382895" cy="7975010"/>
            <wp:effectExtent l="0" t="0" r="8255" b="698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5382895" cy="7975010"/>
                    </a:xfrm>
                    <a:prstGeom prst="rect">
                      <a:avLst/>
                    </a:prstGeom>
                  </pic:spPr>
                </pic:pic>
              </a:graphicData>
            </a:graphic>
          </wp:inline>
        </w:drawing>
      </w:r>
    </w:p>
    <w:p w:rsidR="00E24137" w:rsidRDefault="00E24137" w:rsidP="00E513CC"/>
    <w:p w:rsidR="00E24137" w:rsidRDefault="00E24137" w:rsidP="00E513CC"/>
    <w:p w:rsidR="00E24137" w:rsidRDefault="00E24137" w:rsidP="00E513CC">
      <w:r w:rsidRPr="00E24137">
        <w:rPr>
          <w:noProof/>
          <w:lang w:eastAsia="en-AU"/>
        </w:rPr>
        <w:drawing>
          <wp:inline distT="0" distB="0" distL="0" distR="0" wp14:anchorId="022ABE82" wp14:editId="3CDB3651">
            <wp:extent cx="5382895" cy="7879723"/>
            <wp:effectExtent l="0" t="0" r="8255" b="698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5382895" cy="7879723"/>
                    </a:xfrm>
                    <a:prstGeom prst="rect">
                      <a:avLst/>
                    </a:prstGeom>
                  </pic:spPr>
                </pic:pic>
              </a:graphicData>
            </a:graphic>
          </wp:inline>
        </w:drawing>
      </w:r>
    </w:p>
    <w:p w:rsidR="00E24137" w:rsidRDefault="00E24137" w:rsidP="00E513CC"/>
    <w:p w:rsidR="00E24137" w:rsidRDefault="00E24137" w:rsidP="00E513CC"/>
    <w:p w:rsidR="00E24137" w:rsidRDefault="00530D29" w:rsidP="00E513CC">
      <w:r w:rsidRPr="00530D29">
        <w:rPr>
          <w:noProof/>
          <w:lang w:eastAsia="en-AU"/>
        </w:rPr>
        <w:drawing>
          <wp:inline distT="0" distB="0" distL="0" distR="0" wp14:anchorId="0A9510AC" wp14:editId="13AD4A1D">
            <wp:extent cx="5353050" cy="792480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5353050" cy="7924800"/>
                    </a:xfrm>
                    <a:prstGeom prst="rect">
                      <a:avLst/>
                    </a:prstGeom>
                  </pic:spPr>
                </pic:pic>
              </a:graphicData>
            </a:graphic>
          </wp:inline>
        </w:drawing>
      </w:r>
    </w:p>
    <w:p w:rsidR="00E24137" w:rsidRDefault="00E24137" w:rsidP="00E513CC"/>
    <w:p w:rsidR="00E24137" w:rsidRDefault="00E24137" w:rsidP="00E513CC"/>
    <w:p w:rsidR="00E24137" w:rsidRDefault="00E24137" w:rsidP="00E513CC"/>
    <w:p w:rsidR="00E24137" w:rsidRDefault="00530D29" w:rsidP="00E513CC">
      <w:r w:rsidRPr="00530D29">
        <w:rPr>
          <w:noProof/>
          <w:lang w:eastAsia="en-AU"/>
        </w:rPr>
        <w:drawing>
          <wp:inline distT="0" distB="0" distL="0" distR="0" wp14:anchorId="6B61E2C6" wp14:editId="2545BBF2">
            <wp:extent cx="5019675" cy="8020050"/>
            <wp:effectExtent l="0" t="0" r="9525"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5019675" cy="8020050"/>
                    </a:xfrm>
                    <a:prstGeom prst="rect">
                      <a:avLst/>
                    </a:prstGeom>
                  </pic:spPr>
                </pic:pic>
              </a:graphicData>
            </a:graphic>
          </wp:inline>
        </w:drawing>
      </w:r>
    </w:p>
    <w:p w:rsidR="00E24137" w:rsidRDefault="00E24137" w:rsidP="00E513CC"/>
    <w:p w:rsidR="00E24137" w:rsidRDefault="00530D29" w:rsidP="00E513CC">
      <w:r w:rsidRPr="00530D29">
        <w:rPr>
          <w:noProof/>
          <w:lang w:eastAsia="en-AU"/>
        </w:rPr>
        <w:drawing>
          <wp:inline distT="0" distB="0" distL="0" distR="0" wp14:anchorId="44FA792B" wp14:editId="58073BF7">
            <wp:extent cx="5248275" cy="7943850"/>
            <wp:effectExtent l="0" t="0" r="9525"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5248275" cy="7943850"/>
                    </a:xfrm>
                    <a:prstGeom prst="rect">
                      <a:avLst/>
                    </a:prstGeom>
                  </pic:spPr>
                </pic:pic>
              </a:graphicData>
            </a:graphic>
          </wp:inline>
        </w:drawing>
      </w:r>
    </w:p>
    <w:p w:rsidR="00E24137" w:rsidRPr="00E513CC" w:rsidRDefault="00E24137" w:rsidP="00E513CC"/>
    <w:sectPr w:rsidR="00E24137" w:rsidRPr="00E513CC" w:rsidSect="00CF42AA">
      <w:headerReference w:type="default" r:id="rId29"/>
      <w:footerReference w:type="even" r:id="rId30"/>
      <w:footerReference w:type="default" r:id="rId31"/>
      <w:footerReference w:type="first" r:id="rId32"/>
      <w:pgSz w:w="11906" w:h="16838" w:code="9"/>
      <w:pgMar w:top="1440" w:right="1700" w:bottom="1582" w:left="1729" w:header="720" w:footer="0" w:gutter="0"/>
      <w:pgNumType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74DF" w:rsidRPr="00290C63" w:rsidRDefault="000474DF" w:rsidP="00290C63">
      <w:r>
        <w:separator/>
      </w:r>
    </w:p>
    <w:p w:rsidR="000474DF" w:rsidRDefault="000474DF"/>
  </w:endnote>
  <w:endnote w:type="continuationSeparator" w:id="0">
    <w:p w:rsidR="000474DF" w:rsidRPr="00290C63" w:rsidRDefault="000474DF" w:rsidP="00290C63">
      <w:r>
        <w:continuationSeparator/>
      </w:r>
    </w:p>
    <w:p w:rsidR="000474DF" w:rsidRDefault="000474D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1"/>
    <w:family w:val="roman"/>
    <w:notTrueType/>
    <w:pitch w:val="variable"/>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4DF" w:rsidRPr="00290C63" w:rsidRDefault="000474DF"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00377AAC">
      <w:rPr>
        <w:rStyle w:val="PageNumber"/>
        <w:noProof/>
      </w:rPr>
      <w:t>17-21</w:t>
    </w:r>
    <w:r w:rsidRPr="00290C63">
      <w:rPr>
        <w:rStyle w:val="PageNumber"/>
      </w:rPr>
      <w:fldChar w:fldCharType="end"/>
    </w:r>
    <w:r w:rsidRPr="00290C63">
      <w:rPr>
        <w:rStyle w:val="PageNumber"/>
      </w:rPr>
      <w:tab/>
      <w:t>Xxx report—month/year</w:t>
    </w:r>
  </w:p>
  <w:p w:rsidR="000474DF" w:rsidRDefault="000474DF"/>
  <w:p w:rsidR="000474DF" w:rsidRDefault="000474DF"/>
  <w:p w:rsidR="000474DF" w:rsidRDefault="000474DF"/>
  <w:p w:rsidR="000474DF" w:rsidRDefault="000474DF"/>
  <w:p w:rsidR="000474DF" w:rsidRDefault="000474DF"/>
  <w:p w:rsidR="000474DF" w:rsidRDefault="000474DF"/>
  <w:p w:rsidR="000474DF" w:rsidRDefault="000474DF"/>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4299774"/>
      <w:docPartObj>
        <w:docPartGallery w:val="Page Numbers (Bottom of Page)"/>
        <w:docPartUnique/>
      </w:docPartObj>
    </w:sdtPr>
    <w:sdtEndPr>
      <w:rPr>
        <w:noProof/>
        <w:szCs w:val="16"/>
      </w:rPr>
    </w:sdtEndPr>
    <w:sdtContent>
      <w:p w:rsidR="000474DF" w:rsidRPr="009B6F84" w:rsidRDefault="000474DF">
        <w:pPr>
          <w:pStyle w:val="Footer"/>
          <w:rPr>
            <w:sz w:val="20"/>
          </w:rPr>
        </w:pPr>
        <w:r>
          <w:fldChar w:fldCharType="begin"/>
        </w:r>
        <w:r>
          <w:instrText xml:space="preserve"> PAGE   \* MERGEFORMAT </w:instrText>
        </w:r>
        <w:r>
          <w:fldChar w:fldCharType="separate"/>
        </w:r>
        <w:r w:rsidR="00E650F3">
          <w:rPr>
            <w:noProof/>
          </w:rPr>
          <w:t>17-1</w:t>
        </w:r>
        <w:r>
          <w:rPr>
            <w:noProof/>
          </w:rPr>
          <w:fldChar w:fldCharType="end"/>
        </w:r>
        <w:r>
          <w:rPr>
            <w:noProof/>
          </w:rPr>
          <w:t xml:space="preserve">          </w:t>
        </w:r>
        <w:r w:rsidR="0079769A">
          <w:t>Attachment 17 – Negotiated services framework and criteria</w:t>
        </w:r>
        <w:r w:rsidR="0079769A" w:rsidRPr="004523B2">
          <w:t xml:space="preserve"> | </w:t>
        </w:r>
        <w:r w:rsidR="0079769A">
          <w:t>TasNetworks distribution draft determination</w:t>
        </w:r>
        <w:r w:rsidR="0079769A" w:rsidRPr="004523B2">
          <w:t xml:space="preserve"> 201</w:t>
        </w:r>
        <w:r w:rsidR="0079769A">
          <w:t>7</w:t>
        </w:r>
        <w:r w:rsidR="0079769A" w:rsidRPr="004523B2">
          <w:t>–</w:t>
        </w:r>
        <w:r w:rsidR="0079769A">
          <w:t>19</w:t>
        </w:r>
      </w:p>
    </w:sdtContent>
  </w:sdt>
  <w:p w:rsidR="000474DF" w:rsidRDefault="000474D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4DF" w:rsidRPr="00290C63" w:rsidRDefault="000474DF"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00377AAC">
      <w:rPr>
        <w:noProof/>
      </w:rPr>
      <w:t>17-21</w:t>
    </w:r>
    <w:r w:rsidRPr="00290C63">
      <w:fldChar w:fldCharType="end"/>
    </w:r>
  </w:p>
  <w:p w:rsidR="000474DF" w:rsidRDefault="000474DF">
    <w:pPr>
      <w:pStyle w:val="Footer"/>
    </w:pPr>
  </w:p>
  <w:p w:rsidR="000474DF" w:rsidRDefault="000474DF"/>
  <w:p w:rsidR="000474DF" w:rsidRDefault="000474DF"/>
  <w:p w:rsidR="000474DF" w:rsidRDefault="000474DF"/>
  <w:p w:rsidR="000474DF" w:rsidRDefault="000474DF"/>
  <w:p w:rsidR="000474DF" w:rsidRDefault="000474DF"/>
  <w:p w:rsidR="000474DF" w:rsidRDefault="000474DF"/>
  <w:p w:rsidR="000474DF" w:rsidRDefault="000474DF"/>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4DF" w:rsidRPr="00290C63" w:rsidRDefault="000474DF"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00377AAC">
      <w:rPr>
        <w:rStyle w:val="PageNumber"/>
        <w:noProof/>
      </w:rPr>
      <w:t>17-21</w:t>
    </w:r>
    <w:r w:rsidRPr="00290C63">
      <w:rPr>
        <w:rStyle w:val="PageNumber"/>
      </w:rPr>
      <w:fldChar w:fldCharType="end"/>
    </w:r>
    <w:r w:rsidRPr="00290C63">
      <w:rPr>
        <w:rStyle w:val="PageNumber"/>
      </w:rPr>
      <w:tab/>
      <w:t>Xxx report—month/year</w:t>
    </w:r>
  </w:p>
  <w:p w:rsidR="000474DF" w:rsidRDefault="000474DF"/>
  <w:p w:rsidR="000474DF" w:rsidRDefault="000474DF"/>
  <w:p w:rsidR="000474DF" w:rsidRDefault="000474DF"/>
  <w:p w:rsidR="000474DF" w:rsidRDefault="000474DF"/>
  <w:p w:rsidR="000474DF" w:rsidRDefault="000474DF"/>
  <w:p w:rsidR="000474DF" w:rsidRDefault="000474DF"/>
  <w:p w:rsidR="000474DF" w:rsidRDefault="000474DF"/>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40901426"/>
      <w:docPartObj>
        <w:docPartGallery w:val="Page Numbers (Bottom of Page)"/>
        <w:docPartUnique/>
      </w:docPartObj>
    </w:sdtPr>
    <w:sdtEndPr>
      <w:rPr>
        <w:noProof/>
        <w:szCs w:val="16"/>
      </w:rPr>
    </w:sdtEndPr>
    <w:sdtContent>
      <w:p w:rsidR="000474DF" w:rsidRPr="009B6F84" w:rsidRDefault="000474DF">
        <w:pPr>
          <w:pStyle w:val="Footer"/>
          <w:rPr>
            <w:sz w:val="20"/>
          </w:rPr>
        </w:pPr>
        <w:r>
          <w:fldChar w:fldCharType="begin"/>
        </w:r>
        <w:r>
          <w:instrText xml:space="preserve"> PAGE   \* MERGEFORMAT </w:instrText>
        </w:r>
        <w:r>
          <w:fldChar w:fldCharType="separate"/>
        </w:r>
        <w:r w:rsidR="00E650F3">
          <w:rPr>
            <w:noProof/>
          </w:rPr>
          <w:t>17-4</w:t>
        </w:r>
        <w:r>
          <w:rPr>
            <w:noProof/>
          </w:rPr>
          <w:fldChar w:fldCharType="end"/>
        </w:r>
        <w:r>
          <w:rPr>
            <w:noProof/>
          </w:rPr>
          <w:t xml:space="preserve">   </w:t>
        </w:r>
        <w:r w:rsidR="0079769A">
          <w:rPr>
            <w:noProof/>
          </w:rPr>
          <w:t xml:space="preserve"> </w:t>
        </w:r>
        <w:r w:rsidR="004523B2">
          <w:t>Attachment 1</w:t>
        </w:r>
        <w:r w:rsidR="0079769A">
          <w:t>7</w:t>
        </w:r>
        <w:r w:rsidR="004523B2">
          <w:t xml:space="preserve"> </w:t>
        </w:r>
        <w:r w:rsidR="0079769A">
          <w:t>–</w:t>
        </w:r>
        <w:r w:rsidR="004523B2">
          <w:t xml:space="preserve"> </w:t>
        </w:r>
        <w:r w:rsidR="0079769A">
          <w:t>Negotiated services framework and criteria</w:t>
        </w:r>
        <w:r w:rsidR="004523B2" w:rsidRPr="004523B2">
          <w:t xml:space="preserve"> | </w:t>
        </w:r>
        <w:r w:rsidR="004523B2">
          <w:t>TasNetworks distribution draft determination</w:t>
        </w:r>
        <w:r w:rsidR="004523B2" w:rsidRPr="004523B2">
          <w:t xml:space="preserve"> 201</w:t>
        </w:r>
        <w:r w:rsidR="004523B2">
          <w:t>7</w:t>
        </w:r>
        <w:r w:rsidR="004523B2" w:rsidRPr="004523B2">
          <w:t>–</w:t>
        </w:r>
        <w:r w:rsidR="0079769A">
          <w:t>19</w:t>
        </w:r>
      </w:p>
    </w:sdtContent>
  </w:sdt>
  <w:p w:rsidR="000474DF" w:rsidRDefault="000474DF">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4DF" w:rsidRPr="00290C63" w:rsidRDefault="000474DF"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00377AAC">
      <w:rPr>
        <w:noProof/>
      </w:rPr>
      <w:t>17-21</w:t>
    </w:r>
    <w:r w:rsidRPr="00290C63">
      <w:fldChar w:fldCharType="end"/>
    </w:r>
  </w:p>
  <w:p w:rsidR="000474DF" w:rsidRDefault="000474DF">
    <w:pPr>
      <w:pStyle w:val="Footer"/>
    </w:pPr>
  </w:p>
  <w:p w:rsidR="000474DF" w:rsidRDefault="000474DF"/>
  <w:p w:rsidR="000474DF" w:rsidRDefault="000474DF"/>
  <w:p w:rsidR="000474DF" w:rsidRDefault="000474DF"/>
  <w:p w:rsidR="000474DF" w:rsidRDefault="000474DF"/>
  <w:p w:rsidR="000474DF" w:rsidRDefault="000474DF"/>
  <w:p w:rsidR="000474DF" w:rsidRDefault="000474DF"/>
  <w:p w:rsidR="000474DF" w:rsidRDefault="000474DF"/>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74DF" w:rsidRPr="00290C63" w:rsidRDefault="000474DF" w:rsidP="00290C63">
      <w:r>
        <w:separator/>
      </w:r>
    </w:p>
    <w:p w:rsidR="000474DF" w:rsidRDefault="000474DF"/>
  </w:footnote>
  <w:footnote w:type="continuationSeparator" w:id="0">
    <w:p w:rsidR="000474DF" w:rsidRPr="00290C63" w:rsidRDefault="000474DF" w:rsidP="00290C63">
      <w:r>
        <w:continuationSeparator/>
      </w:r>
    </w:p>
    <w:p w:rsidR="000474DF" w:rsidRDefault="000474DF"/>
  </w:footnote>
  <w:footnote w:id="1">
    <w:p w:rsidR="00E24137" w:rsidRDefault="00E24137">
      <w:pPr>
        <w:pStyle w:val="FootnoteText"/>
      </w:pPr>
      <w:r>
        <w:rPr>
          <w:rStyle w:val="FootnoteReference"/>
        </w:rPr>
        <w:footnoteRef/>
      </w:r>
      <w:r>
        <w:t xml:space="preserve"> </w:t>
      </w:r>
      <w:r>
        <w:tab/>
      </w:r>
      <w:r w:rsidR="00017C39">
        <w:t xml:space="preserve">TasNetworks, </w:t>
      </w:r>
      <w:r w:rsidR="00017C39" w:rsidRPr="00017C39">
        <w:rPr>
          <w:rStyle w:val="Emphasis"/>
        </w:rPr>
        <w:t>Tasmanian Networks Pty Ltd Distribution Negotiating Framework - commencing 1 July 2017</w:t>
      </w:r>
      <w:r w:rsidR="00017C39">
        <w:t>, January 2016,</w:t>
      </w:r>
    </w:p>
  </w:footnote>
  <w:footnote w:id="2">
    <w:p w:rsidR="005D6DED" w:rsidRDefault="005D6DED">
      <w:pPr>
        <w:pStyle w:val="FootnoteText"/>
      </w:pPr>
      <w:r>
        <w:rPr>
          <w:rStyle w:val="FootnoteReference"/>
        </w:rPr>
        <w:footnoteRef/>
      </w:r>
      <w:r>
        <w:t xml:space="preserve"> </w:t>
      </w:r>
      <w:r>
        <w:tab/>
        <w:t xml:space="preserve">AER, </w:t>
      </w:r>
      <w:r w:rsidRPr="0002458F">
        <w:rPr>
          <w:rStyle w:val="Emphasis"/>
        </w:rPr>
        <w:t>Proposed negotiated distribution service criteria for TasNetworks Regulatory control period 1 July 2017 to 30 June 2019</w:t>
      </w:r>
      <w:r>
        <w:t>, February 2016.</w:t>
      </w:r>
    </w:p>
  </w:footnote>
  <w:footnote w:id="3">
    <w:p w:rsidR="0007189A" w:rsidRDefault="0007189A">
      <w:pPr>
        <w:pStyle w:val="FootnoteText"/>
      </w:pPr>
      <w:r>
        <w:rPr>
          <w:rStyle w:val="FootnoteReference"/>
        </w:rPr>
        <w:footnoteRef/>
      </w:r>
      <w:r>
        <w:t xml:space="preserve"> </w:t>
      </w:r>
      <w:r>
        <w:tab/>
        <w:t>NER, cl. 6.7.1.</w:t>
      </w:r>
    </w:p>
  </w:footnote>
  <w:footnote w:id="4">
    <w:p w:rsidR="000C0C2B" w:rsidRDefault="000C0C2B" w:rsidP="000C0C2B">
      <w:pPr>
        <w:pStyle w:val="FootnoteText"/>
      </w:pPr>
      <w:r>
        <w:rPr>
          <w:rStyle w:val="FootnoteReference"/>
        </w:rPr>
        <w:footnoteRef/>
      </w:r>
      <w:r>
        <w:t xml:space="preserve"> </w:t>
      </w:r>
      <w:r>
        <w:tab/>
        <w:t xml:space="preserve">TasNetworks, </w:t>
      </w:r>
      <w:r w:rsidRPr="000C0C2B">
        <w:rPr>
          <w:rStyle w:val="Emphasis"/>
        </w:rPr>
        <w:t>Tasmanian Distribution Regulatory Proposal Regulatory Control Period 1 July 2017 to 30 June 2019</w:t>
      </w:r>
      <w:r>
        <w:t>, January 2016, p.153.</w:t>
      </w:r>
    </w:p>
  </w:footnote>
  <w:footnote w:id="5">
    <w:p w:rsidR="00E513CC" w:rsidRDefault="00E513CC" w:rsidP="00E513CC">
      <w:pPr>
        <w:pStyle w:val="FootnoteText"/>
      </w:pPr>
      <w:r>
        <w:rPr>
          <w:rStyle w:val="FootnoteReference"/>
        </w:rPr>
        <w:footnoteRef/>
      </w:r>
      <w:r>
        <w:t xml:space="preserve"> </w:t>
      </w:r>
      <w:r>
        <w:tab/>
        <w:t xml:space="preserve">An applicant or service applicant is the person who wishes to receive a negotiated distribution service. NER, ch. 10. </w:t>
      </w:r>
    </w:p>
  </w:footnote>
  <w:footnote w:id="6">
    <w:p w:rsidR="0002458F" w:rsidRDefault="0002458F" w:rsidP="0002458F">
      <w:pPr>
        <w:pStyle w:val="FootnoteText"/>
      </w:pPr>
      <w:r>
        <w:rPr>
          <w:rStyle w:val="FootnoteReference"/>
        </w:rPr>
        <w:footnoteRef/>
      </w:r>
      <w:r>
        <w:t xml:space="preserve"> </w:t>
      </w:r>
      <w:r>
        <w:tab/>
        <w:t xml:space="preserve">AER, </w:t>
      </w:r>
      <w:r w:rsidRPr="0002458F">
        <w:rPr>
          <w:rStyle w:val="Emphasis"/>
        </w:rPr>
        <w:t>Proposed negotiated distribution service criteria for TasNetworks Regulatory control period 1 July 2017 to 30 June 2019</w:t>
      </w:r>
      <w:r>
        <w:t>, February 2016.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7AAC" w:rsidRDefault="00377AA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7AAC" w:rsidRDefault="00377AA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7AAC" w:rsidRDefault="00377AAC">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4DF" w:rsidRDefault="000474D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31C7FA6"/>
    <w:multiLevelType w:val="hybridMultilevel"/>
    <w:tmpl w:val="1A7E9E04"/>
    <w:lvl w:ilvl="0" w:tplc="A356B254">
      <w:start w:val="1"/>
      <w:numFmt w:val="bullet"/>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0">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1">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3">
    <w:nsid w:val="19B737F8"/>
    <w:multiLevelType w:val="multilevel"/>
    <w:tmpl w:val="6FB04ABA"/>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4418" w:hanging="1440"/>
      </w:pPr>
      <w:rPr>
        <w:rFonts w:hint="default"/>
      </w:rPr>
    </w:lvl>
    <w:lvl w:ilvl="8">
      <w:start w:val="1"/>
      <w:numFmt w:val="decimal"/>
      <w:lvlText w:val="%1.%2.%3.%4.%5.%6.%7.%8.%9"/>
      <w:lvlJc w:val="left"/>
      <w:pPr>
        <w:ind w:left="1584" w:hanging="1584"/>
      </w:pPr>
      <w:rPr>
        <w:rFonts w:hint="default"/>
      </w:rPr>
    </w:lvl>
  </w:abstractNum>
  <w:abstractNum w:abstractNumId="14">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5">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6">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7">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8">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3AF336BC"/>
    <w:multiLevelType w:val="hybridMultilevel"/>
    <w:tmpl w:val="955A02CC"/>
    <w:lvl w:ilvl="0" w:tplc="C90C7928">
      <w:start w:val="1"/>
      <w:numFmt w:val="bullet"/>
      <w:lvlText w:val=""/>
      <w:lvlJc w:val="left"/>
      <w:pPr>
        <w:ind w:left="786"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4">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6">
    <w:nsid w:val="5ECE4384"/>
    <w:multiLevelType w:val="multilevel"/>
    <w:tmpl w:val="E1BEF112"/>
    <w:lvl w:ilvl="0">
      <w:start w:val="17"/>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1004"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7">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28">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nsid w:val="7AAC6DD7"/>
    <w:multiLevelType w:val="multilevel"/>
    <w:tmpl w:val="950A1C52"/>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30">
    <w:nsid w:val="7AEA3AE1"/>
    <w:multiLevelType w:val="hybridMultilevel"/>
    <w:tmpl w:val="52969776"/>
    <w:lvl w:ilvl="0" w:tplc="1B665800">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2"/>
  </w:num>
  <w:num w:numId="2">
    <w:abstractNumId w:val="31"/>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7"/>
  </w:num>
  <w:num w:numId="13">
    <w:abstractNumId w:val="19"/>
  </w:num>
  <w:num w:numId="14">
    <w:abstractNumId w:val="11"/>
  </w:num>
  <w:num w:numId="15">
    <w:abstractNumId w:val="14"/>
  </w:num>
  <w:num w:numId="16">
    <w:abstractNumId w:val="21"/>
  </w:num>
  <w:num w:numId="17">
    <w:abstractNumId w:val="10"/>
  </w:num>
  <w:num w:numId="18">
    <w:abstractNumId w:val="16"/>
  </w:num>
  <w:num w:numId="19">
    <w:abstractNumId w:val="22"/>
  </w:num>
  <w:num w:numId="20">
    <w:abstractNumId w:val="28"/>
  </w:num>
  <w:num w:numId="21">
    <w:abstractNumId w:val="25"/>
  </w:num>
  <w:num w:numId="22">
    <w:abstractNumId w:val="23"/>
  </w:num>
  <w:num w:numId="23">
    <w:abstractNumId w:val="17"/>
  </w:num>
  <w:num w:numId="24">
    <w:abstractNumId w:val="24"/>
  </w:num>
  <w:num w:numId="25">
    <w:abstractNumId w:val="26"/>
  </w:num>
  <w:num w:numId="26">
    <w:abstractNumId w:val="18"/>
  </w:num>
  <w:num w:numId="27">
    <w:abstractNumId w:val="15"/>
  </w:num>
  <w:num w:numId="28">
    <w:abstractNumId w:val="30"/>
  </w:num>
  <w:num w:numId="29">
    <w:abstractNumId w:val="20"/>
  </w:num>
  <w:num w:numId="30">
    <w:abstractNumId w:val="9"/>
  </w:num>
  <w:num w:numId="31">
    <w:abstractNumId w:val="29"/>
    <w:lvlOverride w:ilvl="0">
      <w:lvl w:ilvl="0">
        <w:start w:val="1"/>
        <w:numFmt w:val="none"/>
        <w:lvlText w:val="%1"/>
        <w:lvlJc w:val="left"/>
        <w:pPr>
          <w:tabs>
            <w:tab w:val="num" w:pos="0"/>
          </w:tabs>
          <w:ind w:left="0" w:firstLine="0"/>
        </w:pPr>
        <w:rPr>
          <w:rFonts w:hint="default"/>
        </w:rPr>
      </w:lvl>
    </w:lvlOverride>
    <w:lvlOverride w:ilvl="1">
      <w:lvl w:ilvl="1">
        <w:start w:val="1"/>
        <w:numFmt w:val="decimal"/>
        <w:lvlText w:val="%1%2"/>
        <w:lvlJc w:val="left"/>
        <w:pPr>
          <w:tabs>
            <w:tab w:val="num" w:pos="0"/>
          </w:tabs>
          <w:ind w:left="0" w:hanging="851"/>
        </w:pPr>
        <w:rPr>
          <w:rFonts w:hint="default"/>
        </w:rPr>
      </w:lvl>
    </w:lvlOverride>
    <w:lvlOverride w:ilvl="2">
      <w:lvl w:ilvl="2">
        <w:start w:val="1"/>
        <w:numFmt w:val="decimal"/>
        <w:lvlText w:val="%1%2.%3"/>
        <w:lvlJc w:val="left"/>
        <w:pPr>
          <w:tabs>
            <w:tab w:val="num" w:pos="0"/>
          </w:tabs>
          <w:ind w:left="0" w:hanging="851"/>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lvlText w:val="%2.%3.%4"/>
        <w:lvlJc w:val="left"/>
        <w:pPr>
          <w:tabs>
            <w:tab w:val="num" w:pos="0"/>
          </w:tabs>
          <w:ind w:left="0" w:hanging="851"/>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1"/>
        <w:lvlText w:val="%5"/>
        <w:lvlJc w:val="left"/>
        <w:pPr>
          <w:tabs>
            <w:tab w:val="num" w:pos="0"/>
          </w:tabs>
          <w:ind w:left="0" w:hanging="851"/>
        </w:pPr>
        <w:rPr>
          <w:rFonts w:hint="default"/>
        </w:rPr>
      </w:lvl>
    </w:lvlOverride>
    <w:lvlOverride w:ilvl="5">
      <w:lvl w:ilvl="5">
        <w:start w:val="1"/>
        <w:numFmt w:val="decimal"/>
        <w:lvlText w:val="%5.%6"/>
        <w:lvlJc w:val="left"/>
        <w:pPr>
          <w:tabs>
            <w:tab w:val="num" w:pos="0"/>
          </w:tabs>
          <w:ind w:left="0" w:hanging="851"/>
        </w:pPr>
        <w:rPr>
          <w:rFonts w:hint="default"/>
        </w:rPr>
      </w:lvl>
    </w:lvlOverride>
    <w:lvlOverride w:ilvl="6">
      <w:lvl w:ilvl="6">
        <w:start w:val="1"/>
        <w:numFmt w:val="decimal"/>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32">
    <w:abstractNumId w:val="17"/>
    <w:lvlOverride w:ilvl="3">
      <w:lvl w:ilvl="3">
        <w:start w:val="1"/>
        <w:numFmt w:val="decimal"/>
        <w:lvlText w:val="%2.%3.%4"/>
        <w:lvlJc w:val="left"/>
        <w:pPr>
          <w:tabs>
            <w:tab w:val="num" w:pos="0"/>
          </w:tabs>
          <w:ind w:left="0" w:hanging="851"/>
        </w:pPr>
        <w:rPr>
          <w:rFonts w:hint="default"/>
        </w:rPr>
      </w:lvl>
    </w:lvlOverride>
  </w:num>
  <w:num w:numId="33">
    <w:abstractNumId w:val="13"/>
  </w:num>
  <w:num w:numId="34">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7"/>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removePersonalInformation/>
  <w:removeDateAndTime/>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1" w:spinCount="100000" w:hashValue="UL6KehaDNrof7Ik/W1FhQa8Q6whxHB5uZWsoeR7CweE=" w:saltValue="J8zg0862OLIYo0oCAt9kKQ==" w:algorithmName="SHA-256"/>
  <w:defaultTabStop w:val="340"/>
  <w:characterSpacingControl w:val="doNotCompress"/>
  <w:hdrShapeDefaults>
    <o:shapedefaults v:ext="edit" spidmax="19865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cdchnas-evs02\home$\mleco\aer - draft decision tasnetworks distribution determination - attachment 17 - negotiated services framework and criteria (D2015-00170632).docx"/>
  </w:docVars>
  <w:rsids>
    <w:rsidRoot w:val="00961A4A"/>
    <w:rsid w:val="000051DC"/>
    <w:rsid w:val="0000658F"/>
    <w:rsid w:val="0001507B"/>
    <w:rsid w:val="00017C39"/>
    <w:rsid w:val="00020016"/>
    <w:rsid w:val="00021202"/>
    <w:rsid w:val="00021C2B"/>
    <w:rsid w:val="0002458F"/>
    <w:rsid w:val="0002498B"/>
    <w:rsid w:val="0002517F"/>
    <w:rsid w:val="00026187"/>
    <w:rsid w:val="000266FC"/>
    <w:rsid w:val="000273B3"/>
    <w:rsid w:val="00027E2D"/>
    <w:rsid w:val="000306A1"/>
    <w:rsid w:val="0003578C"/>
    <w:rsid w:val="00036ADE"/>
    <w:rsid w:val="00044DA3"/>
    <w:rsid w:val="000455EB"/>
    <w:rsid w:val="000474DF"/>
    <w:rsid w:val="00055A67"/>
    <w:rsid w:val="00063247"/>
    <w:rsid w:val="0006624E"/>
    <w:rsid w:val="000678CD"/>
    <w:rsid w:val="00070F9F"/>
    <w:rsid w:val="0007137B"/>
    <w:rsid w:val="0007189A"/>
    <w:rsid w:val="00073B74"/>
    <w:rsid w:val="00076416"/>
    <w:rsid w:val="000805A8"/>
    <w:rsid w:val="0008190B"/>
    <w:rsid w:val="000836D9"/>
    <w:rsid w:val="00085663"/>
    <w:rsid w:val="00085EBF"/>
    <w:rsid w:val="00091B15"/>
    <w:rsid w:val="00095186"/>
    <w:rsid w:val="000A0E71"/>
    <w:rsid w:val="000A1C0C"/>
    <w:rsid w:val="000A3020"/>
    <w:rsid w:val="000A4840"/>
    <w:rsid w:val="000A62C1"/>
    <w:rsid w:val="000A6A79"/>
    <w:rsid w:val="000A6C7B"/>
    <w:rsid w:val="000B0A7B"/>
    <w:rsid w:val="000B1173"/>
    <w:rsid w:val="000B5827"/>
    <w:rsid w:val="000B7037"/>
    <w:rsid w:val="000C02D1"/>
    <w:rsid w:val="000C0C2B"/>
    <w:rsid w:val="000C0C63"/>
    <w:rsid w:val="000C2B40"/>
    <w:rsid w:val="000C5255"/>
    <w:rsid w:val="000D07A7"/>
    <w:rsid w:val="000D122C"/>
    <w:rsid w:val="000D75B0"/>
    <w:rsid w:val="000E1819"/>
    <w:rsid w:val="000E4821"/>
    <w:rsid w:val="000E4AA9"/>
    <w:rsid w:val="000E6C72"/>
    <w:rsid w:val="000E7F39"/>
    <w:rsid w:val="00100EA2"/>
    <w:rsid w:val="00101AA1"/>
    <w:rsid w:val="00102338"/>
    <w:rsid w:val="00104566"/>
    <w:rsid w:val="00104FF6"/>
    <w:rsid w:val="001056C9"/>
    <w:rsid w:val="001114AA"/>
    <w:rsid w:val="00115743"/>
    <w:rsid w:val="00116EB2"/>
    <w:rsid w:val="0012132C"/>
    <w:rsid w:val="00124609"/>
    <w:rsid w:val="00126A4C"/>
    <w:rsid w:val="001270E3"/>
    <w:rsid w:val="00132D43"/>
    <w:rsid w:val="00133366"/>
    <w:rsid w:val="00133F47"/>
    <w:rsid w:val="00134029"/>
    <w:rsid w:val="00142C2D"/>
    <w:rsid w:val="00144C96"/>
    <w:rsid w:val="0014573B"/>
    <w:rsid w:val="001463A3"/>
    <w:rsid w:val="0015073A"/>
    <w:rsid w:val="001573E4"/>
    <w:rsid w:val="00160756"/>
    <w:rsid w:val="00161DC8"/>
    <w:rsid w:val="00166760"/>
    <w:rsid w:val="0017232E"/>
    <w:rsid w:val="00174102"/>
    <w:rsid w:val="001754EE"/>
    <w:rsid w:val="00180157"/>
    <w:rsid w:val="001809BC"/>
    <w:rsid w:val="00180E97"/>
    <w:rsid w:val="001820B4"/>
    <w:rsid w:val="00184351"/>
    <w:rsid w:val="00184AC8"/>
    <w:rsid w:val="00185BA5"/>
    <w:rsid w:val="00185CB9"/>
    <w:rsid w:val="00185DBE"/>
    <w:rsid w:val="00186ADC"/>
    <w:rsid w:val="00186F77"/>
    <w:rsid w:val="001877A4"/>
    <w:rsid w:val="001926A4"/>
    <w:rsid w:val="00192AD5"/>
    <w:rsid w:val="00194597"/>
    <w:rsid w:val="00194E00"/>
    <w:rsid w:val="0019745E"/>
    <w:rsid w:val="00197B16"/>
    <w:rsid w:val="001A530D"/>
    <w:rsid w:val="001A5FB3"/>
    <w:rsid w:val="001A7155"/>
    <w:rsid w:val="001B45A0"/>
    <w:rsid w:val="001B552B"/>
    <w:rsid w:val="001B680E"/>
    <w:rsid w:val="001D055E"/>
    <w:rsid w:val="001E1B3F"/>
    <w:rsid w:val="001E7161"/>
    <w:rsid w:val="001F05A4"/>
    <w:rsid w:val="001F3D4A"/>
    <w:rsid w:val="001F492E"/>
    <w:rsid w:val="001F64EF"/>
    <w:rsid w:val="001F6DA3"/>
    <w:rsid w:val="002010BC"/>
    <w:rsid w:val="002016E7"/>
    <w:rsid w:val="00202E03"/>
    <w:rsid w:val="002033B9"/>
    <w:rsid w:val="002043D0"/>
    <w:rsid w:val="0020492C"/>
    <w:rsid w:val="00204EC9"/>
    <w:rsid w:val="00206505"/>
    <w:rsid w:val="0020743F"/>
    <w:rsid w:val="00216C93"/>
    <w:rsid w:val="00223051"/>
    <w:rsid w:val="00224DB9"/>
    <w:rsid w:val="0022569A"/>
    <w:rsid w:val="0023005C"/>
    <w:rsid w:val="00231012"/>
    <w:rsid w:val="00233775"/>
    <w:rsid w:val="0023414B"/>
    <w:rsid w:val="00243635"/>
    <w:rsid w:val="00247079"/>
    <w:rsid w:val="00251745"/>
    <w:rsid w:val="002552BA"/>
    <w:rsid w:val="00260016"/>
    <w:rsid w:val="00263AC0"/>
    <w:rsid w:val="00264264"/>
    <w:rsid w:val="0026689B"/>
    <w:rsid w:val="0026772D"/>
    <w:rsid w:val="002730B2"/>
    <w:rsid w:val="00274C7E"/>
    <w:rsid w:val="002777CF"/>
    <w:rsid w:val="002810F2"/>
    <w:rsid w:val="00286874"/>
    <w:rsid w:val="00290C63"/>
    <w:rsid w:val="00291A99"/>
    <w:rsid w:val="00293B6D"/>
    <w:rsid w:val="00294B08"/>
    <w:rsid w:val="0029518C"/>
    <w:rsid w:val="002963DD"/>
    <w:rsid w:val="00296B65"/>
    <w:rsid w:val="002A7DEF"/>
    <w:rsid w:val="002B0696"/>
    <w:rsid w:val="002C0222"/>
    <w:rsid w:val="002C1499"/>
    <w:rsid w:val="002C233C"/>
    <w:rsid w:val="002C517B"/>
    <w:rsid w:val="002D3509"/>
    <w:rsid w:val="002D5457"/>
    <w:rsid w:val="002D72E8"/>
    <w:rsid w:val="002D79AD"/>
    <w:rsid w:val="002E268F"/>
    <w:rsid w:val="002E78DD"/>
    <w:rsid w:val="002E7B22"/>
    <w:rsid w:val="002F12EC"/>
    <w:rsid w:val="002F1BB6"/>
    <w:rsid w:val="002F7986"/>
    <w:rsid w:val="00301B40"/>
    <w:rsid w:val="00301C82"/>
    <w:rsid w:val="003029EE"/>
    <w:rsid w:val="00304D38"/>
    <w:rsid w:val="00305CC8"/>
    <w:rsid w:val="00307F6D"/>
    <w:rsid w:val="00314D83"/>
    <w:rsid w:val="0031571F"/>
    <w:rsid w:val="003177A2"/>
    <w:rsid w:val="00317E02"/>
    <w:rsid w:val="003271B5"/>
    <w:rsid w:val="00327A1E"/>
    <w:rsid w:val="00327E28"/>
    <w:rsid w:val="00331264"/>
    <w:rsid w:val="00334C8D"/>
    <w:rsid w:val="003378BD"/>
    <w:rsid w:val="003424EA"/>
    <w:rsid w:val="00342C2F"/>
    <w:rsid w:val="003436EB"/>
    <w:rsid w:val="00343A18"/>
    <w:rsid w:val="00345744"/>
    <w:rsid w:val="003518B3"/>
    <w:rsid w:val="00353E79"/>
    <w:rsid w:val="00364EA0"/>
    <w:rsid w:val="00366981"/>
    <w:rsid w:val="00370678"/>
    <w:rsid w:val="0037214E"/>
    <w:rsid w:val="00372C85"/>
    <w:rsid w:val="00373845"/>
    <w:rsid w:val="003744E3"/>
    <w:rsid w:val="00375F71"/>
    <w:rsid w:val="00376219"/>
    <w:rsid w:val="0037663E"/>
    <w:rsid w:val="0037699E"/>
    <w:rsid w:val="00377A29"/>
    <w:rsid w:val="00377AAC"/>
    <w:rsid w:val="00377C69"/>
    <w:rsid w:val="0038415D"/>
    <w:rsid w:val="0038461C"/>
    <w:rsid w:val="003846F1"/>
    <w:rsid w:val="00390E6A"/>
    <w:rsid w:val="00393ABE"/>
    <w:rsid w:val="00395DB6"/>
    <w:rsid w:val="00397398"/>
    <w:rsid w:val="003A371A"/>
    <w:rsid w:val="003A59CD"/>
    <w:rsid w:val="003A6B00"/>
    <w:rsid w:val="003B30B2"/>
    <w:rsid w:val="003B484F"/>
    <w:rsid w:val="003B504B"/>
    <w:rsid w:val="003B5179"/>
    <w:rsid w:val="003B685C"/>
    <w:rsid w:val="003B7FBA"/>
    <w:rsid w:val="003C6537"/>
    <w:rsid w:val="003C6A13"/>
    <w:rsid w:val="003C764A"/>
    <w:rsid w:val="003C78BA"/>
    <w:rsid w:val="003D41F1"/>
    <w:rsid w:val="003D42AB"/>
    <w:rsid w:val="003D5B94"/>
    <w:rsid w:val="003E0D3A"/>
    <w:rsid w:val="003E3AAB"/>
    <w:rsid w:val="003E7FE9"/>
    <w:rsid w:val="003F07D4"/>
    <w:rsid w:val="003F174D"/>
    <w:rsid w:val="003F2329"/>
    <w:rsid w:val="003F5E8B"/>
    <w:rsid w:val="00400FD2"/>
    <w:rsid w:val="00403711"/>
    <w:rsid w:val="00404C52"/>
    <w:rsid w:val="004156D5"/>
    <w:rsid w:val="00415BA9"/>
    <w:rsid w:val="00415F31"/>
    <w:rsid w:val="0041691D"/>
    <w:rsid w:val="0042000C"/>
    <w:rsid w:val="0042090E"/>
    <w:rsid w:val="00421F27"/>
    <w:rsid w:val="004238D8"/>
    <w:rsid w:val="00423A77"/>
    <w:rsid w:val="004324F4"/>
    <w:rsid w:val="00434544"/>
    <w:rsid w:val="00445D43"/>
    <w:rsid w:val="00446CD2"/>
    <w:rsid w:val="004523B2"/>
    <w:rsid w:val="0045777E"/>
    <w:rsid w:val="00465258"/>
    <w:rsid w:val="00471BC6"/>
    <w:rsid w:val="00476221"/>
    <w:rsid w:val="004766F5"/>
    <w:rsid w:val="00480B4B"/>
    <w:rsid w:val="004838D8"/>
    <w:rsid w:val="00485DC4"/>
    <w:rsid w:val="00494D04"/>
    <w:rsid w:val="004A40BA"/>
    <w:rsid w:val="004A43D1"/>
    <w:rsid w:val="004A492B"/>
    <w:rsid w:val="004B4412"/>
    <w:rsid w:val="004C06FF"/>
    <w:rsid w:val="004C348C"/>
    <w:rsid w:val="004C462E"/>
    <w:rsid w:val="004C6CA3"/>
    <w:rsid w:val="004C7F5E"/>
    <w:rsid w:val="004D343C"/>
    <w:rsid w:val="004D372A"/>
    <w:rsid w:val="004D55BA"/>
    <w:rsid w:val="004D720C"/>
    <w:rsid w:val="004E0FA7"/>
    <w:rsid w:val="004E22EC"/>
    <w:rsid w:val="004F0BFA"/>
    <w:rsid w:val="004F13DA"/>
    <w:rsid w:val="004F3192"/>
    <w:rsid w:val="004F4D69"/>
    <w:rsid w:val="004F6883"/>
    <w:rsid w:val="004F6A0E"/>
    <w:rsid w:val="004F6BB3"/>
    <w:rsid w:val="005009CD"/>
    <w:rsid w:val="00504E5F"/>
    <w:rsid w:val="0051337E"/>
    <w:rsid w:val="00513FA7"/>
    <w:rsid w:val="0051768F"/>
    <w:rsid w:val="00522DC2"/>
    <w:rsid w:val="00530128"/>
    <w:rsid w:val="00530D29"/>
    <w:rsid w:val="00532467"/>
    <w:rsid w:val="005332A9"/>
    <w:rsid w:val="0053603C"/>
    <w:rsid w:val="00537871"/>
    <w:rsid w:val="00542FE9"/>
    <w:rsid w:val="00544598"/>
    <w:rsid w:val="00544C8D"/>
    <w:rsid w:val="00544DFD"/>
    <w:rsid w:val="00556B1E"/>
    <w:rsid w:val="00564A4D"/>
    <w:rsid w:val="0056598C"/>
    <w:rsid w:val="00566E0B"/>
    <w:rsid w:val="00567BA5"/>
    <w:rsid w:val="00571B35"/>
    <w:rsid w:val="00571B43"/>
    <w:rsid w:val="00571D57"/>
    <w:rsid w:val="00573A3B"/>
    <w:rsid w:val="005754F3"/>
    <w:rsid w:val="00577716"/>
    <w:rsid w:val="00577A09"/>
    <w:rsid w:val="005829C2"/>
    <w:rsid w:val="00584D8F"/>
    <w:rsid w:val="00587A18"/>
    <w:rsid w:val="00587ADE"/>
    <w:rsid w:val="005A0BEC"/>
    <w:rsid w:val="005A404D"/>
    <w:rsid w:val="005B1E3C"/>
    <w:rsid w:val="005B1E81"/>
    <w:rsid w:val="005B6518"/>
    <w:rsid w:val="005B704A"/>
    <w:rsid w:val="005B72D7"/>
    <w:rsid w:val="005C045F"/>
    <w:rsid w:val="005C16FE"/>
    <w:rsid w:val="005C1FAB"/>
    <w:rsid w:val="005C21A4"/>
    <w:rsid w:val="005C26CC"/>
    <w:rsid w:val="005C4463"/>
    <w:rsid w:val="005D3D88"/>
    <w:rsid w:val="005D48C4"/>
    <w:rsid w:val="005D6208"/>
    <w:rsid w:val="005D6366"/>
    <w:rsid w:val="005D6DED"/>
    <w:rsid w:val="005D7BA2"/>
    <w:rsid w:val="005E36C2"/>
    <w:rsid w:val="005E4AF4"/>
    <w:rsid w:val="005F387E"/>
    <w:rsid w:val="00601E0B"/>
    <w:rsid w:val="0060258B"/>
    <w:rsid w:val="00610EF9"/>
    <w:rsid w:val="00612F4F"/>
    <w:rsid w:val="00614EA0"/>
    <w:rsid w:val="00615C6B"/>
    <w:rsid w:val="00617D4C"/>
    <w:rsid w:val="00621DCE"/>
    <w:rsid w:val="00621FC5"/>
    <w:rsid w:val="00624F2C"/>
    <w:rsid w:val="00632D6D"/>
    <w:rsid w:val="00636569"/>
    <w:rsid w:val="00636EF9"/>
    <w:rsid w:val="00642C3E"/>
    <w:rsid w:val="00644A01"/>
    <w:rsid w:val="00651E2D"/>
    <w:rsid w:val="00652324"/>
    <w:rsid w:val="006577FB"/>
    <w:rsid w:val="0066104A"/>
    <w:rsid w:val="00663066"/>
    <w:rsid w:val="00663DAD"/>
    <w:rsid w:val="00664206"/>
    <w:rsid w:val="006649E7"/>
    <w:rsid w:val="00666634"/>
    <w:rsid w:val="00671692"/>
    <w:rsid w:val="00675E20"/>
    <w:rsid w:val="00676679"/>
    <w:rsid w:val="00683C89"/>
    <w:rsid w:val="00687E5A"/>
    <w:rsid w:val="00691B53"/>
    <w:rsid w:val="00697D0B"/>
    <w:rsid w:val="006A12BA"/>
    <w:rsid w:val="006A4739"/>
    <w:rsid w:val="006A66A1"/>
    <w:rsid w:val="006B032D"/>
    <w:rsid w:val="006B2395"/>
    <w:rsid w:val="006B40AC"/>
    <w:rsid w:val="006B4CF9"/>
    <w:rsid w:val="006B797C"/>
    <w:rsid w:val="006B7AC8"/>
    <w:rsid w:val="006C1736"/>
    <w:rsid w:val="006C329B"/>
    <w:rsid w:val="006C6303"/>
    <w:rsid w:val="006D550F"/>
    <w:rsid w:val="006D6146"/>
    <w:rsid w:val="006D7F7E"/>
    <w:rsid w:val="006E0CFF"/>
    <w:rsid w:val="006F0D92"/>
    <w:rsid w:val="006F267D"/>
    <w:rsid w:val="0070011E"/>
    <w:rsid w:val="00701CAB"/>
    <w:rsid w:val="007023BB"/>
    <w:rsid w:val="00704DD7"/>
    <w:rsid w:val="00705A4B"/>
    <w:rsid w:val="00707563"/>
    <w:rsid w:val="00715F61"/>
    <w:rsid w:val="00722132"/>
    <w:rsid w:val="007228F7"/>
    <w:rsid w:val="0072348C"/>
    <w:rsid w:val="00724A37"/>
    <w:rsid w:val="007303C3"/>
    <w:rsid w:val="00731188"/>
    <w:rsid w:val="007356CC"/>
    <w:rsid w:val="007368E6"/>
    <w:rsid w:val="007375DF"/>
    <w:rsid w:val="007429BE"/>
    <w:rsid w:val="00743223"/>
    <w:rsid w:val="00743349"/>
    <w:rsid w:val="0074403A"/>
    <w:rsid w:val="00746E01"/>
    <w:rsid w:val="00751DCD"/>
    <w:rsid w:val="00755084"/>
    <w:rsid w:val="00757364"/>
    <w:rsid w:val="00757BDF"/>
    <w:rsid w:val="007609D0"/>
    <w:rsid w:val="00761454"/>
    <w:rsid w:val="0076193D"/>
    <w:rsid w:val="00763E5D"/>
    <w:rsid w:val="00767740"/>
    <w:rsid w:val="00767B5E"/>
    <w:rsid w:val="00775460"/>
    <w:rsid w:val="00777EE6"/>
    <w:rsid w:val="00782EEA"/>
    <w:rsid w:val="00786CA4"/>
    <w:rsid w:val="007909B4"/>
    <w:rsid w:val="00790E86"/>
    <w:rsid w:val="007949D7"/>
    <w:rsid w:val="0079769A"/>
    <w:rsid w:val="007A0143"/>
    <w:rsid w:val="007A34C2"/>
    <w:rsid w:val="007A396C"/>
    <w:rsid w:val="007A4B02"/>
    <w:rsid w:val="007B0BE3"/>
    <w:rsid w:val="007B1816"/>
    <w:rsid w:val="007B186E"/>
    <w:rsid w:val="007B25DC"/>
    <w:rsid w:val="007B2C72"/>
    <w:rsid w:val="007B3789"/>
    <w:rsid w:val="007B651F"/>
    <w:rsid w:val="007B7BB5"/>
    <w:rsid w:val="007C1C53"/>
    <w:rsid w:val="007C284C"/>
    <w:rsid w:val="007C4B82"/>
    <w:rsid w:val="007C74BB"/>
    <w:rsid w:val="007C7F64"/>
    <w:rsid w:val="007D0A95"/>
    <w:rsid w:val="007D0EB5"/>
    <w:rsid w:val="007D456E"/>
    <w:rsid w:val="007D5837"/>
    <w:rsid w:val="007E4904"/>
    <w:rsid w:val="007E4CB5"/>
    <w:rsid w:val="007E4DAE"/>
    <w:rsid w:val="007F066B"/>
    <w:rsid w:val="007F4EAB"/>
    <w:rsid w:val="007F5B16"/>
    <w:rsid w:val="007F7C9D"/>
    <w:rsid w:val="008033C4"/>
    <w:rsid w:val="00806731"/>
    <w:rsid w:val="00806C88"/>
    <w:rsid w:val="0081034E"/>
    <w:rsid w:val="00810806"/>
    <w:rsid w:val="00815882"/>
    <w:rsid w:val="00820454"/>
    <w:rsid w:val="00822AC7"/>
    <w:rsid w:val="00822E86"/>
    <w:rsid w:val="008344F6"/>
    <w:rsid w:val="0083510F"/>
    <w:rsid w:val="00837BF3"/>
    <w:rsid w:val="008415DE"/>
    <w:rsid w:val="008420DE"/>
    <w:rsid w:val="00845865"/>
    <w:rsid w:val="0084799B"/>
    <w:rsid w:val="00850C90"/>
    <w:rsid w:val="00851209"/>
    <w:rsid w:val="0085171F"/>
    <w:rsid w:val="008658A1"/>
    <w:rsid w:val="0086716A"/>
    <w:rsid w:val="00870613"/>
    <w:rsid w:val="0087380F"/>
    <w:rsid w:val="0087648F"/>
    <w:rsid w:val="00876612"/>
    <w:rsid w:val="00882BB1"/>
    <w:rsid w:val="008837AC"/>
    <w:rsid w:val="0088481A"/>
    <w:rsid w:val="008909DC"/>
    <w:rsid w:val="00894255"/>
    <w:rsid w:val="008945AD"/>
    <w:rsid w:val="008A0645"/>
    <w:rsid w:val="008A1C02"/>
    <w:rsid w:val="008A370D"/>
    <w:rsid w:val="008A4825"/>
    <w:rsid w:val="008A587D"/>
    <w:rsid w:val="008B16B0"/>
    <w:rsid w:val="008B1BD5"/>
    <w:rsid w:val="008B35CD"/>
    <w:rsid w:val="008B4093"/>
    <w:rsid w:val="008B5FCC"/>
    <w:rsid w:val="008B7F36"/>
    <w:rsid w:val="008C357F"/>
    <w:rsid w:val="008C5486"/>
    <w:rsid w:val="008D1661"/>
    <w:rsid w:val="008D27E0"/>
    <w:rsid w:val="008D5F90"/>
    <w:rsid w:val="008D6800"/>
    <w:rsid w:val="008D72F1"/>
    <w:rsid w:val="008E4089"/>
    <w:rsid w:val="008E5AFF"/>
    <w:rsid w:val="008E7031"/>
    <w:rsid w:val="008E77DE"/>
    <w:rsid w:val="008F040C"/>
    <w:rsid w:val="008F07A3"/>
    <w:rsid w:val="008F3322"/>
    <w:rsid w:val="008F3519"/>
    <w:rsid w:val="008F3A0D"/>
    <w:rsid w:val="009001B6"/>
    <w:rsid w:val="00900E1B"/>
    <w:rsid w:val="0090131F"/>
    <w:rsid w:val="00907683"/>
    <w:rsid w:val="009132B7"/>
    <w:rsid w:val="00916A2C"/>
    <w:rsid w:val="009233EE"/>
    <w:rsid w:val="00930B1A"/>
    <w:rsid w:val="00932612"/>
    <w:rsid w:val="009327DC"/>
    <w:rsid w:val="009338D9"/>
    <w:rsid w:val="009339BD"/>
    <w:rsid w:val="009356CF"/>
    <w:rsid w:val="00945E53"/>
    <w:rsid w:val="009460AA"/>
    <w:rsid w:val="00951978"/>
    <w:rsid w:val="00952C8B"/>
    <w:rsid w:val="00961A4A"/>
    <w:rsid w:val="009661DE"/>
    <w:rsid w:val="00972C7C"/>
    <w:rsid w:val="009776F4"/>
    <w:rsid w:val="00982DA2"/>
    <w:rsid w:val="00983C25"/>
    <w:rsid w:val="0098466D"/>
    <w:rsid w:val="009856B7"/>
    <w:rsid w:val="009859D6"/>
    <w:rsid w:val="00985C86"/>
    <w:rsid w:val="009A5FC3"/>
    <w:rsid w:val="009B6F84"/>
    <w:rsid w:val="009B74B0"/>
    <w:rsid w:val="009C0152"/>
    <w:rsid w:val="009C1A74"/>
    <w:rsid w:val="009C3D42"/>
    <w:rsid w:val="009C491E"/>
    <w:rsid w:val="009D0DF1"/>
    <w:rsid w:val="009D22D6"/>
    <w:rsid w:val="009D2C84"/>
    <w:rsid w:val="009D3906"/>
    <w:rsid w:val="009D5E35"/>
    <w:rsid w:val="009D6B46"/>
    <w:rsid w:val="009E35B6"/>
    <w:rsid w:val="009E5ABC"/>
    <w:rsid w:val="009F2D81"/>
    <w:rsid w:val="009F3BBA"/>
    <w:rsid w:val="009F43B4"/>
    <w:rsid w:val="009F4940"/>
    <w:rsid w:val="009F5BA1"/>
    <w:rsid w:val="00A02A88"/>
    <w:rsid w:val="00A04012"/>
    <w:rsid w:val="00A046FA"/>
    <w:rsid w:val="00A0562E"/>
    <w:rsid w:val="00A0726D"/>
    <w:rsid w:val="00A073AE"/>
    <w:rsid w:val="00A10FB1"/>
    <w:rsid w:val="00A12204"/>
    <w:rsid w:val="00A12750"/>
    <w:rsid w:val="00A13CB0"/>
    <w:rsid w:val="00A1561F"/>
    <w:rsid w:val="00A16544"/>
    <w:rsid w:val="00A30BF5"/>
    <w:rsid w:val="00A31BE6"/>
    <w:rsid w:val="00A32FBB"/>
    <w:rsid w:val="00A40068"/>
    <w:rsid w:val="00A40BE9"/>
    <w:rsid w:val="00A428EE"/>
    <w:rsid w:val="00A443C2"/>
    <w:rsid w:val="00A4478A"/>
    <w:rsid w:val="00A44852"/>
    <w:rsid w:val="00A45558"/>
    <w:rsid w:val="00A50502"/>
    <w:rsid w:val="00A53409"/>
    <w:rsid w:val="00A53796"/>
    <w:rsid w:val="00A53848"/>
    <w:rsid w:val="00A56945"/>
    <w:rsid w:val="00A56A6E"/>
    <w:rsid w:val="00A57D04"/>
    <w:rsid w:val="00A60A26"/>
    <w:rsid w:val="00A61598"/>
    <w:rsid w:val="00A61777"/>
    <w:rsid w:val="00A63646"/>
    <w:rsid w:val="00A63914"/>
    <w:rsid w:val="00A84A99"/>
    <w:rsid w:val="00A84F46"/>
    <w:rsid w:val="00A85E87"/>
    <w:rsid w:val="00A86AEA"/>
    <w:rsid w:val="00A871F4"/>
    <w:rsid w:val="00A9431A"/>
    <w:rsid w:val="00A95988"/>
    <w:rsid w:val="00A959DF"/>
    <w:rsid w:val="00A97A1B"/>
    <w:rsid w:val="00AA2927"/>
    <w:rsid w:val="00AB2CB8"/>
    <w:rsid w:val="00AB4617"/>
    <w:rsid w:val="00AC1B2C"/>
    <w:rsid w:val="00AC3264"/>
    <w:rsid w:val="00AC46AD"/>
    <w:rsid w:val="00AC4D2D"/>
    <w:rsid w:val="00AC58EC"/>
    <w:rsid w:val="00AC7282"/>
    <w:rsid w:val="00AC7961"/>
    <w:rsid w:val="00AD314E"/>
    <w:rsid w:val="00AD5FCD"/>
    <w:rsid w:val="00AD64F1"/>
    <w:rsid w:val="00AD6B48"/>
    <w:rsid w:val="00AD7A3A"/>
    <w:rsid w:val="00AE1BF1"/>
    <w:rsid w:val="00AE23AB"/>
    <w:rsid w:val="00AE58FB"/>
    <w:rsid w:val="00AE5AF0"/>
    <w:rsid w:val="00AE663D"/>
    <w:rsid w:val="00AE73B3"/>
    <w:rsid w:val="00AF07E7"/>
    <w:rsid w:val="00AF0DD2"/>
    <w:rsid w:val="00AF31E1"/>
    <w:rsid w:val="00AF3BBA"/>
    <w:rsid w:val="00AF4231"/>
    <w:rsid w:val="00B00B0E"/>
    <w:rsid w:val="00B00B26"/>
    <w:rsid w:val="00B02385"/>
    <w:rsid w:val="00B02F9D"/>
    <w:rsid w:val="00B04797"/>
    <w:rsid w:val="00B05766"/>
    <w:rsid w:val="00B10A47"/>
    <w:rsid w:val="00B13048"/>
    <w:rsid w:val="00B13883"/>
    <w:rsid w:val="00B1716D"/>
    <w:rsid w:val="00B17A1D"/>
    <w:rsid w:val="00B207A0"/>
    <w:rsid w:val="00B21C21"/>
    <w:rsid w:val="00B22F54"/>
    <w:rsid w:val="00B24A7E"/>
    <w:rsid w:val="00B25C0C"/>
    <w:rsid w:val="00B304B5"/>
    <w:rsid w:val="00B308A9"/>
    <w:rsid w:val="00B31047"/>
    <w:rsid w:val="00B33148"/>
    <w:rsid w:val="00B35CDF"/>
    <w:rsid w:val="00B403C2"/>
    <w:rsid w:val="00B405A1"/>
    <w:rsid w:val="00B4438A"/>
    <w:rsid w:val="00B45AA2"/>
    <w:rsid w:val="00B479CA"/>
    <w:rsid w:val="00B5084F"/>
    <w:rsid w:val="00B514DD"/>
    <w:rsid w:val="00B52AF0"/>
    <w:rsid w:val="00B53D5F"/>
    <w:rsid w:val="00B54051"/>
    <w:rsid w:val="00B561BD"/>
    <w:rsid w:val="00B56E03"/>
    <w:rsid w:val="00B62765"/>
    <w:rsid w:val="00B65DF5"/>
    <w:rsid w:val="00B7679F"/>
    <w:rsid w:val="00B77159"/>
    <w:rsid w:val="00B8080B"/>
    <w:rsid w:val="00B82223"/>
    <w:rsid w:val="00B87BA5"/>
    <w:rsid w:val="00B87C39"/>
    <w:rsid w:val="00B93891"/>
    <w:rsid w:val="00B9562D"/>
    <w:rsid w:val="00BA21DA"/>
    <w:rsid w:val="00BA2B60"/>
    <w:rsid w:val="00BA3C93"/>
    <w:rsid w:val="00BA4665"/>
    <w:rsid w:val="00BA7FD7"/>
    <w:rsid w:val="00BB1681"/>
    <w:rsid w:val="00BB2FB2"/>
    <w:rsid w:val="00BB3304"/>
    <w:rsid w:val="00BB6551"/>
    <w:rsid w:val="00BC4A10"/>
    <w:rsid w:val="00BD30F4"/>
    <w:rsid w:val="00BD3446"/>
    <w:rsid w:val="00BD59CF"/>
    <w:rsid w:val="00BE1312"/>
    <w:rsid w:val="00BE1F1B"/>
    <w:rsid w:val="00BE27DB"/>
    <w:rsid w:val="00BE3D41"/>
    <w:rsid w:val="00BE3F89"/>
    <w:rsid w:val="00BE47B5"/>
    <w:rsid w:val="00BE5FCE"/>
    <w:rsid w:val="00C0079E"/>
    <w:rsid w:val="00C0572A"/>
    <w:rsid w:val="00C13EBD"/>
    <w:rsid w:val="00C1631B"/>
    <w:rsid w:val="00C163AB"/>
    <w:rsid w:val="00C170F0"/>
    <w:rsid w:val="00C25962"/>
    <w:rsid w:val="00C25FA6"/>
    <w:rsid w:val="00C3099D"/>
    <w:rsid w:val="00C33011"/>
    <w:rsid w:val="00C362C1"/>
    <w:rsid w:val="00C41950"/>
    <w:rsid w:val="00C42C3B"/>
    <w:rsid w:val="00C51672"/>
    <w:rsid w:val="00C538A9"/>
    <w:rsid w:val="00C53B5A"/>
    <w:rsid w:val="00C53E41"/>
    <w:rsid w:val="00C54909"/>
    <w:rsid w:val="00C54AF3"/>
    <w:rsid w:val="00C54F5A"/>
    <w:rsid w:val="00C569B4"/>
    <w:rsid w:val="00C57DDE"/>
    <w:rsid w:val="00C61468"/>
    <w:rsid w:val="00C61A97"/>
    <w:rsid w:val="00C61E44"/>
    <w:rsid w:val="00C64FF3"/>
    <w:rsid w:val="00C662AD"/>
    <w:rsid w:val="00C67A92"/>
    <w:rsid w:val="00C71280"/>
    <w:rsid w:val="00C717BF"/>
    <w:rsid w:val="00C76178"/>
    <w:rsid w:val="00C84560"/>
    <w:rsid w:val="00C86679"/>
    <w:rsid w:val="00C8792F"/>
    <w:rsid w:val="00C90472"/>
    <w:rsid w:val="00C91D6E"/>
    <w:rsid w:val="00CA489E"/>
    <w:rsid w:val="00CB0279"/>
    <w:rsid w:val="00CB666B"/>
    <w:rsid w:val="00CB734B"/>
    <w:rsid w:val="00CC41B6"/>
    <w:rsid w:val="00CC7ADA"/>
    <w:rsid w:val="00CC7F1D"/>
    <w:rsid w:val="00CD0A88"/>
    <w:rsid w:val="00CD125D"/>
    <w:rsid w:val="00CD283C"/>
    <w:rsid w:val="00CD2F8B"/>
    <w:rsid w:val="00CD3641"/>
    <w:rsid w:val="00CD66EA"/>
    <w:rsid w:val="00CD7432"/>
    <w:rsid w:val="00CE0FA5"/>
    <w:rsid w:val="00CE2A23"/>
    <w:rsid w:val="00CE2B0F"/>
    <w:rsid w:val="00CE31C8"/>
    <w:rsid w:val="00CE484B"/>
    <w:rsid w:val="00CE7CBA"/>
    <w:rsid w:val="00CF0DEE"/>
    <w:rsid w:val="00CF42AA"/>
    <w:rsid w:val="00CF5EAA"/>
    <w:rsid w:val="00CF6AE3"/>
    <w:rsid w:val="00CF77BB"/>
    <w:rsid w:val="00D006AE"/>
    <w:rsid w:val="00D00905"/>
    <w:rsid w:val="00D010C1"/>
    <w:rsid w:val="00D01CF0"/>
    <w:rsid w:val="00D0442A"/>
    <w:rsid w:val="00D12A7B"/>
    <w:rsid w:val="00D12ADB"/>
    <w:rsid w:val="00D15E63"/>
    <w:rsid w:val="00D25A39"/>
    <w:rsid w:val="00D27CFA"/>
    <w:rsid w:val="00D310FA"/>
    <w:rsid w:val="00D325C6"/>
    <w:rsid w:val="00D37213"/>
    <w:rsid w:val="00D4360D"/>
    <w:rsid w:val="00D5607F"/>
    <w:rsid w:val="00D61388"/>
    <w:rsid w:val="00D61A54"/>
    <w:rsid w:val="00D62108"/>
    <w:rsid w:val="00D64AA4"/>
    <w:rsid w:val="00D64DEA"/>
    <w:rsid w:val="00D64F84"/>
    <w:rsid w:val="00D663CD"/>
    <w:rsid w:val="00D6726A"/>
    <w:rsid w:val="00D7001B"/>
    <w:rsid w:val="00D7160D"/>
    <w:rsid w:val="00D7168E"/>
    <w:rsid w:val="00D71E57"/>
    <w:rsid w:val="00D72D27"/>
    <w:rsid w:val="00D7786B"/>
    <w:rsid w:val="00D80893"/>
    <w:rsid w:val="00D82519"/>
    <w:rsid w:val="00D84854"/>
    <w:rsid w:val="00D924AE"/>
    <w:rsid w:val="00D92CF1"/>
    <w:rsid w:val="00D92D38"/>
    <w:rsid w:val="00D950F5"/>
    <w:rsid w:val="00D97379"/>
    <w:rsid w:val="00DA4752"/>
    <w:rsid w:val="00DA4C09"/>
    <w:rsid w:val="00DA61F3"/>
    <w:rsid w:val="00DA7CB3"/>
    <w:rsid w:val="00DB0D00"/>
    <w:rsid w:val="00DB0F93"/>
    <w:rsid w:val="00DB1A67"/>
    <w:rsid w:val="00DB3721"/>
    <w:rsid w:val="00DB5074"/>
    <w:rsid w:val="00DC0281"/>
    <w:rsid w:val="00DC1930"/>
    <w:rsid w:val="00DC1C76"/>
    <w:rsid w:val="00DC4DBF"/>
    <w:rsid w:val="00DC4E19"/>
    <w:rsid w:val="00DC65FE"/>
    <w:rsid w:val="00DC7981"/>
    <w:rsid w:val="00DD4C07"/>
    <w:rsid w:val="00DD577D"/>
    <w:rsid w:val="00DD5ADC"/>
    <w:rsid w:val="00DD7B3D"/>
    <w:rsid w:val="00DE1093"/>
    <w:rsid w:val="00DE4EFA"/>
    <w:rsid w:val="00DE5520"/>
    <w:rsid w:val="00DE563D"/>
    <w:rsid w:val="00DE7AB5"/>
    <w:rsid w:val="00DF0152"/>
    <w:rsid w:val="00DF1958"/>
    <w:rsid w:val="00E04818"/>
    <w:rsid w:val="00E06442"/>
    <w:rsid w:val="00E06952"/>
    <w:rsid w:val="00E11E61"/>
    <w:rsid w:val="00E157B2"/>
    <w:rsid w:val="00E16055"/>
    <w:rsid w:val="00E2332D"/>
    <w:rsid w:val="00E23993"/>
    <w:rsid w:val="00E24137"/>
    <w:rsid w:val="00E2574F"/>
    <w:rsid w:val="00E25951"/>
    <w:rsid w:val="00E25B8C"/>
    <w:rsid w:val="00E31CF6"/>
    <w:rsid w:val="00E34A4A"/>
    <w:rsid w:val="00E35AFC"/>
    <w:rsid w:val="00E41D39"/>
    <w:rsid w:val="00E50A02"/>
    <w:rsid w:val="00E513CC"/>
    <w:rsid w:val="00E54106"/>
    <w:rsid w:val="00E54697"/>
    <w:rsid w:val="00E57A08"/>
    <w:rsid w:val="00E63631"/>
    <w:rsid w:val="00E64C2A"/>
    <w:rsid w:val="00E650F3"/>
    <w:rsid w:val="00E65C85"/>
    <w:rsid w:val="00E66199"/>
    <w:rsid w:val="00E70526"/>
    <w:rsid w:val="00E754B4"/>
    <w:rsid w:val="00E755EC"/>
    <w:rsid w:val="00E7624D"/>
    <w:rsid w:val="00E81724"/>
    <w:rsid w:val="00E819A4"/>
    <w:rsid w:val="00E833FA"/>
    <w:rsid w:val="00E84B74"/>
    <w:rsid w:val="00E87066"/>
    <w:rsid w:val="00E966BF"/>
    <w:rsid w:val="00E96B5E"/>
    <w:rsid w:val="00EA0C04"/>
    <w:rsid w:val="00EA3D42"/>
    <w:rsid w:val="00EA6B1B"/>
    <w:rsid w:val="00EB1CBD"/>
    <w:rsid w:val="00EB3A34"/>
    <w:rsid w:val="00EB3C3F"/>
    <w:rsid w:val="00EC04F1"/>
    <w:rsid w:val="00EC237F"/>
    <w:rsid w:val="00EC573A"/>
    <w:rsid w:val="00ED35C8"/>
    <w:rsid w:val="00ED3968"/>
    <w:rsid w:val="00ED7323"/>
    <w:rsid w:val="00EE28F3"/>
    <w:rsid w:val="00EE43C0"/>
    <w:rsid w:val="00EE50D1"/>
    <w:rsid w:val="00EE7614"/>
    <w:rsid w:val="00EF5110"/>
    <w:rsid w:val="00EF5890"/>
    <w:rsid w:val="00EF76BA"/>
    <w:rsid w:val="00F0231A"/>
    <w:rsid w:val="00F03463"/>
    <w:rsid w:val="00F036B7"/>
    <w:rsid w:val="00F0700F"/>
    <w:rsid w:val="00F07F1F"/>
    <w:rsid w:val="00F10411"/>
    <w:rsid w:val="00F10A9A"/>
    <w:rsid w:val="00F11B2D"/>
    <w:rsid w:val="00F121C2"/>
    <w:rsid w:val="00F1485B"/>
    <w:rsid w:val="00F15882"/>
    <w:rsid w:val="00F170C7"/>
    <w:rsid w:val="00F171E0"/>
    <w:rsid w:val="00F201A2"/>
    <w:rsid w:val="00F20BD3"/>
    <w:rsid w:val="00F322E9"/>
    <w:rsid w:val="00F3231B"/>
    <w:rsid w:val="00F33808"/>
    <w:rsid w:val="00F373A5"/>
    <w:rsid w:val="00F37864"/>
    <w:rsid w:val="00F404F9"/>
    <w:rsid w:val="00F44B0A"/>
    <w:rsid w:val="00F4650B"/>
    <w:rsid w:val="00F47559"/>
    <w:rsid w:val="00F50B30"/>
    <w:rsid w:val="00F51F5F"/>
    <w:rsid w:val="00F52D75"/>
    <w:rsid w:val="00F55582"/>
    <w:rsid w:val="00F57647"/>
    <w:rsid w:val="00F62A14"/>
    <w:rsid w:val="00F63E66"/>
    <w:rsid w:val="00F644AB"/>
    <w:rsid w:val="00F64C7B"/>
    <w:rsid w:val="00F676DD"/>
    <w:rsid w:val="00F67AB6"/>
    <w:rsid w:val="00F70028"/>
    <w:rsid w:val="00F70434"/>
    <w:rsid w:val="00F75A26"/>
    <w:rsid w:val="00F76706"/>
    <w:rsid w:val="00F77D6D"/>
    <w:rsid w:val="00F80206"/>
    <w:rsid w:val="00F83034"/>
    <w:rsid w:val="00F83FAD"/>
    <w:rsid w:val="00F844C6"/>
    <w:rsid w:val="00F92FA6"/>
    <w:rsid w:val="00F9353B"/>
    <w:rsid w:val="00F937F1"/>
    <w:rsid w:val="00F952A0"/>
    <w:rsid w:val="00FA31B1"/>
    <w:rsid w:val="00FA3320"/>
    <w:rsid w:val="00FA3C7F"/>
    <w:rsid w:val="00FA6246"/>
    <w:rsid w:val="00FB24ED"/>
    <w:rsid w:val="00FB3304"/>
    <w:rsid w:val="00FB5005"/>
    <w:rsid w:val="00FB60FE"/>
    <w:rsid w:val="00FB74E2"/>
    <w:rsid w:val="00FB778B"/>
    <w:rsid w:val="00FD5614"/>
    <w:rsid w:val="00FD5E78"/>
    <w:rsid w:val="00FE0BE1"/>
    <w:rsid w:val="00FE11BB"/>
    <w:rsid w:val="00FE1DE9"/>
    <w:rsid w:val="00FE36AF"/>
    <w:rsid w:val="00FE39C2"/>
    <w:rsid w:val="00FE3C32"/>
    <w:rsid w:val="00FE64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9865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7"/>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AD7A3A"/>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AD7A3A"/>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AD7A3A"/>
    <w:rPr>
      <w:rFonts w:ascii="Verdana" w:eastAsia="Times New Roman" w:hAnsi="Verdana" w:cs="Times New Roman"/>
      <w:sz w:val="24"/>
      <w:szCs w:val="24"/>
      <w:lang w:eastAsia="en-AU"/>
    </w:rPr>
  </w:style>
  <w:style w:type="paragraph" w:styleId="BodyText">
    <w:name w:val="Body Text"/>
    <w:basedOn w:val="Normal"/>
    <w:link w:val="BodyTextChar"/>
    <w:uiPriority w:val="99"/>
    <w:semiHidden/>
    <w:unhideWhenUsed/>
    <w:rsid w:val="00AD7A3A"/>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uiPriority w:val="99"/>
    <w:semiHidden/>
    <w:rsid w:val="00AD7A3A"/>
    <w:rPr>
      <w:rFonts w:ascii="Gautami" w:eastAsia="Calibri" w:hAnsi="Gautami"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7"/>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AD7A3A"/>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AD7A3A"/>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AD7A3A"/>
    <w:rPr>
      <w:rFonts w:ascii="Verdana" w:eastAsia="Times New Roman" w:hAnsi="Verdana" w:cs="Times New Roman"/>
      <w:sz w:val="24"/>
      <w:szCs w:val="24"/>
      <w:lang w:eastAsia="en-AU"/>
    </w:rPr>
  </w:style>
  <w:style w:type="paragraph" w:styleId="BodyText">
    <w:name w:val="Body Text"/>
    <w:basedOn w:val="Normal"/>
    <w:link w:val="BodyTextChar"/>
    <w:uiPriority w:val="99"/>
    <w:semiHidden/>
    <w:unhideWhenUsed/>
    <w:rsid w:val="00AD7A3A"/>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uiPriority w:val="99"/>
    <w:semiHidden/>
    <w:rsid w:val="00AD7A3A"/>
    <w:rPr>
      <w:rFonts w:ascii="Gautami" w:eastAsia="Calibri" w:hAnsi="Gautami"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5823670">
      <w:bodyDiv w:val="1"/>
      <w:marLeft w:val="0"/>
      <w:marRight w:val="0"/>
      <w:marTop w:val="0"/>
      <w:marBottom w:val="0"/>
      <w:divBdr>
        <w:top w:val="none" w:sz="0" w:space="0" w:color="auto"/>
        <w:left w:val="none" w:sz="0" w:space="0" w:color="auto"/>
        <w:bottom w:val="none" w:sz="0" w:space="0" w:color="auto"/>
        <w:right w:val="none" w:sz="0" w:space="0" w:color="auto"/>
      </w:divBdr>
    </w:div>
    <w:div w:id="456605257">
      <w:bodyDiv w:val="1"/>
      <w:marLeft w:val="0"/>
      <w:marRight w:val="0"/>
      <w:marTop w:val="0"/>
      <w:marBottom w:val="0"/>
      <w:divBdr>
        <w:top w:val="none" w:sz="0" w:space="0" w:color="auto"/>
        <w:left w:val="none" w:sz="0" w:space="0" w:color="auto"/>
        <w:bottom w:val="none" w:sz="0" w:space="0" w:color="auto"/>
        <w:right w:val="none" w:sz="0" w:space="0" w:color="auto"/>
      </w:divBdr>
    </w:div>
    <w:div w:id="488448612">
      <w:bodyDiv w:val="1"/>
      <w:marLeft w:val="0"/>
      <w:marRight w:val="0"/>
      <w:marTop w:val="0"/>
      <w:marBottom w:val="0"/>
      <w:divBdr>
        <w:top w:val="none" w:sz="0" w:space="0" w:color="auto"/>
        <w:left w:val="none" w:sz="0" w:space="0" w:color="auto"/>
        <w:bottom w:val="none" w:sz="0" w:space="0" w:color="auto"/>
        <w:right w:val="none" w:sz="0" w:space="0" w:color="auto"/>
      </w:divBdr>
    </w:div>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834535643">
      <w:bodyDiv w:val="1"/>
      <w:marLeft w:val="0"/>
      <w:marRight w:val="0"/>
      <w:marTop w:val="0"/>
      <w:marBottom w:val="0"/>
      <w:divBdr>
        <w:top w:val="none" w:sz="0" w:space="0" w:color="auto"/>
        <w:left w:val="none" w:sz="0" w:space="0" w:color="auto"/>
        <w:bottom w:val="none" w:sz="0" w:space="0" w:color="auto"/>
        <w:right w:val="none" w:sz="0" w:space="0" w:color="auto"/>
      </w:divBdr>
    </w:div>
    <w:div w:id="983241265">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 w:id="1974406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image" Target="media/image3.png"/><Relationship Id="rId26"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image" Target="media/image6.png"/><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image" Target="media/image10.png"/><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image" Target="media/image5.png"/><Relationship Id="rId29"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AERInquiry@aer.gov.au" TargetMode="External"/><Relationship Id="rId24" Type="http://schemas.openxmlformats.org/officeDocument/2006/relationships/image" Target="media/image9.png"/><Relationship Id="rId32" Type="http://schemas.openxmlformats.org/officeDocument/2006/relationships/footer" Target="footer6.xml"/><Relationship Id="rId5" Type="http://schemas.openxmlformats.org/officeDocument/2006/relationships/settings" Target="settings.xml"/><Relationship Id="rId15" Type="http://schemas.openxmlformats.org/officeDocument/2006/relationships/footer" Target="footer2.xml"/><Relationship Id="rId23" Type="http://schemas.openxmlformats.org/officeDocument/2006/relationships/image" Target="media/image8.png"/><Relationship Id="rId28" Type="http://schemas.openxmlformats.org/officeDocument/2006/relationships/image" Target="media/image13.png"/><Relationship Id="rId10" Type="http://schemas.openxmlformats.org/officeDocument/2006/relationships/image" Target="media/image2.jpeg"/><Relationship Id="rId19" Type="http://schemas.openxmlformats.org/officeDocument/2006/relationships/image" Target="media/image4.png"/><Relationship Id="rId31" Type="http://schemas.openxmlformats.org/officeDocument/2006/relationships/footer" Target="footer5.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1.xml"/><Relationship Id="rId22" Type="http://schemas.openxmlformats.org/officeDocument/2006/relationships/image" Target="media/image7.png"/><Relationship Id="rId27" Type="http://schemas.openxmlformats.org/officeDocument/2006/relationships/image" Target="media/image12.png"/><Relationship Id="rId30" Type="http://schemas.openxmlformats.org/officeDocument/2006/relationships/footer" Target="footer4.xm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322721.dotm</Template>
  <TotalTime>0</TotalTime>
  <Pages>6</Pages>
  <Words>2251</Words>
  <Characters>12835</Characters>
  <Application>Microsoft Office Word</Application>
  <DocSecurity>0</DocSecurity>
  <Lines>106</Lines>
  <Paragraphs>30</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15056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2016-09-28T02:03:00Z</dcterms:created>
  <dcterms:modified xsi:type="dcterms:W3CDTF">2016-09-28T02:03:00Z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urrfile">
    <vt:lpwstr>\\cdchnas-evs02\home$\mleco\aer - draft decision tasnetworks distribution determination - attachment 17 - negotiated services framework and criteria (D2015-00170632).docx</vt:lpwstr>
  </property>
</Properties>
</file>